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0C" w:rsidRPr="007A327C" w:rsidRDefault="004F680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rsidP="00F5400B">
            <w:pPr>
              <w:rPr>
                <w:b/>
              </w:rPr>
            </w:pPr>
            <w:r w:rsidRPr="007A327C">
              <w:rPr>
                <w:b/>
              </w:rPr>
              <w:t>UTSKOTTSSAMMANTRÄDE 20</w:t>
            </w:r>
            <w:r w:rsidR="00670477">
              <w:rPr>
                <w:b/>
              </w:rPr>
              <w:t>2</w:t>
            </w:r>
            <w:r w:rsidR="009966EE">
              <w:rPr>
                <w:b/>
              </w:rPr>
              <w:t>1</w:t>
            </w:r>
            <w:r w:rsidRPr="007A327C">
              <w:rPr>
                <w:b/>
              </w:rPr>
              <w:t>/</w:t>
            </w:r>
            <w:r w:rsidR="008E3706">
              <w:rPr>
                <w:b/>
              </w:rPr>
              <w:t>2</w:t>
            </w:r>
            <w:r w:rsidR="009966EE">
              <w:rPr>
                <w:b/>
              </w:rPr>
              <w:t>2</w:t>
            </w:r>
            <w:r w:rsidR="004F680C" w:rsidRPr="007A327C">
              <w:rPr>
                <w:b/>
              </w:rPr>
              <w:t>:</w:t>
            </w:r>
            <w:r w:rsidR="002931F9">
              <w:rPr>
                <w:b/>
              </w:rPr>
              <w:t>20</w:t>
            </w:r>
          </w:p>
        </w:tc>
      </w:tr>
      <w:tr w:rsidR="004F680C" w:rsidRPr="007A327C">
        <w:tc>
          <w:tcPr>
            <w:tcW w:w="1985" w:type="dxa"/>
          </w:tcPr>
          <w:p w:rsidR="004F680C" w:rsidRPr="007A327C" w:rsidRDefault="004F680C">
            <w:r w:rsidRPr="007A327C">
              <w:t>DATUM</w:t>
            </w:r>
          </w:p>
        </w:tc>
        <w:tc>
          <w:tcPr>
            <w:tcW w:w="6463" w:type="dxa"/>
          </w:tcPr>
          <w:p w:rsidR="004F680C" w:rsidRPr="007A327C" w:rsidRDefault="00685998" w:rsidP="00AC3854">
            <w:r>
              <w:t>2022-0</w:t>
            </w:r>
            <w:r w:rsidR="00A04A4A">
              <w:t>2-</w:t>
            </w:r>
            <w:r w:rsidR="002931F9">
              <w:t>15</w:t>
            </w:r>
          </w:p>
        </w:tc>
      </w:tr>
      <w:tr w:rsidR="004F680C" w:rsidRPr="007A327C">
        <w:tc>
          <w:tcPr>
            <w:tcW w:w="1985" w:type="dxa"/>
          </w:tcPr>
          <w:p w:rsidR="004F680C" w:rsidRPr="007A327C" w:rsidRDefault="004F680C">
            <w:r w:rsidRPr="007A327C">
              <w:t>TID</w:t>
            </w:r>
          </w:p>
        </w:tc>
        <w:tc>
          <w:tcPr>
            <w:tcW w:w="6463" w:type="dxa"/>
          </w:tcPr>
          <w:p w:rsidR="004F680C" w:rsidRPr="007A327C" w:rsidRDefault="00675BB1" w:rsidP="00F5133A">
            <w:r>
              <w:t>1</w:t>
            </w:r>
            <w:r w:rsidR="00D951CA">
              <w:t>1</w:t>
            </w:r>
            <w:r w:rsidR="00721DB8">
              <w:t>.</w:t>
            </w:r>
            <w:r w:rsidR="00D951CA">
              <w:t>0</w:t>
            </w:r>
            <w:r w:rsidR="00721DB8">
              <w:t>0</w:t>
            </w:r>
            <w:r w:rsidR="006F41EB">
              <w:t>–</w:t>
            </w:r>
            <w:r w:rsidR="00E20E52">
              <w:t>12.15</w:t>
            </w:r>
          </w:p>
        </w:tc>
      </w:tr>
      <w:tr w:rsidR="004F680C" w:rsidRPr="007A327C">
        <w:tc>
          <w:tcPr>
            <w:tcW w:w="1985" w:type="dxa"/>
          </w:tcPr>
          <w:p w:rsidR="00B64FA1" w:rsidRPr="007A327C" w:rsidRDefault="00A2414A" w:rsidP="00B64FA1">
            <w:r>
              <w:t>NÄRVARANDE</w:t>
            </w:r>
          </w:p>
          <w:p w:rsidR="004F680C" w:rsidRPr="007A327C" w:rsidRDefault="004F680C" w:rsidP="00A2414A"/>
        </w:tc>
        <w:tc>
          <w:tcPr>
            <w:tcW w:w="6463" w:type="dxa"/>
          </w:tcPr>
          <w:p w:rsidR="004F680C" w:rsidRPr="007A327C" w:rsidRDefault="004F680C">
            <w:r w:rsidRPr="007A327C">
              <w:t>Se bilaga 1</w:t>
            </w:r>
          </w:p>
        </w:tc>
      </w:tr>
    </w:tbl>
    <w:p w:rsidR="00030ABE" w:rsidRDefault="00030ABE">
      <w:pPr>
        <w:tabs>
          <w:tab w:val="left" w:pos="1701"/>
        </w:tabs>
        <w:rPr>
          <w:snapToGrid w:val="0"/>
          <w:color w:val="000000"/>
        </w:rPr>
      </w:pPr>
    </w:p>
    <w:p w:rsidR="00DC5F0A" w:rsidRPr="007A327C" w:rsidRDefault="00DC5F0A">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BA3D43" w:rsidRPr="007A327C" w:rsidTr="00F5133A">
        <w:tc>
          <w:tcPr>
            <w:tcW w:w="567" w:type="dxa"/>
          </w:tcPr>
          <w:p w:rsidR="00BA3D43" w:rsidRPr="007A327C" w:rsidRDefault="00BA3D43">
            <w:pPr>
              <w:tabs>
                <w:tab w:val="left" w:pos="1701"/>
              </w:tabs>
              <w:rPr>
                <w:b/>
                <w:snapToGrid w:val="0"/>
              </w:rPr>
            </w:pPr>
            <w:r>
              <w:rPr>
                <w:b/>
                <w:snapToGrid w:val="0"/>
              </w:rPr>
              <w:t xml:space="preserve">§ </w:t>
            </w:r>
            <w:r w:rsidR="00E20E52">
              <w:rPr>
                <w:b/>
                <w:snapToGrid w:val="0"/>
              </w:rPr>
              <w:t>1</w:t>
            </w:r>
          </w:p>
        </w:tc>
        <w:tc>
          <w:tcPr>
            <w:tcW w:w="6946" w:type="dxa"/>
            <w:gridSpan w:val="2"/>
          </w:tcPr>
          <w:p w:rsidR="00BA3D43" w:rsidRDefault="00BA3D43" w:rsidP="001602E5">
            <w:pPr>
              <w:tabs>
                <w:tab w:val="left" w:pos="1701"/>
              </w:tabs>
              <w:rPr>
                <w:b/>
                <w:snapToGrid w:val="0"/>
              </w:rPr>
            </w:pPr>
            <w:r>
              <w:rPr>
                <w:b/>
                <w:snapToGrid w:val="0"/>
              </w:rPr>
              <w:t>Justering av protokoll</w:t>
            </w:r>
          </w:p>
          <w:p w:rsidR="00BA3D43" w:rsidRDefault="00BA3D43" w:rsidP="001602E5">
            <w:pPr>
              <w:tabs>
                <w:tab w:val="left" w:pos="1701"/>
              </w:tabs>
              <w:rPr>
                <w:b/>
                <w:snapToGrid w:val="0"/>
              </w:rPr>
            </w:pPr>
          </w:p>
          <w:p w:rsidR="00BA3D43" w:rsidRPr="00BA3D43" w:rsidRDefault="00BA3D43" w:rsidP="001602E5">
            <w:pPr>
              <w:tabs>
                <w:tab w:val="left" w:pos="1701"/>
              </w:tabs>
              <w:rPr>
                <w:snapToGrid w:val="0"/>
              </w:rPr>
            </w:pPr>
            <w:r>
              <w:rPr>
                <w:snapToGrid w:val="0"/>
              </w:rPr>
              <w:t>Utskottet justerade protokoll 2021/22:1</w:t>
            </w:r>
            <w:r w:rsidR="00E20E52">
              <w:rPr>
                <w:snapToGrid w:val="0"/>
              </w:rPr>
              <w:t>9</w:t>
            </w:r>
            <w:r>
              <w:rPr>
                <w:snapToGrid w:val="0"/>
              </w:rPr>
              <w:t>.</w:t>
            </w:r>
          </w:p>
        </w:tc>
      </w:tr>
      <w:tr w:rsidR="0088626C" w:rsidRPr="007A327C" w:rsidTr="00F5133A">
        <w:tc>
          <w:tcPr>
            <w:tcW w:w="567" w:type="dxa"/>
          </w:tcPr>
          <w:p w:rsidR="0088626C" w:rsidRDefault="0088626C">
            <w:pPr>
              <w:tabs>
                <w:tab w:val="left" w:pos="1701"/>
              </w:tabs>
              <w:rPr>
                <w:b/>
                <w:snapToGrid w:val="0"/>
              </w:rPr>
            </w:pPr>
          </w:p>
        </w:tc>
        <w:tc>
          <w:tcPr>
            <w:tcW w:w="6946" w:type="dxa"/>
            <w:gridSpan w:val="2"/>
          </w:tcPr>
          <w:p w:rsidR="0088626C" w:rsidRDefault="0088626C" w:rsidP="001602E5">
            <w:pPr>
              <w:tabs>
                <w:tab w:val="left" w:pos="1701"/>
              </w:tabs>
              <w:rPr>
                <w:b/>
                <w:snapToGrid w:val="0"/>
              </w:rPr>
            </w:pPr>
          </w:p>
        </w:tc>
      </w:tr>
      <w:tr w:rsidR="00D951CA" w:rsidRPr="007A327C" w:rsidTr="00F5133A">
        <w:tc>
          <w:tcPr>
            <w:tcW w:w="567" w:type="dxa"/>
          </w:tcPr>
          <w:p w:rsidR="00D951CA" w:rsidRPr="007A327C" w:rsidRDefault="00786461">
            <w:pPr>
              <w:tabs>
                <w:tab w:val="left" w:pos="1701"/>
              </w:tabs>
              <w:rPr>
                <w:b/>
                <w:snapToGrid w:val="0"/>
              </w:rPr>
            </w:pPr>
            <w:r>
              <w:rPr>
                <w:b/>
                <w:snapToGrid w:val="0"/>
              </w:rPr>
              <w:t>§ 2</w:t>
            </w:r>
          </w:p>
        </w:tc>
        <w:tc>
          <w:tcPr>
            <w:tcW w:w="6946" w:type="dxa"/>
            <w:gridSpan w:val="2"/>
          </w:tcPr>
          <w:p w:rsidR="00D951CA" w:rsidRDefault="0088626C" w:rsidP="001602E5">
            <w:pPr>
              <w:tabs>
                <w:tab w:val="left" w:pos="1701"/>
              </w:tabs>
              <w:rPr>
                <w:b/>
                <w:snapToGrid w:val="0"/>
              </w:rPr>
            </w:pPr>
            <w:r>
              <w:rPr>
                <w:b/>
                <w:snapToGrid w:val="0"/>
              </w:rPr>
              <w:t>EU-frågor på det migrationspolitiska området</w:t>
            </w:r>
          </w:p>
          <w:p w:rsidR="0088626C" w:rsidRDefault="0088626C" w:rsidP="001602E5">
            <w:pPr>
              <w:tabs>
                <w:tab w:val="left" w:pos="1701"/>
              </w:tabs>
              <w:rPr>
                <w:b/>
                <w:snapToGrid w:val="0"/>
              </w:rPr>
            </w:pPr>
          </w:p>
          <w:p w:rsidR="0088626C" w:rsidRPr="0088626C" w:rsidRDefault="0088626C" w:rsidP="001602E5">
            <w:pPr>
              <w:tabs>
                <w:tab w:val="left" w:pos="1701"/>
              </w:tabs>
              <w:rPr>
                <w:snapToGrid w:val="0"/>
              </w:rPr>
            </w:pPr>
            <w:r>
              <w:rPr>
                <w:snapToGrid w:val="0"/>
              </w:rPr>
              <w:t xml:space="preserve">Statsrådet Anders </w:t>
            </w:r>
            <w:proofErr w:type="spellStart"/>
            <w:r>
              <w:rPr>
                <w:snapToGrid w:val="0"/>
              </w:rPr>
              <w:t>Ygeman</w:t>
            </w:r>
            <w:proofErr w:type="spellEnd"/>
            <w:r>
              <w:rPr>
                <w:snapToGrid w:val="0"/>
              </w:rPr>
              <w:t>, Justitiedepartementet, återrapporterade från dels RIF-rådets möte den 9–10 december 2021, dels från det informella ministermötet den 3–4 februari 2022.</w:t>
            </w:r>
          </w:p>
        </w:tc>
      </w:tr>
      <w:tr w:rsidR="0088626C" w:rsidRPr="007A327C" w:rsidTr="00F5133A">
        <w:tc>
          <w:tcPr>
            <w:tcW w:w="567" w:type="dxa"/>
          </w:tcPr>
          <w:p w:rsidR="0088626C" w:rsidRDefault="0088626C">
            <w:pPr>
              <w:tabs>
                <w:tab w:val="left" w:pos="1701"/>
              </w:tabs>
              <w:rPr>
                <w:b/>
                <w:snapToGrid w:val="0"/>
              </w:rPr>
            </w:pPr>
          </w:p>
        </w:tc>
        <w:tc>
          <w:tcPr>
            <w:tcW w:w="6946" w:type="dxa"/>
            <w:gridSpan w:val="2"/>
          </w:tcPr>
          <w:p w:rsidR="0088626C" w:rsidRPr="003E4AA0" w:rsidRDefault="0088626C" w:rsidP="001602E5">
            <w:pPr>
              <w:tabs>
                <w:tab w:val="left" w:pos="1701"/>
              </w:tabs>
              <w:rPr>
                <w:b/>
                <w:snapToGrid w:val="0"/>
              </w:rPr>
            </w:pPr>
          </w:p>
        </w:tc>
      </w:tr>
      <w:tr w:rsidR="0088626C" w:rsidRPr="007A327C" w:rsidTr="00F5133A">
        <w:tc>
          <w:tcPr>
            <w:tcW w:w="567" w:type="dxa"/>
          </w:tcPr>
          <w:p w:rsidR="0088626C" w:rsidRPr="007A327C" w:rsidRDefault="0088626C" w:rsidP="0088626C">
            <w:pPr>
              <w:tabs>
                <w:tab w:val="left" w:pos="1701"/>
              </w:tabs>
              <w:rPr>
                <w:b/>
                <w:snapToGrid w:val="0"/>
              </w:rPr>
            </w:pPr>
            <w:r>
              <w:rPr>
                <w:b/>
                <w:snapToGrid w:val="0"/>
              </w:rPr>
              <w:t>§ 3</w:t>
            </w:r>
          </w:p>
        </w:tc>
        <w:tc>
          <w:tcPr>
            <w:tcW w:w="6946" w:type="dxa"/>
            <w:gridSpan w:val="2"/>
          </w:tcPr>
          <w:p w:rsidR="0088626C" w:rsidRDefault="0088626C" w:rsidP="0088626C">
            <w:pPr>
              <w:tabs>
                <w:tab w:val="left" w:pos="1701"/>
              </w:tabs>
              <w:rPr>
                <w:b/>
                <w:bCs/>
                <w:color w:val="000000"/>
                <w:szCs w:val="24"/>
              </w:rPr>
            </w:pPr>
            <w:r w:rsidRPr="00755DA0">
              <w:rPr>
                <w:rFonts w:eastAsiaTheme="minorHAnsi"/>
                <w:b/>
                <w:bCs/>
                <w:color w:val="000000"/>
                <w:szCs w:val="24"/>
                <w:lang w:eastAsia="en-US"/>
              </w:rPr>
              <w:t xml:space="preserve">Förslag till rådsbeslut om provisoriska </w:t>
            </w:r>
            <w:r w:rsidRPr="001D0A12">
              <w:rPr>
                <w:rFonts w:eastAsiaTheme="minorHAnsi"/>
                <w:b/>
                <w:bCs/>
                <w:color w:val="000000"/>
                <w:szCs w:val="24"/>
                <w:lang w:eastAsia="en-US"/>
              </w:rPr>
              <w:t>nödåtgärder till förmån för Lettland, Litauen och Polen</w:t>
            </w:r>
            <w:r>
              <w:rPr>
                <w:b/>
                <w:bCs/>
                <w:color w:val="000000"/>
                <w:szCs w:val="24"/>
              </w:rPr>
              <w:t xml:space="preserve"> </w:t>
            </w:r>
          </w:p>
          <w:p w:rsidR="0088626C" w:rsidRDefault="0088626C" w:rsidP="0088626C">
            <w:pPr>
              <w:tabs>
                <w:tab w:val="left" w:pos="1701"/>
              </w:tabs>
              <w:rPr>
                <w:b/>
                <w:bCs/>
                <w:color w:val="000000"/>
                <w:szCs w:val="24"/>
              </w:rPr>
            </w:pPr>
          </w:p>
          <w:p w:rsidR="0088626C" w:rsidRDefault="0088626C" w:rsidP="0088626C">
            <w:pPr>
              <w:tabs>
                <w:tab w:val="left" w:pos="1701"/>
              </w:tabs>
              <w:rPr>
                <w:snapToGrid w:val="0"/>
              </w:rPr>
            </w:pPr>
            <w:r>
              <w:rPr>
                <w:snapToGrid w:val="0"/>
              </w:rPr>
              <w:t xml:space="preserve">Utskottet överlade med regeringen, statsrådet Anders </w:t>
            </w:r>
            <w:proofErr w:type="spellStart"/>
            <w:r>
              <w:rPr>
                <w:snapToGrid w:val="0"/>
              </w:rPr>
              <w:t>Ygeman</w:t>
            </w:r>
            <w:proofErr w:type="spellEnd"/>
            <w:r>
              <w:rPr>
                <w:snapToGrid w:val="0"/>
              </w:rPr>
              <w:t xml:space="preserve">, biträdd av medarbetare från Justitiedepartementet. </w:t>
            </w:r>
          </w:p>
          <w:p w:rsidR="0088626C" w:rsidRDefault="0088626C" w:rsidP="0088626C">
            <w:pPr>
              <w:tabs>
                <w:tab w:val="left" w:pos="1701"/>
              </w:tabs>
              <w:rPr>
                <w:snapToGrid w:val="0"/>
              </w:rPr>
            </w:pPr>
          </w:p>
          <w:p w:rsidR="0088626C" w:rsidRDefault="0088626C" w:rsidP="0088626C">
            <w:pPr>
              <w:tabs>
                <w:tab w:val="left" w:pos="1701"/>
              </w:tabs>
              <w:rPr>
                <w:snapToGrid w:val="0"/>
              </w:rPr>
            </w:pPr>
            <w:r>
              <w:rPr>
                <w:snapToGrid w:val="0"/>
              </w:rPr>
              <w:t>Underlaget utgjordes av regeringens faktapromemoria 2021/</w:t>
            </w:r>
            <w:proofErr w:type="gramStart"/>
            <w:r>
              <w:rPr>
                <w:snapToGrid w:val="0"/>
              </w:rPr>
              <w:t>22:FPM</w:t>
            </w:r>
            <w:proofErr w:type="gramEnd"/>
            <w:r>
              <w:rPr>
                <w:snapToGrid w:val="0"/>
              </w:rPr>
              <w:t>43 och kommissionens förslag till rådsbeslut om provisoriska nödåtgärder till förmån för Lettland, Litauen och Polen, COM(2021) 752.</w:t>
            </w:r>
          </w:p>
          <w:p w:rsidR="0088626C" w:rsidRDefault="0088626C" w:rsidP="0088626C">
            <w:pPr>
              <w:tabs>
                <w:tab w:val="left" w:pos="1701"/>
              </w:tabs>
              <w:rPr>
                <w:snapToGrid w:val="0"/>
              </w:rPr>
            </w:pPr>
          </w:p>
          <w:p w:rsidR="0088626C" w:rsidRDefault="0088626C" w:rsidP="0088626C">
            <w:pPr>
              <w:tabs>
                <w:tab w:val="left" w:pos="1701"/>
              </w:tabs>
              <w:rPr>
                <w:snapToGrid w:val="0"/>
              </w:rPr>
            </w:pPr>
            <w:r>
              <w:rPr>
                <w:snapToGrid w:val="0"/>
              </w:rPr>
              <w:t>Statsrådet redogjorde för regeringens ståndpunkt i enlighet med faktapromemorian:</w:t>
            </w:r>
          </w:p>
          <w:p w:rsidR="0088626C" w:rsidRPr="00F84331" w:rsidRDefault="0088626C" w:rsidP="0088626C">
            <w:pPr>
              <w:tabs>
                <w:tab w:val="left" w:pos="1701"/>
              </w:tabs>
              <w:rPr>
                <w:snapToGrid w:val="0"/>
              </w:rPr>
            </w:pPr>
            <w:r w:rsidRPr="00F84331">
              <w:rPr>
                <w:snapToGrid w:val="0"/>
              </w:rPr>
              <w:t xml:space="preserve">Den rådande situationen vid EU:s yttre gräns, som har föranletts av den </w:t>
            </w:r>
            <w:proofErr w:type="spellStart"/>
            <w:r w:rsidRPr="00F84331">
              <w:rPr>
                <w:snapToGrid w:val="0"/>
              </w:rPr>
              <w:t>belarusiska</w:t>
            </w:r>
            <w:proofErr w:type="spellEnd"/>
            <w:r w:rsidRPr="00F84331">
              <w:rPr>
                <w:snapToGrid w:val="0"/>
              </w:rPr>
              <w:t xml:space="preserve"> regimens avsiktliga utnyttjande av migranter och människor på flykt för politiska ändamål, är en EU-gemensam angelägenhet och kräver solidariska och samordnade åtgärder. </w:t>
            </w:r>
          </w:p>
          <w:p w:rsidR="0088626C" w:rsidRDefault="0088626C" w:rsidP="0088626C">
            <w:pPr>
              <w:tabs>
                <w:tab w:val="left" w:pos="1701"/>
              </w:tabs>
              <w:rPr>
                <w:snapToGrid w:val="0"/>
              </w:rPr>
            </w:pPr>
            <w:r w:rsidRPr="00F84331">
              <w:rPr>
                <w:snapToGrid w:val="0"/>
              </w:rPr>
              <w:t xml:space="preserve">Medlemsstater har såväl en skyldighet som en rättighet att upprätthålla ordning vid sina och därmed EU:s yttre gränser. Asyl- och migrationshantering är en viktig del i detta. Lika viktigt som att skydda den yttre gränsen är att säkerställa att folkrätten, inklusive mänskliga rättigheter och internationell flyktingrätt, samt EU-rätten och rätten att söka asyl alltid respekteras. </w:t>
            </w:r>
          </w:p>
          <w:p w:rsidR="0088626C" w:rsidRPr="00F84331" w:rsidRDefault="0088626C" w:rsidP="0088626C">
            <w:pPr>
              <w:tabs>
                <w:tab w:val="left" w:pos="1701"/>
              </w:tabs>
              <w:rPr>
                <w:snapToGrid w:val="0"/>
              </w:rPr>
            </w:pPr>
            <w:r w:rsidRPr="00F84331">
              <w:rPr>
                <w:snapToGrid w:val="0"/>
              </w:rPr>
              <w:t xml:space="preserve">Regeringen välkomnar därför kommissionens förslag till rådsbeslut om provisoriska nödåtgärder till förmån för Lettland, Litauen och Polen. Tillsammans med de övriga stödåtgärder som EU har vidtagit och vidtar kan åtgärderna hjälpa de berörda medlemsstaterna att hantera den nuvarande situationen på ett kontrollerat och effektivt sätt samtidigt som det säkerställs att grundläggande rättigheter och internationella skyldigheter respekteras. Det är också viktigt att det </w:t>
            </w:r>
            <w:r w:rsidRPr="00F84331">
              <w:rPr>
                <w:snapToGrid w:val="0"/>
              </w:rPr>
              <w:lastRenderedPageBreak/>
              <w:t>stöd som EU-byråerna kan ge utnyttjas fullt ut.</w:t>
            </w:r>
          </w:p>
          <w:p w:rsidR="0088626C" w:rsidRPr="00F84331" w:rsidRDefault="0088626C" w:rsidP="0088626C">
            <w:pPr>
              <w:tabs>
                <w:tab w:val="left" w:pos="1701"/>
              </w:tabs>
              <w:rPr>
                <w:snapToGrid w:val="0"/>
              </w:rPr>
            </w:pPr>
            <w:r w:rsidRPr="00F84331">
              <w:rPr>
                <w:snapToGrid w:val="0"/>
              </w:rPr>
              <w:t>Regeringen bedömer preliminärt att de föreslagna nödåtgärderna säker-ställer en verklig och effektiv tillgång till asylförfarandet och uppfyller tillräckliga krav på rätts</w:t>
            </w:r>
            <w:r>
              <w:rPr>
                <w:snapToGrid w:val="0"/>
              </w:rPr>
              <w:t>s</w:t>
            </w:r>
            <w:r w:rsidRPr="00F84331">
              <w:rPr>
                <w:snapToGrid w:val="0"/>
              </w:rPr>
              <w:t>äkerhet, individuell prövning och humana mottagningsförhållanden. Det är dock viktigt att åtgärderna, precis som kommissionen föreslår, tidsbegränsas till vad som är absolut nödvändigt för att de berörda medlemsstaterna ska kunna hantera den nuvarande situationen. Det är även viktigt med transparens och att internationella hjälporganisationer och UNHCR samt IOM vid behov får tillträde till gränsområdet. Barns rättigheter ska tillgodoses. Vid alla åtgärder som berör barn ska i första hand beaktas vad som bedöms vara barnets bästa.</w:t>
            </w:r>
          </w:p>
          <w:p w:rsidR="0088626C" w:rsidRPr="00F84331" w:rsidRDefault="0088626C" w:rsidP="0088626C">
            <w:pPr>
              <w:tabs>
                <w:tab w:val="left" w:pos="1701"/>
              </w:tabs>
              <w:rPr>
                <w:snapToGrid w:val="0"/>
              </w:rPr>
            </w:pPr>
            <w:r w:rsidRPr="00F84331">
              <w:rPr>
                <w:snapToGrid w:val="0"/>
              </w:rPr>
              <w:t xml:space="preserve">Den rådande situationen visar också på vikten av att komma vidare med förslagen i migrations- och asylpakten som kommissionen presenterade 2020, såväl den interna som den externa dimensionen, för att EU ska kunna förebygga och hantera den här typen av utmaningar som situationen vid gränsen till Belarus innebär. </w:t>
            </w:r>
          </w:p>
          <w:p w:rsidR="0088626C" w:rsidRDefault="0088626C" w:rsidP="0088626C">
            <w:pPr>
              <w:tabs>
                <w:tab w:val="left" w:pos="1701"/>
              </w:tabs>
              <w:rPr>
                <w:snapToGrid w:val="0"/>
              </w:rPr>
            </w:pPr>
            <w:r w:rsidRPr="00F84331">
              <w:rPr>
                <w:snapToGrid w:val="0"/>
              </w:rPr>
              <w:t>Utgångspunkten är att ekonomiska konsekvenser av förslaget ska hanteras inom befintliga budgetramar och att eventuella ekonomiska konsekvenser på EU-budgeten ska finansieras genom omprioriteringar.</w:t>
            </w:r>
          </w:p>
          <w:p w:rsidR="0088626C" w:rsidRPr="00FA364D" w:rsidRDefault="0088626C" w:rsidP="0088626C">
            <w:pPr>
              <w:tabs>
                <w:tab w:val="left" w:pos="1701"/>
              </w:tabs>
              <w:rPr>
                <w:snapToGrid w:val="0"/>
              </w:rPr>
            </w:pPr>
            <w:r w:rsidRPr="00FA364D">
              <w:rPr>
                <w:snapToGrid w:val="0"/>
              </w:rPr>
              <w:t>Ordföranden konstaterade att det fanns stöd för regeringens ståndpunkt.</w:t>
            </w:r>
          </w:p>
          <w:p w:rsidR="0088626C" w:rsidRDefault="0088626C" w:rsidP="0088626C">
            <w:pPr>
              <w:tabs>
                <w:tab w:val="left" w:pos="1701"/>
              </w:tabs>
              <w:rPr>
                <w:snapToGrid w:val="0"/>
              </w:rPr>
            </w:pPr>
          </w:p>
          <w:p w:rsidR="0088626C" w:rsidRPr="00A65BB2" w:rsidRDefault="0088626C" w:rsidP="0088626C">
            <w:pPr>
              <w:tabs>
                <w:tab w:val="left" w:pos="1701"/>
              </w:tabs>
              <w:rPr>
                <w:snapToGrid w:val="0"/>
              </w:rPr>
            </w:pPr>
            <w:r>
              <w:rPr>
                <w:snapToGrid w:val="0"/>
              </w:rPr>
              <w:t>SD-ledamöterna anmälde följande avvikande ståndpunkt:</w:t>
            </w:r>
            <w:r>
              <w:rPr>
                <w:snapToGrid w:val="0"/>
              </w:rPr>
              <w:br/>
            </w:r>
            <w:r w:rsidRPr="00A65BB2">
              <w:rPr>
                <w:snapToGrid w:val="0"/>
              </w:rPr>
              <w:t xml:space="preserve">Vi välkomnar i likhet med regeringen initiativet för att lösa den alltjämt pågående migrationskrisen vid EU:s östgräns. Till skillnad från regeringen ser vi dock ingen mening med att tidsbegränsa de särskilda åtgärderna. Det framhålls av både regeringen och EU-kommissionen att de utvidgade bestämmelserna ”säkerställer en verklig och effektiv tillgång till asylförfarandet och uppfyller tillräckliga krav på rättssäkerhet, individuell prövning och humana mottagningsförhållanden”. </w:t>
            </w:r>
          </w:p>
          <w:p w:rsidR="0088626C" w:rsidRPr="00A65BB2" w:rsidRDefault="0088626C" w:rsidP="0088626C">
            <w:pPr>
              <w:tabs>
                <w:tab w:val="left" w:pos="1701"/>
              </w:tabs>
              <w:rPr>
                <w:snapToGrid w:val="0"/>
              </w:rPr>
            </w:pPr>
            <w:r w:rsidRPr="00A65BB2">
              <w:rPr>
                <w:snapToGrid w:val="0"/>
              </w:rPr>
              <w:t xml:space="preserve">Regeringen bör därför verka för att de föreslagna utvidgade bestämmelserna görs permanenta, och därmed ändra den befintliga lagstiftningen, bl.a. asylprocedurdirektivet, återvändandedirektivet och mottagandedirektivet. På så sätt skulle EU:s medlemsstater får en större förmåga att anpassa sig till omvärldsläget. </w:t>
            </w:r>
          </w:p>
          <w:p w:rsidR="0088626C" w:rsidRDefault="0088626C" w:rsidP="0088626C">
            <w:pPr>
              <w:tabs>
                <w:tab w:val="left" w:pos="1701"/>
              </w:tabs>
              <w:rPr>
                <w:snapToGrid w:val="0"/>
              </w:rPr>
            </w:pPr>
          </w:p>
          <w:p w:rsidR="0088626C" w:rsidRPr="0005411C" w:rsidRDefault="0088626C" w:rsidP="0088626C">
            <w:pPr>
              <w:tabs>
                <w:tab w:val="left" w:pos="1701"/>
              </w:tabs>
              <w:rPr>
                <w:snapToGrid w:val="0"/>
              </w:rPr>
            </w:pPr>
            <w:r>
              <w:rPr>
                <w:snapToGrid w:val="0"/>
              </w:rPr>
              <w:t>V-ledamoten anmälde följande avvikande ståndpunkt:</w:t>
            </w:r>
            <w:r>
              <w:rPr>
                <w:snapToGrid w:val="0"/>
              </w:rPr>
              <w:br/>
            </w:r>
            <w:r w:rsidRPr="0005411C">
              <w:rPr>
                <w:snapToGrid w:val="0"/>
              </w:rPr>
              <w:t>Jag delar inte regeringens uppfattning i fråga om de yttre gränserna. Asylrätten måste värnas. Vänsterpartiet kan således inte stå bakom ståndpunkten.</w:t>
            </w:r>
          </w:p>
          <w:p w:rsidR="0088626C" w:rsidRDefault="0088626C" w:rsidP="0088626C">
            <w:pPr>
              <w:tabs>
                <w:tab w:val="left" w:pos="1701"/>
              </w:tabs>
              <w:rPr>
                <w:snapToGrid w:val="0"/>
              </w:rPr>
            </w:pPr>
          </w:p>
          <w:p w:rsidR="0088626C" w:rsidRDefault="0088626C" w:rsidP="0088626C">
            <w:pPr>
              <w:tabs>
                <w:tab w:val="left" w:pos="1701"/>
              </w:tabs>
              <w:rPr>
                <w:snapToGrid w:val="0"/>
              </w:rPr>
            </w:pPr>
            <w:r>
              <w:rPr>
                <w:snapToGrid w:val="0"/>
              </w:rPr>
              <w:t>Denna punkt förklarades omedelbart justerad.</w:t>
            </w:r>
          </w:p>
          <w:p w:rsidR="0088626C" w:rsidRPr="00367C95" w:rsidRDefault="0088626C" w:rsidP="0088626C">
            <w:pPr>
              <w:tabs>
                <w:tab w:val="left" w:pos="1701"/>
              </w:tabs>
              <w:rPr>
                <w:bCs/>
                <w:color w:val="000000"/>
                <w:szCs w:val="24"/>
              </w:rPr>
            </w:pPr>
          </w:p>
        </w:tc>
      </w:tr>
      <w:tr w:rsidR="0088626C" w:rsidRPr="007A327C" w:rsidTr="00F5133A">
        <w:tc>
          <w:tcPr>
            <w:tcW w:w="567" w:type="dxa"/>
          </w:tcPr>
          <w:p w:rsidR="0088626C" w:rsidRPr="007A327C" w:rsidRDefault="0088626C" w:rsidP="0088626C">
            <w:pPr>
              <w:tabs>
                <w:tab w:val="left" w:pos="1701"/>
              </w:tabs>
              <w:rPr>
                <w:b/>
                <w:snapToGrid w:val="0"/>
              </w:rPr>
            </w:pPr>
            <w:r>
              <w:rPr>
                <w:b/>
                <w:snapToGrid w:val="0"/>
              </w:rPr>
              <w:lastRenderedPageBreak/>
              <w:t>§ 4</w:t>
            </w:r>
          </w:p>
        </w:tc>
        <w:tc>
          <w:tcPr>
            <w:tcW w:w="6946" w:type="dxa"/>
            <w:gridSpan w:val="2"/>
          </w:tcPr>
          <w:p w:rsidR="0088626C" w:rsidRDefault="0088626C" w:rsidP="0088626C">
            <w:pPr>
              <w:tabs>
                <w:tab w:val="left" w:pos="1701"/>
              </w:tabs>
              <w:rPr>
                <w:rFonts w:eastAsiaTheme="minorHAnsi"/>
                <w:b/>
                <w:bCs/>
                <w:color w:val="000000"/>
                <w:szCs w:val="24"/>
                <w:lang w:eastAsia="en-US"/>
              </w:rPr>
            </w:pPr>
            <w:r w:rsidRPr="001D0A12">
              <w:rPr>
                <w:rFonts w:eastAsiaTheme="minorHAnsi"/>
                <w:b/>
                <w:bCs/>
                <w:color w:val="000000"/>
                <w:szCs w:val="24"/>
                <w:lang w:eastAsia="en-US"/>
              </w:rPr>
              <w:t xml:space="preserve">Förslag till förordning om bemötande av situationer av </w:t>
            </w:r>
            <w:proofErr w:type="spellStart"/>
            <w:r w:rsidRPr="001D0A12">
              <w:rPr>
                <w:rFonts w:eastAsiaTheme="minorHAnsi"/>
                <w:b/>
                <w:bCs/>
                <w:color w:val="000000"/>
                <w:szCs w:val="24"/>
                <w:lang w:eastAsia="en-US"/>
              </w:rPr>
              <w:t>instrumentalisering</w:t>
            </w:r>
            <w:proofErr w:type="spellEnd"/>
            <w:r w:rsidRPr="001D0A12">
              <w:rPr>
                <w:rFonts w:eastAsiaTheme="minorHAnsi"/>
                <w:b/>
                <w:bCs/>
                <w:color w:val="000000"/>
                <w:szCs w:val="24"/>
                <w:lang w:eastAsia="en-US"/>
              </w:rPr>
              <w:t xml:space="preserve"> på migrations- och asylområdet</w:t>
            </w:r>
            <w:r>
              <w:rPr>
                <w:rFonts w:eastAsiaTheme="minorHAnsi"/>
                <w:b/>
                <w:bCs/>
                <w:color w:val="000000"/>
                <w:szCs w:val="24"/>
                <w:lang w:eastAsia="en-US"/>
              </w:rPr>
              <w:t xml:space="preserve"> </w:t>
            </w:r>
          </w:p>
          <w:p w:rsidR="0088626C" w:rsidRDefault="0088626C" w:rsidP="0088626C">
            <w:pPr>
              <w:tabs>
                <w:tab w:val="left" w:pos="1701"/>
              </w:tabs>
              <w:rPr>
                <w:rFonts w:eastAsiaTheme="minorHAnsi"/>
                <w:b/>
                <w:bCs/>
                <w:color w:val="000000"/>
                <w:szCs w:val="24"/>
                <w:lang w:eastAsia="en-US"/>
              </w:rPr>
            </w:pPr>
          </w:p>
          <w:p w:rsidR="0088626C" w:rsidRDefault="0088626C" w:rsidP="0088626C">
            <w:pPr>
              <w:tabs>
                <w:tab w:val="left" w:pos="1701"/>
              </w:tabs>
              <w:rPr>
                <w:snapToGrid w:val="0"/>
              </w:rPr>
            </w:pPr>
            <w:r>
              <w:rPr>
                <w:snapToGrid w:val="0"/>
              </w:rPr>
              <w:t xml:space="preserve">Utskottet överlade med regeringen, statsrådet Anders </w:t>
            </w:r>
            <w:proofErr w:type="spellStart"/>
            <w:r>
              <w:rPr>
                <w:snapToGrid w:val="0"/>
              </w:rPr>
              <w:t>Ygeman</w:t>
            </w:r>
            <w:proofErr w:type="spellEnd"/>
            <w:r>
              <w:rPr>
                <w:snapToGrid w:val="0"/>
              </w:rPr>
              <w:t xml:space="preserve">, biträdd av medarbetare från Justitiedepartementet. </w:t>
            </w:r>
          </w:p>
          <w:p w:rsidR="0088626C" w:rsidRDefault="0088626C" w:rsidP="0088626C">
            <w:pPr>
              <w:tabs>
                <w:tab w:val="left" w:pos="1701"/>
              </w:tabs>
              <w:rPr>
                <w:snapToGrid w:val="0"/>
              </w:rPr>
            </w:pPr>
          </w:p>
          <w:p w:rsidR="0088626C" w:rsidRDefault="0088626C" w:rsidP="0088626C">
            <w:pPr>
              <w:tabs>
                <w:tab w:val="left" w:pos="1701"/>
              </w:tabs>
              <w:rPr>
                <w:snapToGrid w:val="0"/>
              </w:rPr>
            </w:pPr>
            <w:r>
              <w:rPr>
                <w:snapToGrid w:val="0"/>
              </w:rPr>
              <w:t>Underlaget utgjordes av regeringens faktapromemoria 2021/</w:t>
            </w:r>
            <w:proofErr w:type="gramStart"/>
            <w:r>
              <w:rPr>
                <w:snapToGrid w:val="0"/>
              </w:rPr>
              <w:t>22:FPM</w:t>
            </w:r>
            <w:proofErr w:type="gramEnd"/>
            <w:r>
              <w:rPr>
                <w:snapToGrid w:val="0"/>
              </w:rPr>
              <w:t xml:space="preserve">51 och kommissionens förslag till </w:t>
            </w:r>
            <w:r w:rsidRPr="00AA547A">
              <w:rPr>
                <w:rFonts w:eastAsiaTheme="minorHAnsi"/>
                <w:bCs/>
                <w:color w:val="000000"/>
                <w:szCs w:val="24"/>
                <w:lang w:eastAsia="en-US"/>
              </w:rPr>
              <w:t xml:space="preserve">förordning om </w:t>
            </w:r>
            <w:r w:rsidRPr="00AA547A">
              <w:rPr>
                <w:rFonts w:eastAsiaTheme="minorHAnsi"/>
                <w:bCs/>
                <w:color w:val="000000"/>
                <w:szCs w:val="24"/>
                <w:lang w:eastAsia="en-US"/>
              </w:rPr>
              <w:lastRenderedPageBreak/>
              <w:t xml:space="preserve">bemötande av situationer av </w:t>
            </w:r>
            <w:proofErr w:type="spellStart"/>
            <w:r w:rsidRPr="00AA547A">
              <w:rPr>
                <w:rFonts w:eastAsiaTheme="minorHAnsi"/>
                <w:bCs/>
                <w:color w:val="000000"/>
                <w:szCs w:val="24"/>
                <w:lang w:eastAsia="en-US"/>
              </w:rPr>
              <w:t>instrumentalisering</w:t>
            </w:r>
            <w:proofErr w:type="spellEnd"/>
            <w:r w:rsidRPr="00AA547A">
              <w:rPr>
                <w:rFonts w:eastAsiaTheme="minorHAnsi"/>
                <w:bCs/>
                <w:color w:val="000000"/>
                <w:szCs w:val="24"/>
                <w:lang w:eastAsia="en-US"/>
              </w:rPr>
              <w:t xml:space="preserve"> på migrations- och asylområdet</w:t>
            </w:r>
            <w:r>
              <w:rPr>
                <w:snapToGrid w:val="0"/>
              </w:rPr>
              <w:t>, COM(2021) 890.</w:t>
            </w:r>
          </w:p>
          <w:p w:rsidR="0088626C" w:rsidRDefault="0088626C" w:rsidP="0088626C">
            <w:pPr>
              <w:tabs>
                <w:tab w:val="left" w:pos="1701"/>
              </w:tabs>
              <w:rPr>
                <w:snapToGrid w:val="0"/>
              </w:rPr>
            </w:pPr>
          </w:p>
          <w:p w:rsidR="0088626C" w:rsidRDefault="0088626C" w:rsidP="0088626C">
            <w:pPr>
              <w:tabs>
                <w:tab w:val="left" w:pos="1701"/>
              </w:tabs>
              <w:rPr>
                <w:snapToGrid w:val="0"/>
              </w:rPr>
            </w:pPr>
            <w:r>
              <w:rPr>
                <w:snapToGrid w:val="0"/>
              </w:rPr>
              <w:t>Statsrådet redogjorde för regeringens ståndpunkt i enlighet med faktapromemorian:</w:t>
            </w:r>
          </w:p>
          <w:p w:rsidR="0088626C" w:rsidRPr="00AA547A" w:rsidRDefault="0088626C" w:rsidP="0088626C">
            <w:pPr>
              <w:tabs>
                <w:tab w:val="left" w:pos="1701"/>
              </w:tabs>
              <w:rPr>
                <w:snapToGrid w:val="0"/>
              </w:rPr>
            </w:pPr>
            <w:r w:rsidRPr="00AA547A">
              <w:rPr>
                <w:snapToGrid w:val="0"/>
              </w:rPr>
              <w:t xml:space="preserve">En framtida situation vid EU:s yttre gräns, som har föranletts av ett tredjelands avsiktliga utnyttjande av migranter och människor på flykt för det politiska ändamålet att destabilisera unionen eller dess medlemsstater, är en EU-gemensam angelägenhet och kräver solidariska och samordnade åtgärder. </w:t>
            </w:r>
          </w:p>
          <w:p w:rsidR="0088626C" w:rsidRDefault="0088626C" w:rsidP="0088626C">
            <w:pPr>
              <w:tabs>
                <w:tab w:val="left" w:pos="1701"/>
              </w:tabs>
              <w:rPr>
                <w:snapToGrid w:val="0"/>
              </w:rPr>
            </w:pPr>
            <w:r w:rsidRPr="00AA547A">
              <w:rPr>
                <w:snapToGrid w:val="0"/>
              </w:rPr>
              <w:t xml:space="preserve">Medlemsstaterna har såväl en skyldighet som en rättighet att upprätthålla ordning vid sina och därmed EU:s yttre gränser. Asyl- och migrations-hantering är en viktig del i detta. Lika viktigt som att skydda den yttre gränsen är att säkerställa att folkrätten, inklusive mänskliga rättigheter och internationell flyktingrätt, samt EU-rätten och rätten att söka asyl alltid respekteras. </w:t>
            </w:r>
          </w:p>
          <w:p w:rsidR="0088626C" w:rsidRPr="00AA547A" w:rsidRDefault="0088626C" w:rsidP="0088626C">
            <w:pPr>
              <w:tabs>
                <w:tab w:val="left" w:pos="1701"/>
              </w:tabs>
              <w:rPr>
                <w:snapToGrid w:val="0"/>
              </w:rPr>
            </w:pPr>
            <w:r w:rsidRPr="00AA547A">
              <w:rPr>
                <w:snapToGrid w:val="0"/>
              </w:rPr>
              <w:t xml:space="preserve">Regeringen välkomnar därför kommissionens förslag till förordning om bemötande av situationer av </w:t>
            </w:r>
            <w:proofErr w:type="spellStart"/>
            <w:r w:rsidRPr="00AA547A">
              <w:rPr>
                <w:snapToGrid w:val="0"/>
              </w:rPr>
              <w:t>instrumentalisering</w:t>
            </w:r>
            <w:proofErr w:type="spellEnd"/>
            <w:r w:rsidRPr="00AA547A">
              <w:rPr>
                <w:snapToGrid w:val="0"/>
              </w:rPr>
              <w:t xml:space="preserve"> på migrations- och asylområdet. De föreslagna åtgärderna kan hjälpa berörda medlemsstater att snabbt bemöta framtida situationer på ett kontrollerat och effektivt sätt samtidigt som det säkerställs att grundläggande rättigheter och internationella skyldigheter respekteras. Det är också viktigt att det stöd som andra medlemsstater och EU-byråerna kan erbjuda utnyttjas fullt ut.</w:t>
            </w:r>
          </w:p>
          <w:p w:rsidR="0088626C" w:rsidRPr="00AA547A" w:rsidRDefault="0088626C" w:rsidP="0088626C">
            <w:pPr>
              <w:tabs>
                <w:tab w:val="left" w:pos="1701"/>
              </w:tabs>
              <w:rPr>
                <w:snapToGrid w:val="0"/>
              </w:rPr>
            </w:pPr>
            <w:r w:rsidRPr="00AA547A">
              <w:rPr>
                <w:snapToGrid w:val="0"/>
              </w:rPr>
              <w:t>Regeringen bedömer preliminärt att förslaget säkerställer en verklig och effektiv tillgång till asylförfarandet och uppfyller tillräckliga krav på rättssäkerhet, individuell prövning och humana mottagningsförhållanden. Det är dock viktigt att åtgärderna, precis som kommissionen föreslår, tidsbegränsas till vad som är absolut nödvändigt för att berörda medlemsstater ska kunna bemöta situationen. Det är även viktigt med transparens och att internationella hjälporganisationer och UNHCR samt IOM vid behov ges tillträde. Barns rättigheter ska tillgodoses. Vid alla åtgärder som berör barn ska i första hand beaktas vad som bedöms vara barnets bästa.</w:t>
            </w:r>
          </w:p>
          <w:p w:rsidR="0088626C" w:rsidRPr="00AA547A" w:rsidRDefault="0088626C" w:rsidP="0088626C">
            <w:pPr>
              <w:tabs>
                <w:tab w:val="left" w:pos="1701"/>
              </w:tabs>
              <w:rPr>
                <w:snapToGrid w:val="0"/>
              </w:rPr>
            </w:pPr>
            <w:proofErr w:type="spellStart"/>
            <w:r w:rsidRPr="00AA547A">
              <w:rPr>
                <w:snapToGrid w:val="0"/>
              </w:rPr>
              <w:t>Instrumentalisering</w:t>
            </w:r>
            <w:proofErr w:type="spellEnd"/>
            <w:r w:rsidRPr="00AA547A">
              <w:rPr>
                <w:snapToGrid w:val="0"/>
              </w:rPr>
              <w:t xml:space="preserve"> på migrations- och asylområdet visar också på vikten av att komma vidare med förslagen i migrations- och asylpakten som kommissionen presenterade 2020, i såväl den interna som den externa dimensionen, för att EU ska kunna förebygga och hantera den här typen av utmaningar. </w:t>
            </w:r>
          </w:p>
          <w:p w:rsidR="0088626C" w:rsidRDefault="0088626C" w:rsidP="0088626C">
            <w:pPr>
              <w:tabs>
                <w:tab w:val="left" w:pos="1701"/>
              </w:tabs>
              <w:rPr>
                <w:snapToGrid w:val="0"/>
              </w:rPr>
            </w:pPr>
            <w:r w:rsidRPr="00AA547A">
              <w:rPr>
                <w:snapToGrid w:val="0"/>
              </w:rPr>
              <w:t>Utgångspunkten är att ekonomiska konsekvenser av förslaget ska hanteras inom befintliga budgetramar och att eventuella ekonomiska konsekvenser på EU-budgeten ska finansieras genom omprioriteringar.</w:t>
            </w:r>
          </w:p>
          <w:p w:rsidR="0088626C" w:rsidRDefault="0088626C" w:rsidP="0088626C">
            <w:pPr>
              <w:tabs>
                <w:tab w:val="left" w:pos="1701"/>
              </w:tabs>
              <w:rPr>
                <w:snapToGrid w:val="0"/>
              </w:rPr>
            </w:pPr>
          </w:p>
          <w:p w:rsidR="0088626C" w:rsidRPr="00FA364D" w:rsidRDefault="0088626C" w:rsidP="0088626C">
            <w:pPr>
              <w:tabs>
                <w:tab w:val="left" w:pos="1701"/>
              </w:tabs>
              <w:rPr>
                <w:snapToGrid w:val="0"/>
              </w:rPr>
            </w:pPr>
            <w:r w:rsidRPr="00FA364D">
              <w:rPr>
                <w:snapToGrid w:val="0"/>
              </w:rPr>
              <w:t>Ordföranden konstaterade att det fanns stöd för regeringens ståndpunkt.</w:t>
            </w:r>
          </w:p>
          <w:p w:rsidR="0088626C" w:rsidRDefault="0088626C" w:rsidP="0088626C">
            <w:pPr>
              <w:tabs>
                <w:tab w:val="left" w:pos="1701"/>
              </w:tabs>
              <w:rPr>
                <w:snapToGrid w:val="0"/>
              </w:rPr>
            </w:pPr>
          </w:p>
          <w:p w:rsidR="0088626C" w:rsidRPr="00A65BB2" w:rsidRDefault="0088626C" w:rsidP="0088626C">
            <w:pPr>
              <w:tabs>
                <w:tab w:val="left" w:pos="1701"/>
              </w:tabs>
              <w:rPr>
                <w:snapToGrid w:val="0"/>
              </w:rPr>
            </w:pPr>
            <w:r>
              <w:rPr>
                <w:snapToGrid w:val="0"/>
              </w:rPr>
              <w:t>SD-ledamöterna anmälde följande avvikande ståndpunkt:</w:t>
            </w:r>
            <w:r>
              <w:rPr>
                <w:snapToGrid w:val="0"/>
              </w:rPr>
              <w:br/>
            </w:r>
            <w:r w:rsidRPr="00A65BB2">
              <w:rPr>
                <w:snapToGrid w:val="0"/>
              </w:rPr>
              <w:t xml:space="preserve">Vi välkomnar i likhet med regeringen initiativet för att lösa den alltjämt pågående migrationskrisen vid EU:s östgräns. Till skillnad från regeringen ser vi dock ingen mening med att införa bestämmelser enbart för nödsituationer. Det framhålls av både regeringen och EU-kommissionen att de föreslagna bestämmelserna ”säkerställer en verklig och effektiv tillgång till asylförfarandet och uppfyller </w:t>
            </w:r>
            <w:r w:rsidRPr="00A65BB2">
              <w:rPr>
                <w:snapToGrid w:val="0"/>
              </w:rPr>
              <w:lastRenderedPageBreak/>
              <w:t>tillräckliga krav på rättssäkerhet, individuell prövning och humana mottagningsförhållanden”. Regeringen bör därför verka för att införa bestämmelserna som en ny normalnivå, och därmed ändra i befintlig lagstiftning, bl.a. asylprocedurdirektivet, återvändandedirektivet och mottagandedirektivet. På så sätt skulle EU:s medlemsstater får en större förmåga att anpassa sig till omvärldsläget.  Detta bör regeringen verka för både inom ramen för detta ärende men även generellt i arbetet med migrationspakten.</w:t>
            </w:r>
          </w:p>
          <w:p w:rsidR="0088626C" w:rsidRDefault="0088626C" w:rsidP="0088626C">
            <w:pPr>
              <w:tabs>
                <w:tab w:val="left" w:pos="1701"/>
              </w:tabs>
              <w:rPr>
                <w:snapToGrid w:val="0"/>
              </w:rPr>
            </w:pPr>
          </w:p>
          <w:p w:rsidR="0088626C" w:rsidRPr="0005411C" w:rsidRDefault="0088626C" w:rsidP="0088626C">
            <w:pPr>
              <w:tabs>
                <w:tab w:val="left" w:pos="1701"/>
              </w:tabs>
              <w:rPr>
                <w:snapToGrid w:val="0"/>
              </w:rPr>
            </w:pPr>
            <w:r>
              <w:rPr>
                <w:snapToGrid w:val="0"/>
              </w:rPr>
              <w:t>V-ledamoten anmälde följande avvikande ståndpunkt:</w:t>
            </w:r>
            <w:r>
              <w:rPr>
                <w:snapToGrid w:val="0"/>
              </w:rPr>
              <w:br/>
            </w:r>
            <w:r w:rsidRPr="0005411C">
              <w:rPr>
                <w:snapToGrid w:val="0"/>
              </w:rPr>
              <w:t>Jag delar inte regeringens uppfattning i fråga om de yttre gränserna. Asylrätten måste värnas. Vänsterpartiet kan således inte stå bakom ståndpunkten.</w:t>
            </w:r>
          </w:p>
          <w:p w:rsidR="0088626C" w:rsidRPr="00A65BB2" w:rsidRDefault="0088626C" w:rsidP="0088626C">
            <w:pPr>
              <w:tabs>
                <w:tab w:val="left" w:pos="1701"/>
              </w:tabs>
              <w:rPr>
                <w:snapToGrid w:val="0"/>
              </w:rPr>
            </w:pPr>
          </w:p>
          <w:p w:rsidR="0088626C" w:rsidRPr="005C43FB" w:rsidRDefault="0088626C" w:rsidP="0088626C">
            <w:pPr>
              <w:tabs>
                <w:tab w:val="left" w:pos="1701"/>
              </w:tabs>
              <w:rPr>
                <w:rFonts w:eastAsiaTheme="minorHAnsi"/>
                <w:b/>
                <w:bCs/>
                <w:color w:val="000000"/>
                <w:szCs w:val="24"/>
                <w:lang w:eastAsia="en-US"/>
              </w:rPr>
            </w:pPr>
            <w:r>
              <w:rPr>
                <w:snapToGrid w:val="0"/>
              </w:rPr>
              <w:t>Denna punkt förklarades omedelbart justerad.</w:t>
            </w:r>
          </w:p>
        </w:tc>
      </w:tr>
      <w:tr w:rsidR="0088626C" w:rsidRPr="007A327C" w:rsidTr="00F5133A">
        <w:tc>
          <w:tcPr>
            <w:tcW w:w="567" w:type="dxa"/>
          </w:tcPr>
          <w:p w:rsidR="0088626C" w:rsidRPr="007A327C" w:rsidRDefault="0088626C" w:rsidP="0088626C">
            <w:pPr>
              <w:tabs>
                <w:tab w:val="left" w:pos="1701"/>
              </w:tabs>
              <w:rPr>
                <w:b/>
                <w:snapToGrid w:val="0"/>
              </w:rPr>
            </w:pPr>
          </w:p>
        </w:tc>
        <w:tc>
          <w:tcPr>
            <w:tcW w:w="6946" w:type="dxa"/>
            <w:gridSpan w:val="2"/>
          </w:tcPr>
          <w:p w:rsidR="0088626C" w:rsidRPr="004C59D1" w:rsidRDefault="0088626C" w:rsidP="0088626C">
            <w:pPr>
              <w:tabs>
                <w:tab w:val="left" w:pos="1701"/>
              </w:tabs>
              <w:rPr>
                <w:snapToGrid w:val="0"/>
              </w:rPr>
            </w:pPr>
          </w:p>
        </w:tc>
      </w:tr>
      <w:tr w:rsidR="0088626C" w:rsidRPr="007A327C" w:rsidTr="00F5133A">
        <w:tc>
          <w:tcPr>
            <w:tcW w:w="567" w:type="dxa"/>
          </w:tcPr>
          <w:p w:rsidR="0088626C" w:rsidRPr="007A327C" w:rsidRDefault="0088626C" w:rsidP="0088626C">
            <w:pPr>
              <w:tabs>
                <w:tab w:val="left" w:pos="1701"/>
              </w:tabs>
              <w:rPr>
                <w:b/>
                <w:snapToGrid w:val="0"/>
              </w:rPr>
            </w:pPr>
            <w:r>
              <w:rPr>
                <w:b/>
                <w:snapToGrid w:val="0"/>
              </w:rPr>
              <w:t>§ 5</w:t>
            </w:r>
          </w:p>
        </w:tc>
        <w:tc>
          <w:tcPr>
            <w:tcW w:w="6946" w:type="dxa"/>
            <w:gridSpan w:val="2"/>
          </w:tcPr>
          <w:p w:rsidR="0088626C" w:rsidRDefault="0088626C" w:rsidP="0088626C">
            <w:pPr>
              <w:tabs>
                <w:tab w:val="left" w:pos="1701"/>
              </w:tabs>
              <w:rPr>
                <w:b/>
                <w:snapToGrid w:val="0"/>
              </w:rPr>
            </w:pPr>
            <w:r>
              <w:rPr>
                <w:b/>
                <w:snapToGrid w:val="0"/>
              </w:rPr>
              <w:t>EU-frågor på det migrationspolitiska området</w:t>
            </w:r>
          </w:p>
          <w:p w:rsidR="0088626C" w:rsidRDefault="0088626C" w:rsidP="0088626C">
            <w:pPr>
              <w:tabs>
                <w:tab w:val="left" w:pos="1701"/>
              </w:tabs>
              <w:rPr>
                <w:b/>
                <w:snapToGrid w:val="0"/>
              </w:rPr>
            </w:pPr>
          </w:p>
          <w:p w:rsidR="0088626C" w:rsidRPr="0088626C" w:rsidRDefault="0088626C" w:rsidP="0088626C">
            <w:pPr>
              <w:tabs>
                <w:tab w:val="left" w:pos="1701"/>
              </w:tabs>
              <w:rPr>
                <w:snapToGrid w:val="0"/>
              </w:rPr>
            </w:pPr>
            <w:r>
              <w:rPr>
                <w:snapToGrid w:val="0"/>
              </w:rPr>
              <w:t xml:space="preserve">Statsrådet Anders </w:t>
            </w:r>
            <w:proofErr w:type="spellStart"/>
            <w:r>
              <w:rPr>
                <w:snapToGrid w:val="0"/>
              </w:rPr>
              <w:t>Ygeman</w:t>
            </w:r>
            <w:proofErr w:type="spellEnd"/>
            <w:r>
              <w:rPr>
                <w:snapToGrid w:val="0"/>
              </w:rPr>
              <w:t xml:space="preserve"> informerade om förhandlingsläget vad gäller förslaget till en ny migrations- och asylpakt samt det kommande mötet i RIF-rådet den 3–4 mars.</w:t>
            </w:r>
          </w:p>
        </w:tc>
      </w:tr>
      <w:tr w:rsidR="0088626C" w:rsidRPr="007A327C" w:rsidTr="00F5133A">
        <w:tc>
          <w:tcPr>
            <w:tcW w:w="567" w:type="dxa"/>
          </w:tcPr>
          <w:p w:rsidR="0088626C" w:rsidRPr="007A327C" w:rsidRDefault="0088626C" w:rsidP="0088626C">
            <w:pPr>
              <w:tabs>
                <w:tab w:val="left" w:pos="1701"/>
              </w:tabs>
              <w:rPr>
                <w:b/>
                <w:snapToGrid w:val="0"/>
              </w:rPr>
            </w:pPr>
          </w:p>
        </w:tc>
        <w:tc>
          <w:tcPr>
            <w:tcW w:w="6946" w:type="dxa"/>
            <w:gridSpan w:val="2"/>
          </w:tcPr>
          <w:p w:rsidR="0088626C" w:rsidRPr="004C59D1" w:rsidRDefault="0088626C" w:rsidP="0088626C">
            <w:pPr>
              <w:tabs>
                <w:tab w:val="left" w:pos="1701"/>
              </w:tabs>
              <w:rPr>
                <w:snapToGrid w:val="0"/>
              </w:rPr>
            </w:pPr>
          </w:p>
        </w:tc>
      </w:tr>
      <w:tr w:rsidR="0088626C" w:rsidRPr="007A327C" w:rsidTr="00F5133A">
        <w:tc>
          <w:tcPr>
            <w:tcW w:w="567" w:type="dxa"/>
          </w:tcPr>
          <w:p w:rsidR="0088626C" w:rsidRPr="007A327C" w:rsidRDefault="0088626C" w:rsidP="0088626C">
            <w:pPr>
              <w:tabs>
                <w:tab w:val="left" w:pos="1701"/>
              </w:tabs>
              <w:rPr>
                <w:b/>
                <w:snapToGrid w:val="0"/>
              </w:rPr>
            </w:pPr>
            <w:r>
              <w:rPr>
                <w:b/>
                <w:snapToGrid w:val="0"/>
              </w:rPr>
              <w:t>§ 6</w:t>
            </w:r>
          </w:p>
        </w:tc>
        <w:tc>
          <w:tcPr>
            <w:tcW w:w="6946" w:type="dxa"/>
            <w:gridSpan w:val="2"/>
          </w:tcPr>
          <w:p w:rsidR="0088626C" w:rsidRPr="003E4AA0" w:rsidRDefault="0088626C" w:rsidP="0088626C">
            <w:pPr>
              <w:tabs>
                <w:tab w:val="left" w:pos="1701"/>
              </w:tabs>
              <w:rPr>
                <w:b/>
                <w:snapToGrid w:val="0"/>
              </w:rPr>
            </w:pPr>
            <w:r>
              <w:rPr>
                <w:b/>
                <w:snapToGrid w:val="0"/>
              </w:rPr>
              <w:t>Information från Justitiedepartementet</w:t>
            </w:r>
          </w:p>
        </w:tc>
      </w:tr>
      <w:tr w:rsidR="0088626C" w:rsidRPr="007A327C" w:rsidTr="00F5133A">
        <w:tc>
          <w:tcPr>
            <w:tcW w:w="567" w:type="dxa"/>
          </w:tcPr>
          <w:p w:rsidR="0088626C" w:rsidRPr="007A327C" w:rsidRDefault="0088626C" w:rsidP="0088626C">
            <w:pPr>
              <w:tabs>
                <w:tab w:val="left" w:pos="1701"/>
              </w:tabs>
              <w:rPr>
                <w:b/>
                <w:snapToGrid w:val="0"/>
              </w:rPr>
            </w:pPr>
          </w:p>
        </w:tc>
        <w:tc>
          <w:tcPr>
            <w:tcW w:w="6946" w:type="dxa"/>
            <w:gridSpan w:val="2"/>
          </w:tcPr>
          <w:p w:rsidR="0088626C" w:rsidRDefault="0088626C" w:rsidP="0088626C">
            <w:pPr>
              <w:tabs>
                <w:tab w:val="left" w:pos="1701"/>
              </w:tabs>
              <w:rPr>
                <w:snapToGrid w:val="0"/>
              </w:rPr>
            </w:pPr>
          </w:p>
          <w:p w:rsidR="0088626C" w:rsidRPr="004C59D1" w:rsidRDefault="0088626C" w:rsidP="0088626C">
            <w:pPr>
              <w:tabs>
                <w:tab w:val="left" w:pos="1701"/>
              </w:tabs>
              <w:rPr>
                <w:snapToGrid w:val="0"/>
              </w:rPr>
            </w:pPr>
            <w:r>
              <w:rPr>
                <w:snapToGrid w:val="0"/>
              </w:rPr>
              <w:t xml:space="preserve">Statsrådet Anders </w:t>
            </w:r>
            <w:proofErr w:type="spellStart"/>
            <w:r>
              <w:rPr>
                <w:snapToGrid w:val="0"/>
              </w:rPr>
              <w:t>Ygeman</w:t>
            </w:r>
            <w:proofErr w:type="spellEnd"/>
            <w:r>
              <w:rPr>
                <w:snapToGrid w:val="0"/>
              </w:rPr>
              <w:t xml:space="preserve"> informerade om regeringens åtgärder gällande asylprocessen, det s.k. skuggsamhället samt återvändande. </w:t>
            </w:r>
          </w:p>
        </w:tc>
      </w:tr>
      <w:tr w:rsidR="0088626C" w:rsidRPr="007A327C" w:rsidTr="00F5133A">
        <w:tc>
          <w:tcPr>
            <w:tcW w:w="567" w:type="dxa"/>
          </w:tcPr>
          <w:p w:rsidR="0088626C" w:rsidRPr="007A327C" w:rsidRDefault="0088626C" w:rsidP="0088626C">
            <w:pPr>
              <w:tabs>
                <w:tab w:val="left" w:pos="1701"/>
              </w:tabs>
              <w:rPr>
                <w:b/>
                <w:snapToGrid w:val="0"/>
              </w:rPr>
            </w:pPr>
          </w:p>
        </w:tc>
        <w:tc>
          <w:tcPr>
            <w:tcW w:w="6946" w:type="dxa"/>
            <w:gridSpan w:val="2"/>
          </w:tcPr>
          <w:p w:rsidR="0088626C" w:rsidRPr="003E4AA0" w:rsidRDefault="0088626C" w:rsidP="0088626C">
            <w:pPr>
              <w:tabs>
                <w:tab w:val="left" w:pos="1701"/>
              </w:tabs>
              <w:rPr>
                <w:b/>
                <w:snapToGrid w:val="0"/>
              </w:rPr>
            </w:pPr>
          </w:p>
        </w:tc>
      </w:tr>
      <w:tr w:rsidR="0088626C" w:rsidRPr="007A327C" w:rsidTr="00F5133A">
        <w:tc>
          <w:tcPr>
            <w:tcW w:w="567" w:type="dxa"/>
          </w:tcPr>
          <w:p w:rsidR="0088626C" w:rsidRDefault="0088626C" w:rsidP="0088626C">
            <w:pPr>
              <w:tabs>
                <w:tab w:val="left" w:pos="1701"/>
              </w:tabs>
              <w:rPr>
                <w:b/>
                <w:snapToGrid w:val="0"/>
              </w:rPr>
            </w:pPr>
            <w:r>
              <w:rPr>
                <w:b/>
                <w:snapToGrid w:val="0"/>
              </w:rPr>
              <w:t>§ 7</w:t>
            </w:r>
          </w:p>
        </w:tc>
        <w:tc>
          <w:tcPr>
            <w:tcW w:w="6946" w:type="dxa"/>
            <w:gridSpan w:val="2"/>
          </w:tcPr>
          <w:p w:rsidR="0088626C" w:rsidRDefault="0088626C" w:rsidP="0088626C">
            <w:pPr>
              <w:tabs>
                <w:tab w:val="left" w:pos="1701"/>
              </w:tabs>
              <w:rPr>
                <w:b/>
                <w:snapToGrid w:val="0"/>
              </w:rPr>
            </w:pPr>
            <w:r>
              <w:rPr>
                <w:b/>
                <w:snapToGrid w:val="0"/>
              </w:rPr>
              <w:t>Pensioner (SfU12)</w:t>
            </w:r>
          </w:p>
          <w:p w:rsidR="0088626C" w:rsidRDefault="0088626C" w:rsidP="0088626C">
            <w:pPr>
              <w:tabs>
                <w:tab w:val="left" w:pos="1701"/>
              </w:tabs>
              <w:rPr>
                <w:b/>
                <w:snapToGrid w:val="0"/>
              </w:rPr>
            </w:pPr>
          </w:p>
          <w:p w:rsidR="0088626C" w:rsidRDefault="0088626C" w:rsidP="0088626C">
            <w:pPr>
              <w:tabs>
                <w:tab w:val="left" w:pos="1701"/>
              </w:tabs>
              <w:rPr>
                <w:snapToGrid w:val="0"/>
              </w:rPr>
            </w:pPr>
            <w:r>
              <w:rPr>
                <w:snapToGrid w:val="0"/>
              </w:rPr>
              <w:t>Utskottet fortsatte behandlingen av motioner om pensioner.</w:t>
            </w:r>
          </w:p>
          <w:p w:rsidR="0088626C" w:rsidRDefault="0088626C" w:rsidP="0088626C">
            <w:pPr>
              <w:tabs>
                <w:tab w:val="left" w:pos="1701"/>
              </w:tabs>
              <w:rPr>
                <w:snapToGrid w:val="0"/>
              </w:rPr>
            </w:pPr>
          </w:p>
          <w:p w:rsidR="0088626C" w:rsidRPr="00CA61A3" w:rsidRDefault="0088626C" w:rsidP="0088626C">
            <w:pPr>
              <w:tabs>
                <w:tab w:val="left" w:pos="1701"/>
              </w:tabs>
              <w:rPr>
                <w:snapToGrid w:val="0"/>
              </w:rPr>
            </w:pPr>
            <w:r>
              <w:rPr>
                <w:snapToGrid w:val="0"/>
              </w:rPr>
              <w:t>Ärendet bordlades.</w:t>
            </w:r>
          </w:p>
        </w:tc>
      </w:tr>
      <w:tr w:rsidR="0088626C" w:rsidRPr="007A327C" w:rsidTr="00F5133A">
        <w:tc>
          <w:tcPr>
            <w:tcW w:w="567" w:type="dxa"/>
          </w:tcPr>
          <w:p w:rsidR="0088626C" w:rsidRDefault="0088626C" w:rsidP="0088626C">
            <w:pPr>
              <w:tabs>
                <w:tab w:val="left" w:pos="1701"/>
              </w:tabs>
              <w:rPr>
                <w:b/>
                <w:snapToGrid w:val="0"/>
              </w:rPr>
            </w:pPr>
          </w:p>
        </w:tc>
        <w:tc>
          <w:tcPr>
            <w:tcW w:w="6946" w:type="dxa"/>
            <w:gridSpan w:val="2"/>
          </w:tcPr>
          <w:p w:rsidR="0088626C" w:rsidRDefault="0088626C" w:rsidP="0088626C">
            <w:pPr>
              <w:tabs>
                <w:tab w:val="left" w:pos="1701"/>
              </w:tabs>
              <w:rPr>
                <w:b/>
                <w:snapToGrid w:val="0"/>
              </w:rPr>
            </w:pPr>
          </w:p>
        </w:tc>
      </w:tr>
      <w:tr w:rsidR="0088626C" w:rsidRPr="007A327C" w:rsidTr="00F5133A">
        <w:tc>
          <w:tcPr>
            <w:tcW w:w="567" w:type="dxa"/>
          </w:tcPr>
          <w:p w:rsidR="0088626C" w:rsidRDefault="0088626C" w:rsidP="0088626C">
            <w:pPr>
              <w:tabs>
                <w:tab w:val="left" w:pos="1701"/>
              </w:tabs>
              <w:rPr>
                <w:b/>
                <w:snapToGrid w:val="0"/>
              </w:rPr>
            </w:pPr>
            <w:r>
              <w:rPr>
                <w:b/>
                <w:snapToGrid w:val="0"/>
              </w:rPr>
              <w:t>§ 8</w:t>
            </w:r>
          </w:p>
        </w:tc>
        <w:tc>
          <w:tcPr>
            <w:tcW w:w="6946" w:type="dxa"/>
            <w:gridSpan w:val="2"/>
          </w:tcPr>
          <w:p w:rsidR="0088626C" w:rsidRDefault="0088626C" w:rsidP="0088626C">
            <w:pPr>
              <w:tabs>
                <w:tab w:val="left" w:pos="1701"/>
              </w:tabs>
              <w:rPr>
                <w:b/>
                <w:snapToGrid w:val="0"/>
              </w:rPr>
            </w:pPr>
            <w:r>
              <w:rPr>
                <w:b/>
                <w:snapToGrid w:val="0"/>
              </w:rPr>
              <w:t>Medborgarskap (SfU13)</w:t>
            </w:r>
          </w:p>
          <w:p w:rsidR="0088626C" w:rsidRDefault="0088626C" w:rsidP="0088626C">
            <w:pPr>
              <w:tabs>
                <w:tab w:val="left" w:pos="1701"/>
              </w:tabs>
              <w:rPr>
                <w:b/>
                <w:snapToGrid w:val="0"/>
              </w:rPr>
            </w:pPr>
          </w:p>
          <w:p w:rsidR="0088626C" w:rsidRDefault="0088626C" w:rsidP="0088626C">
            <w:pPr>
              <w:tabs>
                <w:tab w:val="left" w:pos="1701"/>
              </w:tabs>
              <w:rPr>
                <w:snapToGrid w:val="0"/>
              </w:rPr>
            </w:pPr>
            <w:r>
              <w:rPr>
                <w:snapToGrid w:val="0"/>
              </w:rPr>
              <w:t>Utskottet fortsatte behandlingen av motioner om medborgarskap.</w:t>
            </w:r>
          </w:p>
          <w:p w:rsidR="0088626C" w:rsidRDefault="0088626C" w:rsidP="0088626C">
            <w:pPr>
              <w:tabs>
                <w:tab w:val="left" w:pos="1701"/>
              </w:tabs>
              <w:rPr>
                <w:snapToGrid w:val="0"/>
              </w:rPr>
            </w:pPr>
          </w:p>
          <w:p w:rsidR="0088626C" w:rsidRPr="00CA61A3" w:rsidRDefault="0088626C" w:rsidP="0088626C">
            <w:pPr>
              <w:tabs>
                <w:tab w:val="left" w:pos="1701"/>
              </w:tabs>
              <w:rPr>
                <w:snapToGrid w:val="0"/>
              </w:rPr>
            </w:pPr>
            <w:r>
              <w:rPr>
                <w:snapToGrid w:val="0"/>
              </w:rPr>
              <w:t>Ärendet bordlades.</w:t>
            </w:r>
          </w:p>
        </w:tc>
      </w:tr>
      <w:tr w:rsidR="0088626C" w:rsidRPr="007A327C" w:rsidTr="00F5133A">
        <w:tc>
          <w:tcPr>
            <w:tcW w:w="567" w:type="dxa"/>
          </w:tcPr>
          <w:p w:rsidR="0088626C" w:rsidRDefault="0088626C" w:rsidP="0088626C">
            <w:pPr>
              <w:tabs>
                <w:tab w:val="left" w:pos="1701"/>
              </w:tabs>
              <w:rPr>
                <w:b/>
                <w:snapToGrid w:val="0"/>
              </w:rPr>
            </w:pPr>
          </w:p>
        </w:tc>
        <w:tc>
          <w:tcPr>
            <w:tcW w:w="6946" w:type="dxa"/>
            <w:gridSpan w:val="2"/>
          </w:tcPr>
          <w:p w:rsidR="0088626C" w:rsidRDefault="0088626C" w:rsidP="0088626C">
            <w:pPr>
              <w:tabs>
                <w:tab w:val="left" w:pos="1701"/>
              </w:tabs>
              <w:rPr>
                <w:b/>
                <w:snapToGrid w:val="0"/>
              </w:rPr>
            </w:pPr>
          </w:p>
        </w:tc>
      </w:tr>
      <w:tr w:rsidR="0088626C" w:rsidRPr="007A327C" w:rsidTr="00F5133A">
        <w:tc>
          <w:tcPr>
            <w:tcW w:w="567" w:type="dxa"/>
          </w:tcPr>
          <w:p w:rsidR="0088626C" w:rsidRDefault="0088626C" w:rsidP="0088626C">
            <w:pPr>
              <w:tabs>
                <w:tab w:val="left" w:pos="1701"/>
              </w:tabs>
              <w:rPr>
                <w:b/>
                <w:snapToGrid w:val="0"/>
              </w:rPr>
            </w:pPr>
            <w:r>
              <w:rPr>
                <w:b/>
                <w:snapToGrid w:val="0"/>
              </w:rPr>
              <w:t>§ 9</w:t>
            </w:r>
          </w:p>
        </w:tc>
        <w:tc>
          <w:tcPr>
            <w:tcW w:w="6946" w:type="dxa"/>
            <w:gridSpan w:val="2"/>
          </w:tcPr>
          <w:p w:rsidR="0088626C" w:rsidRDefault="0088626C" w:rsidP="0088626C">
            <w:pPr>
              <w:tabs>
                <w:tab w:val="left" w:pos="1701"/>
              </w:tabs>
              <w:rPr>
                <w:b/>
                <w:snapToGrid w:val="0"/>
              </w:rPr>
            </w:pPr>
            <w:r w:rsidRPr="00D951CA">
              <w:rPr>
                <w:b/>
                <w:snapToGrid w:val="0"/>
              </w:rPr>
              <w:t>Kanslimeddelanden</w:t>
            </w:r>
          </w:p>
          <w:p w:rsidR="0088626C" w:rsidRDefault="0088626C" w:rsidP="0088626C">
            <w:pPr>
              <w:tabs>
                <w:tab w:val="left" w:pos="1701"/>
              </w:tabs>
              <w:rPr>
                <w:b/>
                <w:snapToGrid w:val="0"/>
              </w:rPr>
            </w:pPr>
          </w:p>
          <w:p w:rsidR="0088626C" w:rsidRPr="00E20E52" w:rsidRDefault="0088626C" w:rsidP="0088626C">
            <w:pPr>
              <w:tabs>
                <w:tab w:val="left" w:pos="1701"/>
              </w:tabs>
              <w:rPr>
                <w:snapToGrid w:val="0"/>
              </w:rPr>
            </w:pPr>
            <w:r>
              <w:rPr>
                <w:snapToGrid w:val="0"/>
              </w:rPr>
              <w:t>Information om Riksdagens forskningsdag den 24 februari 2022.</w:t>
            </w:r>
          </w:p>
        </w:tc>
      </w:tr>
      <w:tr w:rsidR="0088626C" w:rsidRPr="007A327C" w:rsidTr="00F5133A">
        <w:tc>
          <w:tcPr>
            <w:tcW w:w="567" w:type="dxa"/>
          </w:tcPr>
          <w:p w:rsidR="0088626C" w:rsidRDefault="0088626C" w:rsidP="0088626C">
            <w:pPr>
              <w:tabs>
                <w:tab w:val="left" w:pos="1701"/>
              </w:tabs>
              <w:rPr>
                <w:b/>
                <w:snapToGrid w:val="0"/>
              </w:rPr>
            </w:pPr>
          </w:p>
        </w:tc>
        <w:tc>
          <w:tcPr>
            <w:tcW w:w="6946" w:type="dxa"/>
            <w:gridSpan w:val="2"/>
          </w:tcPr>
          <w:p w:rsidR="0088626C" w:rsidRDefault="0088626C" w:rsidP="0088626C">
            <w:pPr>
              <w:tabs>
                <w:tab w:val="left" w:pos="1701"/>
              </w:tabs>
              <w:rPr>
                <w:b/>
                <w:snapToGrid w:val="0"/>
              </w:rPr>
            </w:pPr>
          </w:p>
        </w:tc>
      </w:tr>
      <w:tr w:rsidR="0088626C" w:rsidRPr="007A327C" w:rsidTr="00F5133A">
        <w:tc>
          <w:tcPr>
            <w:tcW w:w="567" w:type="dxa"/>
          </w:tcPr>
          <w:p w:rsidR="0088626C" w:rsidRDefault="0088626C" w:rsidP="0088626C">
            <w:pPr>
              <w:tabs>
                <w:tab w:val="left" w:pos="1701"/>
              </w:tabs>
              <w:rPr>
                <w:b/>
                <w:snapToGrid w:val="0"/>
              </w:rPr>
            </w:pPr>
            <w:r>
              <w:rPr>
                <w:b/>
                <w:snapToGrid w:val="0"/>
              </w:rPr>
              <w:t>§ 10</w:t>
            </w:r>
          </w:p>
        </w:tc>
        <w:tc>
          <w:tcPr>
            <w:tcW w:w="6946" w:type="dxa"/>
            <w:gridSpan w:val="2"/>
          </w:tcPr>
          <w:p w:rsidR="0088626C" w:rsidRDefault="0088626C" w:rsidP="0088626C">
            <w:pPr>
              <w:tabs>
                <w:tab w:val="left" w:pos="1701"/>
              </w:tabs>
              <w:rPr>
                <w:b/>
                <w:snapToGrid w:val="0"/>
              </w:rPr>
            </w:pPr>
            <w:r>
              <w:rPr>
                <w:b/>
                <w:snapToGrid w:val="0"/>
              </w:rPr>
              <w:t>Övriga frågor</w:t>
            </w:r>
          </w:p>
          <w:p w:rsidR="0088626C" w:rsidRDefault="0088626C" w:rsidP="0088626C">
            <w:pPr>
              <w:tabs>
                <w:tab w:val="left" w:pos="1701"/>
              </w:tabs>
              <w:rPr>
                <w:b/>
                <w:snapToGrid w:val="0"/>
              </w:rPr>
            </w:pPr>
          </w:p>
          <w:p w:rsidR="0088626C" w:rsidRDefault="0088626C" w:rsidP="0088626C">
            <w:pPr>
              <w:tabs>
                <w:tab w:val="left" w:pos="1701"/>
              </w:tabs>
              <w:rPr>
                <w:snapToGrid w:val="0"/>
              </w:rPr>
            </w:pPr>
            <w:r>
              <w:rPr>
                <w:snapToGrid w:val="0"/>
              </w:rPr>
              <w:t>KD-ledamoten föreslog att utskottet skulle ta ett initiativ om att stoppa världsfärdsbrottsligheten.</w:t>
            </w:r>
          </w:p>
          <w:p w:rsidR="0088626C" w:rsidRDefault="0088626C" w:rsidP="0088626C">
            <w:pPr>
              <w:tabs>
                <w:tab w:val="left" w:pos="1701"/>
              </w:tabs>
              <w:rPr>
                <w:snapToGrid w:val="0"/>
              </w:rPr>
            </w:pPr>
          </w:p>
          <w:p w:rsidR="0088626C" w:rsidRPr="00E20E52" w:rsidRDefault="0088626C" w:rsidP="0088626C">
            <w:pPr>
              <w:tabs>
                <w:tab w:val="left" w:pos="1701"/>
              </w:tabs>
              <w:rPr>
                <w:snapToGrid w:val="0"/>
              </w:rPr>
            </w:pPr>
            <w:r>
              <w:rPr>
                <w:snapToGrid w:val="0"/>
              </w:rPr>
              <w:t>Frågan bordlades.</w:t>
            </w:r>
          </w:p>
        </w:tc>
      </w:tr>
      <w:tr w:rsidR="0088626C" w:rsidRPr="007A327C" w:rsidTr="00F5133A">
        <w:tc>
          <w:tcPr>
            <w:tcW w:w="567" w:type="dxa"/>
          </w:tcPr>
          <w:p w:rsidR="0088626C" w:rsidRDefault="0088626C" w:rsidP="0088626C">
            <w:pPr>
              <w:tabs>
                <w:tab w:val="left" w:pos="1701"/>
              </w:tabs>
              <w:rPr>
                <w:b/>
                <w:snapToGrid w:val="0"/>
              </w:rPr>
            </w:pPr>
          </w:p>
        </w:tc>
        <w:tc>
          <w:tcPr>
            <w:tcW w:w="6946" w:type="dxa"/>
            <w:gridSpan w:val="2"/>
          </w:tcPr>
          <w:p w:rsidR="0088626C" w:rsidRDefault="0088626C" w:rsidP="0088626C">
            <w:pPr>
              <w:tabs>
                <w:tab w:val="left" w:pos="1701"/>
              </w:tabs>
              <w:rPr>
                <w:b/>
                <w:snapToGrid w:val="0"/>
              </w:rPr>
            </w:pPr>
          </w:p>
        </w:tc>
      </w:tr>
      <w:tr w:rsidR="0088626C" w:rsidRPr="007A327C" w:rsidTr="00F5133A">
        <w:tc>
          <w:tcPr>
            <w:tcW w:w="567" w:type="dxa"/>
          </w:tcPr>
          <w:p w:rsidR="0088626C" w:rsidRDefault="0088626C" w:rsidP="0088626C">
            <w:pPr>
              <w:tabs>
                <w:tab w:val="left" w:pos="1701"/>
              </w:tabs>
              <w:rPr>
                <w:b/>
                <w:snapToGrid w:val="0"/>
              </w:rPr>
            </w:pPr>
            <w:r>
              <w:rPr>
                <w:b/>
                <w:snapToGrid w:val="0"/>
              </w:rPr>
              <w:t>§ 11</w:t>
            </w:r>
          </w:p>
        </w:tc>
        <w:tc>
          <w:tcPr>
            <w:tcW w:w="6946" w:type="dxa"/>
            <w:gridSpan w:val="2"/>
          </w:tcPr>
          <w:p w:rsidR="0088626C" w:rsidRDefault="0088626C" w:rsidP="0088626C">
            <w:pPr>
              <w:tabs>
                <w:tab w:val="left" w:pos="1701"/>
              </w:tabs>
              <w:rPr>
                <w:b/>
                <w:snapToGrid w:val="0"/>
              </w:rPr>
            </w:pPr>
            <w:r>
              <w:rPr>
                <w:b/>
                <w:snapToGrid w:val="0"/>
              </w:rPr>
              <w:t>Nästa sammanträde</w:t>
            </w:r>
          </w:p>
          <w:p w:rsidR="0088626C" w:rsidRDefault="0088626C" w:rsidP="0088626C">
            <w:pPr>
              <w:tabs>
                <w:tab w:val="left" w:pos="1701"/>
              </w:tabs>
              <w:rPr>
                <w:b/>
                <w:snapToGrid w:val="0"/>
              </w:rPr>
            </w:pPr>
          </w:p>
          <w:p w:rsidR="0088626C" w:rsidRPr="00F06797" w:rsidRDefault="0088626C" w:rsidP="0088626C">
            <w:pPr>
              <w:tabs>
                <w:tab w:val="left" w:pos="1701"/>
              </w:tabs>
              <w:rPr>
                <w:snapToGrid w:val="0"/>
              </w:rPr>
            </w:pPr>
            <w:r w:rsidRPr="00872BD9">
              <w:rPr>
                <w:snapToGrid w:val="0"/>
              </w:rPr>
              <w:t xml:space="preserve">Utskottet beslutade att nästa sammanträde ska äga rum </w:t>
            </w:r>
            <w:r>
              <w:rPr>
                <w:szCs w:val="24"/>
              </w:rPr>
              <w:t>tors</w:t>
            </w:r>
            <w:r w:rsidRPr="00872BD9">
              <w:rPr>
                <w:szCs w:val="24"/>
              </w:rPr>
              <w:t>dagen</w:t>
            </w:r>
            <w:r>
              <w:rPr>
                <w:szCs w:val="24"/>
              </w:rPr>
              <w:t xml:space="preserve"> den 17 februari 2022 kl. 10.00.</w:t>
            </w:r>
          </w:p>
        </w:tc>
      </w:tr>
      <w:tr w:rsidR="0088626C" w:rsidRPr="007A327C" w:rsidTr="00F5133A">
        <w:tc>
          <w:tcPr>
            <w:tcW w:w="567" w:type="dxa"/>
          </w:tcPr>
          <w:p w:rsidR="0088626C" w:rsidRPr="007A327C" w:rsidRDefault="0088626C" w:rsidP="0088626C">
            <w:pPr>
              <w:tabs>
                <w:tab w:val="left" w:pos="1701"/>
              </w:tabs>
              <w:rPr>
                <w:b/>
                <w:snapToGrid w:val="0"/>
              </w:rPr>
            </w:pPr>
          </w:p>
        </w:tc>
        <w:tc>
          <w:tcPr>
            <w:tcW w:w="6946" w:type="dxa"/>
            <w:gridSpan w:val="2"/>
          </w:tcPr>
          <w:p w:rsidR="0088626C" w:rsidRPr="007A327C" w:rsidRDefault="0088626C" w:rsidP="0088626C">
            <w:pPr>
              <w:tabs>
                <w:tab w:val="left" w:pos="1701"/>
              </w:tabs>
              <w:rPr>
                <w:snapToGrid w:val="0"/>
              </w:rPr>
            </w:pPr>
          </w:p>
        </w:tc>
      </w:tr>
      <w:tr w:rsidR="0088626C" w:rsidRPr="007A327C" w:rsidTr="00F5133A">
        <w:trPr>
          <w:gridAfter w:val="1"/>
          <w:wAfter w:w="357" w:type="dxa"/>
        </w:trPr>
        <w:tc>
          <w:tcPr>
            <w:tcW w:w="7156" w:type="dxa"/>
            <w:gridSpan w:val="2"/>
          </w:tcPr>
          <w:p w:rsidR="0088626C" w:rsidRDefault="0088626C" w:rsidP="0088626C">
            <w:pPr>
              <w:tabs>
                <w:tab w:val="left" w:pos="1701"/>
              </w:tabs>
            </w:pPr>
          </w:p>
          <w:p w:rsidR="0088626C" w:rsidRDefault="0088626C" w:rsidP="0088626C">
            <w:pPr>
              <w:tabs>
                <w:tab w:val="left" w:pos="1701"/>
              </w:tabs>
            </w:pPr>
          </w:p>
          <w:p w:rsidR="0088626C" w:rsidRDefault="0088626C" w:rsidP="0088626C">
            <w:pPr>
              <w:tabs>
                <w:tab w:val="left" w:pos="1701"/>
              </w:tabs>
            </w:pPr>
          </w:p>
          <w:p w:rsidR="0088626C" w:rsidRPr="007A327C" w:rsidRDefault="0088626C" w:rsidP="0088626C">
            <w:pPr>
              <w:tabs>
                <w:tab w:val="left" w:pos="1701"/>
              </w:tabs>
            </w:pPr>
            <w:r w:rsidRPr="007A327C">
              <w:t>Vid protokollet</w:t>
            </w:r>
          </w:p>
          <w:p w:rsidR="0088626C" w:rsidRPr="007A327C" w:rsidRDefault="0088626C" w:rsidP="0088626C">
            <w:pPr>
              <w:tabs>
                <w:tab w:val="left" w:pos="1701"/>
              </w:tabs>
            </w:pPr>
          </w:p>
          <w:p w:rsidR="0088626C" w:rsidRPr="007A327C" w:rsidRDefault="0088626C" w:rsidP="0088626C">
            <w:pPr>
              <w:tabs>
                <w:tab w:val="left" w:pos="1701"/>
              </w:tabs>
            </w:pPr>
          </w:p>
          <w:p w:rsidR="0088626C" w:rsidRPr="007A327C" w:rsidRDefault="0088626C" w:rsidP="0088626C">
            <w:pPr>
              <w:tabs>
                <w:tab w:val="left" w:pos="1701"/>
              </w:tabs>
            </w:pPr>
          </w:p>
          <w:p w:rsidR="0088626C" w:rsidRDefault="0088626C" w:rsidP="0088626C">
            <w:pPr>
              <w:tabs>
                <w:tab w:val="left" w:pos="1701"/>
              </w:tabs>
            </w:pPr>
            <w:r w:rsidRPr="007A327C">
              <w:t>Justeras</w:t>
            </w:r>
            <w:r>
              <w:t xml:space="preserve"> den 17 februari 2022</w:t>
            </w:r>
          </w:p>
          <w:p w:rsidR="0088626C" w:rsidRPr="007A327C" w:rsidRDefault="0088626C" w:rsidP="0088626C">
            <w:pPr>
              <w:tabs>
                <w:tab w:val="left" w:pos="1701"/>
              </w:tabs>
              <w:rPr>
                <w:b/>
              </w:rPr>
            </w:pPr>
          </w:p>
        </w:tc>
      </w:tr>
    </w:tbl>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pPr w:leftFromText="141" w:rightFromText="141" w:horzAnchor="margin" w:tblpXSpec="center" w:tblpY="561"/>
        <w:tblW w:w="11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2"/>
        <w:gridCol w:w="426"/>
        <w:gridCol w:w="425"/>
        <w:gridCol w:w="425"/>
        <w:gridCol w:w="402"/>
        <w:gridCol w:w="449"/>
        <w:gridCol w:w="402"/>
        <w:gridCol w:w="421"/>
        <w:gridCol w:w="411"/>
        <w:gridCol w:w="440"/>
        <w:gridCol w:w="310"/>
        <w:gridCol w:w="425"/>
        <w:gridCol w:w="426"/>
        <w:gridCol w:w="425"/>
        <w:gridCol w:w="406"/>
        <w:gridCol w:w="444"/>
        <w:gridCol w:w="426"/>
        <w:gridCol w:w="283"/>
        <w:gridCol w:w="284"/>
        <w:gridCol w:w="425"/>
        <w:gridCol w:w="425"/>
      </w:tblGrid>
      <w:tr w:rsidR="008E35ED" w:rsidRPr="002A1A33" w:rsidTr="008E35ED">
        <w:trPr>
          <w:gridAfter w:val="4"/>
          <w:wAfter w:w="1417" w:type="dxa"/>
        </w:trPr>
        <w:tc>
          <w:tcPr>
            <w:tcW w:w="3402" w:type="dxa"/>
            <w:tcBorders>
              <w:top w:val="nil"/>
              <w:left w:val="nil"/>
              <w:bottom w:val="nil"/>
              <w:right w:val="nil"/>
            </w:tcBorders>
            <w:hideMark/>
          </w:tcPr>
          <w:p w:rsidR="008E35ED" w:rsidRPr="002A1A33" w:rsidRDefault="008E35ED" w:rsidP="008E35ED">
            <w:pPr>
              <w:tabs>
                <w:tab w:val="left" w:pos="1701"/>
              </w:tabs>
              <w:ind w:left="-66"/>
              <w:rPr>
                <w:sz w:val="23"/>
                <w:szCs w:val="23"/>
              </w:rPr>
            </w:pPr>
            <w:bookmarkStart w:id="1" w:name="_Hlk94786667"/>
            <w:r w:rsidRPr="002A1A33">
              <w:rPr>
                <w:sz w:val="23"/>
                <w:szCs w:val="23"/>
              </w:rPr>
              <w:lastRenderedPageBreak/>
              <w:br w:type="page"/>
              <w:t>SOCIALFÖRSÄKRINGS-UTSKOTTET</w:t>
            </w:r>
          </w:p>
        </w:tc>
        <w:tc>
          <w:tcPr>
            <w:tcW w:w="851" w:type="dxa"/>
            <w:gridSpan w:val="2"/>
            <w:tcBorders>
              <w:top w:val="nil"/>
              <w:left w:val="nil"/>
              <w:bottom w:val="nil"/>
              <w:right w:val="nil"/>
            </w:tcBorders>
          </w:tcPr>
          <w:p w:rsidR="008E35ED" w:rsidRPr="00F2328F" w:rsidRDefault="008E35ED" w:rsidP="008E35ED">
            <w:pPr>
              <w:tabs>
                <w:tab w:val="left" w:pos="1701"/>
              </w:tabs>
              <w:rPr>
                <w:sz w:val="22"/>
                <w:szCs w:val="22"/>
              </w:rPr>
            </w:pPr>
          </w:p>
        </w:tc>
        <w:tc>
          <w:tcPr>
            <w:tcW w:w="4111" w:type="dxa"/>
            <w:gridSpan w:val="10"/>
            <w:tcBorders>
              <w:top w:val="nil"/>
              <w:left w:val="nil"/>
              <w:bottom w:val="nil"/>
              <w:right w:val="nil"/>
            </w:tcBorders>
            <w:hideMark/>
          </w:tcPr>
          <w:p w:rsidR="008E35ED" w:rsidRPr="002A1A33" w:rsidRDefault="008E35ED" w:rsidP="008E35ED">
            <w:pPr>
              <w:tabs>
                <w:tab w:val="left" w:pos="1701"/>
              </w:tabs>
              <w:rPr>
                <w:sz w:val="23"/>
                <w:szCs w:val="23"/>
              </w:rPr>
            </w:pPr>
            <w:r w:rsidRPr="00F2328F">
              <w:rPr>
                <w:sz w:val="22"/>
                <w:szCs w:val="22"/>
              </w:rPr>
              <w:t>NÄRVAROFÖRTECKNING</w:t>
            </w:r>
            <w:r w:rsidRPr="002A1A33">
              <w:rPr>
                <w:sz w:val="23"/>
                <w:szCs w:val="23"/>
              </w:rPr>
              <w:t xml:space="preserve"> </w:t>
            </w:r>
          </w:p>
        </w:tc>
        <w:tc>
          <w:tcPr>
            <w:tcW w:w="1701" w:type="dxa"/>
            <w:gridSpan w:val="4"/>
            <w:tcBorders>
              <w:top w:val="nil"/>
              <w:left w:val="nil"/>
              <w:bottom w:val="nil"/>
              <w:right w:val="nil"/>
            </w:tcBorders>
          </w:tcPr>
          <w:p w:rsidR="008E35ED" w:rsidRPr="002A1A33" w:rsidRDefault="008E35ED" w:rsidP="008E35ED">
            <w:pPr>
              <w:tabs>
                <w:tab w:val="left" w:pos="1701"/>
              </w:tabs>
              <w:jc w:val="right"/>
              <w:rPr>
                <w:b/>
                <w:sz w:val="23"/>
                <w:szCs w:val="23"/>
              </w:rPr>
            </w:pPr>
            <w:r w:rsidRPr="002A1A33">
              <w:rPr>
                <w:b/>
                <w:sz w:val="23"/>
                <w:szCs w:val="23"/>
              </w:rPr>
              <w:t>Bilaga 1</w:t>
            </w:r>
          </w:p>
          <w:p w:rsidR="008E35ED" w:rsidRPr="002A1A33" w:rsidRDefault="008E35ED" w:rsidP="008E35ED">
            <w:pPr>
              <w:tabs>
                <w:tab w:val="left" w:pos="1701"/>
              </w:tabs>
              <w:jc w:val="right"/>
              <w:rPr>
                <w:sz w:val="23"/>
                <w:szCs w:val="23"/>
              </w:rPr>
            </w:pPr>
            <w:r w:rsidRPr="002A1A33">
              <w:rPr>
                <w:sz w:val="23"/>
                <w:szCs w:val="23"/>
              </w:rPr>
              <w:t>till protokoll</w:t>
            </w:r>
          </w:p>
          <w:p w:rsidR="008E35ED" w:rsidRPr="002A1A33" w:rsidRDefault="008E35ED" w:rsidP="008E35ED">
            <w:pPr>
              <w:tabs>
                <w:tab w:val="left" w:pos="1701"/>
              </w:tabs>
              <w:jc w:val="right"/>
              <w:rPr>
                <w:sz w:val="23"/>
                <w:szCs w:val="23"/>
              </w:rPr>
            </w:pPr>
            <w:r w:rsidRPr="002A1A33">
              <w:rPr>
                <w:sz w:val="23"/>
                <w:szCs w:val="23"/>
              </w:rPr>
              <w:t>20</w:t>
            </w:r>
            <w:r>
              <w:rPr>
                <w:sz w:val="23"/>
                <w:szCs w:val="23"/>
              </w:rPr>
              <w:t>21</w:t>
            </w:r>
            <w:r w:rsidRPr="002A1A33">
              <w:rPr>
                <w:sz w:val="23"/>
                <w:szCs w:val="23"/>
              </w:rPr>
              <w:t>/</w:t>
            </w:r>
            <w:r>
              <w:rPr>
                <w:sz w:val="23"/>
                <w:szCs w:val="23"/>
              </w:rPr>
              <w:t>22</w:t>
            </w:r>
            <w:r w:rsidRPr="002A1A33">
              <w:rPr>
                <w:sz w:val="23"/>
                <w:szCs w:val="23"/>
              </w:rPr>
              <w:t>:</w:t>
            </w:r>
            <w:r w:rsidR="00D951CA">
              <w:rPr>
                <w:sz w:val="23"/>
                <w:szCs w:val="23"/>
              </w:rPr>
              <w:t>20</w:t>
            </w:r>
          </w:p>
        </w:tc>
      </w:tr>
      <w:tr w:rsidR="008E35ED" w:rsidRPr="002A1A33" w:rsidTr="008E35ED">
        <w:trPr>
          <w:gridAfter w:val="4"/>
          <w:wAfter w:w="1417" w:type="dxa"/>
          <w:cantSplit/>
          <w:trHeight w:val="20"/>
        </w:trPr>
        <w:tc>
          <w:tcPr>
            <w:tcW w:w="3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851" w:type="dxa"/>
            <w:gridSpan w:val="2"/>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1</w:t>
            </w:r>
            <w:r w:rsidR="00E20E52">
              <w:rPr>
                <w:sz w:val="23"/>
                <w:szCs w:val="23"/>
              </w:rPr>
              <w:t>–3</w:t>
            </w:r>
          </w:p>
        </w:tc>
        <w:tc>
          <w:tcPr>
            <w:tcW w:w="827" w:type="dxa"/>
            <w:gridSpan w:val="2"/>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xml:space="preserve">§ </w:t>
            </w:r>
            <w:r w:rsidR="00E20E52">
              <w:rPr>
                <w:sz w:val="23"/>
                <w:szCs w:val="23"/>
              </w:rPr>
              <w:t>4</w:t>
            </w:r>
          </w:p>
        </w:tc>
        <w:tc>
          <w:tcPr>
            <w:tcW w:w="851" w:type="dxa"/>
            <w:gridSpan w:val="2"/>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xml:space="preserve">§ </w:t>
            </w:r>
            <w:r w:rsidR="00E20E52">
              <w:rPr>
                <w:sz w:val="23"/>
                <w:szCs w:val="23"/>
              </w:rPr>
              <w:t>5–6</w:t>
            </w:r>
          </w:p>
        </w:tc>
        <w:tc>
          <w:tcPr>
            <w:tcW w:w="832" w:type="dxa"/>
            <w:gridSpan w:val="2"/>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xml:space="preserve">§ </w:t>
            </w:r>
            <w:r w:rsidR="00E20E52">
              <w:rPr>
                <w:sz w:val="23"/>
                <w:szCs w:val="23"/>
              </w:rPr>
              <w:t>7</w:t>
            </w:r>
          </w:p>
        </w:tc>
        <w:tc>
          <w:tcPr>
            <w:tcW w:w="750" w:type="dxa"/>
            <w:gridSpan w:val="2"/>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xml:space="preserve">§ </w:t>
            </w:r>
            <w:r w:rsidR="00E20E52">
              <w:rPr>
                <w:sz w:val="23"/>
                <w:szCs w:val="23"/>
              </w:rPr>
              <w:t>8</w:t>
            </w:r>
          </w:p>
        </w:tc>
        <w:tc>
          <w:tcPr>
            <w:tcW w:w="851" w:type="dxa"/>
            <w:gridSpan w:val="2"/>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xml:space="preserve">§ </w:t>
            </w:r>
            <w:r w:rsidR="00E20E52">
              <w:rPr>
                <w:sz w:val="23"/>
                <w:szCs w:val="23"/>
              </w:rPr>
              <w:t>9–</w:t>
            </w:r>
            <w:r w:rsidR="00786461">
              <w:rPr>
                <w:sz w:val="23"/>
                <w:szCs w:val="23"/>
              </w:rPr>
              <w:t>11</w:t>
            </w:r>
          </w:p>
        </w:tc>
        <w:tc>
          <w:tcPr>
            <w:tcW w:w="831" w:type="dxa"/>
            <w:gridSpan w:val="2"/>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xml:space="preserve">§ </w:t>
            </w:r>
          </w:p>
        </w:tc>
        <w:tc>
          <w:tcPr>
            <w:tcW w:w="870" w:type="dxa"/>
            <w:gridSpan w:val="2"/>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N</w:t>
            </w: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V</w:t>
            </w:r>
          </w:p>
        </w:tc>
        <w:tc>
          <w:tcPr>
            <w:tcW w:w="425" w:type="dxa"/>
            <w:tcBorders>
              <w:top w:val="single" w:sz="6" w:space="0" w:color="auto"/>
              <w:left w:val="single" w:sz="6" w:space="0" w:color="auto"/>
              <w:bottom w:val="single" w:sz="6" w:space="0" w:color="auto"/>
              <w:right w:val="single" w:sz="6" w:space="0" w:color="auto"/>
            </w:tcBorders>
            <w:hideMark/>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2" w:type="dxa"/>
            <w:tcBorders>
              <w:top w:val="single" w:sz="6" w:space="0" w:color="auto"/>
              <w:left w:val="single" w:sz="6" w:space="0" w:color="auto"/>
              <w:bottom w:val="single" w:sz="6" w:space="0" w:color="auto"/>
              <w:right w:val="single" w:sz="6" w:space="0" w:color="auto"/>
            </w:tcBorders>
            <w:hideMark/>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49" w:type="dxa"/>
            <w:tcBorders>
              <w:top w:val="single" w:sz="6" w:space="0" w:color="auto"/>
              <w:left w:val="single" w:sz="6" w:space="0" w:color="auto"/>
              <w:bottom w:val="single" w:sz="6" w:space="0" w:color="auto"/>
              <w:right w:val="single" w:sz="6" w:space="0" w:color="auto"/>
            </w:tcBorders>
            <w:hideMark/>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2" w:type="dxa"/>
            <w:tcBorders>
              <w:top w:val="single" w:sz="6" w:space="0" w:color="auto"/>
              <w:left w:val="single" w:sz="6" w:space="0" w:color="auto"/>
              <w:bottom w:val="single" w:sz="6" w:space="0" w:color="auto"/>
              <w:right w:val="single" w:sz="6" w:space="0" w:color="auto"/>
            </w:tcBorders>
            <w:hideMark/>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21" w:type="dxa"/>
            <w:tcBorders>
              <w:top w:val="single" w:sz="6" w:space="0" w:color="auto"/>
              <w:left w:val="single" w:sz="6" w:space="0" w:color="auto"/>
              <w:bottom w:val="single" w:sz="6" w:space="0" w:color="auto"/>
              <w:right w:val="single" w:sz="6" w:space="0" w:color="auto"/>
            </w:tcBorders>
            <w:hideMark/>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11" w:type="dxa"/>
            <w:tcBorders>
              <w:top w:val="single" w:sz="6" w:space="0" w:color="auto"/>
              <w:left w:val="single" w:sz="6" w:space="0" w:color="auto"/>
              <w:bottom w:val="single" w:sz="6" w:space="0" w:color="auto"/>
              <w:right w:val="single" w:sz="6" w:space="0" w:color="auto"/>
            </w:tcBorders>
            <w:hideMark/>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40" w:type="dxa"/>
            <w:tcBorders>
              <w:top w:val="single" w:sz="6" w:space="0" w:color="auto"/>
              <w:left w:val="single" w:sz="6" w:space="0" w:color="auto"/>
              <w:bottom w:val="single" w:sz="6" w:space="0" w:color="auto"/>
              <w:right w:val="single" w:sz="6" w:space="0" w:color="auto"/>
            </w:tcBorders>
            <w:hideMark/>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10" w:type="dxa"/>
            <w:tcBorders>
              <w:top w:val="single" w:sz="6" w:space="0" w:color="auto"/>
              <w:left w:val="single" w:sz="6" w:space="0" w:color="auto"/>
              <w:bottom w:val="single" w:sz="6" w:space="0" w:color="auto"/>
              <w:right w:val="single" w:sz="6" w:space="0" w:color="auto"/>
            </w:tcBorders>
            <w:hideMark/>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25" w:type="dxa"/>
            <w:tcBorders>
              <w:top w:val="single" w:sz="6" w:space="0" w:color="auto"/>
              <w:left w:val="single" w:sz="6" w:space="0" w:color="auto"/>
              <w:bottom w:val="single" w:sz="6" w:space="0" w:color="auto"/>
              <w:right w:val="single" w:sz="6" w:space="0" w:color="auto"/>
            </w:tcBorders>
            <w:hideMark/>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26" w:type="dxa"/>
            <w:tcBorders>
              <w:top w:val="single" w:sz="6" w:space="0" w:color="auto"/>
              <w:left w:val="single" w:sz="6" w:space="0" w:color="auto"/>
              <w:bottom w:val="single" w:sz="6" w:space="0" w:color="auto"/>
              <w:right w:val="single" w:sz="6" w:space="0" w:color="auto"/>
            </w:tcBorders>
            <w:hideMark/>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25" w:type="dxa"/>
            <w:tcBorders>
              <w:top w:val="single" w:sz="6" w:space="0" w:color="auto"/>
              <w:left w:val="single" w:sz="6" w:space="0" w:color="auto"/>
              <w:bottom w:val="single" w:sz="6" w:space="0" w:color="auto"/>
              <w:right w:val="single" w:sz="6" w:space="0" w:color="auto"/>
            </w:tcBorders>
            <w:hideMark/>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6" w:type="dxa"/>
            <w:tcBorders>
              <w:top w:val="single" w:sz="6" w:space="0" w:color="auto"/>
              <w:left w:val="single" w:sz="6" w:space="0" w:color="auto"/>
              <w:bottom w:val="single" w:sz="6" w:space="0" w:color="auto"/>
              <w:right w:val="single" w:sz="6" w:space="0" w:color="auto"/>
            </w:tcBorders>
            <w:hideMark/>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44"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hideMark/>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49"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4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1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44"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vAlign w:val="bottom"/>
            <w:hideMark/>
          </w:tcPr>
          <w:p w:rsidR="008E35ED" w:rsidRPr="002A1A33" w:rsidRDefault="008E35ED" w:rsidP="008E35ED">
            <w:pPr>
              <w:rPr>
                <w:sz w:val="23"/>
                <w:szCs w:val="23"/>
              </w:rPr>
            </w:pPr>
            <w:r w:rsidRPr="002A2FE6">
              <w:rPr>
                <w:sz w:val="22"/>
                <w:szCs w:val="22"/>
              </w:rPr>
              <w:t>Maria Malmer Stenergard (M)</w:t>
            </w:r>
            <w:r w:rsidRPr="002A1A33">
              <w:rPr>
                <w:sz w:val="23"/>
                <w:szCs w:val="23"/>
              </w:rPr>
              <w:t xml:space="preserve"> </w:t>
            </w:r>
            <w:r w:rsidRPr="002A2FE6">
              <w:rPr>
                <w:sz w:val="22"/>
                <w:szCs w:val="22"/>
              </w:rPr>
              <w:t>ordf.</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49"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1"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1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40"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1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44"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8E35ED" w:rsidRPr="00675BB1"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vAlign w:val="bottom"/>
            <w:hideMark/>
          </w:tcPr>
          <w:p w:rsidR="008E35ED" w:rsidRPr="002A1A33" w:rsidRDefault="008E35ED" w:rsidP="008E35ED">
            <w:pPr>
              <w:rPr>
                <w:sz w:val="23"/>
                <w:szCs w:val="23"/>
                <w:lang w:val="en-US"/>
              </w:rPr>
            </w:pPr>
            <w:r w:rsidRPr="002A1A33">
              <w:rPr>
                <w:sz w:val="23"/>
                <w:szCs w:val="23"/>
                <w:lang w:val="en-US"/>
              </w:rPr>
              <w:t>Rikard Larsson (S)</w:t>
            </w:r>
            <w:r>
              <w:rPr>
                <w:sz w:val="23"/>
                <w:szCs w:val="23"/>
                <w:lang w:val="en-US"/>
              </w:rPr>
              <w:t xml:space="preserve"> vice </w:t>
            </w:r>
            <w:proofErr w:type="spellStart"/>
            <w:r>
              <w:rPr>
                <w:sz w:val="23"/>
                <w:szCs w:val="23"/>
                <w:lang w:val="en-US"/>
              </w:rPr>
              <w:t>ordf</w:t>
            </w:r>
            <w:proofErr w:type="spellEnd"/>
            <w:r>
              <w:rPr>
                <w:sz w:val="23"/>
                <w:szCs w:val="23"/>
                <w:lang w:val="en-US"/>
              </w:rPr>
              <w:t>.</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9"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1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1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4"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vAlign w:val="bottom"/>
            <w:hideMark/>
          </w:tcPr>
          <w:p w:rsidR="008E35ED" w:rsidRPr="002A1A33" w:rsidRDefault="008E35ED" w:rsidP="008E35ED">
            <w:pPr>
              <w:rPr>
                <w:sz w:val="23"/>
                <w:szCs w:val="23"/>
                <w:lang w:val="en-US"/>
              </w:rPr>
            </w:pPr>
            <w:r w:rsidRPr="002A1A33">
              <w:rPr>
                <w:sz w:val="23"/>
                <w:szCs w:val="23"/>
                <w:lang w:val="en-US"/>
              </w:rPr>
              <w:t>Carina Ohlsson (S)</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9"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1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1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4"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vAlign w:val="bottom"/>
          </w:tcPr>
          <w:p w:rsidR="008E35ED" w:rsidRPr="0002540F" w:rsidRDefault="008E35ED" w:rsidP="008E35ED">
            <w:pPr>
              <w:rPr>
                <w:sz w:val="23"/>
                <w:szCs w:val="23"/>
              </w:rPr>
            </w:pPr>
            <w:r w:rsidRPr="0002540F">
              <w:rPr>
                <w:sz w:val="23"/>
                <w:szCs w:val="23"/>
              </w:rPr>
              <w:t>Mattias Karlsson i Luleå (M)</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9"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1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1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4"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vAlign w:val="bottom"/>
          </w:tcPr>
          <w:p w:rsidR="008E35ED" w:rsidRPr="002A1A33" w:rsidRDefault="008E35ED" w:rsidP="008E35ED">
            <w:pPr>
              <w:rPr>
                <w:sz w:val="23"/>
                <w:szCs w:val="23"/>
                <w:lang w:val="en-US"/>
              </w:rPr>
            </w:pPr>
            <w:r w:rsidRPr="00E20E52">
              <w:rPr>
                <w:sz w:val="23"/>
                <w:szCs w:val="23"/>
              </w:rPr>
              <w:t>Ludvig Aspling</w:t>
            </w:r>
            <w:r w:rsidRPr="00055868">
              <w:rPr>
                <w:sz w:val="22"/>
                <w:szCs w:val="22"/>
              </w:rPr>
              <w:t xml:space="preserve"> (SD)</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9"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1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1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4"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vAlign w:val="bottom"/>
          </w:tcPr>
          <w:p w:rsidR="008E35ED" w:rsidRPr="002A1A33" w:rsidRDefault="008E35ED" w:rsidP="008E35ED">
            <w:pPr>
              <w:rPr>
                <w:sz w:val="23"/>
                <w:szCs w:val="23"/>
                <w:lang w:val="en-US"/>
              </w:rPr>
            </w:pPr>
            <w:r w:rsidRPr="002A1A33">
              <w:rPr>
                <w:sz w:val="23"/>
                <w:szCs w:val="23"/>
                <w:lang w:val="en-US"/>
              </w:rPr>
              <w:t>Teresa Carvalho (S)</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9"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1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1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4"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vAlign w:val="bottom"/>
          </w:tcPr>
          <w:p w:rsidR="008E35ED" w:rsidRPr="002A1A33" w:rsidRDefault="008E35ED" w:rsidP="008E35ED">
            <w:pPr>
              <w:rPr>
                <w:sz w:val="23"/>
                <w:szCs w:val="23"/>
                <w:lang w:val="en-US"/>
              </w:rPr>
            </w:pPr>
            <w:r w:rsidRPr="00DA26F4">
              <w:rPr>
                <w:sz w:val="23"/>
                <w:szCs w:val="23"/>
                <w:lang w:val="en-US"/>
              </w:rPr>
              <w:t>Martina Johansson (C)</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9"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1"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41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31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4"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vAlign w:val="bottom"/>
          </w:tcPr>
          <w:p w:rsidR="008E35ED" w:rsidRPr="002A1A33" w:rsidRDefault="008E35ED" w:rsidP="008E35ED">
            <w:pPr>
              <w:rPr>
                <w:sz w:val="23"/>
                <w:szCs w:val="23"/>
                <w:lang w:val="en-US"/>
              </w:rPr>
            </w:pPr>
            <w:r>
              <w:rPr>
                <w:sz w:val="23"/>
                <w:szCs w:val="23"/>
                <w:lang w:val="en-US"/>
              </w:rPr>
              <w:t>Ida Gabrielsson (V)</w:t>
            </w:r>
          </w:p>
        </w:tc>
        <w:tc>
          <w:tcPr>
            <w:tcW w:w="426" w:type="dxa"/>
            <w:tcBorders>
              <w:top w:val="single" w:sz="6" w:space="0" w:color="auto"/>
              <w:left w:val="single" w:sz="6" w:space="0" w:color="auto"/>
              <w:bottom w:val="single" w:sz="6" w:space="0" w:color="auto"/>
              <w:right w:val="single" w:sz="6" w:space="0" w:color="auto"/>
            </w:tcBorders>
          </w:tcPr>
          <w:p w:rsidR="008E35ED" w:rsidRPr="003F54B5" w:rsidRDefault="00E20E52" w:rsidP="008E35ED">
            <w:r>
              <w:t>–</w:t>
            </w:r>
          </w:p>
        </w:tc>
        <w:tc>
          <w:tcPr>
            <w:tcW w:w="425" w:type="dxa"/>
            <w:tcBorders>
              <w:top w:val="single" w:sz="6" w:space="0" w:color="auto"/>
              <w:left w:val="single" w:sz="6" w:space="0" w:color="auto"/>
              <w:bottom w:val="single" w:sz="6" w:space="0" w:color="auto"/>
              <w:right w:val="single" w:sz="6" w:space="0" w:color="auto"/>
            </w:tcBorders>
          </w:tcPr>
          <w:p w:rsidR="008E35ED" w:rsidRPr="003F54B5" w:rsidRDefault="008E35ED" w:rsidP="008E35ED"/>
        </w:tc>
        <w:tc>
          <w:tcPr>
            <w:tcW w:w="425" w:type="dxa"/>
            <w:tcBorders>
              <w:top w:val="single" w:sz="6" w:space="0" w:color="auto"/>
              <w:left w:val="single" w:sz="6" w:space="0" w:color="auto"/>
              <w:bottom w:val="single" w:sz="6" w:space="0" w:color="auto"/>
              <w:right w:val="single" w:sz="6" w:space="0" w:color="auto"/>
            </w:tcBorders>
          </w:tcPr>
          <w:p w:rsidR="008E35ED" w:rsidRDefault="00E20E52" w:rsidP="008E35ED">
            <w:r>
              <w:t>–</w:t>
            </w:r>
          </w:p>
        </w:tc>
        <w:tc>
          <w:tcPr>
            <w:tcW w:w="402" w:type="dxa"/>
            <w:tcBorders>
              <w:top w:val="single" w:sz="6" w:space="0" w:color="auto"/>
              <w:left w:val="single" w:sz="6" w:space="0" w:color="auto"/>
              <w:bottom w:val="single" w:sz="6" w:space="0" w:color="auto"/>
              <w:right w:val="single" w:sz="6" w:space="0" w:color="auto"/>
            </w:tcBorders>
          </w:tcPr>
          <w:p w:rsidR="008E35ED" w:rsidRDefault="008E35ED" w:rsidP="008E35ED"/>
        </w:tc>
        <w:tc>
          <w:tcPr>
            <w:tcW w:w="449" w:type="dxa"/>
            <w:tcBorders>
              <w:top w:val="single" w:sz="6" w:space="0" w:color="auto"/>
              <w:left w:val="single" w:sz="6" w:space="0" w:color="auto"/>
              <w:bottom w:val="single" w:sz="6" w:space="0" w:color="auto"/>
              <w:right w:val="single" w:sz="6" w:space="0" w:color="auto"/>
            </w:tcBorders>
          </w:tcPr>
          <w:p w:rsidR="008E35ED" w:rsidRDefault="00E20E52" w:rsidP="008E35ED">
            <w:r>
              <w:t>–</w:t>
            </w:r>
          </w:p>
        </w:tc>
        <w:tc>
          <w:tcPr>
            <w:tcW w:w="402" w:type="dxa"/>
            <w:tcBorders>
              <w:top w:val="single" w:sz="6" w:space="0" w:color="auto"/>
              <w:left w:val="single" w:sz="6" w:space="0" w:color="auto"/>
              <w:bottom w:val="single" w:sz="6" w:space="0" w:color="auto"/>
              <w:right w:val="single" w:sz="6" w:space="0" w:color="auto"/>
            </w:tcBorders>
          </w:tcPr>
          <w:p w:rsidR="008E35ED" w:rsidRDefault="008E35ED" w:rsidP="008E35ED"/>
        </w:tc>
        <w:tc>
          <w:tcPr>
            <w:tcW w:w="421" w:type="dxa"/>
            <w:tcBorders>
              <w:top w:val="single" w:sz="6" w:space="0" w:color="auto"/>
              <w:left w:val="single" w:sz="6" w:space="0" w:color="auto"/>
              <w:bottom w:val="single" w:sz="6" w:space="0" w:color="auto"/>
              <w:right w:val="single" w:sz="6" w:space="0" w:color="auto"/>
            </w:tcBorders>
          </w:tcPr>
          <w:p w:rsidR="008E35ED" w:rsidRDefault="00E20E52" w:rsidP="008E35ED">
            <w:r>
              <w:t>–</w:t>
            </w:r>
          </w:p>
        </w:tc>
        <w:tc>
          <w:tcPr>
            <w:tcW w:w="41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8E35ED" w:rsidRDefault="00E20E52" w:rsidP="008E35ED">
            <w:r>
              <w:t>–</w:t>
            </w:r>
          </w:p>
        </w:tc>
        <w:tc>
          <w:tcPr>
            <w:tcW w:w="31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Default="00E20E52" w:rsidP="008E35ED">
            <w:r>
              <w:t>–</w:t>
            </w: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tc>
        <w:tc>
          <w:tcPr>
            <w:tcW w:w="40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4" w:type="dxa"/>
            <w:tcBorders>
              <w:top w:val="single" w:sz="6" w:space="0" w:color="auto"/>
              <w:left w:val="single" w:sz="6" w:space="0" w:color="auto"/>
              <w:bottom w:val="single" w:sz="6" w:space="0" w:color="auto"/>
              <w:right w:val="single" w:sz="6" w:space="0" w:color="auto"/>
            </w:tcBorders>
          </w:tcPr>
          <w:p w:rsidR="008E35ED" w:rsidRDefault="008E35ED" w:rsidP="008E35ED"/>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vAlign w:val="bottom"/>
          </w:tcPr>
          <w:p w:rsidR="008E35ED" w:rsidRPr="002A1A33" w:rsidRDefault="008E35ED" w:rsidP="008E35ED">
            <w:pPr>
              <w:rPr>
                <w:sz w:val="23"/>
                <w:szCs w:val="23"/>
                <w:lang w:val="en-US"/>
              </w:rPr>
            </w:pPr>
            <w:r w:rsidRPr="002A1A33">
              <w:rPr>
                <w:sz w:val="23"/>
                <w:szCs w:val="23"/>
                <w:lang w:val="en-US"/>
              </w:rPr>
              <w:t>Katarina Brännström (M)</w:t>
            </w:r>
          </w:p>
        </w:tc>
        <w:tc>
          <w:tcPr>
            <w:tcW w:w="426" w:type="dxa"/>
            <w:tcBorders>
              <w:top w:val="single" w:sz="6" w:space="0" w:color="auto"/>
              <w:left w:val="single" w:sz="6" w:space="0" w:color="auto"/>
              <w:bottom w:val="single" w:sz="6" w:space="0" w:color="auto"/>
              <w:right w:val="single" w:sz="6" w:space="0" w:color="auto"/>
            </w:tcBorders>
          </w:tcPr>
          <w:p w:rsidR="008E35ED" w:rsidRPr="003F54B5" w:rsidRDefault="00E20E52" w:rsidP="008E35ED">
            <w:r>
              <w:t>X</w:t>
            </w:r>
          </w:p>
        </w:tc>
        <w:tc>
          <w:tcPr>
            <w:tcW w:w="425" w:type="dxa"/>
            <w:tcBorders>
              <w:top w:val="single" w:sz="6" w:space="0" w:color="auto"/>
              <w:left w:val="single" w:sz="6" w:space="0" w:color="auto"/>
              <w:bottom w:val="single" w:sz="6" w:space="0" w:color="auto"/>
              <w:right w:val="single" w:sz="6" w:space="0" w:color="auto"/>
            </w:tcBorders>
          </w:tcPr>
          <w:p w:rsidR="008E35ED" w:rsidRPr="003F54B5" w:rsidRDefault="008E35ED" w:rsidP="008E35ED"/>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r>
              <w:t>X</w:t>
            </w:r>
          </w:p>
        </w:tc>
        <w:tc>
          <w:tcPr>
            <w:tcW w:w="402" w:type="dxa"/>
            <w:tcBorders>
              <w:top w:val="single" w:sz="6" w:space="0" w:color="auto"/>
              <w:left w:val="single" w:sz="6" w:space="0" w:color="auto"/>
              <w:bottom w:val="single" w:sz="6" w:space="0" w:color="auto"/>
              <w:right w:val="single" w:sz="6" w:space="0" w:color="auto"/>
            </w:tcBorders>
          </w:tcPr>
          <w:p w:rsidR="008E35ED" w:rsidRDefault="008E35ED" w:rsidP="008E35ED"/>
        </w:tc>
        <w:tc>
          <w:tcPr>
            <w:tcW w:w="449" w:type="dxa"/>
            <w:tcBorders>
              <w:top w:val="single" w:sz="6" w:space="0" w:color="auto"/>
              <w:left w:val="single" w:sz="6" w:space="0" w:color="auto"/>
              <w:bottom w:val="single" w:sz="6" w:space="0" w:color="auto"/>
              <w:right w:val="single" w:sz="6" w:space="0" w:color="auto"/>
            </w:tcBorders>
          </w:tcPr>
          <w:p w:rsidR="008E35ED" w:rsidRDefault="008E35ED" w:rsidP="008E35ED">
            <w:r>
              <w:t>X</w:t>
            </w:r>
          </w:p>
        </w:tc>
        <w:tc>
          <w:tcPr>
            <w:tcW w:w="402" w:type="dxa"/>
            <w:tcBorders>
              <w:top w:val="single" w:sz="6" w:space="0" w:color="auto"/>
              <w:left w:val="single" w:sz="6" w:space="0" w:color="auto"/>
              <w:bottom w:val="single" w:sz="6" w:space="0" w:color="auto"/>
              <w:right w:val="single" w:sz="6" w:space="0" w:color="auto"/>
            </w:tcBorders>
          </w:tcPr>
          <w:p w:rsidR="008E35ED" w:rsidRDefault="008E35ED" w:rsidP="008E35ED"/>
        </w:tc>
        <w:tc>
          <w:tcPr>
            <w:tcW w:w="421" w:type="dxa"/>
            <w:tcBorders>
              <w:top w:val="single" w:sz="6" w:space="0" w:color="auto"/>
              <w:left w:val="single" w:sz="6" w:space="0" w:color="auto"/>
              <w:bottom w:val="single" w:sz="6" w:space="0" w:color="auto"/>
              <w:right w:val="single" w:sz="6" w:space="0" w:color="auto"/>
            </w:tcBorders>
          </w:tcPr>
          <w:p w:rsidR="008E35ED" w:rsidRDefault="008E35ED" w:rsidP="008E35ED">
            <w:r>
              <w:t>X</w:t>
            </w:r>
          </w:p>
        </w:tc>
        <w:tc>
          <w:tcPr>
            <w:tcW w:w="41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8E35ED" w:rsidRDefault="008E35ED" w:rsidP="008E35ED">
            <w:r>
              <w:t>X</w:t>
            </w:r>
          </w:p>
        </w:tc>
        <w:tc>
          <w:tcPr>
            <w:tcW w:w="31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r>
              <w:t>X</w:t>
            </w: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tc>
        <w:tc>
          <w:tcPr>
            <w:tcW w:w="40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4" w:type="dxa"/>
            <w:tcBorders>
              <w:top w:val="single" w:sz="6" w:space="0" w:color="auto"/>
              <w:left w:val="single" w:sz="6" w:space="0" w:color="auto"/>
              <w:bottom w:val="single" w:sz="6" w:space="0" w:color="auto"/>
              <w:right w:val="single" w:sz="6" w:space="0" w:color="auto"/>
            </w:tcBorders>
          </w:tcPr>
          <w:p w:rsidR="008E35ED" w:rsidRDefault="008E35ED" w:rsidP="008E35ED"/>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vAlign w:val="bottom"/>
          </w:tcPr>
          <w:p w:rsidR="008E35ED" w:rsidRPr="002A1A33" w:rsidRDefault="008E35ED" w:rsidP="008E35ED">
            <w:pPr>
              <w:rPr>
                <w:sz w:val="23"/>
                <w:szCs w:val="23"/>
                <w:lang w:val="en-US"/>
              </w:rPr>
            </w:pPr>
            <w:r w:rsidRPr="002A1A33">
              <w:rPr>
                <w:sz w:val="23"/>
                <w:szCs w:val="23"/>
                <w:lang w:val="en-US"/>
              </w:rPr>
              <w:t>Julia Kronlid (SD)</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D96B85">
              <w:rPr>
                <w:sz w:val="23"/>
                <w:szCs w:val="23"/>
              </w:rPr>
              <w:t>–</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9"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1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1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4"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vAlign w:val="bottom"/>
          </w:tcPr>
          <w:p w:rsidR="008E35ED" w:rsidRPr="002A1A33" w:rsidRDefault="008E35ED" w:rsidP="008E35ED">
            <w:pPr>
              <w:rPr>
                <w:sz w:val="23"/>
                <w:szCs w:val="23"/>
                <w:lang w:val="en-US"/>
              </w:rPr>
            </w:pPr>
            <w:r w:rsidRPr="00A67973">
              <w:rPr>
                <w:sz w:val="23"/>
                <w:szCs w:val="23"/>
              </w:rPr>
              <w:t>Emilia Töyrä (S)</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9"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1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1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4"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vAlign w:val="bottom"/>
          </w:tcPr>
          <w:p w:rsidR="008E35ED" w:rsidRPr="002A1A33" w:rsidRDefault="008E35ED" w:rsidP="008E35ED">
            <w:pPr>
              <w:rPr>
                <w:sz w:val="23"/>
                <w:szCs w:val="23"/>
                <w:lang w:val="en-US"/>
              </w:rPr>
            </w:pPr>
            <w:r w:rsidRPr="002A1A33">
              <w:rPr>
                <w:sz w:val="23"/>
                <w:szCs w:val="23"/>
                <w:lang w:val="en-US"/>
              </w:rPr>
              <w:t>Hans Eklind (KD)</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9"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1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1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4"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vAlign w:val="bottom"/>
          </w:tcPr>
          <w:p w:rsidR="008E35ED" w:rsidRPr="002A1A33" w:rsidRDefault="008E35ED" w:rsidP="008E35ED">
            <w:pPr>
              <w:rPr>
                <w:sz w:val="23"/>
                <w:szCs w:val="23"/>
                <w:lang w:val="en-US"/>
              </w:rPr>
            </w:pPr>
            <w:r w:rsidRPr="002A1A33">
              <w:rPr>
                <w:sz w:val="23"/>
                <w:szCs w:val="23"/>
                <w:lang w:val="en-US"/>
              </w:rPr>
              <w:t>Björn Petersson (S)</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9"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1"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41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31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4"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vAlign w:val="bottom"/>
          </w:tcPr>
          <w:p w:rsidR="008E35ED" w:rsidRPr="002A1A33" w:rsidRDefault="008E35ED" w:rsidP="008E35ED">
            <w:pPr>
              <w:rPr>
                <w:sz w:val="23"/>
                <w:szCs w:val="23"/>
                <w:lang w:val="en-US"/>
              </w:rPr>
            </w:pPr>
            <w:r>
              <w:rPr>
                <w:sz w:val="23"/>
                <w:szCs w:val="23"/>
                <w:lang w:val="en-US"/>
              </w:rPr>
              <w:t>Bengt Eliasson (L)</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9"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1"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41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31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4"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vAlign w:val="bottom"/>
          </w:tcPr>
          <w:p w:rsidR="008E35ED" w:rsidRPr="002A1A33" w:rsidRDefault="008E35ED" w:rsidP="008E35ED">
            <w:pPr>
              <w:rPr>
                <w:sz w:val="23"/>
                <w:szCs w:val="23"/>
              </w:rPr>
            </w:pPr>
            <w:r w:rsidRPr="00514B85">
              <w:rPr>
                <w:sz w:val="22"/>
                <w:szCs w:val="23"/>
              </w:rPr>
              <w:t>Jonas Andersson i Skellefteå (SD)</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49"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41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40"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1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44"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vAlign w:val="bottom"/>
          </w:tcPr>
          <w:p w:rsidR="008E35ED" w:rsidRPr="002A1A33" w:rsidRDefault="008E35ED" w:rsidP="008E35ED">
            <w:pPr>
              <w:rPr>
                <w:sz w:val="23"/>
                <w:szCs w:val="23"/>
              </w:rPr>
            </w:pPr>
            <w:r w:rsidRPr="00A67973">
              <w:rPr>
                <w:sz w:val="23"/>
                <w:szCs w:val="23"/>
              </w:rPr>
              <w:t>Rasmus Ling (MP)</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49"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1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4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1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44"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vAlign w:val="bottom"/>
          </w:tcPr>
          <w:p w:rsidR="008E35ED" w:rsidRPr="002A1A33" w:rsidRDefault="008E35ED" w:rsidP="008E35ED">
            <w:pPr>
              <w:rPr>
                <w:sz w:val="23"/>
                <w:szCs w:val="23"/>
              </w:rPr>
            </w:pPr>
            <w:r w:rsidRPr="002A1A33">
              <w:rPr>
                <w:sz w:val="23"/>
                <w:szCs w:val="23"/>
              </w:rPr>
              <w:t>Arin Karapet (M)</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49"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1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40" w:type="dxa"/>
            <w:tcBorders>
              <w:top w:val="single" w:sz="6" w:space="0" w:color="auto"/>
              <w:left w:val="single" w:sz="6" w:space="0" w:color="auto"/>
              <w:bottom w:val="single" w:sz="6" w:space="0" w:color="auto"/>
              <w:right w:val="single" w:sz="6" w:space="0" w:color="auto"/>
            </w:tcBorders>
          </w:tcPr>
          <w:p w:rsidR="008E35ED" w:rsidRPr="002A1A33"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1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4"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hideMark/>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49"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2"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1"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4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10"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44"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8E35ED" w:rsidRPr="002A1A33"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8E35ED" w:rsidRPr="00055868"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rPr>
                <w:sz w:val="22"/>
                <w:szCs w:val="22"/>
              </w:rPr>
            </w:pPr>
            <w:r w:rsidRPr="00055868">
              <w:rPr>
                <w:sz w:val="22"/>
                <w:szCs w:val="22"/>
              </w:rPr>
              <w:t>Mattias Vepsä (S)</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055868"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rPr>
                <w:sz w:val="22"/>
                <w:szCs w:val="22"/>
              </w:rPr>
            </w:pPr>
            <w:r w:rsidRPr="00055868">
              <w:rPr>
                <w:sz w:val="22"/>
                <w:szCs w:val="22"/>
              </w:rPr>
              <w:t>Ann-Sofie Alm (M)</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055868"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rPr>
                <w:sz w:val="22"/>
                <w:szCs w:val="22"/>
              </w:rPr>
            </w:pPr>
            <w:r>
              <w:rPr>
                <w:sz w:val="22"/>
                <w:szCs w:val="22"/>
              </w:rPr>
              <w:t>Elsemarie Bjellqvist</w:t>
            </w:r>
            <w:r w:rsidRPr="00055868">
              <w:rPr>
                <w:sz w:val="22"/>
                <w:szCs w:val="22"/>
              </w:rPr>
              <w:t xml:space="preserve"> (S)</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055868"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rPr>
                <w:sz w:val="22"/>
                <w:szCs w:val="22"/>
              </w:rPr>
            </w:pPr>
            <w:r w:rsidRPr="00055868">
              <w:rPr>
                <w:sz w:val="22"/>
                <w:szCs w:val="22"/>
              </w:rPr>
              <w:t>Fredrik Schulte (M)</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055868"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rPr>
                <w:sz w:val="22"/>
                <w:szCs w:val="22"/>
              </w:rPr>
            </w:pPr>
            <w:r w:rsidRPr="00055868">
              <w:rPr>
                <w:sz w:val="22"/>
                <w:szCs w:val="22"/>
              </w:rPr>
              <w:t>Jennie Åfeldt (SD)</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055868"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rPr>
                <w:sz w:val="22"/>
                <w:szCs w:val="22"/>
              </w:rPr>
            </w:pPr>
            <w:r w:rsidRPr="00055868">
              <w:rPr>
                <w:sz w:val="22"/>
                <w:szCs w:val="22"/>
              </w:rPr>
              <w:t>Paula Holmqvist (S)</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055868"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rPr>
                <w:sz w:val="22"/>
                <w:szCs w:val="22"/>
              </w:rPr>
            </w:pPr>
            <w:r w:rsidRPr="00055868">
              <w:rPr>
                <w:sz w:val="22"/>
                <w:szCs w:val="22"/>
              </w:rPr>
              <w:t>Jonny Cato (C)</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055868"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rPr>
                <w:sz w:val="22"/>
                <w:szCs w:val="22"/>
              </w:rPr>
            </w:pPr>
            <w:r>
              <w:rPr>
                <w:sz w:val="22"/>
                <w:szCs w:val="22"/>
              </w:rPr>
              <w:t>Tony Haddou</w:t>
            </w:r>
            <w:r w:rsidRPr="00055868">
              <w:rPr>
                <w:sz w:val="22"/>
                <w:szCs w:val="22"/>
              </w:rPr>
              <w:t xml:space="preserve"> (V)</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055868"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rPr>
                <w:sz w:val="22"/>
                <w:szCs w:val="22"/>
              </w:rPr>
            </w:pPr>
            <w:r w:rsidRPr="00055868">
              <w:rPr>
                <w:sz w:val="22"/>
                <w:szCs w:val="22"/>
              </w:rPr>
              <w:t>Ellen Juntti (M)</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055868"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rPr>
                <w:sz w:val="22"/>
                <w:szCs w:val="22"/>
              </w:rPr>
            </w:pPr>
            <w:r w:rsidRPr="00055868">
              <w:rPr>
                <w:sz w:val="22"/>
                <w:szCs w:val="22"/>
              </w:rPr>
              <w:t>Åsa Karlsson (S)</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055868"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rPr>
                <w:sz w:val="22"/>
                <w:szCs w:val="22"/>
              </w:rPr>
            </w:pPr>
            <w:r w:rsidRPr="00055868">
              <w:rPr>
                <w:sz w:val="22"/>
                <w:szCs w:val="22"/>
              </w:rPr>
              <w:t>Pia Steensland (KD)</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055868"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rPr>
                <w:sz w:val="22"/>
                <w:szCs w:val="22"/>
              </w:rPr>
            </w:pPr>
            <w:r w:rsidRPr="00055868">
              <w:rPr>
                <w:sz w:val="22"/>
                <w:szCs w:val="22"/>
              </w:rPr>
              <w:t>Dag Larsson (S)</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055868"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rPr>
                <w:sz w:val="22"/>
                <w:szCs w:val="22"/>
              </w:rPr>
            </w:pPr>
            <w:r>
              <w:rPr>
                <w:sz w:val="22"/>
                <w:szCs w:val="22"/>
              </w:rPr>
              <w:t>Robert Hannah (L)</w:t>
            </w:r>
          </w:p>
        </w:tc>
        <w:tc>
          <w:tcPr>
            <w:tcW w:w="426" w:type="dxa"/>
            <w:tcBorders>
              <w:top w:val="single" w:sz="6" w:space="0" w:color="auto"/>
              <w:left w:val="single" w:sz="6" w:space="0" w:color="auto"/>
              <w:bottom w:val="single" w:sz="6" w:space="0" w:color="auto"/>
              <w:right w:val="single" w:sz="6" w:space="0" w:color="auto"/>
            </w:tcBorders>
          </w:tcPr>
          <w:p w:rsidR="008E35ED" w:rsidRPr="00E0349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E0349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E0349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E0349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E0349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E0349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E0349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E0349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E0349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E0349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E0349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055868"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rPr>
                <w:sz w:val="22"/>
                <w:szCs w:val="22"/>
              </w:rPr>
            </w:pPr>
            <w:r w:rsidRPr="00055868">
              <w:rPr>
                <w:sz w:val="22"/>
                <w:szCs w:val="22"/>
              </w:rPr>
              <w:t>Lars Andersson (SD)</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055868"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rPr>
                <w:sz w:val="22"/>
                <w:szCs w:val="22"/>
              </w:rPr>
            </w:pPr>
            <w:r>
              <w:rPr>
                <w:sz w:val="22"/>
                <w:szCs w:val="22"/>
              </w:rPr>
              <w:t>Martin Marmgren</w:t>
            </w:r>
            <w:r w:rsidRPr="00055868">
              <w:rPr>
                <w:sz w:val="22"/>
                <w:szCs w:val="22"/>
              </w:rPr>
              <w:t xml:space="preserve"> (MP)</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055868"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rPr>
                <w:sz w:val="22"/>
                <w:szCs w:val="22"/>
              </w:rPr>
            </w:pPr>
            <w:r w:rsidRPr="00055868">
              <w:rPr>
                <w:sz w:val="22"/>
                <w:szCs w:val="22"/>
              </w:rPr>
              <w:t>Erik Ottoson (M)</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055868"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rPr>
                <w:sz w:val="22"/>
                <w:szCs w:val="22"/>
              </w:rPr>
            </w:pPr>
            <w:r w:rsidRPr="00055868">
              <w:rPr>
                <w:sz w:val="22"/>
                <w:szCs w:val="22"/>
              </w:rPr>
              <w:t>Clara Aranda (SD)</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A607EE"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A67973" w:rsidRDefault="008E35ED" w:rsidP="008E35ED">
            <w:pPr>
              <w:rPr>
                <w:sz w:val="22"/>
                <w:szCs w:val="22"/>
                <w:lang w:val="en-US"/>
              </w:rPr>
            </w:pPr>
            <w:r w:rsidRPr="00A67973">
              <w:rPr>
                <w:sz w:val="22"/>
                <w:szCs w:val="22"/>
                <w:lang w:val="en-US"/>
              </w:rPr>
              <w:t xml:space="preserve">Ann-Christine From Utterstedt </w:t>
            </w:r>
            <w:r w:rsidRPr="00A67973">
              <w:rPr>
                <w:sz w:val="20"/>
                <w:lang w:val="en-US"/>
              </w:rPr>
              <w:t>(SD)</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A67973" w:rsidRDefault="008E35ED" w:rsidP="008E35ED">
            <w:pPr>
              <w:rPr>
                <w:sz w:val="23"/>
                <w:szCs w:val="23"/>
              </w:rPr>
            </w:pPr>
            <w:r>
              <w:rPr>
                <w:sz w:val="23"/>
                <w:szCs w:val="23"/>
              </w:rPr>
              <w:t>Fredrik Malm</w:t>
            </w:r>
            <w:r w:rsidRPr="00A67973">
              <w:rPr>
                <w:sz w:val="23"/>
                <w:szCs w:val="23"/>
              </w:rPr>
              <w:t xml:space="preserve"> (L)</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A67973" w:rsidRDefault="008E35ED" w:rsidP="008E35ED">
            <w:pPr>
              <w:rPr>
                <w:sz w:val="23"/>
                <w:szCs w:val="23"/>
              </w:rPr>
            </w:pPr>
            <w:r>
              <w:rPr>
                <w:sz w:val="23"/>
                <w:szCs w:val="23"/>
              </w:rPr>
              <w:t>Barbro Westerholm (L)</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A67973" w:rsidRDefault="008E35ED" w:rsidP="008E35ED">
            <w:pPr>
              <w:rPr>
                <w:sz w:val="23"/>
                <w:szCs w:val="23"/>
              </w:rPr>
            </w:pPr>
            <w:r w:rsidRPr="00DA26F4">
              <w:rPr>
                <w:sz w:val="23"/>
                <w:szCs w:val="23"/>
              </w:rPr>
              <w:t>Catarina Deremar (C)</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A67973" w:rsidRDefault="008E35ED" w:rsidP="008E35ED">
            <w:pPr>
              <w:rPr>
                <w:sz w:val="23"/>
                <w:szCs w:val="23"/>
              </w:rPr>
            </w:pPr>
            <w:r w:rsidRPr="00A67973">
              <w:rPr>
                <w:sz w:val="23"/>
                <w:szCs w:val="23"/>
              </w:rPr>
              <w:t>Ciczie Weidby (V)</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A67973" w:rsidRDefault="008E35ED" w:rsidP="008E35ED">
            <w:pPr>
              <w:rPr>
                <w:sz w:val="23"/>
                <w:szCs w:val="23"/>
              </w:rPr>
            </w:pPr>
            <w:r w:rsidRPr="00055868">
              <w:rPr>
                <w:sz w:val="23"/>
                <w:szCs w:val="23"/>
              </w:rPr>
              <w:t>Andreas Carlson (KD)</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A67973" w:rsidRDefault="008E35ED" w:rsidP="008E35ED">
            <w:pPr>
              <w:rPr>
                <w:sz w:val="23"/>
                <w:szCs w:val="23"/>
              </w:rPr>
            </w:pPr>
            <w:r w:rsidRPr="00A67973">
              <w:rPr>
                <w:sz w:val="23"/>
                <w:szCs w:val="23"/>
              </w:rPr>
              <w:t>Sofia Damm (KD)</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A67973" w:rsidRDefault="008E35ED" w:rsidP="008E35ED">
            <w:pPr>
              <w:rPr>
                <w:sz w:val="23"/>
                <w:szCs w:val="23"/>
              </w:rPr>
            </w:pPr>
            <w:r>
              <w:rPr>
                <w:sz w:val="23"/>
                <w:szCs w:val="23"/>
              </w:rPr>
              <w:t>Vakant</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A67973" w:rsidRDefault="008E35ED" w:rsidP="008E35ED">
            <w:pPr>
              <w:rPr>
                <w:sz w:val="23"/>
                <w:szCs w:val="23"/>
              </w:rPr>
            </w:pPr>
            <w:r>
              <w:rPr>
                <w:sz w:val="23"/>
                <w:szCs w:val="23"/>
              </w:rPr>
              <w:t>Annika Hirvonen (MP)</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A67973" w:rsidRDefault="008E35ED" w:rsidP="008E35ED">
            <w:pPr>
              <w:rPr>
                <w:sz w:val="23"/>
                <w:szCs w:val="23"/>
              </w:rPr>
            </w:pPr>
            <w:r w:rsidRPr="00A67973">
              <w:rPr>
                <w:sz w:val="23"/>
                <w:szCs w:val="23"/>
              </w:rPr>
              <w:t>Fredrik Lundh Sammeli (S)</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A67973" w:rsidRDefault="008E35ED" w:rsidP="008E35ED">
            <w:pPr>
              <w:rPr>
                <w:sz w:val="23"/>
                <w:szCs w:val="23"/>
              </w:rPr>
            </w:pPr>
            <w:r>
              <w:rPr>
                <w:sz w:val="23"/>
                <w:szCs w:val="23"/>
              </w:rPr>
              <w:t>Vakant</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A67973" w:rsidRDefault="008E35ED" w:rsidP="008E35ED">
            <w:pPr>
              <w:rPr>
                <w:sz w:val="23"/>
                <w:szCs w:val="23"/>
                <w:lang w:val="en-US"/>
              </w:rPr>
            </w:pPr>
            <w:r w:rsidRPr="00A67973">
              <w:rPr>
                <w:sz w:val="23"/>
                <w:szCs w:val="23"/>
                <w:lang w:val="en-US"/>
              </w:rPr>
              <w:t>Roza Güclü Hedin (S)</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2A1A33" w:rsidTr="008E35ED">
        <w:trPr>
          <w:gridAfter w:val="4"/>
          <w:wAfter w:w="1417" w:type="dxa"/>
        </w:trPr>
        <w:tc>
          <w:tcPr>
            <w:tcW w:w="3402" w:type="dxa"/>
            <w:tcBorders>
              <w:top w:val="single" w:sz="6" w:space="0" w:color="auto"/>
              <w:left w:val="single" w:sz="6" w:space="0" w:color="auto"/>
              <w:bottom w:val="single" w:sz="6" w:space="0" w:color="auto"/>
              <w:right w:val="single" w:sz="6" w:space="0" w:color="auto"/>
            </w:tcBorders>
          </w:tcPr>
          <w:p w:rsidR="008E35ED" w:rsidRPr="00A67973" w:rsidRDefault="00E20E52" w:rsidP="008E35ED">
            <w:pPr>
              <w:rPr>
                <w:sz w:val="23"/>
                <w:szCs w:val="23"/>
                <w:lang w:val="en-US"/>
              </w:rPr>
            </w:pPr>
            <w:r>
              <w:rPr>
                <w:sz w:val="23"/>
                <w:szCs w:val="23"/>
                <w:lang w:val="en-US"/>
              </w:rPr>
              <w:t>Maria Nilsson (L)</w:t>
            </w:r>
          </w:p>
        </w:tc>
        <w:tc>
          <w:tcPr>
            <w:tcW w:w="426" w:type="dxa"/>
            <w:tcBorders>
              <w:top w:val="single" w:sz="6" w:space="0" w:color="auto"/>
              <w:left w:val="single" w:sz="6" w:space="0" w:color="auto"/>
              <w:bottom w:val="single" w:sz="6" w:space="0" w:color="auto"/>
              <w:right w:val="single" w:sz="6" w:space="0" w:color="auto"/>
            </w:tcBorders>
          </w:tcPr>
          <w:p w:rsidR="008E35ED"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9" w:type="dxa"/>
            <w:tcBorders>
              <w:top w:val="single" w:sz="6" w:space="0" w:color="auto"/>
              <w:left w:val="single" w:sz="6" w:space="0" w:color="auto"/>
              <w:bottom w:val="single" w:sz="6" w:space="0" w:color="auto"/>
              <w:right w:val="single" w:sz="6" w:space="0" w:color="auto"/>
            </w:tcBorders>
          </w:tcPr>
          <w:p w:rsidR="008E35ED" w:rsidRPr="00055868"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tcBorders>
              <w:top w:val="single" w:sz="6" w:space="0" w:color="auto"/>
              <w:left w:val="single" w:sz="6" w:space="0" w:color="auto"/>
              <w:bottom w:val="single" w:sz="6" w:space="0" w:color="auto"/>
              <w:right w:val="single" w:sz="6" w:space="0" w:color="auto"/>
            </w:tcBorders>
          </w:tcPr>
          <w:p w:rsidR="008E35ED" w:rsidRPr="00055868"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11"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E35ED" w:rsidRPr="00055868"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10"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E20E52"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4"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E35ED" w:rsidRPr="00055868"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E35ED" w:rsidRPr="005F118E" w:rsidTr="008E35ED">
        <w:trPr>
          <w:trHeight w:hRule="exact" w:val="57"/>
        </w:trPr>
        <w:tc>
          <w:tcPr>
            <w:tcW w:w="3402" w:type="dxa"/>
            <w:tcBorders>
              <w:top w:val="nil"/>
              <w:left w:val="nil"/>
              <w:bottom w:val="nil"/>
              <w:right w:val="nil"/>
            </w:tcBorders>
          </w:tcPr>
          <w:p w:rsidR="008E35ED" w:rsidRPr="00CF22E1"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nil"/>
              <w:left w:val="nil"/>
              <w:bottom w:val="nil"/>
              <w:right w:val="nil"/>
            </w:tcBorders>
          </w:tcPr>
          <w:p w:rsidR="008E35ED" w:rsidRPr="00CF22E1"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nil"/>
              <w:left w:val="nil"/>
              <w:bottom w:val="nil"/>
              <w:right w:val="nil"/>
            </w:tcBorders>
          </w:tcPr>
          <w:p w:rsidR="008E35ED" w:rsidRPr="00CF22E1"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812" w:type="dxa"/>
            <w:gridSpan w:val="14"/>
            <w:tcBorders>
              <w:top w:val="nil"/>
              <w:left w:val="nil"/>
              <w:bottom w:val="nil"/>
              <w:right w:val="nil"/>
            </w:tcBorders>
          </w:tcPr>
          <w:p w:rsidR="008E35ED" w:rsidRPr="00CF22E1"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3" w:type="dxa"/>
            <w:tcBorders>
              <w:top w:val="nil"/>
              <w:left w:val="nil"/>
              <w:bottom w:val="nil"/>
              <w:right w:val="nil"/>
            </w:tcBorders>
          </w:tcPr>
          <w:p w:rsidR="008E35ED" w:rsidRPr="00CF22E1"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nil"/>
              <w:left w:val="nil"/>
              <w:bottom w:val="nil"/>
              <w:right w:val="nil"/>
            </w:tcBorders>
          </w:tcPr>
          <w:p w:rsidR="008E35ED" w:rsidRPr="00CF22E1"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nil"/>
              <w:left w:val="nil"/>
              <w:bottom w:val="nil"/>
              <w:right w:val="nil"/>
            </w:tcBorders>
          </w:tcPr>
          <w:p w:rsidR="008E35ED" w:rsidRPr="00CF22E1"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nil"/>
              <w:left w:val="nil"/>
              <w:bottom w:val="nil"/>
              <w:right w:val="nil"/>
            </w:tcBorders>
          </w:tcPr>
          <w:p w:rsidR="008E35ED" w:rsidRPr="00CF22E1"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E35ED" w:rsidRPr="004D30F5" w:rsidTr="008E35ED">
        <w:trPr>
          <w:trHeight w:val="263"/>
        </w:trPr>
        <w:tc>
          <w:tcPr>
            <w:tcW w:w="3402" w:type="dxa"/>
            <w:tcBorders>
              <w:top w:val="nil"/>
              <w:left w:val="nil"/>
              <w:bottom w:val="nil"/>
              <w:right w:val="nil"/>
            </w:tcBorders>
            <w:hideMark/>
          </w:tcPr>
          <w:p w:rsidR="008E35ED" w:rsidRPr="004D30F5"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r>
              <w:rPr>
                <w:sz w:val="16"/>
                <w:szCs w:val="16"/>
              </w:rPr>
              <w:t xml:space="preserve">   </w:t>
            </w:r>
          </w:p>
        </w:tc>
        <w:tc>
          <w:tcPr>
            <w:tcW w:w="426" w:type="dxa"/>
            <w:tcBorders>
              <w:top w:val="nil"/>
              <w:left w:val="nil"/>
              <w:bottom w:val="nil"/>
              <w:right w:val="nil"/>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425" w:type="dxa"/>
            <w:tcBorders>
              <w:top w:val="nil"/>
              <w:left w:val="nil"/>
              <w:bottom w:val="nil"/>
              <w:right w:val="nil"/>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812" w:type="dxa"/>
            <w:gridSpan w:val="14"/>
            <w:vMerge w:val="restart"/>
            <w:tcBorders>
              <w:top w:val="nil"/>
              <w:left w:val="nil"/>
              <w:bottom w:val="nil"/>
              <w:right w:val="nil"/>
            </w:tcBorders>
            <w:hideMark/>
          </w:tcPr>
          <w:p w:rsidR="008E35ED" w:rsidRPr="004D30F5"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4D30F5">
              <w:rPr>
                <w:sz w:val="16"/>
                <w:szCs w:val="16"/>
              </w:rPr>
              <w:t xml:space="preserve"> = ledamöter som deltagit i handläggningen</w:t>
            </w:r>
          </w:p>
          <w:p w:rsidR="008E35ED" w:rsidRPr="004D30F5"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4D30F5">
              <w:rPr>
                <w:sz w:val="16"/>
                <w:szCs w:val="16"/>
              </w:rPr>
              <w:t xml:space="preserve"> = ledamöter som härutöver har varit närvarande</w:t>
            </w:r>
          </w:p>
        </w:tc>
        <w:tc>
          <w:tcPr>
            <w:tcW w:w="283" w:type="dxa"/>
            <w:tcBorders>
              <w:top w:val="nil"/>
              <w:left w:val="nil"/>
              <w:bottom w:val="nil"/>
              <w:right w:val="nil"/>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284" w:type="dxa"/>
            <w:tcBorders>
              <w:top w:val="nil"/>
              <w:left w:val="nil"/>
              <w:bottom w:val="nil"/>
              <w:right w:val="nil"/>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425" w:type="dxa"/>
            <w:tcBorders>
              <w:top w:val="nil"/>
              <w:left w:val="nil"/>
              <w:bottom w:val="nil"/>
              <w:right w:val="nil"/>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425" w:type="dxa"/>
            <w:tcBorders>
              <w:top w:val="nil"/>
              <w:left w:val="nil"/>
              <w:bottom w:val="nil"/>
              <w:right w:val="nil"/>
            </w:tcBorders>
          </w:tcPr>
          <w:p w:rsidR="008E35ED"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r w:rsidR="008E35ED" w:rsidRPr="004D30F5" w:rsidTr="008E35ED">
        <w:trPr>
          <w:trHeight w:val="170"/>
        </w:trPr>
        <w:tc>
          <w:tcPr>
            <w:tcW w:w="3402" w:type="dxa"/>
            <w:tcBorders>
              <w:top w:val="nil"/>
              <w:left w:val="nil"/>
              <w:bottom w:val="nil"/>
              <w:right w:val="nil"/>
            </w:tcBorders>
            <w:hideMark/>
          </w:tcPr>
          <w:p w:rsidR="008E35ED" w:rsidRPr="004D30F5"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tc>
        <w:tc>
          <w:tcPr>
            <w:tcW w:w="426" w:type="dxa"/>
            <w:tcBorders>
              <w:top w:val="nil"/>
              <w:left w:val="nil"/>
              <w:bottom w:val="nil"/>
              <w:right w:val="nil"/>
            </w:tcBorders>
          </w:tcPr>
          <w:p w:rsidR="008E35ED" w:rsidRPr="004D30F5"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425" w:type="dxa"/>
            <w:tcBorders>
              <w:top w:val="nil"/>
              <w:left w:val="nil"/>
              <w:bottom w:val="nil"/>
              <w:right w:val="nil"/>
            </w:tcBorders>
          </w:tcPr>
          <w:p w:rsidR="008E35ED" w:rsidRPr="004D30F5"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812" w:type="dxa"/>
            <w:gridSpan w:val="14"/>
            <w:vMerge/>
            <w:tcBorders>
              <w:top w:val="nil"/>
              <w:left w:val="nil"/>
              <w:bottom w:val="nil"/>
              <w:right w:val="nil"/>
            </w:tcBorders>
            <w:hideMark/>
          </w:tcPr>
          <w:p w:rsidR="008E35ED" w:rsidRPr="004D30F5"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283" w:type="dxa"/>
            <w:tcBorders>
              <w:top w:val="nil"/>
              <w:left w:val="nil"/>
              <w:bottom w:val="nil"/>
              <w:right w:val="nil"/>
            </w:tcBorders>
          </w:tcPr>
          <w:p w:rsidR="008E35ED" w:rsidRPr="004D30F5"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284" w:type="dxa"/>
            <w:tcBorders>
              <w:top w:val="nil"/>
              <w:left w:val="nil"/>
              <w:bottom w:val="nil"/>
              <w:right w:val="nil"/>
            </w:tcBorders>
          </w:tcPr>
          <w:p w:rsidR="008E35ED" w:rsidRPr="004D30F5"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425" w:type="dxa"/>
            <w:tcBorders>
              <w:top w:val="nil"/>
              <w:left w:val="nil"/>
              <w:bottom w:val="nil"/>
              <w:right w:val="nil"/>
            </w:tcBorders>
          </w:tcPr>
          <w:p w:rsidR="008E35ED" w:rsidRPr="004D30F5"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425" w:type="dxa"/>
            <w:tcBorders>
              <w:top w:val="nil"/>
              <w:left w:val="nil"/>
              <w:bottom w:val="nil"/>
              <w:right w:val="nil"/>
            </w:tcBorders>
          </w:tcPr>
          <w:p w:rsidR="008E35ED" w:rsidRPr="004D30F5" w:rsidRDefault="008E35ED" w:rsidP="008E35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bookmarkEnd w:id="1"/>
    </w:tbl>
    <w:p w:rsidR="008E35ED" w:rsidRDefault="008E35ED" w:rsidP="008E35ED">
      <w:pPr>
        <w:tabs>
          <w:tab w:val="left" w:pos="1701"/>
        </w:tabs>
        <w:rPr>
          <w:sz w:val="4"/>
          <w:szCs w:val="4"/>
        </w:rPr>
      </w:pPr>
    </w:p>
    <w:p w:rsidR="008E35ED" w:rsidRDefault="008E35ED" w:rsidP="008E35ED">
      <w:pPr>
        <w:rPr>
          <w:sz w:val="4"/>
          <w:szCs w:val="4"/>
        </w:rPr>
      </w:pPr>
    </w:p>
    <w:p w:rsidR="008E35ED" w:rsidRDefault="008E35ED" w:rsidP="008E35ED">
      <w:pPr>
        <w:rPr>
          <w:sz w:val="4"/>
          <w:szCs w:val="4"/>
        </w:rPr>
      </w:pPr>
    </w:p>
    <w:p w:rsidR="00FB4CC6" w:rsidRDefault="00FB4CC6" w:rsidP="00FB4CC6">
      <w:pPr>
        <w:rPr>
          <w:sz w:val="4"/>
          <w:szCs w:val="4"/>
        </w:rPr>
      </w:pPr>
    </w:p>
    <w:sectPr w:rsidR="00FB4CC6" w:rsidSect="000949AD">
      <w:pgSz w:w="11906" w:h="16838" w:code="9"/>
      <w:pgMar w:top="284" w:right="1134" w:bottom="238"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D41" w:rsidRDefault="008D4D41" w:rsidP="00631795">
      <w:r>
        <w:separator/>
      </w:r>
    </w:p>
  </w:endnote>
  <w:endnote w:type="continuationSeparator" w:id="0">
    <w:p w:rsidR="008D4D41" w:rsidRDefault="008D4D41"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D41" w:rsidRDefault="008D4D41" w:rsidP="00631795">
      <w:r>
        <w:separator/>
      </w:r>
    </w:p>
  </w:footnote>
  <w:footnote w:type="continuationSeparator" w:id="0">
    <w:p w:rsidR="008D4D41" w:rsidRDefault="008D4D41"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2540F"/>
    <w:rsid w:val="00030ABE"/>
    <w:rsid w:val="000400AD"/>
    <w:rsid w:val="00040691"/>
    <w:rsid w:val="00053E76"/>
    <w:rsid w:val="00055868"/>
    <w:rsid w:val="000616DB"/>
    <w:rsid w:val="00064E0C"/>
    <w:rsid w:val="00065F76"/>
    <w:rsid w:val="00070EB6"/>
    <w:rsid w:val="00073D71"/>
    <w:rsid w:val="00081A95"/>
    <w:rsid w:val="00093BD4"/>
    <w:rsid w:val="000949AD"/>
    <w:rsid w:val="00095048"/>
    <w:rsid w:val="000A4818"/>
    <w:rsid w:val="000B46FD"/>
    <w:rsid w:val="000C7234"/>
    <w:rsid w:val="000E161F"/>
    <w:rsid w:val="000E7D03"/>
    <w:rsid w:val="000F0AD5"/>
    <w:rsid w:val="000F2A32"/>
    <w:rsid w:val="0010715F"/>
    <w:rsid w:val="00107E4B"/>
    <w:rsid w:val="00113970"/>
    <w:rsid w:val="001141DB"/>
    <w:rsid w:val="0011654F"/>
    <w:rsid w:val="00120A12"/>
    <w:rsid w:val="001211A3"/>
    <w:rsid w:val="00142A52"/>
    <w:rsid w:val="001441C2"/>
    <w:rsid w:val="001531D2"/>
    <w:rsid w:val="001602E5"/>
    <w:rsid w:val="0016078E"/>
    <w:rsid w:val="00161AA6"/>
    <w:rsid w:val="00165630"/>
    <w:rsid w:val="00175463"/>
    <w:rsid w:val="0018036E"/>
    <w:rsid w:val="0018189D"/>
    <w:rsid w:val="00195A71"/>
    <w:rsid w:val="001A7020"/>
    <w:rsid w:val="001B29C0"/>
    <w:rsid w:val="001B59E4"/>
    <w:rsid w:val="001C39BB"/>
    <w:rsid w:val="001F54F3"/>
    <w:rsid w:val="00211AAB"/>
    <w:rsid w:val="0021671F"/>
    <w:rsid w:val="00234E14"/>
    <w:rsid w:val="00250C53"/>
    <w:rsid w:val="00251677"/>
    <w:rsid w:val="002544E0"/>
    <w:rsid w:val="00274599"/>
    <w:rsid w:val="00277F32"/>
    <w:rsid w:val="002931F9"/>
    <w:rsid w:val="002A1A33"/>
    <w:rsid w:val="002A2FE6"/>
    <w:rsid w:val="002B4C7D"/>
    <w:rsid w:val="002B5FBD"/>
    <w:rsid w:val="002C5921"/>
    <w:rsid w:val="002D656B"/>
    <w:rsid w:val="0032031B"/>
    <w:rsid w:val="00320B36"/>
    <w:rsid w:val="00333A92"/>
    <w:rsid w:val="00347A55"/>
    <w:rsid w:val="003547EE"/>
    <w:rsid w:val="003553E5"/>
    <w:rsid w:val="00376FF7"/>
    <w:rsid w:val="0038193D"/>
    <w:rsid w:val="003835F4"/>
    <w:rsid w:val="00392DA1"/>
    <w:rsid w:val="00394A7E"/>
    <w:rsid w:val="003952A4"/>
    <w:rsid w:val="0039591D"/>
    <w:rsid w:val="003A1983"/>
    <w:rsid w:val="003B1C87"/>
    <w:rsid w:val="003C26F9"/>
    <w:rsid w:val="003C4540"/>
    <w:rsid w:val="003D6B33"/>
    <w:rsid w:val="003D6C7D"/>
    <w:rsid w:val="003E4AA0"/>
    <w:rsid w:val="003F5A35"/>
    <w:rsid w:val="003F5BD7"/>
    <w:rsid w:val="00403AC6"/>
    <w:rsid w:val="0040548D"/>
    <w:rsid w:val="00412271"/>
    <w:rsid w:val="00413959"/>
    <w:rsid w:val="00430167"/>
    <w:rsid w:val="00447BD0"/>
    <w:rsid w:val="00447EA2"/>
    <w:rsid w:val="00453974"/>
    <w:rsid w:val="004659A3"/>
    <w:rsid w:val="00474E2B"/>
    <w:rsid w:val="00484380"/>
    <w:rsid w:val="004926D7"/>
    <w:rsid w:val="004B2502"/>
    <w:rsid w:val="004C59D1"/>
    <w:rsid w:val="004D30F5"/>
    <w:rsid w:val="004F1558"/>
    <w:rsid w:val="004F1B55"/>
    <w:rsid w:val="004F42DA"/>
    <w:rsid w:val="004F680C"/>
    <w:rsid w:val="00515A13"/>
    <w:rsid w:val="005347A1"/>
    <w:rsid w:val="005377E4"/>
    <w:rsid w:val="0055237C"/>
    <w:rsid w:val="005646A3"/>
    <w:rsid w:val="00564DBB"/>
    <w:rsid w:val="005714D8"/>
    <w:rsid w:val="0057395B"/>
    <w:rsid w:val="005778AA"/>
    <w:rsid w:val="00592D6B"/>
    <w:rsid w:val="00596129"/>
    <w:rsid w:val="005A0889"/>
    <w:rsid w:val="005A37D9"/>
    <w:rsid w:val="005B6D13"/>
    <w:rsid w:val="005C3E25"/>
    <w:rsid w:val="005D721E"/>
    <w:rsid w:val="005E05DE"/>
    <w:rsid w:val="005F118E"/>
    <w:rsid w:val="005F59C8"/>
    <w:rsid w:val="005F7D3E"/>
    <w:rsid w:val="00606D38"/>
    <w:rsid w:val="00616572"/>
    <w:rsid w:val="00631795"/>
    <w:rsid w:val="0063430B"/>
    <w:rsid w:val="00640310"/>
    <w:rsid w:val="00640C19"/>
    <w:rsid w:val="0064344C"/>
    <w:rsid w:val="00656DD9"/>
    <w:rsid w:val="00660A8A"/>
    <w:rsid w:val="00666E01"/>
    <w:rsid w:val="00670187"/>
    <w:rsid w:val="00670477"/>
    <w:rsid w:val="006723B9"/>
    <w:rsid w:val="00674B70"/>
    <w:rsid w:val="00675BB1"/>
    <w:rsid w:val="0068513C"/>
    <w:rsid w:val="00685998"/>
    <w:rsid w:val="0069442A"/>
    <w:rsid w:val="006A56E8"/>
    <w:rsid w:val="006C21FA"/>
    <w:rsid w:val="006C2E17"/>
    <w:rsid w:val="006D1030"/>
    <w:rsid w:val="006D7ACC"/>
    <w:rsid w:val="006E06A4"/>
    <w:rsid w:val="006E5E91"/>
    <w:rsid w:val="006E774B"/>
    <w:rsid w:val="006F41EB"/>
    <w:rsid w:val="006F6C7A"/>
    <w:rsid w:val="007026FD"/>
    <w:rsid w:val="00703D16"/>
    <w:rsid w:val="00711F2E"/>
    <w:rsid w:val="00721DB8"/>
    <w:rsid w:val="00723C10"/>
    <w:rsid w:val="00723DD0"/>
    <w:rsid w:val="00726C3B"/>
    <w:rsid w:val="00737EC8"/>
    <w:rsid w:val="00746974"/>
    <w:rsid w:val="0078232D"/>
    <w:rsid w:val="00786461"/>
    <w:rsid w:val="00787DED"/>
    <w:rsid w:val="00792B26"/>
    <w:rsid w:val="00797764"/>
    <w:rsid w:val="007A327C"/>
    <w:rsid w:val="007B02AD"/>
    <w:rsid w:val="007C2BDB"/>
    <w:rsid w:val="007D4053"/>
    <w:rsid w:val="0081753E"/>
    <w:rsid w:val="00820B85"/>
    <w:rsid w:val="00822388"/>
    <w:rsid w:val="00827461"/>
    <w:rsid w:val="008357F3"/>
    <w:rsid w:val="00836A92"/>
    <w:rsid w:val="008434C1"/>
    <w:rsid w:val="008557FA"/>
    <w:rsid w:val="00855D4E"/>
    <w:rsid w:val="008571EA"/>
    <w:rsid w:val="00861DDD"/>
    <w:rsid w:val="00866874"/>
    <w:rsid w:val="00871230"/>
    <w:rsid w:val="00880177"/>
    <w:rsid w:val="008842C3"/>
    <w:rsid w:val="0088626C"/>
    <w:rsid w:val="00894188"/>
    <w:rsid w:val="00894D40"/>
    <w:rsid w:val="008A2F12"/>
    <w:rsid w:val="008C2D0B"/>
    <w:rsid w:val="008D1752"/>
    <w:rsid w:val="008D4D41"/>
    <w:rsid w:val="008E35ED"/>
    <w:rsid w:val="008E3706"/>
    <w:rsid w:val="008F2514"/>
    <w:rsid w:val="008F4378"/>
    <w:rsid w:val="008F62F9"/>
    <w:rsid w:val="00901669"/>
    <w:rsid w:val="00912575"/>
    <w:rsid w:val="00913943"/>
    <w:rsid w:val="00916634"/>
    <w:rsid w:val="00940F4E"/>
    <w:rsid w:val="00946978"/>
    <w:rsid w:val="00957BD5"/>
    <w:rsid w:val="0096372C"/>
    <w:rsid w:val="00973D8B"/>
    <w:rsid w:val="00977046"/>
    <w:rsid w:val="009800E4"/>
    <w:rsid w:val="009966EE"/>
    <w:rsid w:val="009E118F"/>
    <w:rsid w:val="009E1625"/>
    <w:rsid w:val="009E2980"/>
    <w:rsid w:val="009E6E0D"/>
    <w:rsid w:val="009F22E3"/>
    <w:rsid w:val="009F636D"/>
    <w:rsid w:val="00A02114"/>
    <w:rsid w:val="00A0486E"/>
    <w:rsid w:val="00A04A4A"/>
    <w:rsid w:val="00A05767"/>
    <w:rsid w:val="00A07505"/>
    <w:rsid w:val="00A119D6"/>
    <w:rsid w:val="00A1778A"/>
    <w:rsid w:val="00A21853"/>
    <w:rsid w:val="00A2414A"/>
    <w:rsid w:val="00A25245"/>
    <w:rsid w:val="00A51C20"/>
    <w:rsid w:val="00A5427F"/>
    <w:rsid w:val="00A55283"/>
    <w:rsid w:val="00A607EE"/>
    <w:rsid w:val="00A67973"/>
    <w:rsid w:val="00A827D2"/>
    <w:rsid w:val="00A91D77"/>
    <w:rsid w:val="00AA6A03"/>
    <w:rsid w:val="00AC0186"/>
    <w:rsid w:val="00AC3854"/>
    <w:rsid w:val="00AC5412"/>
    <w:rsid w:val="00AD5D00"/>
    <w:rsid w:val="00AF38AF"/>
    <w:rsid w:val="00AF5570"/>
    <w:rsid w:val="00B0007A"/>
    <w:rsid w:val="00B30142"/>
    <w:rsid w:val="00B31485"/>
    <w:rsid w:val="00B4488D"/>
    <w:rsid w:val="00B46785"/>
    <w:rsid w:val="00B47C0F"/>
    <w:rsid w:val="00B62306"/>
    <w:rsid w:val="00B64FA1"/>
    <w:rsid w:val="00B671AD"/>
    <w:rsid w:val="00B74FAF"/>
    <w:rsid w:val="00B75E0D"/>
    <w:rsid w:val="00BA3D43"/>
    <w:rsid w:val="00BB778C"/>
    <w:rsid w:val="00BD037A"/>
    <w:rsid w:val="00BE1AE5"/>
    <w:rsid w:val="00C0607C"/>
    <w:rsid w:val="00C12C24"/>
    <w:rsid w:val="00C150F4"/>
    <w:rsid w:val="00C30522"/>
    <w:rsid w:val="00C33757"/>
    <w:rsid w:val="00C45E21"/>
    <w:rsid w:val="00C5528B"/>
    <w:rsid w:val="00C8075D"/>
    <w:rsid w:val="00C8434B"/>
    <w:rsid w:val="00C850D4"/>
    <w:rsid w:val="00C94625"/>
    <w:rsid w:val="00C9784D"/>
    <w:rsid w:val="00CA31D0"/>
    <w:rsid w:val="00CA4971"/>
    <w:rsid w:val="00CA5BCE"/>
    <w:rsid w:val="00CA61A3"/>
    <w:rsid w:val="00CB0EC5"/>
    <w:rsid w:val="00CB2353"/>
    <w:rsid w:val="00CB4DAF"/>
    <w:rsid w:val="00CB5A24"/>
    <w:rsid w:val="00CC72FB"/>
    <w:rsid w:val="00CD3B87"/>
    <w:rsid w:val="00CE3987"/>
    <w:rsid w:val="00CE5992"/>
    <w:rsid w:val="00CF22E1"/>
    <w:rsid w:val="00D21B05"/>
    <w:rsid w:val="00D3187E"/>
    <w:rsid w:val="00D360B4"/>
    <w:rsid w:val="00D409A3"/>
    <w:rsid w:val="00D54317"/>
    <w:rsid w:val="00D626DE"/>
    <w:rsid w:val="00D90D9B"/>
    <w:rsid w:val="00D951CA"/>
    <w:rsid w:val="00D96B85"/>
    <w:rsid w:val="00DA26F4"/>
    <w:rsid w:val="00DC42D6"/>
    <w:rsid w:val="00DC4350"/>
    <w:rsid w:val="00DC4D41"/>
    <w:rsid w:val="00DC5F0A"/>
    <w:rsid w:val="00DD0831"/>
    <w:rsid w:val="00DD270A"/>
    <w:rsid w:val="00DE1C47"/>
    <w:rsid w:val="00DE6176"/>
    <w:rsid w:val="00DF2C5A"/>
    <w:rsid w:val="00E0349D"/>
    <w:rsid w:val="00E20E52"/>
    <w:rsid w:val="00E24A87"/>
    <w:rsid w:val="00E27802"/>
    <w:rsid w:val="00E42441"/>
    <w:rsid w:val="00E55E38"/>
    <w:rsid w:val="00E7686B"/>
    <w:rsid w:val="00E83F91"/>
    <w:rsid w:val="00E84D7F"/>
    <w:rsid w:val="00EB3E50"/>
    <w:rsid w:val="00EB5352"/>
    <w:rsid w:val="00EB6861"/>
    <w:rsid w:val="00EC23DC"/>
    <w:rsid w:val="00ED28CD"/>
    <w:rsid w:val="00ED3389"/>
    <w:rsid w:val="00EE586D"/>
    <w:rsid w:val="00F000A7"/>
    <w:rsid w:val="00F06797"/>
    <w:rsid w:val="00F2328F"/>
    <w:rsid w:val="00F33B9D"/>
    <w:rsid w:val="00F357B8"/>
    <w:rsid w:val="00F50DEF"/>
    <w:rsid w:val="00F5133A"/>
    <w:rsid w:val="00F5400B"/>
    <w:rsid w:val="00F541FF"/>
    <w:rsid w:val="00FA0FF8"/>
    <w:rsid w:val="00FB1368"/>
    <w:rsid w:val="00FB34D6"/>
    <w:rsid w:val="00FB4303"/>
    <w:rsid w:val="00FB4CC6"/>
    <w:rsid w:val="00FC7074"/>
    <w:rsid w:val="00FE3026"/>
    <w:rsid w:val="00FE47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59D1"/>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0178F-0AA5-4ED9-A3D2-F07011F7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1</TotalTime>
  <Pages>6</Pages>
  <Words>1579</Words>
  <Characters>10331</Characters>
  <Application>Microsoft Office Word</Application>
  <DocSecurity>0</DocSecurity>
  <Lines>1291</Lines>
  <Paragraphs>330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Tina Hökebro Bergh</cp:lastModifiedBy>
  <cp:revision>2</cp:revision>
  <cp:lastPrinted>2021-11-16T09:52:00Z</cp:lastPrinted>
  <dcterms:created xsi:type="dcterms:W3CDTF">2022-02-17T13:43:00Z</dcterms:created>
  <dcterms:modified xsi:type="dcterms:W3CDTF">2022-02-17T13:43:00Z</dcterms:modified>
</cp:coreProperties>
</file>