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ADE" w:rsidRPr="00586640" w:rsidRDefault="00B17ADE">
      <w:pPr>
        <w:pStyle w:val="Hemstlrubrik"/>
      </w:pPr>
      <w:r w:rsidRPr="00586640">
        <w:t>Förslag till riksdagsbeslut</w:t>
      </w:r>
    </w:p>
    <w:p w:rsidR="00B17ADE" w:rsidRPr="00586640" w:rsidRDefault="00B17ADE">
      <w:pPr>
        <w:pStyle w:val="Hemstlatt"/>
        <w:ind w:left="0"/>
      </w:pPr>
      <w:r w:rsidRPr="00586640">
        <w:rPr>
          <w:szCs w:val="24"/>
        </w:rPr>
        <w:t>Riksdagen tillkännager för regeringen som sin mening vad som anförs i motionen om att lagstiftningen rörande villkorlig frigivning bör reformeras.</w:t>
      </w:r>
    </w:p>
    <w:p w:rsidR="00B17ADE" w:rsidRPr="00586640" w:rsidRDefault="00B17ADE">
      <w:pPr>
        <w:pStyle w:val="Rubrik1"/>
      </w:pPr>
      <w:r w:rsidRPr="00586640">
        <w:t>Bakgrund</w:t>
      </w:r>
    </w:p>
    <w:p w:rsidR="00B17ADE" w:rsidRPr="00586640" w:rsidRDefault="00B17ADE">
      <w:r w:rsidRPr="00586640">
        <w:t>1993</w:t>
      </w:r>
      <w:bookmarkStart w:id="0" w:name="hit2"/>
      <w:bookmarkEnd w:id="0"/>
      <w:r w:rsidRPr="00586640">
        <w:t xml:space="preserve"> återinfördes regler om fakultativ villkorlig frigivning i brottsbalkens påföljdsbestämmelser.</w:t>
      </w:r>
      <w:bookmarkStart w:id="1" w:name="hit3"/>
      <w:bookmarkStart w:id="2" w:name="hit4"/>
      <w:bookmarkEnd w:id="1"/>
      <w:bookmarkEnd w:id="2"/>
      <w:r w:rsidRPr="00586640">
        <w:t xml:space="preserve"> Den 1 januari 1999 avskaffades särbestämmelserna om villkorlig frigivning</w:t>
      </w:r>
      <w:bookmarkStart w:id="3" w:name="hit5"/>
      <w:bookmarkStart w:id="4" w:name="hit6"/>
      <w:bookmarkEnd w:id="3"/>
      <w:bookmarkEnd w:id="4"/>
      <w:r w:rsidRPr="00586640">
        <w:t xml:space="preserve"> beträffande långtidsdömda samtidigt som en presumtion för villkorlig frigivning infördes när</w:t>
      </w:r>
      <w:bookmarkStart w:id="5" w:name="hit7"/>
      <w:bookmarkStart w:id="6" w:name="hit8"/>
      <w:bookmarkEnd w:id="5"/>
      <w:bookmarkEnd w:id="6"/>
      <w:r w:rsidRPr="00586640">
        <w:t xml:space="preserve"> två tredjedelar av straffet avtjänats.</w:t>
      </w:r>
    </w:p>
    <w:p w:rsidR="00B17ADE" w:rsidRPr="00586640" w:rsidRDefault="00B17ADE">
      <w:pPr>
        <w:pStyle w:val="Normaltindrag"/>
      </w:pPr>
      <w:r w:rsidRPr="00586640">
        <w:t>I 26 kap. 6 § första stycket brottsbalken återfinns den grundläggande r</w:t>
      </w:r>
      <w:r w:rsidRPr="00586640">
        <w:t>e</w:t>
      </w:r>
      <w:r w:rsidRPr="00586640">
        <w:t>geln om när vill</w:t>
      </w:r>
      <w:r w:rsidRPr="00586640">
        <w:softHyphen/>
        <w:t xml:space="preserve">korlig frigivning ska ske. Bestämmelsen har följande lydelse. </w:t>
      </w:r>
    </w:p>
    <w:p w:rsidR="00B17ADE" w:rsidRPr="00586640" w:rsidRDefault="00B17ADE">
      <w:pPr>
        <w:pStyle w:val="Citat"/>
        <w:rPr>
          <w:color w:val="000000"/>
          <w:sz w:val="20"/>
        </w:rPr>
      </w:pPr>
      <w:r w:rsidRPr="00586640">
        <w:rPr>
          <w:rStyle w:val="CitatChar"/>
        </w:rPr>
        <w:t>När två tredjedelar av ett tidsbestämt fängelsestraff, dock minst en m</w:t>
      </w:r>
      <w:r w:rsidRPr="00586640">
        <w:rPr>
          <w:rStyle w:val="CitatChar"/>
        </w:rPr>
        <w:t>å</w:t>
      </w:r>
      <w:r w:rsidRPr="00586640">
        <w:rPr>
          <w:rStyle w:val="CitatChar"/>
        </w:rPr>
        <w:t>nad, har avtjänats skall den dömde friges villkorligt, om inte annat följer av andra eller tredje stycket</w:t>
      </w:r>
      <w:r w:rsidRPr="00586640">
        <w:rPr>
          <w:color w:val="000000"/>
          <w:sz w:val="20"/>
        </w:rPr>
        <w:t>.</w:t>
      </w:r>
    </w:p>
    <w:p w:rsidR="00B17ADE" w:rsidRPr="00586640" w:rsidRDefault="00B17ADE">
      <w:pPr>
        <w:rPr>
          <w:bCs/>
        </w:rPr>
      </w:pPr>
      <w:r w:rsidRPr="00586640">
        <w:t>Innebörden av den nu nämnda bestämmelsen är att det gäller en mycket stark presumtion för villkorlig frigivning när två tredjedelar av strafftiden har a</w:t>
      </w:r>
      <w:r w:rsidRPr="00586640">
        <w:t>v</w:t>
      </w:r>
      <w:r w:rsidRPr="00586640">
        <w:t>tjänats. För att villkorlig frigivning ska kunna skjutas upp krävs det att sy</w:t>
      </w:r>
      <w:r w:rsidRPr="00586640">
        <w:t>n</w:t>
      </w:r>
      <w:r w:rsidRPr="00586640">
        <w:t>nerliga skäl föreligger. Vid bedöm</w:t>
      </w:r>
      <w:r w:rsidRPr="00586640">
        <w:softHyphen/>
        <w:t>ningen av om så är fallet ska särskilt bea</w:t>
      </w:r>
      <w:r w:rsidRPr="00586640">
        <w:t>k</w:t>
      </w:r>
      <w:r w:rsidRPr="00586640">
        <w:t>tas om den dömde på ett allvarligt sätt har brutit mot de föreskrifter och vil</w:t>
      </w:r>
      <w:r w:rsidRPr="00586640">
        <w:t>l</w:t>
      </w:r>
      <w:r w:rsidRPr="00586640">
        <w:t>kor som gäller för verkställigheten. Villkorlig frigivning kan inte ske från fängelse som har dömts enligt 28 kap. 3 § brottsbalken eller från ett förvan</w:t>
      </w:r>
      <w:r w:rsidRPr="00586640">
        <w:t>d</w:t>
      </w:r>
      <w:r w:rsidRPr="00586640">
        <w:t>lingsstraff för böter. Därutöver kan villkorlig frigivning inte heller ske från ett livstidsstraff eftersom ett sådant str</w:t>
      </w:r>
      <w:r w:rsidRPr="00586640">
        <w:t>aff inte är tidsbestämt.</w:t>
      </w:r>
    </w:p>
    <w:p w:rsidR="00B17ADE" w:rsidRPr="00586640" w:rsidRDefault="00B17ADE">
      <w:pPr>
        <w:pStyle w:val="Normaltindrag"/>
      </w:pPr>
      <w:r w:rsidRPr="00586640">
        <w:t>I 34 kap. brottsbalken finns regler om när villkorligt medgiven frihet ska förklaras förverkad. I kapitlets 4 § uppställs vissa grundläggande förutsät</w:t>
      </w:r>
      <w:r w:rsidRPr="00586640">
        <w:t>t</w:t>
      </w:r>
      <w:r w:rsidRPr="00586640">
        <w:t>ningar för bestämmelsens til</w:t>
      </w:r>
      <w:r w:rsidRPr="00586640">
        <w:softHyphen/>
        <w:t>lämp</w:t>
      </w:r>
      <w:r w:rsidRPr="00586640">
        <w:softHyphen/>
        <w:t>ning. Om i lagrummet angivna förutsät</w:t>
      </w:r>
      <w:r w:rsidRPr="00586640">
        <w:t>t</w:t>
      </w:r>
      <w:r w:rsidRPr="00586640">
        <w:t xml:space="preserve">ningar föreligger gäller att </w:t>
      </w:r>
    </w:p>
    <w:p w:rsidR="00B17ADE" w:rsidRPr="00586640" w:rsidRDefault="00B17ADE">
      <w:pPr>
        <w:pStyle w:val="Citat"/>
      </w:pPr>
      <w:r w:rsidRPr="00586640">
        <w:rPr>
          <w:rStyle w:val="CitatChar"/>
        </w:rPr>
        <w:lastRenderedPageBreak/>
        <w:t>I fråga om någon som villkor</w:t>
      </w:r>
      <w:r w:rsidRPr="00586640">
        <w:rPr>
          <w:rStyle w:val="CitatChar"/>
        </w:rPr>
        <w:softHyphen/>
        <w:t>ligt fri</w:t>
      </w:r>
      <w:r w:rsidRPr="00586640">
        <w:rPr>
          <w:rStyle w:val="CitatChar"/>
        </w:rPr>
        <w:softHyphen/>
        <w:t>givits från fängelse, skall, om brottet begåtts under prövotiden, den villkor</w:t>
      </w:r>
      <w:r w:rsidRPr="00586640">
        <w:rPr>
          <w:rStyle w:val="CitatChar"/>
        </w:rPr>
        <w:softHyphen/>
        <w:t>ligt med</w:t>
      </w:r>
      <w:r w:rsidRPr="00586640">
        <w:rPr>
          <w:rStyle w:val="CitatChar"/>
        </w:rPr>
        <w:softHyphen/>
        <w:t>givna friheten eller en del av denna förklaras förver</w:t>
      </w:r>
      <w:r w:rsidRPr="00586640">
        <w:rPr>
          <w:rStyle w:val="CitatChar"/>
        </w:rPr>
        <w:softHyphen/>
        <w:t>kad om inte särskilda skäl talar mot det</w:t>
      </w:r>
      <w:r w:rsidRPr="00586640">
        <w:t>.</w:t>
      </w:r>
    </w:p>
    <w:p w:rsidR="00B17ADE" w:rsidRPr="00586640" w:rsidRDefault="00B17ADE">
      <w:r w:rsidRPr="00586640">
        <w:t>Som särskilda skäl för att inte förverka eller för att för</w:t>
      </w:r>
      <w:r w:rsidRPr="00586640">
        <w:softHyphen/>
        <w:t>ver</w:t>
      </w:r>
      <w:r w:rsidRPr="00586640">
        <w:softHyphen/>
        <w:t>ka endast en del av villkorligt med</w:t>
      </w:r>
      <w:r w:rsidRPr="00586640">
        <w:softHyphen/>
        <w:t>given frihet kan rätten beakta om den nya brotts</w:t>
      </w:r>
      <w:r w:rsidRPr="00586640">
        <w:softHyphen/>
        <w:t>lig</w:t>
      </w:r>
      <w:r w:rsidRPr="00586640">
        <w:softHyphen/>
        <w:t>heten i fö</w:t>
      </w:r>
      <w:r w:rsidRPr="00586640">
        <w:t>r</w:t>
      </w:r>
      <w:r w:rsidRPr="00586640">
        <w:t>hållande till den tidigare är av lindrig beskaffenhet, om lång tid har förflutit mellan brotten, eller om ett för</w:t>
      </w:r>
      <w:r w:rsidRPr="00586640">
        <w:softHyphen/>
        <w:t xml:space="preserve">verkande annars skulle framstå som oskäligt. </w:t>
      </w:r>
    </w:p>
    <w:p w:rsidR="00B17ADE" w:rsidRPr="00586640" w:rsidRDefault="00B17ADE">
      <w:pPr>
        <w:pStyle w:val="Normaltindrag"/>
      </w:pPr>
      <w:r w:rsidRPr="00586640">
        <w:t>Innebörden av förverkandereglerna är således att det föreligger en presu</w:t>
      </w:r>
      <w:r w:rsidRPr="00586640">
        <w:t>m</w:t>
      </w:r>
      <w:r w:rsidRPr="00586640">
        <w:t>tion för att förver</w:t>
      </w:r>
      <w:r w:rsidRPr="00586640">
        <w:softHyphen/>
        <w:t>kande av villkorligt medgiven frihet helt eller delvis ska ske. Detta utgör också den reaktion som ska ligga närmast till hands i en återfall</w:t>
      </w:r>
      <w:r w:rsidRPr="00586640">
        <w:t>s</w:t>
      </w:r>
      <w:r w:rsidRPr="00586640">
        <w:t>situation. Om den nya brottslig</w:t>
      </w:r>
      <w:r w:rsidRPr="00586640">
        <w:softHyphen/>
        <w:t>heten är av lindrig beskaffenhet eller om lång tid förflutit mellan brotten kan detta leda till att ett förverkande helt underlåts eller att ett förverkande av endast en del av den villkorligt medgivna friheten sker. Som ett exempel kan nämnas att om ett återfall har inträffat i slutet av en lång prövotid kan det fi</w:t>
      </w:r>
      <w:r w:rsidRPr="00586640">
        <w:t>nnas skäl att underlåta att förverka i varje fall en del av den villkorligt medgivna friheten. Vid bedömningen av om ett förverkan</w:t>
      </w:r>
      <w:r w:rsidRPr="00586640">
        <w:softHyphen/>
        <w:t>de framstår som oskäligt ska hänsyn tas till sådana förmildrande omständigheter som har betydelse vid straffmätningen. Annat som bör beaktas är om brotten framstår som så olikartade och väsensskilda att ett förverkande inte ter sig rimligt av den anledningen. Förutom exemplifieringen i brottsbalken – som inte är avsedd att vara fullständig – finns det möjlighet att efter en saml</w:t>
      </w:r>
      <w:r w:rsidRPr="00586640">
        <w:t>ad skälighetsbedömning underlåta ett förverkande eller att endast förverka en del av det – genom den villkorligt medgivna friheten – åter</w:t>
      </w:r>
      <w:r w:rsidRPr="00586640">
        <w:softHyphen/>
        <w:t>stående straffet.</w:t>
      </w:r>
    </w:p>
    <w:p w:rsidR="00B17ADE" w:rsidRPr="00586640" w:rsidRDefault="00B17ADE">
      <w:pPr>
        <w:pStyle w:val="Normaltindrag"/>
      </w:pPr>
      <w:r w:rsidRPr="00586640">
        <w:t>I 26 kap. 23 § brottsbalken stadgas följande.</w:t>
      </w:r>
    </w:p>
    <w:p w:rsidR="00B17ADE" w:rsidRPr="00586640" w:rsidRDefault="00B17ADE">
      <w:pPr>
        <w:pStyle w:val="Citat"/>
        <w:rPr>
          <w:rStyle w:val="CitatChar"/>
        </w:rPr>
      </w:pPr>
      <w:r w:rsidRPr="00586640">
        <w:rPr>
          <w:rStyle w:val="CitatChar"/>
        </w:rPr>
        <w:t>Förklaras villkorligt medgiven frihet helt eller delvis förverkad, skall med avseende på frågan om ny </w:t>
      </w:r>
      <w:bookmarkStart w:id="7" w:name="hit25"/>
      <w:bookmarkEnd w:id="7"/>
      <w:r w:rsidRPr="00586640">
        <w:rPr>
          <w:rStyle w:val="CitatChar"/>
        </w:rPr>
        <w:t>villkorlig </w:t>
      </w:r>
      <w:bookmarkStart w:id="8" w:name="hit26"/>
      <w:bookmarkStart w:id="9" w:name="hit27"/>
      <w:bookmarkEnd w:id="8"/>
      <w:bookmarkEnd w:id="9"/>
      <w:r w:rsidRPr="00586640">
        <w:rPr>
          <w:rStyle w:val="CitatChar"/>
        </w:rPr>
        <w:t>frigivning vad som förverkats anses såsom straff genom ny dom.</w:t>
      </w:r>
      <w:bookmarkStart w:id="10" w:name="SFS1962-0700.N1158.NR"/>
      <w:bookmarkEnd w:id="10"/>
    </w:p>
    <w:p w:rsidR="00B17ADE" w:rsidRPr="00586640" w:rsidRDefault="00B17ADE">
      <w:pPr>
        <w:rPr>
          <w:color w:val="000000"/>
          <w:szCs w:val="24"/>
        </w:rPr>
      </w:pPr>
      <w:r w:rsidRPr="00586640">
        <w:rPr>
          <w:szCs w:val="24"/>
        </w:rPr>
        <w:t>Innebörden av denna regel är att den villkorligt medgivna friheten som fa</w:t>
      </w:r>
      <w:r w:rsidRPr="00586640">
        <w:rPr>
          <w:szCs w:val="24"/>
        </w:rPr>
        <w:t>k</w:t>
      </w:r>
      <w:r w:rsidRPr="00586640">
        <w:rPr>
          <w:szCs w:val="24"/>
        </w:rPr>
        <w:t xml:space="preserve">tiskt förverkats i förekommande fall räknas ihop med en ny fängelsepåföljd och därmed blir det straff som döms ut genom ny dom. Från det nya straffet kan villkorlig frigivning ske på samma sätt som från andra fängelsestraff på vilka reglerna i </w:t>
      </w:r>
      <w:r w:rsidRPr="00586640">
        <w:rPr>
          <w:color w:val="000000"/>
          <w:szCs w:val="24"/>
        </w:rPr>
        <w:t>26 kap. 6 § första stycket brottsbalken är tillämpliga. Detta innebär att även personer som vid upprepade tillfällen döms till fängelsestraff (om minst en månad) kommer i åtnjutande av förmånerna med villkorlig frigivning.</w:t>
      </w:r>
    </w:p>
    <w:p w:rsidR="00B17ADE" w:rsidRPr="00586640" w:rsidRDefault="00B17ADE">
      <w:pPr>
        <w:pStyle w:val="Rubrik1"/>
      </w:pPr>
      <w:r w:rsidRPr="00586640">
        <w:t>Skäl</w:t>
      </w:r>
    </w:p>
    <w:p w:rsidR="00B17ADE" w:rsidRPr="00586640" w:rsidRDefault="00B17ADE">
      <w:r w:rsidRPr="00586640">
        <w:t>Inledningsvis bör det framhållas att brottsbalkens påföljdssysten är komplic</w:t>
      </w:r>
      <w:r w:rsidRPr="00586640">
        <w:t>e</w:t>
      </w:r>
      <w:r w:rsidRPr="00586640">
        <w:t>rat och i många stycken svåröverskådligt, inte minst av det skälet att komb</w:t>
      </w:r>
      <w:r w:rsidRPr="00586640">
        <w:t>i</w:t>
      </w:r>
      <w:r w:rsidRPr="00586640">
        <w:t>nationsmöjligheterna när det gäller olika påföljder är stora. I detta komplic</w:t>
      </w:r>
      <w:r w:rsidRPr="00586640">
        <w:t>e</w:t>
      </w:r>
      <w:r w:rsidRPr="00586640">
        <w:t xml:space="preserve">rade och svåröverskådliga system framskymtar det som i vissa sammanhang kallas för påföljdstrappan, vilket kan sägas vara en teoretisk modell för hur samhällets reaktioner på en viss individs brottslighet successivt förstärks. </w:t>
      </w:r>
    </w:p>
    <w:p w:rsidR="00B17ADE" w:rsidRPr="00586640" w:rsidRDefault="00B17ADE">
      <w:pPr>
        <w:pStyle w:val="Normaltindrag"/>
      </w:pPr>
      <w:r w:rsidRPr="00586640">
        <w:t>Beroende på gärningens straffvärde och övriga relevanta omstän</w:t>
      </w:r>
      <w:r w:rsidRPr="00586640">
        <w:softHyphen/>
        <w:t>digheter hamnar den isolerade gärningen på något av påföljdstrappans trappsteg. I förekommande fall av upprepad likartad brottslighet är en ambition att rea</w:t>
      </w:r>
      <w:r w:rsidRPr="00586640">
        <w:t>k</w:t>
      </w:r>
      <w:r w:rsidRPr="00586640">
        <w:t>tionerna på en individs brottslighet successivt ska flyttas uppåt i påföljdstra</w:t>
      </w:r>
      <w:r w:rsidRPr="00586640">
        <w:t>p</w:t>
      </w:r>
      <w:r w:rsidRPr="00586640">
        <w:t>pan. I många fall hamnar dock en brottslig gärning omedelbart på det översta trappsteget – fängelse – på grund av högt straffvärde eller på grund av brottets art. Rätten att komma i åtnjutande av villkorligt medgiven frihet finns å andra sidan från första gången någon ådöms</w:t>
      </w:r>
      <w:r w:rsidRPr="00586640">
        <w:t xml:space="preserve"> ett fängelsestraff (förutsatt att straf</w:t>
      </w:r>
      <w:r w:rsidRPr="00586640">
        <w:t>f</w:t>
      </w:r>
      <w:r w:rsidRPr="00586640">
        <w:t>längden överstiger en månad) liksom i samtliga återkommande fall då en person på nytt ådöms ett fängelsestraff.</w:t>
      </w:r>
    </w:p>
    <w:p w:rsidR="00B17ADE" w:rsidRPr="00586640" w:rsidRDefault="00B17ADE">
      <w:pPr>
        <w:pStyle w:val="Normaltindrag"/>
      </w:pPr>
      <w:r w:rsidRPr="00586640">
        <w:t>I samhället förekommer emellanåt diskussioner rent allmänt om påföljder och i synnerhet om längden på fän</w:t>
      </w:r>
      <w:r w:rsidRPr="00586640">
        <w:softHyphen/>
        <w:t>gel</w:t>
      </w:r>
      <w:r w:rsidRPr="00586640">
        <w:softHyphen/>
        <w:t>sestraff. Det förekommer också uppfat</w:t>
      </w:r>
      <w:r w:rsidRPr="00586640">
        <w:t>t</w:t>
      </w:r>
      <w:r w:rsidRPr="00586640">
        <w:t>ningar om att vi i Sverige har generellt korta fängelsestraff i jämförelse med andra länder och att fängelsestraffens längd bör öka. Vid en internationell jämförelse är detta diskutabelt liksom att lösningen på problemet med krim</w:t>
      </w:r>
      <w:r w:rsidRPr="00586640">
        <w:t>i</w:t>
      </w:r>
      <w:r w:rsidRPr="00586640">
        <w:t>naliteten i samhället skulle var generella straffskärpningar i stället för mer verkningsfulla och finstämda åtgärder. Som ett argument mot generella straf</w:t>
      </w:r>
      <w:r w:rsidRPr="00586640">
        <w:t>f</w:t>
      </w:r>
      <w:r w:rsidRPr="00586640">
        <w:t xml:space="preserve">skärpningar kan anföras att det inte alls är säkert att något sådant skulle, om det </w:t>
      </w:r>
      <w:r w:rsidRPr="00586640">
        <w:t>över huvud taget uppmärksammas i någon omfattning av betydelse, up</w:t>
      </w:r>
      <w:r w:rsidRPr="00586640">
        <w:t>p</w:t>
      </w:r>
      <w:r w:rsidRPr="00586640">
        <w:t>fattas på annat sätt än en effekt av något som liknar inflationen på det ekon</w:t>
      </w:r>
      <w:r w:rsidRPr="00586640">
        <w:t>o</w:t>
      </w:r>
      <w:r w:rsidRPr="00586640">
        <w:t>miska området – detta till skillnad mot tydligare och påtagliga korrigeringar av straffskalor för enskil</w:t>
      </w:r>
      <w:r w:rsidRPr="00586640">
        <w:softHyphen/>
        <w:t>da brott eller brottskate</w:t>
      </w:r>
      <w:r w:rsidRPr="00586640">
        <w:softHyphen/>
        <w:t>gorier. Mot generella straf</w:t>
      </w:r>
      <w:r w:rsidRPr="00586640">
        <w:t>f</w:t>
      </w:r>
      <w:r w:rsidRPr="00586640">
        <w:t>skärpningar kan också anföras det förhållandet att den faktiska straffskär</w:t>
      </w:r>
      <w:r w:rsidRPr="00586640">
        <w:t>p</w:t>
      </w:r>
      <w:r w:rsidRPr="00586640">
        <w:t>ningen för framförallt en person som ofta åter</w:t>
      </w:r>
      <w:r w:rsidRPr="00586640">
        <w:softHyphen/>
        <w:t>faller i brottslighet skulle bli relativt margi</w:t>
      </w:r>
      <w:r w:rsidRPr="00586640">
        <w:softHyphen/>
        <w:t>nell med tanke på de nu gällande regle</w:t>
      </w:r>
      <w:r w:rsidRPr="00586640">
        <w:t>rna om villkorlig frigi</w:t>
      </w:r>
      <w:r w:rsidRPr="00586640">
        <w:t>v</w:t>
      </w:r>
      <w:r w:rsidRPr="00586640">
        <w:t xml:space="preserve">ning. </w:t>
      </w:r>
    </w:p>
    <w:p w:rsidR="00B17ADE" w:rsidRPr="00586640" w:rsidRDefault="00B17ADE">
      <w:pPr>
        <w:pStyle w:val="Normaltindrag"/>
      </w:pPr>
      <w:r w:rsidRPr="00586640">
        <w:t>Att reformera reglerna om villkorlig frigivning skulle vara en del i en mer verkningsfull strategi. Som argument för en reformering av dessa regler kan inledningsvis påpekas att de åtgärder som kan förväntas ge bäst övergripande effekt bör prioriteras.</w:t>
      </w:r>
    </w:p>
    <w:p w:rsidR="00B17ADE" w:rsidRPr="00586640" w:rsidRDefault="00B17ADE">
      <w:pPr>
        <w:pStyle w:val="Normaltindrag"/>
      </w:pPr>
      <w:r w:rsidRPr="00586640">
        <w:t>Erfarenheter från internationell forskning visar att det är ett förhållandevis fåtal indivi</w:t>
      </w:r>
      <w:r w:rsidRPr="00586640">
        <w:softHyphen/>
        <w:t>der som begår många brott. Detta utgör nog närmast ett kriminol</w:t>
      </w:r>
      <w:r w:rsidRPr="00586640">
        <w:t>o</w:t>
      </w:r>
      <w:r w:rsidRPr="00586640">
        <w:t>giskt faktum även i Sverige. Brottsförebyggande rådet har i rapporter genom åren berört detta förhållande och så sent som 2008 föreslagit åtgärder riktade mot den förhållandevis lilla andel av de personer som gör sig skyldiga till brott, men som står för en stor del av den samlade brottsligheten. Redan 1972 påvisades från ett flertal håll att 18 procent av gärnings</w:t>
      </w:r>
      <w:r w:rsidRPr="00586640">
        <w:softHyphen/>
        <w:t>män</w:t>
      </w:r>
      <w:r w:rsidRPr="00586640">
        <w:softHyphen/>
        <w:t>nen eller 6 procent av samtliga män i en årskull svarade för ungefär hälfte</w:t>
      </w:r>
      <w:r w:rsidRPr="00586640">
        <w:t>n (52 procent) av årskullens totala registrerade brottslighet (</w:t>
      </w:r>
      <w:r w:rsidRPr="00586640">
        <w:rPr>
          <w:iCs/>
        </w:rPr>
        <w:t>Strategiska brott,</w:t>
      </w:r>
      <w:r w:rsidRPr="00586640">
        <w:rPr>
          <w:i/>
          <w:iCs/>
        </w:rPr>
        <w:t xml:space="preserve"> </w:t>
      </w:r>
      <w:r w:rsidRPr="00586640">
        <w:t>Brå-rapport 2000:3, Stock</w:t>
      </w:r>
      <w:r w:rsidRPr="00586640">
        <w:softHyphen/>
        <w:t>holm). Som ytterligare ett exempel kan nämnas att Home Office i Storbritannien år 2001 konstaterade att 10 procent av lagöverträdarna i En</w:t>
      </w:r>
      <w:r w:rsidRPr="00586640">
        <w:t>g</w:t>
      </w:r>
      <w:r w:rsidRPr="00586640">
        <w:t>land lagfördes för 50 procent av samtliga brott. De allra mest brottsaktiva personerna (0,5 procent av dem som begått brott) begick enligt undersöknin</w:t>
      </w:r>
      <w:r w:rsidRPr="00586640">
        <w:t>g</w:t>
      </w:r>
      <w:r w:rsidRPr="00586640">
        <w:t>en 10 procent av samtliga brott (</w:t>
      </w:r>
      <w:r w:rsidRPr="00586640">
        <w:rPr>
          <w:iCs/>
        </w:rPr>
        <w:t xml:space="preserve">An Impact assessment of the Prolific and other Priority Offender programme, </w:t>
      </w:r>
      <w:r w:rsidRPr="00586640">
        <w:t>Londo</w:t>
      </w:r>
      <w:r w:rsidRPr="00586640">
        <w:t xml:space="preserve">n, Home Office Online Report 08/07, </w:t>
      </w:r>
      <w:hyperlink r:id="rId7" w:history="1">
        <w:r w:rsidRPr="00586640">
          <w:rPr>
            <w:rStyle w:val="Hyperlnk"/>
            <w:color w:val="auto"/>
            <w:szCs w:val="24"/>
            <w:u w:val="none"/>
          </w:rPr>
          <w:t>www.homeoffice.gov.uk/rds</w:t>
        </w:r>
      </w:hyperlink>
      <w:r w:rsidRPr="00586640">
        <w:t xml:space="preserve"> och Ideskrift nr 17 om lokalt brottsför</w:t>
      </w:r>
      <w:r w:rsidRPr="00586640">
        <w:t>e</w:t>
      </w:r>
      <w:r w:rsidRPr="00586640">
        <w:t>byggande arbete från Brottsförebyggande rådet, Stockholm 2008).</w:t>
      </w:r>
    </w:p>
    <w:p w:rsidR="00B17ADE" w:rsidRPr="00586640" w:rsidRDefault="00B17ADE">
      <w:pPr>
        <w:pStyle w:val="Normaltindrag"/>
      </w:pPr>
      <w:r w:rsidRPr="00586640">
        <w:t>De nu gällande reglerna om villkorlig frigivning för den som dömts till ett fängelsestraff över en månad bör gälla på samma sätt som i dag. Däremot bör för den som tidigare dömts till fängelse och som därefter på nytt har ådömts ett fängelsestraff villkorlig fri</w:t>
      </w:r>
      <w:r w:rsidRPr="00586640">
        <w:softHyphen/>
        <w:t xml:space="preserve">givning inte komma i fråga. Detta </w:t>
      </w:r>
      <w:r w:rsidRPr="00586640">
        <w:rPr>
          <w:sz w:val="24"/>
          <w:szCs w:val="24"/>
        </w:rPr>
        <w:t xml:space="preserve">innebär att </w:t>
      </w:r>
      <w:r w:rsidRPr="00586640">
        <w:t>det ådömda fängelsestraffet ska avtjänas fullt ut, under förutsättning att den nya brottsligheten ligger inom den tid om fyra år som nor</w:t>
      </w:r>
      <w:r w:rsidRPr="00586640">
        <w:softHyphen/>
        <w:t>malt betraktas som återfall i påföljdspraxis. Det bör även övervägas om prövotiderna ska förlän</w:t>
      </w:r>
      <w:r w:rsidRPr="00586640">
        <w:t>g</w:t>
      </w:r>
      <w:r w:rsidRPr="00586640">
        <w:t>as generellt, kanske upp till fyra år för samtliga fall när en straffåterstod finns. I vilken utsträckning nödvändiga för</w:t>
      </w:r>
      <w:r w:rsidRPr="00586640">
        <w:softHyphen/>
        <w:t>änd</w:t>
      </w:r>
      <w:r w:rsidRPr="00586640">
        <w:softHyphen/>
        <w:t>rin</w:t>
      </w:r>
      <w:r w:rsidRPr="00586640">
        <w:softHyphen/>
        <w:t>gar i förverkandereglerna i så fall bör ske får övervägas särskilt. Nämnas bör ock</w:t>
      </w:r>
      <w:r w:rsidRPr="00586640">
        <w:softHyphen/>
        <w:t>så att med den nu f</w:t>
      </w:r>
      <w:r w:rsidRPr="00586640">
        <w:t>öreslagna ändringen och med hänsyn till hur påföljdspraxis ser ut skulle när ett brott inte längre betraktas som återfall (typiskt sett efter fyra år) åtnjutande av vil</w:t>
      </w:r>
      <w:r w:rsidRPr="00586640">
        <w:t>l</w:t>
      </w:r>
      <w:r w:rsidRPr="00586640">
        <w:t>korligt medgiven frihet återigen kunna komma i fråga.</w:t>
      </w:r>
    </w:p>
    <w:p w:rsidR="00B17ADE" w:rsidRPr="00586640" w:rsidRDefault="00B17ADE">
      <w:pPr>
        <w:pStyle w:val="Normaltindrag"/>
      </w:pPr>
      <w:r w:rsidRPr="00586640">
        <w:t>Att personer som ofta återfaller i kriminalitet med detta förslag i praktiken skulle avtjäna mer tid av de utdömda straffen i fängelse skulle vara ett effe</w:t>
      </w:r>
      <w:r w:rsidRPr="00586640">
        <w:t>k</w:t>
      </w:r>
      <w:r w:rsidRPr="00586640">
        <w:t>tivt sätt att minska brottsligheten bland de personer som står för en större del av all samlad brottslighet. En sådan ordning skulle säkerligen även minska den totala brottsligheten på ett inte obetydligt sätt. Vidare skulle regler som innebär att ett utdömt fängelsestraff faktiskt avtjänas – i varje fall beträffande personer som återfallit i brottslighet – med största sannolikhet med</w:t>
      </w:r>
      <w:r w:rsidRPr="00586640">
        <w:softHyphen/>
        <w:t>fö</w:t>
      </w:r>
      <w:r w:rsidRPr="00586640">
        <w:softHyphen/>
        <w:t>ra att regelverket i denna del skulle uppfattas stå i bättre överensstämmelse med det allmänna rättsmedvetandet. Härutöv</w:t>
      </w:r>
      <w:r w:rsidRPr="00586640">
        <w:t>er torde ytterligare en effekt kunna vara att det skapas bättre förutsättningar för rehabilitering av de många narkotik</w:t>
      </w:r>
      <w:r w:rsidRPr="00586640">
        <w:t>a</w:t>
      </w:r>
      <w:r w:rsidRPr="00586640">
        <w:t xml:space="preserve">missbrukare som finns i den mest brottsaktiva gruppen av människor.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640">
        <w:trPr>
          <w:cantSplit/>
        </w:trPr>
        <w:tc>
          <w:tcPr>
            <w:tcW w:w="3046" w:type="dxa"/>
          </w:tcPr>
          <w:p w:rsidR="00B17ADE" w:rsidRPr="00586640" w:rsidRDefault="00B17ADE">
            <w:pPr>
              <w:pStyle w:val="UnderskriftDatum"/>
              <w:spacing w:before="240"/>
            </w:pPr>
            <w:r w:rsidRPr="00586640">
              <w:t>Stockholm den 2 oktober 2008</w:t>
            </w:r>
          </w:p>
        </w:tc>
        <w:tc>
          <w:tcPr>
            <w:tcW w:w="3047" w:type="dxa"/>
          </w:tcPr>
          <w:p w:rsidR="00B17ADE" w:rsidRPr="00586640" w:rsidRDefault="00B17ADE">
            <w:pPr>
              <w:pStyle w:val="Underskrifter"/>
              <w:spacing w:before="240"/>
            </w:pPr>
          </w:p>
        </w:tc>
      </w:tr>
      <w:tr w:rsidR="00000000" w:rsidRPr="00586640">
        <w:trPr>
          <w:cantSplit/>
        </w:trPr>
        <w:tc>
          <w:tcPr>
            <w:tcW w:w="3046" w:type="dxa"/>
          </w:tcPr>
          <w:p w:rsidR="00B17ADE" w:rsidRPr="00586640" w:rsidRDefault="00B17ADE">
            <w:pPr>
              <w:pStyle w:val="Underskrifter"/>
            </w:pPr>
            <w:r w:rsidRPr="00586640">
              <w:t>Anti Avsan (m)</w:t>
            </w:r>
          </w:p>
        </w:tc>
        <w:tc>
          <w:tcPr>
            <w:tcW w:w="3046" w:type="dxa"/>
          </w:tcPr>
          <w:p w:rsidR="00B17ADE" w:rsidRPr="00586640" w:rsidRDefault="00B17ADE">
            <w:pPr>
              <w:pStyle w:val="Underskrifter"/>
            </w:pPr>
          </w:p>
        </w:tc>
      </w:tr>
    </w:tbl>
    <w:p w:rsidR="00B17ADE" w:rsidRPr="00586640" w:rsidRDefault="00B17ADE">
      <w:pPr>
        <w:pStyle w:val="Normaltindrag"/>
      </w:pPr>
    </w:p>
    <w:sectPr w:rsidR="00B17ADE" w:rsidRPr="0058664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ADE" w:rsidRPr="00586640" w:rsidRDefault="00B17ADE">
      <w:r w:rsidRPr="00586640">
        <w:separator/>
      </w:r>
    </w:p>
  </w:endnote>
  <w:endnote w:type="continuationSeparator" w:id="0">
    <w:p w:rsidR="00B17ADE" w:rsidRPr="00586640" w:rsidRDefault="00B17ADE">
      <w:r w:rsidRPr="00586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DE" w:rsidRPr="00586640" w:rsidRDefault="00586640">
    <w:pPr>
      <w:pStyle w:val="Sidfot"/>
    </w:pPr>
    <w:r w:rsidRPr="005866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627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ADE" w:rsidRDefault="00B17A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ADE" w:rsidRDefault="00B17A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DE" w:rsidRPr="00586640" w:rsidRDefault="00586640">
    <w:pPr>
      <w:pStyle w:val="Sidfot"/>
    </w:pPr>
    <w:r w:rsidRPr="005866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258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ADE" w:rsidRDefault="00B17A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ADE" w:rsidRDefault="00B17A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DE" w:rsidRPr="00586640" w:rsidRDefault="00586640">
    <w:pPr>
      <w:pStyle w:val="Sidfot"/>
    </w:pPr>
    <w:r w:rsidRPr="005866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19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ADE" w:rsidRDefault="00B17A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ADE" w:rsidRDefault="00B17A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ADE" w:rsidRPr="00586640" w:rsidRDefault="00B17ADE">
      <w:r w:rsidRPr="00586640">
        <w:separator/>
      </w:r>
    </w:p>
  </w:footnote>
  <w:footnote w:type="continuationSeparator" w:id="0">
    <w:p w:rsidR="00B17ADE" w:rsidRPr="00586640" w:rsidRDefault="00B17ADE">
      <w:r w:rsidRPr="00586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DE" w:rsidRPr="00586640" w:rsidRDefault="00586640">
    <w:pPr>
      <w:pStyle w:val="Sidhuvud"/>
    </w:pPr>
    <w:r w:rsidRPr="005866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227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ADE" w:rsidRDefault="00B17A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ADE" w:rsidRDefault="00B17A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DE" w:rsidRPr="00586640" w:rsidRDefault="00586640">
    <w:pPr>
      <w:pStyle w:val="Sidhuvud"/>
    </w:pPr>
    <w:r w:rsidRPr="005866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913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ADE" w:rsidRDefault="00B17A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ADE" w:rsidRDefault="00B17A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DE" w:rsidRPr="00586640" w:rsidRDefault="00B17ADE">
    <w:pPr>
      <w:pStyle w:val="FSHNormal"/>
      <w:tabs>
        <w:tab w:val="right" w:pos="5840"/>
      </w:tabs>
    </w:pPr>
    <w:r w:rsidRPr="00586640">
      <w:br/>
    </w:r>
    <w:r w:rsidRPr="00586640">
      <w:fldChar w:fldCharType="begin" w:fldLock="1"/>
    </w:r>
    <w:r w:rsidRPr="00586640">
      <w:instrText xml:space="preserve"> DOCPROPERTY</w:instrText>
    </w:r>
    <w:r w:rsidRPr="00586640">
      <w:rPr>
        <w:sz w:val="18"/>
      </w:rPr>
      <w:instrText xml:space="preserve"> "YearUser" *\charformat </w:instrText>
    </w:r>
    <w:r w:rsidRPr="00586640">
      <w:fldChar w:fldCharType="separate"/>
    </w:r>
    <w:r w:rsidRPr="00586640">
      <w:t>2008/09</w:t>
    </w:r>
    <w:r w:rsidRPr="00586640">
      <w:fldChar w:fldCharType="end"/>
    </w:r>
    <w:r w:rsidRPr="00586640">
      <w:t xml:space="preserve"> </w:t>
    </w:r>
    <w:r w:rsidRPr="00586640">
      <w:tab/>
      <w:t xml:space="preserve">mnr: </w:t>
    </w:r>
    <w:r w:rsidRPr="00586640">
      <w:fldChar w:fldCharType="begin" w:fldLock="1"/>
    </w:r>
    <w:r w:rsidRPr="00586640">
      <w:instrText xml:space="preserve"> DOCPROPERTY</w:instrText>
    </w:r>
    <w:r w:rsidRPr="00586640">
      <w:rPr>
        <w:sz w:val="18"/>
      </w:rPr>
      <w:instrText xml:space="preserve"> "Motionsnummer" *\charformat </w:instrText>
    </w:r>
    <w:r w:rsidRPr="00586640">
      <w:fldChar w:fldCharType="separate"/>
    </w:r>
    <w:r w:rsidRPr="00586640">
      <w:t>Ju348</w:t>
    </w:r>
    <w:r w:rsidRPr="00586640">
      <w:fldChar w:fldCharType="end"/>
    </w:r>
    <w:r w:rsidRPr="00586640">
      <w:br/>
    </w:r>
    <w:r w:rsidRPr="00586640">
      <w:fldChar w:fldCharType="begin" w:fldLock="1"/>
    </w:r>
    <w:r w:rsidRPr="00586640">
      <w:instrText xml:space="preserve"> DOCPROPERTY</w:instrText>
    </w:r>
    <w:r w:rsidRPr="00586640">
      <w:rPr>
        <w:sz w:val="18"/>
      </w:rPr>
      <w:instrText xml:space="preserve"> "Samling" *\charformat </w:instrText>
    </w:r>
    <w:r w:rsidRPr="00586640">
      <w:fldChar w:fldCharType="end"/>
    </w:r>
    <w:r w:rsidRPr="00586640">
      <w:tab/>
      <w:t xml:space="preserve">pnr: </w:t>
    </w:r>
    <w:r w:rsidRPr="00586640">
      <w:fldChar w:fldCharType="begin" w:fldLock="1"/>
    </w:r>
    <w:r w:rsidRPr="00586640">
      <w:instrText xml:space="preserve"> DOCPROPERTY</w:instrText>
    </w:r>
    <w:r w:rsidRPr="00586640">
      <w:rPr>
        <w:sz w:val="18"/>
      </w:rPr>
      <w:instrText xml:space="preserve"> "Partinummer" *\charformat </w:instrText>
    </w:r>
    <w:r w:rsidRPr="00586640">
      <w:fldChar w:fldCharType="separate"/>
    </w:r>
    <w:r w:rsidRPr="00586640">
      <w:t>m1069</w:t>
    </w:r>
    <w:r w:rsidRPr="00586640">
      <w:fldChar w:fldCharType="end"/>
    </w:r>
  </w:p>
  <w:p w:rsidR="00B17ADE" w:rsidRPr="00586640" w:rsidRDefault="00B17ADE">
    <w:pPr>
      <w:pStyle w:val="FSHRub1"/>
    </w:pPr>
    <w:r w:rsidRPr="00586640">
      <w:t>Motion till riksdagen</w:t>
    </w:r>
    <w:r w:rsidRPr="00586640">
      <w:br/>
    </w:r>
    <w:r w:rsidRPr="00586640">
      <w:fldChar w:fldCharType="begin" w:fldLock="1"/>
    </w:r>
    <w:r w:rsidRPr="00586640">
      <w:instrText xml:space="preserve"> DOCPROPERTY "YearUser" *\charformat </w:instrText>
    </w:r>
    <w:r w:rsidRPr="00586640">
      <w:fldChar w:fldCharType="separate"/>
    </w:r>
    <w:r w:rsidRPr="00586640">
      <w:t>2008/09</w:t>
    </w:r>
    <w:r w:rsidRPr="00586640">
      <w:fldChar w:fldCharType="end"/>
    </w:r>
    <w:r w:rsidRPr="00586640">
      <w:t>:</w:t>
    </w:r>
    <w:r w:rsidRPr="00586640">
      <w:fldChar w:fldCharType="begin" w:fldLock="1"/>
    </w:r>
    <w:r w:rsidRPr="00586640">
      <w:instrText xml:space="preserve"> DOCPROPERTY "Motionsnummer" *\charformat </w:instrText>
    </w:r>
    <w:r w:rsidRPr="00586640">
      <w:fldChar w:fldCharType="separate"/>
    </w:r>
    <w:r w:rsidRPr="00586640">
      <w:t>Ju348</w:t>
    </w:r>
    <w:r w:rsidRPr="00586640">
      <w:fldChar w:fldCharType="end"/>
    </w:r>
  </w:p>
  <w:p w:rsidR="00B17ADE" w:rsidRPr="00586640" w:rsidRDefault="00B17ADE">
    <w:pPr>
      <w:pStyle w:val="FSHNormalS5"/>
    </w:pPr>
    <w:r w:rsidRPr="00586640">
      <w:fldChar w:fldCharType="begin" w:fldLock="1"/>
    </w:r>
    <w:r w:rsidRPr="00586640">
      <w:instrText xml:space="preserve"> DOCPROPERTY "MotionarText" *\charformat </w:instrText>
    </w:r>
    <w:r w:rsidRPr="00586640">
      <w:fldChar w:fldCharType="separate"/>
    </w:r>
    <w:r w:rsidRPr="00586640">
      <w:t>av Anti Avsan (m)</w:t>
    </w:r>
    <w:r w:rsidRPr="00586640">
      <w:fldChar w:fldCharType="end"/>
    </w:r>
    <w:r w:rsidRPr="00586640">
      <w:br/>
    </w:r>
    <w:r w:rsidRPr="00586640">
      <w:fldChar w:fldCharType="begin" w:fldLock="1"/>
    </w:r>
    <w:r w:rsidRPr="00586640">
      <w:instrText xml:space="preserve"> DOCPROPERTY "SvarFrasKort" *\charformat </w:instrText>
    </w:r>
    <w:r w:rsidRPr="00586640">
      <w:fldChar w:fldCharType="end"/>
    </w:r>
  </w:p>
  <w:p w:rsidR="00B17ADE" w:rsidRPr="00586640" w:rsidRDefault="00B17ADE">
    <w:pPr>
      <w:pStyle w:val="FSHTitel"/>
    </w:pPr>
    <w:r w:rsidRPr="00586640">
      <w:fldChar w:fldCharType="begin" w:fldLock="1"/>
    </w:r>
    <w:r w:rsidRPr="00586640">
      <w:instrText xml:space="preserve"> DOCPROPERTY</w:instrText>
    </w:r>
    <w:r w:rsidRPr="00586640">
      <w:rPr>
        <w:sz w:val="18"/>
      </w:rPr>
      <w:instrText xml:space="preserve"> "RubrikSvar" *\charformat </w:instrText>
    </w:r>
    <w:r w:rsidRPr="00586640">
      <w:fldChar w:fldCharType="separate"/>
    </w:r>
    <w:r w:rsidRPr="00586640">
      <w:t>Villkorlig frigivning</w:t>
    </w:r>
    <w:r w:rsidRPr="00586640">
      <w:fldChar w:fldCharType="end"/>
    </w:r>
  </w:p>
  <w:p w:rsidR="00B17ADE" w:rsidRPr="00586640" w:rsidRDefault="00B17ADE">
    <w:pPr>
      <w:pStyle w:val="Normal00"/>
    </w:pPr>
  </w:p>
  <w:p w:rsidR="00B17ADE" w:rsidRPr="00586640" w:rsidRDefault="00B17A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4234664">
    <w:abstractNumId w:val="8"/>
  </w:num>
  <w:num w:numId="2" w16cid:durableId="412355752">
    <w:abstractNumId w:val="9"/>
  </w:num>
  <w:num w:numId="3" w16cid:durableId="1291397701">
    <w:abstractNumId w:val="8"/>
  </w:num>
  <w:num w:numId="4" w16cid:durableId="1569269005">
    <w:abstractNumId w:val="9"/>
  </w:num>
  <w:num w:numId="5" w16cid:durableId="500434716">
    <w:abstractNumId w:val="13"/>
  </w:num>
  <w:num w:numId="6" w16cid:durableId="2026053979">
    <w:abstractNumId w:val="10"/>
  </w:num>
  <w:num w:numId="7" w16cid:durableId="1420522626">
    <w:abstractNumId w:val="11"/>
  </w:num>
  <w:num w:numId="8" w16cid:durableId="1959603167">
    <w:abstractNumId w:val="12"/>
  </w:num>
  <w:num w:numId="9" w16cid:durableId="1037586424">
    <w:abstractNumId w:val="8"/>
  </w:num>
  <w:num w:numId="10" w16cid:durableId="578517966">
    <w:abstractNumId w:val="3"/>
  </w:num>
  <w:num w:numId="11" w16cid:durableId="1453405896">
    <w:abstractNumId w:val="2"/>
  </w:num>
  <w:num w:numId="12" w16cid:durableId="1607813137">
    <w:abstractNumId w:val="1"/>
  </w:num>
  <w:num w:numId="13" w16cid:durableId="2048021346">
    <w:abstractNumId w:val="0"/>
  </w:num>
  <w:num w:numId="14" w16cid:durableId="525749805">
    <w:abstractNumId w:val="9"/>
  </w:num>
  <w:num w:numId="15" w16cid:durableId="1289431154">
    <w:abstractNumId w:val="7"/>
  </w:num>
  <w:num w:numId="16" w16cid:durableId="1236814310">
    <w:abstractNumId w:val="6"/>
  </w:num>
  <w:num w:numId="17" w16cid:durableId="786387286">
    <w:abstractNumId w:val="5"/>
  </w:num>
  <w:num w:numId="18" w16cid:durableId="378213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43DB0BC4-914A-4970-BF14-D2578DAA45F9}"/>
  </w:docVars>
  <w:rsids>
    <w:rsidRoot w:val="005F66FC"/>
    <w:rsid w:val="00586640"/>
    <w:rsid w:val="005F66FC"/>
    <w:rsid w:val="00B17A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0D2567-00C0-4199-B33A-BE055385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omeoffice.gov.uk/r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1493</Words>
  <Characters>8661</Characters>
  <Application>Microsoft Office Word</Application>
  <DocSecurity>4</DocSecurity>
  <Lines>146</Lines>
  <Paragraphs>28</Paragraphs>
  <ScaleCrop>false</ScaleCrop>
  <HeadingPairs>
    <vt:vector size="2" baseType="variant">
      <vt:variant>
        <vt:lpstr>Rubrik</vt:lpstr>
      </vt:variant>
      <vt:variant>
        <vt:i4>1</vt:i4>
      </vt:variant>
    </vt:vector>
  </HeadingPairs>
  <TitlesOfParts>
    <vt:vector size="1" baseType="lpstr">
      <vt:lpstr>m1069</vt:lpstr>
    </vt:vector>
  </TitlesOfParts>
  <Company>Riksdagen</Company>
  <LinksUpToDate>false</LinksUpToDate>
  <CharactersWithSpaces>10126</CharactersWithSpaces>
  <SharedDoc>false</SharedDoc>
  <HLinks>
    <vt:vector size="6" baseType="variant">
      <vt:variant>
        <vt:i4>4259871</vt:i4>
      </vt:variant>
      <vt:variant>
        <vt:i4>0</vt:i4>
      </vt:variant>
      <vt:variant>
        <vt:i4>0</vt:i4>
      </vt:variant>
      <vt:variant>
        <vt:i4>5</vt:i4>
      </vt:variant>
      <vt:variant>
        <vt:lpwstr>http://www.homeoffice.gov.uk/rds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m1069</dc:title>
  <dc:subject>m1069</dc:subject>
  <dc:creator>Riksdagen</dc:creator>
  <cp:keywords>Riksdagen</cp:keywords>
  <dc:description>TKG-ktrl, MSMQ4mb, PersReg-Distribution mm b-&gt;ny fplogga</dc:description>
  <cp:lastModifiedBy>Lars Brink</cp:lastModifiedBy>
  <cp:revision>2</cp:revision>
  <cp:lastPrinted>2009-02-06T08:21:00Z</cp:lastPrinted>
  <dcterms:created xsi:type="dcterms:W3CDTF">2025-12-17T16:02:00Z</dcterms:created>
  <dcterms:modified xsi:type="dcterms:W3CDTF">2025-12-17T16:02:00Z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20082009000000000109000010690069</vt:lpwstr>
  </property>
  <property fmtid="{D5CDD505-2E9C-101B-9397-08002B2CF9AE}" pid="47" name="datum">
    <vt:lpwstr>081002</vt:lpwstr>
  </property>
  <property fmtid="{D5CDD505-2E9C-101B-9397-08002B2CF9AE}" pid="48" name="avsändar-e-post">
    <vt:lpwstr>jonas.falk@riksdagen.se</vt:lpwstr>
  </property>
  <property fmtid="{D5CDD505-2E9C-101B-9397-08002B2CF9AE}" pid="49" name="id">
    <vt:lpwstr>20082009000000000109000010690069</vt:lpwstr>
  </property>
  <property fmtid="{D5CDD505-2E9C-101B-9397-08002B2CF9AE}" pid="50" name="nummer">
    <vt:lpwstr>348</vt:lpwstr>
  </property>
  <property fmtid="{D5CDD505-2E9C-101B-9397-08002B2CF9AE}" pid="51" name="utskottsbeteckning">
    <vt:lpwstr>Ju</vt:lpwstr>
  </property>
  <property fmtid="{D5CDD505-2E9C-101B-9397-08002B2CF9AE}" pid="52" name="GlobalUID">
    <vt:lpwstr>{5CF2C7D1-2B4C-458F-9867-AB86F9888A94}</vt:lpwstr>
  </property>
  <property fmtid="{D5CDD505-2E9C-101B-9397-08002B2CF9AE}" pid="53" name="Överföringar">
    <vt:i4>0</vt:i4>
  </property>
  <property fmtid="{D5CDD505-2E9C-101B-9397-08002B2CF9AE}" pid="54" name="Checksum">
    <vt:lpwstr>*1011192896738*</vt:lpwstr>
  </property>
  <property fmtid="{D5CDD505-2E9C-101B-9397-08002B2CF9AE}" pid="55" name="skuggnummer">
    <vt:lpwstr>2078</vt:lpwstr>
  </property>
  <property fmtid="{D5CDD505-2E9C-101B-9397-08002B2CF9AE}" pid="56" name="urixVersion">
    <vt:lpwstr>3.2.0.8</vt:lpwstr>
  </property>
  <property fmtid="{D5CDD505-2E9C-101B-9397-08002B2CF9AE}" pid="57" name="urixOrigin">
    <vt:lpwstr>090402 14:55:54.066</vt:lpwstr>
  </property>
  <property fmtid="{D5CDD505-2E9C-101B-9397-08002B2CF9AE}" pid="58" name="urixGuid">
    <vt:lpwstr>{A1CF8C5E-B79B-4AC7-959E-9C89DAE8C781}</vt:lpwstr>
  </property>
</Properties>
</file>