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51AE8" w:rsidRPr="00941DAE">
        <w:tblPrEx>
          <w:tblCellMar>
            <w:top w:w="0" w:type="dxa"/>
            <w:bottom w:w="0" w:type="dxa"/>
          </w:tblCellMar>
        </w:tblPrEx>
        <w:tc>
          <w:tcPr>
            <w:tcW w:w="2268" w:type="dxa"/>
          </w:tcPr>
          <w:p w:rsidR="00D51AE8" w:rsidRPr="00941DAE" w:rsidRDefault="00D51AE8">
            <w:pPr>
              <w:framePr w:w="4400" w:h="1644" w:wrap="notBeside" w:vAnchor="page" w:hAnchor="page" w:x="6573" w:y="721"/>
              <w:rPr>
                <w:rFonts w:ascii="TradeGothic" w:hAnsi="TradeGothic"/>
                <w:i/>
                <w:sz w:val="18"/>
              </w:rPr>
            </w:pPr>
          </w:p>
        </w:tc>
        <w:tc>
          <w:tcPr>
            <w:tcW w:w="2347" w:type="dxa"/>
            <w:gridSpan w:val="2"/>
          </w:tcPr>
          <w:p w:rsidR="00D51AE8" w:rsidRPr="00941DAE" w:rsidRDefault="00D51AE8">
            <w:pPr>
              <w:framePr w:w="4400" w:h="1644" w:wrap="notBeside" w:vAnchor="page" w:hAnchor="page" w:x="6573" w:y="721"/>
              <w:rPr>
                <w:rFonts w:ascii="TradeGothic" w:hAnsi="TradeGothic"/>
                <w:i/>
                <w:sz w:val="18"/>
              </w:rPr>
            </w:pPr>
          </w:p>
        </w:tc>
      </w:tr>
      <w:tr w:rsidR="00D51AE8" w:rsidRPr="00941DAE">
        <w:tblPrEx>
          <w:tblCellMar>
            <w:top w:w="0" w:type="dxa"/>
            <w:bottom w:w="0" w:type="dxa"/>
          </w:tblCellMar>
        </w:tblPrEx>
        <w:trPr>
          <w:cantSplit/>
        </w:trPr>
        <w:tc>
          <w:tcPr>
            <w:tcW w:w="4615" w:type="dxa"/>
            <w:gridSpan w:val="3"/>
          </w:tcPr>
          <w:p w:rsidR="00D51AE8" w:rsidRPr="00941DAE" w:rsidRDefault="00D51AE8">
            <w:pPr>
              <w:framePr w:w="4400" w:h="1644" w:wrap="notBeside" w:vAnchor="page" w:hAnchor="page" w:x="6573" w:y="721"/>
              <w:rPr>
                <w:rFonts w:ascii="TradeGothic" w:hAnsi="TradeGothic"/>
                <w:b/>
                <w:sz w:val="22"/>
              </w:rPr>
            </w:pPr>
            <w:r w:rsidRPr="00941DAE">
              <w:rPr>
                <w:rFonts w:ascii="TradeGothic" w:hAnsi="TradeGothic"/>
                <w:b/>
                <w:sz w:val="22"/>
              </w:rPr>
              <w:t>PM Till riksdagen</w:t>
            </w:r>
          </w:p>
        </w:tc>
      </w:tr>
      <w:tr w:rsidR="00D51AE8" w:rsidRPr="00941DAE">
        <w:tblPrEx>
          <w:tblCellMar>
            <w:top w:w="0" w:type="dxa"/>
            <w:bottom w:w="0" w:type="dxa"/>
          </w:tblCellMar>
        </w:tblPrEx>
        <w:tc>
          <w:tcPr>
            <w:tcW w:w="3402" w:type="dxa"/>
            <w:gridSpan w:val="2"/>
          </w:tcPr>
          <w:p w:rsidR="00D51AE8" w:rsidRPr="00941DAE" w:rsidRDefault="00D51AE8">
            <w:pPr>
              <w:framePr w:w="4400" w:h="1644" w:wrap="notBeside" w:vAnchor="page" w:hAnchor="page" w:x="6573" w:y="721"/>
            </w:pPr>
          </w:p>
        </w:tc>
        <w:tc>
          <w:tcPr>
            <w:tcW w:w="1213" w:type="dxa"/>
          </w:tcPr>
          <w:p w:rsidR="00D51AE8" w:rsidRPr="00941DAE" w:rsidRDefault="00D51AE8">
            <w:pPr>
              <w:framePr w:w="4400" w:h="1644" w:wrap="notBeside" w:vAnchor="page" w:hAnchor="page" w:x="6573" w:y="721"/>
            </w:pPr>
          </w:p>
        </w:tc>
      </w:tr>
      <w:tr w:rsidR="00D51AE8" w:rsidRPr="00941DAE">
        <w:tblPrEx>
          <w:tblCellMar>
            <w:top w:w="0" w:type="dxa"/>
            <w:bottom w:w="0" w:type="dxa"/>
          </w:tblCellMar>
        </w:tblPrEx>
        <w:tc>
          <w:tcPr>
            <w:tcW w:w="2268" w:type="dxa"/>
          </w:tcPr>
          <w:p w:rsidR="00D249B0" w:rsidRPr="00941DAE" w:rsidRDefault="00D249B0">
            <w:pPr>
              <w:framePr w:w="4400" w:h="1644" w:wrap="notBeside" w:vAnchor="page" w:hAnchor="page" w:x="6573" w:y="721"/>
            </w:pPr>
            <w:r w:rsidRPr="00941DAE">
              <w:t>2006-11-20</w:t>
            </w:r>
          </w:p>
        </w:tc>
        <w:tc>
          <w:tcPr>
            <w:tcW w:w="2347" w:type="dxa"/>
            <w:gridSpan w:val="2"/>
          </w:tcPr>
          <w:p w:rsidR="00D51AE8" w:rsidRPr="00941DAE" w:rsidRDefault="00D51AE8">
            <w:pPr>
              <w:framePr w:w="4400" w:h="1644" w:wrap="notBeside" w:vAnchor="page" w:hAnchor="page" w:x="6573" w:y="721"/>
            </w:pPr>
          </w:p>
        </w:tc>
      </w:tr>
      <w:tr w:rsidR="00D51AE8" w:rsidRPr="00941DAE">
        <w:tblPrEx>
          <w:tblCellMar>
            <w:top w:w="0" w:type="dxa"/>
            <w:bottom w:w="0" w:type="dxa"/>
          </w:tblCellMar>
        </w:tblPrEx>
        <w:tc>
          <w:tcPr>
            <w:tcW w:w="2268" w:type="dxa"/>
          </w:tcPr>
          <w:p w:rsidR="00D51AE8" w:rsidRPr="00941DAE" w:rsidRDefault="00D51AE8">
            <w:pPr>
              <w:framePr w:w="4400" w:h="1644" w:wrap="notBeside" w:vAnchor="page" w:hAnchor="page" w:x="6573" w:y="721"/>
            </w:pPr>
          </w:p>
        </w:tc>
        <w:tc>
          <w:tcPr>
            <w:tcW w:w="2347" w:type="dxa"/>
            <w:gridSpan w:val="2"/>
          </w:tcPr>
          <w:p w:rsidR="00D51AE8" w:rsidRPr="00941DAE" w:rsidRDefault="00D51AE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51AE8" w:rsidRPr="00941DAE">
        <w:tblPrEx>
          <w:tblCellMar>
            <w:top w:w="0" w:type="dxa"/>
            <w:bottom w:w="0" w:type="dxa"/>
          </w:tblCellMar>
        </w:tblPrEx>
        <w:trPr>
          <w:trHeight w:val="284"/>
        </w:trPr>
        <w:tc>
          <w:tcPr>
            <w:tcW w:w="4911" w:type="dxa"/>
          </w:tcPr>
          <w:p w:rsidR="00D51AE8" w:rsidRPr="00941DAE" w:rsidRDefault="00D249B0">
            <w:pPr>
              <w:pStyle w:val="Avsndare"/>
              <w:framePr w:h="2483" w:wrap="notBeside" w:x="1504"/>
              <w:rPr>
                <w:b/>
                <w:i w:val="0"/>
                <w:sz w:val="22"/>
              </w:rPr>
            </w:pPr>
            <w:r w:rsidRPr="00941DAE">
              <w:rPr>
                <w:b/>
                <w:i w:val="0"/>
                <w:sz w:val="22"/>
              </w:rPr>
              <w:t>Näring</w:t>
            </w:r>
            <w:r w:rsidR="00D51AE8" w:rsidRPr="00941DAE">
              <w:rPr>
                <w:b/>
                <w:i w:val="0"/>
                <w:sz w:val="22"/>
              </w:rPr>
              <w:t>departementet</w:t>
            </w: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r w:rsidRPr="00941DAE">
              <w:rPr>
                <w:bCs/>
                <w:iCs/>
              </w:rPr>
              <w:t>Enheten</w:t>
            </w:r>
          </w:p>
          <w:p w:rsidR="00D51AE8" w:rsidRPr="00941DAE" w:rsidRDefault="00D51AE8">
            <w:pPr>
              <w:pStyle w:val="Avsndare"/>
              <w:framePr w:h="2483" w:wrap="notBeside" w:x="1504"/>
              <w:rPr>
                <w:bCs/>
                <w:iCs/>
              </w:rPr>
            </w:pP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p>
        </w:tc>
      </w:tr>
      <w:tr w:rsidR="00D51AE8" w:rsidRPr="00941DAE">
        <w:tblPrEx>
          <w:tblCellMar>
            <w:top w:w="0" w:type="dxa"/>
            <w:bottom w:w="0" w:type="dxa"/>
          </w:tblCellMar>
        </w:tblPrEx>
        <w:trPr>
          <w:trHeight w:val="284"/>
        </w:trPr>
        <w:tc>
          <w:tcPr>
            <w:tcW w:w="4911" w:type="dxa"/>
          </w:tcPr>
          <w:p w:rsidR="00D51AE8" w:rsidRPr="00941DAE" w:rsidRDefault="00D51AE8">
            <w:pPr>
              <w:pStyle w:val="Avsndare"/>
              <w:framePr w:h="2483" w:wrap="notBeside" w:x="1504"/>
              <w:rPr>
                <w:bCs/>
                <w:iCs/>
              </w:rPr>
            </w:pPr>
          </w:p>
        </w:tc>
      </w:tr>
    </w:tbl>
    <w:p w:rsidR="00D51AE8" w:rsidRPr="00941DAE" w:rsidRDefault="00D51AE8">
      <w:pPr>
        <w:framePr w:w="4400" w:h="2523" w:wrap="notBeside" w:vAnchor="page" w:hAnchor="page" w:x="6453" w:y="2445"/>
        <w:ind w:left="142"/>
        <w:rPr>
          <w:b/>
        </w:rPr>
      </w:pPr>
    </w:p>
    <w:p w:rsidR="00D51AE8" w:rsidRPr="00941DAE" w:rsidRDefault="00D249B0">
      <w:pPr>
        <w:pStyle w:val="RKrubrik"/>
        <w:pBdr>
          <w:bottom w:val="single" w:sz="6" w:space="1" w:color="auto"/>
        </w:pBdr>
      </w:pPr>
      <w:bookmarkStart w:id="0" w:name="bRubrik"/>
      <w:bookmarkEnd w:id="0"/>
      <w:r w:rsidRPr="00941DAE">
        <w:t xml:space="preserve">Dp </w:t>
      </w:r>
      <w:r w:rsidR="00D51AE8" w:rsidRPr="00941DAE">
        <w:t xml:space="preserve"> </w:t>
      </w:r>
      <w:r w:rsidRPr="00941DAE">
        <w:t>5 Better Regulation</w:t>
      </w:r>
    </w:p>
    <w:p w:rsidR="00D51AE8" w:rsidRPr="00941DAE" w:rsidRDefault="00D51AE8">
      <w:pPr>
        <w:pStyle w:val="RKrubrik"/>
      </w:pPr>
      <w:r w:rsidRPr="00941DAE">
        <w:t>Dokumentbeteckning</w:t>
      </w:r>
    </w:p>
    <w:p w:rsidR="00D51AE8" w:rsidRPr="00941DAE" w:rsidRDefault="00D249B0">
      <w:pPr>
        <w:pStyle w:val="RKnormal"/>
      </w:pPr>
      <w:r w:rsidRPr="00941DAE">
        <w:t>DS 15305/06 (O</w:t>
      </w:r>
      <w:r w:rsidR="00B35E6A" w:rsidRPr="00941DAE">
        <w:t xml:space="preserve">rdförandeskapets </w:t>
      </w:r>
      <w:r w:rsidRPr="00941DAE">
        <w:t>framstegsrapport som kommer att komma i ny version)</w:t>
      </w:r>
    </w:p>
    <w:p w:rsidR="00D249B0" w:rsidRPr="00941DAE" w:rsidRDefault="00D249B0">
      <w:pPr>
        <w:pStyle w:val="RKnormal"/>
      </w:pPr>
      <w:r w:rsidRPr="00941DAE">
        <w:t>Kommissionens Better Regulation Package (i skrivande stund ej på svenska)</w:t>
      </w:r>
    </w:p>
    <w:p w:rsidR="00D249B0" w:rsidRPr="00941DAE" w:rsidRDefault="00B35E6A">
      <w:pPr>
        <w:pStyle w:val="RKnormal"/>
      </w:pPr>
      <w:r w:rsidRPr="00941DAE">
        <w:t xml:space="preserve">1. </w:t>
      </w:r>
      <w:r w:rsidR="00D249B0" w:rsidRPr="00941DAE">
        <w:t>COM(2006) 689</w:t>
      </w:r>
    </w:p>
    <w:p w:rsidR="00D249B0" w:rsidRPr="00941DAE" w:rsidRDefault="00B35E6A">
      <w:pPr>
        <w:pStyle w:val="RKnormal"/>
      </w:pPr>
      <w:r w:rsidRPr="00941DAE">
        <w:t xml:space="preserve">2. </w:t>
      </w:r>
      <w:r w:rsidR="00D249B0" w:rsidRPr="00941DAE">
        <w:t>COM(2006) 690</w:t>
      </w:r>
    </w:p>
    <w:p w:rsidR="00D249B0" w:rsidRPr="00941DAE" w:rsidRDefault="00B35E6A">
      <w:pPr>
        <w:pStyle w:val="RKnormal"/>
      </w:pPr>
      <w:r w:rsidRPr="00941DAE">
        <w:t xml:space="preserve">3. </w:t>
      </w:r>
      <w:r w:rsidR="00D249B0" w:rsidRPr="00941DAE">
        <w:t>COM(2006) 691</w:t>
      </w:r>
    </w:p>
    <w:p w:rsidR="00D51AE8" w:rsidRPr="00941DAE" w:rsidRDefault="00D51AE8">
      <w:pPr>
        <w:pStyle w:val="RKrubrik"/>
      </w:pPr>
      <w:r w:rsidRPr="00941DAE">
        <w:t>Sammanfattning</w:t>
      </w:r>
    </w:p>
    <w:p w:rsidR="00D51AE8" w:rsidRPr="00941DAE" w:rsidRDefault="003F4700">
      <w:pPr>
        <w:pStyle w:val="RKnormal"/>
      </w:pPr>
      <w:r w:rsidRPr="00941DAE">
        <w:t xml:space="preserve">På mötet ska kommissionen presentera sitt regelförbättringspaket. Ordförandeskapet har som underlag för mötet utarbetat en framstegsrapport som beskriver arbetet i rådet så långt det kommit under det finska ordförandeskapet. Efter det kommer ministrarna ges tillfälle att delta i en policy debatt om ”Better Regulation”. </w:t>
      </w:r>
    </w:p>
    <w:p w:rsidR="00D51AE8" w:rsidRPr="00941DAE" w:rsidRDefault="00D51AE8">
      <w:pPr>
        <w:pStyle w:val="RKrubrik"/>
        <w:rPr>
          <w:u w:val="single"/>
        </w:rPr>
      </w:pPr>
      <w:r w:rsidRPr="00941DAE">
        <w:rPr>
          <w:u w:val="single"/>
        </w:rPr>
        <w:t>I Förslaget</w:t>
      </w:r>
    </w:p>
    <w:p w:rsidR="00D51AE8" w:rsidRPr="00941DAE" w:rsidRDefault="00D51AE8">
      <w:pPr>
        <w:pStyle w:val="RKrubrik"/>
      </w:pPr>
      <w:r w:rsidRPr="00941DAE">
        <w:t>1. Innehåll</w:t>
      </w:r>
    </w:p>
    <w:p w:rsidR="00221F7B" w:rsidRPr="00941DAE" w:rsidRDefault="003F4700">
      <w:pPr>
        <w:pStyle w:val="RKnormal"/>
      </w:pPr>
      <w:r w:rsidRPr="00941DAE">
        <w:t xml:space="preserve">Framstegsrapporten fokuserar särskilt på konsekvensanalyser och förenkling av gällande lagstiftning. </w:t>
      </w:r>
    </w:p>
    <w:p w:rsidR="00221F7B" w:rsidRPr="00941DAE" w:rsidRDefault="00221F7B">
      <w:pPr>
        <w:pStyle w:val="RKnormal"/>
      </w:pPr>
    </w:p>
    <w:p w:rsidR="003F4700" w:rsidRPr="00941DAE" w:rsidRDefault="003F4700">
      <w:pPr>
        <w:pStyle w:val="RKnormal"/>
      </w:pPr>
      <w:r w:rsidRPr="00941DAE">
        <w:t>Kommissionens paket består av tre delar. Det första är en global sammanfattning av vad kommissionen anser behöver göras och de framsteg som hittills uppnåtts. Det andra är en strategi för förenkling som i huvudsak är en uppdatering av det rullande förenklingsprogram som presenterades i oktober 2006 (</w:t>
      </w:r>
      <w:r w:rsidR="00221F7B" w:rsidRPr="00941DAE">
        <w:t>KOM (2005) 535 slutlig</w:t>
      </w:r>
      <w:r w:rsidRPr="00941DAE">
        <w:t xml:space="preserve">). Det tredje är kommissionens preliminära tankar avseende hur man bör gå till väga på EU-nivå när administrativa bördor för företagen ska mätas. Bland annat så föreslår kommissionen att man bär anta ett mål för minskning av bördorna på 25 procent att uppnås 2012. Målet ska uppnås på EU-nivån och på medlemsstatsnivå gemensamt. </w:t>
      </w:r>
      <w:r w:rsidR="00B35E6A" w:rsidRPr="00941DAE">
        <w:t xml:space="preserve">Kommissionen inväntar remissinstansernas synpunkter på dokumentet avseende </w:t>
      </w:r>
      <w:r w:rsidR="00B35E6A" w:rsidRPr="00941DAE">
        <w:lastRenderedPageBreak/>
        <w:t>administrativa bördor och kommer efter remisstidens slut (1 januari 2007) att utarbeta en handlingsplan att presenteras våren 2007.</w:t>
      </w:r>
    </w:p>
    <w:p w:rsidR="00D51AE8" w:rsidRPr="00941DAE" w:rsidRDefault="00D51AE8">
      <w:pPr>
        <w:pStyle w:val="RKrubrik"/>
      </w:pPr>
      <w:r w:rsidRPr="00941DAE">
        <w:t>2. Gällande svenska regler och förslagets effekt på dessa</w:t>
      </w:r>
    </w:p>
    <w:p w:rsidR="00D51AE8" w:rsidRPr="00941DAE" w:rsidRDefault="003F4700">
      <w:pPr>
        <w:pStyle w:val="RKnormal"/>
      </w:pPr>
      <w:r w:rsidRPr="00941DAE">
        <w:t>Inga. Självfallet kommer förenkling av gällande regler att innebära, i förekommande fall, att svenska regler som berörs får ändras i enlighet med de förenklingar som beslutats av rådet och parlamentet.</w:t>
      </w:r>
    </w:p>
    <w:p w:rsidR="00D51AE8" w:rsidRPr="00941DAE" w:rsidRDefault="00D51AE8">
      <w:pPr>
        <w:pStyle w:val="RKrubrik"/>
      </w:pPr>
      <w:r w:rsidRPr="00941DAE">
        <w:t xml:space="preserve">3. Budgetära konsekvenser </w:t>
      </w:r>
    </w:p>
    <w:p w:rsidR="00D51AE8" w:rsidRPr="00941DAE" w:rsidRDefault="003F4700">
      <w:pPr>
        <w:pStyle w:val="RKnormal"/>
      </w:pPr>
      <w:r w:rsidRPr="00941DAE">
        <w:t>Inga.</w:t>
      </w:r>
    </w:p>
    <w:p w:rsidR="00D51AE8" w:rsidRPr="00941DAE" w:rsidRDefault="00D51AE8">
      <w:pPr>
        <w:pStyle w:val="RKrubrik"/>
        <w:rPr>
          <w:u w:val="single"/>
        </w:rPr>
      </w:pPr>
      <w:r w:rsidRPr="00941DAE">
        <w:rPr>
          <w:u w:val="single"/>
        </w:rPr>
        <w:t>II Ståndpunkter</w:t>
      </w:r>
    </w:p>
    <w:p w:rsidR="00D51AE8" w:rsidRPr="00941DAE" w:rsidRDefault="00D51AE8">
      <w:pPr>
        <w:pStyle w:val="RKrubrik"/>
      </w:pPr>
      <w:r w:rsidRPr="00941DAE">
        <w:t xml:space="preserve">1. Svensk ståndpunkt </w:t>
      </w:r>
    </w:p>
    <w:p w:rsidR="003F4700" w:rsidRPr="00941DAE" w:rsidRDefault="003F4700" w:rsidP="003F4700">
      <w:pPr>
        <w:pStyle w:val="RKnormal"/>
      </w:pPr>
    </w:p>
    <w:p w:rsidR="00221F7B" w:rsidRPr="00941DAE" w:rsidRDefault="003F4700" w:rsidP="003F4700">
      <w:pPr>
        <w:pStyle w:val="RKnormal"/>
      </w:pPr>
      <w:r w:rsidRPr="00941DAE">
        <w:t>Sverige före</w:t>
      </w:r>
      <w:r w:rsidR="00D05B96" w:rsidRPr="00941DAE">
        <w:t>slås välkomna innehållet i framstegs</w:t>
      </w:r>
      <w:r w:rsidRPr="00941DAE">
        <w:t>rapporten</w:t>
      </w:r>
      <w:r w:rsidR="00221F7B" w:rsidRPr="00941DAE">
        <w:t>.</w:t>
      </w:r>
    </w:p>
    <w:p w:rsidR="00221F7B" w:rsidRPr="00941DAE" w:rsidRDefault="00221F7B" w:rsidP="003F4700">
      <w:pPr>
        <w:pStyle w:val="RKnormal"/>
      </w:pPr>
    </w:p>
    <w:p w:rsidR="003F4700" w:rsidRPr="00941DAE" w:rsidRDefault="00221F7B" w:rsidP="003F4700">
      <w:pPr>
        <w:pStyle w:val="RKnormal"/>
      </w:pPr>
      <w:r w:rsidRPr="00941DAE">
        <w:t xml:space="preserve">Sverige </w:t>
      </w:r>
      <w:r w:rsidR="003F4700" w:rsidRPr="00941DAE">
        <w:t xml:space="preserve">föreslås också </w:t>
      </w:r>
      <w:r w:rsidR="00D05B96" w:rsidRPr="00941DAE">
        <w:t xml:space="preserve">preliminärt </w:t>
      </w:r>
      <w:r w:rsidR="003F4700" w:rsidRPr="00941DAE">
        <w:t>välkomna kommissionens initiativ eftersom det ligger väl i linje med vad regeringen avser att uppnå på nationell nivå.</w:t>
      </w:r>
      <w:r w:rsidR="00D05B96" w:rsidRPr="00941DAE">
        <w:t xml:space="preserve"> </w:t>
      </w:r>
      <w:r w:rsidRPr="00941DAE">
        <w:t xml:space="preserve">Varje förenklingsförslag får dock bedömas var för sig när det väl presenterats.  I </w:t>
      </w:r>
      <w:r w:rsidR="00D05B96" w:rsidRPr="00941DAE">
        <w:t xml:space="preserve">frågan om </w:t>
      </w:r>
      <w:r w:rsidRPr="00941DAE">
        <w:t xml:space="preserve">ett </w:t>
      </w:r>
      <w:r w:rsidR="00D05B96" w:rsidRPr="00941DAE">
        <w:t xml:space="preserve">gemensamt mål </w:t>
      </w:r>
      <w:r w:rsidRPr="00941DAE">
        <w:t xml:space="preserve">för EU-nivån och medlemsstaterna </w:t>
      </w:r>
      <w:r w:rsidR="00D05B96" w:rsidRPr="00941DAE">
        <w:t xml:space="preserve">eller inte, </w:t>
      </w:r>
      <w:r w:rsidRPr="00941DAE">
        <w:t>föreslås Sverige välkomna att ett mål som sådant sätts på EU-nivån.</w:t>
      </w:r>
    </w:p>
    <w:p w:rsidR="00D51AE8" w:rsidRPr="00941DAE" w:rsidRDefault="00D51AE8">
      <w:pPr>
        <w:pStyle w:val="RKrubrik"/>
      </w:pPr>
      <w:r w:rsidRPr="00941DAE">
        <w:t>2. Remissinstansernas ståndpunkter</w:t>
      </w:r>
    </w:p>
    <w:p w:rsidR="00D51AE8" w:rsidRPr="00941DAE" w:rsidRDefault="003F4700">
      <w:pPr>
        <w:pStyle w:val="RKnormal"/>
      </w:pPr>
      <w:r w:rsidRPr="00941DAE">
        <w:t>Ej kända.</w:t>
      </w:r>
      <w:r w:rsidR="00221F7B" w:rsidRPr="00941DAE">
        <w:t xml:space="preserve"> Näringslivet torde vara positivt.</w:t>
      </w:r>
    </w:p>
    <w:p w:rsidR="00D51AE8" w:rsidRPr="00941DAE" w:rsidRDefault="00D51AE8">
      <w:pPr>
        <w:pStyle w:val="RKrubrik"/>
      </w:pPr>
      <w:r w:rsidRPr="00941DAE">
        <w:t>III Övrigt</w:t>
      </w:r>
    </w:p>
    <w:p w:rsidR="00D51AE8" w:rsidRPr="00941DAE" w:rsidRDefault="00D51AE8">
      <w:pPr>
        <w:pStyle w:val="RKrubrik"/>
      </w:pPr>
      <w:r w:rsidRPr="00941DAE">
        <w:t>1. Fortsatt behandling av ärendet</w:t>
      </w:r>
    </w:p>
    <w:p w:rsidR="00D51AE8" w:rsidRPr="00941DAE" w:rsidRDefault="00B35E6A">
      <w:pPr>
        <w:pStyle w:val="RKnormal"/>
      </w:pPr>
      <w:r w:rsidRPr="00941DAE">
        <w:t xml:space="preserve">Det är inte slutligt </w:t>
      </w:r>
      <w:r w:rsidR="00221F7B" w:rsidRPr="00941DAE">
        <w:t>bestämt</w:t>
      </w:r>
      <w:r w:rsidRPr="00941DAE">
        <w:t xml:space="preserve"> på vilket sätt som det tyska ordförandeskapet avser att föra frågan vidare. Kommissionen har, som sagt, föreslagit ett mål för minskning och att det bör antas av Europeiska rådet i mars 2007. Troligen kommer konkurrenskraftsrådet att återkomma till denna fråga på mötet i februari 2007.</w:t>
      </w:r>
    </w:p>
    <w:p w:rsidR="00D51AE8" w:rsidRPr="00941DAE" w:rsidRDefault="00D51AE8">
      <w:pPr>
        <w:pStyle w:val="RKrubrik"/>
      </w:pPr>
      <w:r w:rsidRPr="00941DAE">
        <w:t>2. Rättslig grund och beslutsförfarande</w:t>
      </w:r>
    </w:p>
    <w:p w:rsidR="00D51AE8" w:rsidRPr="00941DAE" w:rsidRDefault="00B35E6A">
      <w:pPr>
        <w:pStyle w:val="RKnormal"/>
      </w:pPr>
      <w:r w:rsidRPr="00941DAE">
        <w:t>Ej aktuell.</w:t>
      </w:r>
    </w:p>
    <w:p w:rsidR="00D51AE8" w:rsidRPr="00941DAE" w:rsidRDefault="00D51AE8">
      <w:pPr>
        <w:pStyle w:val="RKrubrik"/>
      </w:pPr>
      <w:r w:rsidRPr="00941DAE">
        <w:t>3. Fackuttryck/termer</w:t>
      </w:r>
    </w:p>
    <w:p w:rsidR="00D51AE8" w:rsidRPr="00941DAE" w:rsidRDefault="00D51AE8">
      <w:pPr>
        <w:pStyle w:val="RKnormal"/>
      </w:pPr>
    </w:p>
    <w:p w:rsidR="00D51AE8" w:rsidRPr="00941DAE" w:rsidRDefault="00D51AE8">
      <w:pPr>
        <w:pStyle w:val="RKrubrik"/>
        <w:spacing w:before="0" w:after="0"/>
      </w:pPr>
    </w:p>
    <w:p w:rsidR="00D51AE8" w:rsidRPr="00941DAE" w:rsidRDefault="00D51AE8">
      <w:pPr>
        <w:pStyle w:val="RKnormal"/>
      </w:pPr>
    </w:p>
    <w:p w:rsidR="00D51AE8" w:rsidRPr="00941DAE" w:rsidRDefault="00D51AE8">
      <w:pPr>
        <w:pStyle w:val="RKnormal"/>
      </w:pPr>
    </w:p>
    <w:sectPr w:rsidR="00D51AE8" w:rsidRPr="00941DA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153" w:rsidRPr="00941DAE" w:rsidRDefault="00030153">
      <w:r w:rsidRPr="00941DAE">
        <w:separator/>
      </w:r>
    </w:p>
  </w:endnote>
  <w:endnote w:type="continuationSeparator" w:id="0">
    <w:p w:rsidR="00030153" w:rsidRPr="00941DAE" w:rsidRDefault="00030153">
      <w:r w:rsidRPr="00941D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153" w:rsidRPr="00941DAE" w:rsidRDefault="00030153">
      <w:r w:rsidRPr="00941DAE">
        <w:separator/>
      </w:r>
    </w:p>
  </w:footnote>
  <w:footnote w:type="continuationSeparator" w:id="0">
    <w:p w:rsidR="00030153" w:rsidRPr="00941DAE" w:rsidRDefault="00030153">
      <w:r w:rsidRPr="00941D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B96" w:rsidRPr="00941DAE" w:rsidRDefault="00D05B96">
    <w:pPr>
      <w:pStyle w:val="Sidhuvud"/>
      <w:framePr w:wrap="around" w:vAnchor="text" w:hAnchor="margin" w:xAlign="right" w:y="1"/>
      <w:rPr>
        <w:rStyle w:val="Sidnummer"/>
      </w:rPr>
    </w:pPr>
    <w:r w:rsidRPr="00941DAE">
      <w:rPr>
        <w:rStyle w:val="Sidnummer"/>
      </w:rPr>
      <w:fldChar w:fldCharType="begin" w:fldLock="1"/>
    </w:r>
    <w:r w:rsidRPr="00941DAE">
      <w:rPr>
        <w:rStyle w:val="Sidnummer"/>
      </w:rPr>
      <w:instrText xml:space="preserve">PAGE  </w:instrText>
    </w:r>
    <w:r w:rsidRPr="00941DAE">
      <w:rPr>
        <w:rStyle w:val="Sidnummer"/>
      </w:rPr>
      <w:fldChar w:fldCharType="separate"/>
    </w:r>
    <w:r w:rsidR="00221F7B" w:rsidRPr="00941DAE">
      <w:rPr>
        <w:rStyle w:val="Sidnummer"/>
      </w:rPr>
      <w:t>2</w:t>
    </w:r>
    <w:r w:rsidRPr="00941DAE">
      <w:rPr>
        <w:rStyle w:val="Sidnummer"/>
      </w:rPr>
      <w:fldChar w:fldCharType="end"/>
    </w:r>
  </w:p>
  <w:p w:rsidR="00D05B96" w:rsidRPr="00941DAE" w:rsidRDefault="00D05B96">
    <w:pPr>
      <w:pStyle w:val="Sidhuvud"/>
      <w:ind w:right="360"/>
    </w:pPr>
  </w:p>
  <w:p w:rsidR="00D05B96" w:rsidRPr="00941DAE" w:rsidRDefault="00D05B9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B96" w:rsidRPr="00941DAE" w:rsidRDefault="00D05B96">
    <w:pPr>
      <w:pStyle w:val="Sidhuvud"/>
      <w:framePr w:wrap="around" w:vAnchor="text" w:hAnchor="margin" w:xAlign="right" w:y="1"/>
      <w:rPr>
        <w:rStyle w:val="Sidnummer"/>
      </w:rPr>
    </w:pPr>
    <w:r w:rsidRPr="00941DAE">
      <w:rPr>
        <w:rStyle w:val="Sidnummer"/>
      </w:rPr>
      <w:fldChar w:fldCharType="begin" w:fldLock="1"/>
    </w:r>
    <w:r w:rsidRPr="00941DAE">
      <w:rPr>
        <w:rStyle w:val="Sidnummer"/>
      </w:rPr>
      <w:instrText xml:space="preserve">PAGE  </w:instrText>
    </w:r>
    <w:r w:rsidRPr="00941DAE">
      <w:rPr>
        <w:rStyle w:val="Sidnummer"/>
      </w:rPr>
      <w:fldChar w:fldCharType="separate"/>
    </w:r>
    <w:r w:rsidR="00221F7B" w:rsidRPr="00941DAE">
      <w:rPr>
        <w:rStyle w:val="Sidnummer"/>
      </w:rPr>
      <w:t>3</w:t>
    </w:r>
    <w:r w:rsidRPr="00941DAE">
      <w:rPr>
        <w:rStyle w:val="Sidnummer"/>
      </w:rPr>
      <w:fldChar w:fldCharType="end"/>
    </w:r>
  </w:p>
  <w:p w:rsidR="00D05B96" w:rsidRPr="00941DAE" w:rsidRDefault="00D05B96">
    <w:pPr>
      <w:pStyle w:val="Sidhuvud"/>
      <w:ind w:right="360"/>
    </w:pPr>
  </w:p>
  <w:p w:rsidR="00D05B96" w:rsidRPr="00941DAE" w:rsidRDefault="00D05B9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B96" w:rsidRPr="00941DAE" w:rsidRDefault="00941DAE">
    <w:pPr>
      <w:framePr w:w="2948" w:h="1321" w:hRule="exact" w:wrap="notBeside" w:vAnchor="page" w:hAnchor="page" w:x="1362" w:y="653"/>
    </w:pPr>
    <w:r w:rsidRPr="00941DA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5B96" w:rsidRPr="00941DAE" w:rsidRDefault="00D05B96">
    <w:pPr>
      <w:pStyle w:val="RKrubrik"/>
      <w:keepNext w:val="0"/>
      <w:tabs>
        <w:tab w:val="clear" w:pos="1134"/>
        <w:tab w:val="clear" w:pos="2835"/>
      </w:tabs>
      <w:spacing w:before="0" w:after="0" w:line="320" w:lineRule="atLeast"/>
      <w:rPr>
        <w:bCs/>
      </w:rPr>
    </w:pPr>
  </w:p>
  <w:p w:rsidR="00D05B96" w:rsidRPr="00941DAE" w:rsidRDefault="00D05B96">
    <w:pPr>
      <w:rPr>
        <w:rFonts w:ascii="TradeGothic" w:hAnsi="TradeGothic"/>
        <w:b/>
        <w:bCs/>
        <w:spacing w:val="12"/>
        <w:sz w:val="22"/>
      </w:rPr>
    </w:pPr>
  </w:p>
  <w:p w:rsidR="00D05B96" w:rsidRPr="00941DAE" w:rsidRDefault="00D05B96">
    <w:pPr>
      <w:pStyle w:val="RKrubrik"/>
      <w:keepNext w:val="0"/>
      <w:tabs>
        <w:tab w:val="clear" w:pos="1134"/>
        <w:tab w:val="clear" w:pos="2835"/>
      </w:tabs>
      <w:spacing w:before="0" w:after="0" w:line="320" w:lineRule="atLeast"/>
      <w:rPr>
        <w:bCs/>
      </w:rPr>
    </w:pPr>
  </w:p>
  <w:p w:rsidR="00D05B96" w:rsidRPr="00941DAE" w:rsidRDefault="00D05B9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249B0"/>
    <w:rsid w:val="00030153"/>
    <w:rsid w:val="00221F7B"/>
    <w:rsid w:val="003F4700"/>
    <w:rsid w:val="00672753"/>
    <w:rsid w:val="00941DAE"/>
    <w:rsid w:val="00B35E6A"/>
    <w:rsid w:val="00D05B96"/>
    <w:rsid w:val="00D249B0"/>
    <w:rsid w:val="00D51A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B03EB7-8B2B-43E1-9D91-79C8A17D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419</Words>
  <Characters>2530</Characters>
  <Application>Microsoft Office Word</Application>
  <DocSecurity>4</DocSecurity>
  <Lines>87</Lines>
  <Paragraphs>38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2025-12-17T03:58:00Z</dcterms:created>
  <dcterms:modified xsi:type="dcterms:W3CDTF">2025-12-17T03:58:00Z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