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031" w:rsidRDefault="00936031">
      <w:pPr>
        <w:spacing w:before="0"/>
      </w:pPr>
      <w:r>
        <w:rPr>
          <w:snapToGrid w:val="0"/>
          <w:lang w:eastAsia="sv-SE"/>
        </w:rPr>
        <w:t>Beredningsgruppen för översyn av vissa frågor avseende ledamöternas ek</w:t>
      </w:r>
      <w:r>
        <w:rPr>
          <w:snapToGrid w:val="0"/>
          <w:lang w:eastAsia="sv-SE"/>
        </w:rPr>
        <w:t>o</w:t>
      </w:r>
      <w:r>
        <w:rPr>
          <w:snapToGrid w:val="0"/>
          <w:lang w:eastAsia="sv-SE"/>
        </w:rPr>
        <w:t>nomiska villkor m.m. har till förvaltningsstyrelsen överlämnat ett förslag om ändring i lagen (1994:1065) om ekonomiska villkor för riksdagens ledamöter och i lagen (1996:304) om arvode m.m. till Sveriges företrädare i Europ</w:t>
      </w:r>
      <w:r>
        <w:rPr>
          <w:snapToGrid w:val="0"/>
          <w:lang w:eastAsia="sv-SE"/>
        </w:rPr>
        <w:t>a</w:t>
      </w:r>
      <w:r>
        <w:rPr>
          <w:snapToGrid w:val="0"/>
          <w:lang w:eastAsia="sv-SE"/>
        </w:rPr>
        <w:t>parlamentet. Förslagen innebär att de ekonomiska villkoren för tjänstgörande ersättare i huvudsak kommer att överensstämma med vad som gäller för ledamöter, att ersättningen vid uppdragets upphörande för ledamöter och vid föräldraledighet för riksdagsledamöter och företrädare ändras sa</w:t>
      </w:r>
      <w:r>
        <w:rPr>
          <w:snapToGrid w:val="0"/>
          <w:lang w:eastAsia="sv-SE"/>
        </w:rPr>
        <w:t>mt att i</w:t>
      </w:r>
      <w:r>
        <w:rPr>
          <w:snapToGrid w:val="0"/>
          <w:lang w:eastAsia="sv-SE"/>
        </w:rPr>
        <w:t>n</w:t>
      </w:r>
      <w:r>
        <w:rPr>
          <w:snapToGrid w:val="0"/>
          <w:lang w:eastAsia="sv-SE"/>
        </w:rPr>
        <w:t>komstgarantin beträffande båda parlamentarikergrupperna jämställs med inkomst av anställning under de fem första åren.</w:t>
      </w:r>
    </w:p>
    <w:p w:rsidR="00936031" w:rsidRDefault="00936031">
      <w:pPr>
        <w:pStyle w:val="Normaltindrag"/>
      </w:pPr>
      <w:r>
        <w:t>Förvaltningsstyrelsen tillstyrker förslagen och föreslår att riksdagen antar förvaltningskontorets förslag till</w:t>
      </w:r>
    </w:p>
    <w:p w:rsidR="00936031" w:rsidRDefault="00936031">
      <w:pPr>
        <w:pStyle w:val="Normaltindrag"/>
      </w:pPr>
      <w:r>
        <w:t>1. lag om ändring i lagen (1994:1065) om ekonomiska villkor för riksd</w:t>
      </w:r>
      <w:r>
        <w:t>a</w:t>
      </w:r>
      <w:r>
        <w:t>gens ledamöter,</w:t>
      </w:r>
    </w:p>
    <w:p w:rsidR="00936031" w:rsidRDefault="00936031">
      <w:pPr>
        <w:pStyle w:val="Normaltindrag"/>
      </w:pPr>
      <w:r>
        <w:t>2. lag om ändring i lagen (1996:304) om arvode m.m. till Sveriges företr</w:t>
      </w:r>
      <w:r>
        <w:t>ä</w:t>
      </w:r>
      <w:r>
        <w:t>d</w:t>
      </w:r>
      <w:r>
        <w:t>a</w:t>
      </w:r>
      <w:r>
        <w:t xml:space="preserve">re i Europaparlamentet. </w:t>
      </w:r>
    </w:p>
    <w:p w:rsidR="00936031" w:rsidRDefault="00936031">
      <w:pPr>
        <w:tabs>
          <w:tab w:val="left" w:pos="284"/>
          <w:tab w:val="left" w:pos="425"/>
          <w:tab w:val="left" w:pos="851"/>
          <w:tab w:val="right" w:leader="dot" w:pos="8505"/>
        </w:tabs>
      </w:pPr>
      <w:r>
        <w:t>I detta beslut har deltagit, förutom undertecknad ordförande, riksdagsled</w:t>
      </w:r>
      <w:r>
        <w:t>a</w:t>
      </w:r>
      <w:r>
        <w:t>möterna Mats Lindberg (s), Inger René (m), Marianne Jönsson (s), Jarl La</w:t>
      </w:r>
      <w:r>
        <w:t>n</w:t>
      </w:r>
      <w:r>
        <w:t>der (s), Ingrid Burman (v), Harald Bergström (kd), Knut Billing (m) och Eskil Erlandsson (c).</w:t>
      </w:r>
    </w:p>
    <w:p w:rsidR="00936031" w:rsidRDefault="00936031">
      <w:pPr>
        <w:pStyle w:val="Normaltindrag"/>
      </w:pPr>
    </w:p>
    <w:p w:rsidR="00936031" w:rsidRDefault="00936031">
      <w:pPr>
        <w:pStyle w:val="Stockholm"/>
        <w:rPr>
          <w:snapToGrid w:val="0"/>
          <w:lang w:eastAsia="sv-SE"/>
        </w:rPr>
      </w:pPr>
      <w:r>
        <w:rPr>
          <w:snapToGrid w:val="0"/>
          <w:lang w:eastAsia="sv-SE"/>
        </w:rPr>
        <w:t>Stockholm den 14 oktober 1998</w:t>
      </w:r>
    </w:p>
    <w:p w:rsidR="00936031" w:rsidRDefault="00936031">
      <w:pPr>
        <w:spacing w:before="160"/>
      </w:pPr>
      <w:r>
        <w:t>Riksdagens förvaltningskontor</w:t>
      </w:r>
    </w:p>
    <w:p w:rsidR="00936031" w:rsidRDefault="00936031">
      <w:pPr>
        <w:pStyle w:val="Ordfnamn"/>
      </w:pPr>
      <w:r>
        <w:t>Birgitta Dahl</w:t>
      </w:r>
    </w:p>
    <w:p w:rsidR="00936031" w:rsidRDefault="00936031">
      <w:pPr>
        <w:rPr>
          <w:i/>
          <w:sz w:val="21"/>
        </w:rPr>
      </w:pPr>
      <w:r>
        <w:t xml:space="preserve">                                                                   </w:t>
      </w:r>
      <w:r>
        <w:rPr>
          <w:sz w:val="21"/>
        </w:rPr>
        <w:t>/</w:t>
      </w:r>
      <w:r>
        <w:rPr>
          <w:i/>
          <w:sz w:val="21"/>
        </w:rPr>
        <w:t>Lars Bergquist</w:t>
      </w:r>
    </w:p>
    <w:p w:rsidR="00936031" w:rsidRDefault="00936031">
      <w:pPr>
        <w:pStyle w:val="Rubrik2"/>
        <w:sectPr w:rsidR="0000000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pPr>
      <w:bookmarkStart w:id="10" w:name="_Toc433445537"/>
    </w:p>
    <w:p w:rsidR="00936031" w:rsidRDefault="00936031">
      <w:pPr>
        <w:pStyle w:val="Rubrik2"/>
        <w:spacing w:before="0"/>
      </w:pPr>
    </w:p>
    <w:p w:rsidR="00936031" w:rsidRDefault="00936031">
      <w:pPr>
        <w:sectPr w:rsidR="00000000">
          <w:headerReference w:type="default" r:id="rId12"/>
          <w:pgSz w:w="11906" w:h="16838" w:code="9"/>
          <w:pgMar w:top="567" w:right="4876" w:bottom="4508" w:left="1134" w:header="0" w:footer="0" w:gutter="0"/>
          <w:cols w:space="397"/>
        </w:sectPr>
      </w:pPr>
    </w:p>
    <w:p w:rsidR="00936031" w:rsidRDefault="00936031">
      <w:pPr>
        <w:pStyle w:val="Rubrik1"/>
        <w:spacing w:before="0"/>
        <w:rPr>
          <w:b/>
        </w:rPr>
      </w:pPr>
      <w:bookmarkStart w:id="11" w:name="_Toc433516306"/>
      <w:r>
        <w:t>Till förvaltningsstyrelsen</w:t>
      </w:r>
      <w:bookmarkEnd w:id="11"/>
    </w:p>
    <w:p w:rsidR="00936031" w:rsidRDefault="00936031">
      <w:r>
        <w:t>Riksdagen beslutade i december 1997 att uppdra åt Riksdagens förvaltning</w:t>
      </w:r>
      <w:r>
        <w:t>s</w:t>
      </w:r>
      <w:r>
        <w:t>kontor att genomföra en översyn dels av vissa regler som rör ersättningsl</w:t>
      </w:r>
      <w:r>
        <w:t>a</w:t>
      </w:r>
      <w:r>
        <w:t>gen, dels av assistent/utredarstödet till ledamöterna.</w:t>
      </w:r>
    </w:p>
    <w:p w:rsidR="00936031" w:rsidRDefault="00936031">
      <w:pPr>
        <w:pStyle w:val="Normaltindrag"/>
      </w:pPr>
      <w:r>
        <w:t>Förvaltningsstyrelsen tillsatte den 4 februari 1998 en beredningsgrupp för behandlingen av frågorna. Beredningsgruppen inledde sitt arbete i mars 1998.</w:t>
      </w:r>
    </w:p>
    <w:p w:rsidR="00936031" w:rsidRDefault="00936031">
      <w:pPr>
        <w:pStyle w:val="Normaltindrag"/>
      </w:pPr>
      <w:r>
        <w:t>Ordförande i beredningsgruppen har varit riksdagsledamoten Mats Lin</w:t>
      </w:r>
      <w:r>
        <w:t>d</w:t>
      </w:r>
      <w:r>
        <w:t>berg (s). Som ledamot har deltagit riksdagsledamöterna Ronny Korsberg (mp), Tanja Linderborg (v), Bo Lundgren (m), Michael Stjernström (kd), Anders Svärd (c), Karin Wegestål (s) och Carl-Johan Wilson (fp).</w:t>
      </w:r>
    </w:p>
    <w:p w:rsidR="00936031" w:rsidRDefault="00936031">
      <w:pPr>
        <w:pStyle w:val="Normaltindrag"/>
      </w:pPr>
      <w:r>
        <w:t>Experter i beredningsgruppen har varit riksdagsdirektören Anders For</w:t>
      </w:r>
      <w:r>
        <w:t>s</w:t>
      </w:r>
      <w:r>
        <w:t>berg, kanslichefen Tom T:son Thyblad, ekonomichefen Lena Uhlin och bitr. personalchefen Karin Hjalmarsson.</w:t>
      </w:r>
    </w:p>
    <w:p w:rsidR="00936031" w:rsidRDefault="00936031">
      <w:pPr>
        <w:pStyle w:val="Normaltindrag"/>
      </w:pPr>
      <w:r>
        <w:t>T.f. enhetschefen Annalena Hanell Carpelan har varit beredningsgruppens sekreterare. Biträdande sekreterare har varit utredningssekreterarna Sven Lindberg och Marianne Bjernbäck.</w:t>
      </w:r>
    </w:p>
    <w:p w:rsidR="00936031" w:rsidRDefault="00936031">
      <w:pPr>
        <w:pStyle w:val="Normaltindrag"/>
      </w:pPr>
      <w:r>
        <w:t>Beredningsgruppen överlämnar nu sitt förslag om ändrade bestämmelser för ersättare, ersättning vid uppdragets upphörande, förmåner vid föräldral</w:t>
      </w:r>
      <w:r>
        <w:t>e</w:t>
      </w:r>
      <w:r>
        <w:t>dighet samt pensionsgrundande i</w:t>
      </w:r>
      <w:r>
        <w:t>n</w:t>
      </w:r>
      <w:r>
        <w:t>komstgaranti.</w:t>
      </w:r>
    </w:p>
    <w:p w:rsidR="00936031" w:rsidRDefault="00936031">
      <w:pPr>
        <w:pStyle w:val="Normaltindrag"/>
      </w:pPr>
      <w:r>
        <w:t>Beredningsgruppen kommer att fortsätta sitt arbete med att bl.a. se över assistentstödet till riksdagens ledamöter.</w:t>
      </w:r>
    </w:p>
    <w:p w:rsidR="00936031" w:rsidRDefault="00936031">
      <w:pPr>
        <w:pStyle w:val="Normaltindrag"/>
      </w:pPr>
      <w:r>
        <w:t>Beredningsgruppen föreslår att förvaltningsstyrelsen godkänner de fra</w:t>
      </w:r>
      <w:r>
        <w:t>m</w:t>
      </w:r>
      <w:r>
        <w:t>lagda förslagen till författningsändringar och överlämnar dem till riksdagen för beslut.</w:t>
      </w:r>
    </w:p>
    <w:p w:rsidR="00936031" w:rsidRDefault="00936031">
      <w:pPr>
        <w:pStyle w:val="Stockholm"/>
      </w:pPr>
      <w:r>
        <w:t>Stockholm i oktober 1998</w:t>
      </w:r>
    </w:p>
    <w:p w:rsidR="00936031" w:rsidRDefault="00936031"/>
    <w:p w:rsidR="00936031" w:rsidRDefault="00936031">
      <w:pPr>
        <w:pStyle w:val="Ordfnamn"/>
        <w:tabs>
          <w:tab w:val="left" w:pos="3402"/>
        </w:tabs>
        <w:spacing w:before="240"/>
      </w:pPr>
      <w:r>
        <w:t>Mats Lindberg</w:t>
      </w:r>
      <w:r>
        <w:tab/>
        <w:t xml:space="preserve">Michael Stjernström </w:t>
      </w:r>
    </w:p>
    <w:p w:rsidR="00936031" w:rsidRDefault="00936031">
      <w:pPr>
        <w:pStyle w:val="Ordfnamn"/>
        <w:tabs>
          <w:tab w:val="left" w:pos="3402"/>
        </w:tabs>
        <w:spacing w:before="240"/>
      </w:pPr>
      <w:r>
        <w:t>Ronny Korsberg</w:t>
      </w:r>
      <w:r>
        <w:tab/>
        <w:t>Anders Svärd</w:t>
      </w:r>
    </w:p>
    <w:p w:rsidR="00936031" w:rsidRDefault="00936031">
      <w:pPr>
        <w:pStyle w:val="Ordfnamn"/>
        <w:tabs>
          <w:tab w:val="left" w:pos="3402"/>
        </w:tabs>
        <w:spacing w:before="240"/>
      </w:pPr>
      <w:r>
        <w:t>Tanja Linderborg</w:t>
      </w:r>
      <w:r>
        <w:tab/>
        <w:t>Karin Wegestål</w:t>
      </w:r>
    </w:p>
    <w:p w:rsidR="00936031" w:rsidRDefault="00936031">
      <w:pPr>
        <w:pStyle w:val="Ordfnamn"/>
        <w:tabs>
          <w:tab w:val="left" w:pos="3402"/>
        </w:tabs>
        <w:spacing w:before="240"/>
      </w:pPr>
      <w:r>
        <w:t>Bo Lundgren</w:t>
      </w:r>
      <w:r>
        <w:tab/>
        <w:t xml:space="preserve">Carl-Johan Wilson  </w:t>
      </w:r>
    </w:p>
    <w:p w:rsidR="00936031" w:rsidRDefault="00936031">
      <w:pPr>
        <w:pStyle w:val="Ordfnamn"/>
        <w:tabs>
          <w:tab w:val="left" w:pos="3402"/>
        </w:tabs>
        <w:spacing w:before="240"/>
      </w:pPr>
      <w:r>
        <w:tab/>
        <w:t>/Annalena Hanell Ca</w:t>
      </w:r>
      <w:r>
        <w:t>r</w:t>
      </w:r>
      <w:r>
        <w:t>pelan</w:t>
      </w:r>
    </w:p>
    <w:p w:rsidR="00936031" w:rsidRDefault="00936031">
      <w:pPr>
        <w:pStyle w:val="Rubrik2"/>
      </w:pPr>
      <w:r>
        <w:br w:type="page"/>
      </w:r>
      <w:bookmarkStart w:id="12" w:name="_Toc433516307"/>
      <w:r>
        <w:t>Betänkande från beredningsgruppen</w:t>
      </w:r>
      <w:bookmarkEnd w:id="10"/>
      <w:bookmarkEnd w:id="12"/>
    </w:p>
    <w:p w:rsidR="00936031" w:rsidRDefault="00936031">
      <w:r>
        <w:t>Beredningsgruppens förslag om ändring i lagen (1994:1065) om ekonomiska villkor för riksdagens ledamöter och i lagen (1996:304) om arvode m.m. till Sveriges företrädare i Europaparlamentet</w:t>
      </w:r>
    </w:p>
    <w:p w:rsidR="00936031" w:rsidRDefault="00936031">
      <w:pPr>
        <w:pStyle w:val="Rubrik2"/>
      </w:pPr>
      <w:bookmarkStart w:id="13" w:name="_Toc433445538"/>
      <w:bookmarkStart w:id="14" w:name="_Toc433516308"/>
      <w:r>
        <w:t>Förslagets huvudsakliga innehåll</w:t>
      </w:r>
      <w:bookmarkEnd w:id="13"/>
      <w:bookmarkEnd w:id="14"/>
    </w:p>
    <w:p w:rsidR="00936031" w:rsidRDefault="00936031">
      <w:r>
        <w:t>Enligt lagen om ekonomiska villkor för riksdagens ledamöter gäller samma bestämmelser för ersättare för talmannen eller ett statsråd som för ledamot. För ersättare för annan ledamot gäller däremot inte lagens bestämmelser om bl.a. pension, egenlivränta och inkomstgaranti. Beredningsgruppen föreslår att samma bestämmelser som för ledamot skall, om annat inte uttryckligen sägs, gälla samtliga kategorier ersättare. Detta medför att de ekonomiska villkoren för ersättarna i huvudsak kommer att överensstämma med</w:t>
      </w:r>
      <w:r>
        <w:t xml:space="preserve"> vad som gäller för ledamöterna. I förslaget likställs vidare, vad gäller ekonomiska förmåner enligt lagen, ersättare för ledamot som är statssekreterare med ersättare för ledamot som är talman eller statsråd.</w:t>
      </w:r>
    </w:p>
    <w:p w:rsidR="00936031" w:rsidRDefault="00936031">
      <w:pPr>
        <w:pStyle w:val="Normaltindrag"/>
      </w:pPr>
      <w:r>
        <w:t>Bestämmelserna om arvode (3 kap.), resekostnadsersättning (4 kap.), traktamente m.m. (5 kap.), kostnadsersättning och viss teknisk utrustning (6 kap.) samt försäkrings- och sjukvårdsförmåner (15 kap.) tillämpas fr.o.m. den dag då ledamoten tar plats i riksdagen t.o.m. utgången av den månad då uppdrage</w:t>
      </w:r>
      <w:r>
        <w:t>t att vara ledamot upphör. Beredningsgruppen föreslår att bestä</w:t>
      </w:r>
      <w:r>
        <w:t>m</w:t>
      </w:r>
      <w:r>
        <w:t>melserna skall vara tillämpliga t.o.m. 30 dagar efter det att uppdraget up</w:t>
      </w:r>
      <w:r>
        <w:t>p</w:t>
      </w:r>
      <w:r>
        <w:t>hört. För ersättare för annan ledamot än talmannen eller ett statsråd eller en statssekreterare föreslås att bestämmelserna skall tillämpas endast för den tid som ersättaren enligt bevis därom skall fullgöra uppdraget eller, om uppdr</w:t>
      </w:r>
      <w:r>
        <w:t>a</w:t>
      </w:r>
      <w:r>
        <w:t xml:space="preserve">get upphör tidigare, för den i beviset angivna tiden, dock längst fr.o.m. den dag uppdraget börjar t.o.m. 30 dagar efter den dag uppdraget </w:t>
      </w:r>
      <w:r>
        <w:t>up</w:t>
      </w:r>
      <w:r>
        <w:t>p</w:t>
      </w:r>
      <w:r>
        <w:t>hör.</w:t>
      </w:r>
    </w:p>
    <w:p w:rsidR="00936031" w:rsidRDefault="00936031">
      <w:pPr>
        <w:pStyle w:val="Normaltindrag"/>
      </w:pPr>
      <w:r>
        <w:t>Såsom en ytterligare anpassning till de regler som gäller i samhället i ö</w:t>
      </w:r>
      <w:r>
        <w:t>v</w:t>
      </w:r>
      <w:r>
        <w:t>rigt föreslår beredningsgruppen att, om en ledamot får föräldrapenning eller tillfällig föräldrapenning och för samma tid får arvode, arvodet skall minskas i enlighet med de kollektivavtalsbestämmelser som gäller för arbetstagare hos riksdagen. För företrädare i Europaparlamentet föreslås motsvarande ändring i lagen (1996:304) om arvode m.m. till Sveriges företrädare i Eur</w:t>
      </w:r>
      <w:r>
        <w:t>o</w:t>
      </w:r>
      <w:r>
        <w:t>paparlamentet.</w:t>
      </w:r>
    </w:p>
    <w:p w:rsidR="00936031" w:rsidRDefault="00936031">
      <w:pPr>
        <w:pStyle w:val="Normaltindrag"/>
      </w:pPr>
      <w:r>
        <w:t xml:space="preserve">Beredningsgruppen föreslår också att inkomstgaranti till riksdagsledamot eller Sveriges företrädare i Europaparlamentet </w:t>
      </w:r>
      <w:r>
        <w:t>skall jämställas med inkomst av anställning  under de första fem åren. Inkomstgarantin kommer därmed i denna del att utgöra  pensionsgrundande inkomst.</w:t>
      </w:r>
    </w:p>
    <w:p w:rsidR="00936031" w:rsidRDefault="00936031">
      <w:pPr>
        <w:pStyle w:val="Normaltindrag"/>
      </w:pPr>
      <w:r>
        <w:t>Förslaget upptar slutligen vissa ändringar av redaktionell art.</w:t>
      </w:r>
    </w:p>
    <w:p w:rsidR="00936031" w:rsidRDefault="00936031">
      <w:pPr>
        <w:pStyle w:val="Rubrik1"/>
        <w:rPr>
          <w:sz w:val="32"/>
        </w:rPr>
      </w:pPr>
      <w:bookmarkStart w:id="15" w:name="_Toc433445539"/>
      <w:r>
        <w:br w:type="page"/>
      </w:r>
      <w:bookmarkStart w:id="16" w:name="_Toc433516309"/>
      <w:bookmarkEnd w:id="15"/>
      <w:r>
        <w:t>1 Förslag till riksdagsbeslut</w:t>
      </w:r>
      <w:bookmarkEnd w:id="16"/>
      <w:r>
        <w:rPr>
          <w:sz w:val="32"/>
        </w:rPr>
        <w:t xml:space="preserve"> </w:t>
      </w:r>
    </w:p>
    <w:p w:rsidR="00936031" w:rsidRDefault="00936031">
      <w:r>
        <w:t xml:space="preserve">Beredningsgruppen föreslår att riksdagen antar beredningsgruppens förslag till </w:t>
      </w:r>
    </w:p>
    <w:p w:rsidR="00936031" w:rsidRDefault="00936031">
      <w:pPr>
        <w:pStyle w:val="Normaltindrag"/>
      </w:pPr>
      <w:r>
        <w:t>1. lag om ändring i lagen (1994:1065) om ekonomiska villkor för riksd</w:t>
      </w:r>
      <w:r>
        <w:t>a</w:t>
      </w:r>
      <w:r>
        <w:t>gens ledamöter,</w:t>
      </w:r>
    </w:p>
    <w:p w:rsidR="00936031" w:rsidRDefault="00936031">
      <w:pPr>
        <w:pStyle w:val="Normaltindrag"/>
      </w:pPr>
      <w:r>
        <w:t>2. lag om ändring i lagen (1996:304) om arvode m.m. till Sveriges företr</w:t>
      </w:r>
      <w:r>
        <w:t>ä</w:t>
      </w:r>
      <w:r>
        <w:t>dare i Europaparlamentet.</w:t>
      </w:r>
    </w:p>
    <w:p w:rsidR="00936031" w:rsidRDefault="00936031">
      <w:pPr>
        <w:pStyle w:val="Rubrik1"/>
      </w:pPr>
      <w:bookmarkStart w:id="17" w:name="_Toc433516310"/>
      <w:r>
        <w:t>2 Lagtext</w:t>
      </w:r>
      <w:bookmarkEnd w:id="17"/>
    </w:p>
    <w:p w:rsidR="00936031" w:rsidRDefault="00936031">
      <w:r>
        <w:t>Beredningsgruppen har följande förslag till lagtext.</w:t>
      </w:r>
    </w:p>
    <w:p w:rsidR="00936031" w:rsidRDefault="00936031">
      <w:pPr>
        <w:pStyle w:val="Rubrik2"/>
      </w:pPr>
      <w:bookmarkStart w:id="18" w:name="_Toc433516311"/>
      <w:r>
        <w:t>2.1  Förslag till lag om ändring i lagen (1994:1065) om ekonomiska vil</w:t>
      </w:r>
      <w:r>
        <w:t>l</w:t>
      </w:r>
      <w:r>
        <w:t>kor för riksdagens ledamöter</w:t>
      </w:r>
      <w:bookmarkEnd w:id="18"/>
    </w:p>
    <w:p w:rsidR="00936031" w:rsidRDefault="00936031">
      <w:pPr>
        <w:tabs>
          <w:tab w:val="left" w:pos="284"/>
        </w:tabs>
      </w:pPr>
      <w:r>
        <w:t>Härigenom föreskrivs i fråga om lagen (1994:1065) om ekonomiska villkor för riksdagens ledamöter att 1 kap. 1 och 2 §§, 3 kap. 4 § samt 13 kap. 3 § skall ha följande lydelse.</w:t>
      </w:r>
    </w:p>
    <w:p w:rsidR="00936031" w:rsidRDefault="0093603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936031" w:rsidRDefault="00936031">
            <w:pPr>
              <w:pStyle w:val="Lagtext"/>
              <w:rPr>
                <w:i/>
              </w:rPr>
            </w:pPr>
            <w:r>
              <w:rPr>
                <w:i/>
              </w:rPr>
              <w:t>Nuvarande lydelse</w:t>
            </w:r>
          </w:p>
        </w:tc>
        <w:tc>
          <w:tcPr>
            <w:tcW w:w="3062" w:type="dxa"/>
          </w:tcPr>
          <w:p w:rsidR="00936031" w:rsidRDefault="00936031">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936031" w:rsidRDefault="00936031">
            <w:pPr>
              <w:pStyle w:val="LagtextIndrag"/>
              <w:spacing w:before="120"/>
              <w:jc w:val="center"/>
              <w:rPr>
                <w:b/>
              </w:rPr>
            </w:pPr>
            <w:r>
              <w:rPr>
                <w:b/>
              </w:rPr>
              <w:t>1 kap.</w:t>
            </w:r>
          </w:p>
          <w:p w:rsidR="00936031" w:rsidRDefault="00936031">
            <w:pPr>
              <w:pStyle w:val="LagtextIndrag"/>
              <w:jc w:val="center"/>
            </w:pPr>
            <w:r>
              <w:t>1  §</w:t>
            </w:r>
            <w:r>
              <w:rPr>
                <w:vertAlign w:val="superscript"/>
              </w:rPr>
              <w:t>1</w:t>
            </w:r>
          </w:p>
        </w:tc>
      </w:tr>
      <w:tr w:rsidR="00000000">
        <w:tblPrEx>
          <w:tblCellMar>
            <w:top w:w="0" w:type="dxa"/>
            <w:bottom w:w="0" w:type="dxa"/>
          </w:tblCellMar>
        </w:tblPrEx>
        <w:trPr>
          <w:cantSplit/>
        </w:trPr>
        <w:tc>
          <w:tcPr>
            <w:tcW w:w="3062" w:type="dxa"/>
          </w:tcPr>
          <w:p w:rsidR="00936031" w:rsidRDefault="00936031">
            <w:pPr>
              <w:pStyle w:val="LagtextIndrag"/>
              <w:spacing w:before="122"/>
            </w:pPr>
            <w:r>
              <w:t>En riksdagsledamot är berättigad till ekonomiska förmåner enligt denna lag. Förmånerna utgår inte för tid då ledamoten är statsråd eller för tid då ledamoten av annat skäl än offentligt uppdrag, militärtjänstg</w:t>
            </w:r>
            <w:r>
              <w:t>ö</w:t>
            </w:r>
            <w:r>
              <w:t>ring, sjukdom, vård av barn</w:t>
            </w:r>
            <w:r>
              <w:rPr>
                <w:i/>
              </w:rPr>
              <w:t xml:space="preserve"> m.fl. </w:t>
            </w:r>
            <w:r>
              <w:t xml:space="preserve">beviljats ledighet under minst en månad i följd. </w:t>
            </w:r>
          </w:p>
        </w:tc>
        <w:tc>
          <w:tcPr>
            <w:tcW w:w="3062" w:type="dxa"/>
          </w:tcPr>
          <w:p w:rsidR="00936031" w:rsidRDefault="00936031">
            <w:pPr>
              <w:pStyle w:val="LagtextIndrag"/>
              <w:spacing w:before="122"/>
            </w:pPr>
            <w:r>
              <w:t xml:space="preserve">En riksdagsledamot är berättigad till ekonomiska förmåner enligt denna lag. Förmånerna utgår inte för tid då ledamoten  är statsråd </w:t>
            </w:r>
            <w:r>
              <w:rPr>
                <w:i/>
              </w:rPr>
              <w:t xml:space="preserve">eller statssekreterare </w:t>
            </w:r>
            <w:r>
              <w:t>eller för tid då l</w:t>
            </w:r>
            <w:r>
              <w:t>e</w:t>
            </w:r>
            <w:r>
              <w:t>damoten av annat skäl än offentligt uppdrag, militärtjänstgöring, sju</w:t>
            </w:r>
            <w:r>
              <w:t>k</w:t>
            </w:r>
            <w:r>
              <w:t xml:space="preserve">dom, vård av barn </w:t>
            </w:r>
            <w:r>
              <w:rPr>
                <w:i/>
              </w:rPr>
              <w:t>eller annan lag</w:t>
            </w:r>
            <w:r>
              <w:rPr>
                <w:i/>
              </w:rPr>
              <w:softHyphen/>
              <w:t xml:space="preserve">stadgad eller kollektivavtalsenlig ledighet </w:t>
            </w:r>
            <w:r>
              <w:t>beviljats ledighet under minst en månad i följd.</w:t>
            </w:r>
          </w:p>
        </w:tc>
      </w:tr>
      <w:tr w:rsidR="00000000">
        <w:tblPrEx>
          <w:tblCellMar>
            <w:top w:w="0" w:type="dxa"/>
            <w:bottom w:w="0" w:type="dxa"/>
          </w:tblCellMar>
        </w:tblPrEx>
        <w:trPr>
          <w:cantSplit/>
        </w:trPr>
        <w:tc>
          <w:tcPr>
            <w:tcW w:w="3062" w:type="dxa"/>
          </w:tcPr>
          <w:p w:rsidR="00936031" w:rsidRDefault="00936031">
            <w:pPr>
              <w:pStyle w:val="Lagtext"/>
              <w:spacing w:before="120"/>
            </w:pPr>
            <w:r>
              <w:t xml:space="preserve">För ersättare </w:t>
            </w:r>
            <w:r>
              <w:rPr>
                <w:i/>
              </w:rPr>
              <w:t>för talmannen eller ett statsråd</w:t>
            </w:r>
            <w:r>
              <w:t xml:space="preserve"> gäller samma bestämmelser som för ledamot. </w:t>
            </w:r>
          </w:p>
          <w:p w:rsidR="00936031" w:rsidRDefault="00936031">
            <w:pPr>
              <w:pStyle w:val="LagtextIndrag"/>
            </w:pPr>
            <w:r>
              <w:rPr>
                <w:i/>
              </w:rPr>
              <w:t>För ersättare för annan ledamot än talmannen eller</w:t>
            </w:r>
            <w:r>
              <w:t xml:space="preserve"> </w:t>
            </w:r>
            <w:r>
              <w:rPr>
                <w:i/>
              </w:rPr>
              <w:t>ett</w:t>
            </w:r>
            <w:r>
              <w:t xml:space="preserve"> </w:t>
            </w:r>
            <w:r>
              <w:rPr>
                <w:i/>
              </w:rPr>
              <w:t>statsråd gäller</w:t>
            </w:r>
            <w:r>
              <w:t xml:space="preserve"> </w:t>
            </w:r>
            <w:r>
              <w:rPr>
                <w:i/>
              </w:rPr>
              <w:t>endast 3–6 kap. och 15 kap.</w:t>
            </w:r>
          </w:p>
        </w:tc>
        <w:tc>
          <w:tcPr>
            <w:tcW w:w="3062" w:type="dxa"/>
          </w:tcPr>
          <w:p w:rsidR="00936031" w:rsidRDefault="00936031">
            <w:pPr>
              <w:pStyle w:val="Lagtext"/>
              <w:spacing w:before="120"/>
              <w:rPr>
                <w:i/>
              </w:rPr>
            </w:pPr>
            <w:r>
              <w:t xml:space="preserve">För ersättare gäller, </w:t>
            </w:r>
            <w:r>
              <w:rPr>
                <w:i/>
              </w:rPr>
              <w:t>om inte annat sägs</w:t>
            </w:r>
            <w:r>
              <w:t>, samma bestämmelser som för led</w:t>
            </w:r>
            <w:r>
              <w:t>a</w:t>
            </w:r>
            <w:r>
              <w:t xml:space="preserve">mot. </w:t>
            </w:r>
          </w:p>
          <w:p w:rsidR="00936031" w:rsidRDefault="00936031">
            <w:pPr>
              <w:tabs>
                <w:tab w:val="left" w:pos="284"/>
              </w:tabs>
              <w:spacing w:before="120"/>
            </w:pPr>
          </w:p>
        </w:tc>
      </w:tr>
      <w:tr w:rsidR="00000000">
        <w:tblPrEx>
          <w:tblCellMar>
            <w:top w:w="0" w:type="dxa"/>
            <w:bottom w:w="0" w:type="dxa"/>
          </w:tblCellMar>
        </w:tblPrEx>
        <w:trPr>
          <w:cantSplit/>
        </w:trPr>
        <w:tc>
          <w:tcPr>
            <w:tcW w:w="6124" w:type="dxa"/>
            <w:gridSpan w:val="2"/>
          </w:tcPr>
          <w:p w:rsidR="00936031" w:rsidRDefault="00936031">
            <w:pPr>
              <w:pStyle w:val="Normaltindrag"/>
            </w:pPr>
            <w:r>
              <w:t>I den mån någon samtidigt är ledamot av riksdagen och företrädare i Eur</w:t>
            </w:r>
            <w:r>
              <w:t>o</w:t>
            </w:r>
            <w:r>
              <w:t>paparlamentet föreligger inte rätt till förmåner enligt denna lag. Rätten till förmåner i sådant fall regleras i lagen (1996:304) om arvode m.m. till Sver</w:t>
            </w:r>
            <w:r>
              <w:t>i</w:t>
            </w:r>
            <w:r>
              <w:t xml:space="preserve">ges företrädare i Europaparlamentet. </w:t>
            </w:r>
          </w:p>
        </w:tc>
      </w:tr>
    </w:tbl>
    <w:p w:rsidR="00936031" w:rsidRDefault="00936031"/>
    <w:p w:rsidR="00936031" w:rsidRDefault="00936031">
      <w:pPr>
        <w:pStyle w:val="Normaltindrag"/>
      </w:pPr>
    </w:p>
    <w:p w:rsidR="00936031" w:rsidRDefault="00936031">
      <w:pPr>
        <w:pStyle w:val="Normaltindrag"/>
      </w:pPr>
    </w:p>
    <w:p w:rsidR="00936031" w:rsidRDefault="00936031">
      <w:pPr>
        <w:pStyle w:val="Normaltindrag"/>
        <w:ind w:firstLine="0"/>
        <w:rPr>
          <w:sz w:val="16"/>
        </w:rPr>
      </w:pPr>
      <w:r>
        <w:rPr>
          <w:sz w:val="16"/>
          <w:vertAlign w:val="superscript"/>
        </w:rPr>
        <w:t>1</w:t>
      </w:r>
      <w:r>
        <w:rPr>
          <w:sz w:val="16"/>
        </w:rPr>
        <w:t>Senaste lydelse 1996:305.</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936031" w:rsidRDefault="00936031">
            <w:pPr>
              <w:pStyle w:val="Lagtext"/>
              <w:spacing w:after="120"/>
              <w:rPr>
                <w:i/>
              </w:rPr>
            </w:pPr>
            <w:r>
              <w:rPr>
                <w:i/>
              </w:rPr>
              <w:t>Nuvarande lydelse</w:t>
            </w:r>
          </w:p>
        </w:tc>
        <w:tc>
          <w:tcPr>
            <w:tcW w:w="3062" w:type="dxa"/>
          </w:tcPr>
          <w:p w:rsidR="00936031" w:rsidRDefault="00936031">
            <w:pPr>
              <w:pStyle w:val="Lagtext"/>
              <w:spacing w:after="120"/>
              <w:rPr>
                <w:i/>
              </w:rPr>
            </w:pPr>
            <w:r>
              <w:rPr>
                <w:i/>
              </w:rPr>
              <w:t>Föreslagen lydelse</w:t>
            </w:r>
          </w:p>
        </w:tc>
      </w:tr>
      <w:tr w:rsidR="00000000">
        <w:tblPrEx>
          <w:tblCellMar>
            <w:top w:w="0" w:type="dxa"/>
            <w:bottom w:w="0" w:type="dxa"/>
          </w:tblCellMar>
        </w:tblPrEx>
        <w:trPr>
          <w:cantSplit/>
        </w:trPr>
        <w:tc>
          <w:tcPr>
            <w:tcW w:w="6124" w:type="dxa"/>
            <w:gridSpan w:val="2"/>
          </w:tcPr>
          <w:p w:rsidR="00936031" w:rsidRDefault="00936031">
            <w:pPr>
              <w:pStyle w:val="LagtextIndrag"/>
              <w:jc w:val="center"/>
            </w:pPr>
            <w:r>
              <w:t>2  §</w:t>
            </w:r>
          </w:p>
        </w:tc>
      </w:tr>
      <w:tr w:rsidR="00000000">
        <w:tblPrEx>
          <w:tblCellMar>
            <w:top w:w="0" w:type="dxa"/>
            <w:bottom w:w="0" w:type="dxa"/>
          </w:tblCellMar>
        </w:tblPrEx>
        <w:trPr>
          <w:cantSplit/>
        </w:trPr>
        <w:tc>
          <w:tcPr>
            <w:tcW w:w="3062" w:type="dxa"/>
          </w:tcPr>
          <w:p w:rsidR="00936031" w:rsidRDefault="00936031">
            <w:pPr>
              <w:pStyle w:val="LagtextIndrag"/>
            </w:pPr>
            <w:r>
              <w:t>Bestämmelserna i 3</w:t>
            </w:r>
            <w:r>
              <w:softHyphen/>
              <w:t xml:space="preserve">–6 kap. och 15 kap. tillämpas från och med den dag då ledamoten tar plats i riksdagen till och med </w:t>
            </w:r>
            <w:r>
              <w:rPr>
                <w:i/>
              </w:rPr>
              <w:t xml:space="preserve">utgången av den månad då </w:t>
            </w:r>
            <w:r>
              <w:t>uppdraget att vara ledamot upphör. För den som ersätter annan ledamot än talmannen eller ett statsråd ti</w:t>
            </w:r>
            <w:r>
              <w:t>l</w:t>
            </w:r>
            <w:r>
              <w:t xml:space="preserve">lämpas 3–6 kap. och 15 kap. endast för den tid </w:t>
            </w:r>
            <w:r>
              <w:rPr>
                <w:i/>
              </w:rPr>
              <w:t>uppdraget o</w:t>
            </w:r>
            <w:r>
              <w:rPr>
                <w:i/>
              </w:rPr>
              <w:t>m</w:t>
            </w:r>
            <w:r>
              <w:rPr>
                <w:i/>
              </w:rPr>
              <w:t>fattar</w:t>
            </w:r>
            <w:r>
              <w:t>.</w:t>
            </w:r>
          </w:p>
        </w:tc>
        <w:tc>
          <w:tcPr>
            <w:tcW w:w="3062" w:type="dxa"/>
          </w:tcPr>
          <w:p w:rsidR="00936031" w:rsidRDefault="00936031">
            <w:pPr>
              <w:pStyle w:val="LagtextIndrag"/>
            </w:pPr>
            <w:r>
              <w:t xml:space="preserve">Bestämmelserna i 3–6 kap. och 15 kap. tillämpas från och med den dag då leda- moten tar plats i riksdagen till och med </w:t>
            </w:r>
            <w:r>
              <w:rPr>
                <w:i/>
              </w:rPr>
              <w:t xml:space="preserve">30 </w:t>
            </w:r>
            <w:r>
              <w:t xml:space="preserve"> </w:t>
            </w:r>
            <w:r>
              <w:rPr>
                <w:i/>
              </w:rPr>
              <w:t xml:space="preserve">dagar efter det att </w:t>
            </w:r>
            <w:r>
              <w:t xml:space="preserve">uppdraget att vara ledamot upphör. För den som ersätter annan ledamot än talmannen eller ett statsråd </w:t>
            </w:r>
            <w:r>
              <w:rPr>
                <w:i/>
              </w:rPr>
              <w:t xml:space="preserve">eller en statssekreterare </w:t>
            </w:r>
            <w:r>
              <w:t xml:space="preserve">tillämpas 3–6 kap. och 15 kap. endast för den tid </w:t>
            </w:r>
            <w:r>
              <w:rPr>
                <w:i/>
              </w:rPr>
              <w:t>som ersättaren enligt bevis därom skall fullgöra uppdraget. Om  up</w:t>
            </w:r>
            <w:r>
              <w:rPr>
                <w:i/>
              </w:rPr>
              <w:t>p</w:t>
            </w:r>
            <w:r>
              <w:rPr>
                <w:i/>
              </w:rPr>
              <w:t xml:space="preserve">draget upphör tidigare än den i beviset angivna tiden, tillämpas 3–6 kap. och 15 </w:t>
            </w:r>
            <w:r>
              <w:t xml:space="preserve"> </w:t>
            </w:r>
            <w:r>
              <w:rPr>
                <w:i/>
              </w:rPr>
              <w:t>kap. dock</w:t>
            </w:r>
            <w:r>
              <w:t xml:space="preserve"> </w:t>
            </w:r>
            <w:r>
              <w:rPr>
                <w:i/>
              </w:rPr>
              <w:t>längst från och med den dag uppdraget börjar</w:t>
            </w:r>
            <w:r>
              <w:t xml:space="preserve"> </w:t>
            </w:r>
            <w:r>
              <w:rPr>
                <w:i/>
              </w:rPr>
              <w:t>till</w:t>
            </w:r>
            <w:r>
              <w:t xml:space="preserve"> </w:t>
            </w:r>
            <w:r>
              <w:rPr>
                <w:i/>
              </w:rPr>
              <w:t xml:space="preserve">och med 30 dagar </w:t>
            </w:r>
            <w:r>
              <w:t xml:space="preserve"> </w:t>
            </w:r>
            <w:r>
              <w:rPr>
                <w:i/>
              </w:rPr>
              <w:t>efter den dag up</w:t>
            </w:r>
            <w:r>
              <w:rPr>
                <w:i/>
              </w:rPr>
              <w:t>p</w:t>
            </w:r>
            <w:r>
              <w:rPr>
                <w:i/>
              </w:rPr>
              <w:t>draget upphör</w:t>
            </w:r>
            <w:r>
              <w:t>.</w:t>
            </w:r>
          </w:p>
        </w:tc>
      </w:tr>
      <w:tr w:rsidR="00000000">
        <w:tblPrEx>
          <w:tblCellMar>
            <w:top w:w="0" w:type="dxa"/>
            <w:bottom w:w="0" w:type="dxa"/>
          </w:tblCellMar>
        </w:tblPrEx>
        <w:trPr>
          <w:cantSplit/>
        </w:trPr>
        <w:tc>
          <w:tcPr>
            <w:tcW w:w="3062" w:type="dxa"/>
          </w:tcPr>
          <w:p w:rsidR="00936031" w:rsidRDefault="00936031">
            <w:pPr>
              <w:pStyle w:val="LagtextIndrag"/>
            </w:pPr>
            <w:r>
              <w:rPr>
                <w:i/>
              </w:rPr>
              <w:t>Om särskilda skäl föreligger får riksdagens förvaltningskontor b</w:t>
            </w:r>
            <w:r>
              <w:rPr>
                <w:i/>
              </w:rPr>
              <w:t>e</w:t>
            </w:r>
            <w:r>
              <w:rPr>
                <w:i/>
              </w:rPr>
              <w:t>sluta att bestämmelserna i 3–6 kap. och 15 kap. 2 § helt eller delvis skall tillämpas för ersättare även för tid utöver den tid uppdraget omfattar.</w:t>
            </w:r>
          </w:p>
        </w:tc>
        <w:tc>
          <w:tcPr>
            <w:tcW w:w="3062" w:type="dxa"/>
          </w:tcPr>
          <w:p w:rsidR="00936031" w:rsidRDefault="00936031">
            <w:pPr>
              <w:tabs>
                <w:tab w:val="left" w:pos="284"/>
              </w:tabs>
            </w:pPr>
          </w:p>
        </w:tc>
      </w:tr>
    </w:tbl>
    <w:p w:rsidR="00936031" w:rsidRDefault="0093603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blHeader/>
        </w:trPr>
        <w:tc>
          <w:tcPr>
            <w:tcW w:w="6124" w:type="dxa"/>
            <w:gridSpan w:val="2"/>
          </w:tcPr>
          <w:p w:rsidR="00936031" w:rsidRDefault="00936031">
            <w:pPr>
              <w:pStyle w:val="Lagtext"/>
              <w:jc w:val="center"/>
              <w:rPr>
                <w:b/>
              </w:rPr>
            </w:pPr>
            <w:r>
              <w:rPr>
                <w:b/>
              </w:rPr>
              <w:t>3 kap.</w:t>
            </w:r>
          </w:p>
          <w:p w:rsidR="00936031" w:rsidRDefault="00936031">
            <w:pPr>
              <w:pStyle w:val="LagtextIndrag"/>
              <w:ind w:firstLine="0"/>
              <w:jc w:val="center"/>
            </w:pPr>
            <w:r>
              <w:t>4 §</w:t>
            </w:r>
            <w:r>
              <w:rPr>
                <w:vertAlign w:val="superscript"/>
              </w:rPr>
              <w:t>2</w:t>
            </w:r>
          </w:p>
        </w:tc>
      </w:tr>
      <w:tr w:rsidR="00000000">
        <w:tblPrEx>
          <w:tblCellMar>
            <w:top w:w="0" w:type="dxa"/>
            <w:bottom w:w="0" w:type="dxa"/>
          </w:tblCellMar>
        </w:tblPrEx>
        <w:trPr>
          <w:cantSplit/>
        </w:trPr>
        <w:tc>
          <w:tcPr>
            <w:tcW w:w="6124" w:type="dxa"/>
            <w:gridSpan w:val="2"/>
          </w:tcPr>
          <w:p w:rsidR="00936031" w:rsidRDefault="00936031">
            <w:pPr>
              <w:pStyle w:val="LagtextIndrag"/>
            </w:pPr>
            <w:r>
              <w:t>Om en ledamot är ledig från sitt uppdrag på grund av sjukdom, görs a</w:t>
            </w:r>
            <w:r>
              <w:t>v</w:t>
            </w:r>
            <w:r>
              <w:t>drag för samma tid från arvodet och tilläggsarvodet i enlighet med de b</w:t>
            </w:r>
            <w:r>
              <w:t>e</w:t>
            </w:r>
            <w:r>
              <w:t>stämmelser om sjukavdrag som gäller för arbetstagare hos riksdagen. Avdr</w:t>
            </w:r>
            <w:r>
              <w:t>a</w:t>
            </w:r>
            <w:r>
              <w:t>get skall dock beräknas på grundval av arvodet och tilläggsarvodet delat med antalet kalenderdagar i månaden.</w:t>
            </w:r>
          </w:p>
        </w:tc>
      </w:tr>
      <w:tr w:rsidR="00000000">
        <w:tblPrEx>
          <w:tblCellMar>
            <w:top w:w="0" w:type="dxa"/>
            <w:bottom w:w="0" w:type="dxa"/>
          </w:tblCellMar>
        </w:tblPrEx>
        <w:trPr>
          <w:cantSplit/>
        </w:trPr>
        <w:tc>
          <w:tcPr>
            <w:tcW w:w="3062" w:type="dxa"/>
          </w:tcPr>
          <w:p w:rsidR="00936031" w:rsidRDefault="00936031">
            <w:pPr>
              <w:pStyle w:val="LagtextIndrag"/>
            </w:pPr>
            <w:r>
              <w:t>Om en ledamot får föräldrape</w:t>
            </w:r>
            <w:r>
              <w:t>n</w:t>
            </w:r>
            <w:r>
              <w:t xml:space="preserve">ning eller tillfällig föräldrapenning och för samma tid får arvode skall arvodet minskas </w:t>
            </w:r>
            <w:r>
              <w:rPr>
                <w:i/>
              </w:rPr>
              <w:t>med ett belopp som motsvarar uppburen föräldrape</w:t>
            </w:r>
            <w:r>
              <w:rPr>
                <w:i/>
              </w:rPr>
              <w:t>n</w:t>
            </w:r>
            <w:r>
              <w:rPr>
                <w:i/>
              </w:rPr>
              <w:t>ning eller tillfällig föräldrapen</w:t>
            </w:r>
            <w:r>
              <w:rPr>
                <w:i/>
              </w:rPr>
              <w:softHyphen/>
              <w:t>ning.</w:t>
            </w:r>
          </w:p>
        </w:tc>
        <w:tc>
          <w:tcPr>
            <w:tcW w:w="3062" w:type="dxa"/>
          </w:tcPr>
          <w:p w:rsidR="00936031" w:rsidRDefault="00936031">
            <w:pPr>
              <w:pStyle w:val="LagtextIndrag"/>
            </w:pPr>
            <w:r>
              <w:t>Om en ledamot får föräldrape</w:t>
            </w:r>
            <w:r>
              <w:t>n</w:t>
            </w:r>
            <w:r>
              <w:t xml:space="preserve">ning eller tillfällig föräldrapenning och för samma tid får arvode skall arvodet minskas </w:t>
            </w:r>
            <w:r>
              <w:rPr>
                <w:i/>
              </w:rPr>
              <w:t>i enlighet med de bestämmelser som gäller</w:t>
            </w:r>
            <w:r>
              <w:t xml:space="preserve"> </w:t>
            </w:r>
            <w:r>
              <w:rPr>
                <w:i/>
              </w:rPr>
              <w:t>för a</w:t>
            </w:r>
            <w:r>
              <w:rPr>
                <w:i/>
              </w:rPr>
              <w:t>r</w:t>
            </w:r>
            <w:r>
              <w:rPr>
                <w:i/>
              </w:rPr>
              <w:t>betstagare hos riksdagen.</w:t>
            </w:r>
          </w:p>
        </w:tc>
      </w:tr>
    </w:tbl>
    <w:p w:rsidR="00936031" w:rsidRDefault="0093603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6124"/>
      </w:tblGrid>
      <w:tr w:rsidR="00000000">
        <w:tblPrEx>
          <w:tblCellMar>
            <w:top w:w="0" w:type="dxa"/>
            <w:bottom w:w="0" w:type="dxa"/>
          </w:tblCellMar>
        </w:tblPrEx>
        <w:trPr>
          <w:cantSplit/>
        </w:trPr>
        <w:tc>
          <w:tcPr>
            <w:tcW w:w="6124" w:type="dxa"/>
          </w:tcPr>
          <w:p w:rsidR="00936031" w:rsidRDefault="00936031">
            <w:pPr>
              <w:pStyle w:val="LagtextIndrag"/>
              <w:jc w:val="center"/>
              <w:rPr>
                <w:b/>
              </w:rPr>
            </w:pPr>
            <w:r>
              <w:rPr>
                <w:b/>
              </w:rPr>
              <w:t>13 kap.</w:t>
            </w:r>
          </w:p>
          <w:p w:rsidR="00936031" w:rsidRDefault="00936031">
            <w:pPr>
              <w:pStyle w:val="LagtextIndrag"/>
              <w:ind w:firstLine="0"/>
              <w:jc w:val="center"/>
            </w:pPr>
            <w:r>
              <w:t>3§</w:t>
            </w:r>
            <w:r>
              <w:rPr>
                <w:vertAlign w:val="superscript"/>
              </w:rPr>
              <w:t>3</w:t>
            </w:r>
          </w:p>
        </w:tc>
      </w:tr>
      <w:tr w:rsidR="00000000">
        <w:tblPrEx>
          <w:tblCellMar>
            <w:top w:w="0" w:type="dxa"/>
            <w:bottom w:w="0" w:type="dxa"/>
          </w:tblCellMar>
        </w:tblPrEx>
        <w:trPr>
          <w:cantSplit/>
        </w:trPr>
        <w:tc>
          <w:tcPr>
            <w:tcW w:w="6124" w:type="dxa"/>
          </w:tcPr>
          <w:p w:rsidR="00936031" w:rsidRDefault="00936031">
            <w:pPr>
              <w:pStyle w:val="Normaltindrag"/>
            </w:pPr>
            <w:r>
              <w:t>För den som varit ledamot kortare sammanhängande tid än sex år gäller inkomstgarantin ett år.</w:t>
            </w:r>
          </w:p>
          <w:p w:rsidR="00936031" w:rsidRDefault="00936031">
            <w:pPr>
              <w:pStyle w:val="Normaltindrag"/>
            </w:pPr>
            <w:r>
              <w:t>För den ledamot som lämnar riksdagen efter en sammanhängande tid av minst sex hela år gäller i</w:t>
            </w:r>
            <w:r>
              <w:t>n</w:t>
            </w:r>
            <w:r>
              <w:t>komstgarantin</w:t>
            </w:r>
          </w:p>
          <w:p w:rsidR="00936031" w:rsidRDefault="00936031">
            <w:pPr>
              <w:pStyle w:val="Normaltindrag"/>
            </w:pPr>
            <w:r>
              <w:t>1. i två år om ledamoten inte uppnått 40 års ålder,</w:t>
            </w:r>
          </w:p>
          <w:p w:rsidR="00936031" w:rsidRDefault="00936031">
            <w:pPr>
              <w:pStyle w:val="Normaltindrag"/>
            </w:pPr>
            <w:r>
              <w:t>2. i fem år om ledamoten uppnått 40 men inte 50 års ålder,</w:t>
            </w:r>
          </w:p>
          <w:p w:rsidR="00936031" w:rsidRDefault="00936031">
            <w:pPr>
              <w:pStyle w:val="Normaltindrag"/>
            </w:pPr>
            <w:r>
              <w:t>3. till ingången av den månad då ledamoten fyller 65 år om ledamoten uppnått 50 års ålder.</w:t>
            </w:r>
          </w:p>
        </w:tc>
      </w:tr>
    </w:tbl>
    <w:p w:rsidR="00936031" w:rsidRDefault="00F05030">
      <w:r>
        <w:rPr>
          <w:noProof/>
        </w:rPr>
        <mc:AlternateContent>
          <mc:Choice Requires="wps">
            <w:drawing>
              <wp:anchor distT="0" distB="0" distL="114300" distR="114300" simplePos="0" relativeHeight="251657728" behindDoc="0" locked="0" layoutInCell="0" allowOverlap="1">
                <wp:simplePos x="0" y="0"/>
                <wp:positionH relativeFrom="column">
                  <wp:posOffset>-80010</wp:posOffset>
                </wp:positionH>
                <wp:positionV relativeFrom="paragraph">
                  <wp:posOffset>253365</wp:posOffset>
                </wp:positionV>
                <wp:extent cx="1554480" cy="548640"/>
                <wp:effectExtent l="0" t="0" r="0" b="0"/>
                <wp:wrapTopAndBottom/>
                <wp:docPr id="1819991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031" w:rsidRDefault="00936031">
                            <w:pPr>
                              <w:spacing w:before="0"/>
                              <w:jc w:val="left"/>
                              <w:rPr>
                                <w:sz w:val="16"/>
                              </w:rPr>
                            </w:pPr>
                            <w:r>
                              <w:rPr>
                                <w:sz w:val="16"/>
                                <w:vertAlign w:val="superscript"/>
                              </w:rPr>
                              <w:t>2</w:t>
                            </w:r>
                            <w:r>
                              <w:rPr>
                                <w:sz w:val="16"/>
                              </w:rPr>
                              <w:t>Senaste lydelse 1997:1067.</w:t>
                            </w:r>
                          </w:p>
                          <w:p w:rsidR="00936031" w:rsidRDefault="00936031">
                            <w:pPr>
                              <w:pStyle w:val="Normaltindrag"/>
                              <w:ind w:firstLine="0"/>
                            </w:pPr>
                            <w:r>
                              <w:rPr>
                                <w:sz w:val="16"/>
                                <w:vertAlign w:val="superscript"/>
                              </w:rPr>
                              <w:t>3</w:t>
                            </w:r>
                            <w:r>
                              <w:rPr>
                                <w:sz w:val="16"/>
                              </w:rPr>
                              <w:t>Senaste lydelse 1996:305.</w:t>
                            </w:r>
                          </w:p>
                          <w:p w:rsidR="00936031" w:rsidRDefault="00936031">
                            <w:pPr>
                              <w:pStyle w:val="Normaltindra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pt;margin-top:19.95pt;width:122.4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" o:allowincell="f" filled="f" stroked="f">
                <v:textbox>
                  <w:txbxContent>
                    <w:p w:rsidR="00936031" w:rsidRDefault="00936031">
                      <w:pPr>
                        <w:spacing w:before="0"/>
                        <w:jc w:val="left"/>
                        <w:rPr>
                          <w:sz w:val="16"/>
                        </w:rPr>
                      </w:pPr>
                      <w:r>
                        <w:rPr>
                          <w:sz w:val="16"/>
                          <w:vertAlign w:val="superscript"/>
                        </w:rPr>
                        <w:t>2</w:t>
                      </w:r>
                      <w:r>
                        <w:rPr>
                          <w:sz w:val="16"/>
                        </w:rPr>
                        <w:t>Senaste lydelse 1997:1067.</w:t>
                      </w:r>
                    </w:p>
                    <w:p w:rsidR="00936031" w:rsidRDefault="00936031">
                      <w:pPr>
                        <w:pStyle w:val="Normaltindrag"/>
                        <w:ind w:firstLine="0"/>
                      </w:pPr>
                      <w:r>
                        <w:rPr>
                          <w:sz w:val="16"/>
                          <w:vertAlign w:val="superscript"/>
                        </w:rPr>
                        <w:t>3</w:t>
                      </w:r>
                      <w:r>
                        <w:rPr>
                          <w:sz w:val="16"/>
                        </w:rPr>
                        <w:t>Senaste lydelse 1996:305.</w:t>
                      </w:r>
                    </w:p>
                    <w:p w:rsidR="00936031" w:rsidRDefault="00936031">
                      <w:pPr>
                        <w:pStyle w:val="Normaltindrag"/>
                      </w:pPr>
                    </w:p>
                  </w:txbxContent>
                </v:textbox>
                <w10:wrap type="topAndBottom"/>
              </v:shape>
            </w:pict>
          </mc:Fallback>
        </mc:AlternateConten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936031" w:rsidRDefault="00936031">
            <w:pPr>
              <w:pStyle w:val="Lagtext"/>
              <w:spacing w:after="120"/>
              <w:rPr>
                <w:i/>
              </w:rPr>
            </w:pPr>
            <w:r>
              <w:rPr>
                <w:i/>
              </w:rPr>
              <w:t>Nuvarande lydelse</w:t>
            </w:r>
          </w:p>
        </w:tc>
        <w:tc>
          <w:tcPr>
            <w:tcW w:w="3062" w:type="dxa"/>
          </w:tcPr>
          <w:p w:rsidR="00936031" w:rsidRDefault="00936031">
            <w:pPr>
              <w:pStyle w:val="Lagtext"/>
              <w:spacing w:after="120"/>
              <w:rPr>
                <w:i/>
              </w:rPr>
            </w:pPr>
            <w:r>
              <w:rPr>
                <w:i/>
              </w:rPr>
              <w:t>Föreslagen lydelse</w:t>
            </w:r>
          </w:p>
        </w:tc>
      </w:tr>
      <w:tr w:rsidR="00000000">
        <w:tblPrEx>
          <w:tblCellMar>
            <w:top w:w="0" w:type="dxa"/>
            <w:bottom w:w="0" w:type="dxa"/>
          </w:tblCellMar>
        </w:tblPrEx>
        <w:trPr>
          <w:cantSplit/>
        </w:trPr>
        <w:tc>
          <w:tcPr>
            <w:tcW w:w="3062" w:type="dxa"/>
          </w:tcPr>
          <w:p w:rsidR="00936031" w:rsidRDefault="00936031">
            <w:pPr>
              <w:pStyle w:val="LagtextIndrag"/>
            </w:pPr>
          </w:p>
          <w:p w:rsidR="00936031" w:rsidRDefault="00936031">
            <w:pPr>
              <w:pStyle w:val="LagtextIndrag"/>
            </w:pPr>
          </w:p>
          <w:p w:rsidR="00936031" w:rsidRDefault="00936031">
            <w:pPr>
              <w:pStyle w:val="LagtextIndrag"/>
            </w:pPr>
          </w:p>
        </w:tc>
        <w:tc>
          <w:tcPr>
            <w:tcW w:w="3062" w:type="dxa"/>
          </w:tcPr>
          <w:p w:rsidR="00936031" w:rsidRDefault="00936031">
            <w:pPr>
              <w:pStyle w:val="LagtextIndrag"/>
              <w:rPr>
                <w:i/>
              </w:rPr>
            </w:pPr>
            <w:r>
              <w:rPr>
                <w:i/>
              </w:rPr>
              <w:t>För de första fem åren skall i</w:t>
            </w:r>
            <w:r>
              <w:rPr>
                <w:i/>
              </w:rPr>
              <w:t>n</w:t>
            </w:r>
            <w:r>
              <w:rPr>
                <w:i/>
              </w:rPr>
              <w:t>komstgarantin jämställas med i</w:t>
            </w:r>
            <w:r>
              <w:rPr>
                <w:i/>
              </w:rPr>
              <w:t>n</w:t>
            </w:r>
            <w:r>
              <w:rPr>
                <w:i/>
              </w:rPr>
              <w:t>komst av anställning och för tid därefter skall inkomstgarantin jä</w:t>
            </w:r>
            <w:r>
              <w:rPr>
                <w:i/>
              </w:rPr>
              <w:t>m</w:t>
            </w:r>
            <w:r>
              <w:rPr>
                <w:i/>
              </w:rPr>
              <w:t>ställas med pension.</w:t>
            </w:r>
          </w:p>
          <w:p w:rsidR="00936031" w:rsidRDefault="00936031">
            <w:pPr>
              <w:pStyle w:val="LagtextIndrag"/>
            </w:pPr>
          </w:p>
        </w:tc>
      </w:tr>
    </w:tbl>
    <w:p w:rsidR="00936031" w:rsidRDefault="00936031">
      <w:pPr>
        <w:pStyle w:val="Normaltindrag"/>
        <w:pBdr>
          <w:bottom w:val="single" w:sz="6" w:space="1" w:color="auto"/>
        </w:pBdr>
        <w:ind w:right="4478"/>
      </w:pPr>
    </w:p>
    <w:p w:rsidR="00936031" w:rsidRDefault="00936031">
      <w:r>
        <w:t xml:space="preserve">Denna lag träder i kraft den 1 januari 1999 och tillämpas vad gäller ersättare från och med den 3 oktober 1994 och i övrigt från och med den 5 oktober 1998. Bestämmelserna i 3 kap. 4 § och 13 kap. 3 § i sin nya lydelse tillämpas dock från och med den 1 januari 1999. </w:t>
      </w:r>
    </w:p>
    <w:p w:rsidR="00936031" w:rsidRDefault="00936031">
      <w:pPr>
        <w:pStyle w:val="Rubrik2"/>
      </w:pPr>
      <w:bookmarkStart w:id="19" w:name="_Toc433516312"/>
      <w:r>
        <w:br w:type="page"/>
        <w:t>2.2 Förslag till lag om ändring i lagen (1996:304) om arvode m.m. till Sveriges företrädare i Europaparlamentet</w:t>
      </w:r>
      <w:bookmarkEnd w:id="19"/>
      <w:r>
        <w:t xml:space="preserve">         </w:t>
      </w:r>
    </w:p>
    <w:p w:rsidR="00936031" w:rsidRDefault="00936031">
      <w:r>
        <w:t>Härigenom föreskrivs i fråga om lagen (1996:304) om arvode m.m. till Sv</w:t>
      </w:r>
      <w:r>
        <w:t>e</w:t>
      </w:r>
      <w:r>
        <w:t>riges företrädare i Europaparlamentet att 1 kap. 1 §,  2 kap. 4 § samt 9 kap. 3 § skall ha följande lydelse.</w:t>
      </w:r>
    </w:p>
    <w:p w:rsidR="00936031" w:rsidRDefault="0093603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936031" w:rsidRDefault="00936031">
            <w:pPr>
              <w:pStyle w:val="Lagtext"/>
              <w:spacing w:after="120"/>
              <w:rPr>
                <w:i/>
              </w:rPr>
            </w:pPr>
            <w:r>
              <w:rPr>
                <w:i/>
              </w:rPr>
              <w:t>Nuvarande lydelse</w:t>
            </w:r>
          </w:p>
        </w:tc>
        <w:tc>
          <w:tcPr>
            <w:tcW w:w="3062" w:type="dxa"/>
          </w:tcPr>
          <w:p w:rsidR="00936031" w:rsidRDefault="00936031">
            <w:pPr>
              <w:pStyle w:val="Lagtext"/>
              <w:spacing w:after="120"/>
              <w:rPr>
                <w:i/>
              </w:rPr>
            </w:pPr>
            <w:r>
              <w:rPr>
                <w:i/>
              </w:rPr>
              <w:t>Föreslagen lydelse</w:t>
            </w:r>
          </w:p>
        </w:tc>
      </w:tr>
      <w:tr w:rsidR="00000000">
        <w:tblPrEx>
          <w:tblCellMar>
            <w:top w:w="0" w:type="dxa"/>
            <w:bottom w:w="0" w:type="dxa"/>
          </w:tblCellMar>
        </w:tblPrEx>
        <w:trPr>
          <w:cantSplit/>
        </w:trPr>
        <w:tc>
          <w:tcPr>
            <w:tcW w:w="6124" w:type="dxa"/>
            <w:gridSpan w:val="2"/>
          </w:tcPr>
          <w:p w:rsidR="00936031" w:rsidRDefault="00936031">
            <w:pPr>
              <w:pStyle w:val="LagtextIndrag"/>
              <w:jc w:val="center"/>
              <w:rPr>
                <w:b/>
              </w:rPr>
            </w:pPr>
            <w:r>
              <w:rPr>
                <w:b/>
              </w:rPr>
              <w:t>1 kap.</w:t>
            </w:r>
          </w:p>
          <w:p w:rsidR="00936031" w:rsidRDefault="00936031">
            <w:pPr>
              <w:pStyle w:val="LagtextIndrag"/>
              <w:jc w:val="center"/>
            </w:pPr>
            <w:r>
              <w:t>1 §</w:t>
            </w:r>
          </w:p>
        </w:tc>
      </w:tr>
      <w:tr w:rsidR="00000000">
        <w:tblPrEx>
          <w:tblCellMar>
            <w:top w:w="0" w:type="dxa"/>
            <w:bottom w:w="0" w:type="dxa"/>
          </w:tblCellMar>
        </w:tblPrEx>
        <w:trPr>
          <w:cantSplit/>
        </w:trPr>
        <w:tc>
          <w:tcPr>
            <w:tcW w:w="3062" w:type="dxa"/>
          </w:tcPr>
          <w:p w:rsidR="00936031" w:rsidRDefault="00936031">
            <w:pPr>
              <w:pStyle w:val="LagtextIndrag"/>
            </w:pPr>
            <w:r>
              <w:t>En företrädare i Europaparlame</w:t>
            </w:r>
            <w:r>
              <w:t>n</w:t>
            </w:r>
            <w:r>
              <w:t>tet har rätt till förmåner enligt denna lag. Förmånerna lämnas inte för tid då företrädaren av annat skäl än offentligt uppdrag, militärtjänstg</w:t>
            </w:r>
            <w:r>
              <w:t>ö</w:t>
            </w:r>
            <w:r>
              <w:t xml:space="preserve">ring, sjukdom, vård av barn </w:t>
            </w:r>
            <w:r>
              <w:rPr>
                <w:i/>
              </w:rPr>
              <w:t>m.fl.</w:t>
            </w:r>
            <w:r>
              <w:t xml:space="preserve"> är frånvarande från Europaparlamentet eller beviljats ledighet under minst en månad i följd.</w:t>
            </w:r>
          </w:p>
        </w:tc>
        <w:tc>
          <w:tcPr>
            <w:tcW w:w="3062" w:type="dxa"/>
          </w:tcPr>
          <w:p w:rsidR="00936031" w:rsidRDefault="00936031">
            <w:pPr>
              <w:pStyle w:val="LagtextIndrag"/>
            </w:pPr>
            <w:r>
              <w:t>En företrädare i Europaparlame</w:t>
            </w:r>
            <w:r>
              <w:t>n</w:t>
            </w:r>
            <w:r>
              <w:t>tet har rätt till förmåner enligt denna lag. Förmånerna lämnas inte för tid då företrädaren av annat skäl än offentligt uppdrag, militärtjänstg</w:t>
            </w:r>
            <w:r>
              <w:t>ö</w:t>
            </w:r>
            <w:r>
              <w:t xml:space="preserve">ring, sjukdom, vård av barn </w:t>
            </w:r>
            <w:r>
              <w:rPr>
                <w:i/>
              </w:rPr>
              <w:t xml:space="preserve">eller </w:t>
            </w:r>
            <w:r>
              <w:t xml:space="preserve"> </w:t>
            </w:r>
            <w:r>
              <w:rPr>
                <w:i/>
              </w:rPr>
              <w:t>annan</w:t>
            </w:r>
            <w:r>
              <w:t xml:space="preserve"> </w:t>
            </w:r>
            <w:r>
              <w:rPr>
                <w:i/>
              </w:rPr>
              <w:t>lagstadgad eller kollektiva</w:t>
            </w:r>
            <w:r>
              <w:rPr>
                <w:i/>
              </w:rPr>
              <w:t>v</w:t>
            </w:r>
            <w:r>
              <w:rPr>
                <w:i/>
              </w:rPr>
              <w:t xml:space="preserve">talsenlig </w:t>
            </w:r>
            <w:r>
              <w:t xml:space="preserve"> </w:t>
            </w:r>
            <w:r>
              <w:rPr>
                <w:i/>
              </w:rPr>
              <w:t>ledighet</w:t>
            </w:r>
            <w:r>
              <w:t xml:space="preserve"> är frånvarande från Europaparlamentet eller bevi</w:t>
            </w:r>
            <w:r>
              <w:t>l</w:t>
            </w:r>
            <w:r>
              <w:t>jats ledighet under minst en månad i följd.</w:t>
            </w:r>
          </w:p>
        </w:tc>
      </w:tr>
      <w:tr w:rsidR="00000000">
        <w:tblPrEx>
          <w:tblCellMar>
            <w:top w:w="0" w:type="dxa"/>
            <w:bottom w:w="0" w:type="dxa"/>
          </w:tblCellMar>
        </w:tblPrEx>
        <w:trPr>
          <w:cantSplit/>
        </w:trPr>
        <w:tc>
          <w:tcPr>
            <w:tcW w:w="6124" w:type="dxa"/>
            <w:gridSpan w:val="2"/>
          </w:tcPr>
          <w:p w:rsidR="00936031" w:rsidRDefault="00936031">
            <w:pPr>
              <w:pStyle w:val="LagtextIndrag"/>
            </w:pPr>
            <w:r>
              <w:t>Rätt till egenpensionsförmåner, kompletterande efterlevandepension, i</w:t>
            </w:r>
            <w:r>
              <w:t>n</w:t>
            </w:r>
            <w:r>
              <w:t>komstgaranti och efterlevandeskydd enligt bestämmelserna i 3–9 kap. har även den som är eller har varit både företrädare i Europaparlamentet och ledamot i riksdagen.</w:t>
            </w:r>
          </w:p>
        </w:tc>
      </w:tr>
    </w:tbl>
    <w:p w:rsidR="00936031" w:rsidRDefault="0093603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cantSplit/>
        </w:trPr>
        <w:tc>
          <w:tcPr>
            <w:tcW w:w="6124" w:type="dxa"/>
            <w:gridSpan w:val="2"/>
          </w:tcPr>
          <w:p w:rsidR="00936031" w:rsidRDefault="00936031">
            <w:pPr>
              <w:pStyle w:val="Lagtext"/>
              <w:jc w:val="center"/>
              <w:rPr>
                <w:b/>
              </w:rPr>
            </w:pPr>
            <w:r>
              <w:rPr>
                <w:b/>
              </w:rPr>
              <w:t>2 kap.</w:t>
            </w:r>
          </w:p>
          <w:p w:rsidR="00936031" w:rsidRDefault="00936031">
            <w:pPr>
              <w:pStyle w:val="LagtextIndrag"/>
              <w:ind w:firstLine="0"/>
              <w:jc w:val="center"/>
            </w:pPr>
            <w:r>
              <w:t>4 §</w:t>
            </w:r>
          </w:p>
        </w:tc>
      </w:tr>
      <w:tr w:rsidR="00000000">
        <w:tblPrEx>
          <w:tblCellMar>
            <w:top w:w="0" w:type="dxa"/>
            <w:bottom w:w="0" w:type="dxa"/>
          </w:tblCellMar>
        </w:tblPrEx>
        <w:tc>
          <w:tcPr>
            <w:tcW w:w="3062" w:type="dxa"/>
          </w:tcPr>
          <w:p w:rsidR="00936031" w:rsidRDefault="00936031">
            <w:pPr>
              <w:pStyle w:val="LagtextIndrag"/>
            </w:pPr>
            <w:r>
              <w:t>Om en företrädare är frånvarande eller har beviljats ledighet från sitt uppdrag i Europaparlamentet under mer än femton dagar i följd av annat skäl än offentligt uppdrag, militä</w:t>
            </w:r>
            <w:r>
              <w:t>r</w:t>
            </w:r>
            <w:r>
              <w:t xml:space="preserve">tjänstgöring, sjukdom, vård av barn </w:t>
            </w:r>
            <w:r>
              <w:rPr>
                <w:i/>
              </w:rPr>
              <w:t xml:space="preserve">m.fl. </w:t>
            </w:r>
            <w:r>
              <w:t>görs avdrag från arvodet med två tredjedelar från och med den sexto</w:t>
            </w:r>
            <w:r>
              <w:t>n</w:t>
            </w:r>
            <w:r>
              <w:t>de dagen.</w:t>
            </w:r>
          </w:p>
        </w:tc>
        <w:tc>
          <w:tcPr>
            <w:tcW w:w="3062" w:type="dxa"/>
          </w:tcPr>
          <w:p w:rsidR="00936031" w:rsidRDefault="00936031">
            <w:pPr>
              <w:pStyle w:val="LagtextIndrag"/>
            </w:pPr>
            <w:r>
              <w:t>Om en företrädare är frånvarande eller har beviljats ledighet från sitt uppdrag i Europaparlamentet under mer än femton dagar i följd av annat skäl än offentligt uppdrag, militä</w:t>
            </w:r>
            <w:r>
              <w:t>r</w:t>
            </w:r>
            <w:r>
              <w:t xml:space="preserve">tjänstgöring, sjukdom, vård av barn </w:t>
            </w:r>
            <w:r>
              <w:rPr>
                <w:i/>
              </w:rPr>
              <w:t>eller annan lagstadgad eller kolle</w:t>
            </w:r>
            <w:r>
              <w:rPr>
                <w:i/>
              </w:rPr>
              <w:t>k</w:t>
            </w:r>
            <w:r>
              <w:rPr>
                <w:i/>
              </w:rPr>
              <w:t>tivavtalsenlig</w:t>
            </w:r>
            <w:r>
              <w:t xml:space="preserve"> </w:t>
            </w:r>
            <w:r>
              <w:rPr>
                <w:i/>
              </w:rPr>
              <w:t xml:space="preserve">ledighet </w:t>
            </w:r>
            <w:r>
              <w:t>görs avdrag från arvodet med två tredjedelar från och med den sextonde dagen.</w:t>
            </w:r>
          </w:p>
        </w:tc>
      </w:tr>
      <w:tr w:rsidR="00000000">
        <w:tblPrEx>
          <w:tblCellMar>
            <w:top w:w="0" w:type="dxa"/>
            <w:bottom w:w="0" w:type="dxa"/>
          </w:tblCellMar>
        </w:tblPrEx>
        <w:trPr>
          <w:cantSplit/>
        </w:trPr>
        <w:tc>
          <w:tcPr>
            <w:tcW w:w="6124" w:type="dxa"/>
            <w:gridSpan w:val="2"/>
          </w:tcPr>
          <w:p w:rsidR="00936031" w:rsidRDefault="00936031">
            <w:r>
              <w:t>Om en företrädare är frånvarande eller har beviljats ledighet från sitt uppdrag i Europaparlamentet på grund av sjukdom, görs avdrag för samma tid från arvodet i enlighet med de bestämmelser om sjukavdrag som gäller för a</w:t>
            </w:r>
            <w:r>
              <w:t>r</w:t>
            </w:r>
            <w:r>
              <w:t>betstagare hos riksdagen.</w:t>
            </w:r>
          </w:p>
          <w:p w:rsidR="00936031" w:rsidRDefault="00936031">
            <w:pPr>
              <w:pStyle w:val="LagtextIndrag"/>
            </w:pPr>
            <w:r>
              <w:t>Avdraget skall dock beräknas på grundval av arvodet delat med antalet kalenderdagar i månaden.</w:t>
            </w:r>
          </w:p>
        </w:tc>
      </w:tr>
      <w:tr w:rsidR="00000000">
        <w:tblPrEx>
          <w:tblCellMar>
            <w:top w:w="0" w:type="dxa"/>
            <w:bottom w:w="0" w:type="dxa"/>
          </w:tblCellMar>
        </w:tblPrEx>
        <w:tc>
          <w:tcPr>
            <w:tcW w:w="3062" w:type="dxa"/>
          </w:tcPr>
          <w:p w:rsidR="00936031" w:rsidRDefault="00936031">
            <w:pPr>
              <w:pStyle w:val="LagtextIndrag"/>
            </w:pPr>
          </w:p>
        </w:tc>
        <w:tc>
          <w:tcPr>
            <w:tcW w:w="3062" w:type="dxa"/>
          </w:tcPr>
          <w:p w:rsidR="00936031" w:rsidRDefault="00936031">
            <w:pPr>
              <w:pStyle w:val="LagtextIndrag"/>
            </w:pPr>
          </w:p>
        </w:tc>
      </w:tr>
      <w:tr w:rsidR="00000000">
        <w:tblPrEx>
          <w:tblCellMar>
            <w:top w:w="0" w:type="dxa"/>
            <w:bottom w:w="0" w:type="dxa"/>
          </w:tblCellMar>
        </w:tblPrEx>
        <w:tc>
          <w:tcPr>
            <w:tcW w:w="3062" w:type="dxa"/>
          </w:tcPr>
          <w:p w:rsidR="00936031" w:rsidRDefault="00936031">
            <w:pPr>
              <w:pStyle w:val="LagtextIndrag"/>
            </w:pPr>
            <w:r>
              <w:t>Om en företrädare får föräldr</w:t>
            </w:r>
            <w:r>
              <w:t>a</w:t>
            </w:r>
            <w:r>
              <w:t>penning eller tillfällig föräldrape</w:t>
            </w:r>
            <w:r>
              <w:t>n</w:t>
            </w:r>
            <w:r>
              <w:t>ning och för samma tid får företr</w:t>
            </w:r>
            <w:r>
              <w:t>ä</w:t>
            </w:r>
            <w:r>
              <w:t xml:space="preserve">dararvode skall arvodet minskas </w:t>
            </w:r>
            <w:r>
              <w:rPr>
                <w:i/>
              </w:rPr>
              <w:t>med ett belopp som motsvarar föräldr</w:t>
            </w:r>
            <w:r>
              <w:rPr>
                <w:i/>
              </w:rPr>
              <w:t>a</w:t>
            </w:r>
            <w:r>
              <w:rPr>
                <w:i/>
              </w:rPr>
              <w:t>penningen eller den tillfälliga fö</w:t>
            </w:r>
            <w:r>
              <w:rPr>
                <w:i/>
              </w:rPr>
              <w:t>r</w:t>
            </w:r>
            <w:r>
              <w:rPr>
                <w:i/>
              </w:rPr>
              <w:t>äldrapenningen.</w:t>
            </w:r>
          </w:p>
        </w:tc>
        <w:tc>
          <w:tcPr>
            <w:tcW w:w="3062" w:type="dxa"/>
          </w:tcPr>
          <w:p w:rsidR="00936031" w:rsidRDefault="00936031">
            <w:pPr>
              <w:pStyle w:val="LagtextIndrag"/>
            </w:pPr>
            <w:r>
              <w:t>Om en företrädare får föräldr</w:t>
            </w:r>
            <w:r>
              <w:t>a</w:t>
            </w:r>
            <w:r>
              <w:t>penning eller tillfällig föräldrape</w:t>
            </w:r>
            <w:r>
              <w:t>n</w:t>
            </w:r>
            <w:r>
              <w:t>ning och för samma tid tid får för</w:t>
            </w:r>
            <w:r>
              <w:t>e</w:t>
            </w:r>
            <w:r>
              <w:t xml:space="preserve">trädararvode skall arvodet minskas </w:t>
            </w:r>
            <w:r>
              <w:rPr>
                <w:i/>
              </w:rPr>
              <w:t>i enlighet med de bestämmelser som gäller för arbetstagare hos riksd</w:t>
            </w:r>
            <w:r>
              <w:rPr>
                <w:i/>
              </w:rPr>
              <w:t>a</w:t>
            </w:r>
            <w:r>
              <w:rPr>
                <w:i/>
              </w:rPr>
              <w:t>gen.</w:t>
            </w:r>
          </w:p>
        </w:tc>
      </w:tr>
      <w:tr w:rsidR="00000000">
        <w:tblPrEx>
          <w:tblCellMar>
            <w:top w:w="0" w:type="dxa"/>
            <w:bottom w:w="0" w:type="dxa"/>
          </w:tblCellMar>
        </w:tblPrEx>
        <w:tc>
          <w:tcPr>
            <w:tcW w:w="3062" w:type="dxa"/>
          </w:tcPr>
          <w:p w:rsidR="00936031" w:rsidRDefault="00936031">
            <w:pPr>
              <w:pStyle w:val="Lagtext"/>
              <w:spacing w:after="120"/>
              <w:rPr>
                <w:i/>
              </w:rPr>
            </w:pPr>
            <w:r>
              <w:rPr>
                <w:i/>
              </w:rPr>
              <w:t>Nuvarande lydelse</w:t>
            </w:r>
          </w:p>
        </w:tc>
        <w:tc>
          <w:tcPr>
            <w:tcW w:w="3062" w:type="dxa"/>
          </w:tcPr>
          <w:p w:rsidR="00936031" w:rsidRDefault="00936031">
            <w:pPr>
              <w:pStyle w:val="Lagtext"/>
              <w:spacing w:after="120"/>
              <w:rPr>
                <w:i/>
              </w:rPr>
            </w:pPr>
            <w:r>
              <w:rPr>
                <w:i/>
              </w:rPr>
              <w:t>Föreslagen lydelse</w:t>
            </w:r>
          </w:p>
        </w:tc>
      </w:tr>
      <w:tr w:rsidR="00000000">
        <w:tblPrEx>
          <w:tblCellMar>
            <w:top w:w="0" w:type="dxa"/>
            <w:bottom w:w="0" w:type="dxa"/>
          </w:tblCellMar>
        </w:tblPrEx>
        <w:trPr>
          <w:cantSplit/>
          <w:tblHeader/>
        </w:trPr>
        <w:tc>
          <w:tcPr>
            <w:tcW w:w="6124" w:type="dxa"/>
            <w:gridSpan w:val="2"/>
          </w:tcPr>
          <w:p w:rsidR="00936031" w:rsidRDefault="00936031">
            <w:pPr>
              <w:pStyle w:val="Lagtext"/>
              <w:jc w:val="center"/>
              <w:rPr>
                <w:b/>
              </w:rPr>
            </w:pPr>
            <w:r>
              <w:rPr>
                <w:b/>
              </w:rPr>
              <w:t>9 kap.</w:t>
            </w:r>
          </w:p>
          <w:p w:rsidR="00936031" w:rsidRDefault="00936031">
            <w:pPr>
              <w:pStyle w:val="LagtextIndrag"/>
              <w:ind w:firstLine="0"/>
              <w:jc w:val="center"/>
            </w:pPr>
            <w:r>
              <w:t>3 §</w:t>
            </w:r>
          </w:p>
        </w:tc>
      </w:tr>
      <w:tr w:rsidR="00000000">
        <w:tblPrEx>
          <w:tblCellMar>
            <w:top w:w="0" w:type="dxa"/>
            <w:bottom w:w="0" w:type="dxa"/>
          </w:tblCellMar>
        </w:tblPrEx>
        <w:trPr>
          <w:cantSplit/>
        </w:trPr>
        <w:tc>
          <w:tcPr>
            <w:tcW w:w="6124" w:type="dxa"/>
            <w:gridSpan w:val="2"/>
          </w:tcPr>
          <w:p w:rsidR="00936031" w:rsidRDefault="00936031">
            <w:r>
              <w:t>För den som varit företrädare eller riksdagsledamot kortare sammanlagd sammanhängande tid än sex hela år gäller inkomstgarantin ett år.</w:t>
            </w:r>
          </w:p>
          <w:p w:rsidR="00936031" w:rsidRDefault="00936031">
            <w:pPr>
              <w:pStyle w:val="Normaltindrag"/>
            </w:pPr>
            <w:r>
              <w:t>För den företrädare eller riksdagsledamot som lämnar Europaparlamentet eller riksdagen efter en sammanlagd sammanhängande tid av minst sex hela år i Europaparlamentet och i riksdagen gäler inkomstgarantin</w:t>
            </w:r>
          </w:p>
          <w:p w:rsidR="00936031" w:rsidRDefault="00936031">
            <w:pPr>
              <w:pStyle w:val="Normaltindrag"/>
            </w:pPr>
            <w:r>
              <w:t>1. i två år om företrädaren eller riksdagsledamoten inte uppnått 40 års å</w:t>
            </w:r>
            <w:r>
              <w:t>l</w:t>
            </w:r>
            <w:r>
              <w:t>der,</w:t>
            </w:r>
          </w:p>
          <w:p w:rsidR="00936031" w:rsidRDefault="00936031">
            <w:pPr>
              <w:pStyle w:val="Normaltindrag"/>
            </w:pPr>
            <w:r>
              <w:t>2. i fem år om företrädaren eller riksdagsledamoten uppnått 40 men inte 50 års ålder,</w:t>
            </w:r>
          </w:p>
          <w:p w:rsidR="00936031" w:rsidRDefault="00936031">
            <w:pPr>
              <w:pStyle w:val="Normaltindrag"/>
            </w:pPr>
            <w:r>
              <w:t>3. till ingången av den månad då företrädaren eller riksdagsledamoten fy</w:t>
            </w:r>
            <w:r>
              <w:t>l</w:t>
            </w:r>
            <w:r>
              <w:t>ler 65 år om han eller hon uppnått 50 års ålder.</w:t>
            </w:r>
          </w:p>
        </w:tc>
      </w:tr>
      <w:tr w:rsidR="00000000">
        <w:tblPrEx>
          <w:tblCellMar>
            <w:top w:w="0" w:type="dxa"/>
            <w:bottom w:w="0" w:type="dxa"/>
          </w:tblCellMar>
        </w:tblPrEx>
        <w:trPr>
          <w:cantSplit/>
        </w:trPr>
        <w:tc>
          <w:tcPr>
            <w:tcW w:w="3062" w:type="dxa"/>
          </w:tcPr>
          <w:p w:rsidR="00936031" w:rsidRDefault="00936031">
            <w:pPr>
              <w:pStyle w:val="LagtextIndrag"/>
            </w:pPr>
          </w:p>
        </w:tc>
        <w:tc>
          <w:tcPr>
            <w:tcW w:w="3062" w:type="dxa"/>
          </w:tcPr>
          <w:p w:rsidR="00936031" w:rsidRDefault="00936031">
            <w:pPr>
              <w:pStyle w:val="LagtextIndrag"/>
              <w:rPr>
                <w:i/>
              </w:rPr>
            </w:pPr>
            <w:r>
              <w:rPr>
                <w:i/>
              </w:rPr>
              <w:t>För de första fem åren skall i</w:t>
            </w:r>
            <w:r>
              <w:rPr>
                <w:i/>
              </w:rPr>
              <w:t>n</w:t>
            </w:r>
            <w:r>
              <w:rPr>
                <w:i/>
              </w:rPr>
              <w:t>komstgarantin jämställas med i</w:t>
            </w:r>
            <w:r>
              <w:rPr>
                <w:i/>
              </w:rPr>
              <w:t>n</w:t>
            </w:r>
            <w:r>
              <w:rPr>
                <w:i/>
              </w:rPr>
              <w:t>komst av anställning och för tid därefter skall inkomstgarantin jä</w:t>
            </w:r>
            <w:r>
              <w:rPr>
                <w:i/>
              </w:rPr>
              <w:t>m</w:t>
            </w:r>
            <w:r>
              <w:rPr>
                <w:i/>
              </w:rPr>
              <w:t>ställas med pension.</w:t>
            </w:r>
          </w:p>
          <w:p w:rsidR="00936031" w:rsidRDefault="00936031">
            <w:pPr>
              <w:pStyle w:val="LagtextIndrag"/>
            </w:pPr>
          </w:p>
        </w:tc>
      </w:tr>
    </w:tbl>
    <w:p w:rsidR="00936031" w:rsidRDefault="00936031">
      <w:pPr>
        <w:pStyle w:val="Normaltindrag"/>
        <w:pBdr>
          <w:bottom w:val="single" w:sz="6" w:space="1" w:color="auto"/>
        </w:pBdr>
        <w:ind w:right="4053"/>
      </w:pPr>
    </w:p>
    <w:p w:rsidR="00936031" w:rsidRDefault="00936031">
      <w:r>
        <w:t>Denna lag träder i kraft den 1 januari 1999.</w:t>
      </w:r>
    </w:p>
    <w:p w:rsidR="00936031" w:rsidRDefault="00936031">
      <w:pPr>
        <w:pStyle w:val="Rubrik1"/>
      </w:pPr>
      <w:r>
        <w:br w:type="page"/>
      </w:r>
      <w:bookmarkStart w:id="20" w:name="_Toc433516313"/>
      <w:r>
        <w:t>3  Bakgrund och allmänna överväganden</w:t>
      </w:r>
      <w:bookmarkEnd w:id="20"/>
    </w:p>
    <w:p w:rsidR="00936031" w:rsidRDefault="00936031">
      <w:r>
        <w:t>Konstitutionsutskottet anför i betänkande 1997/98:KU6 bl.a. att utskottet uppmärksammat att det kan finnas vissa bestämmelser om förmåner i ersät</w:t>
      </w:r>
      <w:r>
        <w:t>t</w:t>
      </w:r>
      <w:r>
        <w:t>ningslagen som inte anpassats till förändringar i reglerna om förmåner i samhället i övrigt och att det enligt utskottets mening finns behov av en mer generell översyn av dessa regler. Detta bör enligt utskottets mening ges fö</w:t>
      </w:r>
      <w:r>
        <w:t>r</w:t>
      </w:r>
      <w:r>
        <w:t>valtningskontoret till känna.</w:t>
      </w:r>
    </w:p>
    <w:p w:rsidR="00936031" w:rsidRDefault="00936031">
      <w:pPr>
        <w:pStyle w:val="Normaltindrag"/>
      </w:pPr>
      <w:r>
        <w:t>Konstitutionsutskottet tar vidare i samma betänkande upp frågan om e</w:t>
      </w:r>
      <w:r>
        <w:t>r</w:t>
      </w:r>
      <w:r>
        <w:t>sättning efter fullgjort kortare uppdrag som ersättare för riksdagsledamot. Utskottet anser det angeläget att det ges bästa möjliga förutsättningar för ersättare att fullgöra också förhållandevis kortvariga uppdrag. Utskottet pekar på att uppdraget som ersättare många gånger upphör med kort varsel och att möjligheterna att omedelbart återgå till en anställning kan vara små. Enligt utskottets mening är det därför rimligt att ersättaren tillförsäkras en viss minsta ersättning vid avgångstillfället. Utskottet</w:t>
      </w:r>
      <w:r>
        <w:t xml:space="preserve"> uttalar att ersättaren i vart fall borde vara tillförsäkrad en ersättning som ger utrymme för att inte återgå till en anställning tidigare än en månad efter det att uppdraget som ersättare för riksdagsledamot avslutats. Konstitutionsutskottet finner att frågan bör övervägas inom förvaltningskontoret.</w:t>
      </w:r>
    </w:p>
    <w:p w:rsidR="00936031" w:rsidRDefault="00936031">
      <w:pPr>
        <w:pStyle w:val="Normaltindrag"/>
      </w:pPr>
      <w:r>
        <w:t>Riksdagen beslutade under hösten 1997 i enlighet med konstitutionsu</w:t>
      </w:r>
      <w:r>
        <w:t>t</w:t>
      </w:r>
      <w:r>
        <w:t>skottets betänkande. Beredningsgruppen har tagit fasta på de framförda sy</w:t>
      </w:r>
      <w:r>
        <w:t>n</w:t>
      </w:r>
      <w:r>
        <w:t>punkterna och finner att vissa lagändringar får anses påkallade för att bl.a. förbättra de ekonomiska villkoren för ledamöter och ersättare.</w:t>
      </w:r>
    </w:p>
    <w:p w:rsidR="00936031" w:rsidRDefault="00936031">
      <w:pPr>
        <w:pStyle w:val="Rubrik1"/>
      </w:pPr>
      <w:bookmarkStart w:id="21" w:name="_Toc433445540"/>
      <w:bookmarkStart w:id="22" w:name="_Toc433516314"/>
      <w:r>
        <w:t>4  Överväganden och förslag</w:t>
      </w:r>
      <w:bookmarkEnd w:id="21"/>
      <w:bookmarkEnd w:id="22"/>
    </w:p>
    <w:p w:rsidR="00936031" w:rsidRDefault="00936031">
      <w:pPr>
        <w:pStyle w:val="Rubrik2"/>
        <w:spacing w:before="120" w:after="120"/>
      </w:pPr>
      <w:bookmarkStart w:id="23" w:name="_Toc433516315"/>
      <w:r>
        <w:t>4.1  Samma bestämmelser för ersättare och riksdagsledamot</w:t>
      </w:r>
      <w:bookmarkEnd w:id="23"/>
    </w:p>
    <w:p w:rsidR="00936031" w:rsidRDefault="00936031">
      <w:pPr>
        <w:pBdr>
          <w:top w:val="single" w:sz="4" w:space="1" w:color="auto"/>
          <w:left w:val="single" w:sz="4" w:space="4" w:color="auto"/>
          <w:bottom w:val="single" w:sz="4" w:space="1" w:color="auto"/>
          <w:right w:val="single" w:sz="4" w:space="4" w:color="auto"/>
        </w:pBdr>
      </w:pPr>
      <w:r>
        <w:rPr>
          <w:b/>
        </w:rPr>
        <w:t>Förslag</w:t>
      </w:r>
      <w:r>
        <w:t xml:space="preserve">: Vid bedömning av ersättares rätt till ekonomiska förmåner enligt lagen om ekonomiska villkor för riksdagens ledamöter skall, om annat inte sägs i lagen, samma bestämmelser gälla som för ledamot. </w:t>
      </w:r>
    </w:p>
    <w:p w:rsidR="00936031" w:rsidRDefault="00936031">
      <w:r>
        <w:rPr>
          <w:b/>
        </w:rPr>
        <w:t>Skälen för förslaget</w:t>
      </w:r>
      <w:r>
        <w:t>: I dag gäller för ersättare för annan ledamot än talma</w:t>
      </w:r>
      <w:r>
        <w:t>n</w:t>
      </w:r>
      <w:r>
        <w:t>nen eller ett statsråd endast 3–6 kap. och 15 kap. lagen om ekonomiska vil</w:t>
      </w:r>
      <w:r>
        <w:t>l</w:t>
      </w:r>
      <w:r>
        <w:t>kor för riksdagens ledamöter. Dessa bestämmelser reglerar rätten till arvode (3 kap.), resekostnadsersättning (4 kap.), traktamente m.m. (5 kap.), kost</w:t>
      </w:r>
      <w:r>
        <w:softHyphen/>
        <w:t>nads</w:t>
      </w:r>
      <w:r>
        <w:softHyphen/>
      </w:r>
      <w:r>
        <w:softHyphen/>
      </w:r>
      <w:r>
        <w:softHyphen/>
        <w:t>ersättning och viss teknisk utrustning (6 kap.) samt försäkrings- och sjukvårdsförmåner (15 kap.). Sådan ersättare omfattas alltså inte av lagens bestämmelser om bl.a. pension, egenlivränta och inkomstgaranti.</w:t>
      </w:r>
    </w:p>
    <w:p w:rsidR="00936031" w:rsidRDefault="00936031">
      <w:pPr>
        <w:pStyle w:val="Normaltindrag"/>
      </w:pPr>
      <w:r>
        <w:t xml:space="preserve">Av 3 kap. 1 </w:t>
      </w:r>
      <w:r>
        <w:t>och 9 §§ regeringsformen följer att ersättare skall finnas för ledamöterna och att för varje mandat som ett parti har erhållit utses en rik</w:t>
      </w:r>
      <w:r>
        <w:t>s</w:t>
      </w:r>
      <w:r>
        <w:t>dagsledamot samt ersättare för ledamoten. Ersättarna i riksdagen är alltså konstitutionellt föreskrivna och mycket viktiga för den demokratiska proce</w:t>
      </w:r>
      <w:r>
        <w:t>s</w:t>
      </w:r>
      <w:r>
        <w:t>sen; de utgör en nödvändig förutsättning för att arbetet i riksdagen skall kunna löpa smidigt och fortgå utan avbrott. Detta gäller oavsett om deras uppdrag varar under längre eller kortare tid. Vidare utför en tjänstgöran</w:t>
      </w:r>
      <w:r>
        <w:t>de ersättare samma arbete som en ledamot vad gäller riksdagens arbete i formell mening. Beträffande arbetet utanför riksdagen – i den egna valkretsen, i partiorganisationen m.m. – kan vid kortare uppdrag en ersättares arbete vi</w:t>
      </w:r>
      <w:r>
        <w:t>s</w:t>
      </w:r>
      <w:r>
        <w:t xml:space="preserve">serligen av naturliga skäl något avvika från en ledamots. Sammantaget gäller emellertid att en ersättares politiska arbete kan jämställas med en ledamots.  </w:t>
      </w:r>
    </w:p>
    <w:p w:rsidR="00936031" w:rsidRDefault="00936031">
      <w:pPr>
        <w:pStyle w:val="Normaltindrag"/>
      </w:pPr>
      <w:r>
        <w:t>I sammanhanget förtjänar framhållas att en ledamot, som beviljats ledi</w:t>
      </w:r>
      <w:r>
        <w:t>g</w:t>
      </w:r>
      <w:r>
        <w:t>het, när som helst kan återta sin plats i riksdagen, varvid uppdraget att tjäns</w:t>
      </w:r>
      <w:r>
        <w:t>t</w:t>
      </w:r>
      <w:r>
        <w:t>göra som ersättare upphör. Det måste ur rekryteringssynpunkt anses önskvärt att denna osäkerhet om varaktigheten av ett uppdrag, som är särskilt påtaglig i ersättarsystemet, om möjligt inte kombineras med avsaknaden av en mö</w:t>
      </w:r>
      <w:r>
        <w:t>j</w:t>
      </w:r>
      <w:r>
        <w:t xml:space="preserve">lighet att under uppdragstiden tjäna in pension o.d.  </w:t>
      </w:r>
    </w:p>
    <w:p w:rsidR="00936031" w:rsidRDefault="00936031">
      <w:pPr>
        <w:pStyle w:val="Normaltindrag"/>
      </w:pPr>
      <w:r>
        <w:t>Av det ovan anförda följer vidare att inte heller ersättare för ledamot som är statssekreterare omfattas av ersättningslagens bestämmelser om bl.a. pe</w:t>
      </w:r>
      <w:r>
        <w:t>n</w:t>
      </w:r>
      <w:r>
        <w:t>sion, egenlivränta och inkomstgaranti. Eftersom förstnämnda kategori ersä</w:t>
      </w:r>
      <w:r>
        <w:t>t</w:t>
      </w:r>
      <w:r>
        <w:t>tare vanligen kan förutsättas fungera, och i praktiken även fungerar, som ersättare under flera år i följd, framstår nu rådande ordning också för deras del som mindre tillfredsställande. En jämförelse med situationen för ersättare för ledamot som är talman eller statsråd, på vilka de aktuella bestämmelserna är tillämpliga, talar också för att en ändring är motiverad. Det nu framlagda förslaget avser ersättare över lag och omfattar dä</w:t>
      </w:r>
      <w:r>
        <w:t>rmed också ersättare för ledamot som är statssekreterare.</w:t>
      </w:r>
    </w:p>
    <w:p w:rsidR="00936031" w:rsidRDefault="00936031">
      <w:pPr>
        <w:pStyle w:val="Normaltindrag"/>
      </w:pPr>
      <w:r>
        <w:t xml:space="preserve">Beredningsgruppen finner sammanfattningsvis skäl föreligga att i princip ge alla ersättare rätt till samma ekonomiska villkor som en ledamot. </w:t>
      </w:r>
    </w:p>
    <w:p w:rsidR="00936031" w:rsidRDefault="00936031">
      <w:pPr>
        <w:pStyle w:val="Rubrik2"/>
      </w:pPr>
      <w:bookmarkStart w:id="24" w:name="_Toc433516316"/>
      <w:r>
        <w:t>4.2  Rätt till arvode m.m. sedan uppdraget upphört</w:t>
      </w:r>
      <w:bookmarkEnd w:id="24"/>
    </w:p>
    <w:p w:rsidR="00936031" w:rsidRDefault="00936031">
      <w:pPr>
        <w:pBdr>
          <w:top w:val="single" w:sz="4" w:space="1" w:color="auto"/>
          <w:left w:val="single" w:sz="4" w:space="4" w:color="auto"/>
          <w:bottom w:val="single" w:sz="4" w:space="1" w:color="auto"/>
          <w:right w:val="single" w:sz="4" w:space="4" w:color="auto"/>
        </w:pBdr>
      </w:pPr>
      <w:r>
        <w:rPr>
          <w:b/>
        </w:rPr>
        <w:t xml:space="preserve">Förslag: </w:t>
      </w:r>
      <w:r>
        <w:t>Bestämmelserna i 3–6 kap. och 15 kap. lagen om ekonomiska villkor för riksdagens ledamöter skall tillämpas fr.o.m. den dag då ledamoten tar plats i riksdagen t.o.m. 30 dagar efter det att uppdraget att vara ledamot upphör.</w:t>
      </w:r>
    </w:p>
    <w:p w:rsidR="00936031" w:rsidRDefault="00936031">
      <w:pPr>
        <w:pBdr>
          <w:top w:val="single" w:sz="4" w:space="1" w:color="auto"/>
          <w:left w:val="single" w:sz="4" w:space="4" w:color="auto"/>
          <w:bottom w:val="single" w:sz="4" w:space="1" w:color="auto"/>
          <w:right w:val="single" w:sz="4" w:space="4" w:color="auto"/>
        </w:pBdr>
        <w:spacing w:before="0"/>
      </w:pPr>
      <w:r>
        <w:t xml:space="preserve">   För den som ersätter annan ledamot än talmannen eller ett statsråd eller en statssekreterare skall 3–6 kap. och 15 kap. tillämpas endast för den tid som ersättaren enligt bevis därom skall fullgöra uppdraget eller, om uppdraget upphör tidigare, för den i beviset angivna tiden, dock län</w:t>
      </w:r>
      <w:r>
        <w:t>gst fr.o.m. den dag uppdraget börjar t.o.m. 30 dagar efter den dag uppdraget up</w:t>
      </w:r>
      <w:r>
        <w:t>p</w:t>
      </w:r>
      <w:r>
        <w:t>hör.</w:t>
      </w:r>
    </w:p>
    <w:p w:rsidR="00936031" w:rsidRDefault="00936031">
      <w:pPr>
        <w:spacing w:before="120"/>
      </w:pPr>
      <w:r>
        <w:rPr>
          <w:b/>
        </w:rPr>
        <w:t>Skälen för förslaget:</w:t>
      </w:r>
      <w:r>
        <w:t xml:space="preserve"> Bestämmelserna om arvode (3 kap.), resekostnadse</w:t>
      </w:r>
      <w:r>
        <w:t>r</w:t>
      </w:r>
      <w:r>
        <w:t>sättning (4 kap.), traktamente m.m. (5 kap.), kostnadsersättning och viss teknisk utrustning (6 kap.) samt försäkrings- och sjukvårdsförmåner (15 kap.) tillämpas beträffande ledamot fr.o.m. den dag ledamoten tar plats i riksdagen t.o.m. utgången av den månad då uppdraget att vara ledamot up</w:t>
      </w:r>
      <w:r>
        <w:t>p</w:t>
      </w:r>
      <w:r>
        <w:t>hör. Beredningsgruppen föreslår att bestämmelserna skall vara tillämpliga t.o.m. 30 dagar efter det att uppdraget upphör. Till grund för förslaget i denna del ligger bedö</w:t>
      </w:r>
      <w:r>
        <w:t>mningen att en tidsperiod på 30 dagar är erforderlig för att förbereda återgången till tidigare arbete eller nya arbet</w:t>
      </w:r>
      <w:r>
        <w:t>s</w:t>
      </w:r>
      <w:r>
        <w:t>uppgifter.</w:t>
      </w:r>
    </w:p>
    <w:p w:rsidR="00936031" w:rsidRDefault="00936031">
      <w:pPr>
        <w:pStyle w:val="Normaltindrag"/>
      </w:pPr>
      <w:r>
        <w:t>För den som ersätter annan ledamot än talmannen eller ett statsråd tillä</w:t>
      </w:r>
      <w:r>
        <w:t>m</w:t>
      </w:r>
      <w:r>
        <w:t>pas i dag 3–6 kap. och 15 kap. endast för den tid uppdraget omfattar. Enligt beredningsgruppens förslag skall, för den som ersätter annan ledamot än talmannen eller ett statsråd eller en statssekreterare, 3–6 kap. och 15 kap. tillämpas endast för den tid som ersättaren enligt bevis därom skall fullgöra uppdraget eller, om uppdraget upphör tidigare, för den i beviset angivna tiden, dock längst fr.o.m. den dag uppdraget börjar t.o.m. 30 dagar efter den dag uppdraget upphör. Förslaget innebär dels att ersätta</w:t>
      </w:r>
      <w:r>
        <w:t>re för ledamot som är statssekreterare, i likhet med ersättare för ledamot som är talman eller stat</w:t>
      </w:r>
      <w:r>
        <w:t>s</w:t>
      </w:r>
      <w:r>
        <w:t xml:space="preserve">råd, kommer att omfattas av samma bestämmelser som gäller för ledamot, dels att det även beträffande övriga ersättare införs en 30-dagarsregel. </w:t>
      </w:r>
    </w:p>
    <w:p w:rsidR="00936031" w:rsidRDefault="00936031">
      <w:pPr>
        <w:pStyle w:val="Normaltindrag"/>
      </w:pPr>
      <w:r>
        <w:t>Ersättaruppdrag är inte sällan av relativt kortvarig karaktär. I likhet med vad konstitutionsutskottet anför i betänkande 1997/98:KU6 anser bere</w:t>
      </w:r>
      <w:r>
        <w:t>d</w:t>
      </w:r>
      <w:r>
        <w:t>ningsgruppen det angeläget att det ges bästa möjliga förutsättningar för e</w:t>
      </w:r>
      <w:r>
        <w:t>r</w:t>
      </w:r>
      <w:r>
        <w:t>sättare att fullgöra också förhållandevis kortvariga uppdrag. Med det fra</w:t>
      </w:r>
      <w:r>
        <w:t>m</w:t>
      </w:r>
      <w:r>
        <w:t>lagda förslaget tillförsäkras den som ersätter annan ledamot än talmannen, ett statsråd eller en statssekreterare att bestämmelserna i 3–6 kap. och 15 kap. skall tillämpas för en viss minsta tid även om uppdraget av en eller annan anledning upphör före den tid som anges i ersätta</w:t>
      </w:r>
      <w:r>
        <w:t>r</w:t>
      </w:r>
      <w:r>
        <w:t>beviset.</w:t>
      </w:r>
    </w:p>
    <w:p w:rsidR="00936031" w:rsidRDefault="00936031">
      <w:pPr>
        <w:pStyle w:val="Rubrik2"/>
        <w:spacing w:after="120"/>
      </w:pPr>
      <w:bookmarkStart w:id="25" w:name="_Toc433516317"/>
      <w:r>
        <w:t>4.3  Föräldrapenning och tillfällig föräldrapenning</w:t>
      </w:r>
      <w:bookmarkEnd w:id="25"/>
      <w:r>
        <w:t xml:space="preserve"> </w:t>
      </w:r>
    </w:p>
    <w:p w:rsidR="00936031" w:rsidRDefault="00936031">
      <w:pPr>
        <w:pBdr>
          <w:top w:val="single" w:sz="4" w:space="1" w:color="auto"/>
          <w:left w:val="single" w:sz="4" w:space="4" w:color="auto"/>
          <w:bottom w:val="single" w:sz="4" w:space="1" w:color="auto"/>
          <w:right w:val="single" w:sz="4" w:space="4" w:color="auto"/>
        </w:pBdr>
      </w:pPr>
      <w:r>
        <w:rPr>
          <w:b/>
        </w:rPr>
        <w:t xml:space="preserve">Förslag: </w:t>
      </w:r>
      <w:r>
        <w:t>Om en riksdagsledamot får föräldrapenning eller tillfällig föräldr</w:t>
      </w:r>
      <w:r>
        <w:t>a</w:t>
      </w:r>
      <w:r>
        <w:t>penning och för samma tid får arvode skall arvodet minskas i enlighet med de bestämmelser som gäller för arbetstagare hos riksdagen.</w:t>
      </w:r>
    </w:p>
    <w:p w:rsidR="00936031" w:rsidRDefault="00936031">
      <w:pPr>
        <w:pBdr>
          <w:top w:val="single" w:sz="4" w:space="1" w:color="auto"/>
          <w:left w:val="single" w:sz="4" w:space="4" w:color="auto"/>
          <w:bottom w:val="single" w:sz="4" w:space="1" w:color="auto"/>
          <w:right w:val="single" w:sz="4" w:space="4" w:color="auto"/>
        </w:pBdr>
        <w:spacing w:before="0" w:after="60"/>
        <w:ind w:firstLine="170"/>
      </w:pPr>
      <w:r>
        <w:t xml:space="preserve">Om en företrädare får föräldrapenning eller tillfällig föräldrapenning och för samma tid får företrädararvode skall arvodet minskas i enlighet med de bestämmelser som gäller för arbetstagare hos riksdagen. </w:t>
      </w:r>
      <w:r>
        <w:tab/>
      </w:r>
      <w:r>
        <w:tab/>
      </w:r>
    </w:p>
    <w:p w:rsidR="00936031" w:rsidRDefault="00936031">
      <w:r>
        <w:rPr>
          <w:b/>
        </w:rPr>
        <w:t xml:space="preserve">Skälen för förslaget: </w:t>
      </w:r>
      <w:r>
        <w:t>3 kap. 4 § första stycket lagen om ekonomiska förm</w:t>
      </w:r>
      <w:r>
        <w:t>å</w:t>
      </w:r>
      <w:r>
        <w:t>ner för riksdagens ledamöter och 2 kap. 4 § tredje stycket lagen om arvode m.m. till Sveriges företrädare i Europaparlamentet reglerar vad en ledamot respektive en företrädare skall få i ersättning om han eller hon får föräldr</w:t>
      </w:r>
      <w:r>
        <w:t>a</w:t>
      </w:r>
      <w:r>
        <w:t>penning eller tillfällig föräldrapenning och för samma tid får arvode respe</w:t>
      </w:r>
      <w:r>
        <w:t>k</w:t>
      </w:r>
      <w:r>
        <w:t>tive företrädararvode. Där sägs att arvodet respektive företrädararvodet skall minskas med ett belopp som motsvarar uppburen föräldrapenning eller til</w:t>
      </w:r>
      <w:r>
        <w:t>l</w:t>
      </w:r>
      <w:r>
        <w:t xml:space="preserve">fällig </w:t>
      </w:r>
      <w:r>
        <w:t>föräldrapenning. Detta medför att ersättningen vid den aktuella föräl</w:t>
      </w:r>
      <w:r>
        <w:t>d</w:t>
      </w:r>
      <w:r>
        <w:t>raledigheten motsvarar 100 % av arvodet respektive företrädararvodet. Enligt de regler om ersättning vid föräldraledighet som vanligen gäller i samhället i övrigt utgår föräldrapenning eller tillfällig föräldrapenning med 80 % av den sjukpenninggrundande inkomsten. En anpassning till en lägre ersättning än som sålunda i dag utgår till ledamöter och företrädare vid föräldraledighet kan och bör enligt beredningsgruppens mening ske genom att</w:t>
      </w:r>
      <w:r>
        <w:t xml:space="preserve"> ersättningarna beräknas i enlighet med de bestämmelser som i motsvarande situation gäller för arbetstagare hos riksdagen.</w:t>
      </w:r>
    </w:p>
    <w:p w:rsidR="00936031" w:rsidRDefault="00936031">
      <w:pPr>
        <w:pStyle w:val="Rubrik2"/>
        <w:spacing w:before="0"/>
      </w:pPr>
      <w:bookmarkStart w:id="26" w:name="_Toc433516318"/>
      <w:r>
        <w:br w:type="page"/>
        <w:t>4.4 Pensionsgrundande inkomstgaranti</w:t>
      </w:r>
      <w:bookmarkEnd w:id="26"/>
    </w:p>
    <w:p w:rsidR="00936031" w:rsidRDefault="00936031">
      <w:pPr>
        <w:pBdr>
          <w:top w:val="single" w:sz="4" w:space="1" w:color="auto"/>
          <w:left w:val="single" w:sz="4" w:space="4" w:color="auto"/>
          <w:bottom w:val="single" w:sz="4" w:space="1" w:color="auto"/>
          <w:right w:val="single" w:sz="4" w:space="4" w:color="auto"/>
        </w:pBdr>
      </w:pPr>
      <w:r>
        <w:rPr>
          <w:b/>
        </w:rPr>
        <w:t xml:space="preserve">Förslag: </w:t>
      </w:r>
      <w:r>
        <w:t>Inkomstgaranti till ledamot som lämnar riksdagen och till företräd</w:t>
      </w:r>
      <w:r>
        <w:t>a</w:t>
      </w:r>
      <w:r>
        <w:t>re för Sverige som lämnar Europaparlamentet skall för de första fem åren jämstä</w:t>
      </w:r>
      <w:r>
        <w:t>l</w:t>
      </w:r>
      <w:r>
        <w:t>las med inkomst av anställning.</w:t>
      </w:r>
    </w:p>
    <w:p w:rsidR="00936031" w:rsidRDefault="00936031">
      <w:r>
        <w:rPr>
          <w:b/>
        </w:rPr>
        <w:t>Skälen för förslaget:</w:t>
      </w:r>
      <w:r>
        <w:t xml:space="preserve"> 13 kap. 3 § lagen om ekonomiska villkor för riksd</w:t>
      </w:r>
      <w:r>
        <w:t>a</w:t>
      </w:r>
      <w:r>
        <w:t>gens ledamöter reglerar under hur lång tid en ledamot som lämnar riksdagen omfattas av inkomstgaranti. Inkomstgarantin har hittills jämförts med a</w:t>
      </w:r>
      <w:r>
        <w:t>v</w:t>
      </w:r>
      <w:r>
        <w:t xml:space="preserve">gångsersättning från Trygghetsrådet och med pensionsförmån och därför inte ansetts vara pensionsgrundande. </w:t>
      </w:r>
    </w:p>
    <w:p w:rsidR="00936031" w:rsidRDefault="00936031">
      <w:pPr>
        <w:pStyle w:val="Normaltindrag"/>
      </w:pPr>
      <w:r>
        <w:t>Inkomstgarantin infördes under en tid då systemet med avgångsersättnin</w:t>
      </w:r>
      <w:r>
        <w:t>g</w:t>
      </w:r>
      <w:r>
        <w:t>ar i anställnings- eller uppdragsförhållanden i samhället i övrigt var mindre utbrett. Numera har förhållandet till en del ändrats. Vidare har den stora skattereformen varit i tillämpning under några år och en fast praxis har u</w:t>
      </w:r>
      <w:r>
        <w:t>t</w:t>
      </w:r>
      <w:r>
        <w:t>vecklats i frågan vilka ersättningar som skall vara pensionsgrundande. Enligt denna praxis har ersättning som arbetsgivare betalar till en person i samband med att denna slutar sin anställning, till den del ersättningen är att jämställa med inkomst av anställning, bedömts vara pensi</w:t>
      </w:r>
      <w:r>
        <w:t>onsgrundande inkomst.</w:t>
      </w:r>
    </w:p>
    <w:p w:rsidR="00936031" w:rsidRDefault="00936031">
      <w:pPr>
        <w:pStyle w:val="Normaltindrag"/>
      </w:pPr>
      <w:r>
        <w:t>I samband med inkomstgarantins tillkomst framhölls bl.a. att uppdraget som riksdagsledamot är behäftat med osäkerhet och att det är rimligt att de som tar på sig ett sådant viktigt samhällsuppdrag får en trygghet i händelse av att de av det ena eller andra skälet lämnar uppdraget. Detta konstaterande gäller fullt ut även i dag. Det kan tilläggas att dessa trygghetsregler, för att rätt fylla sitt syfte, bör vara så kompletta som möjligt.</w:t>
      </w:r>
    </w:p>
    <w:p w:rsidR="00936031" w:rsidRDefault="00936031">
      <w:pPr>
        <w:pStyle w:val="Normaltindrag"/>
      </w:pPr>
      <w:r>
        <w:t>Mot bakgrund av det ovan anförda är beredningsgruppen av den meningen att inkomstgarantin under de första fem åren bör jämställas med inkomst av anställning och således vara att bedöma som pensionsgrundande inkomst under denna tid. Inkomstgaranti som utgår för tid därefter bör jämställas med pension.</w:t>
      </w:r>
    </w:p>
    <w:p w:rsidR="00936031" w:rsidRDefault="00936031">
      <w:pPr>
        <w:pStyle w:val="Normaltindrag"/>
      </w:pPr>
      <w:r>
        <w:t>Beredningsgruppen föreslår att 13 kap. 3 § lagen om ekonomiska villkor för riksdagens ledamöter ändras i enlighet med vad som nu sagts. En motsv</w:t>
      </w:r>
      <w:r>
        <w:t>a</w:t>
      </w:r>
      <w:r>
        <w:t>rande ändring föreslås beträffande 9 kap. 3 § lagen om arvode m.m. till Sv</w:t>
      </w:r>
      <w:r>
        <w:t>e</w:t>
      </w:r>
      <w:r>
        <w:t>riges företrädare i Europaparlamentet.</w:t>
      </w:r>
    </w:p>
    <w:p w:rsidR="00936031" w:rsidRDefault="00936031">
      <w:pPr>
        <w:pStyle w:val="Rubrik2"/>
      </w:pPr>
      <w:bookmarkStart w:id="27" w:name="_Toc433516319"/>
      <w:r>
        <w:t>4.5  Övriga frågor</w:t>
      </w:r>
      <w:bookmarkEnd w:id="27"/>
    </w:p>
    <w:p w:rsidR="00936031" w:rsidRDefault="00936031">
      <w:pPr>
        <w:pBdr>
          <w:top w:val="single" w:sz="4" w:space="1" w:color="auto"/>
          <w:left w:val="single" w:sz="4" w:space="4" w:color="auto"/>
          <w:bottom w:val="single" w:sz="4" w:space="1" w:color="auto"/>
          <w:right w:val="single" w:sz="4" w:space="4" w:color="auto"/>
        </w:pBdr>
      </w:pPr>
      <w:r>
        <w:rPr>
          <w:b/>
        </w:rPr>
        <w:t xml:space="preserve">Förslag: </w:t>
      </w:r>
      <w:r>
        <w:t xml:space="preserve">Vissa ändringar av redaktionell art bör göras i 1 kap. 1 § första stycket lagen om ekonomiska villkor för riksdagens ledamöter samt i 1 kap. 1 § första stycket och 2 kap. 4 § första stycket lagen om arvode m.m. till Sveriges företrädare i Europaparlamentet.  </w:t>
      </w:r>
    </w:p>
    <w:p w:rsidR="00936031" w:rsidRDefault="00936031">
      <w:r>
        <w:rPr>
          <w:b/>
        </w:rPr>
        <w:t xml:space="preserve">Skälen för förslaget: </w:t>
      </w:r>
      <w:r>
        <w:t xml:space="preserve">1 kap. 1 § första stycket lagen om ekonomiska villkor för riksdagens ledamöter har följande lydelse: </w:t>
      </w:r>
    </w:p>
    <w:p w:rsidR="00936031" w:rsidRDefault="00936031">
      <w:pPr>
        <w:pStyle w:val="Citat"/>
      </w:pPr>
      <w:r>
        <w:t>En riksdagsledamot är berättigad till ekonomiska förmåner enligt denna lag. Förmånerna utgår inte för tid då ledamoten är statsråd eller för tid då led</w:t>
      </w:r>
      <w:r>
        <w:t>a</w:t>
      </w:r>
      <w:r>
        <w:t xml:space="preserve">moten av annat skäl än offentligt uppdrag, militärtjänstgöring, sjukdom, vård av barn m.fl. beviljats ledighet under minst en månad i följd. </w:t>
      </w:r>
    </w:p>
    <w:p w:rsidR="00936031" w:rsidRDefault="00936031">
      <w:r>
        <w:t>Såsom en följdändring och med hänsyn till hur förvaltningskontoret tidigare tolkat och tillämpat lagrummet i denna del bör detta, i enlighet med förslaget till lagtext, ges en något annorlunda avfattning. Det bör således framgå att de ekonomiska förmånerna inte heller utgår för tid då ledamoten är statssekret</w:t>
      </w:r>
      <w:r>
        <w:t>e</w:t>
      </w:r>
      <w:r>
        <w:t>rare. Vidare bör förkortningen ”m.fl.” ersättas av skrivningen ”eller annan lagstadgad eller kollektivavtalsenlig ledighet”, eftersom det är enbart sådana ledigheter som avses. Även i 1 kap. 1 § första stycket och 2 kap. 4 § första stycket lagen om arvode m.m. till Sveriges företrädare i Europaparlamentet bör förkortningen ”m.fl.”  ersättas av skrivningen ”eller annan lagstadgad eller kollektivavtalsenlig ledi</w:t>
      </w:r>
      <w:r>
        <w:t>g</w:t>
      </w:r>
      <w:r>
        <w:t>het”.</w:t>
      </w:r>
    </w:p>
    <w:p w:rsidR="00936031" w:rsidRDefault="00936031">
      <w:pPr>
        <w:pStyle w:val="Rubrik1"/>
      </w:pPr>
      <w:bookmarkStart w:id="28" w:name="_Toc433516320"/>
      <w:r>
        <w:t>5  Ikraftträdande</w:t>
      </w:r>
      <w:bookmarkEnd w:id="28"/>
    </w:p>
    <w:p w:rsidR="00936031" w:rsidRDefault="00936031">
      <w:r>
        <w:t>Ändringarna i lagen om ekonomiska villkor för riksdagens ledamöter för</w:t>
      </w:r>
      <w:r>
        <w:t>e</w:t>
      </w:r>
      <w:r>
        <w:t>slås träda i kraft den 1 januari 1999.</w:t>
      </w:r>
    </w:p>
    <w:p w:rsidR="00936031" w:rsidRDefault="00936031">
      <w:pPr>
        <w:pStyle w:val="Normaltindrag"/>
      </w:pPr>
      <w:r>
        <w:t>Tidigare har framhållits att beredningsgruppens förslag till ändringar i l</w:t>
      </w:r>
      <w:r>
        <w:t>a</w:t>
      </w:r>
      <w:r>
        <w:t>gen om ekonomiska villkor för riksdagens ledamöter bl.a. innebär att de ekonomiska villkoren för ersättare i huvudsak kommer att överensstämma med vad som gäller för ledamöterna. Ersättare jämställs alltså med ledamöter i fråga om möjligheten att under uppdragstiden exempelvis tjäna in pension o.d. Beredningsgruppen bedömer det skäligt att lagförslaget i denna del börjar tillämpas redan fr.o.m. valperioden 1994–1998 och att övriga lagän</w:t>
      </w:r>
      <w:r>
        <w:t>d</w:t>
      </w:r>
      <w:r>
        <w:t>ringar, med undantag av ändringen rörande pensionsgrundande inkomstg</w:t>
      </w:r>
      <w:r>
        <w:t>a</w:t>
      </w:r>
      <w:r>
        <w:t>r</w:t>
      </w:r>
      <w:r>
        <w:t>anti i 13 kap. 3 § och ändringen om föräldrapenning i 3 kap. 4 §, tillämpas fr.o.m. innevarande valperiod. Ändringen om föräldrapenning har inte sådant innehåll att den lämpar sig för retroaktiv tillämpning. Den bör därför tillä</w:t>
      </w:r>
      <w:r>
        <w:t>m</w:t>
      </w:r>
      <w:r>
        <w:t>pas från den dag lagen träder i kraft. Från samma dag bör även ändringen rörande pensionsgrundande inkomstgaranti tillämpas samt avse endast led</w:t>
      </w:r>
      <w:r>
        <w:t>a</w:t>
      </w:r>
      <w:r>
        <w:t>möter vilkas uppdrag upphörde den 5 oktober 1998 eller senare. Samma</w:t>
      </w:r>
      <w:r>
        <w:t>n</w:t>
      </w:r>
      <w:r>
        <w:t xml:space="preserve">fattningsvis bör således lagförslaget vad gäller ersättare tillämpas </w:t>
      </w:r>
      <w:r>
        <w:t>fr.o.m. den 3 okt</w:t>
      </w:r>
      <w:r>
        <w:t>o</w:t>
      </w:r>
      <w:r>
        <w:t>ber 1994 och i övrigt med vissa undantag fr.o.m. den 5 oktober 1998.</w:t>
      </w:r>
    </w:p>
    <w:p w:rsidR="00936031" w:rsidRDefault="00936031">
      <w:pPr>
        <w:pStyle w:val="Normaltindrag"/>
      </w:pPr>
      <w:r>
        <w:t>Ändringarna i lagen om arvode m.m. till Sveriges företrädare i Europ</w:t>
      </w:r>
      <w:r>
        <w:t>a</w:t>
      </w:r>
      <w:r>
        <w:t>parlamentet föreslås träda i kraft och äga tillämpning fr.o.m. den 1 januari 1999.</w:t>
      </w:r>
    </w:p>
    <w:p w:rsidR="00936031" w:rsidRDefault="00936031">
      <w:pPr>
        <w:spacing w:before="0" w:after="120"/>
        <w:rPr>
          <w:noProof/>
          <w:sz w:val="24"/>
        </w:rPr>
      </w:pPr>
      <w:r>
        <w:br w:type="page"/>
      </w:r>
      <w:r>
        <w:rPr>
          <w:sz w:val="24"/>
        </w:rPr>
        <w:t>Innehållsförteckning</w:t>
      </w:r>
      <w:r>
        <w:rPr>
          <w:sz w:val="24"/>
        </w:rPr>
        <w:fldChar w:fldCharType="begin" w:fldLock="1"/>
      </w:r>
      <w:r>
        <w:rPr>
          <w:sz w:val="24"/>
        </w:rPr>
        <w:instrText xml:space="preserve"> TOC \o "1-3" </w:instrText>
      </w:r>
      <w:r>
        <w:rPr>
          <w:sz w:val="24"/>
        </w:rPr>
        <w:fldChar w:fldCharType="separate"/>
      </w:r>
    </w:p>
    <w:p w:rsidR="00936031" w:rsidRDefault="00936031">
      <w:pPr>
        <w:pStyle w:val="Innehll1"/>
        <w:rPr>
          <w:noProof/>
        </w:rPr>
      </w:pPr>
      <w:r>
        <w:rPr>
          <w:noProof/>
        </w:rPr>
        <w:t>1 Förslag till riksdagsbeslut</w:t>
      </w:r>
      <w:r>
        <w:rPr>
          <w:noProof/>
        </w:rPr>
        <w:tab/>
      </w:r>
      <w:r>
        <w:rPr>
          <w:noProof/>
        </w:rPr>
        <w:fldChar w:fldCharType="begin" w:fldLock="1"/>
      </w:r>
      <w:r>
        <w:rPr>
          <w:noProof/>
        </w:rPr>
        <w:instrText xml:space="preserve"> PAGEREF _Toc433516309 \h </w:instrText>
      </w:r>
      <w:r>
        <w:rPr>
          <w:noProof/>
        </w:rPr>
      </w:r>
      <w:r>
        <w:rPr>
          <w:noProof/>
        </w:rPr>
        <w:fldChar w:fldCharType="separate"/>
      </w:r>
      <w:r>
        <w:rPr>
          <w:noProof/>
        </w:rPr>
        <w:t>5</w:t>
      </w:r>
      <w:r>
        <w:rPr>
          <w:noProof/>
        </w:rPr>
        <w:fldChar w:fldCharType="end"/>
      </w:r>
    </w:p>
    <w:p w:rsidR="00936031" w:rsidRDefault="00936031">
      <w:pPr>
        <w:pStyle w:val="Innehll1"/>
        <w:rPr>
          <w:noProof/>
        </w:rPr>
      </w:pPr>
      <w:r>
        <w:rPr>
          <w:noProof/>
        </w:rPr>
        <w:t>2 Lagtext</w:t>
      </w:r>
      <w:r>
        <w:rPr>
          <w:noProof/>
        </w:rPr>
        <w:tab/>
      </w:r>
      <w:r>
        <w:rPr>
          <w:noProof/>
        </w:rPr>
        <w:fldChar w:fldCharType="begin" w:fldLock="1"/>
      </w:r>
      <w:r>
        <w:rPr>
          <w:noProof/>
        </w:rPr>
        <w:instrText xml:space="preserve"> PAGEREF _Toc433516310 \h </w:instrText>
      </w:r>
      <w:r>
        <w:rPr>
          <w:noProof/>
        </w:rPr>
      </w:r>
      <w:r>
        <w:rPr>
          <w:noProof/>
        </w:rPr>
        <w:fldChar w:fldCharType="separate"/>
      </w:r>
      <w:r>
        <w:rPr>
          <w:noProof/>
        </w:rPr>
        <w:t>5</w:t>
      </w:r>
      <w:r>
        <w:rPr>
          <w:noProof/>
        </w:rPr>
        <w:fldChar w:fldCharType="end"/>
      </w:r>
    </w:p>
    <w:p w:rsidR="00936031" w:rsidRDefault="00936031">
      <w:pPr>
        <w:pStyle w:val="Innehll2"/>
        <w:rPr>
          <w:noProof/>
        </w:rPr>
      </w:pPr>
      <w:r>
        <w:rPr>
          <w:noProof/>
        </w:rPr>
        <w:t>2.1  Förslag till lag om ändring i lagen (1994:1065) om ekonomiska villkor för riksdagens ledamöter</w:t>
      </w:r>
      <w:r>
        <w:rPr>
          <w:noProof/>
        </w:rPr>
        <w:tab/>
      </w:r>
      <w:r>
        <w:rPr>
          <w:noProof/>
        </w:rPr>
        <w:fldChar w:fldCharType="begin" w:fldLock="1"/>
      </w:r>
      <w:r>
        <w:rPr>
          <w:noProof/>
        </w:rPr>
        <w:instrText xml:space="preserve"> PAGEREF _Toc433516311 \h </w:instrText>
      </w:r>
      <w:r>
        <w:rPr>
          <w:noProof/>
        </w:rPr>
      </w:r>
      <w:r>
        <w:rPr>
          <w:noProof/>
        </w:rPr>
        <w:fldChar w:fldCharType="separate"/>
      </w:r>
      <w:r>
        <w:rPr>
          <w:noProof/>
        </w:rPr>
        <w:t>5</w:t>
      </w:r>
      <w:r>
        <w:rPr>
          <w:noProof/>
        </w:rPr>
        <w:fldChar w:fldCharType="end"/>
      </w:r>
    </w:p>
    <w:p w:rsidR="00936031" w:rsidRDefault="00936031">
      <w:pPr>
        <w:pStyle w:val="Innehll2"/>
        <w:rPr>
          <w:noProof/>
        </w:rPr>
      </w:pPr>
      <w:r>
        <w:rPr>
          <w:noProof/>
        </w:rPr>
        <w:t>2.2 Förslag till lag om ändring i lagen (1996:304) om arvode m.m. till Sveriges företrädare i Europaparlamentet</w:t>
      </w:r>
      <w:r>
        <w:rPr>
          <w:noProof/>
        </w:rPr>
        <w:tab/>
      </w:r>
      <w:r>
        <w:rPr>
          <w:noProof/>
        </w:rPr>
        <w:fldChar w:fldCharType="begin" w:fldLock="1"/>
      </w:r>
      <w:r>
        <w:rPr>
          <w:noProof/>
        </w:rPr>
        <w:instrText xml:space="preserve"> PAGEREF _Toc433516312 \h </w:instrText>
      </w:r>
      <w:r>
        <w:rPr>
          <w:noProof/>
        </w:rPr>
      </w:r>
      <w:r>
        <w:rPr>
          <w:noProof/>
        </w:rPr>
        <w:fldChar w:fldCharType="separate"/>
      </w:r>
      <w:r>
        <w:rPr>
          <w:noProof/>
        </w:rPr>
        <w:t>8</w:t>
      </w:r>
      <w:r>
        <w:rPr>
          <w:noProof/>
        </w:rPr>
        <w:fldChar w:fldCharType="end"/>
      </w:r>
    </w:p>
    <w:p w:rsidR="00936031" w:rsidRDefault="00936031">
      <w:pPr>
        <w:pStyle w:val="Innehll1"/>
        <w:rPr>
          <w:noProof/>
        </w:rPr>
      </w:pPr>
      <w:r>
        <w:rPr>
          <w:noProof/>
        </w:rPr>
        <w:t>3  Bakgrund och allmänna överväganden</w:t>
      </w:r>
      <w:r>
        <w:rPr>
          <w:noProof/>
        </w:rPr>
        <w:tab/>
        <w:t>10</w:t>
      </w:r>
    </w:p>
    <w:p w:rsidR="00936031" w:rsidRDefault="00936031">
      <w:pPr>
        <w:pStyle w:val="Innehll1"/>
        <w:rPr>
          <w:noProof/>
        </w:rPr>
      </w:pPr>
      <w:r>
        <w:rPr>
          <w:noProof/>
        </w:rPr>
        <w:t>4  Överväganden och förslag</w:t>
      </w:r>
      <w:r>
        <w:rPr>
          <w:noProof/>
        </w:rPr>
        <w:tab/>
        <w:t>10</w:t>
      </w:r>
    </w:p>
    <w:p w:rsidR="00936031" w:rsidRDefault="00936031">
      <w:pPr>
        <w:pStyle w:val="Innehll2"/>
        <w:rPr>
          <w:noProof/>
        </w:rPr>
      </w:pPr>
      <w:r>
        <w:rPr>
          <w:noProof/>
        </w:rPr>
        <w:t>4.1  Samma bestämmelser för ersättare och riksdagsledamot</w:t>
      </w:r>
      <w:r>
        <w:rPr>
          <w:noProof/>
        </w:rPr>
        <w:tab/>
        <w:t>10</w:t>
      </w:r>
    </w:p>
    <w:p w:rsidR="00936031" w:rsidRDefault="00936031">
      <w:pPr>
        <w:pStyle w:val="Innehll2"/>
        <w:rPr>
          <w:noProof/>
        </w:rPr>
      </w:pPr>
      <w:r>
        <w:rPr>
          <w:noProof/>
        </w:rPr>
        <w:t>4.2  Rätt till arvode m.m. sedan uppdraget upphört</w:t>
      </w:r>
      <w:r>
        <w:rPr>
          <w:noProof/>
        </w:rPr>
        <w:tab/>
      </w:r>
      <w:r>
        <w:rPr>
          <w:noProof/>
        </w:rPr>
        <w:fldChar w:fldCharType="begin" w:fldLock="1"/>
      </w:r>
      <w:r>
        <w:rPr>
          <w:noProof/>
        </w:rPr>
        <w:instrText xml:space="preserve"> PAGEREF _Toc433516316 \h </w:instrText>
      </w:r>
      <w:r>
        <w:rPr>
          <w:noProof/>
        </w:rPr>
      </w:r>
      <w:r>
        <w:rPr>
          <w:noProof/>
        </w:rPr>
        <w:fldChar w:fldCharType="separate"/>
      </w:r>
      <w:r>
        <w:rPr>
          <w:noProof/>
        </w:rPr>
        <w:t>1</w:t>
      </w:r>
      <w:r>
        <w:rPr>
          <w:noProof/>
        </w:rPr>
        <w:fldChar w:fldCharType="end"/>
      </w:r>
      <w:r>
        <w:rPr>
          <w:noProof/>
        </w:rPr>
        <w:t>1</w:t>
      </w:r>
    </w:p>
    <w:p w:rsidR="00936031" w:rsidRDefault="00936031">
      <w:pPr>
        <w:pStyle w:val="Innehll2"/>
        <w:rPr>
          <w:noProof/>
        </w:rPr>
      </w:pPr>
      <w:r>
        <w:rPr>
          <w:noProof/>
        </w:rPr>
        <w:t>4.3  Föräldrapenning och tillfällig föräldrapenning</w:t>
      </w:r>
      <w:r>
        <w:rPr>
          <w:noProof/>
        </w:rPr>
        <w:tab/>
      </w:r>
      <w:r>
        <w:rPr>
          <w:noProof/>
        </w:rPr>
        <w:fldChar w:fldCharType="begin" w:fldLock="1"/>
      </w:r>
      <w:r>
        <w:rPr>
          <w:noProof/>
        </w:rPr>
        <w:instrText xml:space="preserve"> PAGEREF _Toc433516317 \h </w:instrText>
      </w:r>
      <w:r>
        <w:rPr>
          <w:noProof/>
        </w:rPr>
      </w:r>
      <w:r>
        <w:rPr>
          <w:noProof/>
        </w:rPr>
        <w:fldChar w:fldCharType="separate"/>
      </w:r>
      <w:r>
        <w:rPr>
          <w:noProof/>
        </w:rPr>
        <w:t>1</w:t>
      </w:r>
      <w:r>
        <w:rPr>
          <w:noProof/>
        </w:rPr>
        <w:fldChar w:fldCharType="end"/>
      </w:r>
      <w:r>
        <w:rPr>
          <w:noProof/>
        </w:rPr>
        <w:t>2</w:t>
      </w:r>
    </w:p>
    <w:p w:rsidR="00936031" w:rsidRDefault="00936031">
      <w:pPr>
        <w:pStyle w:val="Innehll2"/>
        <w:rPr>
          <w:noProof/>
        </w:rPr>
      </w:pPr>
      <w:r>
        <w:rPr>
          <w:noProof/>
        </w:rPr>
        <w:t>4.4 Pensionsgrundande inkomstgaranti</w:t>
      </w:r>
      <w:r>
        <w:rPr>
          <w:noProof/>
        </w:rPr>
        <w:tab/>
      </w:r>
      <w:r>
        <w:rPr>
          <w:noProof/>
        </w:rPr>
        <w:fldChar w:fldCharType="begin" w:fldLock="1"/>
      </w:r>
      <w:r>
        <w:rPr>
          <w:noProof/>
        </w:rPr>
        <w:instrText xml:space="preserve"> PAGEREF _Toc433516318 \h </w:instrText>
      </w:r>
      <w:r>
        <w:rPr>
          <w:noProof/>
        </w:rPr>
      </w:r>
      <w:r>
        <w:rPr>
          <w:noProof/>
        </w:rPr>
        <w:fldChar w:fldCharType="separate"/>
      </w:r>
      <w:r>
        <w:rPr>
          <w:noProof/>
        </w:rPr>
        <w:t>13</w:t>
      </w:r>
      <w:r>
        <w:rPr>
          <w:noProof/>
        </w:rPr>
        <w:fldChar w:fldCharType="end"/>
      </w:r>
    </w:p>
    <w:p w:rsidR="00936031" w:rsidRDefault="00936031">
      <w:pPr>
        <w:pStyle w:val="Innehll2"/>
        <w:rPr>
          <w:noProof/>
        </w:rPr>
      </w:pPr>
      <w:r>
        <w:rPr>
          <w:noProof/>
        </w:rPr>
        <w:t>4.5  Övriga frågor</w:t>
      </w:r>
      <w:r>
        <w:rPr>
          <w:noProof/>
        </w:rPr>
        <w:tab/>
      </w:r>
      <w:r>
        <w:rPr>
          <w:noProof/>
        </w:rPr>
        <w:fldChar w:fldCharType="begin" w:fldLock="1"/>
      </w:r>
      <w:r>
        <w:rPr>
          <w:noProof/>
        </w:rPr>
        <w:instrText xml:space="preserve"> PAGEREF _Toc433516319 \h </w:instrText>
      </w:r>
      <w:r>
        <w:rPr>
          <w:noProof/>
        </w:rPr>
      </w:r>
      <w:r>
        <w:rPr>
          <w:noProof/>
        </w:rPr>
        <w:fldChar w:fldCharType="separate"/>
      </w:r>
      <w:r>
        <w:rPr>
          <w:noProof/>
        </w:rPr>
        <w:t>1</w:t>
      </w:r>
      <w:r>
        <w:rPr>
          <w:noProof/>
        </w:rPr>
        <w:fldChar w:fldCharType="end"/>
      </w:r>
      <w:r>
        <w:rPr>
          <w:noProof/>
        </w:rPr>
        <w:t>3</w:t>
      </w:r>
    </w:p>
    <w:p w:rsidR="00936031" w:rsidRDefault="00936031">
      <w:pPr>
        <w:pStyle w:val="Innehll1"/>
        <w:rPr>
          <w:noProof/>
        </w:rPr>
      </w:pPr>
      <w:r>
        <w:rPr>
          <w:noProof/>
        </w:rPr>
        <w:t>5  Ikraftträdande</w:t>
      </w:r>
      <w:r>
        <w:rPr>
          <w:noProof/>
        </w:rPr>
        <w:tab/>
      </w:r>
      <w:bookmarkStart w:id="29" w:name="_Hlt433516573"/>
      <w:r>
        <w:rPr>
          <w:noProof/>
        </w:rPr>
        <w:fldChar w:fldCharType="begin" w:fldLock="1"/>
      </w:r>
      <w:r>
        <w:rPr>
          <w:noProof/>
        </w:rPr>
        <w:instrText xml:space="preserve"> PAGEREF _Toc433516320 \h </w:instrText>
      </w:r>
      <w:r>
        <w:rPr>
          <w:noProof/>
        </w:rPr>
      </w:r>
      <w:r>
        <w:rPr>
          <w:noProof/>
        </w:rPr>
        <w:fldChar w:fldCharType="separate"/>
      </w:r>
      <w:r>
        <w:rPr>
          <w:noProof/>
        </w:rPr>
        <w:t>14</w:t>
      </w:r>
      <w:r>
        <w:rPr>
          <w:noProof/>
        </w:rPr>
        <w:fldChar w:fldCharType="end"/>
      </w:r>
      <w:bookmarkEnd w:id="29"/>
    </w:p>
    <w:p w:rsidR="00936031" w:rsidRDefault="00936031">
      <w:pPr>
        <w:pStyle w:val="Normaltindrag"/>
      </w:pPr>
      <w:r>
        <w:fldChar w:fldCharType="end"/>
      </w:r>
    </w:p>
    <w:p w:rsidR="00936031" w:rsidRDefault="00936031">
      <w:pPr>
        <w:pStyle w:val="Normaltindrag"/>
      </w:pPr>
    </w:p>
    <w:p w:rsidR="00936031" w:rsidRDefault="00936031">
      <w:pPr>
        <w:pStyle w:val="Normaltindrag"/>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p>
    <w:p w:rsidR="00936031" w:rsidRDefault="00936031">
      <w:pPr>
        <w:pStyle w:val="Tryckort"/>
      </w:pPr>
      <w:r>
        <w:t>Elanders Gotab, Stockholm  1998</w:t>
      </w:r>
    </w:p>
    <w:sectPr w:rsidR="00936031">
      <w:headerReference w:type="default" r:id="rId13"/>
      <w:footerReference w:type="default" r:id="rId14"/>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031" w:rsidRDefault="00936031">
      <w:pPr>
        <w:spacing w:before="0" w:line="240" w:lineRule="auto"/>
      </w:pPr>
      <w:r>
        <w:separator/>
      </w:r>
    </w:p>
  </w:endnote>
  <w:endnote w:type="continuationSeparator" w:id="0">
    <w:p w:rsidR="00936031" w:rsidRDefault="0093603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31" w:rsidRDefault="00936031">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31" w:rsidRDefault="00936031">
    <w:pPr>
      <w:pStyle w:val="SidfotH"/>
      <w:framePr w:wrap="around"/>
      <w:rPr>
        <w:vanish/>
      </w:rPr>
    </w:pPr>
    <w:r>
      <w:rPr>
        <w:rStyle w:val="Sidnummer"/>
        <w:vanish/>
      </w:rPr>
      <w:fldChar w:fldCharType="begin" w:fldLock="1"/>
    </w:r>
    <w:r>
      <w:rPr>
        <w:rStyle w:val="Sidnummer"/>
        <w:vanish/>
      </w:rPr>
      <w:instrText xml:space="preserve"> PAGE </w:instrText>
    </w:r>
    <w:r>
      <w:rPr>
        <w:rStyle w:val="Sidnummer"/>
        <w:vanish/>
      </w:rPr>
      <w:fldChar w:fldCharType="separate"/>
    </w:r>
    <w:r>
      <w:rPr>
        <w:rStyle w:val="Sidnummer"/>
        <w:noProof/>
        <w:vanish/>
      </w:rPr>
      <w:t>2</w:t>
    </w:r>
    <w:r>
      <w:rPr>
        <w:rStyle w:val="Sidnummer"/>
        <w:vanish/>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31" w:rsidRDefault="00936031">
    <w:pPr>
      <w:pStyle w:val="SidfotH"/>
      <w:framePr w:wrap="around"/>
    </w:pPr>
    <w:r>
      <w:fldChar w:fldCharType="begin" w:fldLock="1"/>
    </w:r>
    <w:r>
      <w:instrText xml:space="preserve"> PAGE </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31" w:rsidRDefault="00936031">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15</w:t>
    </w:r>
    <w:r>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031" w:rsidRDefault="00936031">
      <w:pPr>
        <w:spacing w:before="0" w:line="240" w:lineRule="auto"/>
      </w:pPr>
      <w:r>
        <w:separator/>
      </w:r>
    </w:p>
  </w:footnote>
  <w:footnote w:type="continuationSeparator" w:id="0">
    <w:p w:rsidR="00936031" w:rsidRDefault="0093603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31" w:rsidRDefault="00936031">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1998/99:rfk2</w:t>
    </w:r>
    <w:r>
      <w:fldChar w:fldCharType="end"/>
    </w:r>
  </w:p>
  <w:p w:rsidR="00936031" w:rsidRDefault="00936031">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936031" w:rsidRDefault="00936031">
    <w:pPr>
      <w:pStyle w:val="SidhuvudV"/>
      <w:framePr w:w="2302" w:h="1928" w:hRule="exact" w:wrap="notBeside"/>
    </w:pPr>
    <w:r>
      <w:fldChar w:fldCharType="end"/>
    </w:r>
  </w:p>
  <w:p w:rsidR="00936031" w:rsidRDefault="009360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31" w:rsidRDefault="00936031">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1998/99:RFK2</w:t>
    </w:r>
    <w:r>
      <w:rPr>
        <w:sz w:val="21"/>
      </w:rPr>
      <w:fldChar w:fldCharType="end"/>
    </w:r>
  </w:p>
  <w:p w:rsidR="00936031" w:rsidRDefault="00936031">
    <w:pPr>
      <w:pStyle w:val="SidhuvudKant"/>
      <w:framePr w:hSpace="284" w:wrap="around"/>
      <w:rPr>
        <w:vanish/>
      </w:rPr>
    </w:pPr>
    <w:r>
      <w:rPr>
        <w:vanish/>
      </w:rPr>
      <w:t>&gt;B</w:t>
    </w:r>
  </w:p>
  <w:p w:rsidR="00936031" w:rsidRDefault="00936031">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929452563"/>
  <w:bookmarkStart w:id="1" w:name="_MON_929529912"/>
  <w:bookmarkStart w:id="2" w:name="_MON_932818888"/>
  <w:bookmarkStart w:id="3" w:name="_MON_947076358"/>
  <w:bookmarkStart w:id="4" w:name="_MON_947165881"/>
  <w:bookmarkStart w:id="5" w:name="_MON_970318928"/>
  <w:bookmarkEnd w:id="0"/>
  <w:bookmarkEnd w:id="1"/>
  <w:bookmarkEnd w:id="2"/>
  <w:bookmarkEnd w:id="3"/>
  <w:bookmarkEnd w:id="4"/>
  <w:bookmarkEnd w:id="5"/>
  <w:p w:rsidR="00936031" w:rsidRDefault="00936031">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340646" r:id="rId2"/>
      </w:object>
    </w:r>
  </w:p>
  <w:p w:rsidR="00936031" w:rsidRDefault="00936031">
    <w:pPr>
      <w:pStyle w:val="SidhuvudFVapen"/>
      <w:framePr w:wrap="notBeside" w:x="7253" w:y="188"/>
      <w:spacing w:line="230" w:lineRule="auto"/>
      <w:rPr>
        <w:sz w:val="24"/>
      </w:rPr>
    </w:pPr>
    <w:bookmarkStart w:id="6" w:name="BnrVapen"/>
    <w:r>
      <w:rPr>
        <w:sz w:val="24"/>
      </w:rPr>
      <w:t>1998/99</w:t>
    </w:r>
  </w:p>
  <w:p w:rsidR="00936031" w:rsidRDefault="00936031">
    <w:pPr>
      <w:pStyle w:val="SidhuvudFVapen"/>
      <w:framePr w:wrap="notBeside" w:x="7253" w:y="188"/>
      <w:spacing w:line="230" w:lineRule="auto"/>
      <w:rPr>
        <w:sz w:val="24"/>
      </w:rPr>
    </w:pPr>
    <w:r>
      <w:rPr>
        <w:sz w:val="24"/>
      </w:rPr>
      <w:t xml:space="preserve">RFK2 </w:t>
    </w:r>
    <w:bookmarkEnd w:id="6"/>
    <w:r w:rsidR="00F05030">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9280974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9002B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936031" w:rsidRDefault="00936031">
    <w:pPr>
      <w:pStyle w:val="SidhuvudFText"/>
      <w:framePr w:w="6205" w:h="2722" w:hRule="exact" w:hSpace="0" w:wrap="notBeside" w:hAnchor="page" w:x="1135" w:y="568"/>
      <w:spacing w:line="400" w:lineRule="exact"/>
      <w:ind w:right="629"/>
      <w:rPr>
        <w:sz w:val="36"/>
      </w:rPr>
    </w:pPr>
    <w:r>
      <w:rPr>
        <w:sz w:val="36"/>
      </w:rPr>
      <w:t>Förslag till riksdagen</w:t>
    </w:r>
  </w:p>
  <w:p w:rsidR="00936031" w:rsidRDefault="00936031">
    <w:pPr>
      <w:pStyle w:val="SidhuvudFText"/>
      <w:framePr w:w="6205" w:h="2722" w:hRule="exact" w:hSpace="0" w:wrap="notBeside" w:hAnchor="page" w:x="1135" w:y="568"/>
      <w:spacing w:line="400" w:lineRule="exact"/>
      <w:ind w:right="629"/>
      <w:rPr>
        <w:sz w:val="36"/>
      </w:rPr>
    </w:pPr>
    <w:r>
      <w:rPr>
        <w:sz w:val="36"/>
      </w:rPr>
      <w:t>1</w:t>
    </w:r>
    <w:bookmarkStart w:id="7" w:name="Betänkandenummer"/>
    <w:r>
      <w:rPr>
        <w:sz w:val="36"/>
      </w:rPr>
      <w:t xml:space="preserve">998/99:RFK2 </w:t>
    </w:r>
    <w:bookmarkEnd w:id="7"/>
    <w:r>
      <w:rPr>
        <w:sz w:val="36"/>
      </w:rPr>
      <w:t xml:space="preserve">       </w:t>
    </w:r>
    <w:bookmarkStart w:id="8" w:name="Utkast"/>
    <w:r>
      <w:rPr>
        <w:sz w:val="36"/>
      </w:rPr>
      <w:t xml:space="preserve"> </w:t>
    </w:r>
  </w:p>
  <w:p w:rsidR="00936031" w:rsidRDefault="00936031">
    <w:pPr>
      <w:pStyle w:val="SidhuvudFText"/>
      <w:framePr w:w="6205" w:h="2722" w:hRule="exact" w:hSpace="0" w:wrap="notBeside" w:hAnchor="page" w:x="1135" w:y="568"/>
      <w:spacing w:before="40" w:after="900" w:line="260" w:lineRule="exact"/>
      <w:ind w:right="629"/>
      <w:rPr>
        <w:sz w:val="24"/>
      </w:rPr>
    </w:pPr>
    <w:bookmarkStart w:id="9" w:name="Rubrik"/>
    <w:bookmarkEnd w:id="8"/>
    <w:r>
      <w:rPr>
        <w:sz w:val="24"/>
      </w:rPr>
      <w:t xml:space="preserve">Riksdagens förvaltningskontors förslag om ändring i lagen (1994:1065) om ekonomiska villkor för riksdagens ledamöter och i lagen (1996:304) om arvode m.m. till Sveriges företrädare i Europaparlamentet </w:t>
    </w:r>
    <w:bookmarkEnd w:id="9"/>
    <w:r>
      <w:rPr>
        <w:sz w:val="24"/>
      </w:rPr>
      <w:t xml:space="preserve"> </w:t>
    </w:r>
  </w:p>
  <w:p w:rsidR="00936031" w:rsidRDefault="00936031">
    <w:pPr>
      <w:pStyle w:val="SidhuvudFText"/>
      <w:framePr w:w="6205" w:h="2722" w:hRule="exact" w:hSpace="0" w:wrap="notBeside" w:hAnchor="page" w:x="1135" w:y="568"/>
      <w:spacing w:line="460" w:lineRule="exact"/>
      <w:ind w:right="629"/>
      <w:rPr>
        <w:sz w:val="36"/>
      </w:rPr>
    </w:pPr>
  </w:p>
  <w:p w:rsidR="00936031" w:rsidRDefault="00936031">
    <w:pPr>
      <w:pStyle w:val="SidhuvudFText"/>
      <w:framePr w:w="6205" w:h="2722" w:hRule="exact" w:hSpace="0" w:wrap="notBeside" w:hAnchor="page" w:x="1135" w:y="568"/>
      <w:spacing w:before="40" w:after="900" w:line="300" w:lineRule="exact"/>
      <w:ind w:right="629"/>
      <w:rPr>
        <w:sz w:val="26"/>
      </w:rPr>
    </w:pPr>
    <w:r>
      <w:rPr>
        <w:sz w:val="26"/>
      </w:rPr>
      <w:t xml:space="preserve"> </w:t>
    </w:r>
  </w:p>
  <w:p w:rsidR="00936031" w:rsidRDefault="00936031">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31" w:rsidRDefault="00936031">
    <w:pPr>
      <w:pStyle w:val="SidhuvudKant"/>
      <w:framePr w:hSpace="284" w:wrap="around"/>
      <w:rPr>
        <w:vanish/>
      </w:rPr>
    </w:pPr>
    <w:r>
      <w:rPr>
        <w:vanish/>
        <w:sz w:val="21"/>
      </w:rPr>
      <w:fldChar w:fldCharType="begin" w:fldLock="1"/>
    </w:r>
    <w:r>
      <w:rPr>
        <w:vanish/>
        <w:sz w:val="21"/>
      </w:rPr>
      <w:instrText xml:space="preserve"> GLOSSARY HelaNa</w:instrText>
    </w:r>
    <w:r>
      <w:rPr>
        <w:vanish/>
        <w:sz w:val="21"/>
      </w:rPr>
      <w:instrText>m</w:instrText>
    </w:r>
    <w:r>
      <w:rPr>
        <w:vanish/>
        <w:sz w:val="21"/>
      </w:rPr>
      <w:instrText xml:space="preserve">net \* MERGEFORMAT </w:instrText>
    </w:r>
    <w:r>
      <w:rPr>
        <w:vanish/>
        <w:sz w:val="21"/>
      </w:rPr>
      <w:fldChar w:fldCharType="separate"/>
    </w:r>
    <w:r>
      <w:rPr>
        <w:vanish/>
        <w:sz w:val="21"/>
      </w:rPr>
      <w:t>1998/99:RFK2</w:t>
    </w:r>
    <w:r>
      <w:rPr>
        <w:vanish/>
        <w:sz w:val="21"/>
      </w:rPr>
      <w:fldChar w:fldCharType="end"/>
    </w:r>
  </w:p>
  <w:p w:rsidR="00936031" w:rsidRDefault="00936031">
    <w:pPr>
      <w:pStyle w:val="SidhuvudKant"/>
      <w:framePr w:hSpace="284" w:wrap="around"/>
      <w:rPr>
        <w:vanish/>
      </w:rPr>
    </w:pPr>
    <w:r>
      <w:rPr>
        <w:vanish/>
      </w:rPr>
      <w:t>&gt;B</w:t>
    </w:r>
  </w:p>
  <w:p w:rsidR="00936031" w:rsidRDefault="00936031">
    <w:pPr>
      <w:pStyle w:val="SidhuvudKant"/>
      <w:framePr w:hSpace="284" w:wrap="around"/>
      <w:rPr>
        <w:vanish/>
      </w:rPr>
    </w:pPr>
    <w:r>
      <w:rPr>
        <w:vanish/>
      </w:rPr>
      <w:t>&gt;U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31" w:rsidRDefault="00936031">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1998/99:RFK2</w:t>
    </w:r>
    <w:r>
      <w:rPr>
        <w:sz w:val="21"/>
      </w:rPr>
      <w:fldChar w:fldCharType="end"/>
    </w:r>
  </w:p>
  <w:p w:rsidR="00936031" w:rsidRDefault="00936031">
    <w:pPr>
      <w:pStyle w:val="SidhuvudKant"/>
      <w:framePr w:hSpace="284" w:wrap="around"/>
      <w:rPr>
        <w:vanish/>
      </w:rPr>
    </w:pPr>
    <w:r>
      <w:rPr>
        <w:vanish/>
      </w:rPr>
      <w:t>&gt;B</w:t>
    </w:r>
  </w:p>
  <w:p w:rsidR="00936031" w:rsidRDefault="00936031">
    <w:pPr>
      <w:pStyle w:val="SidhuvudKant"/>
      <w:framePr w:hSpace="284" w:wrap="around"/>
    </w:pPr>
    <w:r>
      <w:rPr>
        <w:vanish/>
      </w:rPr>
      <w:t>&gt;U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RFK2"/>
    <w:docVar w:name="HelaNamnet" w:val="1998/99:RFK2"/>
    <w:docVar w:name="NR" w:val="2"/>
    <w:docVar w:name="RUBRIK" w:val="om ändring i lagen (1994:1065) om ekonomiska villkor för riksdagens leda-möter och i lagen (1996:304) om arvode m.m. till Sveriges företrädare i Europaparlamentet"/>
    <w:docVar w:name="SkapVERSION" w:val="V 4.4u Nät, 951011"/>
    <w:docVar w:name="SkapÅr" w:val="9899"/>
    <w:docVar w:name="Typer" w:val="S"/>
    <w:docVar w:name="USK" w:val="RFK"/>
    <w:docVar w:name="USKKORT" w:val="RFK"/>
    <w:docVar w:name="USKNAMN" w:val="Riksdagens förvaltningskontors"/>
    <w:docVar w:name="USKNAMNG" w:val="riksdagens förvaltningskontors"/>
    <w:docVar w:name="ÅR" w:val="1998/99"/>
  </w:docVars>
  <w:rsids>
    <w:rsidRoot w:val="004653B4"/>
    <w:rsid w:val="004653B4"/>
    <w:rsid w:val="00936031"/>
    <w:rsid w:val="00F050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BE5519-5D40-4E69-BF35-89132889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4191</Words>
  <Characters>24774</Characters>
  <Application>Microsoft Office Word</Application>
  <DocSecurity>4</DocSecurity>
  <Lines>635</Lines>
  <Paragraphs>181</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Riksdagens förvaltningskontors betänkande nr 1</vt:lpstr>
      <vt:lpstr>    </vt:lpstr>
      <vt:lpstr>    </vt:lpstr>
      <vt:lpstr>Till förvaltningsstyrelsen</vt:lpstr>
      <vt:lpstr>    Betänkande från beredningsgruppen</vt:lpstr>
      <vt:lpstr>    Förslagets huvudsakliga innehåll</vt:lpstr>
      <vt:lpstr>1 Förslag till riksdagsbeslut </vt:lpstr>
      <vt:lpstr>2 Lagtext</vt:lpstr>
      <vt:lpstr>    2.1  Förslag till lag om ändring i lagen (1994:1065) om ekonomiska villkor för r</vt:lpstr>
      <vt:lpstr>    2.2 Förslag till lag om ändring i lagen (1996:304) om arvode m.m. till Sveriges</vt:lpstr>
      <vt:lpstr>3  Bakgrund och allmänna överväganden</vt:lpstr>
      <vt:lpstr>4  Överväganden och förslag</vt:lpstr>
      <vt:lpstr>    4.1  Samma bestämmelser för ersättare och riksdagsledamot</vt:lpstr>
      <vt:lpstr>    4.2  Rätt till arvode m.m. sedan uppdraget upphört</vt:lpstr>
      <vt:lpstr>    4.3  Föräldrapenning och tillfällig föräldrapenning </vt:lpstr>
      <vt:lpstr>    4.4 Pensionsgrundande inkomstgaranti</vt:lpstr>
      <vt:lpstr>    4.5  Övriga frågor</vt:lpstr>
      <vt:lpstr>5  Ikraftträdande</vt:lpstr>
    </vt:vector>
  </TitlesOfParts>
  <Company>Sveriges Riksdag</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Riksdagens förvaltningskontors betänkande nr 1</dc:title>
  <dc:subject>Riksdagens förvaltningskontors betänkande nr 1</dc:subject>
  <dc:creator>Riksdagen</dc:creator>
  <cp:keywords>Riksdagen</cp:keywords>
  <dc:description/>
  <cp:lastModifiedBy>Lars Brink</cp:lastModifiedBy>
  <cp:revision>2</cp:revision>
  <cp:lastPrinted>1998-10-20T13:41:00Z</cp:lastPrinted>
  <dcterms:created xsi:type="dcterms:W3CDTF">2025-12-15T20:49:00Z</dcterms:created>
  <dcterms:modified xsi:type="dcterms:W3CDTF">2025-12-15T20:49:00Z</dcterms:modified>
</cp:coreProperties>
</file>