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005077" w14:paraId="2C217F7C" w14:textId="77777777">
        <w:tc>
          <w:tcPr>
            <w:tcW w:w="2268" w:type="dxa"/>
          </w:tcPr>
          <w:p w14:paraId="60418054" w14:textId="488E8CF7" w:rsidR="006E4E11" w:rsidRPr="00005077" w:rsidRDefault="006E4E11" w:rsidP="00E36947">
            <w:pPr>
              <w:framePr w:w="5035" w:h="1644" w:wrap="notBeside" w:vAnchor="page" w:hAnchor="page" w:x="6573" w:y="721"/>
              <w:spacing w:line="240" w:lineRule="auto"/>
              <w:rPr>
                <w:rFonts w:ascii="TradeGothic" w:hAnsi="TradeGothic"/>
                <w:i/>
                <w:sz w:val="18"/>
              </w:rPr>
            </w:pPr>
          </w:p>
        </w:tc>
        <w:tc>
          <w:tcPr>
            <w:tcW w:w="2999" w:type="dxa"/>
            <w:gridSpan w:val="2"/>
          </w:tcPr>
          <w:p w14:paraId="4BE505EF" w14:textId="710CEC86" w:rsidR="006E4E11" w:rsidRPr="00005077" w:rsidRDefault="006E4E11" w:rsidP="00E36947">
            <w:pPr>
              <w:framePr w:w="5035" w:h="1644" w:wrap="notBeside" w:vAnchor="page" w:hAnchor="page" w:x="6573" w:y="721"/>
              <w:spacing w:line="240" w:lineRule="auto"/>
              <w:rPr>
                <w:rFonts w:ascii="TradeGothic" w:hAnsi="TradeGothic"/>
                <w:i/>
                <w:sz w:val="18"/>
              </w:rPr>
            </w:pPr>
          </w:p>
        </w:tc>
      </w:tr>
      <w:tr w:rsidR="006E4E11" w:rsidRPr="00005077" w14:paraId="68C37042" w14:textId="77777777">
        <w:tc>
          <w:tcPr>
            <w:tcW w:w="2268" w:type="dxa"/>
          </w:tcPr>
          <w:p w14:paraId="1C2493D6" w14:textId="7BC8568E" w:rsidR="006E4E11" w:rsidRPr="00005077" w:rsidRDefault="00005077" w:rsidP="00E36947">
            <w:pPr>
              <w:framePr w:w="5035" w:h="1644" w:wrap="notBeside" w:vAnchor="page" w:hAnchor="page" w:x="6573" w:y="721"/>
              <w:spacing w:line="240" w:lineRule="auto"/>
              <w:rPr>
                <w:rFonts w:ascii="TradeGothic" w:hAnsi="TradeGothic"/>
                <w:b/>
                <w:sz w:val="22"/>
              </w:rPr>
            </w:pPr>
            <w:r>
              <w:rPr>
                <w:rFonts w:ascii="TradeGothic" w:hAnsi="TradeGothic"/>
                <w:b/>
                <w:sz w:val="22"/>
              </w:rPr>
              <w:t>Annotering</w:t>
            </w:r>
            <w:r w:rsidRPr="00005077">
              <w:rPr>
                <w:rFonts w:ascii="TradeGothic" w:hAnsi="TradeGothic"/>
                <w:b/>
                <w:sz w:val="22"/>
              </w:rPr>
              <w:t xml:space="preserve"> </w:t>
            </w:r>
          </w:p>
        </w:tc>
        <w:tc>
          <w:tcPr>
            <w:tcW w:w="2999" w:type="dxa"/>
            <w:gridSpan w:val="2"/>
          </w:tcPr>
          <w:p w14:paraId="42483FC6" w14:textId="1479EEDA" w:rsidR="006E4E11" w:rsidRPr="00005077" w:rsidRDefault="006E4E11" w:rsidP="00E36947">
            <w:pPr>
              <w:framePr w:w="5035" w:h="1644" w:wrap="notBeside" w:vAnchor="page" w:hAnchor="page" w:x="6573" w:y="721"/>
              <w:spacing w:line="240" w:lineRule="auto"/>
              <w:rPr>
                <w:rFonts w:ascii="TradeGothic" w:hAnsi="TradeGothic"/>
                <w:b/>
                <w:sz w:val="22"/>
              </w:rPr>
            </w:pPr>
          </w:p>
        </w:tc>
      </w:tr>
      <w:tr w:rsidR="006E4E11" w:rsidRPr="00005077" w14:paraId="6C0683B9" w14:textId="77777777">
        <w:tc>
          <w:tcPr>
            <w:tcW w:w="3402" w:type="dxa"/>
            <w:gridSpan w:val="2"/>
          </w:tcPr>
          <w:p w14:paraId="2CB6924F" w14:textId="77777777" w:rsidR="006E4E11" w:rsidRPr="00005077" w:rsidRDefault="006E4E11" w:rsidP="00E36947">
            <w:pPr>
              <w:framePr w:w="5035" w:h="1644" w:wrap="notBeside" w:vAnchor="page" w:hAnchor="page" w:x="6573" w:y="721"/>
              <w:spacing w:line="240" w:lineRule="auto"/>
            </w:pPr>
          </w:p>
        </w:tc>
        <w:tc>
          <w:tcPr>
            <w:tcW w:w="1865" w:type="dxa"/>
          </w:tcPr>
          <w:p w14:paraId="73179D9D" w14:textId="5092E89D" w:rsidR="006E4E11" w:rsidRPr="00005077" w:rsidRDefault="006E4E11" w:rsidP="00E36947">
            <w:pPr>
              <w:framePr w:w="5035" w:h="1644" w:wrap="notBeside" w:vAnchor="page" w:hAnchor="page" w:x="6573" w:y="721"/>
              <w:spacing w:line="240" w:lineRule="auto"/>
            </w:pPr>
          </w:p>
        </w:tc>
      </w:tr>
      <w:tr w:rsidR="006E4E11" w:rsidRPr="00005077" w14:paraId="2A7F42CD" w14:textId="77777777">
        <w:tc>
          <w:tcPr>
            <w:tcW w:w="2268" w:type="dxa"/>
          </w:tcPr>
          <w:p w14:paraId="50F83B6E" w14:textId="68A01DC9" w:rsidR="006E4E11" w:rsidRPr="00005077" w:rsidRDefault="003B75CB" w:rsidP="00E36947">
            <w:pPr>
              <w:framePr w:w="5035" w:h="1644" w:wrap="notBeside" w:vAnchor="page" w:hAnchor="page" w:x="6573" w:y="721"/>
              <w:spacing w:line="240" w:lineRule="auto"/>
            </w:pPr>
            <w:r>
              <w:t>2016-01-08</w:t>
            </w:r>
          </w:p>
        </w:tc>
        <w:tc>
          <w:tcPr>
            <w:tcW w:w="2999" w:type="dxa"/>
            <w:gridSpan w:val="2"/>
          </w:tcPr>
          <w:p w14:paraId="5E0CC21A" w14:textId="4BB4442F" w:rsidR="006E4E11" w:rsidRPr="00005077" w:rsidRDefault="006E4E11" w:rsidP="00E36947">
            <w:pPr>
              <w:framePr w:w="5035" w:h="1644" w:wrap="notBeside" w:vAnchor="page" w:hAnchor="page" w:x="6573" w:y="721"/>
              <w:spacing w:line="240" w:lineRule="auto"/>
              <w:rPr>
                <w:sz w:val="20"/>
              </w:rPr>
            </w:pPr>
          </w:p>
        </w:tc>
      </w:tr>
      <w:tr w:rsidR="006E4E11" w:rsidRPr="00005077" w14:paraId="55712BC7" w14:textId="77777777">
        <w:tc>
          <w:tcPr>
            <w:tcW w:w="2268" w:type="dxa"/>
          </w:tcPr>
          <w:p w14:paraId="6F3286C4" w14:textId="77777777" w:rsidR="006E4E11" w:rsidRPr="00005077" w:rsidRDefault="006E4E11" w:rsidP="00E36947">
            <w:pPr>
              <w:framePr w:w="5035" w:h="1644" w:wrap="notBeside" w:vAnchor="page" w:hAnchor="page" w:x="6573" w:y="721"/>
              <w:spacing w:line="240" w:lineRule="auto"/>
            </w:pPr>
          </w:p>
        </w:tc>
        <w:tc>
          <w:tcPr>
            <w:tcW w:w="2999" w:type="dxa"/>
            <w:gridSpan w:val="2"/>
          </w:tcPr>
          <w:p w14:paraId="0068F44F" w14:textId="51286925" w:rsidR="006E4E11" w:rsidRPr="00005077" w:rsidRDefault="006E4E11" w:rsidP="00E36947">
            <w:pPr>
              <w:framePr w:w="5035" w:h="1644" w:wrap="notBeside" w:vAnchor="page" w:hAnchor="page" w:x="6573" w:y="721"/>
              <w:spacing w:line="240" w:lineRule="auto"/>
            </w:pPr>
          </w:p>
        </w:tc>
      </w:tr>
    </w:tbl>
    <w:p w14:paraId="71A94A28" w14:textId="77777777" w:rsidR="001E746F" w:rsidRPr="001E746F" w:rsidRDefault="001E746F" w:rsidP="00E36947">
      <w:pPr>
        <w:spacing w:line="240" w:lineRule="auto"/>
        <w:rPr>
          <w:vanish/>
        </w:rPr>
      </w:pPr>
    </w:p>
    <w:tbl>
      <w:tblPr>
        <w:tblW w:w="0" w:type="auto"/>
        <w:tblLayout w:type="fixed"/>
        <w:tblLook w:val="0000" w:firstRow="0" w:lastRow="0" w:firstColumn="0" w:lastColumn="0" w:noHBand="0" w:noVBand="0"/>
      </w:tblPr>
      <w:tblGrid>
        <w:gridCol w:w="4911"/>
      </w:tblGrid>
      <w:tr w:rsidR="006E4E11" w:rsidRPr="00005077" w14:paraId="312B2B3C" w14:textId="77777777">
        <w:trPr>
          <w:trHeight w:val="284"/>
        </w:trPr>
        <w:tc>
          <w:tcPr>
            <w:tcW w:w="4911" w:type="dxa"/>
          </w:tcPr>
          <w:p w14:paraId="068ED918" w14:textId="77777777" w:rsidR="006E4E11" w:rsidRPr="00005077" w:rsidRDefault="00005077" w:rsidP="00E36947">
            <w:pPr>
              <w:pStyle w:val="Avsndare"/>
              <w:framePr w:h="2483" w:wrap="notBeside" w:x="1504"/>
              <w:spacing w:line="240" w:lineRule="auto"/>
              <w:rPr>
                <w:b/>
                <w:i w:val="0"/>
                <w:sz w:val="22"/>
              </w:rPr>
            </w:pPr>
            <w:r>
              <w:rPr>
                <w:b/>
                <w:i w:val="0"/>
                <w:sz w:val="22"/>
              </w:rPr>
              <w:t>Finansdepartementet</w:t>
            </w:r>
          </w:p>
        </w:tc>
      </w:tr>
      <w:tr w:rsidR="006E4E11" w:rsidRPr="00005077" w14:paraId="3F5CF47B" w14:textId="77777777">
        <w:trPr>
          <w:trHeight w:val="284"/>
        </w:trPr>
        <w:tc>
          <w:tcPr>
            <w:tcW w:w="4911" w:type="dxa"/>
          </w:tcPr>
          <w:p w14:paraId="60267B81" w14:textId="77777777" w:rsidR="006E4E11" w:rsidRPr="00005077" w:rsidRDefault="006E4E11" w:rsidP="00E36947">
            <w:pPr>
              <w:pStyle w:val="Avsndare"/>
              <w:framePr w:h="2483" w:wrap="notBeside" w:x="1504"/>
              <w:spacing w:line="240" w:lineRule="auto"/>
              <w:rPr>
                <w:bCs/>
                <w:iCs/>
              </w:rPr>
            </w:pPr>
          </w:p>
        </w:tc>
      </w:tr>
      <w:tr w:rsidR="006E4E11" w:rsidRPr="00005077" w14:paraId="065641F8" w14:textId="77777777">
        <w:trPr>
          <w:trHeight w:val="284"/>
        </w:trPr>
        <w:tc>
          <w:tcPr>
            <w:tcW w:w="4911" w:type="dxa"/>
          </w:tcPr>
          <w:p w14:paraId="6C1BECBF" w14:textId="77777777" w:rsidR="006E4E11" w:rsidRPr="00005077" w:rsidRDefault="006E4E11" w:rsidP="00E36947">
            <w:pPr>
              <w:pStyle w:val="Avsndare"/>
              <w:framePr w:h="2483" w:wrap="notBeside" w:x="1504"/>
              <w:spacing w:line="240" w:lineRule="auto"/>
              <w:rPr>
                <w:bCs/>
                <w:iCs/>
              </w:rPr>
            </w:pPr>
          </w:p>
        </w:tc>
      </w:tr>
      <w:tr w:rsidR="006E4E11" w:rsidRPr="00005077" w14:paraId="07DB5AB3" w14:textId="77777777">
        <w:trPr>
          <w:trHeight w:val="284"/>
        </w:trPr>
        <w:tc>
          <w:tcPr>
            <w:tcW w:w="4911" w:type="dxa"/>
          </w:tcPr>
          <w:p w14:paraId="362D6DD5" w14:textId="77777777" w:rsidR="006E4E11" w:rsidRPr="00005077" w:rsidRDefault="006E4E11" w:rsidP="00E36947">
            <w:pPr>
              <w:pStyle w:val="Avsndare"/>
              <w:framePr w:h="2483" w:wrap="notBeside" w:x="1504"/>
              <w:spacing w:line="240" w:lineRule="auto"/>
              <w:rPr>
                <w:bCs/>
                <w:iCs/>
              </w:rPr>
            </w:pPr>
          </w:p>
        </w:tc>
      </w:tr>
      <w:tr w:rsidR="006E4E11" w:rsidRPr="00005077" w14:paraId="1A7B6DFC" w14:textId="77777777">
        <w:trPr>
          <w:trHeight w:val="284"/>
        </w:trPr>
        <w:tc>
          <w:tcPr>
            <w:tcW w:w="4911" w:type="dxa"/>
          </w:tcPr>
          <w:p w14:paraId="05334219" w14:textId="5C4D2AFA" w:rsidR="006E4E11" w:rsidRPr="00005077" w:rsidRDefault="006E4E11" w:rsidP="00E36947">
            <w:pPr>
              <w:pStyle w:val="Avsndare"/>
              <w:framePr w:h="2483" w:wrap="notBeside" w:x="1504"/>
              <w:spacing w:line="240" w:lineRule="auto"/>
              <w:rPr>
                <w:bCs/>
                <w:iCs/>
              </w:rPr>
            </w:pPr>
          </w:p>
        </w:tc>
      </w:tr>
      <w:tr w:rsidR="006E4E11" w:rsidRPr="00005077" w14:paraId="38CD3813" w14:textId="77777777">
        <w:trPr>
          <w:trHeight w:val="284"/>
        </w:trPr>
        <w:tc>
          <w:tcPr>
            <w:tcW w:w="4911" w:type="dxa"/>
          </w:tcPr>
          <w:p w14:paraId="0C37192B" w14:textId="77777777" w:rsidR="006E4E11" w:rsidRPr="00005077" w:rsidRDefault="006E4E11" w:rsidP="00E36947">
            <w:pPr>
              <w:pStyle w:val="Avsndare"/>
              <w:framePr w:h="2483" w:wrap="notBeside" w:x="1504"/>
              <w:spacing w:line="240" w:lineRule="auto"/>
              <w:rPr>
                <w:bCs/>
                <w:iCs/>
              </w:rPr>
            </w:pPr>
          </w:p>
        </w:tc>
      </w:tr>
      <w:tr w:rsidR="00005077" w:rsidRPr="00005077" w14:paraId="27157475" w14:textId="77777777">
        <w:trPr>
          <w:trHeight w:val="284"/>
        </w:trPr>
        <w:tc>
          <w:tcPr>
            <w:tcW w:w="4911" w:type="dxa"/>
          </w:tcPr>
          <w:p w14:paraId="33ED063F" w14:textId="77777777" w:rsidR="00005077" w:rsidRPr="00005077" w:rsidRDefault="00005077" w:rsidP="00E36947">
            <w:pPr>
              <w:pStyle w:val="Avsndare"/>
              <w:framePr w:h="2483" w:wrap="notBeside" w:x="1504"/>
              <w:spacing w:line="240" w:lineRule="auto"/>
              <w:rPr>
                <w:bCs/>
                <w:iCs/>
              </w:rPr>
            </w:pPr>
          </w:p>
        </w:tc>
      </w:tr>
    </w:tbl>
    <w:p w14:paraId="7D21709C" w14:textId="77777777" w:rsidR="00005077" w:rsidRDefault="00005077" w:rsidP="00E36947">
      <w:pPr>
        <w:framePr w:w="4400" w:h="2523" w:wrap="notBeside" w:vAnchor="page" w:hAnchor="page" w:x="6453" w:y="2445"/>
        <w:spacing w:line="240" w:lineRule="auto"/>
        <w:ind w:left="142"/>
      </w:pPr>
    </w:p>
    <w:p w14:paraId="06EA1526" w14:textId="77777777" w:rsidR="00005077" w:rsidRDefault="00005077" w:rsidP="00E36947">
      <w:pPr>
        <w:framePr w:w="4400" w:h="2523" w:wrap="notBeside" w:vAnchor="page" w:hAnchor="page" w:x="6453" w:y="2445"/>
        <w:spacing w:line="240" w:lineRule="auto"/>
        <w:ind w:left="142"/>
      </w:pPr>
    </w:p>
    <w:p w14:paraId="5D3A0BAC" w14:textId="77777777" w:rsidR="00005077" w:rsidRDefault="00005077" w:rsidP="00E36947">
      <w:pPr>
        <w:framePr w:w="4400" w:h="2523" w:wrap="notBeside" w:vAnchor="page" w:hAnchor="page" w:x="6453" w:y="2445"/>
        <w:spacing w:line="240" w:lineRule="auto"/>
        <w:ind w:left="142"/>
      </w:pPr>
      <w:r>
        <w:t xml:space="preserve">Ekofinrådets möte den </w:t>
      </w:r>
    </w:p>
    <w:p w14:paraId="16DEC085" w14:textId="5B159CBB" w:rsidR="006E4E11" w:rsidRPr="00005077" w:rsidRDefault="003B75CB" w:rsidP="00E36947">
      <w:pPr>
        <w:framePr w:w="4400" w:h="2523" w:wrap="notBeside" w:vAnchor="page" w:hAnchor="page" w:x="6453" w:y="2445"/>
        <w:spacing w:line="240" w:lineRule="auto"/>
        <w:ind w:left="142"/>
      </w:pPr>
      <w:r>
        <w:t xml:space="preserve">15 januari </w:t>
      </w:r>
      <w:r w:rsidR="0037223E">
        <w:t>201</w:t>
      </w:r>
      <w:r>
        <w:t>6</w:t>
      </w:r>
      <w:r w:rsidR="00175FCE">
        <w:t xml:space="preserve"> i </w:t>
      </w:r>
      <w:r w:rsidR="00A01FE8">
        <w:t>Bryssel</w:t>
      </w:r>
    </w:p>
    <w:p w14:paraId="7A8C6B88" w14:textId="790E311E" w:rsidR="006E4E11" w:rsidRPr="00005077" w:rsidRDefault="00005077" w:rsidP="00E36947">
      <w:pPr>
        <w:pStyle w:val="RKrubrik"/>
        <w:pBdr>
          <w:bottom w:val="single" w:sz="4" w:space="1" w:color="000000"/>
        </w:pBdr>
        <w:spacing w:before="0" w:after="0" w:line="240" w:lineRule="auto"/>
      </w:pPr>
      <w:bookmarkStart w:id="0" w:name="_GoBack"/>
      <w:bookmarkEnd w:id="0"/>
      <w:r>
        <w:t>Kommenterad dagordning</w:t>
      </w:r>
    </w:p>
    <w:p w14:paraId="7806299A" w14:textId="71BE8D66" w:rsidR="006E4E11" w:rsidRPr="00005077" w:rsidRDefault="00005077" w:rsidP="00E36947">
      <w:pPr>
        <w:pStyle w:val="RKnormal"/>
        <w:spacing w:line="240" w:lineRule="auto"/>
        <w:rPr>
          <w:sz w:val="20"/>
        </w:rPr>
      </w:pPr>
      <w:r>
        <w:rPr>
          <w:sz w:val="20"/>
        </w:rPr>
        <w:t>- enligt den preliminära dagordning som framkom</w:t>
      </w:r>
      <w:r w:rsidR="00347F48">
        <w:rPr>
          <w:sz w:val="20"/>
        </w:rPr>
        <w:t xml:space="preserve"> </w:t>
      </w:r>
      <w:r w:rsidR="00020BA0">
        <w:rPr>
          <w:sz w:val="20"/>
        </w:rPr>
        <w:t>den</w:t>
      </w:r>
      <w:r w:rsidR="003B75CB">
        <w:rPr>
          <w:sz w:val="20"/>
        </w:rPr>
        <w:t xml:space="preserve"> </w:t>
      </w:r>
      <w:r w:rsidR="00091FE6">
        <w:rPr>
          <w:sz w:val="20"/>
        </w:rPr>
        <w:t>22</w:t>
      </w:r>
      <w:r w:rsidR="00BB3385">
        <w:rPr>
          <w:sz w:val="20"/>
        </w:rPr>
        <w:t xml:space="preserve"> december 2015. </w:t>
      </w:r>
    </w:p>
    <w:p w14:paraId="1F76FA0D" w14:textId="77777777" w:rsidR="00693D83" w:rsidRDefault="00693D83" w:rsidP="00E36947">
      <w:pPr>
        <w:pStyle w:val="RKnormal"/>
        <w:spacing w:line="240" w:lineRule="auto"/>
      </w:pPr>
    </w:p>
    <w:p w14:paraId="32637700" w14:textId="1C892DF8" w:rsidR="004370D3" w:rsidRPr="00693D83" w:rsidRDefault="004A6F84" w:rsidP="00D66637">
      <w:pPr>
        <w:pStyle w:val="Liststycke"/>
        <w:numPr>
          <w:ilvl w:val="0"/>
          <w:numId w:val="1"/>
        </w:numPr>
        <w:tabs>
          <w:tab w:val="left" w:pos="0"/>
        </w:tabs>
        <w:overflowPunct/>
        <w:spacing w:line="240" w:lineRule="auto"/>
        <w:textAlignment w:val="auto"/>
        <w:rPr>
          <w:rFonts w:cs="OrigGarmnd BT"/>
          <w:b/>
          <w:bCs/>
          <w:color w:val="000000"/>
          <w:szCs w:val="24"/>
          <w:lang w:eastAsia="sv-SE"/>
        </w:rPr>
      </w:pPr>
      <w:r>
        <w:rPr>
          <w:rFonts w:cs="OrigGarmnd BT"/>
          <w:b/>
          <w:bCs/>
          <w:color w:val="000000"/>
          <w:szCs w:val="24"/>
          <w:lang w:eastAsia="sv-SE"/>
        </w:rPr>
        <w:t xml:space="preserve">Godkännande av </w:t>
      </w:r>
      <w:r w:rsidR="00A01FE8">
        <w:rPr>
          <w:rFonts w:cs="OrigGarmnd BT"/>
          <w:b/>
          <w:bCs/>
          <w:color w:val="000000"/>
          <w:szCs w:val="24"/>
          <w:lang w:eastAsia="sv-SE"/>
        </w:rPr>
        <w:t xml:space="preserve">den preliminära </w:t>
      </w:r>
      <w:r w:rsidR="004370D3" w:rsidRPr="00693D83">
        <w:rPr>
          <w:rFonts w:cs="OrigGarmnd BT"/>
          <w:b/>
          <w:bCs/>
          <w:color w:val="000000"/>
          <w:szCs w:val="24"/>
          <w:lang w:eastAsia="sv-SE"/>
        </w:rPr>
        <w:t>dagordningen</w:t>
      </w:r>
    </w:p>
    <w:p w14:paraId="2CD91045" w14:textId="4B963FBF" w:rsidR="004370D3" w:rsidRPr="00386A23" w:rsidRDefault="004370D3" w:rsidP="00D66637">
      <w:pPr>
        <w:pStyle w:val="Rubrik3"/>
        <w:spacing w:line="240" w:lineRule="auto"/>
        <w:rPr>
          <w:rStyle w:val="Stark"/>
          <w:u w:val="single"/>
        </w:rPr>
      </w:pPr>
      <w:r w:rsidRPr="00386A23">
        <w:rPr>
          <w:rStyle w:val="Stark"/>
          <w:u w:val="single"/>
        </w:rPr>
        <w:t>Lagstift</w:t>
      </w:r>
      <w:r w:rsidR="007334D3">
        <w:rPr>
          <w:rStyle w:val="Stark"/>
          <w:u w:val="single"/>
        </w:rPr>
        <w:t>ningsöverläggningar</w:t>
      </w:r>
    </w:p>
    <w:p w14:paraId="1E51F5AB" w14:textId="77777777" w:rsidR="004370D3" w:rsidRPr="004370D3" w:rsidRDefault="004370D3" w:rsidP="00D66637">
      <w:pPr>
        <w:overflowPunct/>
        <w:autoSpaceDE/>
        <w:autoSpaceDN/>
        <w:adjustRightInd/>
        <w:spacing w:line="240" w:lineRule="auto"/>
        <w:textAlignment w:val="auto"/>
        <w:rPr>
          <w:rFonts w:ascii="Times New Roman" w:hAnsi="Times New Roman"/>
          <w:szCs w:val="24"/>
        </w:rPr>
      </w:pPr>
    </w:p>
    <w:p w14:paraId="494A695A" w14:textId="373C843D" w:rsidR="004370D3" w:rsidRDefault="004370D3" w:rsidP="00D66637">
      <w:pPr>
        <w:pStyle w:val="Liststycke"/>
        <w:numPr>
          <w:ilvl w:val="0"/>
          <w:numId w:val="1"/>
        </w:numPr>
        <w:tabs>
          <w:tab w:val="left" w:pos="0"/>
        </w:tabs>
        <w:overflowPunct/>
        <w:spacing w:line="240" w:lineRule="auto"/>
        <w:textAlignment w:val="auto"/>
        <w:rPr>
          <w:rFonts w:cs="OrigGarmnd BT"/>
          <w:b/>
          <w:bCs/>
          <w:color w:val="000000"/>
          <w:szCs w:val="24"/>
          <w:lang w:eastAsia="sv-SE"/>
        </w:rPr>
      </w:pPr>
      <w:r w:rsidRPr="00693D83">
        <w:rPr>
          <w:rFonts w:cs="OrigGarmnd BT"/>
          <w:b/>
          <w:bCs/>
          <w:color w:val="000000"/>
          <w:szCs w:val="24"/>
          <w:lang w:eastAsia="sv-SE"/>
        </w:rPr>
        <w:t>Godkännande av A-punktslistan</w:t>
      </w:r>
    </w:p>
    <w:p w14:paraId="48C1DD6E" w14:textId="77777777" w:rsidR="00827033" w:rsidRDefault="00827033" w:rsidP="00D66637">
      <w:pPr>
        <w:pStyle w:val="Liststycke"/>
        <w:tabs>
          <w:tab w:val="left" w:pos="0"/>
        </w:tabs>
        <w:overflowPunct/>
        <w:spacing w:line="240" w:lineRule="auto"/>
        <w:ind w:left="360"/>
        <w:textAlignment w:val="auto"/>
        <w:rPr>
          <w:rFonts w:cs="OrigGarmnd BT"/>
          <w:b/>
          <w:bCs/>
          <w:color w:val="000000"/>
          <w:szCs w:val="24"/>
          <w:lang w:eastAsia="sv-SE"/>
        </w:rPr>
      </w:pPr>
    </w:p>
    <w:p w14:paraId="45372D81" w14:textId="77777777" w:rsidR="00DA05B6" w:rsidRDefault="004370D3" w:rsidP="00D66637">
      <w:pPr>
        <w:pStyle w:val="Liststycke"/>
        <w:numPr>
          <w:ilvl w:val="0"/>
          <w:numId w:val="1"/>
        </w:numPr>
        <w:overflowPunct/>
        <w:autoSpaceDE/>
        <w:autoSpaceDN/>
        <w:adjustRightInd/>
        <w:spacing w:before="480" w:line="240" w:lineRule="auto"/>
        <w:textAlignment w:val="auto"/>
        <w:rPr>
          <w:rFonts w:cs="OrigGarmnd BT"/>
          <w:b/>
          <w:bCs/>
          <w:color w:val="000000"/>
          <w:szCs w:val="24"/>
          <w:lang w:eastAsia="sv-SE"/>
        </w:rPr>
      </w:pPr>
      <w:r w:rsidRPr="001C0E54">
        <w:rPr>
          <w:rFonts w:cs="OrigGarmnd BT"/>
          <w:b/>
          <w:bCs/>
          <w:color w:val="000000"/>
          <w:szCs w:val="24"/>
          <w:lang w:eastAsia="sv-SE"/>
        </w:rPr>
        <w:t>Övriga frågor</w:t>
      </w:r>
      <w:r w:rsidR="00C55805">
        <w:rPr>
          <w:rFonts w:cs="OrigGarmnd BT"/>
          <w:b/>
          <w:bCs/>
          <w:color w:val="000000"/>
          <w:szCs w:val="24"/>
          <w:lang w:eastAsia="sv-SE"/>
        </w:rPr>
        <w:t xml:space="preserve"> </w:t>
      </w:r>
    </w:p>
    <w:p w14:paraId="7CFFB0E2" w14:textId="77777777" w:rsidR="00B94943" w:rsidRDefault="00B94943" w:rsidP="00D66637">
      <w:pPr>
        <w:pStyle w:val="Liststycke"/>
        <w:overflowPunct/>
        <w:autoSpaceDE/>
        <w:autoSpaceDN/>
        <w:adjustRightInd/>
        <w:spacing w:before="480" w:line="240" w:lineRule="auto"/>
        <w:ind w:left="360"/>
        <w:textAlignment w:val="auto"/>
        <w:rPr>
          <w:rFonts w:cs="OrigGarmnd BT"/>
          <w:b/>
          <w:bCs/>
          <w:color w:val="000000"/>
          <w:szCs w:val="24"/>
          <w:lang w:eastAsia="sv-SE"/>
        </w:rPr>
      </w:pPr>
    </w:p>
    <w:p w14:paraId="70EBEF09" w14:textId="7831CF46" w:rsidR="00005077" w:rsidRDefault="00DA05B6" w:rsidP="00D66637">
      <w:pPr>
        <w:pStyle w:val="Liststycke"/>
        <w:overflowPunct/>
        <w:autoSpaceDE/>
        <w:autoSpaceDN/>
        <w:adjustRightInd/>
        <w:spacing w:before="480" w:line="240" w:lineRule="auto"/>
        <w:ind w:left="360"/>
        <w:textAlignment w:val="auto"/>
        <w:rPr>
          <w:rFonts w:cs="OrigGarmnd BT"/>
          <w:b/>
          <w:bCs/>
          <w:color w:val="000000"/>
          <w:szCs w:val="24"/>
          <w:lang w:eastAsia="sv-SE"/>
        </w:rPr>
      </w:pPr>
      <w:r w:rsidRPr="00DA05B6">
        <w:rPr>
          <w:rFonts w:cs="OrigGarmnd BT"/>
          <w:b/>
          <w:bCs/>
          <w:color w:val="000000"/>
          <w:szCs w:val="24"/>
          <w:lang w:eastAsia="sv-SE"/>
        </w:rPr>
        <w:t xml:space="preserve">Aktuella </w:t>
      </w:r>
      <w:r w:rsidR="00C55805" w:rsidRPr="00DA05B6">
        <w:rPr>
          <w:rFonts w:cs="OrigGarmnd BT"/>
          <w:b/>
          <w:bCs/>
          <w:color w:val="000000"/>
          <w:szCs w:val="24"/>
          <w:lang w:eastAsia="sv-SE"/>
        </w:rPr>
        <w:t xml:space="preserve">lagstiftningsförslag </w:t>
      </w:r>
    </w:p>
    <w:p w14:paraId="2B6528B7" w14:textId="630C09E0" w:rsidR="00DA05B6" w:rsidRDefault="00DA05B6" w:rsidP="00D66637">
      <w:pPr>
        <w:pStyle w:val="Liststycke"/>
        <w:numPr>
          <w:ilvl w:val="0"/>
          <w:numId w:val="12"/>
        </w:numPr>
        <w:tabs>
          <w:tab w:val="left" w:pos="0"/>
        </w:tabs>
        <w:overflowPunct/>
        <w:spacing w:line="240" w:lineRule="auto"/>
        <w:textAlignment w:val="auto"/>
        <w:rPr>
          <w:rFonts w:cs="OrigGarmnd BT"/>
          <w:bCs/>
          <w:color w:val="000000"/>
          <w:szCs w:val="24"/>
          <w:lang w:eastAsia="sv-SE"/>
        </w:rPr>
      </w:pPr>
      <w:r>
        <w:rPr>
          <w:rFonts w:cs="OrigGarmnd BT"/>
          <w:bCs/>
          <w:color w:val="000000"/>
          <w:szCs w:val="24"/>
          <w:lang w:eastAsia="sv-SE"/>
        </w:rPr>
        <w:t xml:space="preserve">Informationspunkt </w:t>
      </w:r>
    </w:p>
    <w:p w14:paraId="79B4CD95" w14:textId="3F52D131" w:rsidR="00AA445E" w:rsidRDefault="00AA445E" w:rsidP="00D66637">
      <w:pPr>
        <w:tabs>
          <w:tab w:val="left" w:pos="0"/>
        </w:tabs>
        <w:overflowPunct/>
        <w:spacing w:line="240" w:lineRule="auto"/>
        <w:textAlignment w:val="auto"/>
        <w:rPr>
          <w:lang w:eastAsia="sv-SE"/>
        </w:rPr>
      </w:pPr>
    </w:p>
    <w:p w14:paraId="598563F4" w14:textId="77777777" w:rsidR="0013114C" w:rsidRDefault="0013114C" w:rsidP="0013114C">
      <w:pPr>
        <w:pStyle w:val="RKnormal"/>
        <w:spacing w:line="240" w:lineRule="auto"/>
      </w:pPr>
      <w:r w:rsidRPr="00B34F80">
        <w:t>Ordförandeskapet har</w:t>
      </w:r>
      <w:r>
        <w:t xml:space="preserve"> ännu inte meddelat vad de avser ta upp under denna dagordningspunkt.</w:t>
      </w:r>
    </w:p>
    <w:p w14:paraId="22AFC9C2" w14:textId="0600CD0C" w:rsidR="00BB64EC" w:rsidRPr="00B34F80" w:rsidRDefault="00BB64EC" w:rsidP="00D66637">
      <w:pPr>
        <w:pStyle w:val="RKnormal"/>
        <w:spacing w:line="240" w:lineRule="auto"/>
      </w:pPr>
    </w:p>
    <w:p w14:paraId="509F2812" w14:textId="308C836A" w:rsidR="00B94943" w:rsidRPr="00B34F80" w:rsidRDefault="00B94943" w:rsidP="00D66637">
      <w:pPr>
        <w:pStyle w:val="Rubrik3"/>
        <w:spacing w:line="240" w:lineRule="auto"/>
        <w:rPr>
          <w:rStyle w:val="Stark"/>
          <w:bCs w:val="0"/>
          <w:u w:val="single"/>
        </w:rPr>
      </w:pPr>
      <w:r w:rsidRPr="00B34F80">
        <w:rPr>
          <w:rStyle w:val="Stark"/>
          <w:u w:val="single"/>
        </w:rPr>
        <w:t xml:space="preserve">Icke lagstiftande verksamhet </w:t>
      </w:r>
    </w:p>
    <w:p w14:paraId="3699590D" w14:textId="77777777" w:rsidR="00C55805" w:rsidRPr="00B34F80" w:rsidRDefault="00C55805" w:rsidP="00D66637">
      <w:pPr>
        <w:pStyle w:val="Liststycke"/>
        <w:spacing w:line="240" w:lineRule="auto"/>
        <w:rPr>
          <w:rFonts w:cs="OrigGarmnd BT"/>
          <w:b/>
          <w:bCs/>
          <w:color w:val="000000"/>
          <w:szCs w:val="24"/>
          <w:lang w:eastAsia="sv-SE"/>
        </w:rPr>
      </w:pPr>
    </w:p>
    <w:p w14:paraId="765AFC22" w14:textId="749821AC" w:rsidR="00DA05B6" w:rsidRPr="00B34F80" w:rsidRDefault="00C55805" w:rsidP="00D66637">
      <w:pPr>
        <w:pStyle w:val="Liststycke"/>
        <w:numPr>
          <w:ilvl w:val="0"/>
          <w:numId w:val="1"/>
        </w:numPr>
        <w:tabs>
          <w:tab w:val="left" w:pos="0"/>
        </w:tabs>
        <w:overflowPunct/>
        <w:spacing w:line="240" w:lineRule="auto"/>
        <w:textAlignment w:val="auto"/>
        <w:rPr>
          <w:rFonts w:cs="OrigGarmnd BT"/>
          <w:b/>
          <w:bCs/>
          <w:color w:val="000000"/>
          <w:szCs w:val="24"/>
          <w:lang w:eastAsia="sv-SE"/>
        </w:rPr>
      </w:pPr>
      <w:r w:rsidRPr="00B34F80">
        <w:rPr>
          <w:rFonts w:cs="OrigGarmnd BT"/>
          <w:b/>
          <w:bCs/>
          <w:color w:val="000000"/>
          <w:szCs w:val="24"/>
          <w:lang w:eastAsia="sv-SE"/>
        </w:rPr>
        <w:t>Godkännande av A-punktslistan</w:t>
      </w:r>
    </w:p>
    <w:p w14:paraId="615C0702" w14:textId="77777777" w:rsidR="00667FEA" w:rsidRPr="00B34F80" w:rsidRDefault="00667FEA" w:rsidP="00D66637">
      <w:pPr>
        <w:pStyle w:val="Liststycke"/>
        <w:tabs>
          <w:tab w:val="left" w:pos="0"/>
        </w:tabs>
        <w:overflowPunct/>
        <w:spacing w:line="240" w:lineRule="auto"/>
        <w:ind w:left="360"/>
        <w:textAlignment w:val="auto"/>
        <w:rPr>
          <w:rFonts w:cs="OrigGarmnd BT"/>
          <w:b/>
          <w:bCs/>
          <w:color w:val="000000"/>
          <w:szCs w:val="24"/>
          <w:lang w:eastAsia="sv-SE"/>
        </w:rPr>
      </w:pPr>
    </w:p>
    <w:p w14:paraId="34D98F8E" w14:textId="72C5B723" w:rsidR="00C55805" w:rsidRPr="00B34F80" w:rsidRDefault="00BB3385" w:rsidP="00B11BD7">
      <w:pPr>
        <w:pStyle w:val="Liststycke"/>
        <w:numPr>
          <w:ilvl w:val="0"/>
          <w:numId w:val="1"/>
        </w:numPr>
        <w:overflowPunct/>
        <w:autoSpaceDE/>
        <w:autoSpaceDN/>
        <w:adjustRightInd/>
        <w:spacing w:before="480" w:line="240" w:lineRule="auto"/>
        <w:ind w:left="357" w:hanging="357"/>
        <w:textAlignment w:val="auto"/>
        <w:rPr>
          <w:rFonts w:cs="OrigGarmnd BT"/>
          <w:b/>
          <w:bCs/>
          <w:color w:val="000000"/>
          <w:szCs w:val="24"/>
          <w:lang w:eastAsia="sv-SE"/>
        </w:rPr>
      </w:pPr>
      <w:r w:rsidRPr="00B34F80">
        <w:rPr>
          <w:rFonts w:cs="OrigGarmnd BT"/>
          <w:b/>
          <w:bCs/>
          <w:color w:val="000000"/>
          <w:szCs w:val="24"/>
          <w:lang w:eastAsia="sv-SE"/>
        </w:rPr>
        <w:t>Presentation av ordförandeskap</w:t>
      </w:r>
      <w:r w:rsidR="000D7AF1" w:rsidRPr="00B34F80">
        <w:rPr>
          <w:rFonts w:cs="OrigGarmnd BT"/>
          <w:b/>
          <w:bCs/>
          <w:color w:val="000000"/>
          <w:szCs w:val="24"/>
          <w:lang w:eastAsia="sv-SE"/>
        </w:rPr>
        <w:t>ets arbet</w:t>
      </w:r>
      <w:r w:rsidRPr="00B34F80">
        <w:rPr>
          <w:rFonts w:cs="OrigGarmnd BT"/>
          <w:b/>
          <w:bCs/>
          <w:color w:val="000000"/>
          <w:szCs w:val="24"/>
          <w:lang w:eastAsia="sv-SE"/>
        </w:rPr>
        <w:t xml:space="preserve">sprogram </w:t>
      </w:r>
    </w:p>
    <w:p w14:paraId="0DBE4477" w14:textId="122EB0D3" w:rsidR="0046266D" w:rsidRPr="00B34F80" w:rsidRDefault="00BB3385" w:rsidP="00D66637">
      <w:pPr>
        <w:pStyle w:val="Liststycke"/>
        <w:numPr>
          <w:ilvl w:val="0"/>
          <w:numId w:val="12"/>
        </w:numPr>
        <w:tabs>
          <w:tab w:val="left" w:pos="0"/>
        </w:tabs>
        <w:overflowPunct/>
        <w:spacing w:line="240" w:lineRule="auto"/>
        <w:textAlignment w:val="auto"/>
        <w:rPr>
          <w:rFonts w:cs="OrigGarmnd BT"/>
          <w:bCs/>
          <w:color w:val="000000"/>
          <w:szCs w:val="24"/>
          <w:lang w:eastAsia="sv-SE"/>
        </w:rPr>
      </w:pPr>
      <w:r w:rsidRPr="00B34F80">
        <w:rPr>
          <w:rFonts w:cs="OrigGarmnd BT"/>
          <w:bCs/>
          <w:color w:val="000000"/>
          <w:szCs w:val="24"/>
          <w:lang w:eastAsia="sv-SE"/>
        </w:rPr>
        <w:t>Diskussions</w:t>
      </w:r>
      <w:r w:rsidR="00DA05B6" w:rsidRPr="00B34F80">
        <w:rPr>
          <w:rFonts w:cs="OrigGarmnd BT"/>
          <w:bCs/>
          <w:color w:val="000000"/>
          <w:szCs w:val="24"/>
          <w:lang w:eastAsia="sv-SE"/>
        </w:rPr>
        <w:t>punkt</w:t>
      </w:r>
    </w:p>
    <w:p w14:paraId="3673F82D" w14:textId="78EB76D3" w:rsidR="00C93D86" w:rsidRPr="00B34F80" w:rsidRDefault="00C93D86" w:rsidP="00D66637">
      <w:pPr>
        <w:tabs>
          <w:tab w:val="left" w:pos="0"/>
        </w:tabs>
        <w:overflowPunct/>
        <w:spacing w:line="240" w:lineRule="auto"/>
        <w:textAlignment w:val="auto"/>
        <w:rPr>
          <w:lang w:eastAsia="sv-SE"/>
        </w:rPr>
      </w:pPr>
    </w:p>
    <w:p w14:paraId="3B8DF05A" w14:textId="364388DA" w:rsidR="000D7AF1" w:rsidRDefault="000D7AF1" w:rsidP="00D66637">
      <w:pPr>
        <w:tabs>
          <w:tab w:val="left" w:pos="0"/>
        </w:tabs>
        <w:overflowPunct/>
        <w:spacing w:line="240" w:lineRule="auto"/>
        <w:textAlignment w:val="auto"/>
        <w:rPr>
          <w:lang w:eastAsia="sv-SE"/>
        </w:rPr>
      </w:pPr>
      <w:r w:rsidRPr="00B34F80">
        <w:rPr>
          <w:lang w:eastAsia="sv-SE"/>
        </w:rPr>
        <w:t xml:space="preserve">Det nederländska ordförandeskapet har ännu inte presenterat sitt arbetsprogram. Regeringen avser återkomma till nämnden när programmet presenterats. </w:t>
      </w:r>
    </w:p>
    <w:p w14:paraId="24424B32" w14:textId="24AFB4DD" w:rsidR="00BB3385" w:rsidRPr="00BB3385" w:rsidRDefault="00BB3385" w:rsidP="00BB3385">
      <w:pPr>
        <w:pStyle w:val="Liststycke"/>
        <w:numPr>
          <w:ilvl w:val="0"/>
          <w:numId w:val="1"/>
        </w:numPr>
        <w:overflowPunct/>
        <w:autoSpaceDE/>
        <w:autoSpaceDN/>
        <w:adjustRightInd/>
        <w:spacing w:before="480" w:line="240" w:lineRule="auto"/>
        <w:ind w:left="357" w:hanging="357"/>
        <w:textAlignment w:val="auto"/>
        <w:rPr>
          <w:rFonts w:cs="OrigGarmnd BT"/>
          <w:b/>
          <w:bCs/>
          <w:color w:val="000000"/>
          <w:szCs w:val="24"/>
          <w:lang w:eastAsia="sv-SE"/>
        </w:rPr>
      </w:pPr>
      <w:r w:rsidRPr="00BB3385">
        <w:rPr>
          <w:rFonts w:cs="OrigGarmnd BT"/>
          <w:b/>
          <w:bCs/>
          <w:color w:val="000000"/>
          <w:szCs w:val="24"/>
          <w:lang w:eastAsia="sv-SE"/>
        </w:rPr>
        <w:t>Genomförande av bankunionen</w:t>
      </w:r>
    </w:p>
    <w:p w14:paraId="33AA086E" w14:textId="2EB8005E" w:rsidR="00BB3385" w:rsidRDefault="00BB3385" w:rsidP="00BB3385">
      <w:pPr>
        <w:pStyle w:val="Liststycke"/>
        <w:numPr>
          <w:ilvl w:val="0"/>
          <w:numId w:val="12"/>
        </w:numPr>
        <w:tabs>
          <w:tab w:val="left" w:pos="0"/>
        </w:tabs>
        <w:overflowPunct/>
        <w:spacing w:line="240" w:lineRule="auto"/>
        <w:textAlignment w:val="auto"/>
        <w:rPr>
          <w:rFonts w:cs="OrigGarmnd BT"/>
          <w:bCs/>
          <w:color w:val="000000"/>
          <w:szCs w:val="24"/>
          <w:lang w:eastAsia="sv-SE"/>
        </w:rPr>
      </w:pPr>
      <w:r>
        <w:rPr>
          <w:rFonts w:cs="OrigGarmnd BT"/>
          <w:bCs/>
          <w:color w:val="000000"/>
          <w:szCs w:val="24"/>
          <w:lang w:eastAsia="sv-SE"/>
        </w:rPr>
        <w:t>Informationspunkt</w:t>
      </w:r>
    </w:p>
    <w:p w14:paraId="21D93414" w14:textId="77777777" w:rsidR="00BB3385" w:rsidRDefault="00BB3385" w:rsidP="00E33D41">
      <w:pPr>
        <w:pStyle w:val="Liststycke"/>
        <w:tabs>
          <w:tab w:val="left" w:pos="0"/>
        </w:tabs>
        <w:overflowPunct/>
        <w:spacing w:line="240" w:lineRule="auto"/>
        <w:ind w:left="357"/>
        <w:textAlignment w:val="auto"/>
        <w:rPr>
          <w:lang w:eastAsia="sv-SE"/>
        </w:rPr>
      </w:pPr>
    </w:p>
    <w:p w14:paraId="606318B5" w14:textId="77777777" w:rsidR="00E33D41" w:rsidRDefault="00E33D41" w:rsidP="00E33D41">
      <w:pPr>
        <w:pStyle w:val="RKnormal"/>
        <w:spacing w:line="276" w:lineRule="auto"/>
      </w:pPr>
      <w:r>
        <w:t>Rådet ska få en lägesrapport om genomförandet av bankunionen.</w:t>
      </w:r>
    </w:p>
    <w:p w14:paraId="188742C2" w14:textId="77777777" w:rsidR="00E33D41" w:rsidRDefault="00E33D41" w:rsidP="00E33D41">
      <w:pPr>
        <w:spacing w:line="276" w:lineRule="auto"/>
      </w:pPr>
    </w:p>
    <w:p w14:paraId="28B16889" w14:textId="77777777" w:rsidR="00E33D41" w:rsidRPr="002D6582" w:rsidRDefault="00E33D41" w:rsidP="00E33D41">
      <w:pPr>
        <w:spacing w:line="276" w:lineRule="auto"/>
      </w:pPr>
      <w:r>
        <w:lastRenderedPageBreak/>
        <w:t xml:space="preserve">Samråd med riksdagen i frågan om bankunionen har skett vid ett flertal tillfällen. Frågor om det praktiska genomförandet av bankunionen behandlades senast i EU-nämnden den 4 december 2015. Finansutskottet informerades senast den 21 oktober 2014. </w:t>
      </w:r>
    </w:p>
    <w:p w14:paraId="1818CF17" w14:textId="77777777" w:rsidR="00E33D41" w:rsidRDefault="00E33D41" w:rsidP="00E33D41">
      <w:pPr>
        <w:pStyle w:val="RKnormal"/>
        <w:spacing w:line="276" w:lineRule="auto"/>
        <w:rPr>
          <w:color w:val="000000"/>
        </w:rPr>
      </w:pPr>
    </w:p>
    <w:p w14:paraId="6D759198" w14:textId="77777777" w:rsidR="00E33D41" w:rsidRDefault="00E33D41" w:rsidP="00E33D41">
      <w:pPr>
        <w:pStyle w:val="RKnormal"/>
        <w:spacing w:line="276" w:lineRule="auto"/>
        <w:rPr>
          <w:color w:val="000000"/>
        </w:rPr>
      </w:pPr>
      <w:r>
        <w:rPr>
          <w:color w:val="000000"/>
        </w:rPr>
        <w:t>Punkten kommer troligtvis utgöras av information om medlemsstaternas genomförande av krishanteringsdirektivet, som ligger till grund för den gemensamma resolutionsmekanismen, samt information om upprättandet av den gemensamma resolutionsmyndigheten. Kommissionen informerar eventuellt också om genomförandet av insättningsgarantidirektivet.</w:t>
      </w:r>
    </w:p>
    <w:p w14:paraId="525F6C8E" w14:textId="77777777" w:rsidR="00E33D41" w:rsidRDefault="00E33D41" w:rsidP="00E33D41">
      <w:pPr>
        <w:pStyle w:val="RKnormal"/>
        <w:spacing w:line="276" w:lineRule="auto"/>
        <w:rPr>
          <w:color w:val="000000"/>
        </w:rPr>
      </w:pPr>
    </w:p>
    <w:p w14:paraId="31D4527D" w14:textId="5B6AFCB8" w:rsidR="00E33D41" w:rsidRDefault="00E33D41" w:rsidP="00E33D41">
      <w:pPr>
        <w:pStyle w:val="RKnormal"/>
        <w:spacing w:line="276" w:lineRule="auto"/>
        <w:rPr>
          <w:color w:val="000000"/>
        </w:rPr>
      </w:pPr>
      <w:r>
        <w:rPr>
          <w:color w:val="000000"/>
        </w:rPr>
        <w:t>Krishanteringsdirektivet ska genomföras i alla EU:s medlemsstater. Sju medlemsstater, däribland Sverige, hade enligt rådssekretariatet den 9 november inte genomfört direktivet, och fem medlemsstater hade därtill bara genomfört det delvis. För insättningsgarantidirektivet var det den 9</w:t>
      </w:r>
      <w:r w:rsidR="00091FE6">
        <w:rPr>
          <w:color w:val="000000"/>
        </w:rPr>
        <w:t xml:space="preserve"> november tretton medlemsstater, däribland Sverige, </w:t>
      </w:r>
      <w:r>
        <w:rPr>
          <w:color w:val="000000"/>
        </w:rPr>
        <w:t xml:space="preserve">som inte hade genomfört direktivet, och tre som endast gjort så delvis. </w:t>
      </w:r>
    </w:p>
    <w:p w14:paraId="396D4327" w14:textId="77777777" w:rsidR="00E33D41" w:rsidRDefault="00E33D41" w:rsidP="00E33D41">
      <w:pPr>
        <w:pStyle w:val="RKnormal"/>
        <w:spacing w:line="276" w:lineRule="auto"/>
        <w:rPr>
          <w:color w:val="000000"/>
        </w:rPr>
      </w:pPr>
    </w:p>
    <w:p w14:paraId="2FB5FC6C" w14:textId="77777777" w:rsidR="00E33D41" w:rsidRPr="00425952" w:rsidRDefault="00E33D41" w:rsidP="00E33D41">
      <w:pPr>
        <w:pStyle w:val="RKnormal"/>
        <w:spacing w:line="276" w:lineRule="auto"/>
        <w:rPr>
          <w:color w:val="000000"/>
        </w:rPr>
      </w:pPr>
      <w:r>
        <w:rPr>
          <w:color w:val="000000"/>
        </w:rPr>
        <w:t xml:space="preserve">Den gemensamma resolutionsmekanismen gäller endast de medlemsstater som är med i bankunionen (f.n. endast de medlemsstater som har euron som valuta). </w:t>
      </w:r>
    </w:p>
    <w:p w14:paraId="73A1791F" w14:textId="77777777" w:rsidR="00E33D41" w:rsidRDefault="00E33D41" w:rsidP="00E33D41">
      <w:pPr>
        <w:pStyle w:val="RKnormal"/>
        <w:spacing w:line="276" w:lineRule="auto"/>
        <w:rPr>
          <w:color w:val="000000"/>
        </w:rPr>
      </w:pPr>
    </w:p>
    <w:p w14:paraId="14B09BD1" w14:textId="77777777" w:rsidR="00E33D41" w:rsidRDefault="00E33D41" w:rsidP="00E33D41">
      <w:pPr>
        <w:pStyle w:val="RKnormal"/>
        <w:spacing w:line="276" w:lineRule="auto"/>
        <w:rPr>
          <w:color w:val="000000"/>
        </w:rPr>
      </w:pPr>
      <w:r>
        <w:rPr>
          <w:color w:val="000000"/>
        </w:rPr>
        <w:t>Sverige har nu genomfört krishanteringsdirektivet. Lagstiftningen träder i kraft den 1 februari 2016.</w:t>
      </w:r>
    </w:p>
    <w:p w14:paraId="565656A6" w14:textId="77777777" w:rsidR="00E33D41" w:rsidRDefault="00E33D41" w:rsidP="00E33D41">
      <w:pPr>
        <w:pStyle w:val="RKnormal"/>
        <w:spacing w:line="276" w:lineRule="auto"/>
        <w:rPr>
          <w:color w:val="000000"/>
        </w:rPr>
      </w:pPr>
    </w:p>
    <w:p w14:paraId="49470136" w14:textId="77777777" w:rsidR="00E33D41" w:rsidRPr="001507D3" w:rsidRDefault="00E33D41" w:rsidP="00E33D41">
      <w:pPr>
        <w:pStyle w:val="RKnormal"/>
        <w:spacing w:line="276" w:lineRule="auto"/>
        <w:rPr>
          <w:color w:val="000000"/>
        </w:rPr>
      </w:pPr>
      <w:r>
        <w:rPr>
          <w:color w:val="000000"/>
        </w:rPr>
        <w:t>Vad avser insättningsgarantidirektivet är målsättningen att det ska vara genomfört till sommaren 2016.</w:t>
      </w:r>
    </w:p>
    <w:p w14:paraId="55B8112B" w14:textId="77777777" w:rsidR="00E33D41" w:rsidRDefault="00E33D41" w:rsidP="00E33D41">
      <w:pPr>
        <w:rPr>
          <w:lang w:eastAsia="sv-SE"/>
        </w:rPr>
      </w:pPr>
    </w:p>
    <w:p w14:paraId="34448E36" w14:textId="77777777" w:rsidR="00BB3385" w:rsidRDefault="00BB3385" w:rsidP="00BB3385">
      <w:pPr>
        <w:pStyle w:val="Liststycke"/>
        <w:tabs>
          <w:tab w:val="left" w:pos="0"/>
        </w:tabs>
        <w:overflowPunct/>
        <w:spacing w:line="240" w:lineRule="auto"/>
        <w:ind w:left="0"/>
        <w:textAlignment w:val="auto"/>
        <w:rPr>
          <w:lang w:eastAsia="sv-SE"/>
        </w:rPr>
      </w:pPr>
    </w:p>
    <w:p w14:paraId="366B8459" w14:textId="57677BD5" w:rsidR="00BB3385" w:rsidRPr="00BB3385" w:rsidRDefault="00BB3385" w:rsidP="00BB3385">
      <w:pPr>
        <w:pStyle w:val="Liststycke"/>
        <w:numPr>
          <w:ilvl w:val="0"/>
          <w:numId w:val="1"/>
        </w:numPr>
        <w:overflowPunct/>
        <w:autoSpaceDE/>
        <w:autoSpaceDN/>
        <w:adjustRightInd/>
        <w:spacing w:before="480" w:line="240" w:lineRule="auto"/>
        <w:ind w:left="357" w:hanging="357"/>
        <w:textAlignment w:val="auto"/>
        <w:rPr>
          <w:rFonts w:cs="OrigGarmnd BT"/>
          <w:b/>
          <w:bCs/>
          <w:color w:val="000000"/>
          <w:szCs w:val="24"/>
          <w:lang w:eastAsia="sv-SE"/>
        </w:rPr>
      </w:pPr>
      <w:r>
        <w:rPr>
          <w:rFonts w:cs="OrigGarmnd BT"/>
          <w:b/>
          <w:bCs/>
          <w:color w:val="000000"/>
          <w:szCs w:val="24"/>
          <w:lang w:eastAsia="sv-SE"/>
        </w:rPr>
        <w:t>Den europeiska terminen 2016</w:t>
      </w:r>
    </w:p>
    <w:p w14:paraId="55C1140F" w14:textId="65168B34" w:rsidR="00BB3385" w:rsidRDefault="00BB3385" w:rsidP="00BB3385">
      <w:pPr>
        <w:pStyle w:val="Liststycke"/>
        <w:numPr>
          <w:ilvl w:val="0"/>
          <w:numId w:val="12"/>
        </w:numPr>
        <w:tabs>
          <w:tab w:val="left" w:pos="0"/>
        </w:tabs>
        <w:overflowPunct/>
        <w:spacing w:line="240" w:lineRule="auto"/>
        <w:textAlignment w:val="auto"/>
        <w:rPr>
          <w:rFonts w:cs="OrigGarmnd BT"/>
          <w:bCs/>
          <w:color w:val="000000"/>
          <w:szCs w:val="24"/>
          <w:lang w:eastAsia="sv-SE"/>
        </w:rPr>
      </w:pPr>
      <w:r>
        <w:rPr>
          <w:rFonts w:cs="OrigGarmnd BT"/>
          <w:bCs/>
          <w:color w:val="000000"/>
          <w:szCs w:val="24"/>
          <w:lang w:eastAsia="sv-SE"/>
        </w:rPr>
        <w:t>Beslutspunkt</w:t>
      </w:r>
    </w:p>
    <w:p w14:paraId="6B2B7975" w14:textId="77777777" w:rsidR="00BB3385" w:rsidRDefault="00BB3385" w:rsidP="00BB3385">
      <w:pPr>
        <w:pStyle w:val="Liststycke"/>
        <w:tabs>
          <w:tab w:val="left" w:pos="0"/>
        </w:tabs>
        <w:overflowPunct/>
        <w:spacing w:line="240" w:lineRule="auto"/>
        <w:ind w:left="360"/>
        <w:textAlignment w:val="auto"/>
        <w:rPr>
          <w:lang w:eastAsia="sv-SE"/>
        </w:rPr>
      </w:pPr>
    </w:p>
    <w:p w14:paraId="7DED073F" w14:textId="22BAFB1D" w:rsidR="00BC33E2" w:rsidRDefault="00BC33E2" w:rsidP="00BC33E2">
      <w:pPr>
        <w:spacing w:line="240" w:lineRule="auto"/>
      </w:pPr>
      <w:r>
        <w:t xml:space="preserve">Ekofinrådet ska anta rådsslutsatser om den årliga tillväxtöversikten 2016 och den årliga förvarningsmekanismen 2016. Därutöver ska rekommendationen till euroområdet som helhet godkännas. Endast euroländer har rösträtt gällande denna rekommendation. </w:t>
      </w:r>
    </w:p>
    <w:p w14:paraId="7A405C93" w14:textId="77777777" w:rsidR="00BC33E2" w:rsidRDefault="00BC33E2" w:rsidP="00BC33E2">
      <w:pPr>
        <w:spacing w:line="240" w:lineRule="auto"/>
      </w:pPr>
    </w:p>
    <w:p w14:paraId="5E3FC4B8" w14:textId="77777777" w:rsidR="00BC33E2" w:rsidRDefault="00BC33E2" w:rsidP="00BC33E2">
      <w:pPr>
        <w:spacing w:line="240" w:lineRule="auto"/>
      </w:pPr>
      <w:r>
        <w:t>Samråd skedde i EU-nämnden om den årliga tillväxtöversikten, den årliga förvarningsmekanismen samt rekommendationen till euroområdet den 4 december 2015, inför Ekofinmötet den 8 december och Epscomötet den 7 december.</w:t>
      </w:r>
    </w:p>
    <w:p w14:paraId="122C79D4" w14:textId="77777777" w:rsidR="00BC33E2" w:rsidRDefault="00BC33E2" w:rsidP="00BC33E2">
      <w:pPr>
        <w:pStyle w:val="RKnormal"/>
        <w:spacing w:line="240" w:lineRule="auto"/>
        <w:rPr>
          <w:color w:val="000000"/>
        </w:rPr>
      </w:pPr>
    </w:p>
    <w:p w14:paraId="4CC21BC8" w14:textId="1E0D2FA8" w:rsidR="00BC33E2" w:rsidRDefault="00BC33E2" w:rsidP="00BC33E2">
      <w:pPr>
        <w:pStyle w:val="RKnormal"/>
        <w:spacing w:line="240" w:lineRule="auto"/>
        <w:rPr>
          <w:color w:val="000000"/>
        </w:rPr>
      </w:pPr>
      <w:r>
        <w:rPr>
          <w:color w:val="000000"/>
        </w:rPr>
        <w:lastRenderedPageBreak/>
        <w:t xml:space="preserve">Den årliga tillväxtöversikten, den årliga förvarningsmekanismen samt rekommendationen till euroområdet publicerades den 26 november, vilket </w:t>
      </w:r>
      <w:r w:rsidR="00D75F5F">
        <w:rPr>
          <w:color w:val="000000"/>
        </w:rPr>
        <w:t>utgjorde</w:t>
      </w:r>
      <w:r>
        <w:rPr>
          <w:color w:val="000000"/>
        </w:rPr>
        <w:t xml:space="preserve"> starten på 2016 års europeiska termin. </w:t>
      </w:r>
    </w:p>
    <w:p w14:paraId="4DB0B726" w14:textId="77777777" w:rsidR="00BC33E2" w:rsidRDefault="00BC33E2" w:rsidP="00BC33E2">
      <w:pPr>
        <w:pStyle w:val="RKnormal"/>
        <w:spacing w:line="240" w:lineRule="auto"/>
        <w:rPr>
          <w:color w:val="000000"/>
        </w:rPr>
      </w:pPr>
    </w:p>
    <w:p w14:paraId="0F6F1170" w14:textId="77777777" w:rsidR="00BC33E2" w:rsidRDefault="00BC33E2" w:rsidP="00BC33E2">
      <w:pPr>
        <w:pStyle w:val="RKnormal"/>
        <w:spacing w:line="240" w:lineRule="auto"/>
        <w:rPr>
          <w:color w:val="000000"/>
        </w:rPr>
      </w:pPr>
      <w:r>
        <w:rPr>
          <w:color w:val="000000"/>
        </w:rPr>
        <w:t>I tillväxtöversikten redovisar kommissionen sina prioriteringar inom den ekonomiska politiken och sysselsättningspolitiken för 2016. En faktapromemoria om tillväxtrapporten har överlämnats till riksdagen (</w:t>
      </w:r>
      <w:r w:rsidRPr="0044448B">
        <w:t>2015/16:FPM26</w:t>
      </w:r>
      <w:r>
        <w:rPr>
          <w:color w:val="000000"/>
        </w:rPr>
        <w:t xml:space="preserve">). </w:t>
      </w:r>
    </w:p>
    <w:p w14:paraId="32FCA6FE" w14:textId="77777777" w:rsidR="00BC33E2" w:rsidRDefault="00BC33E2" w:rsidP="00BC33E2">
      <w:pPr>
        <w:pStyle w:val="RKnormal"/>
        <w:spacing w:line="240" w:lineRule="auto"/>
        <w:rPr>
          <w:color w:val="000000"/>
        </w:rPr>
      </w:pPr>
    </w:p>
    <w:p w14:paraId="219F25AF" w14:textId="77777777" w:rsidR="00BC33E2" w:rsidRDefault="00BC33E2" w:rsidP="00BC33E2">
      <w:pPr>
        <w:overflowPunct/>
        <w:autoSpaceDE/>
        <w:autoSpaceDN/>
        <w:adjustRightInd/>
        <w:spacing w:line="240" w:lineRule="auto"/>
        <w:textAlignment w:val="auto"/>
      </w:pPr>
      <w:r>
        <w:t xml:space="preserve">I förvarningsmekanismen </w:t>
      </w:r>
      <w:r w:rsidRPr="0044448B">
        <w:t>undersöker kommissionen om det verkar finnas obalanser i respektive medlemsstat och motiverar varför ett antal medlemsstater kommer att bli föremål för</w:t>
      </w:r>
      <w:r>
        <w:t xml:space="preserve"> kommissionens</w:t>
      </w:r>
      <w:r w:rsidRPr="0044448B">
        <w:t xml:space="preserve"> fördjupad</w:t>
      </w:r>
      <w:r>
        <w:t>e</w:t>
      </w:r>
      <w:r w:rsidRPr="0044448B">
        <w:t xml:space="preserve"> granskning under våren 2016. </w:t>
      </w:r>
      <w:r>
        <w:t xml:space="preserve">Sverige är en av de 18 medlemsstater som ska granskas. </w:t>
      </w:r>
    </w:p>
    <w:p w14:paraId="71756205" w14:textId="77777777" w:rsidR="00BC33E2" w:rsidRDefault="00BC33E2" w:rsidP="00BC33E2">
      <w:pPr>
        <w:overflowPunct/>
        <w:autoSpaceDE/>
        <w:autoSpaceDN/>
        <w:adjustRightInd/>
        <w:spacing w:line="240" w:lineRule="auto"/>
        <w:textAlignment w:val="auto"/>
      </w:pPr>
    </w:p>
    <w:p w14:paraId="47B052C2" w14:textId="5758B28F" w:rsidR="00BC33E2" w:rsidRDefault="00BC33E2" w:rsidP="00BC33E2">
      <w:pPr>
        <w:spacing w:line="240" w:lineRule="auto"/>
      </w:pPr>
      <w:r>
        <w:t xml:space="preserve">Enligt vad som </w:t>
      </w:r>
      <w:r w:rsidR="00D75F5F">
        <w:t>aviserades</w:t>
      </w:r>
      <w:r>
        <w:t xml:space="preserve"> i kommissionens </w:t>
      </w:r>
      <w:r w:rsidRPr="008A3D8C">
        <w:t>meddelande om stegen mot färdigställandet av EMU (se faktapromemoria 2015/16:FPM15</w:t>
      </w:r>
      <w:r>
        <w:t xml:space="preserve">), publicerades för första gången även </w:t>
      </w:r>
      <w:r w:rsidRPr="008A3D8C">
        <w:t>förslag</w:t>
      </w:r>
      <w:r w:rsidR="00D75F5F">
        <w:t>et</w:t>
      </w:r>
      <w:r w:rsidRPr="008A3D8C">
        <w:t xml:space="preserve"> till rekommendation till euroområdet som helhet i början av den europeiska terminen. Tidigare har denna rekommendation publicerats i slutet av våren. </w:t>
      </w:r>
      <w:r>
        <w:t xml:space="preserve">Euroländerna ska nu godkänna denna rekommendation tillsammans med en förklarande not om de ändringar som har gjorts i förhållande till kommissionens förslag. </w:t>
      </w:r>
    </w:p>
    <w:p w14:paraId="748E157F" w14:textId="77777777" w:rsidR="00BC33E2" w:rsidRDefault="00BC33E2" w:rsidP="00BC33E2">
      <w:pPr>
        <w:spacing w:line="240" w:lineRule="auto"/>
        <w:rPr>
          <w:szCs w:val="24"/>
        </w:rPr>
      </w:pPr>
    </w:p>
    <w:p w14:paraId="47DA33D3" w14:textId="77777777" w:rsidR="00BC33E2" w:rsidRPr="00BB3385" w:rsidRDefault="00BC33E2" w:rsidP="00BC33E2">
      <w:pPr>
        <w:spacing w:line="240" w:lineRule="auto"/>
        <w:rPr>
          <w:b/>
          <w:i/>
        </w:rPr>
      </w:pPr>
      <w:r w:rsidRPr="00BB3385">
        <w:rPr>
          <w:b/>
          <w:i/>
        </w:rPr>
        <w:t xml:space="preserve">Förslag till svensk ståndpunkt </w:t>
      </w:r>
    </w:p>
    <w:p w14:paraId="57616712" w14:textId="77777777" w:rsidR="00BC33E2" w:rsidRPr="009E418A" w:rsidRDefault="00BC33E2" w:rsidP="00BC33E2">
      <w:pPr>
        <w:spacing w:line="240" w:lineRule="auto"/>
        <w:rPr>
          <w:szCs w:val="24"/>
        </w:rPr>
      </w:pPr>
      <w:r w:rsidRPr="009E418A">
        <w:rPr>
          <w:szCs w:val="24"/>
        </w:rPr>
        <w:t xml:space="preserve">Regeringen kan ställa sig bakom utkasten till rådsslutsatser om den årliga tillväxtöversikten samt den årliga förvarningsmekanismen. </w:t>
      </w:r>
    </w:p>
    <w:p w14:paraId="4EBBF74D" w14:textId="77777777" w:rsidR="00BC33E2" w:rsidRPr="00B51285" w:rsidRDefault="00BC33E2" w:rsidP="00BC33E2">
      <w:pPr>
        <w:spacing w:line="240" w:lineRule="auto"/>
        <w:rPr>
          <w:rFonts w:cs="OrigGarmnd BT"/>
          <w:color w:val="000000"/>
          <w:szCs w:val="24"/>
          <w:lang w:eastAsia="sv-SE"/>
        </w:rPr>
      </w:pPr>
    </w:p>
    <w:p w14:paraId="1C0B360B" w14:textId="77777777" w:rsidR="00BC33E2" w:rsidRDefault="00BC33E2" w:rsidP="00BC33E2">
      <w:pPr>
        <w:spacing w:line="240" w:lineRule="auto"/>
        <w:rPr>
          <w:rFonts w:cs="OrigGarmnd BT"/>
          <w:color w:val="000000"/>
          <w:szCs w:val="24"/>
          <w:lang w:eastAsia="sv-SE"/>
        </w:rPr>
      </w:pPr>
      <w:r w:rsidRPr="00B51285">
        <w:rPr>
          <w:rFonts w:cs="OrigGarmnd BT"/>
          <w:color w:val="000000"/>
          <w:szCs w:val="24"/>
          <w:lang w:eastAsia="sv-SE"/>
        </w:rPr>
        <w:t>Regeringen välkomnar tillväxtöversikten och kan</w:t>
      </w:r>
      <w:r>
        <w:rPr>
          <w:rFonts w:cs="OrigGarmnd BT"/>
          <w:color w:val="000000"/>
          <w:szCs w:val="24"/>
          <w:lang w:eastAsia="sv-SE"/>
        </w:rPr>
        <w:t>,</w:t>
      </w:r>
      <w:r w:rsidRPr="00B51285">
        <w:rPr>
          <w:rFonts w:cs="OrigGarmnd BT"/>
          <w:color w:val="000000"/>
          <w:szCs w:val="24"/>
          <w:lang w:eastAsia="sv-SE"/>
        </w:rPr>
        <w:t xml:space="preserve"> </w:t>
      </w:r>
      <w:r>
        <w:rPr>
          <w:rFonts w:cs="OrigGarmnd BT"/>
          <w:color w:val="000000"/>
          <w:szCs w:val="24"/>
          <w:lang w:eastAsia="sv-SE"/>
        </w:rPr>
        <w:t>i enlighet med rådsslutsatserna, på ett</w:t>
      </w:r>
      <w:r w:rsidRPr="00B51285">
        <w:rPr>
          <w:rFonts w:cs="OrigGarmnd BT"/>
          <w:color w:val="000000"/>
          <w:szCs w:val="24"/>
          <w:lang w:eastAsia="sv-SE"/>
        </w:rPr>
        <w:t xml:space="preserve"> övergripande plan ställa sig bakom de prioriteringar som kommissionen föreslår.</w:t>
      </w:r>
      <w:r>
        <w:rPr>
          <w:rFonts w:cs="OrigGarmnd BT"/>
          <w:color w:val="000000"/>
          <w:szCs w:val="24"/>
          <w:lang w:eastAsia="sv-SE"/>
        </w:rPr>
        <w:t xml:space="preserve"> </w:t>
      </w:r>
      <w:r w:rsidRPr="00B51285">
        <w:rPr>
          <w:rFonts w:cs="OrigGarmnd BT"/>
          <w:color w:val="000000"/>
          <w:szCs w:val="24"/>
          <w:lang w:eastAsia="sv-SE"/>
        </w:rPr>
        <w:t>En välavvägd kombination av investeringar, genomförandet av strukturreformer och en ansvarsfull finanspolitik är centralt för att stödja återhämtningen i Europas ekonomier.</w:t>
      </w:r>
    </w:p>
    <w:p w14:paraId="7524FB24" w14:textId="77777777" w:rsidR="00BC33E2" w:rsidRDefault="00BC33E2" w:rsidP="00BC33E2">
      <w:pPr>
        <w:spacing w:line="240" w:lineRule="auto"/>
        <w:rPr>
          <w:rFonts w:cs="OrigGarmnd BT"/>
          <w:color w:val="000000"/>
          <w:szCs w:val="24"/>
          <w:lang w:eastAsia="sv-SE"/>
        </w:rPr>
      </w:pPr>
    </w:p>
    <w:p w14:paraId="26C3884B" w14:textId="77777777" w:rsidR="00BC33E2" w:rsidRPr="0044448B" w:rsidRDefault="00BC33E2" w:rsidP="00BC33E2">
      <w:pPr>
        <w:spacing w:line="240" w:lineRule="auto"/>
        <w:rPr>
          <w:rFonts w:cs="OrigGarmnd BT"/>
          <w:color w:val="000000"/>
          <w:szCs w:val="24"/>
          <w:lang w:eastAsia="sv-SE"/>
        </w:rPr>
      </w:pPr>
      <w:r w:rsidRPr="0044448B">
        <w:rPr>
          <w:rFonts w:cs="OrigGarmnd BT"/>
          <w:color w:val="000000"/>
          <w:szCs w:val="24"/>
          <w:lang w:eastAsia="sv-SE"/>
        </w:rPr>
        <w:t>Regeringen ser positivt på att sysselsättning och sociala frågor ges ökad vikt i årets tillväxtöversikt och den europeiska terminen</w:t>
      </w:r>
      <w:r>
        <w:rPr>
          <w:rFonts w:cs="OrigGarmnd BT"/>
          <w:color w:val="000000"/>
          <w:szCs w:val="24"/>
          <w:lang w:eastAsia="sv-SE"/>
        </w:rPr>
        <w:t>, vilket också lyfts i rådsslutsatserna</w:t>
      </w:r>
      <w:r w:rsidRPr="0044448B">
        <w:rPr>
          <w:rFonts w:cs="OrigGarmnd BT"/>
          <w:color w:val="000000"/>
          <w:szCs w:val="24"/>
          <w:lang w:eastAsia="sv-SE"/>
        </w:rPr>
        <w:t>.</w:t>
      </w:r>
      <w:r>
        <w:rPr>
          <w:rFonts w:cs="OrigGarmnd BT"/>
          <w:color w:val="000000"/>
          <w:szCs w:val="24"/>
          <w:lang w:eastAsia="sv-SE"/>
        </w:rPr>
        <w:t xml:space="preserve"> Det är särskilt välkommet att</w:t>
      </w:r>
      <w:r w:rsidRPr="000C6C80">
        <w:rPr>
          <w:rFonts w:cs="OrigGarmnd BT"/>
          <w:color w:val="000000"/>
          <w:szCs w:val="24"/>
          <w:lang w:eastAsia="sv-SE"/>
        </w:rPr>
        <w:t xml:space="preserve"> tillväxtöversikten tar upp de stora skillnader som finns mellan mäns och kvinnors arbetskraftsdeltagande inom EU</w:t>
      </w:r>
      <w:r>
        <w:rPr>
          <w:rFonts w:cs="OrigGarmnd BT"/>
          <w:color w:val="000000"/>
          <w:szCs w:val="24"/>
          <w:lang w:eastAsia="sv-SE"/>
        </w:rPr>
        <w:t xml:space="preserve">. </w:t>
      </w:r>
      <w:r w:rsidRPr="0044448B">
        <w:rPr>
          <w:rFonts w:cs="OrigGarmnd BT"/>
          <w:color w:val="000000"/>
          <w:szCs w:val="24"/>
          <w:lang w:eastAsia="sv-SE"/>
        </w:rPr>
        <w:t>Regeringen anser att den sociala dimensionen bör va</w:t>
      </w:r>
      <w:r>
        <w:rPr>
          <w:rFonts w:cs="OrigGarmnd BT"/>
          <w:color w:val="000000"/>
          <w:szCs w:val="24"/>
          <w:lang w:eastAsia="sv-SE"/>
        </w:rPr>
        <w:t>ra en integrerad del av arbetet med bättre styrning</w:t>
      </w:r>
      <w:r w:rsidRPr="0044448B">
        <w:rPr>
          <w:rFonts w:cs="OrigGarmnd BT"/>
          <w:color w:val="000000"/>
          <w:szCs w:val="24"/>
          <w:lang w:eastAsia="sv-SE"/>
        </w:rPr>
        <w:t xml:space="preserve">. </w:t>
      </w:r>
    </w:p>
    <w:p w14:paraId="36507499" w14:textId="77777777" w:rsidR="00BC33E2" w:rsidRDefault="00BC33E2" w:rsidP="00BC33E2">
      <w:pPr>
        <w:spacing w:line="240" w:lineRule="auto"/>
        <w:rPr>
          <w:rFonts w:cs="OrigGarmnd BT"/>
          <w:color w:val="000000"/>
          <w:szCs w:val="24"/>
          <w:lang w:eastAsia="sv-SE"/>
        </w:rPr>
      </w:pPr>
    </w:p>
    <w:p w14:paraId="4795D2C5" w14:textId="77777777" w:rsidR="00BC33E2" w:rsidRPr="00B51285" w:rsidRDefault="00BC33E2" w:rsidP="00BC33E2">
      <w:pPr>
        <w:spacing w:line="240" w:lineRule="auto"/>
        <w:rPr>
          <w:rFonts w:cs="OrigGarmnd BT"/>
          <w:color w:val="000000"/>
          <w:szCs w:val="24"/>
          <w:lang w:eastAsia="sv-SE"/>
        </w:rPr>
      </w:pPr>
      <w:r w:rsidRPr="0044448B">
        <w:rPr>
          <w:rFonts w:cs="OrigGarmnd BT"/>
          <w:color w:val="000000"/>
          <w:szCs w:val="24"/>
          <w:lang w:eastAsia="sv-SE"/>
        </w:rPr>
        <w:t>Regeringen välkomnar att kommissionen uppmärksammar den nuvarande flyktingsituationens inverkan på medlemsstaterna</w:t>
      </w:r>
      <w:r>
        <w:rPr>
          <w:rFonts w:cs="OrigGarmnd BT"/>
          <w:color w:val="000000"/>
          <w:szCs w:val="24"/>
          <w:lang w:eastAsia="sv-SE"/>
        </w:rPr>
        <w:t xml:space="preserve"> samt att rådsslutsatserna lyfter fram behovet av breda åtgärder för att underlätta integration på arbetsmarknaderna</w:t>
      </w:r>
      <w:r w:rsidRPr="0044448B">
        <w:rPr>
          <w:rFonts w:cs="OrigGarmnd BT"/>
          <w:color w:val="000000"/>
          <w:szCs w:val="24"/>
          <w:lang w:eastAsia="sv-SE"/>
        </w:rPr>
        <w:t>.</w:t>
      </w:r>
      <w:r>
        <w:rPr>
          <w:rFonts w:cs="OrigGarmnd BT"/>
          <w:color w:val="000000"/>
          <w:szCs w:val="24"/>
          <w:lang w:eastAsia="sv-SE"/>
        </w:rPr>
        <w:t xml:space="preserve"> </w:t>
      </w:r>
      <w:r w:rsidRPr="0044448B">
        <w:rPr>
          <w:rFonts w:cs="OrigGarmnd BT"/>
          <w:color w:val="000000"/>
          <w:szCs w:val="24"/>
          <w:lang w:eastAsia="sv-SE"/>
        </w:rPr>
        <w:t>Regeringen understryker vikten av gemensamt ansvar inom unionen</w:t>
      </w:r>
      <w:r>
        <w:rPr>
          <w:rFonts w:cs="OrigGarmnd BT"/>
          <w:color w:val="000000"/>
          <w:szCs w:val="24"/>
          <w:lang w:eastAsia="sv-SE"/>
        </w:rPr>
        <w:t xml:space="preserve"> för flyktingsituationen</w:t>
      </w:r>
      <w:r w:rsidRPr="0044448B">
        <w:rPr>
          <w:rFonts w:cs="OrigGarmnd BT"/>
          <w:color w:val="000000"/>
          <w:szCs w:val="24"/>
          <w:lang w:eastAsia="sv-SE"/>
        </w:rPr>
        <w:t>.</w:t>
      </w:r>
    </w:p>
    <w:p w14:paraId="59C3AA74" w14:textId="77777777" w:rsidR="00BC33E2" w:rsidRDefault="00BC33E2" w:rsidP="00BC33E2">
      <w:pPr>
        <w:spacing w:line="240" w:lineRule="auto"/>
        <w:rPr>
          <w:rFonts w:cs="OrigGarmnd BT"/>
          <w:color w:val="000000"/>
          <w:szCs w:val="24"/>
          <w:lang w:eastAsia="sv-SE"/>
        </w:rPr>
      </w:pPr>
    </w:p>
    <w:p w14:paraId="426F0AA5" w14:textId="77777777" w:rsidR="00BC33E2" w:rsidRPr="000C6C80" w:rsidRDefault="00BC33E2" w:rsidP="00BC33E2">
      <w:pPr>
        <w:spacing w:line="240" w:lineRule="auto"/>
        <w:rPr>
          <w:rFonts w:cs="OrigGarmnd BT"/>
          <w:color w:val="000000"/>
          <w:szCs w:val="24"/>
          <w:lang w:eastAsia="sv-SE"/>
        </w:rPr>
      </w:pPr>
      <w:r w:rsidRPr="000C6C80">
        <w:rPr>
          <w:szCs w:val="24"/>
        </w:rPr>
        <w:t>Regeringen välkomnar förvarningsrapporten och kommande fördjupade granskningar, som kan bidra till att tidigt upptäcka makroekonomiska obalanser. Regeringen följer noga utvecklingen kring hushållens skuldsättning i Sverige. Flera åtgärder har genomförts de senaste åren för att minska riskerna och regeringen är beredd att vidta ytterligare åtgärder om hushållens skuldsättning fortsätter att öka i en snabb takt.</w:t>
      </w:r>
    </w:p>
    <w:p w14:paraId="38F82200" w14:textId="77777777" w:rsidR="00BC33E2" w:rsidRPr="009E418A" w:rsidRDefault="00BC33E2" w:rsidP="00BC33E2">
      <w:pPr>
        <w:spacing w:line="240" w:lineRule="auto"/>
        <w:rPr>
          <w:szCs w:val="24"/>
        </w:rPr>
      </w:pPr>
    </w:p>
    <w:p w14:paraId="223D2D79" w14:textId="77777777" w:rsidR="00BC33E2" w:rsidRDefault="00BC33E2" w:rsidP="00BC33E2">
      <w:pPr>
        <w:spacing w:line="240" w:lineRule="auto"/>
        <w:rPr>
          <w:szCs w:val="24"/>
        </w:rPr>
      </w:pPr>
      <w:r w:rsidRPr="00D1030F">
        <w:rPr>
          <w:szCs w:val="24"/>
        </w:rPr>
        <w:t>Regeringen anser att</w:t>
      </w:r>
      <w:r>
        <w:rPr>
          <w:szCs w:val="24"/>
        </w:rPr>
        <w:t xml:space="preserve"> det</w:t>
      </w:r>
      <w:r w:rsidRPr="009E418A">
        <w:rPr>
          <w:szCs w:val="24"/>
        </w:rPr>
        <w:t xml:space="preserve"> finns skäl för att ge euroområdet som helhet större fokus </w:t>
      </w:r>
      <w:r>
        <w:rPr>
          <w:szCs w:val="24"/>
        </w:rPr>
        <w:t xml:space="preserve">inom den europeiska terminen, </w:t>
      </w:r>
      <w:r w:rsidRPr="009E418A">
        <w:rPr>
          <w:szCs w:val="24"/>
        </w:rPr>
        <w:t xml:space="preserve">med tanke på dess särskilda utmaningar. </w:t>
      </w:r>
      <w:r w:rsidRPr="00D1030F">
        <w:rPr>
          <w:szCs w:val="24"/>
        </w:rPr>
        <w:t xml:space="preserve">Sverige har ett starkt intresse av ett väl fungerande EMU. </w:t>
      </w:r>
      <w:r w:rsidRPr="009E418A">
        <w:rPr>
          <w:szCs w:val="24"/>
        </w:rPr>
        <w:t>Samtidigt är det viktigt att en stärkt euro-dimension inom den europeiska terminen inte hindrar att terminen förblir ett ramverk för hela EU 28.</w:t>
      </w:r>
    </w:p>
    <w:p w14:paraId="20063BC6" w14:textId="77777777" w:rsidR="00BC33E2" w:rsidRDefault="00BC33E2" w:rsidP="00BC33E2">
      <w:pPr>
        <w:spacing w:line="240" w:lineRule="auto"/>
        <w:rPr>
          <w:szCs w:val="24"/>
        </w:rPr>
      </w:pPr>
    </w:p>
    <w:p w14:paraId="2A2FD2FA" w14:textId="77777777" w:rsidR="00BC33E2" w:rsidRPr="009E418A" w:rsidRDefault="00BC33E2" w:rsidP="00BC33E2">
      <w:pPr>
        <w:spacing w:line="240" w:lineRule="auto"/>
        <w:rPr>
          <w:szCs w:val="24"/>
        </w:rPr>
      </w:pPr>
      <w:r w:rsidRPr="0044448B">
        <w:rPr>
          <w:szCs w:val="24"/>
        </w:rPr>
        <w:t>En</w:t>
      </w:r>
      <w:r>
        <w:rPr>
          <w:szCs w:val="24"/>
        </w:rPr>
        <w:t xml:space="preserve"> </w:t>
      </w:r>
      <w:r w:rsidRPr="0044448B">
        <w:rPr>
          <w:szCs w:val="24"/>
        </w:rPr>
        <w:t>utgångspunkt för regeringen är att fördelningen av befogenheter mellan EU och medlemsstater rörande sysselsättningspolitiken, den ekonomiska politiken (inklusive på skatteområdet), och sociala frågor även fortsättningsvis respekteras.</w:t>
      </w:r>
    </w:p>
    <w:p w14:paraId="74A6CB3E" w14:textId="77777777" w:rsidR="00BB3385" w:rsidRDefault="00BB3385" w:rsidP="00BB3385">
      <w:pPr>
        <w:pStyle w:val="Liststycke"/>
        <w:tabs>
          <w:tab w:val="left" w:pos="0"/>
        </w:tabs>
        <w:overflowPunct/>
        <w:spacing w:line="240" w:lineRule="auto"/>
        <w:ind w:left="0"/>
        <w:textAlignment w:val="auto"/>
        <w:rPr>
          <w:lang w:eastAsia="sv-SE"/>
        </w:rPr>
      </w:pPr>
    </w:p>
    <w:p w14:paraId="32584D4D" w14:textId="261809FF" w:rsidR="000D7AF1" w:rsidRPr="000D7AF1" w:rsidRDefault="000D7AF1" w:rsidP="000D7AF1">
      <w:pPr>
        <w:pStyle w:val="Liststycke"/>
        <w:numPr>
          <w:ilvl w:val="0"/>
          <w:numId w:val="1"/>
        </w:numPr>
        <w:overflowPunct/>
        <w:autoSpaceDE/>
        <w:autoSpaceDN/>
        <w:adjustRightInd/>
        <w:spacing w:before="480" w:line="240" w:lineRule="auto"/>
        <w:ind w:left="357" w:hanging="357"/>
        <w:textAlignment w:val="auto"/>
        <w:rPr>
          <w:rFonts w:cs="OrigGarmnd BT"/>
          <w:b/>
          <w:bCs/>
          <w:color w:val="000000"/>
          <w:szCs w:val="24"/>
          <w:lang w:eastAsia="sv-SE"/>
        </w:rPr>
      </w:pPr>
      <w:r w:rsidRPr="000D7AF1">
        <w:rPr>
          <w:rFonts w:cs="OrigGarmnd BT"/>
          <w:b/>
          <w:bCs/>
          <w:color w:val="000000"/>
          <w:szCs w:val="24"/>
          <w:lang w:eastAsia="sv-SE"/>
        </w:rPr>
        <w:t xml:space="preserve">Bekämpning av momsbedrägerier i EU </w:t>
      </w:r>
    </w:p>
    <w:p w14:paraId="3C3EB408" w14:textId="77777777" w:rsidR="00E152B2" w:rsidRDefault="00E152B2" w:rsidP="00E152B2">
      <w:pPr>
        <w:pStyle w:val="Liststycke"/>
        <w:numPr>
          <w:ilvl w:val="0"/>
          <w:numId w:val="12"/>
        </w:numPr>
        <w:tabs>
          <w:tab w:val="left" w:pos="0"/>
        </w:tabs>
        <w:overflowPunct/>
        <w:spacing w:line="240" w:lineRule="auto"/>
        <w:textAlignment w:val="auto"/>
        <w:rPr>
          <w:rFonts w:cs="OrigGarmnd BT"/>
          <w:bCs/>
          <w:color w:val="000000"/>
          <w:szCs w:val="24"/>
          <w:lang w:eastAsia="sv-SE"/>
        </w:rPr>
      </w:pPr>
      <w:r>
        <w:rPr>
          <w:rFonts w:cs="OrigGarmnd BT"/>
          <w:bCs/>
          <w:color w:val="000000"/>
          <w:szCs w:val="24"/>
          <w:lang w:eastAsia="sv-SE"/>
        </w:rPr>
        <w:t>Diskussions</w:t>
      </w:r>
      <w:r w:rsidRPr="00DA05B6">
        <w:rPr>
          <w:rFonts w:cs="OrigGarmnd BT"/>
          <w:bCs/>
          <w:color w:val="000000"/>
          <w:szCs w:val="24"/>
          <w:lang w:eastAsia="sv-SE"/>
        </w:rPr>
        <w:t>punkt</w:t>
      </w:r>
    </w:p>
    <w:p w14:paraId="4C8D6B46" w14:textId="77777777" w:rsidR="00E152B2" w:rsidRDefault="00E152B2" w:rsidP="00E152B2">
      <w:pPr>
        <w:tabs>
          <w:tab w:val="left" w:pos="0"/>
        </w:tabs>
        <w:overflowPunct/>
        <w:spacing w:line="240" w:lineRule="auto"/>
        <w:textAlignment w:val="auto"/>
        <w:rPr>
          <w:lang w:eastAsia="sv-SE"/>
        </w:rPr>
      </w:pPr>
    </w:p>
    <w:p w14:paraId="435780A8" w14:textId="51E4F0F5" w:rsidR="005A218C" w:rsidRDefault="00E36822" w:rsidP="005A218C">
      <w:pPr>
        <w:pStyle w:val="RKnormal"/>
      </w:pPr>
      <w:r>
        <w:t xml:space="preserve">Rådet kommer på tjeckiskt initiativ diskutera omvänd </w:t>
      </w:r>
      <w:r w:rsidR="005A218C">
        <w:t>skattskyldighet för moms</w:t>
      </w:r>
      <w:r>
        <w:t>.</w:t>
      </w:r>
      <w:r w:rsidR="005A218C">
        <w:t xml:space="preserve"> </w:t>
      </w:r>
    </w:p>
    <w:p w14:paraId="7865B635" w14:textId="77777777" w:rsidR="005A218C" w:rsidRDefault="005A218C" w:rsidP="005A218C"/>
    <w:p w14:paraId="14557EDD" w14:textId="65934CE6" w:rsidR="005A218C" w:rsidRPr="00D626F9" w:rsidRDefault="005A218C" w:rsidP="007E712D">
      <w:pPr>
        <w:pStyle w:val="RKnormal"/>
      </w:pPr>
      <w:r w:rsidRPr="00D626F9">
        <w:t>Överläggning kommer att ske med skatteutskottet den 12 januari 2016.</w:t>
      </w:r>
      <w:r w:rsidR="00D626F9" w:rsidRPr="00D626F9">
        <w:t xml:space="preserve"> </w:t>
      </w:r>
      <w:r w:rsidR="000A5769" w:rsidRPr="007E712D">
        <w:t>Aktuell fråga om omvänd skattskyldighet har inte behandlats tidigare i EU</w:t>
      </w:r>
      <w:r w:rsidR="005D2758" w:rsidRPr="007E712D">
        <w:t xml:space="preserve">-nämnden. </w:t>
      </w:r>
    </w:p>
    <w:p w14:paraId="710BFD65" w14:textId="77777777" w:rsidR="005A218C" w:rsidRDefault="005A218C" w:rsidP="005A218C">
      <w:pPr>
        <w:pStyle w:val="RKnormal"/>
      </w:pPr>
    </w:p>
    <w:p w14:paraId="5D853653" w14:textId="77777777" w:rsidR="005A218C" w:rsidRPr="00CE76B5" w:rsidRDefault="005A218C" w:rsidP="005A218C">
      <w:pPr>
        <w:pStyle w:val="RKnormal"/>
      </w:pPr>
      <w:r w:rsidRPr="00CE76B5">
        <w:t xml:space="preserve">Det finns enligt </w:t>
      </w:r>
      <w:r>
        <w:t>EU:s momsdirektiv</w:t>
      </w:r>
      <w:r w:rsidRPr="00CE76B5">
        <w:t xml:space="preserve"> möjlighet att tillämpa omvänd skattskyldighet, dvs. att köparen är skattskyldig för moms i stället för säljaren, på vissa varor och tjänster som är särskilt utsatta för </w:t>
      </w:r>
      <w:r>
        <w:t xml:space="preserve">momsbedrägerier. Sverige </w:t>
      </w:r>
      <w:r w:rsidRPr="00CE76B5">
        <w:t xml:space="preserve">tillämpar omvänd skattskyldighet på bl.a. </w:t>
      </w:r>
      <w:r>
        <w:t>byggtjänster</w:t>
      </w:r>
      <w:r w:rsidRPr="00CE76B5">
        <w:t>. So</w:t>
      </w:r>
      <w:r>
        <w:t>m ett led i att bekämpa momsfusk driver ett antal medlemsstater</w:t>
      </w:r>
      <w:r w:rsidRPr="00CE76B5">
        <w:t xml:space="preserve"> frågan om utökad omvänd skattskyldighet för moms. </w:t>
      </w:r>
      <w:r>
        <w:t xml:space="preserve">Tjeckien har föreslagit att utökad omvänd skattskyldighet ska prövas i ett pilotprojekt, eller att momsdirektivet ska ändras så att det blir möjligt att i större utsträckning använda omvänd skattskyldighet. Kommissionen har indikerat att de kan komma att titta på frågan om omvänd skattskyldighet </w:t>
      </w:r>
      <w:r w:rsidRPr="00403782">
        <w:t>inom ramen för handlingsplanen för det slutliga momssystemet</w:t>
      </w:r>
      <w:r>
        <w:t>.</w:t>
      </w:r>
    </w:p>
    <w:p w14:paraId="68594A7F" w14:textId="77777777" w:rsidR="00E152B2" w:rsidRDefault="00E152B2" w:rsidP="00E152B2">
      <w:pPr>
        <w:tabs>
          <w:tab w:val="left" w:pos="0"/>
        </w:tabs>
        <w:overflowPunct/>
        <w:spacing w:line="240" w:lineRule="auto"/>
        <w:textAlignment w:val="auto"/>
        <w:rPr>
          <w:lang w:eastAsia="sv-SE"/>
        </w:rPr>
      </w:pPr>
    </w:p>
    <w:p w14:paraId="448BE3D2" w14:textId="13C51823" w:rsidR="00E152B2" w:rsidRDefault="00E152B2" w:rsidP="00E152B2">
      <w:pPr>
        <w:spacing w:line="240" w:lineRule="auto"/>
        <w:rPr>
          <w:b/>
          <w:i/>
        </w:rPr>
      </w:pPr>
      <w:r w:rsidRPr="00BB3385">
        <w:rPr>
          <w:b/>
          <w:i/>
        </w:rPr>
        <w:t xml:space="preserve">Förslag till svensk ståndpunkt </w:t>
      </w:r>
    </w:p>
    <w:p w14:paraId="16174FF8" w14:textId="07A19950" w:rsidR="005A218C" w:rsidRPr="00CE76B5" w:rsidRDefault="005A218C" w:rsidP="005A218C">
      <w:pPr>
        <w:pStyle w:val="RKnormal"/>
      </w:pPr>
      <w:r>
        <w:t xml:space="preserve">Det är angeläget att motverka momsbedrägerier. Omvänd skattskyldighet är en åtgärd som kan användas för att motverka bedrägerier. Regeringen stödjer dock inte en generell omvänd </w:t>
      </w:r>
      <w:r>
        <w:lastRenderedPageBreak/>
        <w:t xml:space="preserve">skattskyldighet, eftersom omvänd skattskyldighet ökar den administrativa bördan för företagen, minskar förutsebarheten och strider mot principen att mervärdesskatten är en flerledsskatt. </w:t>
      </w:r>
      <w:r w:rsidRPr="00BA70E5">
        <w:t>Av dessa skäl är regeringen även tveksam till ett pilotprojekt.</w:t>
      </w:r>
    </w:p>
    <w:p w14:paraId="7B1A6715" w14:textId="470454C0" w:rsidR="00FD7FF2" w:rsidRDefault="00621B4A" w:rsidP="00D66637">
      <w:pPr>
        <w:pStyle w:val="Liststycke"/>
        <w:numPr>
          <w:ilvl w:val="0"/>
          <w:numId w:val="1"/>
        </w:numPr>
        <w:overflowPunct/>
        <w:autoSpaceDE/>
        <w:autoSpaceDN/>
        <w:adjustRightInd/>
        <w:spacing w:before="480" w:line="240" w:lineRule="auto"/>
        <w:ind w:left="357" w:hanging="357"/>
        <w:textAlignment w:val="auto"/>
      </w:pPr>
      <w:r w:rsidRPr="003B75CB">
        <w:rPr>
          <w:rFonts w:cs="OrigGarmnd BT"/>
          <w:b/>
          <w:bCs/>
          <w:color w:val="000000"/>
          <w:szCs w:val="24"/>
          <w:lang w:eastAsia="sv-SE"/>
        </w:rPr>
        <w:t>Övriga frågor</w:t>
      </w:r>
      <w:r w:rsidR="009B0947" w:rsidRPr="003B75CB">
        <w:rPr>
          <w:b/>
        </w:rPr>
        <w:br/>
      </w:r>
    </w:p>
    <w:p w14:paraId="77B2F9B5" w14:textId="6143E900" w:rsidR="00E152B2" w:rsidRPr="007334D3" w:rsidRDefault="00E152B2" w:rsidP="00E152B2">
      <w:pPr>
        <w:pStyle w:val="Liststycke"/>
        <w:overflowPunct/>
        <w:autoSpaceDE/>
        <w:autoSpaceDN/>
        <w:adjustRightInd/>
        <w:spacing w:before="480" w:line="240" w:lineRule="auto"/>
        <w:ind w:left="357"/>
        <w:textAlignment w:val="auto"/>
        <w:rPr>
          <w:rFonts w:cs="OrigGarmnd BT"/>
          <w:b/>
          <w:bCs/>
          <w:color w:val="000000"/>
          <w:szCs w:val="24"/>
          <w:lang w:eastAsia="sv-SE"/>
        </w:rPr>
      </w:pPr>
      <w:r>
        <w:rPr>
          <w:b/>
        </w:rPr>
        <w:t xml:space="preserve">(ev.) </w:t>
      </w:r>
      <w:r w:rsidRPr="007334D3">
        <w:rPr>
          <w:b/>
        </w:rPr>
        <w:t>Kampen mot terrorismfinansiering</w:t>
      </w:r>
      <w:r w:rsidRPr="007334D3">
        <w:rPr>
          <w:b/>
        </w:rPr>
        <w:br/>
      </w:r>
      <w:r w:rsidRPr="009B0947">
        <w:rPr>
          <w:lang w:eastAsia="sv-SE"/>
        </w:rPr>
        <w:t>- Diskussionspunkt</w:t>
      </w:r>
    </w:p>
    <w:p w14:paraId="282294CF" w14:textId="77777777" w:rsidR="00E152B2" w:rsidRDefault="00E152B2" w:rsidP="00E152B2">
      <w:pPr>
        <w:spacing w:line="240" w:lineRule="auto"/>
      </w:pPr>
    </w:p>
    <w:p w14:paraId="12453A97" w14:textId="0DA2FD4D" w:rsidR="00C02BDE" w:rsidRDefault="00C02BDE" w:rsidP="00C02BDE">
      <w:pPr>
        <w:pStyle w:val="RKnormal"/>
        <w:spacing w:line="276" w:lineRule="auto"/>
      </w:pPr>
      <w:r>
        <w:t>Rådet ska</w:t>
      </w:r>
      <w:r w:rsidR="00D75F5F">
        <w:t>, på initiativ av Frankrike,</w:t>
      </w:r>
      <w:r>
        <w:t xml:space="preserve"> följa upp kommissionens arbete med att ta fram förslag på åtgärder för att stärka det europeiska ramverket för bekämpning av finansiering av terrorism. </w:t>
      </w:r>
    </w:p>
    <w:p w14:paraId="163132CA" w14:textId="77777777" w:rsidR="00C02BDE" w:rsidRDefault="00C02BDE" w:rsidP="00C02BDE">
      <w:pPr>
        <w:pStyle w:val="RKnormal"/>
        <w:spacing w:line="276" w:lineRule="auto"/>
      </w:pPr>
    </w:p>
    <w:p w14:paraId="719BE524" w14:textId="77777777" w:rsidR="00C02BDE" w:rsidRDefault="00C02BDE" w:rsidP="00C02BDE">
      <w:pPr>
        <w:spacing w:line="276" w:lineRule="auto"/>
      </w:pPr>
      <w:r w:rsidRPr="00DF3064">
        <w:t xml:space="preserve">Samråd med EU-nämnden i frågan om finansiering av terrorism skedde senast den 4 december inför Ekofinmötet den 8 december. </w:t>
      </w:r>
      <w:r>
        <w:t>Dessförinnan skedde samråd med EU-nämnden skriftligt den 23 januari 2015 i samband med antagandet av det fjärde penningtvättsdirektivet och förordningen om information som ska åtfölja överföringar av medel. De båda rättsakterna behandlades i finansutskottet den 9 december 2014.</w:t>
      </w:r>
    </w:p>
    <w:p w14:paraId="04B284D3" w14:textId="77777777" w:rsidR="00C02BDE" w:rsidRDefault="00C02BDE" w:rsidP="00C02BDE">
      <w:pPr>
        <w:spacing w:line="276" w:lineRule="auto"/>
      </w:pPr>
    </w:p>
    <w:p w14:paraId="4F9E57F6" w14:textId="77777777" w:rsidR="00C02BDE" w:rsidRDefault="00C02BDE" w:rsidP="00C02BDE">
      <w:pPr>
        <w:spacing w:line="276" w:lineRule="auto"/>
      </w:pPr>
      <w:r>
        <w:t>Därtill skedde samråd med EU-nämnden i frågor om bekämpning av terrorism den 20 november 2015 inför det extrainsatta mötet i rådet för rättsliga och inrikes frågor samma dag.</w:t>
      </w:r>
    </w:p>
    <w:p w14:paraId="4CCCEF88" w14:textId="77777777" w:rsidR="00C02BDE" w:rsidRDefault="00C02BDE" w:rsidP="00C02BDE">
      <w:pPr>
        <w:pStyle w:val="RKnormal"/>
        <w:spacing w:line="276" w:lineRule="auto"/>
      </w:pPr>
    </w:p>
    <w:p w14:paraId="2FF56BC3" w14:textId="77777777" w:rsidR="00C02BDE" w:rsidRDefault="00C02BDE" w:rsidP="00C02BDE">
      <w:pPr>
        <w:pStyle w:val="RKnormal"/>
        <w:spacing w:line="276" w:lineRule="auto"/>
      </w:pPr>
      <w:r w:rsidRPr="00DF3064">
        <w:t xml:space="preserve">Vid </w:t>
      </w:r>
      <w:r>
        <w:t>Ekofin</w:t>
      </w:r>
      <w:r w:rsidRPr="00DF3064">
        <w:t xml:space="preserve">mötet i december indikerade kommissionen att de </w:t>
      </w:r>
      <w:r>
        <w:t>var villiga att analysera och överväga</w:t>
      </w:r>
      <w:r w:rsidRPr="00DF3064">
        <w:t xml:space="preserve"> vilka åtgärder som kan vidtas för att ytterligare stärka det europeiska ramverket för bekämpning</w:t>
      </w:r>
      <w:r>
        <w:t xml:space="preserve"> av finansiering av terrorism. </w:t>
      </w:r>
      <w:r w:rsidRPr="00DF3064">
        <w:t>Rådet gav kommissionen mandat att skyndsamt gå vidare med ett sådant arbete</w:t>
      </w:r>
      <w:r>
        <w:t xml:space="preserve">. Vid mötet kommer en lägesavstämning </w:t>
      </w:r>
      <w:r w:rsidRPr="00DF3064">
        <w:t xml:space="preserve">göras. </w:t>
      </w:r>
      <w:r>
        <w:t xml:space="preserve">Några konkreta förslag har ännu inte presenterats av kommissionen. </w:t>
      </w:r>
    </w:p>
    <w:p w14:paraId="572ACCCD" w14:textId="77777777" w:rsidR="00C02BDE" w:rsidRDefault="00C02BDE" w:rsidP="00E152B2">
      <w:pPr>
        <w:spacing w:line="240" w:lineRule="auto"/>
      </w:pPr>
    </w:p>
    <w:p w14:paraId="5420F93F" w14:textId="77777777" w:rsidR="00E152B2" w:rsidRPr="00BB3385" w:rsidRDefault="00E152B2" w:rsidP="00E152B2">
      <w:pPr>
        <w:spacing w:line="240" w:lineRule="auto"/>
        <w:rPr>
          <w:b/>
          <w:i/>
        </w:rPr>
      </w:pPr>
      <w:r w:rsidRPr="00BB3385">
        <w:rPr>
          <w:b/>
          <w:i/>
        </w:rPr>
        <w:t xml:space="preserve">Förslag till svensk ståndpunkt </w:t>
      </w:r>
    </w:p>
    <w:p w14:paraId="5119E37A" w14:textId="7D09C9B8" w:rsidR="00C02BDE" w:rsidRPr="000720A0" w:rsidRDefault="00C02BDE" w:rsidP="00C02BDE">
      <w:pPr>
        <w:pStyle w:val="RKnormal"/>
        <w:spacing w:line="276" w:lineRule="auto"/>
      </w:pPr>
      <w:r>
        <w:t>Regeringen ställer sig generellt positiv till att ytterligare insatser vidtas på området, inte minst mot bakgrund av händelserna i Paris. Tidigare har nämnts t.ex. ökat samarbete mellan finansunderrättelsetjänster och reglering av nya</w:t>
      </w:r>
      <w:r w:rsidR="00D75F5F">
        <w:t xml:space="preserve"> betalningsmedel. Regeringen</w:t>
      </w:r>
      <w:r>
        <w:t xml:space="preserve"> återkomm</w:t>
      </w:r>
      <w:r w:rsidR="00D75F5F">
        <w:t>er</w:t>
      </w:r>
      <w:r>
        <w:t xml:space="preserve"> till riksdagen om nya initiativ presenteras på området.</w:t>
      </w:r>
    </w:p>
    <w:sectPr w:rsidR="00C02BDE" w:rsidRPr="000720A0" w:rsidSect="00005077">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CF58A" w14:textId="77777777" w:rsidR="005451C1" w:rsidRDefault="005451C1">
      <w:r>
        <w:separator/>
      </w:r>
    </w:p>
  </w:endnote>
  <w:endnote w:type="continuationSeparator" w:id="0">
    <w:p w14:paraId="67C69785" w14:textId="77777777" w:rsidR="005451C1" w:rsidRDefault="005451C1">
      <w:r>
        <w:continuationSeparator/>
      </w:r>
    </w:p>
  </w:endnote>
  <w:endnote w:type="continuationNotice" w:id="1">
    <w:p w14:paraId="190F794C" w14:textId="77777777" w:rsidR="005451C1" w:rsidRDefault="005451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D085C" w14:textId="77777777" w:rsidR="005451C1" w:rsidRDefault="005451C1">
      <w:r>
        <w:separator/>
      </w:r>
    </w:p>
  </w:footnote>
  <w:footnote w:type="continuationSeparator" w:id="0">
    <w:p w14:paraId="1692E2D5" w14:textId="77777777" w:rsidR="005451C1" w:rsidRDefault="005451C1">
      <w:r>
        <w:continuationSeparator/>
      </w:r>
    </w:p>
  </w:footnote>
  <w:footnote w:type="continuationNotice" w:id="1">
    <w:p w14:paraId="6171E1D3" w14:textId="77777777" w:rsidR="005451C1" w:rsidRDefault="005451C1">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9F398" w14:textId="77777777" w:rsidR="005451C1" w:rsidRDefault="005451C1" w:rsidP="00005077">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2D1364">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451C1" w14:paraId="41E78B2B" w14:textId="77777777">
      <w:trPr>
        <w:cantSplit/>
      </w:trPr>
      <w:tc>
        <w:tcPr>
          <w:tcW w:w="3119" w:type="dxa"/>
        </w:tcPr>
        <w:p w14:paraId="42F30D86" w14:textId="77777777" w:rsidR="005451C1" w:rsidRDefault="005451C1" w:rsidP="00005077">
          <w:pPr>
            <w:pStyle w:val="Sidhuvud"/>
            <w:spacing w:line="200" w:lineRule="atLeast"/>
            <w:ind w:right="360" w:firstLine="360"/>
            <w:rPr>
              <w:rFonts w:ascii="TradeGothic" w:hAnsi="TradeGothic"/>
              <w:b/>
              <w:bCs/>
              <w:sz w:val="16"/>
            </w:rPr>
          </w:pPr>
        </w:p>
      </w:tc>
      <w:tc>
        <w:tcPr>
          <w:tcW w:w="4111" w:type="dxa"/>
          <w:tcMar>
            <w:left w:w="567" w:type="dxa"/>
          </w:tcMar>
        </w:tcPr>
        <w:p w14:paraId="015A988A" w14:textId="77777777" w:rsidR="005451C1" w:rsidRDefault="005451C1">
          <w:pPr>
            <w:pStyle w:val="Sidhuvud"/>
            <w:ind w:right="360"/>
          </w:pPr>
        </w:p>
      </w:tc>
      <w:tc>
        <w:tcPr>
          <w:tcW w:w="1525" w:type="dxa"/>
        </w:tcPr>
        <w:p w14:paraId="0B9A84DB" w14:textId="77777777" w:rsidR="005451C1" w:rsidRDefault="005451C1">
          <w:pPr>
            <w:pStyle w:val="Sidhuvud"/>
            <w:ind w:right="360"/>
          </w:pPr>
        </w:p>
      </w:tc>
    </w:tr>
  </w:tbl>
  <w:p w14:paraId="6AD2CC25" w14:textId="77777777" w:rsidR="005451C1" w:rsidRDefault="005451C1">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A6012" w14:textId="77777777" w:rsidR="005451C1" w:rsidRDefault="005451C1" w:rsidP="00005077">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2D1364">
      <w:rPr>
        <w:rStyle w:val="Sidnummer"/>
        <w:noProof/>
      </w:rPr>
      <w:t>5</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451C1" w14:paraId="125D8A12" w14:textId="77777777">
      <w:trPr>
        <w:cantSplit/>
      </w:trPr>
      <w:tc>
        <w:tcPr>
          <w:tcW w:w="3119" w:type="dxa"/>
        </w:tcPr>
        <w:p w14:paraId="43148149" w14:textId="77777777" w:rsidR="005451C1" w:rsidRDefault="005451C1" w:rsidP="00005077">
          <w:pPr>
            <w:pStyle w:val="Sidhuvud"/>
            <w:spacing w:line="200" w:lineRule="atLeast"/>
            <w:ind w:right="360" w:firstLine="360"/>
            <w:rPr>
              <w:rFonts w:ascii="TradeGothic" w:hAnsi="TradeGothic"/>
              <w:b/>
              <w:bCs/>
              <w:sz w:val="16"/>
            </w:rPr>
          </w:pPr>
        </w:p>
      </w:tc>
      <w:tc>
        <w:tcPr>
          <w:tcW w:w="4111" w:type="dxa"/>
          <w:tcMar>
            <w:left w:w="567" w:type="dxa"/>
          </w:tcMar>
        </w:tcPr>
        <w:p w14:paraId="04B092D5" w14:textId="77777777" w:rsidR="005451C1" w:rsidRDefault="005451C1">
          <w:pPr>
            <w:pStyle w:val="Sidhuvud"/>
            <w:ind w:right="360"/>
          </w:pPr>
        </w:p>
      </w:tc>
      <w:tc>
        <w:tcPr>
          <w:tcW w:w="1525" w:type="dxa"/>
        </w:tcPr>
        <w:p w14:paraId="04FDA988" w14:textId="77777777" w:rsidR="005451C1" w:rsidRDefault="005451C1">
          <w:pPr>
            <w:pStyle w:val="Sidhuvud"/>
            <w:ind w:right="360"/>
          </w:pPr>
        </w:p>
      </w:tc>
    </w:tr>
  </w:tbl>
  <w:p w14:paraId="298688D7" w14:textId="77777777" w:rsidR="005451C1" w:rsidRDefault="005451C1">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2D8D1" w14:textId="77777777" w:rsidR="005451C1" w:rsidRDefault="005451C1">
    <w:pPr>
      <w:framePr w:w="2948" w:h="1321" w:hRule="exact" w:wrap="notBeside" w:vAnchor="page" w:hAnchor="page" w:x="1362" w:y="653"/>
    </w:pPr>
    <w:r>
      <w:rPr>
        <w:noProof/>
        <w:lang w:eastAsia="sv-SE"/>
      </w:rPr>
      <w:drawing>
        <wp:inline distT="0" distB="0" distL="0" distR="0" wp14:anchorId="1F2EE7DC" wp14:editId="6581B38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FA475E9" w14:textId="77777777" w:rsidR="005451C1" w:rsidRPr="00005077" w:rsidRDefault="005451C1">
    <w:pPr>
      <w:pStyle w:val="RKrubrik"/>
      <w:keepNext w:val="0"/>
      <w:tabs>
        <w:tab w:val="clear" w:pos="1134"/>
        <w:tab w:val="clear" w:pos="2835"/>
      </w:tabs>
      <w:spacing w:before="0" w:after="0" w:line="320" w:lineRule="atLeast"/>
      <w:rPr>
        <w:bCs/>
      </w:rPr>
    </w:pPr>
  </w:p>
  <w:p w14:paraId="534C3706" w14:textId="77777777" w:rsidR="005451C1" w:rsidRPr="00005077" w:rsidRDefault="005451C1">
    <w:pPr>
      <w:rPr>
        <w:rFonts w:ascii="TradeGothic" w:hAnsi="TradeGothic"/>
        <w:b/>
        <w:bCs/>
        <w:spacing w:val="12"/>
        <w:sz w:val="22"/>
      </w:rPr>
    </w:pPr>
  </w:p>
  <w:p w14:paraId="2DE7B0AE" w14:textId="77777777" w:rsidR="005451C1" w:rsidRPr="00005077" w:rsidRDefault="005451C1">
    <w:pPr>
      <w:pStyle w:val="RKrubrik"/>
      <w:keepNext w:val="0"/>
      <w:tabs>
        <w:tab w:val="clear" w:pos="1134"/>
        <w:tab w:val="clear" w:pos="2835"/>
      </w:tabs>
      <w:spacing w:before="0" w:after="0" w:line="320" w:lineRule="atLeast"/>
      <w:rPr>
        <w:bCs/>
      </w:rPr>
    </w:pPr>
  </w:p>
  <w:p w14:paraId="2C71D256" w14:textId="77777777" w:rsidR="005451C1" w:rsidRPr="00005077" w:rsidRDefault="005451C1">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F06A1"/>
    <w:multiLevelType w:val="hybridMultilevel"/>
    <w:tmpl w:val="1052903A"/>
    <w:lvl w:ilvl="0" w:tplc="0B5E54D6">
      <w:start w:val="13"/>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3212716"/>
    <w:multiLevelType w:val="hybridMultilevel"/>
    <w:tmpl w:val="E71A855E"/>
    <w:lvl w:ilvl="0" w:tplc="F910982A">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15:restartNumberingAfterBreak="0">
    <w:nsid w:val="03D10DCE"/>
    <w:multiLevelType w:val="hybridMultilevel"/>
    <w:tmpl w:val="A246EC2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07557157"/>
    <w:multiLevelType w:val="hybridMultilevel"/>
    <w:tmpl w:val="AA8EBC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8AF4A9F"/>
    <w:multiLevelType w:val="hybridMultilevel"/>
    <w:tmpl w:val="130E5EB6"/>
    <w:lvl w:ilvl="0" w:tplc="D988F332">
      <w:start w:val="1"/>
      <w:numFmt w:val="decimal"/>
      <w:lvlText w:val="%1."/>
      <w:lvlJc w:val="left"/>
      <w:pPr>
        <w:ind w:left="360" w:hanging="360"/>
      </w:pPr>
      <w:rPr>
        <w:rFonts w:hint="default"/>
        <w:b/>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 w15:restartNumberingAfterBreak="0">
    <w:nsid w:val="0A5B0941"/>
    <w:multiLevelType w:val="hybridMultilevel"/>
    <w:tmpl w:val="771E38C4"/>
    <w:lvl w:ilvl="0" w:tplc="0748CC2E">
      <w:start w:val="27"/>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30273C7"/>
    <w:multiLevelType w:val="hybridMultilevel"/>
    <w:tmpl w:val="15DAAED8"/>
    <w:lvl w:ilvl="0" w:tplc="E29E44DC">
      <w:start w:val="13"/>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9C25809"/>
    <w:multiLevelType w:val="hybridMultilevel"/>
    <w:tmpl w:val="B792F2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A7247F9"/>
    <w:multiLevelType w:val="hybridMultilevel"/>
    <w:tmpl w:val="A6C461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3E2473A"/>
    <w:multiLevelType w:val="hybridMultilevel"/>
    <w:tmpl w:val="DC24DED2"/>
    <w:lvl w:ilvl="0" w:tplc="6D420100">
      <w:start w:val="10"/>
      <w:numFmt w:val="bullet"/>
      <w:lvlText w:val="-"/>
      <w:lvlJc w:val="left"/>
      <w:pPr>
        <w:ind w:left="927" w:hanging="360"/>
      </w:pPr>
      <w:rPr>
        <w:rFonts w:ascii="Times New Roman" w:eastAsia="SimSu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10" w15:restartNumberingAfterBreak="0">
    <w:nsid w:val="272149FD"/>
    <w:multiLevelType w:val="hybridMultilevel"/>
    <w:tmpl w:val="BB5C3B58"/>
    <w:lvl w:ilvl="0" w:tplc="BA946E08">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31DA2D82"/>
    <w:multiLevelType w:val="hybridMultilevel"/>
    <w:tmpl w:val="AE8A9A10"/>
    <w:lvl w:ilvl="0" w:tplc="37B0EA5E">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5106465"/>
    <w:multiLevelType w:val="hybridMultilevel"/>
    <w:tmpl w:val="943066C4"/>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4AC0749D"/>
    <w:multiLevelType w:val="hybridMultilevel"/>
    <w:tmpl w:val="B05666F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FE70774"/>
    <w:multiLevelType w:val="singleLevel"/>
    <w:tmpl w:val="DB9EBC56"/>
    <w:name w:val="Dash 0"/>
    <w:lvl w:ilvl="0">
      <w:start w:val="1"/>
      <w:numFmt w:val="bullet"/>
      <w:lvlRestart w:val="0"/>
      <w:pStyle w:val="Dash"/>
      <w:lvlText w:val="–"/>
      <w:lvlJc w:val="left"/>
      <w:pPr>
        <w:tabs>
          <w:tab w:val="num" w:pos="567"/>
        </w:tabs>
        <w:ind w:left="567" w:hanging="567"/>
      </w:pPr>
    </w:lvl>
  </w:abstractNum>
  <w:abstractNum w:abstractNumId="15" w15:restartNumberingAfterBreak="0">
    <w:nsid w:val="51A16676"/>
    <w:multiLevelType w:val="singleLevel"/>
    <w:tmpl w:val="DB12E56A"/>
    <w:name w:val="Dash Equal 2"/>
    <w:lvl w:ilvl="0">
      <w:start w:val="1"/>
      <w:numFmt w:val="bullet"/>
      <w:lvlRestart w:val="0"/>
      <w:pStyle w:val="DashEqual2"/>
      <w:lvlText w:val="="/>
      <w:lvlJc w:val="left"/>
      <w:pPr>
        <w:tabs>
          <w:tab w:val="num" w:pos="1701"/>
        </w:tabs>
        <w:ind w:left="1701" w:hanging="567"/>
      </w:pPr>
    </w:lvl>
  </w:abstractNum>
  <w:abstractNum w:abstractNumId="16" w15:restartNumberingAfterBreak="0">
    <w:nsid w:val="5A09512C"/>
    <w:multiLevelType w:val="hybridMultilevel"/>
    <w:tmpl w:val="B8064692"/>
    <w:lvl w:ilvl="0" w:tplc="6E8C5EFE">
      <w:start w:val="13"/>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C56084F"/>
    <w:multiLevelType w:val="hybridMultilevel"/>
    <w:tmpl w:val="75D61026"/>
    <w:lvl w:ilvl="0" w:tplc="B0B0D462">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8" w15:restartNumberingAfterBreak="0">
    <w:nsid w:val="629D770E"/>
    <w:multiLevelType w:val="hybridMultilevel"/>
    <w:tmpl w:val="99A83320"/>
    <w:lvl w:ilvl="0" w:tplc="24C28B46">
      <w:start w:val="20"/>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67B44CD"/>
    <w:multiLevelType w:val="hybridMultilevel"/>
    <w:tmpl w:val="4CCE0A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8AA1742"/>
    <w:multiLevelType w:val="singleLevel"/>
    <w:tmpl w:val="4F329520"/>
    <w:lvl w:ilvl="0">
      <w:start w:val="1"/>
      <w:numFmt w:val="bullet"/>
      <w:lvlRestart w:val="0"/>
      <w:lvlText w:val="–"/>
      <w:lvlJc w:val="left"/>
      <w:pPr>
        <w:tabs>
          <w:tab w:val="num" w:pos="567"/>
        </w:tabs>
        <w:ind w:left="567" w:hanging="567"/>
      </w:pPr>
    </w:lvl>
  </w:abstractNum>
  <w:abstractNum w:abstractNumId="21" w15:restartNumberingAfterBreak="0">
    <w:nsid w:val="69250E11"/>
    <w:multiLevelType w:val="hybridMultilevel"/>
    <w:tmpl w:val="8C3C74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abstractNum w:abstractNumId="23" w15:restartNumberingAfterBreak="0">
    <w:nsid w:val="771D6C8C"/>
    <w:multiLevelType w:val="hybridMultilevel"/>
    <w:tmpl w:val="06D20DE0"/>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4"/>
  </w:num>
  <w:num w:numId="2">
    <w:abstractNumId w:val="23"/>
  </w:num>
  <w:num w:numId="3">
    <w:abstractNumId w:val="21"/>
  </w:num>
  <w:num w:numId="4">
    <w:abstractNumId w:val="9"/>
  </w:num>
  <w:num w:numId="5">
    <w:abstractNumId w:val="18"/>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7"/>
  </w:num>
  <w:num w:numId="10">
    <w:abstractNumId w:val="0"/>
  </w:num>
  <w:num w:numId="11">
    <w:abstractNumId w:val="16"/>
  </w:num>
  <w:num w:numId="12">
    <w:abstractNumId w:val="6"/>
  </w:num>
  <w:num w:numId="13">
    <w:abstractNumId w:val="1"/>
  </w:num>
  <w:num w:numId="14">
    <w:abstractNumId w:val="3"/>
  </w:num>
  <w:num w:numId="15">
    <w:abstractNumId w:val="7"/>
  </w:num>
  <w:num w:numId="16">
    <w:abstractNumId w:val="8"/>
  </w:num>
  <w:num w:numId="17">
    <w:abstractNumId w:val="2"/>
  </w:num>
  <w:num w:numId="18">
    <w:abstractNumId w:val="5"/>
  </w:num>
  <w:num w:numId="19">
    <w:abstractNumId w:val="11"/>
  </w:num>
  <w:num w:numId="20">
    <w:abstractNumId w:val="14"/>
  </w:num>
  <w:num w:numId="21">
    <w:abstractNumId w:val="13"/>
  </w:num>
  <w:num w:numId="22">
    <w:abstractNumId w:val="20"/>
  </w:num>
  <w:num w:numId="23">
    <w:abstractNumId w:val="22"/>
  </w:num>
  <w:num w:numId="24">
    <w:abstractNumId w:val="15"/>
  </w:num>
  <w:num w:numId="25">
    <w:abstractNumId w:val="1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dr" w:val="12"/>
    <w:docVar w:name="docDep" w:val="6"/>
    <w:docVar w:name="docSprak" w:val="0"/>
  </w:docVars>
  <w:rsids>
    <w:rsidRoot w:val="00005077"/>
    <w:rsid w:val="00005077"/>
    <w:rsid w:val="00006C6F"/>
    <w:rsid w:val="000117AF"/>
    <w:rsid w:val="0001642E"/>
    <w:rsid w:val="0001680B"/>
    <w:rsid w:val="00017939"/>
    <w:rsid w:val="00020BA0"/>
    <w:rsid w:val="0002769F"/>
    <w:rsid w:val="0004778E"/>
    <w:rsid w:val="00051B96"/>
    <w:rsid w:val="00056F50"/>
    <w:rsid w:val="000710B2"/>
    <w:rsid w:val="00071987"/>
    <w:rsid w:val="0007416F"/>
    <w:rsid w:val="000830EC"/>
    <w:rsid w:val="000902C8"/>
    <w:rsid w:val="00091FE6"/>
    <w:rsid w:val="000A5769"/>
    <w:rsid w:val="000B3ACB"/>
    <w:rsid w:val="000B44B0"/>
    <w:rsid w:val="000B512B"/>
    <w:rsid w:val="000C3C76"/>
    <w:rsid w:val="000C3F91"/>
    <w:rsid w:val="000D0042"/>
    <w:rsid w:val="000D71E7"/>
    <w:rsid w:val="000D7AF1"/>
    <w:rsid w:val="000E1043"/>
    <w:rsid w:val="000E33B9"/>
    <w:rsid w:val="000E3B99"/>
    <w:rsid w:val="000E3CD5"/>
    <w:rsid w:val="001100B1"/>
    <w:rsid w:val="00112E6A"/>
    <w:rsid w:val="0011416A"/>
    <w:rsid w:val="001253A2"/>
    <w:rsid w:val="0013114C"/>
    <w:rsid w:val="00136959"/>
    <w:rsid w:val="0013776E"/>
    <w:rsid w:val="0014062C"/>
    <w:rsid w:val="00150384"/>
    <w:rsid w:val="001522E2"/>
    <w:rsid w:val="00155800"/>
    <w:rsid w:val="0015612A"/>
    <w:rsid w:val="00157632"/>
    <w:rsid w:val="00160AD8"/>
    <w:rsid w:val="00160BD3"/>
    <w:rsid w:val="00174DBD"/>
    <w:rsid w:val="00175FCE"/>
    <w:rsid w:val="001802E1"/>
    <w:rsid w:val="001805B7"/>
    <w:rsid w:val="001825FB"/>
    <w:rsid w:val="00184A29"/>
    <w:rsid w:val="00185D3C"/>
    <w:rsid w:val="00186FEE"/>
    <w:rsid w:val="00191442"/>
    <w:rsid w:val="001915D5"/>
    <w:rsid w:val="00193FA6"/>
    <w:rsid w:val="001960AD"/>
    <w:rsid w:val="0019647A"/>
    <w:rsid w:val="001A4DE4"/>
    <w:rsid w:val="001A5BFC"/>
    <w:rsid w:val="001B2161"/>
    <w:rsid w:val="001B4E9A"/>
    <w:rsid w:val="001C0E54"/>
    <w:rsid w:val="001C5705"/>
    <w:rsid w:val="001C6F87"/>
    <w:rsid w:val="001C76C6"/>
    <w:rsid w:val="001D292C"/>
    <w:rsid w:val="001D67C4"/>
    <w:rsid w:val="001D790B"/>
    <w:rsid w:val="001E6BA1"/>
    <w:rsid w:val="001E746F"/>
    <w:rsid w:val="001F549A"/>
    <w:rsid w:val="001F74DF"/>
    <w:rsid w:val="0020082E"/>
    <w:rsid w:val="00200CF3"/>
    <w:rsid w:val="002017D3"/>
    <w:rsid w:val="00204E47"/>
    <w:rsid w:val="00205880"/>
    <w:rsid w:val="00206B30"/>
    <w:rsid w:val="00207772"/>
    <w:rsid w:val="0021434B"/>
    <w:rsid w:val="00216335"/>
    <w:rsid w:val="0022342D"/>
    <w:rsid w:val="00227F2A"/>
    <w:rsid w:val="002370BD"/>
    <w:rsid w:val="0024148A"/>
    <w:rsid w:val="00241700"/>
    <w:rsid w:val="00245E3C"/>
    <w:rsid w:val="0025713B"/>
    <w:rsid w:val="002650C9"/>
    <w:rsid w:val="00271A2E"/>
    <w:rsid w:val="002727C9"/>
    <w:rsid w:val="002730D6"/>
    <w:rsid w:val="00273712"/>
    <w:rsid w:val="00280310"/>
    <w:rsid w:val="00282BC6"/>
    <w:rsid w:val="00286610"/>
    <w:rsid w:val="002A0F1D"/>
    <w:rsid w:val="002A4C93"/>
    <w:rsid w:val="002A4F45"/>
    <w:rsid w:val="002A5F74"/>
    <w:rsid w:val="002A6D28"/>
    <w:rsid w:val="002B2150"/>
    <w:rsid w:val="002B5430"/>
    <w:rsid w:val="002B6D11"/>
    <w:rsid w:val="002B71AC"/>
    <w:rsid w:val="002C362D"/>
    <w:rsid w:val="002C4F3F"/>
    <w:rsid w:val="002C5CFA"/>
    <w:rsid w:val="002D1364"/>
    <w:rsid w:val="002D4323"/>
    <w:rsid w:val="002D67DC"/>
    <w:rsid w:val="002E0E74"/>
    <w:rsid w:val="002E4F14"/>
    <w:rsid w:val="002E6993"/>
    <w:rsid w:val="002F102D"/>
    <w:rsid w:val="002F1A4F"/>
    <w:rsid w:val="002F61E4"/>
    <w:rsid w:val="0030194F"/>
    <w:rsid w:val="00312293"/>
    <w:rsid w:val="003143A4"/>
    <w:rsid w:val="003217B4"/>
    <w:rsid w:val="00334068"/>
    <w:rsid w:val="00334650"/>
    <w:rsid w:val="00335F8C"/>
    <w:rsid w:val="00335FE4"/>
    <w:rsid w:val="003423E1"/>
    <w:rsid w:val="0034367B"/>
    <w:rsid w:val="003455D1"/>
    <w:rsid w:val="00347F48"/>
    <w:rsid w:val="003524C7"/>
    <w:rsid w:val="0035784E"/>
    <w:rsid w:val="0037223E"/>
    <w:rsid w:val="003768B0"/>
    <w:rsid w:val="003806E4"/>
    <w:rsid w:val="00382951"/>
    <w:rsid w:val="0038573B"/>
    <w:rsid w:val="00386A23"/>
    <w:rsid w:val="003A3838"/>
    <w:rsid w:val="003A3A4D"/>
    <w:rsid w:val="003B42CD"/>
    <w:rsid w:val="003B75CB"/>
    <w:rsid w:val="003B7989"/>
    <w:rsid w:val="003C1BD3"/>
    <w:rsid w:val="003C49A5"/>
    <w:rsid w:val="003C742D"/>
    <w:rsid w:val="003D3843"/>
    <w:rsid w:val="003D73CF"/>
    <w:rsid w:val="003E383A"/>
    <w:rsid w:val="004046C4"/>
    <w:rsid w:val="0041665C"/>
    <w:rsid w:val="0042204A"/>
    <w:rsid w:val="00430444"/>
    <w:rsid w:val="00433243"/>
    <w:rsid w:val="004370D3"/>
    <w:rsid w:val="00440BBF"/>
    <w:rsid w:val="00443156"/>
    <w:rsid w:val="004437F7"/>
    <w:rsid w:val="00444B65"/>
    <w:rsid w:val="004451FB"/>
    <w:rsid w:val="0045567A"/>
    <w:rsid w:val="004600FF"/>
    <w:rsid w:val="0046266D"/>
    <w:rsid w:val="0046273D"/>
    <w:rsid w:val="00465FB2"/>
    <w:rsid w:val="00466853"/>
    <w:rsid w:val="004715F1"/>
    <w:rsid w:val="0047322B"/>
    <w:rsid w:val="004762EC"/>
    <w:rsid w:val="00480063"/>
    <w:rsid w:val="00481E33"/>
    <w:rsid w:val="00482E76"/>
    <w:rsid w:val="00487606"/>
    <w:rsid w:val="00490606"/>
    <w:rsid w:val="00490796"/>
    <w:rsid w:val="00491993"/>
    <w:rsid w:val="00497162"/>
    <w:rsid w:val="004A10D7"/>
    <w:rsid w:val="004A2C0F"/>
    <w:rsid w:val="004A328D"/>
    <w:rsid w:val="004A404D"/>
    <w:rsid w:val="004A4F40"/>
    <w:rsid w:val="004A6F84"/>
    <w:rsid w:val="004C7466"/>
    <w:rsid w:val="004D4D6C"/>
    <w:rsid w:val="004D6CC3"/>
    <w:rsid w:val="004E0699"/>
    <w:rsid w:val="004E2827"/>
    <w:rsid w:val="004E3360"/>
    <w:rsid w:val="004E3A5F"/>
    <w:rsid w:val="004E3CA9"/>
    <w:rsid w:val="004E5165"/>
    <w:rsid w:val="004F185A"/>
    <w:rsid w:val="004F3445"/>
    <w:rsid w:val="004F4B73"/>
    <w:rsid w:val="00500F84"/>
    <w:rsid w:val="00504CAA"/>
    <w:rsid w:val="005051A9"/>
    <w:rsid w:val="0050619E"/>
    <w:rsid w:val="005147FA"/>
    <w:rsid w:val="005150A6"/>
    <w:rsid w:val="00523BAB"/>
    <w:rsid w:val="00525C0D"/>
    <w:rsid w:val="00542B09"/>
    <w:rsid w:val="00542EB7"/>
    <w:rsid w:val="005451C1"/>
    <w:rsid w:val="00545277"/>
    <w:rsid w:val="005525A9"/>
    <w:rsid w:val="005759E7"/>
    <w:rsid w:val="00581946"/>
    <w:rsid w:val="00581CC1"/>
    <w:rsid w:val="00581F96"/>
    <w:rsid w:val="00584719"/>
    <w:rsid w:val="0058762B"/>
    <w:rsid w:val="00591639"/>
    <w:rsid w:val="00593EA1"/>
    <w:rsid w:val="005A218C"/>
    <w:rsid w:val="005B0E7D"/>
    <w:rsid w:val="005B0F8B"/>
    <w:rsid w:val="005B4D0B"/>
    <w:rsid w:val="005C2C96"/>
    <w:rsid w:val="005C6A10"/>
    <w:rsid w:val="005D2758"/>
    <w:rsid w:val="005D3A8A"/>
    <w:rsid w:val="005D62A9"/>
    <w:rsid w:val="005E5C5C"/>
    <w:rsid w:val="005F127E"/>
    <w:rsid w:val="005F2311"/>
    <w:rsid w:val="005F3281"/>
    <w:rsid w:val="005F5235"/>
    <w:rsid w:val="00607ABA"/>
    <w:rsid w:val="00610D06"/>
    <w:rsid w:val="00613591"/>
    <w:rsid w:val="00613CDF"/>
    <w:rsid w:val="00621B4A"/>
    <w:rsid w:val="00623BD0"/>
    <w:rsid w:val="006253B1"/>
    <w:rsid w:val="00625DAD"/>
    <w:rsid w:val="0063215B"/>
    <w:rsid w:val="0063771A"/>
    <w:rsid w:val="00640BDF"/>
    <w:rsid w:val="00647931"/>
    <w:rsid w:val="00655A1F"/>
    <w:rsid w:val="00663781"/>
    <w:rsid w:val="00667CD0"/>
    <w:rsid w:val="00667FEA"/>
    <w:rsid w:val="00672889"/>
    <w:rsid w:val="00672EFB"/>
    <w:rsid w:val="00675A57"/>
    <w:rsid w:val="00684821"/>
    <w:rsid w:val="006856BF"/>
    <w:rsid w:val="006921FC"/>
    <w:rsid w:val="00693D83"/>
    <w:rsid w:val="006A09B7"/>
    <w:rsid w:val="006A6FA8"/>
    <w:rsid w:val="006B0694"/>
    <w:rsid w:val="006B4B2A"/>
    <w:rsid w:val="006D28B9"/>
    <w:rsid w:val="006D5632"/>
    <w:rsid w:val="006D59DC"/>
    <w:rsid w:val="006D6B56"/>
    <w:rsid w:val="006E185E"/>
    <w:rsid w:val="006E1B1E"/>
    <w:rsid w:val="006E4E11"/>
    <w:rsid w:val="006F6FB0"/>
    <w:rsid w:val="007131F0"/>
    <w:rsid w:val="007242A3"/>
    <w:rsid w:val="0072583B"/>
    <w:rsid w:val="00725A6B"/>
    <w:rsid w:val="0073251A"/>
    <w:rsid w:val="007334D3"/>
    <w:rsid w:val="00733972"/>
    <w:rsid w:val="007461EE"/>
    <w:rsid w:val="00750C0C"/>
    <w:rsid w:val="00752011"/>
    <w:rsid w:val="00754125"/>
    <w:rsid w:val="00754BCB"/>
    <w:rsid w:val="00763BAF"/>
    <w:rsid w:val="007661C2"/>
    <w:rsid w:val="00775D59"/>
    <w:rsid w:val="00776800"/>
    <w:rsid w:val="00780EF1"/>
    <w:rsid w:val="00780F56"/>
    <w:rsid w:val="007933F8"/>
    <w:rsid w:val="007935AF"/>
    <w:rsid w:val="00794B32"/>
    <w:rsid w:val="0079552D"/>
    <w:rsid w:val="007A1242"/>
    <w:rsid w:val="007A2D98"/>
    <w:rsid w:val="007A6855"/>
    <w:rsid w:val="007A7D86"/>
    <w:rsid w:val="007C3C6D"/>
    <w:rsid w:val="007D3C20"/>
    <w:rsid w:val="007E3DD6"/>
    <w:rsid w:val="007E712D"/>
    <w:rsid w:val="007F1798"/>
    <w:rsid w:val="007F4059"/>
    <w:rsid w:val="008010CB"/>
    <w:rsid w:val="00802C4F"/>
    <w:rsid w:val="008037A3"/>
    <w:rsid w:val="00805B92"/>
    <w:rsid w:val="00807575"/>
    <w:rsid w:val="00813F79"/>
    <w:rsid w:val="00815864"/>
    <w:rsid w:val="00817FFC"/>
    <w:rsid w:val="008215F2"/>
    <w:rsid w:val="00827033"/>
    <w:rsid w:val="008270B2"/>
    <w:rsid w:val="00827571"/>
    <w:rsid w:val="008365BE"/>
    <w:rsid w:val="00837207"/>
    <w:rsid w:val="00837DEB"/>
    <w:rsid w:val="008426A2"/>
    <w:rsid w:val="008436C3"/>
    <w:rsid w:val="00856A0E"/>
    <w:rsid w:val="0086208C"/>
    <w:rsid w:val="0086229F"/>
    <w:rsid w:val="00862DD4"/>
    <w:rsid w:val="008704D9"/>
    <w:rsid w:val="00874634"/>
    <w:rsid w:val="00880A8A"/>
    <w:rsid w:val="008843B1"/>
    <w:rsid w:val="00890085"/>
    <w:rsid w:val="00895916"/>
    <w:rsid w:val="008970B7"/>
    <w:rsid w:val="008970D9"/>
    <w:rsid w:val="008A08CF"/>
    <w:rsid w:val="008B0363"/>
    <w:rsid w:val="008B3F12"/>
    <w:rsid w:val="008C4622"/>
    <w:rsid w:val="008C4E67"/>
    <w:rsid w:val="008C54FD"/>
    <w:rsid w:val="008C5674"/>
    <w:rsid w:val="008C7092"/>
    <w:rsid w:val="008D5A83"/>
    <w:rsid w:val="008F5BA0"/>
    <w:rsid w:val="00905890"/>
    <w:rsid w:val="00906AF5"/>
    <w:rsid w:val="00911214"/>
    <w:rsid w:val="00915362"/>
    <w:rsid w:val="00922AD7"/>
    <w:rsid w:val="00923034"/>
    <w:rsid w:val="00924418"/>
    <w:rsid w:val="00926142"/>
    <w:rsid w:val="00930FC0"/>
    <w:rsid w:val="00932AA6"/>
    <w:rsid w:val="00933829"/>
    <w:rsid w:val="00934EE8"/>
    <w:rsid w:val="00942165"/>
    <w:rsid w:val="00942465"/>
    <w:rsid w:val="0094713A"/>
    <w:rsid w:val="009477E6"/>
    <w:rsid w:val="00950F8D"/>
    <w:rsid w:val="0095196E"/>
    <w:rsid w:val="009710C1"/>
    <w:rsid w:val="00972322"/>
    <w:rsid w:val="009764B6"/>
    <w:rsid w:val="009907CE"/>
    <w:rsid w:val="0099677A"/>
    <w:rsid w:val="00996E92"/>
    <w:rsid w:val="009A5184"/>
    <w:rsid w:val="009A5E79"/>
    <w:rsid w:val="009B0947"/>
    <w:rsid w:val="009B20B5"/>
    <w:rsid w:val="009B6A21"/>
    <w:rsid w:val="009C10D8"/>
    <w:rsid w:val="009C2686"/>
    <w:rsid w:val="009C533F"/>
    <w:rsid w:val="009D0ED9"/>
    <w:rsid w:val="009D2446"/>
    <w:rsid w:val="009D5FC9"/>
    <w:rsid w:val="009D78F3"/>
    <w:rsid w:val="009E2A4F"/>
    <w:rsid w:val="009E611A"/>
    <w:rsid w:val="009F29C1"/>
    <w:rsid w:val="009F2F03"/>
    <w:rsid w:val="00A0090A"/>
    <w:rsid w:val="00A01FE8"/>
    <w:rsid w:val="00A036BB"/>
    <w:rsid w:val="00A037D0"/>
    <w:rsid w:val="00A03894"/>
    <w:rsid w:val="00A150BC"/>
    <w:rsid w:val="00A2116E"/>
    <w:rsid w:val="00A23E4D"/>
    <w:rsid w:val="00A250AB"/>
    <w:rsid w:val="00A27CB0"/>
    <w:rsid w:val="00A33BCE"/>
    <w:rsid w:val="00A358D3"/>
    <w:rsid w:val="00A3704D"/>
    <w:rsid w:val="00A40D86"/>
    <w:rsid w:val="00A43974"/>
    <w:rsid w:val="00A439DA"/>
    <w:rsid w:val="00A503CC"/>
    <w:rsid w:val="00A5054E"/>
    <w:rsid w:val="00A552AF"/>
    <w:rsid w:val="00A56AF7"/>
    <w:rsid w:val="00A63C75"/>
    <w:rsid w:val="00A71827"/>
    <w:rsid w:val="00A74AB1"/>
    <w:rsid w:val="00A7655A"/>
    <w:rsid w:val="00A770E3"/>
    <w:rsid w:val="00A8510B"/>
    <w:rsid w:val="00A854D0"/>
    <w:rsid w:val="00A9526C"/>
    <w:rsid w:val="00A95E63"/>
    <w:rsid w:val="00AA1AD5"/>
    <w:rsid w:val="00AA445E"/>
    <w:rsid w:val="00AB2C6E"/>
    <w:rsid w:val="00AD3451"/>
    <w:rsid w:val="00AD49E3"/>
    <w:rsid w:val="00AD65DD"/>
    <w:rsid w:val="00AE60E6"/>
    <w:rsid w:val="00AE6EE9"/>
    <w:rsid w:val="00AF171A"/>
    <w:rsid w:val="00AF32AB"/>
    <w:rsid w:val="00AF422A"/>
    <w:rsid w:val="00B076B7"/>
    <w:rsid w:val="00B11BD7"/>
    <w:rsid w:val="00B202A2"/>
    <w:rsid w:val="00B20749"/>
    <w:rsid w:val="00B214EF"/>
    <w:rsid w:val="00B2211A"/>
    <w:rsid w:val="00B24EA2"/>
    <w:rsid w:val="00B32324"/>
    <w:rsid w:val="00B34EB1"/>
    <w:rsid w:val="00B34F80"/>
    <w:rsid w:val="00B402E0"/>
    <w:rsid w:val="00B42725"/>
    <w:rsid w:val="00B443B1"/>
    <w:rsid w:val="00B47B3C"/>
    <w:rsid w:val="00B47C97"/>
    <w:rsid w:val="00B503B0"/>
    <w:rsid w:val="00B568F3"/>
    <w:rsid w:val="00B6290B"/>
    <w:rsid w:val="00B6336E"/>
    <w:rsid w:val="00B660B1"/>
    <w:rsid w:val="00B66106"/>
    <w:rsid w:val="00B66CC8"/>
    <w:rsid w:val="00B71809"/>
    <w:rsid w:val="00B82F6A"/>
    <w:rsid w:val="00B8507B"/>
    <w:rsid w:val="00B86AEE"/>
    <w:rsid w:val="00B87B65"/>
    <w:rsid w:val="00B94943"/>
    <w:rsid w:val="00B94B74"/>
    <w:rsid w:val="00B9596D"/>
    <w:rsid w:val="00B96BD0"/>
    <w:rsid w:val="00BA28B1"/>
    <w:rsid w:val="00BA426A"/>
    <w:rsid w:val="00BB1984"/>
    <w:rsid w:val="00BB1EA7"/>
    <w:rsid w:val="00BB3385"/>
    <w:rsid w:val="00BB3E66"/>
    <w:rsid w:val="00BB64EC"/>
    <w:rsid w:val="00BB7130"/>
    <w:rsid w:val="00BC33E2"/>
    <w:rsid w:val="00BC4FBF"/>
    <w:rsid w:val="00BC56C1"/>
    <w:rsid w:val="00BD69C7"/>
    <w:rsid w:val="00BE2CA9"/>
    <w:rsid w:val="00BE3D43"/>
    <w:rsid w:val="00BF5A81"/>
    <w:rsid w:val="00C021C5"/>
    <w:rsid w:val="00C02BDE"/>
    <w:rsid w:val="00C052B1"/>
    <w:rsid w:val="00C16F9A"/>
    <w:rsid w:val="00C23ECC"/>
    <w:rsid w:val="00C257B5"/>
    <w:rsid w:val="00C278FA"/>
    <w:rsid w:val="00C45114"/>
    <w:rsid w:val="00C47ECF"/>
    <w:rsid w:val="00C54860"/>
    <w:rsid w:val="00C55805"/>
    <w:rsid w:val="00C55F23"/>
    <w:rsid w:val="00C609F4"/>
    <w:rsid w:val="00C622AE"/>
    <w:rsid w:val="00C82444"/>
    <w:rsid w:val="00C903FE"/>
    <w:rsid w:val="00C92B8D"/>
    <w:rsid w:val="00C932E6"/>
    <w:rsid w:val="00C93D86"/>
    <w:rsid w:val="00C9529D"/>
    <w:rsid w:val="00CA1FFD"/>
    <w:rsid w:val="00CA622B"/>
    <w:rsid w:val="00CC2B6D"/>
    <w:rsid w:val="00CC437C"/>
    <w:rsid w:val="00CD60E9"/>
    <w:rsid w:val="00CE2F8A"/>
    <w:rsid w:val="00CE7AC5"/>
    <w:rsid w:val="00CF567B"/>
    <w:rsid w:val="00D00A16"/>
    <w:rsid w:val="00D01325"/>
    <w:rsid w:val="00D02666"/>
    <w:rsid w:val="00D0646F"/>
    <w:rsid w:val="00D110D3"/>
    <w:rsid w:val="00D133D7"/>
    <w:rsid w:val="00D14ACA"/>
    <w:rsid w:val="00D176B2"/>
    <w:rsid w:val="00D178A1"/>
    <w:rsid w:val="00D25B17"/>
    <w:rsid w:val="00D307EE"/>
    <w:rsid w:val="00D33A42"/>
    <w:rsid w:val="00D34504"/>
    <w:rsid w:val="00D37735"/>
    <w:rsid w:val="00D44CD5"/>
    <w:rsid w:val="00D626F9"/>
    <w:rsid w:val="00D63A21"/>
    <w:rsid w:val="00D65591"/>
    <w:rsid w:val="00D66637"/>
    <w:rsid w:val="00D75F5F"/>
    <w:rsid w:val="00D82DA5"/>
    <w:rsid w:val="00D92C75"/>
    <w:rsid w:val="00D95517"/>
    <w:rsid w:val="00DA05B6"/>
    <w:rsid w:val="00DA06EE"/>
    <w:rsid w:val="00DA1D3B"/>
    <w:rsid w:val="00DA592A"/>
    <w:rsid w:val="00DA745A"/>
    <w:rsid w:val="00DC6791"/>
    <w:rsid w:val="00DE4C0E"/>
    <w:rsid w:val="00DE75DA"/>
    <w:rsid w:val="00DE7D5D"/>
    <w:rsid w:val="00DF0E1B"/>
    <w:rsid w:val="00DF15F9"/>
    <w:rsid w:val="00DF6884"/>
    <w:rsid w:val="00E12272"/>
    <w:rsid w:val="00E152B2"/>
    <w:rsid w:val="00E15B18"/>
    <w:rsid w:val="00E16A59"/>
    <w:rsid w:val="00E21B51"/>
    <w:rsid w:val="00E24ED5"/>
    <w:rsid w:val="00E25600"/>
    <w:rsid w:val="00E32264"/>
    <w:rsid w:val="00E33AF8"/>
    <w:rsid w:val="00E33D41"/>
    <w:rsid w:val="00E36822"/>
    <w:rsid w:val="00E36947"/>
    <w:rsid w:val="00E42CA4"/>
    <w:rsid w:val="00E43B92"/>
    <w:rsid w:val="00E44CFC"/>
    <w:rsid w:val="00E4536A"/>
    <w:rsid w:val="00E54FEF"/>
    <w:rsid w:val="00E551B5"/>
    <w:rsid w:val="00E55D08"/>
    <w:rsid w:val="00E630EE"/>
    <w:rsid w:val="00E67216"/>
    <w:rsid w:val="00E701B0"/>
    <w:rsid w:val="00E74DB5"/>
    <w:rsid w:val="00E86CBF"/>
    <w:rsid w:val="00E87E0A"/>
    <w:rsid w:val="00E91B11"/>
    <w:rsid w:val="00EC17EC"/>
    <w:rsid w:val="00EC25F9"/>
    <w:rsid w:val="00EC281A"/>
    <w:rsid w:val="00EC5788"/>
    <w:rsid w:val="00ED210F"/>
    <w:rsid w:val="00ED3466"/>
    <w:rsid w:val="00ED583F"/>
    <w:rsid w:val="00ED5C18"/>
    <w:rsid w:val="00ED678C"/>
    <w:rsid w:val="00EE1361"/>
    <w:rsid w:val="00EE1FF5"/>
    <w:rsid w:val="00EE2BED"/>
    <w:rsid w:val="00EE3EE5"/>
    <w:rsid w:val="00EE687C"/>
    <w:rsid w:val="00EF3D4F"/>
    <w:rsid w:val="00EF711E"/>
    <w:rsid w:val="00F11B18"/>
    <w:rsid w:val="00F126E4"/>
    <w:rsid w:val="00F12AB8"/>
    <w:rsid w:val="00F35201"/>
    <w:rsid w:val="00F35DBD"/>
    <w:rsid w:val="00F3734E"/>
    <w:rsid w:val="00F43A3D"/>
    <w:rsid w:val="00F46A2F"/>
    <w:rsid w:val="00F47337"/>
    <w:rsid w:val="00F6316B"/>
    <w:rsid w:val="00F67068"/>
    <w:rsid w:val="00F7249C"/>
    <w:rsid w:val="00F85CAA"/>
    <w:rsid w:val="00F909A2"/>
    <w:rsid w:val="00F92B54"/>
    <w:rsid w:val="00F977CE"/>
    <w:rsid w:val="00FA5C28"/>
    <w:rsid w:val="00FB01BF"/>
    <w:rsid w:val="00FD7FF2"/>
    <w:rsid w:val="00FE2B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5D86D"/>
  <w15:docId w15:val="{3D130394-7399-471F-9D0C-8F054B2DA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link w:val="Rubrik2Char"/>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Stark">
    <w:name w:val="Strong"/>
    <w:qFormat/>
    <w:rsid w:val="00386A23"/>
    <w:rPr>
      <w:b/>
      <w:bCs/>
    </w:rPr>
  </w:style>
  <w:style w:type="character" w:customStyle="1" w:styleId="RKnormalChar">
    <w:name w:val="RKnormal Char"/>
    <w:link w:val="RKnormal"/>
    <w:rsid w:val="00386A23"/>
    <w:rPr>
      <w:rFonts w:ascii="OrigGarmnd BT" w:hAnsi="OrigGarmnd BT"/>
      <w:sz w:val="24"/>
      <w:lang w:eastAsia="en-US"/>
    </w:rPr>
  </w:style>
  <w:style w:type="paragraph" w:styleId="Ballongtext">
    <w:name w:val="Balloon Text"/>
    <w:basedOn w:val="Normal"/>
    <w:link w:val="BallongtextChar"/>
    <w:rsid w:val="009D244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D2446"/>
    <w:rPr>
      <w:rFonts w:ascii="Tahoma" w:hAnsi="Tahoma" w:cs="Tahoma"/>
      <w:sz w:val="16"/>
      <w:szCs w:val="16"/>
      <w:lang w:eastAsia="en-US"/>
    </w:rPr>
  </w:style>
  <w:style w:type="character" w:customStyle="1" w:styleId="Rubrik2Char">
    <w:name w:val="Rubrik 2 Char"/>
    <w:basedOn w:val="Standardstycketeckensnitt"/>
    <w:link w:val="Rubrik2"/>
    <w:rsid w:val="00FB01BF"/>
    <w:rPr>
      <w:rFonts w:ascii="TradeGothic" w:hAnsi="TradeGothic"/>
      <w:b/>
      <w:kern w:val="28"/>
      <w:sz w:val="22"/>
      <w:lang w:eastAsia="en-US"/>
    </w:rPr>
  </w:style>
  <w:style w:type="paragraph" w:styleId="Liststycke">
    <w:name w:val="List Paragraph"/>
    <w:basedOn w:val="Normal"/>
    <w:uiPriority w:val="34"/>
    <w:qFormat/>
    <w:rsid w:val="003D73CF"/>
    <w:pPr>
      <w:ind w:left="720"/>
      <w:contextualSpacing/>
    </w:pPr>
  </w:style>
  <w:style w:type="character" w:styleId="Kommentarsreferens">
    <w:name w:val="annotation reference"/>
    <w:basedOn w:val="Standardstycketeckensnitt"/>
    <w:rsid w:val="001802E1"/>
    <w:rPr>
      <w:sz w:val="16"/>
      <w:szCs w:val="16"/>
    </w:rPr>
  </w:style>
  <w:style w:type="paragraph" w:styleId="Kommentarer">
    <w:name w:val="annotation text"/>
    <w:basedOn w:val="Normal"/>
    <w:link w:val="KommentarerChar"/>
    <w:rsid w:val="001802E1"/>
    <w:pPr>
      <w:spacing w:line="240" w:lineRule="auto"/>
    </w:pPr>
    <w:rPr>
      <w:sz w:val="20"/>
    </w:rPr>
  </w:style>
  <w:style w:type="character" w:customStyle="1" w:styleId="KommentarerChar">
    <w:name w:val="Kommentarer Char"/>
    <w:basedOn w:val="Standardstycketeckensnitt"/>
    <w:link w:val="Kommentarer"/>
    <w:rsid w:val="001802E1"/>
    <w:rPr>
      <w:rFonts w:ascii="OrigGarmnd BT" w:hAnsi="OrigGarmnd BT"/>
      <w:lang w:eastAsia="en-US"/>
    </w:rPr>
  </w:style>
  <w:style w:type="paragraph" w:styleId="Kommentarsmne">
    <w:name w:val="annotation subject"/>
    <w:basedOn w:val="Kommentarer"/>
    <w:next w:val="Kommentarer"/>
    <w:link w:val="KommentarsmneChar"/>
    <w:rsid w:val="001802E1"/>
    <w:rPr>
      <w:b/>
      <w:bCs/>
    </w:rPr>
  </w:style>
  <w:style w:type="character" w:customStyle="1" w:styleId="KommentarsmneChar">
    <w:name w:val="Kommentarsämne Char"/>
    <w:basedOn w:val="KommentarerChar"/>
    <w:link w:val="Kommentarsmne"/>
    <w:rsid w:val="001802E1"/>
    <w:rPr>
      <w:rFonts w:ascii="OrigGarmnd BT" w:hAnsi="OrigGarmnd BT"/>
      <w:b/>
      <w:bCs/>
      <w:lang w:eastAsia="en-US"/>
    </w:rPr>
  </w:style>
  <w:style w:type="paragraph" w:styleId="Rubrik">
    <w:name w:val="Title"/>
    <w:basedOn w:val="Normal"/>
    <w:next w:val="Normal"/>
    <w:link w:val="RubrikChar"/>
    <w:qFormat/>
    <w:rsid w:val="004370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4370D3"/>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PointManual">
    <w:name w:val="Point Manual"/>
    <w:basedOn w:val="Normal"/>
    <w:rsid w:val="004370D3"/>
    <w:pPr>
      <w:overflowPunct/>
      <w:autoSpaceDE/>
      <w:autoSpaceDN/>
      <w:adjustRightInd/>
      <w:spacing w:before="200" w:line="240" w:lineRule="auto"/>
      <w:ind w:left="567" w:hanging="567"/>
      <w:textAlignment w:val="auto"/>
    </w:pPr>
    <w:rPr>
      <w:rFonts w:ascii="Times New Roman" w:hAnsi="Times New Roman"/>
      <w:szCs w:val="24"/>
    </w:rPr>
  </w:style>
  <w:style w:type="paragraph" w:styleId="Fotnotstext">
    <w:name w:val="footnote text"/>
    <w:basedOn w:val="Normal"/>
    <w:link w:val="FotnotstextChar"/>
    <w:rsid w:val="00B6336E"/>
    <w:pPr>
      <w:spacing w:line="240" w:lineRule="auto"/>
    </w:pPr>
    <w:rPr>
      <w:sz w:val="20"/>
      <w:lang w:val="en-GB"/>
    </w:rPr>
  </w:style>
  <w:style w:type="character" w:customStyle="1" w:styleId="FotnotstextChar">
    <w:name w:val="Fotnotstext Char"/>
    <w:basedOn w:val="Standardstycketeckensnitt"/>
    <w:link w:val="Fotnotstext"/>
    <w:rsid w:val="00B6336E"/>
    <w:rPr>
      <w:rFonts w:ascii="OrigGarmnd BT" w:hAnsi="OrigGarmnd BT"/>
      <w:lang w:val="en-GB" w:eastAsia="en-US"/>
    </w:rPr>
  </w:style>
  <w:style w:type="character" w:styleId="Fotnotsreferens">
    <w:name w:val="footnote reference"/>
    <w:basedOn w:val="Standardstycketeckensnitt"/>
    <w:rsid w:val="00B6336E"/>
    <w:rPr>
      <w:vertAlign w:val="superscript"/>
    </w:rPr>
  </w:style>
  <w:style w:type="paragraph" w:customStyle="1" w:styleId="CarcterCarcterCharCarcterCarcterCharCarcterCarcterCharCharCarcterCarcter">
    <w:name w:val="Carácter Carácter Char Carácter Carácter Char Carácter Carácter Char Char Carácter Carácter"/>
    <w:basedOn w:val="Normal"/>
    <w:rsid w:val="006D28B9"/>
    <w:pPr>
      <w:overflowPunct/>
      <w:autoSpaceDE/>
      <w:autoSpaceDN/>
      <w:adjustRightInd/>
      <w:spacing w:line="240" w:lineRule="auto"/>
      <w:textAlignment w:val="auto"/>
    </w:pPr>
    <w:rPr>
      <w:rFonts w:ascii="Times New Roman" w:hAnsi="Times New Roman"/>
      <w:szCs w:val="24"/>
      <w:lang w:val="pl-PL" w:eastAsia="pl-PL"/>
    </w:rPr>
  </w:style>
  <w:style w:type="character" w:customStyle="1" w:styleId="RKrubrikChar">
    <w:name w:val="RKrubrik Char"/>
    <w:link w:val="RKrubrik"/>
    <w:rsid w:val="00A9526C"/>
    <w:rPr>
      <w:rFonts w:ascii="TradeGothic" w:hAnsi="TradeGothic"/>
      <w:b/>
      <w:sz w:val="22"/>
      <w:lang w:eastAsia="en-US"/>
    </w:rPr>
  </w:style>
  <w:style w:type="paragraph" w:customStyle="1" w:styleId="Dash">
    <w:name w:val="Dash"/>
    <w:basedOn w:val="Normal"/>
    <w:rsid w:val="00DA745A"/>
    <w:pPr>
      <w:numPr>
        <w:numId w:val="20"/>
      </w:numPr>
      <w:overflowPunct/>
      <w:autoSpaceDE/>
      <w:autoSpaceDN/>
      <w:adjustRightInd/>
      <w:spacing w:before="200" w:line="240" w:lineRule="auto"/>
      <w:textAlignment w:val="auto"/>
    </w:pPr>
    <w:rPr>
      <w:rFonts w:ascii="Times New Roman" w:hAnsi="Times New Roman"/>
      <w:szCs w:val="24"/>
      <w:lang w:eastAsia="sv-SE" w:bidi="sv-SE"/>
    </w:rPr>
  </w:style>
  <w:style w:type="paragraph" w:customStyle="1" w:styleId="Dash1">
    <w:name w:val="Dash 1"/>
    <w:basedOn w:val="Normal"/>
    <w:rsid w:val="00A56AF7"/>
    <w:pPr>
      <w:numPr>
        <w:numId w:val="23"/>
      </w:numPr>
      <w:overflowPunct/>
      <w:autoSpaceDE/>
      <w:autoSpaceDN/>
      <w:adjustRightInd/>
      <w:spacing w:line="240" w:lineRule="auto"/>
      <w:textAlignment w:val="auto"/>
      <w:outlineLvl w:val="0"/>
    </w:pPr>
    <w:rPr>
      <w:rFonts w:ascii="Times New Roman" w:hAnsi="Times New Roman"/>
      <w:szCs w:val="24"/>
      <w:lang w:eastAsia="sv-SE" w:bidi="sv-SE"/>
    </w:rPr>
  </w:style>
  <w:style w:type="paragraph" w:customStyle="1" w:styleId="DashEqual2">
    <w:name w:val="Dash Equal 2"/>
    <w:basedOn w:val="Normal"/>
    <w:rsid w:val="00A56AF7"/>
    <w:pPr>
      <w:numPr>
        <w:numId w:val="24"/>
      </w:numPr>
      <w:overflowPunct/>
      <w:autoSpaceDE/>
      <w:autoSpaceDN/>
      <w:adjustRightInd/>
      <w:spacing w:line="240" w:lineRule="auto"/>
      <w:textAlignment w:val="auto"/>
      <w:outlineLvl w:val="1"/>
    </w:pPr>
    <w:rPr>
      <w:rFonts w:ascii="Times New Roman" w:hAnsi="Times New Roman"/>
      <w:szCs w:val="24"/>
      <w:lang w:eastAsia="sv-SE" w:bidi="sv-SE"/>
    </w:rPr>
  </w:style>
  <w:style w:type="paragraph" w:customStyle="1" w:styleId="rknormal0">
    <w:name w:val="rknormal"/>
    <w:basedOn w:val="Normal"/>
    <w:rsid w:val="00AE6EE9"/>
    <w:pPr>
      <w:overflowPunct/>
      <w:adjustRightInd/>
      <w:spacing w:line="240" w:lineRule="atLeast"/>
      <w:textAlignment w:val="auto"/>
    </w:pPr>
    <w:rPr>
      <w:rFonts w:eastAsiaTheme="minorHAnsi"/>
      <w:szCs w:val="24"/>
      <w:lang w:eastAsia="sv-SE"/>
    </w:rPr>
  </w:style>
  <w:style w:type="paragraph" w:styleId="Normalwebb">
    <w:name w:val="Normal (Web)"/>
    <w:basedOn w:val="Normal"/>
    <w:uiPriority w:val="99"/>
    <w:unhideWhenUsed/>
    <w:rsid w:val="00186FEE"/>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Revision">
    <w:name w:val="Revision"/>
    <w:hidden/>
    <w:uiPriority w:val="99"/>
    <w:semiHidden/>
    <w:rsid w:val="006D5632"/>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89557">
      <w:bodyDiv w:val="1"/>
      <w:marLeft w:val="0"/>
      <w:marRight w:val="0"/>
      <w:marTop w:val="0"/>
      <w:marBottom w:val="0"/>
      <w:divBdr>
        <w:top w:val="none" w:sz="0" w:space="0" w:color="auto"/>
        <w:left w:val="none" w:sz="0" w:space="0" w:color="auto"/>
        <w:bottom w:val="none" w:sz="0" w:space="0" w:color="auto"/>
        <w:right w:val="none" w:sz="0" w:space="0" w:color="auto"/>
      </w:divBdr>
    </w:div>
    <w:div w:id="247470644">
      <w:bodyDiv w:val="1"/>
      <w:marLeft w:val="0"/>
      <w:marRight w:val="0"/>
      <w:marTop w:val="0"/>
      <w:marBottom w:val="0"/>
      <w:divBdr>
        <w:top w:val="none" w:sz="0" w:space="0" w:color="auto"/>
        <w:left w:val="none" w:sz="0" w:space="0" w:color="auto"/>
        <w:bottom w:val="none" w:sz="0" w:space="0" w:color="auto"/>
        <w:right w:val="none" w:sz="0" w:space="0" w:color="auto"/>
      </w:divBdr>
    </w:div>
    <w:div w:id="1127972365">
      <w:bodyDiv w:val="1"/>
      <w:marLeft w:val="0"/>
      <w:marRight w:val="0"/>
      <w:marTop w:val="0"/>
      <w:marBottom w:val="0"/>
      <w:divBdr>
        <w:top w:val="none" w:sz="0" w:space="0" w:color="auto"/>
        <w:left w:val="none" w:sz="0" w:space="0" w:color="auto"/>
        <w:bottom w:val="none" w:sz="0" w:space="0" w:color="auto"/>
        <w:right w:val="none" w:sz="0" w:space="0" w:color="auto"/>
      </w:divBdr>
    </w:div>
    <w:div w:id="1300376902">
      <w:bodyDiv w:val="1"/>
      <w:marLeft w:val="0"/>
      <w:marRight w:val="0"/>
      <w:marTop w:val="0"/>
      <w:marBottom w:val="0"/>
      <w:divBdr>
        <w:top w:val="none" w:sz="0" w:space="0" w:color="auto"/>
        <w:left w:val="none" w:sz="0" w:space="0" w:color="auto"/>
        <w:bottom w:val="none" w:sz="0" w:space="0" w:color="auto"/>
        <w:right w:val="none" w:sz="0" w:space="0" w:color="auto"/>
      </w:divBdr>
    </w:div>
    <w:div w:id="1487164053">
      <w:bodyDiv w:val="1"/>
      <w:marLeft w:val="0"/>
      <w:marRight w:val="0"/>
      <w:marTop w:val="0"/>
      <w:marBottom w:val="0"/>
      <w:divBdr>
        <w:top w:val="none" w:sz="0" w:space="0" w:color="auto"/>
        <w:left w:val="none" w:sz="0" w:space="0" w:color="auto"/>
        <w:bottom w:val="none" w:sz="0" w:space="0" w:color="auto"/>
        <w:right w:val="none" w:sz="0" w:space="0" w:color="auto"/>
      </w:divBdr>
    </w:div>
    <w:div w:id="1537231044">
      <w:bodyDiv w:val="1"/>
      <w:marLeft w:val="0"/>
      <w:marRight w:val="0"/>
      <w:marTop w:val="0"/>
      <w:marBottom w:val="0"/>
      <w:divBdr>
        <w:top w:val="none" w:sz="0" w:space="0" w:color="auto"/>
        <w:left w:val="none" w:sz="0" w:space="0" w:color="auto"/>
        <w:bottom w:val="none" w:sz="0" w:space="0" w:color="auto"/>
        <w:right w:val="none" w:sz="0" w:space="0" w:color="auto"/>
      </w:divBdr>
    </w:div>
    <w:div w:id="207284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A79D51A7FC67FC46A097AC1917FDE48D" ma:contentTypeVersion="31" ma:contentTypeDescription="Skapa ett nytt dokument." ma:contentTypeScope="" ma:versionID="1d7cfd34078c4b85bf763b756eec0152">
  <xsd:schema xmlns:xsd="http://www.w3.org/2001/XMLSchema" xmlns:xs="http://www.w3.org/2001/XMLSchema" xmlns:p="http://schemas.microsoft.com/office/2006/metadata/properties" xmlns:ns2="4e299e88-e5ca-4819-b20c-73fa08639097" targetNamespace="http://schemas.microsoft.com/office/2006/metadata/properties" ma:root="true" ma:fieldsID="bcda1f92573837c22b58ef5ce30e063a" ns2:_="">
    <xsd:import namespace="4e299e88-e5ca-4819-b20c-73fa08639097"/>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99e88-e5ca-4819-b20c-73fa08639097"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description="" ma:hidden="true" ma:list="{a51f5e12-2aba-4ccc-8407-46328aff24f1}" ma:internalName="TaxCatchAll" ma:showField="CatchAllData" ma:web="4e299e88-e5ca-4819-b20c-73fa08639097">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a51f5e12-2aba-4ccc-8407-46328aff24f1}" ma:internalName="TaxCatchAllLabel" ma:readOnly="true" ma:showField="CatchAllDataLabel" ma:web="4e299e88-e5ca-4819-b20c-73fa0863909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e299e88-e5ca-4819-b20c-73fa08639097">
      <Value>20</Value>
      <Value>1</Value>
    </TaxCatchAll>
    <Nyckelord xmlns="4e299e88-e5ca-4819-b20c-73fa08639097" xsi:nil="true"/>
    <Diarienummer xmlns="4e299e88-e5ca-4819-b20c-73fa08639097" xsi:nil="true"/>
    <_dlc_DocId xmlns="4e299e88-e5ca-4819-b20c-73fa08639097">M623RS5WZCRU-349-81</_dlc_DocId>
    <_dlc_DocIdUrl xmlns="4e299e88-e5ca-4819-b20c-73fa08639097">
      <Url>http://rkdhs-fi/ECOFIN/_layouts/DocIdRedir.aspx?ID=M623RS5WZCRU-349-81</Url>
      <Description>M623RS5WZCRU-349-81</Description>
    </_dlc_DocIdUrl>
    <k46d94c0acf84ab9a79866a9d8b1905f xmlns="4e299e88-e5ca-4819-b20c-73fa08639097">
      <Terms xmlns="http://schemas.microsoft.com/office/infopath/2007/PartnerControls">
        <TermInfo xmlns="http://schemas.microsoft.com/office/infopath/2007/PartnerControls">
          <TermName xmlns="http://schemas.microsoft.com/office/infopath/2007/PartnerControls">Finansdepartementet</TermName>
          <TermId xmlns="http://schemas.microsoft.com/office/infopath/2007/PartnerControls">0b2f41b1-db50-472c-80a1-d21b0254fb2b</TermId>
        </TermInfo>
      </Terms>
    </k46d94c0acf84ab9a79866a9d8b1905f>
    <c9cd366cc722410295b9eacffbd73909 xmlns="4e299e88-e5ca-4819-b20c-73fa08639097">
      <Terms xmlns="http://schemas.microsoft.com/office/infopath/2007/PartnerControls">
        <TermInfo xmlns="http://schemas.microsoft.com/office/infopath/2007/PartnerControls">
          <TermName xmlns="http://schemas.microsoft.com/office/infopath/2007/PartnerControls">4.1. Europeiska unionen</TermName>
          <TermId xmlns="http://schemas.microsoft.com/office/infopath/2007/PartnerControls">3702a388-75a8-47ca-a3cb-a45aec6679e6</TermId>
        </TermInfo>
      </Terms>
    </c9cd366cc722410295b9eacffbd73909>
    <Sekretess xmlns="4e299e88-e5ca-4819-b20c-73fa08639097">false</Sekretess>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F0E90-35F4-4C5D-A843-9DA9F4E9B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99e88-e5ca-4819-b20c-73fa08639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3408AA-4267-471F-B4E4-E0108FC6E7FC}">
  <ds:schemaRefs>
    <ds:schemaRef ds:uri="http://schemas.microsoft.com/sharepoint/events"/>
  </ds:schemaRefs>
</ds:datastoreItem>
</file>

<file path=customXml/itemProps3.xml><?xml version="1.0" encoding="utf-8"?>
<ds:datastoreItem xmlns:ds="http://schemas.openxmlformats.org/officeDocument/2006/customXml" ds:itemID="{C8E671C2-61BD-43F5-B008-F9982ECBB14A}">
  <ds:schemaRefs>
    <ds:schemaRef ds:uri="http://schemas.microsoft.com/office/2006/metadata/customXsn"/>
  </ds:schemaRefs>
</ds:datastoreItem>
</file>

<file path=customXml/itemProps4.xml><?xml version="1.0" encoding="utf-8"?>
<ds:datastoreItem xmlns:ds="http://schemas.openxmlformats.org/officeDocument/2006/customXml" ds:itemID="{15AE0DB7-180A-4525-B155-72BB892F2F88}">
  <ds:schemaRefs>
    <ds:schemaRef ds:uri="http://schemas.microsoft.com/sharepoint/v3/contenttype/forms"/>
  </ds:schemaRefs>
</ds:datastoreItem>
</file>

<file path=customXml/itemProps5.xml><?xml version="1.0" encoding="utf-8"?>
<ds:datastoreItem xmlns:ds="http://schemas.openxmlformats.org/officeDocument/2006/customXml" ds:itemID="{9992B355-3F2D-4B8C-B29B-83A90C250376}">
  <ds:schemaRefs>
    <ds:schemaRef ds:uri="http://schemas.microsoft.com/office/2006/metadata/properties"/>
    <ds:schemaRef ds:uri="http://schemas.microsoft.com/office/infopath/2007/PartnerControls"/>
    <ds:schemaRef ds:uri="4e299e88-e5ca-4819-b20c-73fa08639097"/>
  </ds:schemaRefs>
</ds:datastoreItem>
</file>

<file path=customXml/itemProps6.xml><?xml version="1.0" encoding="utf-8"?>
<ds:datastoreItem xmlns:ds="http://schemas.openxmlformats.org/officeDocument/2006/customXml" ds:itemID="{FFAABAD6-4E62-44FB-9443-CC620ED06256}">
  <ds:schemaRefs>
    <ds:schemaRef ds:uri="http://schemas.microsoft.com/sharepoint/v3/contenttype/forms/url"/>
  </ds:schemaRefs>
</ds:datastoreItem>
</file>

<file path=customXml/itemProps7.xml><?xml version="1.0" encoding="utf-8"?>
<ds:datastoreItem xmlns:ds="http://schemas.openxmlformats.org/officeDocument/2006/customXml" ds:itemID="{60300421-64D6-4A4C-BBDC-47EC1E7E4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1216</Words>
  <Characters>8105</Characters>
  <Application>Microsoft Office Word</Application>
  <DocSecurity>0</DocSecurity>
  <Lines>238</Lines>
  <Paragraphs>68</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9253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creator>Emil Antonsson</dc:creator>
  <cp:lastModifiedBy>Johan Eriksson</cp:lastModifiedBy>
  <cp:revision>3</cp:revision>
  <cp:lastPrinted>2016-01-08T10:45:00Z</cp:lastPrinted>
  <dcterms:created xsi:type="dcterms:W3CDTF">2016-01-08T10:44:00Z</dcterms:created>
  <dcterms:modified xsi:type="dcterms:W3CDTF">2016-01-08T10:50:00Z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0x01010053E1D612BA3F4E21AA250ECD751942B300A79D51A7FC67FC46A097AC1917FDE48D</vt:lpwstr>
  </property>
  <property fmtid="{D5CDD505-2E9C-101B-9397-08002B2CF9AE}" pid="6" name="Order">
    <vt:r8>15200</vt:r8>
  </property>
  <property fmtid="{D5CDD505-2E9C-101B-9397-08002B2CF9AE}" pid="7" name="Departementsenhet">
    <vt:lpwstr>1;#Finansdepartementet|0b2f41b1-db50-472c-80a1-d21b0254fb2b</vt:lpwstr>
  </property>
  <property fmtid="{D5CDD505-2E9C-101B-9397-08002B2CF9AE}" pid="8" name="RKOrdnaActivityCategory2">
    <vt:lpwstr>4.1. Europeiska unionen</vt:lpwstr>
  </property>
  <property fmtid="{D5CDD505-2E9C-101B-9397-08002B2CF9AE}" pid="9" name="Aktivitetskategori">
    <vt:lpwstr>20;#4.1. Europeiska unionen|3702a388-75a8-47ca-a3cb-a45aec6679e6</vt:lpwstr>
  </property>
  <property fmtid="{D5CDD505-2E9C-101B-9397-08002B2CF9AE}" pid="10" name="RKOrdnaDepartement2">
    <vt:lpwstr>Finansdepartementet</vt:lpwstr>
  </property>
  <property fmtid="{D5CDD505-2E9C-101B-9397-08002B2CF9AE}" pid="11" name="Departementsenhet1">
    <vt:lpwstr>1;#Finansdepartementet|0b2f41b1-db50-472c-80a1-d21b0254fb2b</vt:lpwstr>
  </property>
  <property fmtid="{D5CDD505-2E9C-101B-9397-08002B2CF9AE}" pid="12" name="ja01b8bc4bea4d6683c0d8279d494392">
    <vt:lpwstr>Finansdepartementet|0b2f41b1-db50-472c-80a1-d21b0254fb2b</vt:lpwstr>
  </property>
  <property fmtid="{D5CDD505-2E9C-101B-9397-08002B2CF9AE}" pid="13" name="pb4955162ab74ed2ba6d97acd609bfa9">
    <vt:lpwstr>Finansdepartementet|0b2f41b1-db50-472c-80a1-d21b0254fb2b</vt:lpwstr>
  </property>
  <property fmtid="{D5CDD505-2E9C-101B-9397-08002B2CF9AE}" pid="14" name="_dlc_DocIdItemGuid">
    <vt:lpwstr>8efbe531-4707-46a5-a17c-9c6e0cf280e5</vt:lpwstr>
  </property>
  <property fmtid="{D5CDD505-2E9C-101B-9397-08002B2CF9AE}" pid="15" name="Sekretess m.m.">
    <vt:bool>false</vt:bool>
  </property>
  <property fmtid="{D5CDD505-2E9C-101B-9397-08002B2CF9AE}" pid="16" name="p9288b129226400383b88cd27048369c">
    <vt:lpwstr>4.1. Europeiska unionen|3702a388-75a8-47ca-a3cb-a45aec6679e6</vt:lpwstr>
  </property>
  <property fmtid="{D5CDD505-2E9C-101B-9397-08002B2CF9AE}" pid="17" name="DepartementsenhetCHANGED">
    <vt:lpwstr>1;#Finansdepartementet|0b2f41b1-db50-472c-80a1-d21b0254fb2b</vt:lpwstr>
  </property>
</Properties>
</file>