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B05BA" w14:textId="77777777"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14:paraId="6B37A5A8" w14:textId="77777777">
        <w:tc>
          <w:tcPr>
            <w:tcW w:w="9141" w:type="dxa"/>
          </w:tcPr>
          <w:p w14:paraId="6337B56B" w14:textId="77777777" w:rsidR="00447E69" w:rsidRDefault="00447E69">
            <w:r>
              <w:t>UTBILDNINGSUTSKOTTET</w:t>
            </w:r>
          </w:p>
        </w:tc>
      </w:tr>
    </w:tbl>
    <w:p w14:paraId="50DB0B6D" w14:textId="77777777" w:rsidR="00447E69" w:rsidRDefault="00447E69"/>
    <w:p w14:paraId="7E5235ED" w14:textId="77777777"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14:paraId="4B7C3CD1" w14:textId="77777777">
        <w:trPr>
          <w:cantSplit/>
          <w:trHeight w:val="742"/>
        </w:trPr>
        <w:tc>
          <w:tcPr>
            <w:tcW w:w="1985" w:type="dxa"/>
          </w:tcPr>
          <w:p w14:paraId="32EBC36E" w14:textId="77777777" w:rsidR="00447E69" w:rsidRDefault="00447E69">
            <w:pPr>
              <w:rPr>
                <w:b/>
              </w:rPr>
            </w:pPr>
            <w:r>
              <w:rPr>
                <w:b/>
              </w:rPr>
              <w:t xml:space="preserve">PROTOKOLL </w:t>
            </w:r>
          </w:p>
        </w:tc>
        <w:tc>
          <w:tcPr>
            <w:tcW w:w="6463" w:type="dxa"/>
          </w:tcPr>
          <w:p w14:paraId="19B51008" w14:textId="7E8DFFFE" w:rsidR="00447E69" w:rsidRDefault="00E04650">
            <w:pPr>
              <w:rPr>
                <w:b/>
              </w:rPr>
            </w:pPr>
            <w:r>
              <w:rPr>
                <w:b/>
              </w:rPr>
              <w:t>UTSKOTTSSAMMANTRÄDE 20</w:t>
            </w:r>
            <w:r w:rsidR="00BD09A6">
              <w:rPr>
                <w:b/>
              </w:rPr>
              <w:t>2</w:t>
            </w:r>
            <w:r w:rsidR="00123C5B">
              <w:rPr>
                <w:b/>
              </w:rPr>
              <w:t>3</w:t>
            </w:r>
            <w:r w:rsidR="00E362AB">
              <w:rPr>
                <w:b/>
              </w:rPr>
              <w:t>/2</w:t>
            </w:r>
            <w:r w:rsidR="00123C5B">
              <w:rPr>
                <w:b/>
              </w:rPr>
              <w:t>4</w:t>
            </w:r>
            <w:r w:rsidR="00520D71">
              <w:rPr>
                <w:b/>
              </w:rPr>
              <w:t>:</w:t>
            </w:r>
            <w:r w:rsidR="00773C28">
              <w:rPr>
                <w:b/>
              </w:rPr>
              <w:t>41</w:t>
            </w:r>
          </w:p>
          <w:p w14:paraId="5234B7CE" w14:textId="77777777" w:rsidR="00447E69" w:rsidRDefault="00447E69">
            <w:pPr>
              <w:rPr>
                <w:b/>
              </w:rPr>
            </w:pPr>
          </w:p>
        </w:tc>
      </w:tr>
      <w:tr w:rsidR="00447E69" w14:paraId="1DEE9ECB" w14:textId="77777777">
        <w:tc>
          <w:tcPr>
            <w:tcW w:w="1985" w:type="dxa"/>
          </w:tcPr>
          <w:p w14:paraId="7835F5BD" w14:textId="77777777" w:rsidR="00447E69" w:rsidRDefault="00447E69">
            <w:r>
              <w:t>DATUM</w:t>
            </w:r>
          </w:p>
        </w:tc>
        <w:tc>
          <w:tcPr>
            <w:tcW w:w="6463" w:type="dxa"/>
          </w:tcPr>
          <w:p w14:paraId="49214F5E" w14:textId="33FEE243" w:rsidR="00447E69" w:rsidRDefault="00BB7028" w:rsidP="007765ED">
            <w:r>
              <w:t>20</w:t>
            </w:r>
            <w:r w:rsidR="005F0E85">
              <w:t>2</w:t>
            </w:r>
            <w:r w:rsidR="002B5161">
              <w:t>4</w:t>
            </w:r>
            <w:r w:rsidR="00520D71">
              <w:t>-</w:t>
            </w:r>
            <w:r w:rsidR="00773C28">
              <w:t>05</w:t>
            </w:r>
            <w:r w:rsidR="00520D71">
              <w:t>-</w:t>
            </w:r>
            <w:r w:rsidR="00773C28">
              <w:t>07</w:t>
            </w:r>
          </w:p>
        </w:tc>
      </w:tr>
      <w:tr w:rsidR="00447E69" w14:paraId="55018730" w14:textId="77777777">
        <w:tc>
          <w:tcPr>
            <w:tcW w:w="1985" w:type="dxa"/>
          </w:tcPr>
          <w:p w14:paraId="664E9CD2" w14:textId="77777777" w:rsidR="00447E69" w:rsidRDefault="00447E69">
            <w:r>
              <w:t>TID</w:t>
            </w:r>
          </w:p>
        </w:tc>
        <w:tc>
          <w:tcPr>
            <w:tcW w:w="6463" w:type="dxa"/>
          </w:tcPr>
          <w:p w14:paraId="70E324A3" w14:textId="5A3856EE" w:rsidR="00447E69" w:rsidRDefault="00773C28">
            <w:r>
              <w:t>11</w:t>
            </w:r>
            <w:r w:rsidR="00306F1B">
              <w:t>:00</w:t>
            </w:r>
            <w:r w:rsidR="00FA543D">
              <w:t>–</w:t>
            </w:r>
            <w:r w:rsidR="00EF6285">
              <w:t>12:00</w:t>
            </w:r>
          </w:p>
        </w:tc>
      </w:tr>
      <w:tr w:rsidR="00447E69" w14:paraId="59757A4D" w14:textId="77777777">
        <w:tc>
          <w:tcPr>
            <w:tcW w:w="1985" w:type="dxa"/>
          </w:tcPr>
          <w:p w14:paraId="36AC0D96" w14:textId="77777777" w:rsidR="00447E69" w:rsidRDefault="00CF376E">
            <w:r>
              <w:t>NÄRVARANDE</w:t>
            </w:r>
          </w:p>
        </w:tc>
        <w:tc>
          <w:tcPr>
            <w:tcW w:w="6463" w:type="dxa"/>
          </w:tcPr>
          <w:p w14:paraId="01920279" w14:textId="77777777" w:rsidR="00447E69" w:rsidRDefault="00576AFA">
            <w:r>
              <w:t>Se bilaga</w:t>
            </w:r>
            <w:r w:rsidR="00A956F9">
              <w:t xml:space="preserve"> 1</w:t>
            </w:r>
          </w:p>
        </w:tc>
      </w:tr>
    </w:tbl>
    <w:p w14:paraId="0AE1CB78" w14:textId="77777777" w:rsidR="00447E69" w:rsidRDefault="00447E69"/>
    <w:p w14:paraId="13478454" w14:textId="4A6F494B" w:rsidR="00447E69" w:rsidRDefault="00447E69">
      <w:pPr>
        <w:tabs>
          <w:tab w:val="left" w:pos="1701"/>
        </w:tabs>
        <w:rPr>
          <w:snapToGrid w:val="0"/>
          <w:color w:val="000000"/>
        </w:rPr>
      </w:pPr>
    </w:p>
    <w:p w14:paraId="2A5BA2AE" w14:textId="77777777" w:rsidR="00EC4130" w:rsidRDefault="00EC4130">
      <w:pPr>
        <w:tabs>
          <w:tab w:val="left" w:pos="1701"/>
        </w:tabs>
        <w:rPr>
          <w:snapToGrid w:val="0"/>
          <w:color w:val="000000"/>
        </w:rPr>
      </w:pPr>
    </w:p>
    <w:p w14:paraId="39AC33CD" w14:textId="77777777"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773C28" w14:paraId="5593522C" w14:textId="77777777" w:rsidTr="0001177E">
        <w:tc>
          <w:tcPr>
            <w:tcW w:w="567" w:type="dxa"/>
          </w:tcPr>
          <w:p w14:paraId="0543D88C" w14:textId="77777777" w:rsidR="00773C28" w:rsidRPr="003B4DE8" w:rsidRDefault="00773C28" w:rsidP="003B4DE8">
            <w:pPr>
              <w:pStyle w:val="Liststycke"/>
              <w:numPr>
                <w:ilvl w:val="0"/>
                <w:numId w:val="2"/>
              </w:numPr>
              <w:tabs>
                <w:tab w:val="left" w:pos="1701"/>
              </w:tabs>
              <w:rPr>
                <w:b/>
                <w:snapToGrid w:val="0"/>
              </w:rPr>
            </w:pPr>
          </w:p>
        </w:tc>
        <w:tc>
          <w:tcPr>
            <w:tcW w:w="6946" w:type="dxa"/>
            <w:gridSpan w:val="2"/>
          </w:tcPr>
          <w:p w14:paraId="7B575799" w14:textId="64B60BAE" w:rsidR="00773C28" w:rsidRDefault="00773C28">
            <w:pPr>
              <w:tabs>
                <w:tab w:val="left" w:pos="1701"/>
              </w:tabs>
              <w:rPr>
                <w:b/>
                <w:snapToGrid w:val="0"/>
              </w:rPr>
            </w:pPr>
            <w:r w:rsidRPr="00161183">
              <w:rPr>
                <w:b/>
              </w:rPr>
              <w:t xml:space="preserve">EU-överläggning om utkast till </w:t>
            </w:r>
            <w:proofErr w:type="spellStart"/>
            <w:r w:rsidRPr="00161183">
              <w:rPr>
                <w:b/>
              </w:rPr>
              <w:t>rådsslutsatser</w:t>
            </w:r>
            <w:proofErr w:type="spellEnd"/>
            <w:r w:rsidRPr="00161183">
              <w:rPr>
                <w:b/>
              </w:rPr>
              <w:t xml:space="preserve"> om stärkt europeisk konkurrenskraft genom rymd</w:t>
            </w:r>
            <w:r w:rsidRPr="00161183">
              <w:rPr>
                <w:b/>
              </w:rPr>
              <w:br/>
            </w:r>
          </w:p>
          <w:p w14:paraId="36EB112E" w14:textId="45D6A72C" w:rsidR="00B97835" w:rsidRDefault="00B97835">
            <w:pPr>
              <w:tabs>
                <w:tab w:val="left" w:pos="1701"/>
              </w:tabs>
              <w:rPr>
                <w:bCs/>
                <w:snapToGrid w:val="0"/>
              </w:rPr>
            </w:pPr>
            <w:r w:rsidRPr="00FA4063">
              <w:rPr>
                <w:bCs/>
                <w:snapToGrid w:val="0"/>
              </w:rPr>
              <w:t xml:space="preserve">Utskottet överlade med </w:t>
            </w:r>
            <w:r>
              <w:rPr>
                <w:bCs/>
                <w:snapToGrid w:val="0"/>
              </w:rPr>
              <w:t>statssekreterare Maria Nilsson,</w:t>
            </w:r>
            <w:r w:rsidRPr="00FA4063">
              <w:rPr>
                <w:bCs/>
                <w:snapToGrid w:val="0"/>
              </w:rPr>
              <w:t xml:space="preserve"> biträdd av medarbetare från Utbildningsdepartementet, om</w:t>
            </w:r>
            <w:r>
              <w:rPr>
                <w:bCs/>
                <w:snapToGrid w:val="0"/>
              </w:rPr>
              <w:t xml:space="preserve"> ett utkast till </w:t>
            </w:r>
            <w:proofErr w:type="spellStart"/>
            <w:r w:rsidRPr="00B97835">
              <w:rPr>
                <w:bCs/>
                <w:snapToGrid w:val="0"/>
              </w:rPr>
              <w:t>rådsslutsatser</w:t>
            </w:r>
            <w:proofErr w:type="spellEnd"/>
            <w:r w:rsidRPr="00B97835">
              <w:rPr>
                <w:bCs/>
                <w:snapToGrid w:val="0"/>
              </w:rPr>
              <w:t xml:space="preserve"> om stärkt europeisk konkurrenskraft genom rymd</w:t>
            </w:r>
            <w:r>
              <w:rPr>
                <w:bCs/>
                <w:snapToGrid w:val="0"/>
              </w:rPr>
              <w:t>.</w:t>
            </w:r>
          </w:p>
          <w:p w14:paraId="56D814E1" w14:textId="3AA5EA09" w:rsidR="00B97835" w:rsidRDefault="00B97835">
            <w:pPr>
              <w:tabs>
                <w:tab w:val="left" w:pos="1701"/>
              </w:tabs>
              <w:rPr>
                <w:bCs/>
                <w:snapToGrid w:val="0"/>
              </w:rPr>
            </w:pPr>
          </w:p>
          <w:p w14:paraId="28ABE443" w14:textId="77777777" w:rsidR="00B97835" w:rsidRDefault="00B97835" w:rsidP="00B97835">
            <w:pPr>
              <w:tabs>
                <w:tab w:val="left" w:pos="1701"/>
              </w:tabs>
              <w:rPr>
                <w:bCs/>
                <w:i/>
                <w:iCs/>
                <w:snapToGrid w:val="0"/>
              </w:rPr>
            </w:pPr>
            <w:r w:rsidRPr="00EA0DD7">
              <w:rPr>
                <w:bCs/>
                <w:i/>
                <w:iCs/>
                <w:snapToGrid w:val="0"/>
              </w:rPr>
              <w:t>Underlag för överläggningen</w:t>
            </w:r>
          </w:p>
          <w:p w14:paraId="24F42EE0" w14:textId="2B27E675" w:rsidR="00B97835" w:rsidRDefault="00B97835" w:rsidP="00B97835">
            <w:pPr>
              <w:rPr>
                <w:bCs/>
                <w:i/>
                <w:iCs/>
                <w:snapToGrid w:val="0"/>
              </w:rPr>
            </w:pPr>
            <w:r w:rsidRPr="003502D9">
              <w:t xml:space="preserve">Överläggningspromemoria från Utbildningsdepartementet (dnr </w:t>
            </w:r>
            <w:proofErr w:type="gramStart"/>
            <w:r>
              <w:t>1699</w:t>
            </w:r>
            <w:r w:rsidRPr="001D2818">
              <w:t>-202</w:t>
            </w:r>
            <w:r>
              <w:t>3</w:t>
            </w:r>
            <w:proofErr w:type="gramEnd"/>
            <w:r w:rsidRPr="001D2818">
              <w:t>/2</w:t>
            </w:r>
            <w:r>
              <w:t>4</w:t>
            </w:r>
            <w:r w:rsidRPr="003502D9">
              <w:t>)</w:t>
            </w:r>
            <w:r>
              <w:br/>
            </w:r>
            <w:r w:rsidRPr="00FD315B">
              <w:t xml:space="preserve">Rådsdokument </w:t>
            </w:r>
            <w:r w:rsidR="00BA1BCD">
              <w:t xml:space="preserve">ST </w:t>
            </w:r>
            <w:r>
              <w:t>8661/</w:t>
            </w:r>
            <w:r w:rsidR="00BA1BCD">
              <w:t>1/</w:t>
            </w:r>
            <w:r>
              <w:t xml:space="preserve">24 </w:t>
            </w:r>
          </w:p>
          <w:p w14:paraId="0A101D23" w14:textId="759CC509" w:rsidR="00B97835" w:rsidRDefault="00B97835">
            <w:pPr>
              <w:tabs>
                <w:tab w:val="left" w:pos="1701"/>
              </w:tabs>
              <w:rPr>
                <w:b/>
                <w:snapToGrid w:val="0"/>
              </w:rPr>
            </w:pPr>
          </w:p>
          <w:p w14:paraId="20104158" w14:textId="77777777" w:rsidR="00B97835" w:rsidRDefault="00B97835" w:rsidP="00B97835">
            <w:pPr>
              <w:tabs>
                <w:tab w:val="left" w:pos="1701"/>
              </w:tabs>
              <w:rPr>
                <w:bCs/>
                <w:i/>
                <w:iCs/>
                <w:snapToGrid w:val="0"/>
              </w:rPr>
            </w:pPr>
            <w:r w:rsidRPr="00EA0DD7">
              <w:rPr>
                <w:bCs/>
                <w:i/>
                <w:iCs/>
                <w:snapToGrid w:val="0"/>
              </w:rPr>
              <w:t>Regeringens förslag till svensk ståndpunkt</w:t>
            </w:r>
          </w:p>
          <w:p w14:paraId="580CE02A" w14:textId="360EF2CC" w:rsidR="00B97835" w:rsidRDefault="00B97835" w:rsidP="00B97835">
            <w:pPr>
              <w:tabs>
                <w:tab w:val="left" w:pos="1701"/>
              </w:tabs>
              <w:rPr>
                <w:bCs/>
                <w:snapToGrid w:val="0"/>
              </w:rPr>
            </w:pPr>
            <w:r w:rsidRPr="00B97835">
              <w:rPr>
                <w:bCs/>
                <w:snapToGrid w:val="0"/>
              </w:rPr>
              <w:t xml:space="preserve">Regeringen välkomnar att EU och ESA fortsätter ansträngningarna att säkerställa ett smidigt samarbete så att unionens medel till den offentliga rymdverksamheten används på ett effektivt sätt. </w:t>
            </w:r>
          </w:p>
          <w:p w14:paraId="76855E7D" w14:textId="77777777" w:rsidR="00B97835" w:rsidRPr="00B97835" w:rsidRDefault="00B97835" w:rsidP="00B97835">
            <w:pPr>
              <w:tabs>
                <w:tab w:val="left" w:pos="1701"/>
              </w:tabs>
              <w:rPr>
                <w:bCs/>
                <w:snapToGrid w:val="0"/>
              </w:rPr>
            </w:pPr>
          </w:p>
          <w:p w14:paraId="0100857A" w14:textId="7586CE34" w:rsidR="00B97835" w:rsidRDefault="00B97835" w:rsidP="00B97835">
            <w:pPr>
              <w:tabs>
                <w:tab w:val="left" w:pos="1701"/>
              </w:tabs>
              <w:rPr>
                <w:bCs/>
                <w:snapToGrid w:val="0"/>
              </w:rPr>
            </w:pPr>
            <w:r w:rsidRPr="00B97835">
              <w:rPr>
                <w:bCs/>
                <w:snapToGrid w:val="0"/>
              </w:rPr>
              <w:t>Regeringen håller med om att rymdverksamhet kan bidra till att stärka europeisk konkurrenskraft, till att lösa samhälleliga utmaningar liksom till grön och digital omställning.</w:t>
            </w:r>
          </w:p>
          <w:p w14:paraId="4FA19734" w14:textId="77777777" w:rsidR="00B97835" w:rsidRPr="00B97835" w:rsidRDefault="00B97835" w:rsidP="00B97835">
            <w:pPr>
              <w:tabs>
                <w:tab w:val="left" w:pos="1701"/>
              </w:tabs>
              <w:rPr>
                <w:bCs/>
                <w:snapToGrid w:val="0"/>
              </w:rPr>
            </w:pPr>
          </w:p>
          <w:p w14:paraId="0C0D411C" w14:textId="0532788A" w:rsidR="00B97835" w:rsidRDefault="00B97835" w:rsidP="00B97835">
            <w:pPr>
              <w:tabs>
                <w:tab w:val="left" w:pos="1701"/>
              </w:tabs>
              <w:rPr>
                <w:bCs/>
                <w:snapToGrid w:val="0"/>
              </w:rPr>
            </w:pPr>
            <w:r w:rsidRPr="00B97835">
              <w:rPr>
                <w:bCs/>
                <w:snapToGrid w:val="0"/>
              </w:rPr>
              <w:t>Regeringen anser att rymdprogram ska bidra till ekonomisk tillväxt, konkurrenskraft och sysselsättning.</w:t>
            </w:r>
          </w:p>
          <w:p w14:paraId="7C470704" w14:textId="77777777" w:rsidR="00B97835" w:rsidRPr="00B97835" w:rsidRDefault="00B97835" w:rsidP="00B97835">
            <w:pPr>
              <w:tabs>
                <w:tab w:val="left" w:pos="1701"/>
              </w:tabs>
              <w:rPr>
                <w:bCs/>
                <w:snapToGrid w:val="0"/>
              </w:rPr>
            </w:pPr>
          </w:p>
          <w:p w14:paraId="738793F4" w14:textId="3932F9CE" w:rsidR="00B97835" w:rsidRDefault="00B97835" w:rsidP="00B97835">
            <w:pPr>
              <w:tabs>
                <w:tab w:val="left" w:pos="1701"/>
              </w:tabs>
              <w:rPr>
                <w:bCs/>
                <w:snapToGrid w:val="0"/>
              </w:rPr>
            </w:pPr>
            <w:r w:rsidRPr="00B97835">
              <w:rPr>
                <w:bCs/>
                <w:snapToGrid w:val="0"/>
              </w:rPr>
              <w:t xml:space="preserve">Regeringen framhåller vikten av att europeiska rymdprogram bidrar till ökad samhällsnytta genom att säkerställa tillgång till fria och öppna data för nedströms applikationer och tjänster. </w:t>
            </w:r>
          </w:p>
          <w:p w14:paraId="73A635EA" w14:textId="77777777" w:rsidR="00EC4130" w:rsidRPr="00B97835" w:rsidRDefault="00EC4130" w:rsidP="00B97835">
            <w:pPr>
              <w:tabs>
                <w:tab w:val="left" w:pos="1701"/>
              </w:tabs>
              <w:rPr>
                <w:bCs/>
                <w:snapToGrid w:val="0"/>
              </w:rPr>
            </w:pPr>
          </w:p>
          <w:p w14:paraId="3343F99B" w14:textId="4BE53032" w:rsidR="00B97835" w:rsidRDefault="00B97835" w:rsidP="00B97835">
            <w:pPr>
              <w:tabs>
                <w:tab w:val="left" w:pos="1701"/>
              </w:tabs>
              <w:rPr>
                <w:bCs/>
                <w:snapToGrid w:val="0"/>
              </w:rPr>
            </w:pPr>
            <w:r w:rsidRPr="00B97835">
              <w:rPr>
                <w:bCs/>
                <w:snapToGrid w:val="0"/>
              </w:rPr>
              <w:t>Regeringen understryker att europeiska rymdprogram ska ta hänsyn till unionens utrikes-, försvars- och säkerhetspolitiska intressen och även bidra till att stärka dessa.</w:t>
            </w:r>
          </w:p>
          <w:p w14:paraId="3276BEDD" w14:textId="77777777" w:rsidR="00B97835" w:rsidRPr="00B97835" w:rsidRDefault="00B97835" w:rsidP="00B97835">
            <w:pPr>
              <w:tabs>
                <w:tab w:val="left" w:pos="1701"/>
              </w:tabs>
              <w:rPr>
                <w:bCs/>
                <w:snapToGrid w:val="0"/>
              </w:rPr>
            </w:pPr>
          </w:p>
          <w:p w14:paraId="1A3FE3BB" w14:textId="0DBF5B80" w:rsidR="00B97835" w:rsidRDefault="00B97835" w:rsidP="00B97835">
            <w:pPr>
              <w:tabs>
                <w:tab w:val="left" w:pos="1701"/>
              </w:tabs>
              <w:rPr>
                <w:bCs/>
                <w:snapToGrid w:val="0"/>
              </w:rPr>
            </w:pPr>
            <w:r w:rsidRPr="00B97835">
              <w:rPr>
                <w:bCs/>
                <w:snapToGrid w:val="0"/>
              </w:rPr>
              <w:t xml:space="preserve">Regeringen föreslår att Sverige ställer sig bakom </w:t>
            </w:r>
            <w:proofErr w:type="spellStart"/>
            <w:r w:rsidRPr="00B97835">
              <w:rPr>
                <w:bCs/>
                <w:snapToGrid w:val="0"/>
              </w:rPr>
              <w:t>rådsslutsatserna</w:t>
            </w:r>
            <w:proofErr w:type="spellEnd"/>
            <w:r w:rsidRPr="00B97835">
              <w:rPr>
                <w:bCs/>
                <w:snapToGrid w:val="0"/>
              </w:rPr>
              <w:t>.</w:t>
            </w:r>
          </w:p>
          <w:p w14:paraId="0125F76C" w14:textId="2891AD5F" w:rsidR="00B97835" w:rsidRDefault="00B97835" w:rsidP="00B97835">
            <w:pPr>
              <w:tabs>
                <w:tab w:val="left" w:pos="1701"/>
              </w:tabs>
              <w:rPr>
                <w:bCs/>
                <w:snapToGrid w:val="0"/>
              </w:rPr>
            </w:pPr>
          </w:p>
          <w:p w14:paraId="71DF3D6B" w14:textId="77777777" w:rsidR="00B97835" w:rsidRDefault="00B97835" w:rsidP="00B97835">
            <w:pPr>
              <w:tabs>
                <w:tab w:val="left" w:pos="1701"/>
              </w:tabs>
              <w:rPr>
                <w:bCs/>
                <w:i/>
                <w:iCs/>
                <w:snapToGrid w:val="0"/>
              </w:rPr>
            </w:pPr>
            <w:r>
              <w:rPr>
                <w:bCs/>
                <w:i/>
                <w:iCs/>
                <w:snapToGrid w:val="0"/>
              </w:rPr>
              <w:t>Överläggningen</w:t>
            </w:r>
          </w:p>
          <w:p w14:paraId="290B767A" w14:textId="77777777" w:rsidR="00EC4130" w:rsidRDefault="00EC4130" w:rsidP="00EC4130">
            <w:pPr>
              <w:tabs>
                <w:tab w:val="left" w:pos="1701"/>
              </w:tabs>
              <w:rPr>
                <w:bCs/>
                <w:snapToGrid w:val="0"/>
              </w:rPr>
            </w:pPr>
            <w:r w:rsidRPr="0007288A">
              <w:rPr>
                <w:bCs/>
                <w:snapToGrid w:val="0"/>
              </w:rPr>
              <w:t>Ordföranden konstaterade att det fanns stöd för regeringens ståndpunkt.</w:t>
            </w:r>
          </w:p>
          <w:p w14:paraId="37CCEF73" w14:textId="77777777" w:rsidR="00EC4130" w:rsidRDefault="00EC4130" w:rsidP="00EC4130">
            <w:pPr>
              <w:tabs>
                <w:tab w:val="left" w:pos="1701"/>
              </w:tabs>
              <w:rPr>
                <w:bCs/>
                <w:snapToGrid w:val="0"/>
              </w:rPr>
            </w:pPr>
          </w:p>
          <w:p w14:paraId="4C0AF368" w14:textId="77777777" w:rsidR="00EC4130" w:rsidRDefault="00EC4130" w:rsidP="00EC4130">
            <w:pPr>
              <w:tabs>
                <w:tab w:val="left" w:pos="1701"/>
              </w:tabs>
              <w:rPr>
                <w:bCs/>
                <w:snapToGrid w:val="0"/>
              </w:rPr>
            </w:pPr>
            <w:r w:rsidRPr="003246C7">
              <w:rPr>
                <w:bCs/>
                <w:snapToGrid w:val="0"/>
              </w:rPr>
              <w:lastRenderedPageBreak/>
              <w:t>Ledamoten från Vänsterpartiet anmälde följande avvikande ståndpunkt:</w:t>
            </w:r>
          </w:p>
          <w:p w14:paraId="5B28B472" w14:textId="77777777" w:rsidR="00EC4130" w:rsidRDefault="00EC4130" w:rsidP="00EC4130">
            <w:pPr>
              <w:tabs>
                <w:tab w:val="left" w:pos="1701"/>
              </w:tabs>
              <w:rPr>
                <w:bCs/>
                <w:snapToGrid w:val="0"/>
              </w:rPr>
            </w:pPr>
          </w:p>
          <w:p w14:paraId="439F672F" w14:textId="77777777" w:rsidR="00EC4130" w:rsidRDefault="00EC4130" w:rsidP="00EC4130">
            <w:pPr>
              <w:tabs>
                <w:tab w:val="left" w:pos="1701"/>
              </w:tabs>
              <w:rPr>
                <w:b/>
                <w:szCs w:val="23"/>
              </w:rPr>
            </w:pPr>
            <w:r w:rsidRPr="003246C7">
              <w:rPr>
                <w:bCs/>
                <w:snapToGrid w:val="0"/>
              </w:rPr>
              <w:t>Rymden ska ej militariseras och den personliga integriteten måste säkras i rymdpolitiken. Jag vill därför anmäla att jag härmed lämnar in en avvikande ståndpunkt eftersom regeringen inte avser ändra sin ståndpunkt gällande dessa frågor. </w:t>
            </w:r>
          </w:p>
          <w:p w14:paraId="554653E2" w14:textId="77777777" w:rsidR="00EC4130" w:rsidRDefault="00EC4130" w:rsidP="00EC4130">
            <w:pPr>
              <w:tabs>
                <w:tab w:val="left" w:pos="1701"/>
              </w:tabs>
              <w:rPr>
                <w:bCs/>
                <w:snapToGrid w:val="0"/>
              </w:rPr>
            </w:pPr>
          </w:p>
          <w:p w14:paraId="060CEED4" w14:textId="77777777" w:rsidR="00EC4130" w:rsidRPr="00B97835" w:rsidRDefault="00EC4130" w:rsidP="00EC4130">
            <w:pPr>
              <w:tabs>
                <w:tab w:val="left" w:pos="1701"/>
              </w:tabs>
              <w:rPr>
                <w:bCs/>
                <w:snapToGrid w:val="0"/>
              </w:rPr>
            </w:pPr>
            <w:r w:rsidRPr="0007288A">
              <w:rPr>
                <w:bCs/>
                <w:snapToGrid w:val="0"/>
              </w:rPr>
              <w:t>Denna paragraf förklarades omedelbart justerad.</w:t>
            </w:r>
          </w:p>
          <w:p w14:paraId="16D71D7F" w14:textId="6DD76555" w:rsidR="00773C28" w:rsidRDefault="00773C28">
            <w:pPr>
              <w:tabs>
                <w:tab w:val="left" w:pos="1701"/>
              </w:tabs>
              <w:rPr>
                <w:b/>
                <w:snapToGrid w:val="0"/>
              </w:rPr>
            </w:pPr>
          </w:p>
        </w:tc>
      </w:tr>
      <w:tr w:rsidR="00773C28" w14:paraId="6D1BF449" w14:textId="77777777" w:rsidTr="0001177E">
        <w:tc>
          <w:tcPr>
            <w:tcW w:w="567" w:type="dxa"/>
          </w:tcPr>
          <w:p w14:paraId="4E03EF5E" w14:textId="77777777" w:rsidR="00773C28" w:rsidRPr="003B4DE8" w:rsidRDefault="00773C28" w:rsidP="003B4DE8">
            <w:pPr>
              <w:pStyle w:val="Liststycke"/>
              <w:numPr>
                <w:ilvl w:val="0"/>
                <w:numId w:val="2"/>
              </w:numPr>
              <w:tabs>
                <w:tab w:val="left" w:pos="1701"/>
              </w:tabs>
              <w:rPr>
                <w:b/>
                <w:snapToGrid w:val="0"/>
              </w:rPr>
            </w:pPr>
          </w:p>
        </w:tc>
        <w:tc>
          <w:tcPr>
            <w:tcW w:w="6946" w:type="dxa"/>
            <w:gridSpan w:val="2"/>
          </w:tcPr>
          <w:p w14:paraId="1B810A17" w14:textId="77777777" w:rsidR="00773C28" w:rsidRDefault="00773C28">
            <w:pPr>
              <w:tabs>
                <w:tab w:val="left" w:pos="1701"/>
              </w:tabs>
              <w:rPr>
                <w:b/>
              </w:rPr>
            </w:pPr>
            <w:r w:rsidRPr="00161183">
              <w:rPr>
                <w:b/>
              </w:rPr>
              <w:t>EU-överläggning om förslag till rådsrekommendation om ökad forskningssäkerhet</w:t>
            </w:r>
          </w:p>
          <w:p w14:paraId="27B10E43" w14:textId="1EA2200A" w:rsidR="00773C28" w:rsidRDefault="00773C28">
            <w:pPr>
              <w:tabs>
                <w:tab w:val="left" w:pos="1701"/>
              </w:tabs>
              <w:rPr>
                <w:b/>
              </w:rPr>
            </w:pPr>
          </w:p>
          <w:p w14:paraId="4CB3DECC" w14:textId="78BD48DF" w:rsidR="00B97835" w:rsidRDefault="00B97835">
            <w:pPr>
              <w:tabs>
                <w:tab w:val="left" w:pos="1701"/>
              </w:tabs>
              <w:rPr>
                <w:bCs/>
                <w:snapToGrid w:val="0"/>
              </w:rPr>
            </w:pPr>
            <w:r w:rsidRPr="00FA4063">
              <w:rPr>
                <w:bCs/>
                <w:snapToGrid w:val="0"/>
              </w:rPr>
              <w:t xml:space="preserve">Utskottet överlade med </w:t>
            </w:r>
            <w:r>
              <w:rPr>
                <w:bCs/>
                <w:snapToGrid w:val="0"/>
              </w:rPr>
              <w:t>statssekreterare Maria Nilsson,</w:t>
            </w:r>
            <w:r w:rsidRPr="00FA4063">
              <w:rPr>
                <w:bCs/>
                <w:snapToGrid w:val="0"/>
              </w:rPr>
              <w:t xml:space="preserve"> biträdd av medarbetare från Utbildningsdepartementet,</w:t>
            </w:r>
            <w:r>
              <w:rPr>
                <w:bCs/>
                <w:snapToGrid w:val="0"/>
              </w:rPr>
              <w:t xml:space="preserve"> </w:t>
            </w:r>
            <w:r w:rsidRPr="00B97835">
              <w:rPr>
                <w:bCs/>
                <w:snapToGrid w:val="0"/>
              </w:rPr>
              <w:t xml:space="preserve">om ett förslag till </w:t>
            </w:r>
            <w:r w:rsidR="00CC4A0B">
              <w:rPr>
                <w:bCs/>
                <w:snapToGrid w:val="0"/>
              </w:rPr>
              <w:t xml:space="preserve">en </w:t>
            </w:r>
            <w:r w:rsidRPr="00B97835">
              <w:rPr>
                <w:bCs/>
                <w:snapToGrid w:val="0"/>
              </w:rPr>
              <w:t>rådsrekommendation om ökad forskningssäkerhet.</w:t>
            </w:r>
          </w:p>
          <w:p w14:paraId="3CCF13AE" w14:textId="77777777" w:rsidR="00BA1BCD" w:rsidRDefault="00BA1BCD" w:rsidP="00BA1BCD">
            <w:pPr>
              <w:tabs>
                <w:tab w:val="left" w:pos="1701"/>
              </w:tabs>
              <w:rPr>
                <w:bCs/>
                <w:i/>
                <w:iCs/>
                <w:snapToGrid w:val="0"/>
              </w:rPr>
            </w:pPr>
          </w:p>
          <w:p w14:paraId="257545AE" w14:textId="6F32CF41" w:rsidR="00BA1BCD" w:rsidRDefault="00BA1BCD">
            <w:pPr>
              <w:tabs>
                <w:tab w:val="left" w:pos="1701"/>
              </w:tabs>
              <w:rPr>
                <w:b/>
              </w:rPr>
            </w:pPr>
            <w:r w:rsidRPr="00EA0DD7">
              <w:rPr>
                <w:bCs/>
                <w:i/>
                <w:iCs/>
                <w:snapToGrid w:val="0"/>
              </w:rPr>
              <w:t>Underlag för överläggningen</w:t>
            </w:r>
          </w:p>
          <w:p w14:paraId="3531048D" w14:textId="477E3A9E" w:rsidR="00BA1BCD" w:rsidRDefault="00BA1BCD" w:rsidP="00BA1BCD">
            <w:pPr>
              <w:rPr>
                <w:bCs/>
              </w:rPr>
            </w:pPr>
            <w:r w:rsidRPr="003502D9">
              <w:t xml:space="preserve">Överläggningspromemoria från Utbildningsdepartementet (dnr </w:t>
            </w:r>
            <w:r>
              <w:t>1158</w:t>
            </w:r>
            <w:r w:rsidRPr="001D2818">
              <w:t>-202</w:t>
            </w:r>
            <w:r>
              <w:t>3</w:t>
            </w:r>
            <w:r w:rsidRPr="001D2818">
              <w:t>/2</w:t>
            </w:r>
            <w:r>
              <w:t>4</w:t>
            </w:r>
            <w:r w:rsidRPr="003502D9">
              <w:t>)</w:t>
            </w:r>
            <w:r>
              <w:br/>
            </w:r>
            <w:r w:rsidRPr="00FD315B">
              <w:t xml:space="preserve">Rådsdokument </w:t>
            </w:r>
            <w:r w:rsidRPr="000F3CCA">
              <w:rPr>
                <w:bCs/>
              </w:rPr>
              <w:t>ST</w:t>
            </w:r>
            <w:r>
              <w:rPr>
                <w:bCs/>
              </w:rPr>
              <w:t xml:space="preserve"> 8137/24</w:t>
            </w:r>
            <w:r>
              <w:rPr>
                <w:bCs/>
              </w:rPr>
              <w:br/>
            </w:r>
            <w:proofErr w:type="gramStart"/>
            <w:r>
              <w:rPr>
                <w:bCs/>
              </w:rPr>
              <w:t>COM(</w:t>
            </w:r>
            <w:proofErr w:type="gramEnd"/>
            <w:r>
              <w:rPr>
                <w:bCs/>
              </w:rPr>
              <w:t>2024) 26</w:t>
            </w:r>
          </w:p>
          <w:p w14:paraId="509BA47A" w14:textId="77777777" w:rsidR="00BA1BCD" w:rsidRDefault="00BA1BCD" w:rsidP="00BA1BCD">
            <w:pPr>
              <w:rPr>
                <w:bCs/>
              </w:rPr>
            </w:pPr>
          </w:p>
          <w:p w14:paraId="10632B3B" w14:textId="77777777" w:rsidR="00BA1BCD" w:rsidRDefault="00BA1BCD" w:rsidP="00BA1BCD">
            <w:pPr>
              <w:tabs>
                <w:tab w:val="left" w:pos="1701"/>
              </w:tabs>
              <w:rPr>
                <w:bCs/>
                <w:i/>
                <w:iCs/>
                <w:snapToGrid w:val="0"/>
              </w:rPr>
            </w:pPr>
            <w:r w:rsidRPr="00EA0DD7">
              <w:rPr>
                <w:bCs/>
                <w:i/>
                <w:iCs/>
                <w:snapToGrid w:val="0"/>
              </w:rPr>
              <w:t>Regeringens förslag till svensk ståndpunkt</w:t>
            </w:r>
          </w:p>
          <w:p w14:paraId="06F562E2" w14:textId="4B9BFF6A" w:rsidR="00BA1BCD" w:rsidRDefault="00BA1BCD" w:rsidP="00BA1BCD">
            <w:pPr>
              <w:tabs>
                <w:tab w:val="left" w:pos="1701"/>
              </w:tabs>
              <w:rPr>
                <w:bCs/>
                <w:snapToGrid w:val="0"/>
              </w:rPr>
            </w:pPr>
            <w:r w:rsidRPr="00BA1BCD">
              <w:rPr>
                <w:bCs/>
                <w:snapToGrid w:val="0"/>
              </w:rPr>
              <w:t xml:space="preserve">Regeringen välkomnar åtgärder för stärkt forskningssäkerhet och delar synen, att våra forskare och akademiker ställs inför forskningssäkerhetsrisker när de samarbetar internationellt. Detta i samband med att de internationella spänningarna ökar och forskning och innovation får en allt större geopolitisk betydelse. </w:t>
            </w:r>
          </w:p>
          <w:p w14:paraId="3AA2645E" w14:textId="77777777" w:rsidR="00BA1BCD" w:rsidRPr="00BA1BCD" w:rsidRDefault="00BA1BCD" w:rsidP="00BA1BCD">
            <w:pPr>
              <w:tabs>
                <w:tab w:val="left" w:pos="1701"/>
              </w:tabs>
              <w:rPr>
                <w:bCs/>
                <w:snapToGrid w:val="0"/>
              </w:rPr>
            </w:pPr>
          </w:p>
          <w:p w14:paraId="0EDF1999" w14:textId="173507C3" w:rsidR="00BA1BCD" w:rsidRDefault="00BA1BCD" w:rsidP="00BA1BCD">
            <w:pPr>
              <w:tabs>
                <w:tab w:val="left" w:pos="1701"/>
              </w:tabs>
              <w:rPr>
                <w:bCs/>
                <w:snapToGrid w:val="0"/>
              </w:rPr>
            </w:pPr>
            <w:r w:rsidRPr="00BA1BCD">
              <w:rPr>
                <w:bCs/>
                <w:snapToGrid w:val="0"/>
              </w:rPr>
              <w:t>Regeringen anser att internationellt forskningssamarbete i många fall är avgörande för excellent forskning och innovation även i en alltmer osäker och polariserad värld med geopolitiska utmaningar där öppenhet och samarbete riskerar att utnyttjas av främmande makt.</w:t>
            </w:r>
          </w:p>
          <w:p w14:paraId="687780FB" w14:textId="77777777" w:rsidR="00BA1BCD" w:rsidRPr="00BA1BCD" w:rsidRDefault="00BA1BCD" w:rsidP="00BA1BCD">
            <w:pPr>
              <w:tabs>
                <w:tab w:val="left" w:pos="1701"/>
              </w:tabs>
              <w:rPr>
                <w:bCs/>
                <w:snapToGrid w:val="0"/>
              </w:rPr>
            </w:pPr>
          </w:p>
          <w:p w14:paraId="1FE5BD7A" w14:textId="6C1D6B0D" w:rsidR="00BA1BCD" w:rsidRDefault="00BA1BCD" w:rsidP="00BA1BCD">
            <w:pPr>
              <w:tabs>
                <w:tab w:val="left" w:pos="1701"/>
              </w:tabs>
              <w:rPr>
                <w:bCs/>
                <w:snapToGrid w:val="0"/>
              </w:rPr>
            </w:pPr>
            <w:r w:rsidRPr="00BA1BCD">
              <w:rPr>
                <w:bCs/>
                <w:snapToGrid w:val="0"/>
              </w:rPr>
              <w:t xml:space="preserve">Regeringen anser att Sverige och EU i första hand bör sträva efter enhetliga rekommendationer samt relevanta riktlinjer och stödstrukturer på rätt nivå med hänsyn till nationella ansvarsområden. För att rekommendationen ska kunna implementeras är det önskvärt att åtgärder är samordnade från europeisk nivå till individnivå. Detta kan säkerställa ett effektivt och samordnat system där riktlinjer kan implementeras praktiskt. </w:t>
            </w:r>
          </w:p>
          <w:p w14:paraId="3FA0CF14" w14:textId="77777777" w:rsidR="00BA1BCD" w:rsidRPr="00BA1BCD" w:rsidRDefault="00BA1BCD" w:rsidP="00BA1BCD">
            <w:pPr>
              <w:tabs>
                <w:tab w:val="left" w:pos="1701"/>
              </w:tabs>
              <w:rPr>
                <w:bCs/>
                <w:snapToGrid w:val="0"/>
              </w:rPr>
            </w:pPr>
          </w:p>
          <w:p w14:paraId="4BA2C251" w14:textId="71E19462" w:rsidR="00BA1BCD" w:rsidRDefault="00BA1BCD" w:rsidP="00BA1BCD">
            <w:pPr>
              <w:tabs>
                <w:tab w:val="left" w:pos="1701"/>
              </w:tabs>
              <w:rPr>
                <w:bCs/>
                <w:snapToGrid w:val="0"/>
              </w:rPr>
            </w:pPr>
            <w:r w:rsidRPr="00BA1BCD">
              <w:rPr>
                <w:bCs/>
                <w:snapToGrid w:val="0"/>
              </w:rPr>
              <w:t>Regeringen anser att rekommendationen inte bör leda till ökad administrativ börda eller överlappande ansvar för forskningsfinansierande och -utförande institutioner samt för forskare, då detta skulle kunna påverka den vetenskapliga kvaliteten negativt.</w:t>
            </w:r>
          </w:p>
          <w:p w14:paraId="760655FB" w14:textId="77777777" w:rsidR="00BA1BCD" w:rsidRPr="00BA1BCD" w:rsidRDefault="00BA1BCD" w:rsidP="00BA1BCD">
            <w:pPr>
              <w:tabs>
                <w:tab w:val="left" w:pos="1701"/>
              </w:tabs>
              <w:rPr>
                <w:bCs/>
                <w:snapToGrid w:val="0"/>
              </w:rPr>
            </w:pPr>
          </w:p>
          <w:p w14:paraId="3E0584D4" w14:textId="36E409B0" w:rsidR="00BA1BCD" w:rsidRDefault="00BA1BCD" w:rsidP="00BA1BCD">
            <w:pPr>
              <w:tabs>
                <w:tab w:val="left" w:pos="1701"/>
              </w:tabs>
              <w:rPr>
                <w:bCs/>
                <w:snapToGrid w:val="0"/>
              </w:rPr>
            </w:pPr>
            <w:r w:rsidRPr="00BA1BCD">
              <w:rPr>
                <w:bCs/>
                <w:snapToGrid w:val="0"/>
              </w:rPr>
              <w:t>Innan nya stödstrukturer implementeras bör existerande alternativ beaktas som möjliga värdar för ändamålet för att uppnå en kostnadseffektiv lösning.</w:t>
            </w:r>
          </w:p>
          <w:p w14:paraId="65546633" w14:textId="77777777" w:rsidR="00BA1BCD" w:rsidRPr="00BA1BCD" w:rsidRDefault="00BA1BCD" w:rsidP="00BA1BCD">
            <w:pPr>
              <w:tabs>
                <w:tab w:val="left" w:pos="1701"/>
              </w:tabs>
              <w:rPr>
                <w:bCs/>
                <w:snapToGrid w:val="0"/>
              </w:rPr>
            </w:pPr>
          </w:p>
          <w:p w14:paraId="74C585F7" w14:textId="093B256A" w:rsidR="00BA1BCD" w:rsidRDefault="00BA1BCD" w:rsidP="00BA1BCD">
            <w:pPr>
              <w:tabs>
                <w:tab w:val="left" w:pos="1701"/>
              </w:tabs>
              <w:rPr>
                <w:bCs/>
                <w:snapToGrid w:val="0"/>
              </w:rPr>
            </w:pPr>
            <w:r w:rsidRPr="00BA1BCD">
              <w:rPr>
                <w:bCs/>
                <w:snapToGrid w:val="0"/>
              </w:rPr>
              <w:t>Öppenhet bör utgöra grunden i internationellt forskningssamarbete, samtidigt som det behöver finnas en medvetenhet om behovet av att skydda nationella intressen, kunskap och teknik och möjlighet att agera därvidlag.</w:t>
            </w:r>
          </w:p>
          <w:p w14:paraId="3D17033D" w14:textId="77777777" w:rsidR="00BA1BCD" w:rsidRPr="00BA1BCD" w:rsidRDefault="00BA1BCD" w:rsidP="00BA1BCD">
            <w:pPr>
              <w:tabs>
                <w:tab w:val="left" w:pos="1701"/>
              </w:tabs>
              <w:rPr>
                <w:bCs/>
                <w:snapToGrid w:val="0"/>
              </w:rPr>
            </w:pPr>
          </w:p>
          <w:p w14:paraId="58B14379" w14:textId="5DDB6A3F" w:rsidR="00BA1BCD" w:rsidRDefault="00BA1BCD" w:rsidP="00BA1BCD">
            <w:pPr>
              <w:tabs>
                <w:tab w:val="left" w:pos="1701"/>
              </w:tabs>
              <w:rPr>
                <w:bCs/>
                <w:snapToGrid w:val="0"/>
              </w:rPr>
            </w:pPr>
            <w:r w:rsidRPr="00BA1BCD">
              <w:rPr>
                <w:bCs/>
                <w:snapToGrid w:val="0"/>
              </w:rPr>
              <w:t>Definitionen av forskningssäkerhet behöver vara tydlig och betona ansvarsfull internationalisering.</w:t>
            </w:r>
          </w:p>
          <w:p w14:paraId="4587E3CE" w14:textId="77777777" w:rsidR="00BA1BCD" w:rsidRPr="00BA1BCD" w:rsidRDefault="00BA1BCD" w:rsidP="00BA1BCD">
            <w:pPr>
              <w:tabs>
                <w:tab w:val="left" w:pos="1701"/>
              </w:tabs>
              <w:rPr>
                <w:bCs/>
                <w:snapToGrid w:val="0"/>
              </w:rPr>
            </w:pPr>
          </w:p>
          <w:p w14:paraId="6815C93E" w14:textId="10050EBF" w:rsidR="00B97835" w:rsidRDefault="00BA1BCD" w:rsidP="00BA1BCD">
            <w:pPr>
              <w:tabs>
                <w:tab w:val="left" w:pos="1701"/>
              </w:tabs>
              <w:rPr>
                <w:bCs/>
                <w:snapToGrid w:val="0"/>
              </w:rPr>
            </w:pPr>
            <w:r w:rsidRPr="00BA1BCD">
              <w:rPr>
                <w:bCs/>
                <w:snapToGrid w:val="0"/>
              </w:rPr>
              <w:t>Medlemsstaternas ansvar över området nationell säkerhet måste även fortsättningsvis respekteras.</w:t>
            </w:r>
          </w:p>
          <w:p w14:paraId="2D1370CE" w14:textId="77777777" w:rsidR="00BA1BCD" w:rsidRPr="00BA1BCD" w:rsidRDefault="00BA1BCD" w:rsidP="00BA1BCD">
            <w:pPr>
              <w:tabs>
                <w:tab w:val="left" w:pos="1701"/>
              </w:tabs>
              <w:rPr>
                <w:bCs/>
                <w:snapToGrid w:val="0"/>
              </w:rPr>
            </w:pPr>
          </w:p>
          <w:p w14:paraId="25331AC8" w14:textId="77777777" w:rsidR="00B97835" w:rsidRDefault="00B97835" w:rsidP="00B97835">
            <w:pPr>
              <w:tabs>
                <w:tab w:val="left" w:pos="1701"/>
              </w:tabs>
              <w:rPr>
                <w:bCs/>
                <w:i/>
                <w:iCs/>
                <w:snapToGrid w:val="0"/>
              </w:rPr>
            </w:pPr>
            <w:r>
              <w:rPr>
                <w:bCs/>
                <w:i/>
                <w:iCs/>
                <w:snapToGrid w:val="0"/>
              </w:rPr>
              <w:t>Överläggningen</w:t>
            </w:r>
          </w:p>
          <w:p w14:paraId="34972A1F" w14:textId="77777777" w:rsidR="00B97835" w:rsidRDefault="00B97835" w:rsidP="00B97835">
            <w:pPr>
              <w:tabs>
                <w:tab w:val="left" w:pos="1701"/>
              </w:tabs>
              <w:rPr>
                <w:bCs/>
                <w:snapToGrid w:val="0"/>
              </w:rPr>
            </w:pPr>
            <w:r w:rsidRPr="0007288A">
              <w:rPr>
                <w:bCs/>
                <w:snapToGrid w:val="0"/>
              </w:rPr>
              <w:t>Ordföranden konstaterade att det fanns stöd för regeringens ståndpunkt.</w:t>
            </w:r>
          </w:p>
          <w:p w14:paraId="2637BB55" w14:textId="77777777" w:rsidR="00B97835" w:rsidRDefault="00B97835" w:rsidP="00B97835">
            <w:pPr>
              <w:tabs>
                <w:tab w:val="left" w:pos="1701"/>
              </w:tabs>
              <w:rPr>
                <w:bCs/>
                <w:snapToGrid w:val="0"/>
              </w:rPr>
            </w:pPr>
          </w:p>
          <w:p w14:paraId="12AD80CE" w14:textId="02F14258" w:rsidR="00B97835" w:rsidRDefault="00B97835">
            <w:pPr>
              <w:tabs>
                <w:tab w:val="left" w:pos="1701"/>
              </w:tabs>
              <w:rPr>
                <w:b/>
              </w:rPr>
            </w:pPr>
            <w:r w:rsidRPr="0007288A">
              <w:rPr>
                <w:bCs/>
                <w:snapToGrid w:val="0"/>
              </w:rPr>
              <w:t>Denna paragraf förklarades omedelbart justerad.</w:t>
            </w:r>
          </w:p>
          <w:p w14:paraId="0802C3BE" w14:textId="406CC43C" w:rsidR="00773C28" w:rsidRDefault="00773C28">
            <w:pPr>
              <w:tabs>
                <w:tab w:val="left" w:pos="1701"/>
              </w:tabs>
              <w:rPr>
                <w:b/>
                <w:snapToGrid w:val="0"/>
              </w:rPr>
            </w:pPr>
          </w:p>
        </w:tc>
      </w:tr>
      <w:tr w:rsidR="00773C28" w14:paraId="6E1274B3" w14:textId="77777777" w:rsidTr="0001177E">
        <w:tc>
          <w:tcPr>
            <w:tcW w:w="567" w:type="dxa"/>
          </w:tcPr>
          <w:p w14:paraId="1F7493D0" w14:textId="77777777" w:rsidR="00773C28" w:rsidRPr="003B4DE8" w:rsidRDefault="00773C28" w:rsidP="003B4DE8">
            <w:pPr>
              <w:pStyle w:val="Liststycke"/>
              <w:numPr>
                <w:ilvl w:val="0"/>
                <w:numId w:val="2"/>
              </w:numPr>
              <w:tabs>
                <w:tab w:val="left" w:pos="1701"/>
              </w:tabs>
              <w:rPr>
                <w:b/>
                <w:snapToGrid w:val="0"/>
              </w:rPr>
            </w:pPr>
          </w:p>
        </w:tc>
        <w:tc>
          <w:tcPr>
            <w:tcW w:w="6946" w:type="dxa"/>
            <w:gridSpan w:val="2"/>
          </w:tcPr>
          <w:p w14:paraId="529494A2" w14:textId="77777777" w:rsidR="00773C28" w:rsidRDefault="00773C28">
            <w:pPr>
              <w:tabs>
                <w:tab w:val="left" w:pos="1701"/>
              </w:tabs>
              <w:rPr>
                <w:b/>
              </w:rPr>
            </w:pPr>
            <w:r w:rsidRPr="00161183">
              <w:rPr>
                <w:b/>
              </w:rPr>
              <w:t xml:space="preserve">EU-överläggning om utkast till </w:t>
            </w:r>
            <w:proofErr w:type="spellStart"/>
            <w:r w:rsidRPr="00161183">
              <w:rPr>
                <w:b/>
              </w:rPr>
              <w:t>rådsslutsatser</w:t>
            </w:r>
            <w:proofErr w:type="spellEnd"/>
            <w:r w:rsidRPr="00161183">
              <w:rPr>
                <w:b/>
              </w:rPr>
              <w:t xml:space="preserve"> om stärkt kunskapsutnyttjande som ett verktyg för en motståndskraftig återindustrialisering och öppen strategisk autonomi i Europa</w:t>
            </w:r>
          </w:p>
          <w:p w14:paraId="1AC7C00F" w14:textId="6A6382B4" w:rsidR="00773C28" w:rsidRDefault="00773C28">
            <w:pPr>
              <w:tabs>
                <w:tab w:val="left" w:pos="1701"/>
              </w:tabs>
              <w:rPr>
                <w:b/>
              </w:rPr>
            </w:pPr>
          </w:p>
          <w:p w14:paraId="069A3180" w14:textId="76F5B6E9" w:rsidR="00B97835" w:rsidRDefault="00B97835">
            <w:pPr>
              <w:tabs>
                <w:tab w:val="left" w:pos="1701"/>
              </w:tabs>
              <w:rPr>
                <w:bCs/>
                <w:snapToGrid w:val="0"/>
              </w:rPr>
            </w:pPr>
            <w:r w:rsidRPr="00FA4063">
              <w:rPr>
                <w:bCs/>
                <w:snapToGrid w:val="0"/>
              </w:rPr>
              <w:t xml:space="preserve">Utskottet överlade med </w:t>
            </w:r>
            <w:r>
              <w:rPr>
                <w:bCs/>
                <w:snapToGrid w:val="0"/>
              </w:rPr>
              <w:t>statssekreterare Maria Nilsson,</w:t>
            </w:r>
            <w:r w:rsidRPr="00FA4063">
              <w:rPr>
                <w:bCs/>
                <w:snapToGrid w:val="0"/>
              </w:rPr>
              <w:t xml:space="preserve"> biträdd av medarbetare från Utbildningsdepartementet,</w:t>
            </w:r>
            <w:r>
              <w:rPr>
                <w:bCs/>
                <w:snapToGrid w:val="0"/>
              </w:rPr>
              <w:t xml:space="preserve"> om ett </w:t>
            </w:r>
            <w:r w:rsidRPr="00B97835">
              <w:rPr>
                <w:bCs/>
                <w:snapToGrid w:val="0"/>
              </w:rPr>
              <w:t xml:space="preserve">utkast till </w:t>
            </w:r>
            <w:proofErr w:type="spellStart"/>
            <w:r w:rsidRPr="00B97835">
              <w:rPr>
                <w:bCs/>
                <w:snapToGrid w:val="0"/>
              </w:rPr>
              <w:t>rådsslutsatser</w:t>
            </w:r>
            <w:proofErr w:type="spellEnd"/>
            <w:r w:rsidRPr="00B97835">
              <w:rPr>
                <w:bCs/>
                <w:snapToGrid w:val="0"/>
              </w:rPr>
              <w:t xml:space="preserve"> om stärkt kunskapsutnyttjande som ett verktyg för en motståndskraftig återindustrialisering och öppen strategisk autonomi i Europa</w:t>
            </w:r>
            <w:r>
              <w:rPr>
                <w:bCs/>
                <w:snapToGrid w:val="0"/>
              </w:rPr>
              <w:t>.</w:t>
            </w:r>
          </w:p>
          <w:p w14:paraId="37550CE0" w14:textId="2BEF0B76" w:rsidR="00B97835" w:rsidRDefault="00B97835">
            <w:pPr>
              <w:tabs>
                <w:tab w:val="left" w:pos="1701"/>
              </w:tabs>
              <w:rPr>
                <w:b/>
              </w:rPr>
            </w:pPr>
          </w:p>
          <w:p w14:paraId="0C976E29" w14:textId="3D8DCE25" w:rsidR="00BA1BCD" w:rsidRDefault="00BA1BCD">
            <w:pPr>
              <w:tabs>
                <w:tab w:val="left" w:pos="1701"/>
              </w:tabs>
              <w:rPr>
                <w:b/>
              </w:rPr>
            </w:pPr>
            <w:r w:rsidRPr="00EA0DD7">
              <w:rPr>
                <w:bCs/>
                <w:i/>
                <w:iCs/>
                <w:snapToGrid w:val="0"/>
              </w:rPr>
              <w:t>Underlag för överläggningen</w:t>
            </w:r>
          </w:p>
          <w:p w14:paraId="68B074FD" w14:textId="5FA79390" w:rsidR="00BA1BCD" w:rsidRDefault="00BA1BCD" w:rsidP="00BA1BCD">
            <w:pPr>
              <w:rPr>
                <w:bCs/>
              </w:rPr>
            </w:pPr>
            <w:r w:rsidRPr="003502D9">
              <w:t xml:space="preserve">Överläggningspromemoria från Utbildningsdepartementet (dnr </w:t>
            </w:r>
            <w:proofErr w:type="gramStart"/>
            <w:r>
              <w:t>1153</w:t>
            </w:r>
            <w:r w:rsidRPr="001D2818">
              <w:t>-202</w:t>
            </w:r>
            <w:r>
              <w:t>3</w:t>
            </w:r>
            <w:proofErr w:type="gramEnd"/>
            <w:r w:rsidRPr="001D2818">
              <w:t>/2</w:t>
            </w:r>
            <w:r>
              <w:t>4</w:t>
            </w:r>
            <w:r w:rsidRPr="003502D9">
              <w:t>)</w:t>
            </w:r>
            <w:r>
              <w:br/>
            </w:r>
            <w:r w:rsidRPr="00FD315B">
              <w:t xml:space="preserve">Rådsdokument </w:t>
            </w:r>
            <w:r w:rsidRPr="000F3CCA">
              <w:rPr>
                <w:bCs/>
              </w:rPr>
              <w:t>ST</w:t>
            </w:r>
            <w:r>
              <w:rPr>
                <w:bCs/>
              </w:rPr>
              <w:t xml:space="preserve"> 6719/1/24</w:t>
            </w:r>
          </w:p>
          <w:p w14:paraId="3AD4F4D9" w14:textId="16C1F423" w:rsidR="00BA1BCD" w:rsidRDefault="00BA1BCD" w:rsidP="00BA1BCD">
            <w:pPr>
              <w:rPr>
                <w:bCs/>
              </w:rPr>
            </w:pPr>
          </w:p>
          <w:p w14:paraId="39196322" w14:textId="77777777" w:rsidR="00BA1BCD" w:rsidRDefault="00BA1BCD" w:rsidP="00BA1BCD">
            <w:pPr>
              <w:tabs>
                <w:tab w:val="left" w:pos="1701"/>
              </w:tabs>
              <w:rPr>
                <w:bCs/>
                <w:i/>
                <w:iCs/>
                <w:snapToGrid w:val="0"/>
              </w:rPr>
            </w:pPr>
            <w:r w:rsidRPr="00EA0DD7">
              <w:rPr>
                <w:bCs/>
                <w:i/>
                <w:iCs/>
                <w:snapToGrid w:val="0"/>
              </w:rPr>
              <w:t>Regeringens förslag till svensk ståndpunkt</w:t>
            </w:r>
          </w:p>
          <w:p w14:paraId="59F85B8C" w14:textId="54554158" w:rsidR="00BA1BCD" w:rsidRDefault="00BA1BCD" w:rsidP="00BA1BCD">
            <w:pPr>
              <w:rPr>
                <w:bCs/>
              </w:rPr>
            </w:pPr>
            <w:r w:rsidRPr="00BA1BCD">
              <w:rPr>
                <w:bCs/>
              </w:rPr>
              <w:t>Regeringen framhåller värdet av öppen strategisk autonomi för nyttiggörande av kunskap, vilket kan stärka svenska intressen internationellt.</w:t>
            </w:r>
          </w:p>
          <w:p w14:paraId="65B8B558" w14:textId="77777777" w:rsidR="00BA1BCD" w:rsidRPr="00BA1BCD" w:rsidRDefault="00BA1BCD" w:rsidP="00BA1BCD">
            <w:pPr>
              <w:rPr>
                <w:bCs/>
              </w:rPr>
            </w:pPr>
          </w:p>
          <w:p w14:paraId="27DCE400" w14:textId="7A11CBC7" w:rsidR="00BA1BCD" w:rsidRDefault="00BA1BCD" w:rsidP="00BA1BCD">
            <w:pPr>
              <w:rPr>
                <w:bCs/>
              </w:rPr>
            </w:pPr>
            <w:r w:rsidRPr="00BA1BCD">
              <w:rPr>
                <w:bCs/>
              </w:rPr>
              <w:t xml:space="preserve">Regeringen anser att förslaget till </w:t>
            </w:r>
            <w:proofErr w:type="spellStart"/>
            <w:r w:rsidRPr="00BA1BCD">
              <w:rPr>
                <w:bCs/>
              </w:rPr>
              <w:t>rådsslutsatser</w:t>
            </w:r>
            <w:proofErr w:type="spellEnd"/>
            <w:r w:rsidRPr="00BA1BCD">
              <w:rPr>
                <w:bCs/>
              </w:rPr>
              <w:t xml:space="preserve"> kan bidra till att olika aktörer bättre kan dra nytta av resultaten från forskning och innovation.</w:t>
            </w:r>
          </w:p>
          <w:p w14:paraId="17C39731" w14:textId="77777777" w:rsidR="00BA1BCD" w:rsidRPr="00BA1BCD" w:rsidRDefault="00BA1BCD" w:rsidP="00BA1BCD">
            <w:pPr>
              <w:rPr>
                <w:bCs/>
              </w:rPr>
            </w:pPr>
          </w:p>
          <w:p w14:paraId="60239B2E" w14:textId="5F458461" w:rsidR="00BA1BCD" w:rsidRDefault="00BA1BCD" w:rsidP="00BA1BCD">
            <w:pPr>
              <w:rPr>
                <w:bCs/>
              </w:rPr>
            </w:pPr>
            <w:r w:rsidRPr="00BA1BCD">
              <w:rPr>
                <w:bCs/>
              </w:rPr>
              <w:t>Regeringen betonar att en viktig byggsten i kunskapsutnyttjande är att mer av forskares verksamhet ska komma till nytta för privata och offentliga aktörer och att det ska ske både tidigare och enklare.</w:t>
            </w:r>
          </w:p>
          <w:p w14:paraId="08F470A2" w14:textId="77777777" w:rsidR="00BA1BCD" w:rsidRPr="00BA1BCD" w:rsidRDefault="00BA1BCD" w:rsidP="00BA1BCD">
            <w:pPr>
              <w:rPr>
                <w:bCs/>
              </w:rPr>
            </w:pPr>
          </w:p>
          <w:p w14:paraId="510522FB" w14:textId="458BFD0E" w:rsidR="00BA1BCD" w:rsidRDefault="00BA1BCD" w:rsidP="00BA1BCD">
            <w:pPr>
              <w:rPr>
                <w:bCs/>
              </w:rPr>
            </w:pPr>
            <w:r w:rsidRPr="00BA1BCD">
              <w:rPr>
                <w:bCs/>
              </w:rPr>
              <w:t xml:space="preserve">Regeringen poängterar vikten av att stå fast vid excellenskriteriet i genomförandet av forsknings- och innovationssatsningar och i satsningar på viktiga teknikområden. </w:t>
            </w:r>
          </w:p>
          <w:p w14:paraId="2677DC27" w14:textId="77777777" w:rsidR="00BA1BCD" w:rsidRPr="00BA1BCD" w:rsidRDefault="00BA1BCD" w:rsidP="00BA1BCD">
            <w:pPr>
              <w:rPr>
                <w:bCs/>
              </w:rPr>
            </w:pPr>
          </w:p>
          <w:p w14:paraId="4D1BC6E8" w14:textId="24919FD7" w:rsidR="00BA1BCD" w:rsidRDefault="00BA1BCD" w:rsidP="00BA1BCD">
            <w:pPr>
              <w:rPr>
                <w:bCs/>
              </w:rPr>
            </w:pPr>
            <w:r w:rsidRPr="00BA1BCD">
              <w:rPr>
                <w:bCs/>
              </w:rPr>
              <w:t xml:space="preserve">Regeringen understryker att integration av samhällsvetenskap och </w:t>
            </w:r>
            <w:r w:rsidRPr="00BA1BCD">
              <w:rPr>
                <w:bCs/>
              </w:rPr>
              <w:lastRenderedPageBreak/>
              <w:t>humaniora är avgörande för att uppnå verklig förändring och möta större mål som grön och digital omställning</w:t>
            </w:r>
          </w:p>
          <w:p w14:paraId="01ADBC4C" w14:textId="77777777" w:rsidR="00BA1BCD" w:rsidRPr="00BA1BCD" w:rsidRDefault="00BA1BCD" w:rsidP="00BA1BCD">
            <w:pPr>
              <w:rPr>
                <w:bCs/>
              </w:rPr>
            </w:pPr>
          </w:p>
          <w:p w14:paraId="29BFAB3F" w14:textId="3DAA9650" w:rsidR="00BA1BCD" w:rsidRDefault="00BA1BCD" w:rsidP="00BA1BCD">
            <w:pPr>
              <w:rPr>
                <w:bCs/>
              </w:rPr>
            </w:pPr>
            <w:r w:rsidRPr="00BA1BCD">
              <w:rPr>
                <w:bCs/>
              </w:rPr>
              <w:t xml:space="preserve">Regeringen föreslår att Sverige ställer sig bakom </w:t>
            </w:r>
            <w:proofErr w:type="spellStart"/>
            <w:r w:rsidRPr="00BA1BCD">
              <w:rPr>
                <w:bCs/>
              </w:rPr>
              <w:t>rådsslutsatserna</w:t>
            </w:r>
            <w:proofErr w:type="spellEnd"/>
            <w:r w:rsidRPr="00BA1BCD">
              <w:rPr>
                <w:bCs/>
              </w:rPr>
              <w:t>.</w:t>
            </w:r>
          </w:p>
          <w:p w14:paraId="7D3EAE44" w14:textId="77777777" w:rsidR="00BA1BCD" w:rsidRDefault="00BA1BCD">
            <w:pPr>
              <w:tabs>
                <w:tab w:val="left" w:pos="1701"/>
              </w:tabs>
              <w:rPr>
                <w:b/>
              </w:rPr>
            </w:pPr>
          </w:p>
          <w:p w14:paraId="396E37E4" w14:textId="77777777" w:rsidR="00B97835" w:rsidRDefault="00B97835" w:rsidP="00B97835">
            <w:pPr>
              <w:tabs>
                <w:tab w:val="left" w:pos="1701"/>
              </w:tabs>
              <w:rPr>
                <w:bCs/>
                <w:i/>
                <w:iCs/>
                <w:snapToGrid w:val="0"/>
              </w:rPr>
            </w:pPr>
            <w:r>
              <w:rPr>
                <w:bCs/>
                <w:i/>
                <w:iCs/>
                <w:snapToGrid w:val="0"/>
              </w:rPr>
              <w:t>Överläggningen</w:t>
            </w:r>
          </w:p>
          <w:p w14:paraId="54630775" w14:textId="77777777" w:rsidR="00B97835" w:rsidRDefault="00B97835" w:rsidP="00B97835">
            <w:pPr>
              <w:tabs>
                <w:tab w:val="left" w:pos="1701"/>
              </w:tabs>
              <w:rPr>
                <w:bCs/>
                <w:snapToGrid w:val="0"/>
              </w:rPr>
            </w:pPr>
            <w:r w:rsidRPr="0007288A">
              <w:rPr>
                <w:bCs/>
                <w:snapToGrid w:val="0"/>
              </w:rPr>
              <w:t>Ordföranden konstaterade att det fanns stöd för regeringens ståndpunkt.</w:t>
            </w:r>
          </w:p>
          <w:p w14:paraId="76220757" w14:textId="77777777" w:rsidR="00B97835" w:rsidRDefault="00B97835" w:rsidP="00B97835">
            <w:pPr>
              <w:tabs>
                <w:tab w:val="left" w:pos="1701"/>
              </w:tabs>
              <w:rPr>
                <w:bCs/>
                <w:snapToGrid w:val="0"/>
              </w:rPr>
            </w:pPr>
          </w:p>
          <w:p w14:paraId="43B2B247" w14:textId="0E4600AC" w:rsidR="00B97835" w:rsidRDefault="00B97835">
            <w:pPr>
              <w:tabs>
                <w:tab w:val="left" w:pos="1701"/>
              </w:tabs>
              <w:rPr>
                <w:b/>
              </w:rPr>
            </w:pPr>
            <w:r w:rsidRPr="0007288A">
              <w:rPr>
                <w:bCs/>
                <w:snapToGrid w:val="0"/>
              </w:rPr>
              <w:t>Denna paragraf förklarades omedelbart justerad.</w:t>
            </w:r>
          </w:p>
          <w:p w14:paraId="56574C2E" w14:textId="639308DC" w:rsidR="00773C28" w:rsidRDefault="00773C28">
            <w:pPr>
              <w:tabs>
                <w:tab w:val="left" w:pos="1701"/>
              </w:tabs>
              <w:rPr>
                <w:b/>
                <w:snapToGrid w:val="0"/>
              </w:rPr>
            </w:pPr>
          </w:p>
        </w:tc>
      </w:tr>
      <w:tr w:rsidR="00773C28" w14:paraId="4E6A9BD5" w14:textId="77777777" w:rsidTr="0001177E">
        <w:tc>
          <w:tcPr>
            <w:tcW w:w="567" w:type="dxa"/>
          </w:tcPr>
          <w:p w14:paraId="108A5EFE" w14:textId="77777777" w:rsidR="00773C28" w:rsidRPr="003B4DE8" w:rsidRDefault="00773C28" w:rsidP="003B4DE8">
            <w:pPr>
              <w:pStyle w:val="Liststycke"/>
              <w:numPr>
                <w:ilvl w:val="0"/>
                <w:numId w:val="2"/>
              </w:numPr>
              <w:tabs>
                <w:tab w:val="left" w:pos="1701"/>
              </w:tabs>
              <w:rPr>
                <w:b/>
                <w:snapToGrid w:val="0"/>
              </w:rPr>
            </w:pPr>
          </w:p>
        </w:tc>
        <w:tc>
          <w:tcPr>
            <w:tcW w:w="6946" w:type="dxa"/>
            <w:gridSpan w:val="2"/>
          </w:tcPr>
          <w:p w14:paraId="4A0C8090" w14:textId="77777777" w:rsidR="00773C28" w:rsidRDefault="00773C28">
            <w:pPr>
              <w:tabs>
                <w:tab w:val="left" w:pos="1701"/>
              </w:tabs>
              <w:rPr>
                <w:b/>
              </w:rPr>
            </w:pPr>
            <w:r>
              <w:rPr>
                <w:b/>
              </w:rPr>
              <w:t xml:space="preserve">EU-överläggning om utkast till </w:t>
            </w:r>
            <w:proofErr w:type="spellStart"/>
            <w:r>
              <w:rPr>
                <w:b/>
              </w:rPr>
              <w:t>rådsslutsatser</w:t>
            </w:r>
            <w:proofErr w:type="spellEnd"/>
            <w:r>
              <w:rPr>
                <w:b/>
              </w:rPr>
              <w:t xml:space="preserve"> om efterhandsutvärderingen av Horisont 2020</w:t>
            </w:r>
          </w:p>
          <w:p w14:paraId="72EB2C4F" w14:textId="68CB671A" w:rsidR="00773C28" w:rsidRDefault="00773C28">
            <w:pPr>
              <w:tabs>
                <w:tab w:val="left" w:pos="1701"/>
              </w:tabs>
              <w:rPr>
                <w:b/>
              </w:rPr>
            </w:pPr>
          </w:p>
          <w:p w14:paraId="5E3F348C" w14:textId="1DFCE1A0" w:rsidR="00B97835" w:rsidRDefault="00B97835">
            <w:pPr>
              <w:tabs>
                <w:tab w:val="left" w:pos="1701"/>
              </w:tabs>
              <w:rPr>
                <w:bCs/>
                <w:snapToGrid w:val="0"/>
              </w:rPr>
            </w:pPr>
            <w:r w:rsidRPr="00FA4063">
              <w:rPr>
                <w:bCs/>
                <w:snapToGrid w:val="0"/>
              </w:rPr>
              <w:t xml:space="preserve">Utskottet överlade med </w:t>
            </w:r>
            <w:r>
              <w:rPr>
                <w:bCs/>
                <w:snapToGrid w:val="0"/>
              </w:rPr>
              <w:t>statssekreterare Maria Nilsson,</w:t>
            </w:r>
            <w:r w:rsidRPr="00FA4063">
              <w:rPr>
                <w:bCs/>
                <w:snapToGrid w:val="0"/>
              </w:rPr>
              <w:t xml:space="preserve"> biträdd av medarbetare från Utbildningsdepartementet,</w:t>
            </w:r>
            <w:r>
              <w:rPr>
                <w:bCs/>
                <w:snapToGrid w:val="0"/>
              </w:rPr>
              <w:t xml:space="preserve"> om ett </w:t>
            </w:r>
            <w:r w:rsidRPr="00B97835">
              <w:rPr>
                <w:bCs/>
                <w:snapToGrid w:val="0"/>
              </w:rPr>
              <w:t xml:space="preserve">utkast till </w:t>
            </w:r>
            <w:proofErr w:type="spellStart"/>
            <w:r w:rsidRPr="00B97835">
              <w:rPr>
                <w:bCs/>
                <w:snapToGrid w:val="0"/>
              </w:rPr>
              <w:t>rådsslutsatser</w:t>
            </w:r>
            <w:proofErr w:type="spellEnd"/>
            <w:r w:rsidRPr="00B97835">
              <w:rPr>
                <w:bCs/>
                <w:snapToGrid w:val="0"/>
              </w:rPr>
              <w:t xml:space="preserve"> om efterhandsutvärderingen av Horisont 2020</w:t>
            </w:r>
            <w:r>
              <w:rPr>
                <w:bCs/>
                <w:snapToGrid w:val="0"/>
              </w:rPr>
              <w:t>.</w:t>
            </w:r>
          </w:p>
          <w:p w14:paraId="02BAD1B6" w14:textId="77777777" w:rsidR="00BA1BCD" w:rsidRDefault="00BA1BCD" w:rsidP="00BA1BCD">
            <w:pPr>
              <w:tabs>
                <w:tab w:val="left" w:pos="1701"/>
              </w:tabs>
              <w:rPr>
                <w:bCs/>
                <w:i/>
                <w:iCs/>
                <w:snapToGrid w:val="0"/>
              </w:rPr>
            </w:pPr>
          </w:p>
          <w:p w14:paraId="5508F090" w14:textId="5301AF9C" w:rsidR="00BA1BCD" w:rsidRDefault="00BA1BCD" w:rsidP="00BA1BCD">
            <w:pPr>
              <w:tabs>
                <w:tab w:val="left" w:pos="1701"/>
              </w:tabs>
              <w:rPr>
                <w:b/>
              </w:rPr>
            </w:pPr>
            <w:r w:rsidRPr="00EA0DD7">
              <w:rPr>
                <w:bCs/>
                <w:i/>
                <w:iCs/>
                <w:snapToGrid w:val="0"/>
              </w:rPr>
              <w:t>Underlag för överläggningen</w:t>
            </w:r>
          </w:p>
          <w:p w14:paraId="05484DB3" w14:textId="41D97EE7" w:rsidR="00BA1BCD" w:rsidRDefault="00BA1BCD" w:rsidP="00BA1BCD">
            <w:pPr>
              <w:rPr>
                <w:bCs/>
              </w:rPr>
            </w:pPr>
            <w:r w:rsidRPr="003502D9">
              <w:t>Överläggningspromemoria från Utbildningsdepartementet (dnr</w:t>
            </w:r>
            <w:r>
              <w:t xml:space="preserve"> </w:t>
            </w:r>
            <w:proofErr w:type="gramStart"/>
            <w:r>
              <w:t>1705</w:t>
            </w:r>
            <w:r w:rsidRPr="001D2818">
              <w:t>-202</w:t>
            </w:r>
            <w:r>
              <w:t>3</w:t>
            </w:r>
            <w:proofErr w:type="gramEnd"/>
            <w:r w:rsidRPr="001D2818">
              <w:t>/2</w:t>
            </w:r>
            <w:r>
              <w:t>4</w:t>
            </w:r>
            <w:r w:rsidRPr="003502D9">
              <w:t>)</w:t>
            </w:r>
            <w:r>
              <w:br/>
            </w:r>
            <w:r w:rsidRPr="00FD315B">
              <w:t xml:space="preserve">Rådsdokument </w:t>
            </w:r>
            <w:r w:rsidRPr="000F3CCA">
              <w:rPr>
                <w:bCs/>
              </w:rPr>
              <w:t>ST</w:t>
            </w:r>
            <w:r>
              <w:rPr>
                <w:bCs/>
              </w:rPr>
              <w:t xml:space="preserve"> 8705/1/24 </w:t>
            </w:r>
          </w:p>
          <w:p w14:paraId="09687B8A" w14:textId="002A0156" w:rsidR="00BA1BCD" w:rsidRDefault="00BA1BCD">
            <w:pPr>
              <w:tabs>
                <w:tab w:val="left" w:pos="1701"/>
              </w:tabs>
              <w:rPr>
                <w:bCs/>
                <w:snapToGrid w:val="0"/>
              </w:rPr>
            </w:pPr>
            <w:r w:rsidRPr="00BA1BCD">
              <w:rPr>
                <w:bCs/>
                <w:snapToGrid w:val="0"/>
              </w:rPr>
              <w:t>COM 2024(49)</w:t>
            </w:r>
          </w:p>
          <w:p w14:paraId="6681DFB6" w14:textId="77777777" w:rsidR="00BA1BCD" w:rsidRDefault="00BA1BCD">
            <w:pPr>
              <w:tabs>
                <w:tab w:val="left" w:pos="1701"/>
              </w:tabs>
              <w:rPr>
                <w:bCs/>
                <w:snapToGrid w:val="0"/>
              </w:rPr>
            </w:pPr>
          </w:p>
          <w:p w14:paraId="16CC6E70" w14:textId="77777777" w:rsidR="00BA1BCD" w:rsidRDefault="00BA1BCD" w:rsidP="00BA1BCD">
            <w:pPr>
              <w:tabs>
                <w:tab w:val="left" w:pos="1701"/>
              </w:tabs>
              <w:rPr>
                <w:bCs/>
                <w:i/>
                <w:iCs/>
                <w:snapToGrid w:val="0"/>
              </w:rPr>
            </w:pPr>
            <w:r w:rsidRPr="00EA0DD7">
              <w:rPr>
                <w:bCs/>
                <w:i/>
                <w:iCs/>
                <w:snapToGrid w:val="0"/>
              </w:rPr>
              <w:t>Regeringens förslag till svensk ståndpunkt</w:t>
            </w:r>
          </w:p>
          <w:p w14:paraId="50555EA0" w14:textId="46608DA9" w:rsidR="00BA1BCD" w:rsidRDefault="00BA1BCD" w:rsidP="00BA1BCD">
            <w:pPr>
              <w:tabs>
                <w:tab w:val="left" w:pos="1701"/>
              </w:tabs>
              <w:rPr>
                <w:bCs/>
                <w:snapToGrid w:val="0"/>
              </w:rPr>
            </w:pPr>
            <w:r w:rsidRPr="00BA1BCD">
              <w:rPr>
                <w:bCs/>
                <w:snapToGrid w:val="0"/>
              </w:rPr>
              <w:t>Regeringen välkomnar utvärderingen av Horisont 2020. En grundlig implementering, uppföljning och utvärdering av föreslagna åtgärder är av största vikt för effektivitet och att främja excellens.</w:t>
            </w:r>
          </w:p>
          <w:p w14:paraId="01276364" w14:textId="77777777" w:rsidR="00BA1BCD" w:rsidRPr="00BA1BCD" w:rsidRDefault="00BA1BCD" w:rsidP="00BA1BCD">
            <w:pPr>
              <w:tabs>
                <w:tab w:val="left" w:pos="1701"/>
              </w:tabs>
              <w:rPr>
                <w:bCs/>
                <w:snapToGrid w:val="0"/>
              </w:rPr>
            </w:pPr>
          </w:p>
          <w:p w14:paraId="761BF35E" w14:textId="5F1CA262" w:rsidR="00BA1BCD" w:rsidRDefault="00BA1BCD" w:rsidP="00BA1BCD">
            <w:pPr>
              <w:tabs>
                <w:tab w:val="left" w:pos="1701"/>
              </w:tabs>
              <w:rPr>
                <w:bCs/>
                <w:snapToGrid w:val="0"/>
              </w:rPr>
            </w:pPr>
            <w:r w:rsidRPr="00BA1BCD">
              <w:rPr>
                <w:bCs/>
                <w:snapToGrid w:val="0"/>
              </w:rPr>
              <w:t xml:space="preserve">Regeringen betonar att excellens är grunden i forskning och innovation och instämmer därmed i att europeiska forskningsrådet (ERC) och Marie </w:t>
            </w:r>
            <w:proofErr w:type="spellStart"/>
            <w:r w:rsidRPr="00BA1BCD">
              <w:rPr>
                <w:bCs/>
                <w:snapToGrid w:val="0"/>
              </w:rPr>
              <w:t>Skłodowska</w:t>
            </w:r>
            <w:proofErr w:type="spellEnd"/>
            <w:r w:rsidRPr="00BA1BCD">
              <w:rPr>
                <w:bCs/>
                <w:snapToGrid w:val="0"/>
              </w:rPr>
              <w:t xml:space="preserve">-Curie (MSCA) är flaggskepp i ramprogrammet. Principen om excellens innebär att högkvalitativ forskning främjas genom att de bästa forskarna med de bästa idéerna får finansiering, vilket bör vara en hörnsten för alla investeringar inom ramprogrammen. </w:t>
            </w:r>
          </w:p>
          <w:p w14:paraId="688E6623" w14:textId="77777777" w:rsidR="00BA1BCD" w:rsidRPr="00BA1BCD" w:rsidRDefault="00BA1BCD" w:rsidP="00BA1BCD">
            <w:pPr>
              <w:tabs>
                <w:tab w:val="left" w:pos="1701"/>
              </w:tabs>
              <w:rPr>
                <w:bCs/>
                <w:snapToGrid w:val="0"/>
              </w:rPr>
            </w:pPr>
          </w:p>
          <w:p w14:paraId="295455C9" w14:textId="0F051A2A" w:rsidR="00BA1BCD" w:rsidRDefault="00BA1BCD" w:rsidP="00BA1BCD">
            <w:pPr>
              <w:tabs>
                <w:tab w:val="left" w:pos="1701"/>
              </w:tabs>
              <w:rPr>
                <w:bCs/>
                <w:snapToGrid w:val="0"/>
              </w:rPr>
            </w:pPr>
            <w:r w:rsidRPr="00BA1BCD">
              <w:rPr>
                <w:bCs/>
                <w:snapToGrid w:val="0"/>
              </w:rPr>
              <w:t xml:space="preserve">Regeringen anser att det finns klara behov att fortsätta vidta åtgärder för att förenkla för deltagarna i ramprogrammen i syfte att öka programmets attraktions- och genomslagskraft. </w:t>
            </w:r>
          </w:p>
          <w:p w14:paraId="51C96B30" w14:textId="77777777" w:rsidR="00BA1BCD" w:rsidRPr="00BA1BCD" w:rsidRDefault="00BA1BCD" w:rsidP="00BA1BCD">
            <w:pPr>
              <w:tabs>
                <w:tab w:val="left" w:pos="1701"/>
              </w:tabs>
              <w:rPr>
                <w:bCs/>
                <w:snapToGrid w:val="0"/>
              </w:rPr>
            </w:pPr>
          </w:p>
          <w:p w14:paraId="236BC495" w14:textId="39F13E88" w:rsidR="00BA1BCD" w:rsidRDefault="00BA1BCD" w:rsidP="00BA1BCD">
            <w:pPr>
              <w:tabs>
                <w:tab w:val="left" w:pos="1701"/>
              </w:tabs>
              <w:rPr>
                <w:bCs/>
                <w:snapToGrid w:val="0"/>
              </w:rPr>
            </w:pPr>
            <w:r w:rsidRPr="00BA1BCD">
              <w:rPr>
                <w:bCs/>
                <w:snapToGrid w:val="0"/>
              </w:rPr>
              <w:t xml:space="preserve">Regeringen framhåller vikten av att inte föregripa förhandlingarna av nästa MFF i </w:t>
            </w:r>
            <w:proofErr w:type="spellStart"/>
            <w:r w:rsidRPr="00BA1BCD">
              <w:rPr>
                <w:bCs/>
                <w:snapToGrid w:val="0"/>
              </w:rPr>
              <w:t>rådsslutsatserna</w:t>
            </w:r>
            <w:proofErr w:type="spellEnd"/>
            <w:r w:rsidRPr="00BA1BCD">
              <w:rPr>
                <w:bCs/>
                <w:snapToGrid w:val="0"/>
              </w:rPr>
              <w:t xml:space="preserve">. </w:t>
            </w:r>
          </w:p>
          <w:p w14:paraId="76F8BDDF" w14:textId="77777777" w:rsidR="00BA1BCD" w:rsidRPr="00BA1BCD" w:rsidRDefault="00BA1BCD" w:rsidP="00BA1BCD">
            <w:pPr>
              <w:tabs>
                <w:tab w:val="left" w:pos="1701"/>
              </w:tabs>
              <w:rPr>
                <w:bCs/>
                <w:snapToGrid w:val="0"/>
              </w:rPr>
            </w:pPr>
          </w:p>
          <w:p w14:paraId="34936D14" w14:textId="78614352" w:rsidR="00BA1BCD" w:rsidRDefault="00BA1BCD" w:rsidP="00BA1BCD">
            <w:pPr>
              <w:tabs>
                <w:tab w:val="left" w:pos="1701"/>
              </w:tabs>
              <w:rPr>
                <w:bCs/>
                <w:snapToGrid w:val="0"/>
              </w:rPr>
            </w:pPr>
            <w:r w:rsidRPr="00BA1BCD">
              <w:rPr>
                <w:bCs/>
                <w:snapToGrid w:val="0"/>
              </w:rPr>
              <w:t xml:space="preserve">Regeringen föreslår att Sverige ställer sig bakom </w:t>
            </w:r>
            <w:proofErr w:type="spellStart"/>
            <w:r w:rsidRPr="00BA1BCD">
              <w:rPr>
                <w:bCs/>
                <w:snapToGrid w:val="0"/>
              </w:rPr>
              <w:t>rådsslutsatserna</w:t>
            </w:r>
            <w:proofErr w:type="spellEnd"/>
            <w:r w:rsidRPr="00BA1BCD">
              <w:rPr>
                <w:bCs/>
                <w:snapToGrid w:val="0"/>
              </w:rPr>
              <w:t>.</w:t>
            </w:r>
          </w:p>
          <w:p w14:paraId="7B4D42EE" w14:textId="77777777" w:rsidR="00B97835" w:rsidRDefault="00B97835">
            <w:pPr>
              <w:tabs>
                <w:tab w:val="left" w:pos="1701"/>
              </w:tabs>
              <w:rPr>
                <w:b/>
              </w:rPr>
            </w:pPr>
          </w:p>
          <w:p w14:paraId="107402CF" w14:textId="77777777" w:rsidR="00B97835" w:rsidRDefault="00B97835" w:rsidP="00B97835">
            <w:pPr>
              <w:tabs>
                <w:tab w:val="left" w:pos="1701"/>
              </w:tabs>
              <w:rPr>
                <w:bCs/>
                <w:i/>
                <w:iCs/>
                <w:snapToGrid w:val="0"/>
              </w:rPr>
            </w:pPr>
            <w:r>
              <w:rPr>
                <w:bCs/>
                <w:i/>
                <w:iCs/>
                <w:snapToGrid w:val="0"/>
              </w:rPr>
              <w:t>Överläggningen</w:t>
            </w:r>
          </w:p>
          <w:p w14:paraId="4D9C74EC" w14:textId="77777777" w:rsidR="00B97835" w:rsidRDefault="00B97835" w:rsidP="00B97835">
            <w:pPr>
              <w:tabs>
                <w:tab w:val="left" w:pos="1701"/>
              </w:tabs>
              <w:rPr>
                <w:bCs/>
                <w:snapToGrid w:val="0"/>
              </w:rPr>
            </w:pPr>
            <w:r w:rsidRPr="0007288A">
              <w:rPr>
                <w:bCs/>
                <w:snapToGrid w:val="0"/>
              </w:rPr>
              <w:t>Ordföranden konstaterade att det fanns stöd för regeringens ståndpunkt.</w:t>
            </w:r>
          </w:p>
          <w:p w14:paraId="063E64A5" w14:textId="77777777" w:rsidR="00B97835" w:rsidRDefault="00B97835" w:rsidP="00B97835">
            <w:pPr>
              <w:tabs>
                <w:tab w:val="left" w:pos="1701"/>
              </w:tabs>
              <w:rPr>
                <w:bCs/>
                <w:snapToGrid w:val="0"/>
              </w:rPr>
            </w:pPr>
          </w:p>
          <w:p w14:paraId="276AFCA2" w14:textId="187CBE49" w:rsidR="00773C28" w:rsidRDefault="00B97835" w:rsidP="00EC4130">
            <w:pPr>
              <w:tabs>
                <w:tab w:val="left" w:pos="1701"/>
              </w:tabs>
              <w:rPr>
                <w:b/>
                <w:snapToGrid w:val="0"/>
              </w:rPr>
            </w:pPr>
            <w:r w:rsidRPr="0007288A">
              <w:rPr>
                <w:bCs/>
                <w:snapToGrid w:val="0"/>
              </w:rPr>
              <w:t>Denna paragraf förklarades omedelbart justerad.</w:t>
            </w:r>
          </w:p>
        </w:tc>
      </w:tr>
      <w:tr w:rsidR="00773C28" w14:paraId="7C5D0311" w14:textId="77777777" w:rsidTr="0001177E">
        <w:tc>
          <w:tcPr>
            <w:tcW w:w="567" w:type="dxa"/>
          </w:tcPr>
          <w:p w14:paraId="70FD656F" w14:textId="77777777" w:rsidR="00773C28" w:rsidRPr="003B4DE8" w:rsidRDefault="00773C28" w:rsidP="003B4DE8">
            <w:pPr>
              <w:pStyle w:val="Liststycke"/>
              <w:numPr>
                <w:ilvl w:val="0"/>
                <w:numId w:val="2"/>
              </w:numPr>
              <w:tabs>
                <w:tab w:val="left" w:pos="1701"/>
              </w:tabs>
              <w:rPr>
                <w:b/>
                <w:snapToGrid w:val="0"/>
              </w:rPr>
            </w:pPr>
          </w:p>
        </w:tc>
        <w:tc>
          <w:tcPr>
            <w:tcW w:w="6946" w:type="dxa"/>
            <w:gridSpan w:val="2"/>
          </w:tcPr>
          <w:p w14:paraId="21B65161" w14:textId="77777777" w:rsidR="00773C28" w:rsidRDefault="00773C28">
            <w:pPr>
              <w:tabs>
                <w:tab w:val="left" w:pos="1701"/>
              </w:tabs>
              <w:rPr>
                <w:b/>
              </w:rPr>
            </w:pPr>
            <w:r w:rsidRPr="00161183">
              <w:rPr>
                <w:b/>
              </w:rPr>
              <w:t>EU-överläggning om förslag till ändring av förordningen om det gemensamma företaget för ett europeiskt högpresterande datorsystem (</w:t>
            </w:r>
            <w:proofErr w:type="spellStart"/>
            <w:r w:rsidRPr="00161183">
              <w:rPr>
                <w:b/>
              </w:rPr>
              <w:t>EuroHPC</w:t>
            </w:r>
            <w:proofErr w:type="spellEnd"/>
            <w:r w:rsidRPr="00161183">
              <w:rPr>
                <w:b/>
              </w:rPr>
              <w:t>)</w:t>
            </w:r>
          </w:p>
          <w:p w14:paraId="0317FE6E" w14:textId="175B0711" w:rsidR="00773C28" w:rsidRDefault="00773C28">
            <w:pPr>
              <w:tabs>
                <w:tab w:val="left" w:pos="1701"/>
              </w:tabs>
              <w:rPr>
                <w:b/>
              </w:rPr>
            </w:pPr>
          </w:p>
          <w:p w14:paraId="1A2AC602" w14:textId="3BB56DD1" w:rsidR="00B97835" w:rsidRDefault="00B97835">
            <w:pPr>
              <w:tabs>
                <w:tab w:val="left" w:pos="1701"/>
              </w:tabs>
              <w:rPr>
                <w:bCs/>
                <w:snapToGrid w:val="0"/>
              </w:rPr>
            </w:pPr>
            <w:r w:rsidRPr="00FA4063">
              <w:rPr>
                <w:bCs/>
                <w:snapToGrid w:val="0"/>
              </w:rPr>
              <w:t xml:space="preserve">Utskottet överlade med </w:t>
            </w:r>
            <w:r>
              <w:rPr>
                <w:bCs/>
                <w:snapToGrid w:val="0"/>
              </w:rPr>
              <w:t>statssekreterare Maria Nilsson,</w:t>
            </w:r>
            <w:r w:rsidRPr="00FA4063">
              <w:rPr>
                <w:bCs/>
                <w:snapToGrid w:val="0"/>
              </w:rPr>
              <w:t xml:space="preserve"> biträdd av medarbetare från Utbildningsdepartementet,</w:t>
            </w:r>
            <w:r>
              <w:rPr>
                <w:bCs/>
                <w:snapToGrid w:val="0"/>
              </w:rPr>
              <w:t xml:space="preserve"> </w:t>
            </w:r>
            <w:r w:rsidRPr="00B97835">
              <w:rPr>
                <w:bCs/>
                <w:snapToGrid w:val="0"/>
              </w:rPr>
              <w:t xml:space="preserve">om </w:t>
            </w:r>
            <w:r>
              <w:rPr>
                <w:bCs/>
                <w:snapToGrid w:val="0"/>
              </w:rPr>
              <w:t>ett f</w:t>
            </w:r>
            <w:r w:rsidRPr="00B97835">
              <w:rPr>
                <w:bCs/>
                <w:snapToGrid w:val="0"/>
              </w:rPr>
              <w:t>örslag till ändring av förordningen om det gemensamma företaget för ett europeiskt högpresterande datorsystem (</w:t>
            </w:r>
            <w:proofErr w:type="spellStart"/>
            <w:r w:rsidRPr="00B97835">
              <w:rPr>
                <w:bCs/>
                <w:snapToGrid w:val="0"/>
              </w:rPr>
              <w:t>EuroHPC</w:t>
            </w:r>
            <w:proofErr w:type="spellEnd"/>
            <w:r w:rsidRPr="00B97835">
              <w:rPr>
                <w:bCs/>
                <w:snapToGrid w:val="0"/>
              </w:rPr>
              <w:t>)</w:t>
            </w:r>
            <w:r>
              <w:rPr>
                <w:bCs/>
                <w:snapToGrid w:val="0"/>
              </w:rPr>
              <w:t>.</w:t>
            </w:r>
          </w:p>
          <w:p w14:paraId="3A42CE6E" w14:textId="540BE505" w:rsidR="00BA1BCD" w:rsidRDefault="00BA1BCD">
            <w:pPr>
              <w:tabs>
                <w:tab w:val="left" w:pos="1701"/>
              </w:tabs>
              <w:rPr>
                <w:bCs/>
                <w:snapToGrid w:val="0"/>
              </w:rPr>
            </w:pPr>
          </w:p>
          <w:p w14:paraId="140C3985" w14:textId="77777777" w:rsidR="00BA1BCD" w:rsidRDefault="00BA1BCD" w:rsidP="00BA1BCD">
            <w:pPr>
              <w:tabs>
                <w:tab w:val="left" w:pos="1701"/>
              </w:tabs>
              <w:rPr>
                <w:b/>
              </w:rPr>
            </w:pPr>
            <w:r w:rsidRPr="00EA0DD7">
              <w:rPr>
                <w:bCs/>
                <w:i/>
                <w:iCs/>
                <w:snapToGrid w:val="0"/>
              </w:rPr>
              <w:t>Underlag för överläggningen</w:t>
            </w:r>
          </w:p>
          <w:p w14:paraId="6D320630" w14:textId="77777777" w:rsidR="00BA1BCD" w:rsidRDefault="00BA1BCD" w:rsidP="00BA1BCD">
            <w:pPr>
              <w:rPr>
                <w:bCs/>
              </w:rPr>
            </w:pPr>
            <w:r w:rsidRPr="003502D9">
              <w:t>Överläggningspromemoria från Utbildningsdepartementet (dnr</w:t>
            </w:r>
            <w:r>
              <w:t xml:space="preserve"> 1700</w:t>
            </w:r>
            <w:r w:rsidRPr="001D2818">
              <w:t>-202</w:t>
            </w:r>
            <w:r>
              <w:t>3</w:t>
            </w:r>
            <w:r w:rsidRPr="001D2818">
              <w:t>/2</w:t>
            </w:r>
            <w:r>
              <w:t>4</w:t>
            </w:r>
            <w:r w:rsidRPr="003502D9">
              <w:t>)</w:t>
            </w:r>
            <w:r>
              <w:br/>
            </w:r>
            <w:r w:rsidRPr="00FD315B">
              <w:t xml:space="preserve">Rådsdokument </w:t>
            </w:r>
            <w:r w:rsidRPr="000F3CCA">
              <w:rPr>
                <w:bCs/>
              </w:rPr>
              <w:t>ST</w:t>
            </w:r>
            <w:r>
              <w:rPr>
                <w:bCs/>
              </w:rPr>
              <w:t xml:space="preserve"> 8763/24</w:t>
            </w:r>
            <w:r>
              <w:rPr>
                <w:bCs/>
              </w:rPr>
              <w:br/>
            </w:r>
            <w:proofErr w:type="gramStart"/>
            <w:r>
              <w:rPr>
                <w:bCs/>
              </w:rPr>
              <w:t>COM(</w:t>
            </w:r>
            <w:proofErr w:type="gramEnd"/>
            <w:r>
              <w:rPr>
                <w:bCs/>
              </w:rPr>
              <w:t>2024) 29</w:t>
            </w:r>
          </w:p>
          <w:p w14:paraId="675DC99B" w14:textId="77777777" w:rsidR="00BA1BCD" w:rsidRDefault="00BA1BCD">
            <w:pPr>
              <w:tabs>
                <w:tab w:val="left" w:pos="1701"/>
              </w:tabs>
              <w:rPr>
                <w:bCs/>
                <w:snapToGrid w:val="0"/>
              </w:rPr>
            </w:pPr>
          </w:p>
          <w:p w14:paraId="2A349D96" w14:textId="77777777" w:rsidR="00BA1BCD" w:rsidRDefault="00BA1BCD" w:rsidP="00BA1BCD">
            <w:pPr>
              <w:tabs>
                <w:tab w:val="left" w:pos="1701"/>
              </w:tabs>
              <w:rPr>
                <w:bCs/>
                <w:i/>
                <w:iCs/>
                <w:snapToGrid w:val="0"/>
              </w:rPr>
            </w:pPr>
            <w:r w:rsidRPr="00EA0DD7">
              <w:rPr>
                <w:bCs/>
                <w:i/>
                <w:iCs/>
                <w:snapToGrid w:val="0"/>
              </w:rPr>
              <w:t>Regeringens förslag till svensk ståndpunkt</w:t>
            </w:r>
          </w:p>
          <w:p w14:paraId="53B98E8D" w14:textId="07F53B78" w:rsidR="00BA1BCD" w:rsidRDefault="00BA1BCD" w:rsidP="00BA1BCD">
            <w:pPr>
              <w:tabs>
                <w:tab w:val="left" w:pos="1701"/>
              </w:tabs>
              <w:rPr>
                <w:bCs/>
                <w:snapToGrid w:val="0"/>
              </w:rPr>
            </w:pPr>
            <w:r w:rsidRPr="00BA1BCD">
              <w:rPr>
                <w:bCs/>
                <w:snapToGrid w:val="0"/>
              </w:rPr>
              <w:t>Regeringen anser att det är av stor betydelse att svenska och europeiska aktörer har tillgång till superdatorer med prestanda av högsta internationella klass. Datorerna kan komma att skapa helt nya möjligheter för forskning, teknikutveckling och innovation. Regeringen anser att de satsningar som behövs på superdatorer i Europa går bortom de förmågor som enskilda länder har möjlighet till vad gäller finansiering och genomförande.</w:t>
            </w:r>
          </w:p>
          <w:p w14:paraId="65F7287C" w14:textId="77777777" w:rsidR="00BA1BCD" w:rsidRPr="00BA1BCD" w:rsidRDefault="00BA1BCD" w:rsidP="00BA1BCD">
            <w:pPr>
              <w:tabs>
                <w:tab w:val="left" w:pos="1701"/>
              </w:tabs>
              <w:rPr>
                <w:bCs/>
                <w:snapToGrid w:val="0"/>
              </w:rPr>
            </w:pPr>
          </w:p>
          <w:p w14:paraId="109E9C3B" w14:textId="55D8F83C" w:rsidR="00BA1BCD" w:rsidRDefault="00BA1BCD" w:rsidP="00BA1BCD">
            <w:pPr>
              <w:tabs>
                <w:tab w:val="left" w:pos="1701"/>
              </w:tabs>
              <w:rPr>
                <w:bCs/>
                <w:snapToGrid w:val="0"/>
              </w:rPr>
            </w:pPr>
            <w:r w:rsidRPr="00BA1BCD">
              <w:rPr>
                <w:bCs/>
                <w:snapToGrid w:val="0"/>
              </w:rPr>
              <w:t>Regeringen ser positivt på att det gemensamma företaget även kan inkludera AI samt att små och medelstora företag och nystartade företag i befintligt partnerskap ges tillgång till superdatorerna. Detta ligger väl i linje med många svenska aktörers verksamhet och kommer bidra till att redan gjorda investeringar utnyttjas på ett effektivt sätt och ge stor nytta för företag, myndigheter och forskare.</w:t>
            </w:r>
          </w:p>
          <w:p w14:paraId="7FB7F1CE" w14:textId="77777777" w:rsidR="00BA1BCD" w:rsidRPr="00BA1BCD" w:rsidRDefault="00BA1BCD" w:rsidP="00BA1BCD">
            <w:pPr>
              <w:tabs>
                <w:tab w:val="left" w:pos="1701"/>
              </w:tabs>
              <w:rPr>
                <w:bCs/>
                <w:snapToGrid w:val="0"/>
              </w:rPr>
            </w:pPr>
          </w:p>
          <w:p w14:paraId="133D1AAA" w14:textId="294C6766" w:rsidR="00BA1BCD" w:rsidRDefault="00BA1BCD" w:rsidP="00BA1BCD">
            <w:pPr>
              <w:tabs>
                <w:tab w:val="left" w:pos="1701"/>
              </w:tabs>
              <w:rPr>
                <w:bCs/>
                <w:snapToGrid w:val="0"/>
              </w:rPr>
            </w:pPr>
            <w:r w:rsidRPr="00BA1BCD">
              <w:rPr>
                <w:bCs/>
                <w:snapToGrid w:val="0"/>
              </w:rPr>
              <w:t>Regeringen bedömer att förhandlingsresultatet ligger i linje med Sveriges ståndpunkter under förhandlingen. Regeringen hade föredragit att energieffektivisering hade inkluderats i ändringsförslaget, men anser ändå att förslaget är acceptabelt. Regeringen föreslår därför att Sverige ställer sig bakom förslaget till ändring av förordningen.</w:t>
            </w:r>
          </w:p>
          <w:p w14:paraId="6E4FAFAB" w14:textId="77777777" w:rsidR="00B97835" w:rsidRDefault="00B97835">
            <w:pPr>
              <w:tabs>
                <w:tab w:val="left" w:pos="1701"/>
              </w:tabs>
              <w:rPr>
                <w:b/>
              </w:rPr>
            </w:pPr>
          </w:p>
          <w:p w14:paraId="567F3C5D" w14:textId="77777777" w:rsidR="00B97835" w:rsidRDefault="00B97835" w:rsidP="00B97835">
            <w:pPr>
              <w:tabs>
                <w:tab w:val="left" w:pos="1701"/>
              </w:tabs>
              <w:rPr>
                <w:bCs/>
                <w:i/>
                <w:iCs/>
                <w:snapToGrid w:val="0"/>
              </w:rPr>
            </w:pPr>
            <w:r>
              <w:rPr>
                <w:bCs/>
                <w:i/>
                <w:iCs/>
                <w:snapToGrid w:val="0"/>
              </w:rPr>
              <w:t>Överläggningen</w:t>
            </w:r>
          </w:p>
          <w:p w14:paraId="6A3BA907" w14:textId="77777777" w:rsidR="00B97835" w:rsidRDefault="00B97835" w:rsidP="00B97835">
            <w:pPr>
              <w:tabs>
                <w:tab w:val="left" w:pos="1701"/>
              </w:tabs>
              <w:rPr>
                <w:bCs/>
                <w:snapToGrid w:val="0"/>
              </w:rPr>
            </w:pPr>
            <w:r w:rsidRPr="0007288A">
              <w:rPr>
                <w:bCs/>
                <w:snapToGrid w:val="0"/>
              </w:rPr>
              <w:t>Ordföranden konstaterade att det fanns stöd för regeringens ståndpunkt.</w:t>
            </w:r>
          </w:p>
          <w:p w14:paraId="0DD06B4E" w14:textId="77777777" w:rsidR="00B97835" w:rsidRDefault="00B97835" w:rsidP="00B97835">
            <w:pPr>
              <w:tabs>
                <w:tab w:val="left" w:pos="1701"/>
              </w:tabs>
              <w:rPr>
                <w:bCs/>
                <w:snapToGrid w:val="0"/>
              </w:rPr>
            </w:pPr>
          </w:p>
          <w:p w14:paraId="39964FC6" w14:textId="33244FC2" w:rsidR="00B97835" w:rsidRDefault="00B97835">
            <w:pPr>
              <w:tabs>
                <w:tab w:val="left" w:pos="1701"/>
              </w:tabs>
              <w:rPr>
                <w:b/>
              </w:rPr>
            </w:pPr>
            <w:r w:rsidRPr="0007288A">
              <w:rPr>
                <w:bCs/>
                <w:snapToGrid w:val="0"/>
              </w:rPr>
              <w:t>Denna paragraf förklarades omedelbart justerad.</w:t>
            </w:r>
          </w:p>
          <w:p w14:paraId="4429382E" w14:textId="6A5CBEFE" w:rsidR="00773C28" w:rsidRDefault="00773C28">
            <w:pPr>
              <w:tabs>
                <w:tab w:val="left" w:pos="1701"/>
              </w:tabs>
              <w:rPr>
                <w:b/>
                <w:snapToGrid w:val="0"/>
              </w:rPr>
            </w:pPr>
          </w:p>
        </w:tc>
      </w:tr>
      <w:tr w:rsidR="00773C28" w14:paraId="7BAC0E44" w14:textId="77777777" w:rsidTr="0001177E">
        <w:tc>
          <w:tcPr>
            <w:tcW w:w="567" w:type="dxa"/>
          </w:tcPr>
          <w:p w14:paraId="56581F60" w14:textId="77777777" w:rsidR="00773C28" w:rsidRPr="003B4DE8" w:rsidRDefault="00773C28" w:rsidP="003B4DE8">
            <w:pPr>
              <w:pStyle w:val="Liststycke"/>
              <w:numPr>
                <w:ilvl w:val="0"/>
                <w:numId w:val="2"/>
              </w:numPr>
              <w:tabs>
                <w:tab w:val="left" w:pos="1701"/>
              </w:tabs>
              <w:rPr>
                <w:b/>
                <w:snapToGrid w:val="0"/>
              </w:rPr>
            </w:pPr>
          </w:p>
        </w:tc>
        <w:tc>
          <w:tcPr>
            <w:tcW w:w="6946" w:type="dxa"/>
            <w:gridSpan w:val="2"/>
          </w:tcPr>
          <w:p w14:paraId="22533329" w14:textId="77777777" w:rsidR="00773C28" w:rsidRDefault="00773C28">
            <w:pPr>
              <w:tabs>
                <w:tab w:val="left" w:pos="1701"/>
              </w:tabs>
              <w:rPr>
                <w:b/>
              </w:rPr>
            </w:pPr>
            <w:r>
              <w:rPr>
                <w:b/>
              </w:rPr>
              <w:t>EU-information om</w:t>
            </w:r>
            <w:r w:rsidRPr="00161183">
              <w:rPr>
                <w:b/>
              </w:rPr>
              <w:t xml:space="preserve"> planerade debatter i Konkurrenskraftsrådet den 23 maj 2024 om forskning och rymd</w:t>
            </w:r>
          </w:p>
          <w:p w14:paraId="2BACBDC9" w14:textId="7E3A5D81" w:rsidR="00773C28" w:rsidRDefault="00773C28">
            <w:pPr>
              <w:tabs>
                <w:tab w:val="left" w:pos="1701"/>
              </w:tabs>
              <w:rPr>
                <w:b/>
              </w:rPr>
            </w:pPr>
          </w:p>
          <w:p w14:paraId="20221B85" w14:textId="4C1D5E20" w:rsidR="00B97835" w:rsidRDefault="00B97835">
            <w:pPr>
              <w:tabs>
                <w:tab w:val="left" w:pos="1701"/>
              </w:tabs>
              <w:rPr>
                <w:b/>
              </w:rPr>
            </w:pPr>
            <w:r>
              <w:rPr>
                <w:bCs/>
                <w:snapToGrid w:val="0"/>
              </w:rPr>
              <w:t>Statssekreterare Maria Nilsson,</w:t>
            </w:r>
            <w:r w:rsidRPr="00FA4063">
              <w:rPr>
                <w:bCs/>
                <w:snapToGrid w:val="0"/>
              </w:rPr>
              <w:t xml:space="preserve"> biträdd av medarbetare från Utbildningsdepartementet, </w:t>
            </w:r>
            <w:r>
              <w:rPr>
                <w:bCs/>
                <w:snapToGrid w:val="0"/>
              </w:rPr>
              <w:t>in</w:t>
            </w:r>
            <w:r w:rsidRPr="000D5135">
              <w:rPr>
                <w:bCs/>
                <w:snapToGrid w:val="0"/>
              </w:rPr>
              <w:t>formerade om</w:t>
            </w:r>
            <w:r>
              <w:rPr>
                <w:bCs/>
                <w:snapToGrid w:val="0"/>
              </w:rPr>
              <w:t xml:space="preserve"> </w:t>
            </w:r>
            <w:r w:rsidRPr="00B97835">
              <w:rPr>
                <w:bCs/>
                <w:snapToGrid w:val="0"/>
              </w:rPr>
              <w:t>planerade debatter i Konkurrenskraftsrådet den 23 maj 2024 om forskning och rymd</w:t>
            </w:r>
            <w:r>
              <w:rPr>
                <w:bCs/>
                <w:snapToGrid w:val="0"/>
              </w:rPr>
              <w:t>.</w:t>
            </w:r>
          </w:p>
          <w:p w14:paraId="0DB88AA8" w14:textId="6CDE6A9B" w:rsidR="00773C28" w:rsidRDefault="00773C28">
            <w:pPr>
              <w:tabs>
                <w:tab w:val="left" w:pos="1701"/>
              </w:tabs>
              <w:rPr>
                <w:b/>
                <w:snapToGrid w:val="0"/>
              </w:rPr>
            </w:pPr>
          </w:p>
        </w:tc>
      </w:tr>
      <w:tr w:rsidR="00773C28" w14:paraId="4DD6D79C" w14:textId="77777777" w:rsidTr="0001177E">
        <w:tc>
          <w:tcPr>
            <w:tcW w:w="567" w:type="dxa"/>
          </w:tcPr>
          <w:p w14:paraId="5174E7D8" w14:textId="77777777" w:rsidR="00773C28" w:rsidRPr="003B4DE8" w:rsidRDefault="00773C28" w:rsidP="003B4DE8">
            <w:pPr>
              <w:pStyle w:val="Liststycke"/>
              <w:numPr>
                <w:ilvl w:val="0"/>
                <w:numId w:val="2"/>
              </w:numPr>
              <w:tabs>
                <w:tab w:val="left" w:pos="1701"/>
              </w:tabs>
              <w:rPr>
                <w:b/>
                <w:snapToGrid w:val="0"/>
              </w:rPr>
            </w:pPr>
          </w:p>
        </w:tc>
        <w:tc>
          <w:tcPr>
            <w:tcW w:w="6946" w:type="dxa"/>
            <w:gridSpan w:val="2"/>
          </w:tcPr>
          <w:p w14:paraId="598B1FB1" w14:textId="02132B63" w:rsidR="00773C28" w:rsidRDefault="00773C28">
            <w:pPr>
              <w:tabs>
                <w:tab w:val="left" w:pos="1701"/>
              </w:tabs>
              <w:rPr>
                <w:b/>
                <w:snapToGrid w:val="0"/>
              </w:rPr>
            </w:pPr>
            <w:r w:rsidRPr="00161183">
              <w:rPr>
                <w:b/>
              </w:rPr>
              <w:t>EU-överläggning om en färdplan mot en europeisk examen</w:t>
            </w:r>
            <w:r w:rsidRPr="00161183">
              <w:rPr>
                <w:b/>
              </w:rPr>
              <w:br/>
            </w:r>
          </w:p>
          <w:p w14:paraId="3474169C" w14:textId="16AD370C" w:rsidR="00B97835" w:rsidRDefault="00B97835">
            <w:pPr>
              <w:tabs>
                <w:tab w:val="left" w:pos="1701"/>
              </w:tabs>
              <w:rPr>
                <w:bCs/>
                <w:snapToGrid w:val="0"/>
              </w:rPr>
            </w:pPr>
            <w:r w:rsidRPr="00FA4063">
              <w:rPr>
                <w:bCs/>
                <w:snapToGrid w:val="0"/>
              </w:rPr>
              <w:t xml:space="preserve">Utskottet överlade med </w:t>
            </w:r>
            <w:r>
              <w:rPr>
                <w:bCs/>
                <w:snapToGrid w:val="0"/>
              </w:rPr>
              <w:t>statssekreterare Maria Nilsson,</w:t>
            </w:r>
            <w:r w:rsidRPr="00FA4063">
              <w:rPr>
                <w:bCs/>
                <w:snapToGrid w:val="0"/>
              </w:rPr>
              <w:t xml:space="preserve"> biträdd av medarbetare från Utbildningsdepartementet,</w:t>
            </w:r>
            <w:r>
              <w:rPr>
                <w:bCs/>
                <w:snapToGrid w:val="0"/>
              </w:rPr>
              <w:t xml:space="preserve"> om en </w:t>
            </w:r>
            <w:r w:rsidRPr="00B97835">
              <w:rPr>
                <w:bCs/>
                <w:snapToGrid w:val="0"/>
              </w:rPr>
              <w:t>färdplan mot en europeisk examen.</w:t>
            </w:r>
          </w:p>
          <w:p w14:paraId="1F055707" w14:textId="3407609C" w:rsidR="00B97835" w:rsidRDefault="00B97835">
            <w:pPr>
              <w:tabs>
                <w:tab w:val="left" w:pos="1701"/>
              </w:tabs>
              <w:rPr>
                <w:bCs/>
                <w:snapToGrid w:val="0"/>
              </w:rPr>
            </w:pPr>
          </w:p>
          <w:p w14:paraId="4128C0F0" w14:textId="4AC7948E" w:rsidR="00BA1BCD" w:rsidRDefault="00BA1BCD" w:rsidP="00BA1BCD">
            <w:pPr>
              <w:tabs>
                <w:tab w:val="left" w:pos="1701"/>
              </w:tabs>
              <w:rPr>
                <w:bCs/>
                <w:i/>
                <w:iCs/>
                <w:snapToGrid w:val="0"/>
              </w:rPr>
            </w:pPr>
            <w:r w:rsidRPr="00EA0DD7">
              <w:rPr>
                <w:bCs/>
                <w:i/>
                <w:iCs/>
                <w:snapToGrid w:val="0"/>
              </w:rPr>
              <w:t>Underlag för överläggningen</w:t>
            </w:r>
          </w:p>
          <w:p w14:paraId="01944175" w14:textId="60B73BB7" w:rsidR="00BA1BCD" w:rsidRDefault="00BA1BCD" w:rsidP="00BA1BCD">
            <w:r w:rsidRPr="00171475">
              <w:t>Faktapromemoria från Regeringskansliet 202</w:t>
            </w:r>
            <w:r>
              <w:t>3</w:t>
            </w:r>
            <w:r w:rsidRPr="00171475">
              <w:t>/</w:t>
            </w:r>
            <w:proofErr w:type="gramStart"/>
            <w:r w:rsidRPr="00171475">
              <w:t>2</w:t>
            </w:r>
            <w:r>
              <w:t>4</w:t>
            </w:r>
            <w:r w:rsidRPr="00171475">
              <w:t>:FPM</w:t>
            </w:r>
            <w:proofErr w:type="gramEnd"/>
            <w:r>
              <w:t>55</w:t>
            </w:r>
          </w:p>
          <w:p w14:paraId="2F9FCA38" w14:textId="7C743323" w:rsidR="00BA1BCD" w:rsidRDefault="00BA1BCD" w:rsidP="00BA1BCD">
            <w:proofErr w:type="gramStart"/>
            <w:r>
              <w:t>COM(</w:t>
            </w:r>
            <w:proofErr w:type="gramEnd"/>
            <w:r>
              <w:t>2024) 144</w:t>
            </w:r>
          </w:p>
          <w:p w14:paraId="201DA056" w14:textId="3399FD89" w:rsidR="00BA1BCD" w:rsidRDefault="00BA1BCD" w:rsidP="00BA1BCD">
            <w:proofErr w:type="gramStart"/>
            <w:r>
              <w:t>COM(</w:t>
            </w:r>
            <w:proofErr w:type="gramEnd"/>
            <w:r>
              <w:t>2024) 145</w:t>
            </w:r>
          </w:p>
          <w:p w14:paraId="2B9CC7FE" w14:textId="35A04657" w:rsidR="00BA1BCD" w:rsidRDefault="00BA1BCD" w:rsidP="00BA1BCD">
            <w:proofErr w:type="gramStart"/>
            <w:r>
              <w:t>COM(</w:t>
            </w:r>
            <w:proofErr w:type="gramEnd"/>
            <w:r>
              <w:t>2024) 147</w:t>
            </w:r>
          </w:p>
          <w:p w14:paraId="1A120A7B" w14:textId="77777777" w:rsidR="00BA1BCD" w:rsidRDefault="00BA1BCD">
            <w:pPr>
              <w:tabs>
                <w:tab w:val="left" w:pos="1701"/>
              </w:tabs>
              <w:rPr>
                <w:bCs/>
                <w:snapToGrid w:val="0"/>
              </w:rPr>
            </w:pPr>
          </w:p>
          <w:p w14:paraId="3F8E5550" w14:textId="707AB996" w:rsidR="00BA1BCD" w:rsidRDefault="00BA1BCD" w:rsidP="00BA1BCD">
            <w:pPr>
              <w:tabs>
                <w:tab w:val="left" w:pos="1701"/>
              </w:tabs>
              <w:rPr>
                <w:bCs/>
                <w:i/>
                <w:iCs/>
                <w:snapToGrid w:val="0"/>
              </w:rPr>
            </w:pPr>
            <w:r w:rsidRPr="00EA0DD7">
              <w:rPr>
                <w:bCs/>
                <w:i/>
                <w:iCs/>
                <w:snapToGrid w:val="0"/>
              </w:rPr>
              <w:t>Regeringens förslag till svensk ståndpunkt</w:t>
            </w:r>
          </w:p>
          <w:p w14:paraId="29509C18" w14:textId="1BC6E782" w:rsidR="00BA1BCD" w:rsidRDefault="00BA1BCD" w:rsidP="00BA1BCD">
            <w:pPr>
              <w:tabs>
                <w:tab w:val="left" w:pos="1701"/>
              </w:tabs>
              <w:rPr>
                <w:bCs/>
                <w:snapToGrid w:val="0"/>
              </w:rPr>
            </w:pPr>
            <w:r w:rsidRPr="00BA1BCD">
              <w:rPr>
                <w:bCs/>
                <w:snapToGrid w:val="0"/>
              </w:rPr>
              <w:t>Regeringen anser att arbetet inom utbildningsområdet på EU-nivå ska utgå från en grundläggande respekt för fördelningen av befogenheter mellan EU och medlemsstaterna liksom för de nationella systemen, inklusive beslut om finansiering. Detsamma gäller vem som ska anses som arbetstagare inom ramen för social trygghet.</w:t>
            </w:r>
          </w:p>
          <w:p w14:paraId="38AC1881" w14:textId="77777777" w:rsidR="00BA1BCD" w:rsidRPr="00BA1BCD" w:rsidRDefault="00BA1BCD" w:rsidP="00BA1BCD">
            <w:pPr>
              <w:tabs>
                <w:tab w:val="left" w:pos="1701"/>
              </w:tabs>
              <w:rPr>
                <w:bCs/>
                <w:snapToGrid w:val="0"/>
              </w:rPr>
            </w:pPr>
          </w:p>
          <w:p w14:paraId="1481114C" w14:textId="3D34E222" w:rsidR="00BA1BCD" w:rsidRDefault="00BA1BCD" w:rsidP="00BA1BCD">
            <w:pPr>
              <w:tabs>
                <w:tab w:val="left" w:pos="1701"/>
              </w:tabs>
              <w:rPr>
                <w:bCs/>
                <w:snapToGrid w:val="0"/>
              </w:rPr>
            </w:pPr>
            <w:r w:rsidRPr="00BA1BCD">
              <w:rPr>
                <w:bCs/>
                <w:snapToGrid w:val="0"/>
              </w:rPr>
              <w:t>EU är centralt för svensk ekonomi, välfärd och kompetensförsörjning. Sverige ska fullt ut delta i och forma EU-samarbetet på ett sätt som värnar både svenska och europeiska intressen. Det gäller även inom utbildningsområdet. Regeringen har en uttalad önskan om att högre utbildning ska ha en stark internationell prägel och att mobiliteten ska öka.</w:t>
            </w:r>
          </w:p>
          <w:p w14:paraId="30D400F4" w14:textId="77777777" w:rsidR="00BA1BCD" w:rsidRPr="00BA1BCD" w:rsidRDefault="00BA1BCD" w:rsidP="00BA1BCD">
            <w:pPr>
              <w:tabs>
                <w:tab w:val="left" w:pos="1701"/>
              </w:tabs>
              <w:rPr>
                <w:bCs/>
                <w:snapToGrid w:val="0"/>
              </w:rPr>
            </w:pPr>
          </w:p>
          <w:p w14:paraId="2F2EB517" w14:textId="3F4C8835" w:rsidR="00BA1BCD" w:rsidRDefault="00BA1BCD" w:rsidP="00BA1BCD">
            <w:pPr>
              <w:tabs>
                <w:tab w:val="left" w:pos="1701"/>
              </w:tabs>
              <w:rPr>
                <w:bCs/>
                <w:snapToGrid w:val="0"/>
              </w:rPr>
            </w:pPr>
            <w:r w:rsidRPr="00BA1BCD">
              <w:rPr>
                <w:bCs/>
                <w:snapToGrid w:val="0"/>
              </w:rPr>
              <w:t>Regeringen välkomnar kommissionens satsning på Europauniversitet och ser det som en intressant del i upprättandet av det europeiska utbildningsområdet. Regeringen är positiv till att pilotstudier genomförs av kommissionen beträffande europeisk examensmärkning och anser att utformningen av eventuella utvecklingsinsatser på området inte bör föregå slutrapportering av dessa studier.</w:t>
            </w:r>
          </w:p>
          <w:p w14:paraId="76122D05" w14:textId="77777777" w:rsidR="00BA1BCD" w:rsidRDefault="00BA1BCD" w:rsidP="00BA1BCD">
            <w:pPr>
              <w:tabs>
                <w:tab w:val="left" w:pos="1701"/>
              </w:tabs>
              <w:rPr>
                <w:bCs/>
                <w:snapToGrid w:val="0"/>
              </w:rPr>
            </w:pPr>
          </w:p>
          <w:p w14:paraId="299F40C0" w14:textId="6F764177" w:rsidR="00BA1BCD" w:rsidRPr="00BA1BCD" w:rsidRDefault="00BA1BCD" w:rsidP="00BA1BCD">
            <w:pPr>
              <w:rPr>
                <w:i/>
                <w:iCs/>
                <w:snapToGrid w:val="0"/>
              </w:rPr>
            </w:pPr>
            <w:r w:rsidRPr="00BA1BCD">
              <w:rPr>
                <w:i/>
                <w:iCs/>
                <w:snapToGrid w:val="0"/>
              </w:rPr>
              <w:t xml:space="preserve">Europeisk examen </w:t>
            </w:r>
          </w:p>
          <w:p w14:paraId="452F6417" w14:textId="32561BDE" w:rsidR="00BA1BCD" w:rsidRDefault="00BA1BCD" w:rsidP="00BA1BCD">
            <w:pPr>
              <w:tabs>
                <w:tab w:val="left" w:pos="1701"/>
              </w:tabs>
              <w:rPr>
                <w:bCs/>
                <w:snapToGrid w:val="0"/>
              </w:rPr>
            </w:pPr>
            <w:r w:rsidRPr="00BA1BCD">
              <w:rPr>
                <w:bCs/>
                <w:snapToGrid w:val="0"/>
              </w:rPr>
              <w:t xml:space="preserve">Regeringen är fortsatt tveksam till förslagen om europeisk examen som enligt kommissionen skulle behöva möjliggöras genom nationell lagstiftning och erkännas automatiskt inom hela EU. Det är viktigt att förslagen, som skulle utgöra en stor förändring på högskoleområdet, utformas som en frivillig möjlighet för universitet och högskolor och medlemsstaterna. </w:t>
            </w:r>
          </w:p>
          <w:p w14:paraId="2C77E1A6" w14:textId="77777777" w:rsidR="00BA1BCD" w:rsidRPr="00BA1BCD" w:rsidRDefault="00BA1BCD" w:rsidP="00BA1BCD">
            <w:pPr>
              <w:tabs>
                <w:tab w:val="left" w:pos="1701"/>
              </w:tabs>
              <w:rPr>
                <w:bCs/>
                <w:snapToGrid w:val="0"/>
              </w:rPr>
            </w:pPr>
          </w:p>
          <w:p w14:paraId="26BA52D1" w14:textId="37B33F20" w:rsidR="00BA1BCD" w:rsidRDefault="00BA1BCD" w:rsidP="00BA1BCD">
            <w:pPr>
              <w:tabs>
                <w:tab w:val="left" w:pos="1701"/>
              </w:tabs>
              <w:rPr>
                <w:bCs/>
                <w:snapToGrid w:val="0"/>
              </w:rPr>
            </w:pPr>
            <w:r w:rsidRPr="00BA1BCD">
              <w:rPr>
                <w:bCs/>
                <w:snapToGrid w:val="0"/>
              </w:rPr>
              <w:t xml:space="preserve">Regeringen anser inte att en fortsatt utveckling av ett system för uppföljning av utexaminerade är prioriterat. </w:t>
            </w:r>
          </w:p>
          <w:p w14:paraId="72898218" w14:textId="77777777" w:rsidR="00BA1BCD" w:rsidRDefault="00BA1BCD" w:rsidP="00BA1BCD">
            <w:pPr>
              <w:tabs>
                <w:tab w:val="left" w:pos="1701"/>
              </w:tabs>
              <w:rPr>
                <w:bCs/>
                <w:snapToGrid w:val="0"/>
              </w:rPr>
            </w:pPr>
          </w:p>
          <w:p w14:paraId="5C20F24B" w14:textId="2050B9E6" w:rsidR="00BA1BCD" w:rsidRDefault="00BA1BCD" w:rsidP="00BA1BCD">
            <w:pPr>
              <w:tabs>
                <w:tab w:val="left" w:pos="1701"/>
              </w:tabs>
              <w:rPr>
                <w:bCs/>
                <w:i/>
                <w:iCs/>
                <w:snapToGrid w:val="0"/>
              </w:rPr>
            </w:pPr>
            <w:r w:rsidRPr="00BA1BCD">
              <w:rPr>
                <w:bCs/>
                <w:i/>
                <w:iCs/>
                <w:snapToGrid w:val="0"/>
              </w:rPr>
              <w:t xml:space="preserve">Kriterier för utvärdering, europeisk examensmärkning och europeisk examen </w:t>
            </w:r>
          </w:p>
          <w:p w14:paraId="53F864AD" w14:textId="7E72F037" w:rsidR="00BA1BCD" w:rsidRDefault="00BA1BCD" w:rsidP="00BA1BCD">
            <w:pPr>
              <w:tabs>
                <w:tab w:val="left" w:pos="1701"/>
              </w:tabs>
              <w:rPr>
                <w:bCs/>
                <w:snapToGrid w:val="0"/>
              </w:rPr>
            </w:pPr>
            <w:r w:rsidRPr="00BA1BCD">
              <w:rPr>
                <w:bCs/>
                <w:snapToGrid w:val="0"/>
              </w:rPr>
              <w:t xml:space="preserve">Regeringen ser inte att det finns behov av att utveckla ett nytt, separat ramverk för utvärdering av Europauniversitet. Europauniversiteten är olika i sin form och verksamhet vilket gör det svårt att utveckla en metod för kvalitetsutvärdering. Regeringen är också tveksam till att utveckla särskilda kriterier för utvärdering i linje med kommissionens </w:t>
            </w:r>
            <w:r w:rsidRPr="00BA1BCD">
              <w:rPr>
                <w:bCs/>
                <w:snapToGrid w:val="0"/>
              </w:rPr>
              <w:lastRenderedPageBreak/>
              <w:t xml:space="preserve">förslag, vilka samtidigt föreslås utgöra kriterier för en europeisk examensmärkning och en europeisk examen. Eventuella kriterier skulle behöva ta höjd för skillnader mellan ländernas utbildningssystem. Förhållandet mellan kommissionens förslag och Bolognaprocessen måste vara tydligt för att förhindra onödig duplicering. </w:t>
            </w:r>
          </w:p>
          <w:p w14:paraId="1A767D19" w14:textId="4EA9D929" w:rsidR="00BA1BCD" w:rsidRDefault="00BA1BCD" w:rsidP="00BA1BCD">
            <w:pPr>
              <w:tabs>
                <w:tab w:val="left" w:pos="1701"/>
              </w:tabs>
              <w:rPr>
                <w:bCs/>
                <w:snapToGrid w:val="0"/>
              </w:rPr>
            </w:pPr>
          </w:p>
          <w:p w14:paraId="64FCD2C2" w14:textId="6365BC34" w:rsidR="00BA1BCD" w:rsidRDefault="00BA1BCD" w:rsidP="00BA1BCD">
            <w:pPr>
              <w:tabs>
                <w:tab w:val="left" w:pos="1701"/>
              </w:tabs>
              <w:rPr>
                <w:bCs/>
                <w:i/>
                <w:iCs/>
                <w:snapToGrid w:val="0"/>
              </w:rPr>
            </w:pPr>
            <w:r w:rsidRPr="00BA1BCD">
              <w:rPr>
                <w:bCs/>
                <w:i/>
                <w:iCs/>
                <w:snapToGrid w:val="0"/>
              </w:rPr>
              <w:t>Kvalitetssäkring och erkännande av kvalifikationer</w:t>
            </w:r>
          </w:p>
          <w:p w14:paraId="12277D5F" w14:textId="20FBB9D9" w:rsidR="00BA1BCD" w:rsidRDefault="00BA1BCD" w:rsidP="00BA1BCD">
            <w:pPr>
              <w:tabs>
                <w:tab w:val="left" w:pos="1701"/>
              </w:tabs>
              <w:rPr>
                <w:bCs/>
                <w:snapToGrid w:val="0"/>
              </w:rPr>
            </w:pPr>
            <w:r w:rsidRPr="00BA1BCD">
              <w:rPr>
                <w:bCs/>
                <w:snapToGrid w:val="0"/>
              </w:rPr>
              <w:t>Kvalitetssäkringssystemet är ett centralt verktyg för att stärka kvaliteten i den högre utbildningen. Precis som kommissionen kan regeringen konstatera att genomförandet av Bolognaprocessen är ojämn och att vissa länder kommit längre än andra. Samtidigt anser regeringen att Bolognaprocessen, som bygger på frivillighet och förtroende mellan olika länders utbildningssystem, är framgångsrik och ska värnas. Bolognaprocessen har också bidragit till att stärka studenternas och personalens inflytande över centrala processer inom högre utbildning. Regeringen ser att Bolognaprocessen även framgent kommer att vara viktig.</w:t>
            </w:r>
          </w:p>
          <w:p w14:paraId="741584C2" w14:textId="77777777" w:rsidR="00BA1BCD" w:rsidRPr="00BA1BCD" w:rsidRDefault="00BA1BCD" w:rsidP="00BA1BCD">
            <w:pPr>
              <w:tabs>
                <w:tab w:val="left" w:pos="1701"/>
              </w:tabs>
              <w:rPr>
                <w:bCs/>
                <w:snapToGrid w:val="0"/>
              </w:rPr>
            </w:pPr>
          </w:p>
          <w:p w14:paraId="50F1FBBE" w14:textId="5EF4152E" w:rsidR="00BA1BCD" w:rsidRDefault="00BA1BCD" w:rsidP="00BA1BCD">
            <w:pPr>
              <w:tabs>
                <w:tab w:val="left" w:pos="1701"/>
              </w:tabs>
              <w:rPr>
                <w:bCs/>
                <w:snapToGrid w:val="0"/>
              </w:rPr>
            </w:pPr>
            <w:r w:rsidRPr="00BA1BCD">
              <w:rPr>
                <w:bCs/>
                <w:snapToGrid w:val="0"/>
              </w:rPr>
              <w:t xml:space="preserve">Regeringen anser att det är rimligt att utveckla </w:t>
            </w:r>
            <w:proofErr w:type="spellStart"/>
            <w:r w:rsidRPr="00BA1BCD">
              <w:rPr>
                <w:bCs/>
                <w:snapToGrid w:val="0"/>
              </w:rPr>
              <w:t>European</w:t>
            </w:r>
            <w:proofErr w:type="spellEnd"/>
            <w:r w:rsidRPr="00BA1BCD">
              <w:rPr>
                <w:bCs/>
                <w:snapToGrid w:val="0"/>
              </w:rPr>
              <w:t xml:space="preserve"> Approach för gemensamma transnationella program och att program som ges på nationell nivå, vid behov, genomgår en granskning av en av regeringen utsedd kvalitetssäkringsorganisation.</w:t>
            </w:r>
          </w:p>
          <w:p w14:paraId="54DD77AD" w14:textId="77777777" w:rsidR="00BA1BCD" w:rsidRDefault="00BA1BCD" w:rsidP="00BA1BCD">
            <w:pPr>
              <w:tabs>
                <w:tab w:val="left" w:pos="1701"/>
              </w:tabs>
              <w:rPr>
                <w:bCs/>
                <w:snapToGrid w:val="0"/>
              </w:rPr>
            </w:pPr>
          </w:p>
          <w:p w14:paraId="39632AC1" w14:textId="2A64CFFD" w:rsidR="00BA1BCD" w:rsidRDefault="00BA1BCD" w:rsidP="00BA1BCD">
            <w:pPr>
              <w:tabs>
                <w:tab w:val="left" w:pos="1701"/>
              </w:tabs>
              <w:rPr>
                <w:bCs/>
                <w:i/>
                <w:iCs/>
                <w:snapToGrid w:val="0"/>
              </w:rPr>
            </w:pPr>
            <w:r w:rsidRPr="00BA1BCD">
              <w:rPr>
                <w:bCs/>
                <w:i/>
                <w:iCs/>
                <w:snapToGrid w:val="0"/>
              </w:rPr>
              <w:t>Attraktiva och hållbara karriärer</w:t>
            </w:r>
          </w:p>
          <w:p w14:paraId="26F3DC60" w14:textId="590C4F11" w:rsidR="00BA1BCD" w:rsidRDefault="00BA1BCD" w:rsidP="00BA1BCD">
            <w:pPr>
              <w:tabs>
                <w:tab w:val="left" w:pos="1701"/>
              </w:tabs>
              <w:rPr>
                <w:bCs/>
                <w:snapToGrid w:val="0"/>
              </w:rPr>
            </w:pPr>
            <w:r w:rsidRPr="00BA1BCD">
              <w:rPr>
                <w:bCs/>
                <w:snapToGrid w:val="0"/>
              </w:rPr>
              <w:t xml:space="preserve">Regeringen är positiv till vissa delar i förslaget om rekommendation om attraktiva och hållbara karriärvägar inom högre utbildning, t.ex. att fokus bör vara på mobilitet och fokus på att öka andelen kvinnor inom STEM-ämnena. Andra delar är regeringen frågande till, t.ex. behovet av ett kompetensramverk för forskare och undervisande personal utöver redan befintliga ramverk. </w:t>
            </w:r>
          </w:p>
          <w:p w14:paraId="48421678" w14:textId="77777777" w:rsidR="00BA1BCD" w:rsidRPr="00BA1BCD" w:rsidRDefault="00BA1BCD" w:rsidP="00BA1BCD">
            <w:pPr>
              <w:tabs>
                <w:tab w:val="left" w:pos="1701"/>
              </w:tabs>
              <w:rPr>
                <w:bCs/>
                <w:snapToGrid w:val="0"/>
              </w:rPr>
            </w:pPr>
          </w:p>
          <w:p w14:paraId="7948BE6D" w14:textId="77777777" w:rsidR="00B97835" w:rsidRDefault="00B97835" w:rsidP="00B97835">
            <w:pPr>
              <w:tabs>
                <w:tab w:val="left" w:pos="1701"/>
              </w:tabs>
              <w:rPr>
                <w:bCs/>
                <w:i/>
                <w:iCs/>
                <w:snapToGrid w:val="0"/>
              </w:rPr>
            </w:pPr>
            <w:r>
              <w:rPr>
                <w:bCs/>
                <w:i/>
                <w:iCs/>
                <w:snapToGrid w:val="0"/>
              </w:rPr>
              <w:t>Överläggningen</w:t>
            </w:r>
          </w:p>
          <w:p w14:paraId="138AF306" w14:textId="77777777" w:rsidR="00EC4130" w:rsidRDefault="00EC4130" w:rsidP="00EC4130">
            <w:pPr>
              <w:tabs>
                <w:tab w:val="left" w:pos="1701"/>
              </w:tabs>
              <w:rPr>
                <w:bCs/>
                <w:snapToGrid w:val="0"/>
              </w:rPr>
            </w:pPr>
            <w:r w:rsidRPr="0007288A">
              <w:rPr>
                <w:bCs/>
                <w:snapToGrid w:val="0"/>
              </w:rPr>
              <w:t>Ordföranden konstaterade att det fanns stöd för regeringens ståndpunkt.</w:t>
            </w:r>
          </w:p>
          <w:p w14:paraId="5499EE84" w14:textId="77777777" w:rsidR="00EC4130" w:rsidRDefault="00EC4130" w:rsidP="00EC4130">
            <w:pPr>
              <w:tabs>
                <w:tab w:val="left" w:pos="1701"/>
              </w:tabs>
              <w:rPr>
                <w:bCs/>
                <w:snapToGrid w:val="0"/>
              </w:rPr>
            </w:pPr>
          </w:p>
          <w:p w14:paraId="306026C7" w14:textId="77777777" w:rsidR="00EC4130" w:rsidRDefault="00EC4130" w:rsidP="00EC4130">
            <w:pPr>
              <w:tabs>
                <w:tab w:val="left" w:pos="1701"/>
              </w:tabs>
              <w:rPr>
                <w:bCs/>
                <w:snapToGrid w:val="0"/>
              </w:rPr>
            </w:pPr>
            <w:r>
              <w:rPr>
                <w:bCs/>
                <w:snapToGrid w:val="0"/>
              </w:rPr>
              <w:t xml:space="preserve">Ledamöterna från Sverigedemokraterna anmälde följande avvikande ståndpunkt: </w:t>
            </w:r>
          </w:p>
          <w:p w14:paraId="73BC7E8D" w14:textId="77777777" w:rsidR="00EC4130" w:rsidRDefault="00EC4130" w:rsidP="00EC4130">
            <w:pPr>
              <w:tabs>
                <w:tab w:val="left" w:pos="1701"/>
              </w:tabs>
              <w:rPr>
                <w:bCs/>
                <w:snapToGrid w:val="0"/>
              </w:rPr>
            </w:pPr>
          </w:p>
          <w:p w14:paraId="214FD465" w14:textId="77777777" w:rsidR="00EC4130" w:rsidRDefault="00EC4130" w:rsidP="00EC4130">
            <w:pPr>
              <w:tabs>
                <w:tab w:val="left" w:pos="1701"/>
              </w:tabs>
              <w:rPr>
                <w:bCs/>
                <w:snapToGrid w:val="0"/>
              </w:rPr>
            </w:pPr>
            <w:r>
              <w:rPr>
                <w:bCs/>
                <w:snapToGrid w:val="0"/>
              </w:rPr>
              <w:t>Regeringens ståndpunkt bör vara att regeringen inte ställer sig bakom förslagen om en europeisk examen samt till att utveckla särskilda kriterier för utvärdering i linje med kommissionens förslag, vilka samtidigt föreslås utgöra kriterier för en europeisk examensmärkning och en europeisk examen.</w:t>
            </w:r>
          </w:p>
          <w:p w14:paraId="0E93F332" w14:textId="77777777" w:rsidR="00EC4130" w:rsidRDefault="00EC4130" w:rsidP="00EC4130">
            <w:pPr>
              <w:tabs>
                <w:tab w:val="left" w:pos="1701"/>
              </w:tabs>
              <w:rPr>
                <w:bCs/>
                <w:snapToGrid w:val="0"/>
              </w:rPr>
            </w:pPr>
          </w:p>
          <w:p w14:paraId="0C89B633" w14:textId="77777777" w:rsidR="00773C28" w:rsidRDefault="00EC4130" w:rsidP="00EC4130">
            <w:pPr>
              <w:tabs>
                <w:tab w:val="left" w:pos="1701"/>
              </w:tabs>
              <w:rPr>
                <w:bCs/>
                <w:snapToGrid w:val="0"/>
              </w:rPr>
            </w:pPr>
            <w:r w:rsidRPr="0007288A">
              <w:rPr>
                <w:bCs/>
                <w:snapToGrid w:val="0"/>
              </w:rPr>
              <w:t>Denna paragraf förklarades omedelbart justerad</w:t>
            </w:r>
            <w:r>
              <w:rPr>
                <w:bCs/>
                <w:snapToGrid w:val="0"/>
              </w:rPr>
              <w:t>.</w:t>
            </w:r>
          </w:p>
          <w:p w14:paraId="0CEF27CF" w14:textId="4483BA2A" w:rsidR="00EC4130" w:rsidRDefault="00EC4130" w:rsidP="00EC4130">
            <w:pPr>
              <w:tabs>
                <w:tab w:val="left" w:pos="1701"/>
              </w:tabs>
              <w:rPr>
                <w:b/>
                <w:snapToGrid w:val="0"/>
              </w:rPr>
            </w:pPr>
          </w:p>
        </w:tc>
      </w:tr>
      <w:tr w:rsidR="00447E69" w14:paraId="79F3610A" w14:textId="77777777" w:rsidTr="0001177E">
        <w:tc>
          <w:tcPr>
            <w:tcW w:w="567" w:type="dxa"/>
          </w:tcPr>
          <w:p w14:paraId="1E4C1C89" w14:textId="77777777" w:rsidR="00447E69" w:rsidRPr="003B4DE8" w:rsidRDefault="00447E69" w:rsidP="003B4DE8">
            <w:pPr>
              <w:pStyle w:val="Liststycke"/>
              <w:numPr>
                <w:ilvl w:val="0"/>
                <w:numId w:val="2"/>
              </w:numPr>
              <w:tabs>
                <w:tab w:val="left" w:pos="1701"/>
              </w:tabs>
              <w:rPr>
                <w:b/>
                <w:snapToGrid w:val="0"/>
              </w:rPr>
            </w:pPr>
          </w:p>
        </w:tc>
        <w:tc>
          <w:tcPr>
            <w:tcW w:w="6946" w:type="dxa"/>
            <w:gridSpan w:val="2"/>
          </w:tcPr>
          <w:p w14:paraId="68EF7E2C" w14:textId="77777777" w:rsidR="00447E69" w:rsidRDefault="00F23954">
            <w:pPr>
              <w:tabs>
                <w:tab w:val="left" w:pos="1701"/>
              </w:tabs>
              <w:rPr>
                <w:b/>
                <w:snapToGrid w:val="0"/>
              </w:rPr>
            </w:pPr>
            <w:r>
              <w:rPr>
                <w:b/>
                <w:snapToGrid w:val="0"/>
              </w:rPr>
              <w:t>Justering av p</w:t>
            </w:r>
            <w:r w:rsidR="00447E69">
              <w:rPr>
                <w:b/>
                <w:snapToGrid w:val="0"/>
              </w:rPr>
              <w:t>rotokoll</w:t>
            </w:r>
          </w:p>
          <w:p w14:paraId="46C845FC" w14:textId="77777777" w:rsidR="00447E69" w:rsidRDefault="00447E69">
            <w:pPr>
              <w:tabs>
                <w:tab w:val="left" w:pos="1701"/>
              </w:tabs>
              <w:rPr>
                <w:snapToGrid w:val="0"/>
              </w:rPr>
            </w:pPr>
          </w:p>
          <w:p w14:paraId="4BC7730B" w14:textId="5340808C" w:rsidR="00306F1B" w:rsidRPr="00306F1B" w:rsidRDefault="00F23954">
            <w:pPr>
              <w:tabs>
                <w:tab w:val="left" w:pos="1701"/>
              </w:tabs>
              <w:rPr>
                <w:snapToGrid w:val="0"/>
              </w:rPr>
            </w:pPr>
            <w:r>
              <w:rPr>
                <w:snapToGrid w:val="0"/>
              </w:rPr>
              <w:t>Utskottet justerade p</w:t>
            </w:r>
            <w:r w:rsidR="00E04650">
              <w:rPr>
                <w:snapToGrid w:val="0"/>
              </w:rPr>
              <w:t xml:space="preserve">rotokoll </w:t>
            </w:r>
            <w:r w:rsidR="00E04650" w:rsidRPr="008D4BF2">
              <w:rPr>
                <w:snapToGrid w:val="0"/>
                <w:sz w:val="23"/>
                <w:szCs w:val="23"/>
              </w:rPr>
              <w:t>20</w:t>
            </w:r>
            <w:r w:rsidR="002A3434" w:rsidRPr="008D4BF2">
              <w:rPr>
                <w:snapToGrid w:val="0"/>
                <w:sz w:val="23"/>
                <w:szCs w:val="23"/>
              </w:rPr>
              <w:t>2</w:t>
            </w:r>
            <w:r w:rsidR="00123C5B">
              <w:rPr>
                <w:snapToGrid w:val="0"/>
                <w:sz w:val="23"/>
                <w:szCs w:val="23"/>
              </w:rPr>
              <w:t>3</w:t>
            </w:r>
            <w:r w:rsidR="00267FC1" w:rsidRPr="008D4BF2">
              <w:rPr>
                <w:snapToGrid w:val="0"/>
                <w:sz w:val="23"/>
                <w:szCs w:val="23"/>
              </w:rPr>
              <w:t>/</w:t>
            </w:r>
            <w:r w:rsidR="00E362AB" w:rsidRPr="008D4BF2">
              <w:rPr>
                <w:snapToGrid w:val="0"/>
                <w:sz w:val="23"/>
                <w:szCs w:val="23"/>
              </w:rPr>
              <w:t>2</w:t>
            </w:r>
            <w:r w:rsidR="00123C5B">
              <w:rPr>
                <w:snapToGrid w:val="0"/>
                <w:sz w:val="23"/>
                <w:szCs w:val="23"/>
              </w:rPr>
              <w:t>4</w:t>
            </w:r>
            <w:r w:rsidR="00A2367D" w:rsidRPr="008D4BF2">
              <w:rPr>
                <w:snapToGrid w:val="0"/>
                <w:sz w:val="23"/>
                <w:szCs w:val="23"/>
              </w:rPr>
              <w:t>:</w:t>
            </w:r>
            <w:r w:rsidR="00773C28">
              <w:rPr>
                <w:snapToGrid w:val="0"/>
                <w:sz w:val="23"/>
                <w:szCs w:val="23"/>
              </w:rPr>
              <w:t>40</w:t>
            </w:r>
            <w:r w:rsidR="00447E69">
              <w:rPr>
                <w:snapToGrid w:val="0"/>
              </w:rPr>
              <w:t>.</w:t>
            </w:r>
          </w:p>
          <w:p w14:paraId="69A855E0" w14:textId="77777777" w:rsidR="00447E69" w:rsidRDefault="00447E69">
            <w:pPr>
              <w:tabs>
                <w:tab w:val="left" w:pos="1701"/>
              </w:tabs>
              <w:rPr>
                <w:snapToGrid w:val="0"/>
              </w:rPr>
            </w:pPr>
          </w:p>
        </w:tc>
      </w:tr>
      <w:tr w:rsidR="003B4DE8" w14:paraId="0E32D5D2" w14:textId="77777777" w:rsidTr="0001177E">
        <w:tc>
          <w:tcPr>
            <w:tcW w:w="567" w:type="dxa"/>
          </w:tcPr>
          <w:p w14:paraId="1347547C" w14:textId="77777777" w:rsidR="003B4DE8" w:rsidRPr="003B4DE8" w:rsidRDefault="003B4DE8" w:rsidP="003B4DE8">
            <w:pPr>
              <w:pStyle w:val="Liststycke"/>
              <w:numPr>
                <w:ilvl w:val="0"/>
                <w:numId w:val="2"/>
              </w:numPr>
              <w:tabs>
                <w:tab w:val="left" w:pos="1701"/>
              </w:tabs>
              <w:rPr>
                <w:b/>
                <w:snapToGrid w:val="0"/>
              </w:rPr>
            </w:pPr>
          </w:p>
        </w:tc>
        <w:tc>
          <w:tcPr>
            <w:tcW w:w="6946" w:type="dxa"/>
            <w:gridSpan w:val="2"/>
          </w:tcPr>
          <w:p w14:paraId="77FB179A" w14:textId="29721D60" w:rsidR="008D4BF2" w:rsidRDefault="00773C28" w:rsidP="00BB7028">
            <w:pPr>
              <w:tabs>
                <w:tab w:val="left" w:pos="1701"/>
              </w:tabs>
              <w:rPr>
                <w:b/>
                <w:bCs/>
              </w:rPr>
            </w:pPr>
            <w:r w:rsidRPr="003B7ED1">
              <w:rPr>
                <w:b/>
                <w:bCs/>
              </w:rPr>
              <w:t xml:space="preserve">Att lättare få läsa i snabbare takt och på en högre nivå </w:t>
            </w:r>
            <w:r w:rsidRPr="00E04686">
              <w:rPr>
                <w:b/>
                <w:bCs/>
              </w:rPr>
              <w:t>(UbU</w:t>
            </w:r>
            <w:r>
              <w:rPr>
                <w:b/>
                <w:bCs/>
              </w:rPr>
              <w:t>16</w:t>
            </w:r>
            <w:r w:rsidRPr="00E04686">
              <w:rPr>
                <w:b/>
                <w:bCs/>
              </w:rPr>
              <w:t>)</w:t>
            </w:r>
            <w:r w:rsidRPr="00E04686">
              <w:rPr>
                <w:b/>
                <w:bCs/>
              </w:rPr>
              <w:br/>
            </w:r>
          </w:p>
          <w:p w14:paraId="246DEABE" w14:textId="39D0E1D4" w:rsidR="008D4BF2" w:rsidRDefault="008D4BF2" w:rsidP="00BB7028">
            <w:pPr>
              <w:tabs>
                <w:tab w:val="left" w:pos="1701"/>
              </w:tabs>
            </w:pPr>
            <w:r>
              <w:t xml:space="preserve">Utskottet fortsatte </w:t>
            </w:r>
            <w:r w:rsidR="009A292F">
              <w:t>beredningen</w:t>
            </w:r>
            <w:r>
              <w:t xml:space="preserve"> av motioner. </w:t>
            </w:r>
          </w:p>
          <w:p w14:paraId="691C32FD" w14:textId="79DCF95C" w:rsidR="008D4BF2" w:rsidRDefault="008D4BF2" w:rsidP="00BB7028">
            <w:pPr>
              <w:tabs>
                <w:tab w:val="left" w:pos="1701"/>
              </w:tabs>
            </w:pPr>
          </w:p>
          <w:p w14:paraId="457441AE" w14:textId="77777777" w:rsidR="00773C28" w:rsidRDefault="00773C28" w:rsidP="00773C28">
            <w:pPr>
              <w:tabs>
                <w:tab w:val="left" w:pos="1701"/>
              </w:tabs>
              <w:rPr>
                <w:b/>
                <w:bCs/>
              </w:rPr>
            </w:pPr>
            <w:r w:rsidRPr="008D4BF2">
              <w:t>Ärendet bordlades.</w:t>
            </w:r>
            <w:r>
              <w:rPr>
                <w:b/>
                <w:bCs/>
              </w:rPr>
              <w:t xml:space="preserve"> </w:t>
            </w:r>
          </w:p>
          <w:p w14:paraId="16211517" w14:textId="77777777" w:rsidR="00656420" w:rsidRDefault="00656420" w:rsidP="00BB7028">
            <w:pPr>
              <w:tabs>
                <w:tab w:val="left" w:pos="1701"/>
              </w:tabs>
              <w:rPr>
                <w:snapToGrid w:val="0"/>
              </w:rPr>
            </w:pPr>
          </w:p>
        </w:tc>
      </w:tr>
      <w:tr w:rsidR="008D4BF2" w14:paraId="1D1F126C" w14:textId="77777777" w:rsidTr="0001177E">
        <w:tc>
          <w:tcPr>
            <w:tcW w:w="567" w:type="dxa"/>
          </w:tcPr>
          <w:p w14:paraId="2DD68BBB" w14:textId="77777777" w:rsidR="008D4BF2" w:rsidRPr="003B4DE8" w:rsidRDefault="008D4BF2" w:rsidP="003B4DE8">
            <w:pPr>
              <w:pStyle w:val="Liststycke"/>
              <w:numPr>
                <w:ilvl w:val="0"/>
                <w:numId w:val="2"/>
              </w:numPr>
              <w:tabs>
                <w:tab w:val="left" w:pos="1701"/>
              </w:tabs>
              <w:rPr>
                <w:b/>
                <w:snapToGrid w:val="0"/>
              </w:rPr>
            </w:pPr>
          </w:p>
        </w:tc>
        <w:tc>
          <w:tcPr>
            <w:tcW w:w="6946" w:type="dxa"/>
            <w:gridSpan w:val="2"/>
          </w:tcPr>
          <w:p w14:paraId="22009052" w14:textId="6028C4AD" w:rsidR="008D4BF2" w:rsidRDefault="00DB313B" w:rsidP="00BB7028">
            <w:pPr>
              <w:tabs>
                <w:tab w:val="left" w:pos="1701"/>
              </w:tabs>
              <w:rPr>
                <w:b/>
                <w:bCs/>
              </w:rPr>
            </w:pPr>
            <w:proofErr w:type="spellStart"/>
            <w:r>
              <w:rPr>
                <w:b/>
                <w:bCs/>
              </w:rPr>
              <w:t>Vårändringsbudget</w:t>
            </w:r>
            <w:proofErr w:type="spellEnd"/>
            <w:r>
              <w:rPr>
                <w:b/>
                <w:bCs/>
              </w:rPr>
              <w:t xml:space="preserve"> för 2024</w:t>
            </w:r>
            <w:r w:rsidRPr="00E04686">
              <w:rPr>
                <w:b/>
                <w:bCs/>
              </w:rPr>
              <w:br/>
            </w:r>
          </w:p>
          <w:p w14:paraId="6D6D6399" w14:textId="53C06C9D" w:rsidR="00DB313B" w:rsidRDefault="00DB313B" w:rsidP="00DB313B">
            <w:pPr>
              <w:tabs>
                <w:tab w:val="left" w:pos="1701"/>
              </w:tabs>
            </w:pPr>
            <w:r w:rsidRPr="008D4BF2">
              <w:t xml:space="preserve">Utskottet </w:t>
            </w:r>
            <w:r>
              <w:t>behandlade</w:t>
            </w:r>
            <w:r w:rsidRPr="008D4BF2">
              <w:t xml:space="preserve"> </w:t>
            </w:r>
            <w:r>
              <w:t xml:space="preserve">fråga om yttrande till finansutskottet över proposition 2023/24:99 och en motion. </w:t>
            </w:r>
          </w:p>
          <w:p w14:paraId="1892E982" w14:textId="77777777" w:rsidR="00DB313B" w:rsidRDefault="00DB313B" w:rsidP="00DB313B">
            <w:pPr>
              <w:tabs>
                <w:tab w:val="left" w:pos="1701"/>
              </w:tabs>
            </w:pPr>
          </w:p>
          <w:p w14:paraId="5714DCB1" w14:textId="77777777" w:rsidR="00DB313B" w:rsidRDefault="00DB313B" w:rsidP="00DB313B">
            <w:pPr>
              <w:tabs>
                <w:tab w:val="left" w:pos="1701"/>
              </w:tabs>
            </w:pPr>
            <w:r>
              <w:t xml:space="preserve">Utskottet beslutade att inte yttra sig. </w:t>
            </w:r>
          </w:p>
          <w:p w14:paraId="1ABB43A7" w14:textId="42AE2B6E" w:rsidR="008D4BF2" w:rsidRPr="008D4BF2" w:rsidRDefault="008D4BF2" w:rsidP="00DB313B">
            <w:pPr>
              <w:tabs>
                <w:tab w:val="left" w:pos="1701"/>
              </w:tabs>
              <w:rPr>
                <w:b/>
                <w:bCs/>
              </w:rPr>
            </w:pPr>
          </w:p>
        </w:tc>
      </w:tr>
      <w:tr w:rsidR="00DB313B" w14:paraId="644BCFA5" w14:textId="77777777" w:rsidTr="0001177E">
        <w:tc>
          <w:tcPr>
            <w:tcW w:w="567" w:type="dxa"/>
          </w:tcPr>
          <w:p w14:paraId="165106A7" w14:textId="77777777" w:rsidR="00DB313B" w:rsidRPr="003B4DE8" w:rsidRDefault="00DB313B" w:rsidP="00DB313B">
            <w:pPr>
              <w:pStyle w:val="Liststycke"/>
              <w:numPr>
                <w:ilvl w:val="0"/>
                <w:numId w:val="2"/>
              </w:numPr>
              <w:tabs>
                <w:tab w:val="left" w:pos="1701"/>
              </w:tabs>
              <w:rPr>
                <w:b/>
                <w:snapToGrid w:val="0"/>
              </w:rPr>
            </w:pPr>
          </w:p>
        </w:tc>
        <w:tc>
          <w:tcPr>
            <w:tcW w:w="6946" w:type="dxa"/>
            <w:gridSpan w:val="2"/>
          </w:tcPr>
          <w:p w14:paraId="17792352" w14:textId="77777777" w:rsidR="00DB313B" w:rsidRDefault="00DB313B" w:rsidP="00DB313B">
            <w:pPr>
              <w:tabs>
                <w:tab w:val="left" w:pos="1701"/>
              </w:tabs>
              <w:rPr>
                <w:b/>
              </w:rPr>
            </w:pPr>
            <w:r>
              <w:rPr>
                <w:b/>
              </w:rPr>
              <w:t>Årsredovisning för staten 2022</w:t>
            </w:r>
          </w:p>
          <w:p w14:paraId="1D4CB5EA" w14:textId="77777777" w:rsidR="00DB313B" w:rsidRDefault="00DB313B" w:rsidP="00DB313B">
            <w:pPr>
              <w:tabs>
                <w:tab w:val="left" w:pos="1701"/>
              </w:tabs>
              <w:rPr>
                <w:b/>
              </w:rPr>
            </w:pPr>
          </w:p>
          <w:p w14:paraId="22EBA388" w14:textId="6634CF4A" w:rsidR="00DB313B" w:rsidRPr="00952A72" w:rsidRDefault="00DB313B" w:rsidP="00DB313B">
            <w:pPr>
              <w:tabs>
                <w:tab w:val="left" w:pos="1701"/>
              </w:tabs>
              <w:rPr>
                <w:bCs/>
              </w:rPr>
            </w:pPr>
            <w:r w:rsidRPr="00952A72">
              <w:rPr>
                <w:bCs/>
              </w:rPr>
              <w:t>Utskottet behandlade fråga om yttrande till finansutskottet över skrivelse 202</w:t>
            </w:r>
            <w:r>
              <w:rPr>
                <w:bCs/>
              </w:rPr>
              <w:t>3</w:t>
            </w:r>
            <w:r w:rsidRPr="00952A72">
              <w:rPr>
                <w:bCs/>
              </w:rPr>
              <w:t>/2</w:t>
            </w:r>
            <w:r>
              <w:rPr>
                <w:bCs/>
              </w:rPr>
              <w:t>4</w:t>
            </w:r>
            <w:r w:rsidRPr="00952A72">
              <w:rPr>
                <w:bCs/>
              </w:rPr>
              <w:t xml:space="preserve">:101. </w:t>
            </w:r>
          </w:p>
          <w:p w14:paraId="44ED63DC" w14:textId="77777777" w:rsidR="00DB313B" w:rsidRPr="00952A72" w:rsidRDefault="00DB313B" w:rsidP="00DB313B">
            <w:pPr>
              <w:tabs>
                <w:tab w:val="left" w:pos="1701"/>
              </w:tabs>
              <w:rPr>
                <w:bCs/>
              </w:rPr>
            </w:pPr>
          </w:p>
          <w:p w14:paraId="621CC563" w14:textId="77777777" w:rsidR="00DB313B" w:rsidRPr="00952A72" w:rsidRDefault="00DB313B" w:rsidP="00DB313B">
            <w:pPr>
              <w:tabs>
                <w:tab w:val="left" w:pos="1701"/>
              </w:tabs>
              <w:rPr>
                <w:bCs/>
              </w:rPr>
            </w:pPr>
            <w:r w:rsidRPr="00952A72">
              <w:rPr>
                <w:bCs/>
              </w:rPr>
              <w:t xml:space="preserve">Utskottet beslutade att inte yttra sig. </w:t>
            </w:r>
          </w:p>
          <w:p w14:paraId="3D78F495" w14:textId="2C130A5E" w:rsidR="00DB313B" w:rsidRDefault="00DB313B" w:rsidP="00DB313B">
            <w:pPr>
              <w:tabs>
                <w:tab w:val="left" w:pos="1701"/>
              </w:tabs>
              <w:rPr>
                <w:b/>
                <w:bCs/>
              </w:rPr>
            </w:pPr>
          </w:p>
        </w:tc>
      </w:tr>
      <w:tr w:rsidR="00FD311E" w14:paraId="75007567" w14:textId="77777777" w:rsidTr="0001177E">
        <w:tc>
          <w:tcPr>
            <w:tcW w:w="567" w:type="dxa"/>
          </w:tcPr>
          <w:p w14:paraId="6ED3D45A" w14:textId="77777777" w:rsidR="00FD311E" w:rsidRPr="003B4DE8" w:rsidRDefault="00FD311E" w:rsidP="00DB313B">
            <w:pPr>
              <w:pStyle w:val="Liststycke"/>
              <w:numPr>
                <w:ilvl w:val="0"/>
                <w:numId w:val="2"/>
              </w:numPr>
              <w:tabs>
                <w:tab w:val="left" w:pos="1701"/>
              </w:tabs>
              <w:rPr>
                <w:b/>
                <w:snapToGrid w:val="0"/>
              </w:rPr>
            </w:pPr>
          </w:p>
        </w:tc>
        <w:tc>
          <w:tcPr>
            <w:tcW w:w="6946" w:type="dxa"/>
            <w:gridSpan w:val="2"/>
          </w:tcPr>
          <w:p w14:paraId="389F0CDD" w14:textId="77777777" w:rsidR="00053E0B" w:rsidRDefault="00053E0B" w:rsidP="00053E0B">
            <w:pPr>
              <w:tabs>
                <w:tab w:val="left" w:pos="1701"/>
              </w:tabs>
              <w:rPr>
                <w:b/>
              </w:rPr>
            </w:pPr>
            <w:r>
              <w:rPr>
                <w:b/>
                <w:bCs/>
              </w:rPr>
              <w:t xml:space="preserve">Övrig fråga </w:t>
            </w:r>
          </w:p>
          <w:p w14:paraId="21234EE1" w14:textId="77777777" w:rsidR="00FD311E" w:rsidRDefault="00FD311E" w:rsidP="00DB313B">
            <w:pPr>
              <w:tabs>
                <w:tab w:val="left" w:pos="1701"/>
              </w:tabs>
              <w:rPr>
                <w:b/>
              </w:rPr>
            </w:pPr>
          </w:p>
          <w:p w14:paraId="0DD7A96F" w14:textId="77777777" w:rsidR="00053E0B" w:rsidRDefault="00053E0B" w:rsidP="00DB313B">
            <w:pPr>
              <w:tabs>
                <w:tab w:val="left" w:pos="1701"/>
              </w:tabs>
              <w:rPr>
                <w:bCs/>
              </w:rPr>
            </w:pPr>
            <w:r w:rsidRPr="00053E0B">
              <w:rPr>
                <w:bCs/>
              </w:rPr>
              <w:t xml:space="preserve">Paula Örn </w:t>
            </w:r>
            <w:r>
              <w:rPr>
                <w:bCs/>
              </w:rPr>
              <w:t xml:space="preserve">(S) och Patrick Reslow (SD) återrapporterade från OECD:s parlamentarikerdagar </w:t>
            </w:r>
            <w:r w:rsidRPr="00053E0B">
              <w:rPr>
                <w:bCs/>
              </w:rPr>
              <w:t>3 – 4 april 2024 i Paris</w:t>
            </w:r>
            <w:r>
              <w:rPr>
                <w:bCs/>
              </w:rPr>
              <w:t xml:space="preserve">. </w:t>
            </w:r>
          </w:p>
          <w:p w14:paraId="4F8679EE" w14:textId="17C22379" w:rsidR="00053E0B" w:rsidRPr="00053E0B" w:rsidRDefault="00053E0B" w:rsidP="00DB313B">
            <w:pPr>
              <w:tabs>
                <w:tab w:val="left" w:pos="1701"/>
              </w:tabs>
              <w:rPr>
                <w:bCs/>
              </w:rPr>
            </w:pPr>
          </w:p>
        </w:tc>
      </w:tr>
      <w:tr w:rsidR="00DB313B" w14:paraId="160CB97D" w14:textId="77777777" w:rsidTr="0001177E">
        <w:tc>
          <w:tcPr>
            <w:tcW w:w="567" w:type="dxa"/>
          </w:tcPr>
          <w:p w14:paraId="4F41912F" w14:textId="77777777" w:rsidR="00DB313B" w:rsidRPr="00656420" w:rsidRDefault="00DB313B" w:rsidP="00DB313B">
            <w:pPr>
              <w:pStyle w:val="Liststycke"/>
              <w:numPr>
                <w:ilvl w:val="0"/>
                <w:numId w:val="2"/>
              </w:numPr>
              <w:tabs>
                <w:tab w:val="left" w:pos="1701"/>
              </w:tabs>
              <w:rPr>
                <w:b/>
                <w:snapToGrid w:val="0"/>
              </w:rPr>
            </w:pPr>
          </w:p>
        </w:tc>
        <w:tc>
          <w:tcPr>
            <w:tcW w:w="6946" w:type="dxa"/>
            <w:gridSpan w:val="2"/>
          </w:tcPr>
          <w:p w14:paraId="216BA53F" w14:textId="77777777" w:rsidR="00DB313B" w:rsidRDefault="00DB313B" w:rsidP="00DB313B">
            <w:pPr>
              <w:widowControl/>
              <w:autoSpaceDE w:val="0"/>
              <w:autoSpaceDN w:val="0"/>
              <w:adjustRightInd w:val="0"/>
              <w:rPr>
                <w:b/>
                <w:bCs/>
                <w:szCs w:val="24"/>
              </w:rPr>
            </w:pPr>
            <w:r>
              <w:rPr>
                <w:b/>
                <w:bCs/>
                <w:szCs w:val="24"/>
              </w:rPr>
              <w:t>Nästa sammanträde</w:t>
            </w:r>
          </w:p>
          <w:p w14:paraId="39AF2E50" w14:textId="77777777" w:rsidR="00DB313B" w:rsidRDefault="00DB313B" w:rsidP="00DB313B">
            <w:pPr>
              <w:tabs>
                <w:tab w:val="left" w:pos="1701"/>
              </w:tabs>
              <w:rPr>
                <w:szCs w:val="24"/>
              </w:rPr>
            </w:pPr>
          </w:p>
          <w:p w14:paraId="10909765" w14:textId="44F6682F" w:rsidR="00DB313B" w:rsidRDefault="00DB313B" w:rsidP="00DB313B">
            <w:pPr>
              <w:tabs>
                <w:tab w:val="left" w:pos="1701"/>
              </w:tabs>
              <w:rPr>
                <w:snapToGrid w:val="0"/>
              </w:rPr>
            </w:pPr>
            <w:r>
              <w:rPr>
                <w:szCs w:val="24"/>
              </w:rPr>
              <w:t>Nästa sammanträde äger rum tisdagen den 14 maj 2024 kl. 11.00.</w:t>
            </w:r>
          </w:p>
        </w:tc>
      </w:tr>
      <w:tr w:rsidR="00DB313B" w14:paraId="5405B6CE" w14:textId="77777777" w:rsidTr="0001177E">
        <w:trPr>
          <w:gridAfter w:val="1"/>
          <w:wAfter w:w="357" w:type="dxa"/>
        </w:trPr>
        <w:tc>
          <w:tcPr>
            <w:tcW w:w="7156" w:type="dxa"/>
            <w:gridSpan w:val="2"/>
          </w:tcPr>
          <w:p w14:paraId="0134A1F1" w14:textId="049CBE88" w:rsidR="00DB313B" w:rsidRDefault="00DB313B" w:rsidP="00DB313B">
            <w:pPr>
              <w:tabs>
                <w:tab w:val="left" w:pos="1701"/>
              </w:tabs>
              <w:rPr>
                <w:b/>
              </w:rPr>
            </w:pPr>
          </w:p>
          <w:p w14:paraId="0C4609E0" w14:textId="77777777" w:rsidR="00EC4130" w:rsidRDefault="00EC4130" w:rsidP="00DB313B">
            <w:pPr>
              <w:tabs>
                <w:tab w:val="left" w:pos="1701"/>
              </w:tabs>
              <w:rPr>
                <w:b/>
              </w:rPr>
            </w:pPr>
          </w:p>
          <w:p w14:paraId="5B35507F" w14:textId="77777777" w:rsidR="00DB313B" w:rsidRDefault="00DB313B" w:rsidP="00DB313B">
            <w:pPr>
              <w:tabs>
                <w:tab w:val="left" w:pos="1701"/>
              </w:tabs>
            </w:pPr>
            <w:r>
              <w:t>Vid protokollet</w:t>
            </w:r>
          </w:p>
          <w:p w14:paraId="275E0FF3" w14:textId="77777777" w:rsidR="00DB313B" w:rsidRDefault="00DB313B" w:rsidP="00DB313B">
            <w:pPr>
              <w:tabs>
                <w:tab w:val="left" w:pos="1701"/>
              </w:tabs>
            </w:pPr>
          </w:p>
          <w:p w14:paraId="5E96AD39" w14:textId="77777777" w:rsidR="00DB313B" w:rsidRDefault="00DB313B" w:rsidP="00DB313B">
            <w:pPr>
              <w:tabs>
                <w:tab w:val="left" w:pos="1701"/>
              </w:tabs>
            </w:pPr>
          </w:p>
          <w:p w14:paraId="55805CA4" w14:textId="2EC7390F" w:rsidR="00DB313B" w:rsidRDefault="00DB313B" w:rsidP="00DB313B">
            <w:pPr>
              <w:tabs>
                <w:tab w:val="left" w:pos="1701"/>
              </w:tabs>
            </w:pPr>
            <w:r>
              <w:t>Therése Olofsson</w:t>
            </w:r>
          </w:p>
          <w:p w14:paraId="386EDFDD" w14:textId="77777777" w:rsidR="00DB313B" w:rsidRDefault="00DB313B" w:rsidP="00DB313B">
            <w:pPr>
              <w:tabs>
                <w:tab w:val="left" w:pos="1701"/>
              </w:tabs>
            </w:pPr>
          </w:p>
          <w:p w14:paraId="108EE46D" w14:textId="77777777" w:rsidR="00DB313B" w:rsidRDefault="00DB313B" w:rsidP="00DB313B">
            <w:pPr>
              <w:tabs>
                <w:tab w:val="left" w:pos="1701"/>
              </w:tabs>
            </w:pPr>
          </w:p>
          <w:p w14:paraId="54DDD37B" w14:textId="0AD91FE3" w:rsidR="00DB313B" w:rsidRDefault="00DB313B" w:rsidP="00DB313B">
            <w:pPr>
              <w:tabs>
                <w:tab w:val="left" w:pos="1701"/>
              </w:tabs>
            </w:pPr>
            <w:r w:rsidRPr="00C56172">
              <w:t xml:space="preserve">Justeras </w:t>
            </w:r>
            <w:r>
              <w:t>tis</w:t>
            </w:r>
            <w:r w:rsidRPr="00C56172">
              <w:t xml:space="preserve">dagen </w:t>
            </w:r>
            <w:r>
              <w:t>den 14 maj 2024</w:t>
            </w:r>
          </w:p>
          <w:p w14:paraId="5D070420" w14:textId="77777777" w:rsidR="00DB313B" w:rsidRDefault="00DB313B" w:rsidP="00DB313B">
            <w:pPr>
              <w:tabs>
                <w:tab w:val="left" w:pos="1701"/>
              </w:tabs>
            </w:pPr>
          </w:p>
          <w:p w14:paraId="713635C9" w14:textId="77777777" w:rsidR="00DB313B" w:rsidRDefault="00DB313B" w:rsidP="00DB313B">
            <w:pPr>
              <w:tabs>
                <w:tab w:val="left" w:pos="1701"/>
              </w:tabs>
            </w:pPr>
          </w:p>
          <w:p w14:paraId="3FE41F92" w14:textId="3538A9C6" w:rsidR="00DB313B" w:rsidRDefault="00DB313B" w:rsidP="00DB313B">
            <w:pPr>
              <w:tabs>
                <w:tab w:val="left" w:pos="1701"/>
              </w:tabs>
              <w:rPr>
                <w:b/>
              </w:rPr>
            </w:pPr>
            <w:r>
              <w:t>Fredrik Malm</w:t>
            </w:r>
          </w:p>
          <w:p w14:paraId="2D9BFB55" w14:textId="77777777" w:rsidR="00DB313B" w:rsidRDefault="00DB313B" w:rsidP="00DB313B">
            <w:pPr>
              <w:tabs>
                <w:tab w:val="left" w:pos="1701"/>
              </w:tabs>
              <w:rPr>
                <w:b/>
              </w:rPr>
            </w:pPr>
          </w:p>
        </w:tc>
      </w:tr>
    </w:tbl>
    <w:p w14:paraId="03177FFF" w14:textId="0AF78F14" w:rsidR="00575176" w:rsidRDefault="00575176" w:rsidP="00BB7028"/>
    <w:p w14:paraId="5638A1FE" w14:textId="77777777" w:rsidR="00575176" w:rsidRDefault="00575176">
      <w:pPr>
        <w:widowControl/>
      </w:pPr>
      <w:r>
        <w:br w:type="page"/>
      </w:r>
    </w:p>
    <w:tbl>
      <w:tblPr>
        <w:tblW w:w="8643" w:type="dxa"/>
        <w:tblLayout w:type="fixed"/>
        <w:tblCellMar>
          <w:left w:w="70" w:type="dxa"/>
          <w:right w:w="70" w:type="dxa"/>
        </w:tblCellMar>
        <w:tblLook w:val="0000" w:firstRow="0" w:lastRow="0" w:firstColumn="0" w:lastColumn="0" w:noHBand="0" w:noVBand="0"/>
      </w:tblPr>
      <w:tblGrid>
        <w:gridCol w:w="3614"/>
        <w:gridCol w:w="45"/>
        <w:gridCol w:w="27"/>
        <w:gridCol w:w="329"/>
        <w:gridCol w:w="356"/>
        <w:gridCol w:w="356"/>
        <w:gridCol w:w="356"/>
        <w:gridCol w:w="356"/>
        <w:gridCol w:w="356"/>
        <w:gridCol w:w="356"/>
        <w:gridCol w:w="356"/>
        <w:gridCol w:w="356"/>
        <w:gridCol w:w="225"/>
        <w:gridCol w:w="131"/>
        <w:gridCol w:w="356"/>
        <w:gridCol w:w="356"/>
        <w:gridCol w:w="356"/>
        <w:gridCol w:w="356"/>
      </w:tblGrid>
      <w:tr w:rsidR="00822AF4" w14:paraId="36751E61" w14:textId="77777777" w:rsidTr="007A14AA">
        <w:tc>
          <w:tcPr>
            <w:tcW w:w="3686" w:type="dxa"/>
            <w:gridSpan w:val="3"/>
          </w:tcPr>
          <w:p w14:paraId="3796174E" w14:textId="77777777" w:rsidR="00822AF4" w:rsidRDefault="00822AF4" w:rsidP="007A14AA">
            <w:pPr>
              <w:tabs>
                <w:tab w:val="left" w:pos="1276"/>
              </w:tabs>
            </w:pPr>
            <w:r>
              <w:lastRenderedPageBreak/>
              <w:t>UTBILDNINGSUTSKOTTET</w:t>
            </w:r>
          </w:p>
        </w:tc>
        <w:tc>
          <w:tcPr>
            <w:tcW w:w="3402" w:type="dxa"/>
            <w:gridSpan w:val="10"/>
          </w:tcPr>
          <w:p w14:paraId="1408D1A0" w14:textId="77777777" w:rsidR="00822AF4" w:rsidRPr="0013107A" w:rsidRDefault="00822AF4" w:rsidP="007A14AA">
            <w:pPr>
              <w:tabs>
                <w:tab w:val="left" w:pos="1276"/>
              </w:tabs>
              <w:rPr>
                <w:b/>
              </w:rPr>
            </w:pPr>
            <w:r w:rsidRPr="0013107A">
              <w:rPr>
                <w:b/>
              </w:rPr>
              <w:t>NÄRVAROFÖRTECKNING</w:t>
            </w:r>
          </w:p>
        </w:tc>
        <w:tc>
          <w:tcPr>
            <w:tcW w:w="1555" w:type="dxa"/>
            <w:gridSpan w:val="5"/>
          </w:tcPr>
          <w:p w14:paraId="315E99C7" w14:textId="77777777" w:rsidR="00822AF4" w:rsidRDefault="00822AF4" w:rsidP="007A14AA">
            <w:pPr>
              <w:tabs>
                <w:tab w:val="left" w:pos="1276"/>
              </w:tabs>
              <w:rPr>
                <w:b/>
              </w:rPr>
            </w:pPr>
            <w:r>
              <w:rPr>
                <w:b/>
              </w:rPr>
              <w:t>Bilaga 1</w:t>
            </w:r>
          </w:p>
          <w:p w14:paraId="153E390B" w14:textId="77777777" w:rsidR="00822AF4" w:rsidRPr="00DB43E0" w:rsidRDefault="00822AF4" w:rsidP="007A14AA">
            <w:pPr>
              <w:tabs>
                <w:tab w:val="left" w:pos="1276"/>
              </w:tabs>
            </w:pPr>
            <w:r w:rsidRPr="00DB43E0">
              <w:t>till protokoll</w:t>
            </w:r>
          </w:p>
          <w:p w14:paraId="0F1F14FE" w14:textId="5A3A1209" w:rsidR="00822AF4" w:rsidRPr="00310016" w:rsidRDefault="00822AF4" w:rsidP="007A14AA">
            <w:pPr>
              <w:tabs>
                <w:tab w:val="left" w:pos="1276"/>
              </w:tabs>
              <w:rPr>
                <w:b/>
              </w:rPr>
            </w:pPr>
            <w:r w:rsidRPr="00DB43E0">
              <w:t>202</w:t>
            </w:r>
            <w:r w:rsidR="00123C5B">
              <w:t>3</w:t>
            </w:r>
            <w:r w:rsidRPr="00DB43E0">
              <w:t>/2</w:t>
            </w:r>
            <w:r w:rsidR="00123C5B">
              <w:t>4</w:t>
            </w:r>
            <w:r w:rsidRPr="00DB43E0">
              <w:t>:</w:t>
            </w:r>
            <w:r w:rsidR="00DB313B">
              <w:t>41</w:t>
            </w:r>
          </w:p>
        </w:tc>
      </w:tr>
      <w:tr w:rsidR="00822AF4" w14:paraId="55BBF3E2" w14:textId="77777777" w:rsidTr="007A14AA">
        <w:tc>
          <w:tcPr>
            <w:tcW w:w="3686" w:type="dxa"/>
            <w:gridSpan w:val="3"/>
          </w:tcPr>
          <w:p w14:paraId="461B3B5E" w14:textId="77777777" w:rsidR="00822AF4" w:rsidRDefault="00822AF4" w:rsidP="007A14AA">
            <w:pPr>
              <w:tabs>
                <w:tab w:val="left" w:pos="1276"/>
              </w:tabs>
            </w:pPr>
          </w:p>
        </w:tc>
        <w:tc>
          <w:tcPr>
            <w:tcW w:w="3402" w:type="dxa"/>
            <w:gridSpan w:val="10"/>
          </w:tcPr>
          <w:p w14:paraId="1DC14D9B" w14:textId="77777777" w:rsidR="00822AF4" w:rsidRPr="00310016" w:rsidRDefault="00822AF4" w:rsidP="007A14AA">
            <w:pPr>
              <w:tabs>
                <w:tab w:val="left" w:pos="1276"/>
              </w:tabs>
            </w:pPr>
          </w:p>
        </w:tc>
        <w:tc>
          <w:tcPr>
            <w:tcW w:w="1555" w:type="dxa"/>
            <w:gridSpan w:val="5"/>
          </w:tcPr>
          <w:p w14:paraId="1BCAFF97" w14:textId="77777777" w:rsidR="00822AF4" w:rsidRDefault="00822AF4" w:rsidP="007A14AA">
            <w:pPr>
              <w:tabs>
                <w:tab w:val="left" w:pos="1276"/>
              </w:tabs>
              <w:rPr>
                <w:b/>
              </w:rPr>
            </w:pPr>
          </w:p>
        </w:tc>
      </w:tr>
      <w:tr w:rsidR="00822AF4" w14:paraId="2FEF3D34" w14:textId="77777777" w:rsidTr="007A14AA">
        <w:trPr>
          <w:cantSplit/>
        </w:trPr>
        <w:tc>
          <w:tcPr>
            <w:tcW w:w="3659" w:type="dxa"/>
            <w:gridSpan w:val="2"/>
            <w:tcBorders>
              <w:top w:val="single" w:sz="6" w:space="0" w:color="auto"/>
              <w:left w:val="single" w:sz="6" w:space="0" w:color="auto"/>
              <w:bottom w:val="single" w:sz="6" w:space="0" w:color="auto"/>
              <w:right w:val="single" w:sz="6" w:space="0" w:color="auto"/>
            </w:tcBorders>
          </w:tcPr>
          <w:p w14:paraId="26880F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4CC778A4" w14:textId="1D7AC581"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sidR="00DB313B">
              <w:rPr>
                <w:sz w:val="22"/>
              </w:rPr>
              <w:t>1-</w:t>
            </w:r>
            <w:r w:rsidR="004C0422">
              <w:rPr>
                <w:sz w:val="22"/>
              </w:rPr>
              <w:t>13</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14:paraId="1B6C0EF0" w14:textId="7AAB8850"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1B85BB1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746854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6191B87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2E5D9FF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58CF9E0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8F8061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80BBDA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5764C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665E353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472BFCA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D88A10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7D968E3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13DBAE6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6DBD683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16543A4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384BD10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14:paraId="4F9E548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081DA3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40B95E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7B8385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F9B041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822AF4" w14:paraId="15D02F7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E0DD12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gridSpan w:val="2"/>
            <w:tcBorders>
              <w:top w:val="single" w:sz="6" w:space="0" w:color="auto"/>
              <w:left w:val="single" w:sz="6" w:space="0" w:color="auto"/>
              <w:bottom w:val="single" w:sz="6" w:space="0" w:color="auto"/>
              <w:right w:val="single" w:sz="6" w:space="0" w:color="auto"/>
            </w:tcBorders>
          </w:tcPr>
          <w:p w14:paraId="531DC5A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351EA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E64F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728F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EF07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087D9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C67F2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0862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C6A45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99C4E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6AAFB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E3263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3EE5A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FC017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6CB69F7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EBA5CF2" w14:textId="77777777" w:rsidR="00822AF4" w:rsidRPr="00C145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sidRPr="00C145F4">
              <w:rPr>
                <w:sz w:val="22"/>
                <w:szCs w:val="22"/>
              </w:rPr>
              <w:t xml:space="preserve">Fredrik Malm (L), </w:t>
            </w:r>
            <w:r w:rsidRPr="00C145F4">
              <w:rPr>
                <w:i/>
                <w:sz w:val="22"/>
                <w:szCs w:val="22"/>
              </w:rPr>
              <w:t>ordförande</w:t>
            </w:r>
          </w:p>
        </w:tc>
        <w:tc>
          <w:tcPr>
            <w:tcW w:w="356" w:type="dxa"/>
            <w:gridSpan w:val="2"/>
            <w:tcBorders>
              <w:top w:val="single" w:sz="6" w:space="0" w:color="auto"/>
              <w:left w:val="single" w:sz="6" w:space="0" w:color="auto"/>
              <w:bottom w:val="single" w:sz="6" w:space="0" w:color="auto"/>
              <w:right w:val="single" w:sz="6" w:space="0" w:color="auto"/>
            </w:tcBorders>
          </w:tcPr>
          <w:p w14:paraId="7E8C92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1EC331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70890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4536F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59A93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BEACB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F5496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0E4C4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91722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4D3F4C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62C7F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9D4B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5BF8B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6250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3253E0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51103E2" w14:textId="77777777" w:rsidR="00822AF4" w:rsidRPr="00C145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sidRPr="00C145F4">
              <w:rPr>
                <w:sz w:val="22"/>
                <w:szCs w:val="22"/>
              </w:rPr>
              <w:t xml:space="preserve">Åsa Westlund (S), </w:t>
            </w:r>
            <w:r w:rsidRPr="00C145F4">
              <w:rPr>
                <w:i/>
                <w:sz w:val="22"/>
                <w:szCs w:val="22"/>
              </w:rPr>
              <w:t>vice</w:t>
            </w:r>
            <w:r>
              <w:rPr>
                <w:i/>
                <w:sz w:val="22"/>
                <w:szCs w:val="22"/>
              </w:rPr>
              <w:t xml:space="preserve"> </w:t>
            </w:r>
            <w:r w:rsidRPr="00C145F4">
              <w:rPr>
                <w:i/>
                <w:sz w:val="22"/>
                <w:szCs w:val="22"/>
              </w:rPr>
              <w:t>ordförande</w:t>
            </w:r>
          </w:p>
        </w:tc>
        <w:tc>
          <w:tcPr>
            <w:tcW w:w="356" w:type="dxa"/>
            <w:gridSpan w:val="2"/>
            <w:tcBorders>
              <w:top w:val="single" w:sz="6" w:space="0" w:color="auto"/>
              <w:left w:val="single" w:sz="6" w:space="0" w:color="auto"/>
              <w:bottom w:val="single" w:sz="6" w:space="0" w:color="auto"/>
              <w:right w:val="single" w:sz="6" w:space="0" w:color="auto"/>
            </w:tcBorders>
          </w:tcPr>
          <w:p w14:paraId="68CEB29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CA7361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D39A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D821A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9036F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99BB8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BD33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649B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A0429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C28642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97850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D69C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47873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1AA4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1429EEA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6C88A19" w14:textId="77777777" w:rsidR="00822AF4" w:rsidRPr="00C145F4" w:rsidRDefault="00822AF4" w:rsidP="007A14AA">
            <w:pPr>
              <w:rPr>
                <w:sz w:val="22"/>
                <w:szCs w:val="22"/>
              </w:rPr>
            </w:pPr>
            <w:r w:rsidRPr="00C145F4">
              <w:rPr>
                <w:sz w:val="22"/>
                <w:szCs w:val="22"/>
              </w:rPr>
              <w:t>Patrick Reslow (SD)</w:t>
            </w:r>
          </w:p>
        </w:tc>
        <w:tc>
          <w:tcPr>
            <w:tcW w:w="356" w:type="dxa"/>
            <w:gridSpan w:val="2"/>
            <w:tcBorders>
              <w:top w:val="single" w:sz="6" w:space="0" w:color="auto"/>
              <w:left w:val="single" w:sz="6" w:space="0" w:color="auto"/>
              <w:bottom w:val="single" w:sz="6" w:space="0" w:color="auto"/>
              <w:right w:val="single" w:sz="6" w:space="0" w:color="auto"/>
            </w:tcBorders>
          </w:tcPr>
          <w:p w14:paraId="3666C3D7"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1F73D20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4CC529"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51348A5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ABFA47"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BAD6B5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FC5B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55B89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9844C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D93C67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32595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9B283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62A13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D0AA8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rsidRPr="00001172" w14:paraId="3B51EC6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7B65E8E" w14:textId="77777777" w:rsidR="00822AF4" w:rsidRPr="00C145F4" w:rsidRDefault="00822AF4" w:rsidP="007A14AA">
            <w:pPr>
              <w:rPr>
                <w:sz w:val="22"/>
                <w:szCs w:val="22"/>
              </w:rPr>
            </w:pPr>
            <w:r w:rsidRPr="00C145F4">
              <w:rPr>
                <w:sz w:val="22"/>
                <w:szCs w:val="22"/>
              </w:rPr>
              <w:t>Josefin Malmqvist (M)</w:t>
            </w:r>
          </w:p>
        </w:tc>
        <w:tc>
          <w:tcPr>
            <w:tcW w:w="356" w:type="dxa"/>
            <w:gridSpan w:val="2"/>
            <w:tcBorders>
              <w:top w:val="single" w:sz="6" w:space="0" w:color="auto"/>
              <w:left w:val="single" w:sz="6" w:space="0" w:color="auto"/>
              <w:bottom w:val="single" w:sz="6" w:space="0" w:color="auto"/>
              <w:right w:val="single" w:sz="6" w:space="0" w:color="auto"/>
            </w:tcBorders>
          </w:tcPr>
          <w:p w14:paraId="1A564328" w14:textId="36258E31" w:rsidR="00822AF4" w:rsidRDefault="00E72E3F" w:rsidP="007A14AA">
            <w:r>
              <w:t>X</w:t>
            </w:r>
          </w:p>
        </w:tc>
        <w:tc>
          <w:tcPr>
            <w:tcW w:w="356" w:type="dxa"/>
            <w:tcBorders>
              <w:top w:val="single" w:sz="6" w:space="0" w:color="auto"/>
              <w:left w:val="single" w:sz="6" w:space="0" w:color="auto"/>
              <w:bottom w:val="single" w:sz="6" w:space="0" w:color="auto"/>
              <w:right w:val="single" w:sz="6" w:space="0" w:color="auto"/>
            </w:tcBorders>
          </w:tcPr>
          <w:p w14:paraId="7A5B19A3"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F386B1"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0082ED2D"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D185A7"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6013B40"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4AD48C"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C8F7F2"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DCC6C5"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9C254D3"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3CF3A7"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5C0EB6"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D02B4"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4DA224"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rsidRPr="00EC27A5" w14:paraId="674C4423"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0E74DDD" w14:textId="77777777" w:rsidR="00822AF4" w:rsidRPr="00C145F4" w:rsidRDefault="00822AF4" w:rsidP="007A14AA">
            <w:pPr>
              <w:rPr>
                <w:sz w:val="22"/>
                <w:szCs w:val="22"/>
              </w:rPr>
            </w:pPr>
            <w:r w:rsidRPr="00C145F4">
              <w:rPr>
                <w:sz w:val="22"/>
                <w:szCs w:val="22"/>
              </w:rPr>
              <w:t>Linus Sköld (S)</w:t>
            </w:r>
          </w:p>
        </w:tc>
        <w:tc>
          <w:tcPr>
            <w:tcW w:w="356" w:type="dxa"/>
            <w:gridSpan w:val="2"/>
            <w:tcBorders>
              <w:top w:val="single" w:sz="6" w:space="0" w:color="auto"/>
              <w:left w:val="single" w:sz="6" w:space="0" w:color="auto"/>
              <w:bottom w:val="single" w:sz="6" w:space="0" w:color="auto"/>
              <w:right w:val="single" w:sz="6" w:space="0" w:color="auto"/>
            </w:tcBorders>
          </w:tcPr>
          <w:p w14:paraId="54A2E955" w14:textId="53B0D31E"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08DE37C0"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0D7A5F"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01C5C24"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078B72"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7B7D815B"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D8844F"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58951A"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5CEE71"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23469BF"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C9B899"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BBBB4B"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0D13CC"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BD53FF"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rsidRPr="00EC27A5" w14:paraId="6740663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3DEDF22" w14:textId="77777777" w:rsidR="00822AF4" w:rsidRPr="00C145F4" w:rsidRDefault="00822AF4" w:rsidP="007A14AA">
            <w:pPr>
              <w:rPr>
                <w:sz w:val="22"/>
                <w:szCs w:val="22"/>
              </w:rPr>
            </w:pPr>
            <w:r w:rsidRPr="00C145F4">
              <w:rPr>
                <w:sz w:val="22"/>
                <w:szCs w:val="22"/>
              </w:rPr>
              <w:t>Robert Stenkvist (SD)</w:t>
            </w:r>
          </w:p>
        </w:tc>
        <w:tc>
          <w:tcPr>
            <w:tcW w:w="356" w:type="dxa"/>
            <w:gridSpan w:val="2"/>
            <w:tcBorders>
              <w:top w:val="single" w:sz="6" w:space="0" w:color="auto"/>
              <w:left w:val="single" w:sz="6" w:space="0" w:color="auto"/>
              <w:bottom w:val="single" w:sz="6" w:space="0" w:color="auto"/>
              <w:right w:val="single" w:sz="6" w:space="0" w:color="auto"/>
            </w:tcBorders>
          </w:tcPr>
          <w:p w14:paraId="4823152F"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04F09367"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539C67"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EA3E7EB"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050DAC"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9EA3728"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52D1CC"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47635D"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BBC1F9"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80D4978"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C85C87"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92A261"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6C15F6"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937D72"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rsidRPr="00EC27A5" w14:paraId="361A989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C9D2F3B" w14:textId="77777777" w:rsidR="00822AF4" w:rsidRPr="00C145F4" w:rsidRDefault="00822AF4" w:rsidP="007A14AA">
            <w:pPr>
              <w:rPr>
                <w:sz w:val="22"/>
                <w:szCs w:val="22"/>
              </w:rPr>
            </w:pPr>
            <w:r w:rsidRPr="00C145F4">
              <w:rPr>
                <w:sz w:val="22"/>
                <w:szCs w:val="22"/>
              </w:rPr>
              <w:t>Caroline Helmersson Olsson (S)</w:t>
            </w:r>
          </w:p>
        </w:tc>
        <w:tc>
          <w:tcPr>
            <w:tcW w:w="356" w:type="dxa"/>
            <w:gridSpan w:val="2"/>
            <w:tcBorders>
              <w:top w:val="single" w:sz="6" w:space="0" w:color="auto"/>
              <w:left w:val="single" w:sz="6" w:space="0" w:color="auto"/>
              <w:bottom w:val="single" w:sz="6" w:space="0" w:color="auto"/>
              <w:right w:val="single" w:sz="6" w:space="0" w:color="auto"/>
            </w:tcBorders>
          </w:tcPr>
          <w:p w14:paraId="2529C493"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4E670295"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DAFD65"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C3801C7"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A91353"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0571D6F"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1113B2"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2D94D7"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B3DBA4"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8FDECC1"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70A192"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F348BD"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3A4750"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CE9AEE"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1E1AFB8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55DBE6A" w14:textId="77777777" w:rsidR="00822AF4" w:rsidRPr="00C145F4" w:rsidRDefault="00822AF4" w:rsidP="007A14AA">
            <w:pPr>
              <w:rPr>
                <w:sz w:val="22"/>
                <w:szCs w:val="22"/>
              </w:rPr>
            </w:pPr>
            <w:proofErr w:type="spellStart"/>
            <w:r w:rsidRPr="00C145F4">
              <w:rPr>
                <w:sz w:val="22"/>
                <w:szCs w:val="22"/>
              </w:rPr>
              <w:t>Noria</w:t>
            </w:r>
            <w:proofErr w:type="spellEnd"/>
            <w:r w:rsidRPr="00C145F4">
              <w:rPr>
                <w:sz w:val="22"/>
                <w:szCs w:val="22"/>
              </w:rPr>
              <w:t xml:space="preserve"> </w:t>
            </w:r>
            <w:proofErr w:type="spellStart"/>
            <w:r w:rsidRPr="00C145F4">
              <w:rPr>
                <w:sz w:val="22"/>
                <w:szCs w:val="22"/>
              </w:rPr>
              <w:t>Manouchi</w:t>
            </w:r>
            <w:proofErr w:type="spellEnd"/>
            <w:r w:rsidRPr="00C145F4">
              <w:rPr>
                <w:sz w:val="22"/>
                <w:szCs w:val="22"/>
              </w:rPr>
              <w:t xml:space="preserve"> (M)</w:t>
            </w:r>
          </w:p>
        </w:tc>
        <w:tc>
          <w:tcPr>
            <w:tcW w:w="356" w:type="dxa"/>
            <w:gridSpan w:val="2"/>
            <w:tcBorders>
              <w:top w:val="single" w:sz="6" w:space="0" w:color="auto"/>
              <w:left w:val="single" w:sz="6" w:space="0" w:color="auto"/>
              <w:bottom w:val="single" w:sz="6" w:space="0" w:color="auto"/>
              <w:right w:val="single" w:sz="6" w:space="0" w:color="auto"/>
            </w:tcBorders>
          </w:tcPr>
          <w:p w14:paraId="685EBA41"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151C2F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692D8F"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5F05B9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A7EC81"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A29038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78426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9861C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EAF80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B396F3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6B9E6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A92CC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2710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9EB88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1E7765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C3018A7" w14:textId="77777777" w:rsidR="00822AF4" w:rsidRPr="00C145F4" w:rsidRDefault="00822AF4" w:rsidP="007A14AA">
            <w:pPr>
              <w:rPr>
                <w:sz w:val="22"/>
                <w:szCs w:val="22"/>
              </w:rPr>
            </w:pPr>
            <w:r w:rsidRPr="00C145F4">
              <w:rPr>
                <w:sz w:val="22"/>
                <w:szCs w:val="22"/>
              </w:rPr>
              <w:t xml:space="preserve">Mats Wiking (S) </w:t>
            </w:r>
          </w:p>
        </w:tc>
        <w:tc>
          <w:tcPr>
            <w:tcW w:w="356" w:type="dxa"/>
            <w:gridSpan w:val="2"/>
            <w:tcBorders>
              <w:top w:val="single" w:sz="6" w:space="0" w:color="auto"/>
              <w:left w:val="single" w:sz="6" w:space="0" w:color="auto"/>
              <w:bottom w:val="single" w:sz="6" w:space="0" w:color="auto"/>
              <w:right w:val="single" w:sz="6" w:space="0" w:color="auto"/>
            </w:tcBorders>
          </w:tcPr>
          <w:p w14:paraId="2C2E8866"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103380B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DD5674"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204A6A8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E63E7F"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58F86C7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662B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A8939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335FA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EE941F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937DD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4F58E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1362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AEF4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32A8F0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7B3FA9D" w14:textId="77777777" w:rsidR="00822AF4" w:rsidRPr="00C145F4" w:rsidRDefault="00822AF4" w:rsidP="007A14AA">
            <w:pPr>
              <w:rPr>
                <w:sz w:val="22"/>
                <w:szCs w:val="22"/>
              </w:rPr>
            </w:pPr>
            <w:r w:rsidRPr="00C145F4">
              <w:rPr>
                <w:sz w:val="22"/>
                <w:szCs w:val="22"/>
              </w:rPr>
              <w:t>Jörgen Gr</w:t>
            </w:r>
            <w:r>
              <w:rPr>
                <w:sz w:val="22"/>
                <w:szCs w:val="22"/>
              </w:rPr>
              <w:t>u</w:t>
            </w:r>
            <w:r w:rsidRPr="00C145F4">
              <w:rPr>
                <w:sz w:val="22"/>
                <w:szCs w:val="22"/>
              </w:rPr>
              <w:t>bb (SD)</w:t>
            </w:r>
          </w:p>
        </w:tc>
        <w:tc>
          <w:tcPr>
            <w:tcW w:w="356" w:type="dxa"/>
            <w:gridSpan w:val="2"/>
            <w:tcBorders>
              <w:top w:val="single" w:sz="6" w:space="0" w:color="auto"/>
              <w:left w:val="single" w:sz="6" w:space="0" w:color="auto"/>
              <w:bottom w:val="single" w:sz="6" w:space="0" w:color="auto"/>
              <w:right w:val="single" w:sz="6" w:space="0" w:color="auto"/>
            </w:tcBorders>
          </w:tcPr>
          <w:p w14:paraId="5EA24169"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11B433F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3A1D8A"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558C015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1B2D28"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8A042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199E1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D284D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3FE81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5B7204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5E3BE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2CED4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9786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1EF1A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8E310A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2BDF243" w14:textId="48AB5191" w:rsidR="00822AF4" w:rsidRPr="00C145F4" w:rsidRDefault="00822AF4" w:rsidP="007A14AA">
            <w:pPr>
              <w:rPr>
                <w:sz w:val="22"/>
                <w:szCs w:val="22"/>
              </w:rPr>
            </w:pPr>
            <w:proofErr w:type="spellStart"/>
            <w:r w:rsidRPr="00C145F4">
              <w:rPr>
                <w:sz w:val="22"/>
                <w:szCs w:val="22"/>
              </w:rPr>
              <w:t>Aylin</w:t>
            </w:r>
            <w:proofErr w:type="spellEnd"/>
            <w:r w:rsidRPr="00C145F4">
              <w:rPr>
                <w:sz w:val="22"/>
                <w:szCs w:val="22"/>
              </w:rPr>
              <w:t xml:space="preserve"> </w:t>
            </w:r>
            <w:r w:rsidR="00874D05">
              <w:rPr>
                <w:sz w:val="22"/>
                <w:szCs w:val="22"/>
              </w:rPr>
              <w:t>Nouri</w:t>
            </w:r>
            <w:r w:rsidRPr="00C145F4">
              <w:rPr>
                <w:sz w:val="22"/>
                <w:szCs w:val="22"/>
              </w:rPr>
              <w:t xml:space="preserve"> (S)</w:t>
            </w:r>
          </w:p>
        </w:tc>
        <w:tc>
          <w:tcPr>
            <w:tcW w:w="356" w:type="dxa"/>
            <w:gridSpan w:val="2"/>
            <w:tcBorders>
              <w:top w:val="single" w:sz="6" w:space="0" w:color="auto"/>
              <w:left w:val="single" w:sz="6" w:space="0" w:color="auto"/>
              <w:bottom w:val="single" w:sz="6" w:space="0" w:color="auto"/>
              <w:right w:val="single" w:sz="6" w:space="0" w:color="auto"/>
            </w:tcBorders>
          </w:tcPr>
          <w:p w14:paraId="4C03AB56" w14:textId="7E435CB3"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3D0E8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7524D6"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912FC8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6DEE1B"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C54445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CEC93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096C3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8946C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C6D47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5B6DC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8F6B6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18D91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4D0C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F683EE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A02F37E" w14:textId="77777777" w:rsidR="00822AF4" w:rsidRPr="00C145F4" w:rsidRDefault="0042750F" w:rsidP="007A14AA">
            <w:pPr>
              <w:rPr>
                <w:sz w:val="22"/>
                <w:szCs w:val="22"/>
              </w:rPr>
            </w:pPr>
            <w:r w:rsidRPr="0042750F">
              <w:rPr>
                <w:sz w:val="22"/>
                <w:szCs w:val="22"/>
              </w:rPr>
              <w:t>Marie-Louise Hänel Sandström (M)</w:t>
            </w:r>
          </w:p>
        </w:tc>
        <w:tc>
          <w:tcPr>
            <w:tcW w:w="356" w:type="dxa"/>
            <w:gridSpan w:val="2"/>
            <w:tcBorders>
              <w:top w:val="single" w:sz="6" w:space="0" w:color="auto"/>
              <w:left w:val="single" w:sz="6" w:space="0" w:color="auto"/>
              <w:bottom w:val="single" w:sz="6" w:space="0" w:color="auto"/>
              <w:right w:val="single" w:sz="6" w:space="0" w:color="auto"/>
            </w:tcBorders>
          </w:tcPr>
          <w:p w14:paraId="1E44095C" w14:textId="28AEC1D4"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327C71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0CBD4E"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BC722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935315"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BE731E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73677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55A27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458AD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7EC200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94FE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06F8F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89F96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314D1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E24E2A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D4311CB" w14:textId="77777777" w:rsidR="00822AF4" w:rsidRPr="00C145F4" w:rsidRDefault="00822AF4" w:rsidP="007A14AA">
            <w:pPr>
              <w:rPr>
                <w:sz w:val="22"/>
                <w:szCs w:val="22"/>
              </w:rPr>
            </w:pPr>
            <w:r w:rsidRPr="00C145F4">
              <w:rPr>
                <w:sz w:val="22"/>
                <w:szCs w:val="22"/>
              </w:rPr>
              <w:t xml:space="preserve">Daniel </w:t>
            </w:r>
            <w:proofErr w:type="spellStart"/>
            <w:r w:rsidRPr="00C145F4">
              <w:rPr>
                <w:sz w:val="22"/>
                <w:szCs w:val="22"/>
              </w:rPr>
              <w:t>Riazat</w:t>
            </w:r>
            <w:proofErr w:type="spellEnd"/>
            <w:r w:rsidRPr="00C145F4">
              <w:rPr>
                <w:sz w:val="22"/>
                <w:szCs w:val="22"/>
              </w:rPr>
              <w:t xml:space="preserve"> (V)</w:t>
            </w:r>
          </w:p>
        </w:tc>
        <w:tc>
          <w:tcPr>
            <w:tcW w:w="356" w:type="dxa"/>
            <w:gridSpan w:val="2"/>
            <w:tcBorders>
              <w:top w:val="single" w:sz="6" w:space="0" w:color="auto"/>
              <w:left w:val="single" w:sz="6" w:space="0" w:color="auto"/>
              <w:bottom w:val="single" w:sz="6" w:space="0" w:color="auto"/>
              <w:right w:val="single" w:sz="6" w:space="0" w:color="auto"/>
            </w:tcBorders>
          </w:tcPr>
          <w:p w14:paraId="010E70B7"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2206D96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CEEB61"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C28DEF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FE6932"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791677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E90AF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57962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2834F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08445D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7905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CA690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2BD4B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8B1EA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A81CD8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817507E" w14:textId="77777777" w:rsidR="00822AF4" w:rsidRPr="00C145F4" w:rsidRDefault="005A5EDE" w:rsidP="007A14AA">
            <w:pPr>
              <w:rPr>
                <w:sz w:val="22"/>
                <w:szCs w:val="22"/>
              </w:rPr>
            </w:pPr>
            <w:r>
              <w:rPr>
                <w:sz w:val="22"/>
                <w:szCs w:val="22"/>
              </w:rPr>
              <w:t>Mathias Bengtsson</w:t>
            </w:r>
            <w:r w:rsidR="00822AF4" w:rsidRPr="00C145F4">
              <w:rPr>
                <w:sz w:val="22"/>
                <w:szCs w:val="22"/>
              </w:rPr>
              <w:t xml:space="preserve"> (KD)</w:t>
            </w:r>
          </w:p>
        </w:tc>
        <w:tc>
          <w:tcPr>
            <w:tcW w:w="356" w:type="dxa"/>
            <w:gridSpan w:val="2"/>
            <w:tcBorders>
              <w:top w:val="single" w:sz="6" w:space="0" w:color="auto"/>
              <w:left w:val="single" w:sz="6" w:space="0" w:color="auto"/>
              <w:bottom w:val="single" w:sz="6" w:space="0" w:color="auto"/>
              <w:right w:val="single" w:sz="6" w:space="0" w:color="auto"/>
            </w:tcBorders>
          </w:tcPr>
          <w:p w14:paraId="6177E47D"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4F856CC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AA7D8"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9F5E0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C50361"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91F864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6FAE0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7356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CA22D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8A6C69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1CF20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7D133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55F7D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115E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FB09464"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0B69DFE" w14:textId="1BAA7EF9" w:rsidR="00822AF4" w:rsidRPr="00C145F4" w:rsidRDefault="00A0525A" w:rsidP="007A14AA">
            <w:pPr>
              <w:rPr>
                <w:sz w:val="22"/>
                <w:szCs w:val="22"/>
              </w:rPr>
            </w:pPr>
            <w:r>
              <w:rPr>
                <w:sz w:val="22"/>
                <w:szCs w:val="22"/>
              </w:rPr>
              <w:t>Anders Ådahl</w:t>
            </w:r>
            <w:r w:rsidR="00822AF4" w:rsidRPr="00C145F4">
              <w:rPr>
                <w:sz w:val="22"/>
                <w:szCs w:val="22"/>
              </w:rPr>
              <w:t xml:space="preserve"> (C)</w:t>
            </w:r>
          </w:p>
        </w:tc>
        <w:tc>
          <w:tcPr>
            <w:tcW w:w="356" w:type="dxa"/>
            <w:gridSpan w:val="2"/>
            <w:tcBorders>
              <w:top w:val="single" w:sz="6" w:space="0" w:color="auto"/>
              <w:left w:val="single" w:sz="6" w:space="0" w:color="auto"/>
              <w:bottom w:val="single" w:sz="6" w:space="0" w:color="auto"/>
              <w:right w:val="single" w:sz="6" w:space="0" w:color="auto"/>
            </w:tcBorders>
          </w:tcPr>
          <w:p w14:paraId="68D7ECF7"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3EAABBD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F3EC9C"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6C8F28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0D781E"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DC5E4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DCC9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27AE2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51661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6C72CB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0C56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5C98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62685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4A126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6CB384E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439A926" w14:textId="77777777" w:rsidR="00822AF4" w:rsidRPr="00C145F4" w:rsidRDefault="00822AF4" w:rsidP="007A14AA">
            <w:pPr>
              <w:rPr>
                <w:sz w:val="22"/>
                <w:szCs w:val="22"/>
              </w:rPr>
            </w:pPr>
            <w:r w:rsidRPr="00C145F4">
              <w:rPr>
                <w:sz w:val="22"/>
                <w:szCs w:val="22"/>
              </w:rPr>
              <w:t>Anders Alftberg (SD)</w:t>
            </w:r>
          </w:p>
        </w:tc>
        <w:tc>
          <w:tcPr>
            <w:tcW w:w="356" w:type="dxa"/>
            <w:gridSpan w:val="2"/>
            <w:tcBorders>
              <w:top w:val="single" w:sz="6" w:space="0" w:color="auto"/>
              <w:left w:val="single" w:sz="6" w:space="0" w:color="auto"/>
              <w:bottom w:val="single" w:sz="6" w:space="0" w:color="auto"/>
              <w:right w:val="single" w:sz="6" w:space="0" w:color="auto"/>
            </w:tcBorders>
          </w:tcPr>
          <w:p w14:paraId="631B1B6D"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21F811E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D43EBC"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1D778E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9E2883"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484D41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C8B65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09095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B83C9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CF9AC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53BC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855C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3580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7D6C6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1082114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DFF6113" w14:textId="77777777" w:rsidR="00822AF4" w:rsidRPr="00C145F4" w:rsidRDefault="00822AF4" w:rsidP="007A14AA">
            <w:pPr>
              <w:rPr>
                <w:sz w:val="22"/>
                <w:szCs w:val="22"/>
              </w:rPr>
            </w:pPr>
            <w:r w:rsidRPr="00C145F4">
              <w:rPr>
                <w:sz w:val="22"/>
                <w:szCs w:val="22"/>
              </w:rPr>
              <w:t>Camilla Hansén (MP)</w:t>
            </w:r>
          </w:p>
        </w:tc>
        <w:tc>
          <w:tcPr>
            <w:tcW w:w="356" w:type="dxa"/>
            <w:gridSpan w:val="2"/>
            <w:tcBorders>
              <w:top w:val="single" w:sz="6" w:space="0" w:color="auto"/>
              <w:left w:val="single" w:sz="6" w:space="0" w:color="auto"/>
              <w:bottom w:val="single" w:sz="6" w:space="0" w:color="auto"/>
              <w:right w:val="single" w:sz="6" w:space="0" w:color="auto"/>
            </w:tcBorders>
          </w:tcPr>
          <w:p w14:paraId="093BDBD0" w14:textId="77777777" w:rsidR="00822AF4" w:rsidRDefault="00F44908" w:rsidP="007A14AA">
            <w:r>
              <w:t>X</w:t>
            </w:r>
          </w:p>
        </w:tc>
        <w:tc>
          <w:tcPr>
            <w:tcW w:w="356" w:type="dxa"/>
            <w:tcBorders>
              <w:top w:val="single" w:sz="6" w:space="0" w:color="auto"/>
              <w:left w:val="single" w:sz="6" w:space="0" w:color="auto"/>
              <w:bottom w:val="single" w:sz="6" w:space="0" w:color="auto"/>
              <w:right w:val="single" w:sz="6" w:space="0" w:color="auto"/>
            </w:tcBorders>
          </w:tcPr>
          <w:p w14:paraId="586C801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7B0823"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BF404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58B2AA"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4CAEAD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A1089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336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D864E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4A3955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A5C1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EB759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0A532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25F0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11688DE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8DD71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p>
          <w:p w14:paraId="126ABC4C" w14:textId="77777777" w:rsidR="00822AF4" w:rsidRPr="003D41A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gridSpan w:val="2"/>
            <w:tcBorders>
              <w:top w:val="single" w:sz="6" w:space="0" w:color="auto"/>
              <w:left w:val="single" w:sz="6" w:space="0" w:color="auto"/>
              <w:bottom w:val="single" w:sz="6" w:space="0" w:color="auto"/>
              <w:right w:val="single" w:sz="6" w:space="0" w:color="auto"/>
            </w:tcBorders>
          </w:tcPr>
          <w:p w14:paraId="23C66A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F9477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37C7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004FB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FEDD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7C80D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67252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08FE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16148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11DA8F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E7576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11F90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8BEB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E676C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941FA1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318EBA6" w14:textId="5522C318" w:rsidR="00822AF4" w:rsidRPr="00C145F4" w:rsidRDefault="003D22AA" w:rsidP="007A14AA">
            <w:pPr>
              <w:rPr>
                <w:sz w:val="22"/>
                <w:szCs w:val="22"/>
              </w:rPr>
            </w:pPr>
            <w:r>
              <w:rPr>
                <w:sz w:val="22"/>
                <w:szCs w:val="22"/>
              </w:rPr>
              <w:t>Sara Gille</w:t>
            </w:r>
            <w:r w:rsidR="00822AF4" w:rsidRPr="00C145F4">
              <w:rPr>
                <w:sz w:val="22"/>
                <w:szCs w:val="22"/>
              </w:rPr>
              <w:t xml:space="preserve"> (SD)</w:t>
            </w:r>
          </w:p>
        </w:tc>
        <w:tc>
          <w:tcPr>
            <w:tcW w:w="356" w:type="dxa"/>
            <w:gridSpan w:val="2"/>
            <w:tcBorders>
              <w:top w:val="single" w:sz="6" w:space="0" w:color="auto"/>
              <w:left w:val="single" w:sz="6" w:space="0" w:color="auto"/>
              <w:bottom w:val="single" w:sz="6" w:space="0" w:color="auto"/>
              <w:right w:val="single" w:sz="6" w:space="0" w:color="auto"/>
            </w:tcBorders>
          </w:tcPr>
          <w:p w14:paraId="1E152E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A5AD4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47EC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AFEB1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DB7D1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59E49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A378E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612B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CFA11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E6337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4AD0D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3A8C1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1C385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A95C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rsidRPr="009E1FCA" w14:paraId="33518D2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3253B86" w14:textId="77777777" w:rsidR="00822AF4" w:rsidRPr="00C145F4" w:rsidRDefault="00822AF4" w:rsidP="007A14AA">
            <w:pPr>
              <w:rPr>
                <w:sz w:val="22"/>
                <w:szCs w:val="22"/>
              </w:rPr>
            </w:pPr>
            <w:r w:rsidRPr="00C145F4">
              <w:rPr>
                <w:sz w:val="22"/>
                <w:szCs w:val="22"/>
              </w:rPr>
              <w:t>Rose-Marie Carlsson (S)</w:t>
            </w:r>
          </w:p>
        </w:tc>
        <w:tc>
          <w:tcPr>
            <w:tcW w:w="356" w:type="dxa"/>
            <w:gridSpan w:val="2"/>
            <w:tcBorders>
              <w:top w:val="single" w:sz="6" w:space="0" w:color="auto"/>
              <w:left w:val="single" w:sz="6" w:space="0" w:color="auto"/>
              <w:bottom w:val="single" w:sz="6" w:space="0" w:color="auto"/>
              <w:right w:val="single" w:sz="6" w:space="0" w:color="auto"/>
            </w:tcBorders>
          </w:tcPr>
          <w:p w14:paraId="3669495D" w14:textId="52C7BD2A" w:rsidR="00822AF4" w:rsidRPr="009E1FCA" w:rsidRDefault="00865F9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0304BC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7D7E6B6"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0BAB0A9"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517EB6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1AECE7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A33BBB2"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DB456E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A77DC4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34B48EB"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A393C21"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0C4B93F"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037803"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E1FC19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F44908" w:rsidRPr="009E1FCA" w14:paraId="3ED5412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AA1C559" w14:textId="77777777" w:rsidR="00F44908" w:rsidRPr="00C145F4" w:rsidRDefault="0042750F" w:rsidP="007A14AA">
            <w:pPr>
              <w:rPr>
                <w:sz w:val="22"/>
                <w:szCs w:val="22"/>
              </w:rPr>
            </w:pPr>
            <w:r>
              <w:rPr>
                <w:sz w:val="22"/>
                <w:szCs w:val="22"/>
              </w:rPr>
              <w:t xml:space="preserve">Oliver Rosengren </w:t>
            </w:r>
            <w:r w:rsidR="00F44908">
              <w:rPr>
                <w:sz w:val="22"/>
                <w:szCs w:val="22"/>
              </w:rPr>
              <w:t>(M)</w:t>
            </w:r>
          </w:p>
        </w:tc>
        <w:tc>
          <w:tcPr>
            <w:tcW w:w="356" w:type="dxa"/>
            <w:gridSpan w:val="2"/>
            <w:tcBorders>
              <w:top w:val="single" w:sz="6" w:space="0" w:color="auto"/>
              <w:left w:val="single" w:sz="6" w:space="0" w:color="auto"/>
              <w:bottom w:val="single" w:sz="6" w:space="0" w:color="auto"/>
              <w:right w:val="single" w:sz="6" w:space="0" w:color="auto"/>
            </w:tcBorders>
          </w:tcPr>
          <w:p w14:paraId="0B1CC48C" w14:textId="097F2648" w:rsidR="00F44908"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9ACE0D6"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83A5181"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0557A95"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A4C9339"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6B8DD87"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D176C7F"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6A9FFB4"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2C385BD"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1EE8C7C"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7904F62"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423062"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446C18C"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7BD634"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rsidRPr="009E1FCA" w14:paraId="5967096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1631AB8C" w14:textId="77777777" w:rsidR="00822AF4" w:rsidRPr="00C145F4" w:rsidRDefault="00822AF4" w:rsidP="007A14AA">
            <w:pPr>
              <w:rPr>
                <w:sz w:val="22"/>
                <w:szCs w:val="22"/>
              </w:rPr>
            </w:pPr>
            <w:r w:rsidRPr="00C145F4">
              <w:rPr>
                <w:sz w:val="22"/>
                <w:szCs w:val="22"/>
              </w:rPr>
              <w:t>Niklas Sigvardsson (S)</w:t>
            </w:r>
          </w:p>
        </w:tc>
        <w:tc>
          <w:tcPr>
            <w:tcW w:w="356" w:type="dxa"/>
            <w:gridSpan w:val="2"/>
            <w:tcBorders>
              <w:top w:val="single" w:sz="6" w:space="0" w:color="auto"/>
              <w:left w:val="single" w:sz="6" w:space="0" w:color="auto"/>
              <w:bottom w:val="single" w:sz="6" w:space="0" w:color="auto"/>
              <w:right w:val="single" w:sz="6" w:space="0" w:color="auto"/>
            </w:tcBorders>
          </w:tcPr>
          <w:p w14:paraId="0A8ED1AF" w14:textId="534EB782" w:rsidR="00822AF4" w:rsidRPr="009E1FCA" w:rsidRDefault="00865F9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240EE66A"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AAA410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08E9A0B"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B8575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FFA5E32"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2FC7E9A"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B91BD0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10C87C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8C1FB3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4D04F7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6856F2F"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8072795"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58639E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rsidRPr="00402D5D" w14:paraId="3336F48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0E1D6F7" w14:textId="1F13BCAD" w:rsidR="00822AF4" w:rsidRPr="003D22AA" w:rsidRDefault="003E324A" w:rsidP="007A14AA">
            <w:pPr>
              <w:rPr>
                <w:sz w:val="22"/>
                <w:szCs w:val="22"/>
              </w:rPr>
            </w:pPr>
            <w:r>
              <w:rPr>
                <w:sz w:val="22"/>
                <w:szCs w:val="22"/>
              </w:rPr>
              <w:t xml:space="preserve">Sara-Lena </w:t>
            </w:r>
            <w:proofErr w:type="spellStart"/>
            <w:r>
              <w:rPr>
                <w:sz w:val="22"/>
                <w:szCs w:val="22"/>
              </w:rPr>
              <w:t>Bjälkö</w:t>
            </w:r>
            <w:proofErr w:type="spellEnd"/>
            <w:r>
              <w:rPr>
                <w:sz w:val="22"/>
                <w:szCs w:val="22"/>
              </w:rPr>
              <w:t xml:space="preserve"> (SD)</w:t>
            </w:r>
          </w:p>
        </w:tc>
        <w:tc>
          <w:tcPr>
            <w:tcW w:w="356" w:type="dxa"/>
            <w:gridSpan w:val="2"/>
            <w:tcBorders>
              <w:top w:val="single" w:sz="6" w:space="0" w:color="auto"/>
              <w:left w:val="single" w:sz="6" w:space="0" w:color="auto"/>
              <w:bottom w:val="single" w:sz="6" w:space="0" w:color="auto"/>
              <w:right w:val="single" w:sz="6" w:space="0" w:color="auto"/>
            </w:tcBorders>
          </w:tcPr>
          <w:p w14:paraId="5300B44C"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D119708"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DBFC6E"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06FB85D"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00AEA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A39724B"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8E28C7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633E702"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0320487"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9E48FD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06F6BBF"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D855827"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F939ADF"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CA93A85"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rsidRPr="00402D5D" w14:paraId="56D477C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E4FD4C1" w14:textId="77777777" w:rsidR="00822AF4" w:rsidRPr="00C145F4" w:rsidRDefault="00822AF4" w:rsidP="007A14AA">
            <w:pPr>
              <w:rPr>
                <w:sz w:val="22"/>
                <w:szCs w:val="22"/>
              </w:rPr>
            </w:pPr>
            <w:proofErr w:type="spellStart"/>
            <w:r w:rsidRPr="00C145F4">
              <w:rPr>
                <w:sz w:val="22"/>
                <w:szCs w:val="22"/>
              </w:rPr>
              <w:t>Azadeh</w:t>
            </w:r>
            <w:proofErr w:type="spellEnd"/>
            <w:r w:rsidRPr="00C145F4">
              <w:rPr>
                <w:sz w:val="22"/>
                <w:szCs w:val="22"/>
              </w:rPr>
              <w:t xml:space="preserve"> </w:t>
            </w:r>
            <w:proofErr w:type="spellStart"/>
            <w:r w:rsidRPr="00C145F4">
              <w:rPr>
                <w:sz w:val="22"/>
                <w:szCs w:val="22"/>
              </w:rPr>
              <w:t>Rojhan</w:t>
            </w:r>
            <w:proofErr w:type="spellEnd"/>
            <w:r w:rsidRPr="00C145F4">
              <w:rPr>
                <w:sz w:val="22"/>
                <w:szCs w:val="22"/>
              </w:rPr>
              <w:t xml:space="preserve"> (S)</w:t>
            </w:r>
          </w:p>
        </w:tc>
        <w:tc>
          <w:tcPr>
            <w:tcW w:w="356" w:type="dxa"/>
            <w:gridSpan w:val="2"/>
            <w:tcBorders>
              <w:top w:val="single" w:sz="6" w:space="0" w:color="auto"/>
              <w:left w:val="single" w:sz="6" w:space="0" w:color="auto"/>
              <w:bottom w:val="single" w:sz="6" w:space="0" w:color="auto"/>
              <w:right w:val="single" w:sz="6" w:space="0" w:color="auto"/>
            </w:tcBorders>
          </w:tcPr>
          <w:p w14:paraId="37A1D7A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6DB6FA5"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B56F372"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1C6227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9254F6D"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764EFC7"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64F5D6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DBF8739"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7B355C6"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5EE4C06"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1E73369"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DAC0395"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B124D10"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82321CC"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22FB7" w:rsidRPr="00402D5D" w14:paraId="26DC8EC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7667858" w14:textId="029C6DD0" w:rsidR="00B22FB7" w:rsidRPr="00C145F4" w:rsidRDefault="00B22FB7" w:rsidP="007A14AA">
            <w:pPr>
              <w:rPr>
                <w:sz w:val="22"/>
                <w:szCs w:val="22"/>
              </w:rPr>
            </w:pPr>
            <w:r>
              <w:rPr>
                <w:sz w:val="22"/>
                <w:szCs w:val="22"/>
              </w:rPr>
              <w:t xml:space="preserve">Johanna </w:t>
            </w:r>
            <w:proofErr w:type="spellStart"/>
            <w:r>
              <w:rPr>
                <w:sz w:val="22"/>
                <w:szCs w:val="22"/>
              </w:rPr>
              <w:t>Rantsi</w:t>
            </w:r>
            <w:proofErr w:type="spellEnd"/>
            <w:r>
              <w:rPr>
                <w:sz w:val="22"/>
                <w:szCs w:val="22"/>
              </w:rPr>
              <w:t xml:space="preserve"> (M)</w:t>
            </w:r>
          </w:p>
        </w:tc>
        <w:tc>
          <w:tcPr>
            <w:tcW w:w="356" w:type="dxa"/>
            <w:gridSpan w:val="2"/>
            <w:tcBorders>
              <w:top w:val="single" w:sz="6" w:space="0" w:color="auto"/>
              <w:left w:val="single" w:sz="6" w:space="0" w:color="auto"/>
              <w:bottom w:val="single" w:sz="6" w:space="0" w:color="auto"/>
              <w:right w:val="single" w:sz="6" w:space="0" w:color="auto"/>
            </w:tcBorders>
          </w:tcPr>
          <w:p w14:paraId="1123BC8F"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30585B4"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5E7165F"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D51F508"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C32086D"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67A133D"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440FC99"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C2779EE"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17DA583"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C43446B"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BA48EB1"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30303A0"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5AEFD79"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53ED776"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14:paraId="782D22D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0042A58" w14:textId="77777777" w:rsidR="00822AF4" w:rsidRPr="00C145F4" w:rsidRDefault="00822AF4" w:rsidP="007A14AA">
            <w:pPr>
              <w:rPr>
                <w:sz w:val="22"/>
                <w:szCs w:val="22"/>
              </w:rPr>
            </w:pPr>
            <w:r w:rsidRPr="00C145F4">
              <w:rPr>
                <w:sz w:val="22"/>
                <w:szCs w:val="22"/>
              </w:rPr>
              <w:t>Kalle Olsson (S)</w:t>
            </w:r>
          </w:p>
        </w:tc>
        <w:tc>
          <w:tcPr>
            <w:tcW w:w="356" w:type="dxa"/>
            <w:gridSpan w:val="2"/>
            <w:tcBorders>
              <w:top w:val="single" w:sz="6" w:space="0" w:color="auto"/>
              <w:left w:val="single" w:sz="6" w:space="0" w:color="auto"/>
              <w:bottom w:val="single" w:sz="6" w:space="0" w:color="auto"/>
              <w:right w:val="single" w:sz="6" w:space="0" w:color="auto"/>
            </w:tcBorders>
          </w:tcPr>
          <w:p w14:paraId="2AD9410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A028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3E55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5551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25368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8CEE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15434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C429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66F12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3DFF1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700FB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17AAC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FFA98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18597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48A26DB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69F630E" w14:textId="302AFA94" w:rsidR="00822AF4" w:rsidRPr="00C145F4" w:rsidRDefault="003E324A" w:rsidP="007A14AA">
            <w:pPr>
              <w:rPr>
                <w:sz w:val="22"/>
                <w:szCs w:val="22"/>
              </w:rPr>
            </w:pPr>
            <w:r w:rsidRPr="003E324A">
              <w:rPr>
                <w:sz w:val="22"/>
                <w:szCs w:val="22"/>
              </w:rPr>
              <w:t xml:space="preserve">Michael </w:t>
            </w:r>
            <w:proofErr w:type="spellStart"/>
            <w:r w:rsidRPr="003E324A">
              <w:rPr>
                <w:sz w:val="22"/>
                <w:szCs w:val="22"/>
              </w:rPr>
              <w:t>Rubbestad</w:t>
            </w:r>
            <w:proofErr w:type="spellEnd"/>
            <w:r w:rsidRPr="003E324A">
              <w:rPr>
                <w:sz w:val="22"/>
                <w:szCs w:val="22"/>
              </w:rPr>
              <w:t xml:space="preserve"> (SD)</w:t>
            </w:r>
          </w:p>
        </w:tc>
        <w:tc>
          <w:tcPr>
            <w:tcW w:w="356" w:type="dxa"/>
            <w:gridSpan w:val="2"/>
            <w:tcBorders>
              <w:top w:val="single" w:sz="6" w:space="0" w:color="auto"/>
              <w:left w:val="single" w:sz="6" w:space="0" w:color="auto"/>
              <w:bottom w:val="single" w:sz="6" w:space="0" w:color="auto"/>
              <w:right w:val="single" w:sz="6" w:space="0" w:color="auto"/>
            </w:tcBorders>
          </w:tcPr>
          <w:p w14:paraId="5BA80A2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9A033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7AEDD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02164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1EB50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14CA8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AB75B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CFB5F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83848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9807F7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A7EB3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F6E8F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54BCC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DADEC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812BCA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1A58AA87" w14:textId="77777777" w:rsidR="00822AF4" w:rsidRPr="00C145F4" w:rsidRDefault="00822AF4" w:rsidP="007A14AA">
            <w:pPr>
              <w:rPr>
                <w:sz w:val="22"/>
                <w:szCs w:val="22"/>
              </w:rPr>
            </w:pPr>
            <w:r w:rsidRPr="00C145F4">
              <w:rPr>
                <w:sz w:val="22"/>
                <w:szCs w:val="22"/>
              </w:rPr>
              <w:t xml:space="preserve">Anna </w:t>
            </w:r>
            <w:proofErr w:type="spellStart"/>
            <w:r w:rsidRPr="00C145F4">
              <w:rPr>
                <w:sz w:val="22"/>
                <w:szCs w:val="22"/>
              </w:rPr>
              <w:t>Wallentheim</w:t>
            </w:r>
            <w:proofErr w:type="spellEnd"/>
            <w:r w:rsidRPr="00C145F4">
              <w:rPr>
                <w:sz w:val="22"/>
                <w:szCs w:val="22"/>
              </w:rPr>
              <w:t xml:space="preserve"> (S)</w:t>
            </w:r>
          </w:p>
        </w:tc>
        <w:tc>
          <w:tcPr>
            <w:tcW w:w="356" w:type="dxa"/>
            <w:gridSpan w:val="2"/>
            <w:tcBorders>
              <w:top w:val="single" w:sz="6" w:space="0" w:color="auto"/>
              <w:left w:val="single" w:sz="6" w:space="0" w:color="auto"/>
              <w:bottom w:val="single" w:sz="6" w:space="0" w:color="auto"/>
              <w:right w:val="single" w:sz="6" w:space="0" w:color="auto"/>
            </w:tcBorders>
          </w:tcPr>
          <w:p w14:paraId="5692BFB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D235B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644E1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152F5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C6B62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481A4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25745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ECA67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BBD9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F9150D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D80A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18812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1FCA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A86AB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B0310A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1DB57B6" w14:textId="32D6419F" w:rsidR="00822AF4" w:rsidRPr="00C145F4" w:rsidRDefault="00B22FB7" w:rsidP="007A14AA">
            <w:pPr>
              <w:rPr>
                <w:sz w:val="22"/>
                <w:szCs w:val="22"/>
              </w:rPr>
            </w:pPr>
            <w:r>
              <w:rPr>
                <w:sz w:val="22"/>
                <w:szCs w:val="22"/>
              </w:rPr>
              <w:t>Katarina Tolgfors</w:t>
            </w:r>
            <w:r w:rsidR="00822AF4" w:rsidRPr="00C145F4">
              <w:rPr>
                <w:sz w:val="22"/>
                <w:szCs w:val="22"/>
              </w:rPr>
              <w:t xml:space="preserve"> (M)</w:t>
            </w:r>
          </w:p>
        </w:tc>
        <w:tc>
          <w:tcPr>
            <w:tcW w:w="356" w:type="dxa"/>
            <w:gridSpan w:val="2"/>
            <w:tcBorders>
              <w:top w:val="single" w:sz="6" w:space="0" w:color="auto"/>
              <w:left w:val="single" w:sz="6" w:space="0" w:color="auto"/>
              <w:bottom w:val="single" w:sz="6" w:space="0" w:color="auto"/>
              <w:right w:val="single" w:sz="6" w:space="0" w:color="auto"/>
            </w:tcBorders>
          </w:tcPr>
          <w:p w14:paraId="66C0B82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66BF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CBEA4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E7B2E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C6631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34A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D5948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B0003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0543E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09D8E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D382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40FA0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C3CC1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78312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4900777"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FA345FC" w14:textId="2B855430" w:rsidR="00822AF4" w:rsidRPr="00C145F4" w:rsidRDefault="00210E6C" w:rsidP="007A14AA">
            <w:pPr>
              <w:rPr>
                <w:sz w:val="22"/>
                <w:szCs w:val="22"/>
              </w:rPr>
            </w:pPr>
            <w:r w:rsidRPr="00210E6C">
              <w:rPr>
                <w:sz w:val="22"/>
                <w:szCs w:val="22"/>
              </w:rPr>
              <w:t xml:space="preserve">Nadja Awad </w:t>
            </w:r>
            <w:r w:rsidR="00822AF4" w:rsidRPr="00C145F4">
              <w:rPr>
                <w:sz w:val="22"/>
                <w:szCs w:val="22"/>
              </w:rPr>
              <w:t>(V)</w:t>
            </w:r>
          </w:p>
        </w:tc>
        <w:tc>
          <w:tcPr>
            <w:tcW w:w="356" w:type="dxa"/>
            <w:gridSpan w:val="2"/>
            <w:tcBorders>
              <w:top w:val="single" w:sz="6" w:space="0" w:color="auto"/>
              <w:left w:val="single" w:sz="6" w:space="0" w:color="auto"/>
              <w:bottom w:val="single" w:sz="6" w:space="0" w:color="auto"/>
              <w:right w:val="single" w:sz="6" w:space="0" w:color="auto"/>
            </w:tcBorders>
          </w:tcPr>
          <w:p w14:paraId="35C0DAE5" w14:textId="0F3CA4DB"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9A50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1E228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F7DD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2C8BE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00307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4F9E9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83050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63D9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49C9B3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FB1C9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83B81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3B681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15D4C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6159D31" w14:textId="77777777" w:rsidTr="007A14AA">
        <w:trPr>
          <w:trHeight w:val="50"/>
        </w:trPr>
        <w:tc>
          <w:tcPr>
            <w:tcW w:w="3659" w:type="dxa"/>
            <w:gridSpan w:val="2"/>
            <w:tcBorders>
              <w:top w:val="single" w:sz="6" w:space="0" w:color="auto"/>
              <w:left w:val="single" w:sz="6" w:space="0" w:color="auto"/>
              <w:bottom w:val="single" w:sz="6" w:space="0" w:color="auto"/>
              <w:right w:val="single" w:sz="6" w:space="0" w:color="auto"/>
            </w:tcBorders>
          </w:tcPr>
          <w:p w14:paraId="547B5D23" w14:textId="77777777" w:rsidR="00822AF4" w:rsidRPr="00C145F4" w:rsidRDefault="005A5EDE" w:rsidP="007A14AA">
            <w:pPr>
              <w:rPr>
                <w:sz w:val="22"/>
                <w:szCs w:val="22"/>
              </w:rPr>
            </w:pPr>
            <w:r>
              <w:rPr>
                <w:sz w:val="22"/>
                <w:szCs w:val="22"/>
              </w:rPr>
              <w:t xml:space="preserve">Dan </w:t>
            </w:r>
            <w:proofErr w:type="spellStart"/>
            <w:r>
              <w:rPr>
                <w:sz w:val="22"/>
                <w:szCs w:val="22"/>
              </w:rPr>
              <w:t>Hovskär</w:t>
            </w:r>
            <w:proofErr w:type="spellEnd"/>
            <w:r w:rsidRPr="00C145F4">
              <w:rPr>
                <w:sz w:val="22"/>
                <w:szCs w:val="22"/>
              </w:rPr>
              <w:t xml:space="preserve"> (KD)</w:t>
            </w:r>
          </w:p>
        </w:tc>
        <w:tc>
          <w:tcPr>
            <w:tcW w:w="356" w:type="dxa"/>
            <w:gridSpan w:val="2"/>
            <w:tcBorders>
              <w:top w:val="single" w:sz="6" w:space="0" w:color="auto"/>
              <w:left w:val="single" w:sz="6" w:space="0" w:color="auto"/>
              <w:bottom w:val="single" w:sz="6" w:space="0" w:color="auto"/>
              <w:right w:val="single" w:sz="6" w:space="0" w:color="auto"/>
            </w:tcBorders>
          </w:tcPr>
          <w:p w14:paraId="1BB0D9C4" w14:textId="63FCF0EB"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9EE3B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9276B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E1FE4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E5174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B9DF3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B45F3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B4FFC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C5E7B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85615B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8BF1F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CE341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B172B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8B4C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CC5AC74"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63C3060" w14:textId="0342925A" w:rsidR="00822AF4" w:rsidRPr="00C145F4" w:rsidRDefault="00A0525A" w:rsidP="007A14AA">
            <w:pPr>
              <w:rPr>
                <w:sz w:val="22"/>
                <w:szCs w:val="22"/>
              </w:rPr>
            </w:pPr>
            <w:r>
              <w:rPr>
                <w:sz w:val="22"/>
                <w:szCs w:val="22"/>
              </w:rPr>
              <w:t>Vakant</w:t>
            </w:r>
            <w:r w:rsidR="00822AF4" w:rsidRPr="00C145F4">
              <w:rPr>
                <w:sz w:val="22"/>
                <w:szCs w:val="22"/>
              </w:rPr>
              <w:t xml:space="preserve"> (C)</w:t>
            </w:r>
          </w:p>
        </w:tc>
        <w:tc>
          <w:tcPr>
            <w:tcW w:w="356" w:type="dxa"/>
            <w:gridSpan w:val="2"/>
            <w:tcBorders>
              <w:top w:val="single" w:sz="6" w:space="0" w:color="auto"/>
              <w:left w:val="single" w:sz="6" w:space="0" w:color="auto"/>
              <w:bottom w:val="single" w:sz="6" w:space="0" w:color="auto"/>
              <w:right w:val="single" w:sz="6" w:space="0" w:color="auto"/>
            </w:tcBorders>
          </w:tcPr>
          <w:p w14:paraId="6E18A8F7" w14:textId="2BF5312E"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17009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7F95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84E9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ECE0A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732D1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960E6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B30B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C3E9C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9EC220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E153E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5CD9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0E04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DE649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130553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675AF71" w14:textId="77777777" w:rsidR="00822AF4" w:rsidRPr="00C145F4" w:rsidRDefault="00822AF4" w:rsidP="007A14AA">
            <w:pPr>
              <w:rPr>
                <w:sz w:val="22"/>
                <w:szCs w:val="22"/>
              </w:rPr>
            </w:pPr>
            <w:r w:rsidRPr="00C145F4">
              <w:rPr>
                <w:sz w:val="22"/>
                <w:szCs w:val="22"/>
              </w:rPr>
              <w:t>Robert Hannah (L)</w:t>
            </w:r>
          </w:p>
        </w:tc>
        <w:tc>
          <w:tcPr>
            <w:tcW w:w="356" w:type="dxa"/>
            <w:gridSpan w:val="2"/>
            <w:tcBorders>
              <w:top w:val="single" w:sz="6" w:space="0" w:color="auto"/>
              <w:left w:val="single" w:sz="6" w:space="0" w:color="auto"/>
              <w:bottom w:val="single" w:sz="6" w:space="0" w:color="auto"/>
              <w:right w:val="single" w:sz="6" w:space="0" w:color="auto"/>
            </w:tcBorders>
          </w:tcPr>
          <w:p w14:paraId="6BD8389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0028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1B347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B8776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CA3AE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43AE5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8490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9A2F3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12E45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0CECBC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6B5F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29D7C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46C7C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6AEDC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6CD5CF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640FC3C" w14:textId="77777777" w:rsidR="00822AF4" w:rsidRPr="00C145F4" w:rsidRDefault="00822AF4" w:rsidP="007A14AA">
            <w:pPr>
              <w:rPr>
                <w:sz w:val="22"/>
                <w:szCs w:val="22"/>
              </w:rPr>
            </w:pPr>
            <w:r w:rsidRPr="00C145F4">
              <w:rPr>
                <w:sz w:val="22"/>
                <w:szCs w:val="22"/>
              </w:rPr>
              <w:t>Jan Riise (MP)</w:t>
            </w:r>
          </w:p>
        </w:tc>
        <w:tc>
          <w:tcPr>
            <w:tcW w:w="356" w:type="dxa"/>
            <w:gridSpan w:val="2"/>
            <w:tcBorders>
              <w:top w:val="single" w:sz="6" w:space="0" w:color="auto"/>
              <w:left w:val="single" w:sz="6" w:space="0" w:color="auto"/>
              <w:bottom w:val="single" w:sz="6" w:space="0" w:color="auto"/>
              <w:right w:val="single" w:sz="6" w:space="0" w:color="auto"/>
            </w:tcBorders>
          </w:tcPr>
          <w:p w14:paraId="661975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CD965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0D0C2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98F7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5561A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9115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04A90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D64F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B03F8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181676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69643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3569F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3005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61EC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58FEE4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F74F681" w14:textId="77777777" w:rsidR="00822AF4" w:rsidRPr="00C145F4" w:rsidRDefault="00822AF4" w:rsidP="007A14AA">
            <w:pPr>
              <w:rPr>
                <w:sz w:val="22"/>
                <w:szCs w:val="22"/>
              </w:rPr>
            </w:pPr>
            <w:r w:rsidRPr="00C145F4">
              <w:rPr>
                <w:sz w:val="22"/>
                <w:szCs w:val="22"/>
              </w:rPr>
              <w:t>Peter Ollén (M)</w:t>
            </w:r>
          </w:p>
        </w:tc>
        <w:tc>
          <w:tcPr>
            <w:tcW w:w="356" w:type="dxa"/>
            <w:gridSpan w:val="2"/>
            <w:tcBorders>
              <w:top w:val="single" w:sz="6" w:space="0" w:color="auto"/>
              <w:left w:val="single" w:sz="6" w:space="0" w:color="auto"/>
              <w:bottom w:val="single" w:sz="6" w:space="0" w:color="auto"/>
              <w:right w:val="single" w:sz="6" w:space="0" w:color="auto"/>
            </w:tcBorders>
          </w:tcPr>
          <w:p w14:paraId="35218D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33C62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45CF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33CC8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3A7D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E33B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8146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8CDE8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40EB1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387EC6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843E6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5A9DE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679DD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20775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7C95148" w14:textId="77777777" w:rsidTr="007A14AA">
        <w:tc>
          <w:tcPr>
            <w:tcW w:w="3659" w:type="dxa"/>
            <w:gridSpan w:val="2"/>
            <w:tcBorders>
              <w:top w:val="single" w:sz="6" w:space="0" w:color="auto"/>
              <w:left w:val="single" w:sz="6" w:space="0" w:color="auto"/>
              <w:bottom w:val="single" w:sz="4" w:space="0" w:color="auto"/>
              <w:right w:val="single" w:sz="6" w:space="0" w:color="auto"/>
            </w:tcBorders>
          </w:tcPr>
          <w:p w14:paraId="0DB5A657" w14:textId="77777777" w:rsidR="00822AF4" w:rsidRPr="00C145F4" w:rsidRDefault="00822AF4" w:rsidP="007A14AA">
            <w:pPr>
              <w:rPr>
                <w:sz w:val="22"/>
                <w:szCs w:val="22"/>
              </w:rPr>
            </w:pPr>
            <w:r>
              <w:rPr>
                <w:sz w:val="22"/>
                <w:szCs w:val="22"/>
              </w:rPr>
              <w:t xml:space="preserve">Mats </w:t>
            </w:r>
            <w:proofErr w:type="spellStart"/>
            <w:r>
              <w:rPr>
                <w:sz w:val="22"/>
                <w:szCs w:val="22"/>
              </w:rPr>
              <w:t>Arkhem</w:t>
            </w:r>
            <w:proofErr w:type="spellEnd"/>
            <w:r>
              <w:rPr>
                <w:sz w:val="22"/>
                <w:szCs w:val="22"/>
              </w:rPr>
              <w:t xml:space="preserve"> (SD)</w:t>
            </w:r>
          </w:p>
        </w:tc>
        <w:tc>
          <w:tcPr>
            <w:tcW w:w="356" w:type="dxa"/>
            <w:gridSpan w:val="2"/>
            <w:tcBorders>
              <w:top w:val="single" w:sz="6" w:space="0" w:color="auto"/>
              <w:left w:val="single" w:sz="6" w:space="0" w:color="auto"/>
              <w:bottom w:val="single" w:sz="6" w:space="0" w:color="auto"/>
              <w:right w:val="single" w:sz="6" w:space="0" w:color="auto"/>
            </w:tcBorders>
          </w:tcPr>
          <w:p w14:paraId="0CBB168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5CC2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9F0AA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67CA0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BE93A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3408D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434A3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83D9D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497C4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13181D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4EEB0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9C12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7A30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A115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8A8CA12" w14:textId="77777777" w:rsidTr="007A14AA">
        <w:tc>
          <w:tcPr>
            <w:tcW w:w="3659" w:type="dxa"/>
            <w:gridSpan w:val="2"/>
            <w:tcBorders>
              <w:top w:val="single" w:sz="4" w:space="0" w:color="auto"/>
              <w:left w:val="single" w:sz="6" w:space="0" w:color="auto"/>
              <w:bottom w:val="single" w:sz="6" w:space="0" w:color="auto"/>
              <w:right w:val="single" w:sz="6" w:space="0" w:color="auto"/>
            </w:tcBorders>
          </w:tcPr>
          <w:p w14:paraId="61402347" w14:textId="52674E05" w:rsidR="00822AF4" w:rsidRPr="00C145F4" w:rsidRDefault="003E324A" w:rsidP="007A14AA">
            <w:pPr>
              <w:rPr>
                <w:sz w:val="22"/>
                <w:szCs w:val="22"/>
              </w:rPr>
            </w:pPr>
            <w:r>
              <w:rPr>
                <w:sz w:val="22"/>
                <w:szCs w:val="22"/>
              </w:rPr>
              <w:t>Vakant</w:t>
            </w:r>
            <w:r w:rsidR="002B5161">
              <w:rPr>
                <w:sz w:val="22"/>
                <w:szCs w:val="22"/>
              </w:rPr>
              <w:t xml:space="preserve"> (SD)</w:t>
            </w:r>
          </w:p>
        </w:tc>
        <w:tc>
          <w:tcPr>
            <w:tcW w:w="356" w:type="dxa"/>
            <w:gridSpan w:val="2"/>
            <w:tcBorders>
              <w:top w:val="single" w:sz="6" w:space="0" w:color="auto"/>
              <w:left w:val="single" w:sz="6" w:space="0" w:color="auto"/>
              <w:bottom w:val="single" w:sz="6" w:space="0" w:color="auto"/>
              <w:right w:val="single" w:sz="6" w:space="0" w:color="auto"/>
            </w:tcBorders>
          </w:tcPr>
          <w:p w14:paraId="749638C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0C15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9E3A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28EDC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3724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72570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81EBE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44E6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46AD5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874DE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8738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A76B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FA35E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1F74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B14901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E5CD580" w14:textId="77777777" w:rsidR="00822AF4" w:rsidRPr="00C145F4" w:rsidRDefault="00822AF4" w:rsidP="007A14AA">
            <w:pPr>
              <w:rPr>
                <w:sz w:val="22"/>
                <w:szCs w:val="22"/>
              </w:rPr>
            </w:pPr>
            <w:proofErr w:type="spellStart"/>
            <w:r w:rsidRPr="00E83E1F">
              <w:rPr>
                <w:sz w:val="22"/>
                <w:szCs w:val="22"/>
              </w:rPr>
              <w:t>Ciczie</w:t>
            </w:r>
            <w:proofErr w:type="spellEnd"/>
            <w:r w:rsidRPr="00E83E1F">
              <w:rPr>
                <w:sz w:val="22"/>
                <w:szCs w:val="22"/>
              </w:rPr>
              <w:t xml:space="preserve"> </w:t>
            </w:r>
            <w:proofErr w:type="spellStart"/>
            <w:r w:rsidRPr="00E83E1F">
              <w:rPr>
                <w:sz w:val="22"/>
                <w:szCs w:val="22"/>
              </w:rPr>
              <w:t>Weidby</w:t>
            </w:r>
            <w:proofErr w:type="spellEnd"/>
            <w:r w:rsidRPr="00E83E1F">
              <w:rPr>
                <w:sz w:val="22"/>
                <w:szCs w:val="22"/>
              </w:rPr>
              <w:t xml:space="preserve"> (V)</w:t>
            </w:r>
          </w:p>
        </w:tc>
        <w:tc>
          <w:tcPr>
            <w:tcW w:w="356" w:type="dxa"/>
            <w:gridSpan w:val="2"/>
            <w:tcBorders>
              <w:top w:val="single" w:sz="6" w:space="0" w:color="auto"/>
              <w:left w:val="single" w:sz="6" w:space="0" w:color="auto"/>
              <w:bottom w:val="single" w:sz="6" w:space="0" w:color="auto"/>
              <w:right w:val="single" w:sz="6" w:space="0" w:color="auto"/>
            </w:tcBorders>
          </w:tcPr>
          <w:p w14:paraId="7A777BD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D7007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3A67F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B458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A2262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9EEB7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BBA5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B68F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ACF8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6BE55B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EC6DE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4232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A0FFA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7CB40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B3CFD6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EE8D118" w14:textId="6A41BDF0" w:rsidR="00822AF4" w:rsidRPr="00C145F4" w:rsidRDefault="0000051E" w:rsidP="007A14AA">
            <w:pPr>
              <w:rPr>
                <w:sz w:val="22"/>
                <w:szCs w:val="22"/>
              </w:rPr>
            </w:pPr>
            <w:r w:rsidRPr="0000051E">
              <w:rPr>
                <w:sz w:val="22"/>
                <w:szCs w:val="22"/>
              </w:rPr>
              <w:t xml:space="preserve">Anna Lasses </w:t>
            </w:r>
            <w:r w:rsidR="00822AF4">
              <w:rPr>
                <w:sz w:val="22"/>
                <w:szCs w:val="22"/>
              </w:rPr>
              <w:t>(C)</w:t>
            </w:r>
          </w:p>
        </w:tc>
        <w:tc>
          <w:tcPr>
            <w:tcW w:w="356" w:type="dxa"/>
            <w:gridSpan w:val="2"/>
            <w:tcBorders>
              <w:top w:val="single" w:sz="6" w:space="0" w:color="auto"/>
              <w:left w:val="single" w:sz="6" w:space="0" w:color="auto"/>
              <w:bottom w:val="single" w:sz="6" w:space="0" w:color="auto"/>
              <w:right w:val="single" w:sz="6" w:space="0" w:color="auto"/>
            </w:tcBorders>
          </w:tcPr>
          <w:p w14:paraId="54AA6088" w14:textId="6A82D171"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4620F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6A87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E5E4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69CB3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6D62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734F3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B2ED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4030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D9A47A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BCBE9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E7B1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3A49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4D3D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A218651"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DD2A1E7" w14:textId="77777777" w:rsidR="00822AF4" w:rsidRPr="00C145F4" w:rsidRDefault="00822AF4" w:rsidP="007A14AA">
            <w:pPr>
              <w:rPr>
                <w:sz w:val="22"/>
                <w:szCs w:val="22"/>
              </w:rPr>
            </w:pPr>
            <w:r w:rsidRPr="00E83E1F">
              <w:rPr>
                <w:sz w:val="22"/>
                <w:szCs w:val="22"/>
              </w:rPr>
              <w:t>Lili André (KD)</w:t>
            </w:r>
          </w:p>
        </w:tc>
        <w:tc>
          <w:tcPr>
            <w:tcW w:w="356" w:type="dxa"/>
            <w:gridSpan w:val="2"/>
            <w:tcBorders>
              <w:top w:val="single" w:sz="6" w:space="0" w:color="auto"/>
              <w:left w:val="single" w:sz="6" w:space="0" w:color="auto"/>
              <w:bottom w:val="single" w:sz="6" w:space="0" w:color="auto"/>
              <w:right w:val="single" w:sz="6" w:space="0" w:color="auto"/>
            </w:tcBorders>
          </w:tcPr>
          <w:p w14:paraId="5499EA7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C449E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53A3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AC4A9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B559B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40A9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AB38A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A91E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F5D26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4964B9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DE5E9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DF509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23C89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D2F58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45C585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32AC890" w14:textId="77777777" w:rsidR="00822AF4" w:rsidRPr="00C145F4" w:rsidRDefault="00822AF4" w:rsidP="007A14AA">
            <w:pPr>
              <w:rPr>
                <w:sz w:val="22"/>
                <w:szCs w:val="22"/>
              </w:rPr>
            </w:pPr>
            <w:r>
              <w:rPr>
                <w:sz w:val="22"/>
                <w:szCs w:val="22"/>
              </w:rPr>
              <w:t>Magnus Jacobsson (KD)</w:t>
            </w:r>
          </w:p>
        </w:tc>
        <w:tc>
          <w:tcPr>
            <w:tcW w:w="356" w:type="dxa"/>
            <w:gridSpan w:val="2"/>
            <w:tcBorders>
              <w:top w:val="single" w:sz="6" w:space="0" w:color="auto"/>
              <w:left w:val="single" w:sz="6" w:space="0" w:color="auto"/>
              <w:bottom w:val="single" w:sz="6" w:space="0" w:color="auto"/>
              <w:right w:val="single" w:sz="6" w:space="0" w:color="auto"/>
            </w:tcBorders>
          </w:tcPr>
          <w:p w14:paraId="2B5D0E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0DF48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6A333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3B6E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0AA36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2A7E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3B52E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E8D5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45A2C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5821E2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CACB8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EED75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C790D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0BCA4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2C3F74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5B5EB2E" w14:textId="77777777" w:rsidR="00822AF4" w:rsidRDefault="00822AF4" w:rsidP="007A14AA">
            <w:pPr>
              <w:rPr>
                <w:sz w:val="22"/>
                <w:szCs w:val="22"/>
              </w:rPr>
            </w:pPr>
            <w:r>
              <w:rPr>
                <w:sz w:val="22"/>
                <w:szCs w:val="22"/>
              </w:rPr>
              <w:t>Leila Ali Elmi (MP)</w:t>
            </w:r>
          </w:p>
        </w:tc>
        <w:tc>
          <w:tcPr>
            <w:tcW w:w="356" w:type="dxa"/>
            <w:gridSpan w:val="2"/>
            <w:tcBorders>
              <w:top w:val="single" w:sz="6" w:space="0" w:color="auto"/>
              <w:left w:val="single" w:sz="6" w:space="0" w:color="auto"/>
              <w:bottom w:val="single" w:sz="6" w:space="0" w:color="auto"/>
              <w:right w:val="single" w:sz="6" w:space="0" w:color="auto"/>
            </w:tcBorders>
          </w:tcPr>
          <w:p w14:paraId="3F0C1AE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71E06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BB5F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48004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3EB7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21CD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E151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0F93E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A23B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628132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74389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AC5FF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E9348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92188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480118F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2F2C2A6" w14:textId="77777777" w:rsidR="00822AF4" w:rsidRDefault="00822AF4" w:rsidP="007A14AA">
            <w:pPr>
              <w:rPr>
                <w:sz w:val="22"/>
                <w:szCs w:val="22"/>
              </w:rPr>
            </w:pPr>
            <w:r>
              <w:rPr>
                <w:sz w:val="22"/>
                <w:szCs w:val="22"/>
              </w:rPr>
              <w:t>Amanda Lind (MP)</w:t>
            </w:r>
          </w:p>
        </w:tc>
        <w:tc>
          <w:tcPr>
            <w:tcW w:w="356" w:type="dxa"/>
            <w:gridSpan w:val="2"/>
            <w:tcBorders>
              <w:top w:val="single" w:sz="6" w:space="0" w:color="auto"/>
              <w:left w:val="single" w:sz="6" w:space="0" w:color="auto"/>
              <w:bottom w:val="single" w:sz="6" w:space="0" w:color="auto"/>
              <w:right w:val="single" w:sz="6" w:space="0" w:color="auto"/>
            </w:tcBorders>
          </w:tcPr>
          <w:p w14:paraId="7622424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5688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C5FC5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6E3E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612E8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431CC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B3E46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4ECCD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142FC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67A254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F43CC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CB818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358BA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3AB36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8C774D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D276517" w14:textId="77777777" w:rsidR="00822AF4" w:rsidRDefault="00822AF4" w:rsidP="007A14AA">
            <w:pPr>
              <w:rPr>
                <w:sz w:val="22"/>
                <w:szCs w:val="22"/>
              </w:rPr>
            </w:pPr>
            <w:r>
              <w:rPr>
                <w:sz w:val="22"/>
                <w:szCs w:val="22"/>
              </w:rPr>
              <w:lastRenderedPageBreak/>
              <w:t>Louise Eklund (L)</w:t>
            </w:r>
          </w:p>
        </w:tc>
        <w:tc>
          <w:tcPr>
            <w:tcW w:w="356" w:type="dxa"/>
            <w:gridSpan w:val="2"/>
            <w:tcBorders>
              <w:top w:val="single" w:sz="6" w:space="0" w:color="auto"/>
              <w:left w:val="single" w:sz="6" w:space="0" w:color="auto"/>
              <w:bottom w:val="single" w:sz="6" w:space="0" w:color="auto"/>
              <w:right w:val="single" w:sz="6" w:space="0" w:color="auto"/>
            </w:tcBorders>
          </w:tcPr>
          <w:p w14:paraId="1B5E07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4E275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47642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D9430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EDE86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F9B31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58384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7485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29616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589EB1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0C4F7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520D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CE96F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822B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2F4575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6DB44E2" w14:textId="77777777" w:rsidR="00822AF4" w:rsidRDefault="00822AF4" w:rsidP="007A14AA">
            <w:pPr>
              <w:rPr>
                <w:sz w:val="22"/>
                <w:szCs w:val="22"/>
              </w:rPr>
            </w:pPr>
            <w:r>
              <w:rPr>
                <w:sz w:val="22"/>
                <w:szCs w:val="22"/>
              </w:rPr>
              <w:t>Lina Nordquist (L)</w:t>
            </w:r>
          </w:p>
        </w:tc>
        <w:tc>
          <w:tcPr>
            <w:tcW w:w="356" w:type="dxa"/>
            <w:gridSpan w:val="2"/>
            <w:tcBorders>
              <w:top w:val="single" w:sz="6" w:space="0" w:color="auto"/>
              <w:left w:val="single" w:sz="6" w:space="0" w:color="auto"/>
              <w:bottom w:val="single" w:sz="6" w:space="0" w:color="auto"/>
              <w:right w:val="single" w:sz="6" w:space="0" w:color="auto"/>
            </w:tcBorders>
          </w:tcPr>
          <w:p w14:paraId="54EE82F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2246A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FDF64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DA1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834C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0CCA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B3581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4726B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A656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C5D32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77349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2A63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3E81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0A01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9458D" w14:paraId="778C001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E1B9AC9" w14:textId="5BDE45B7" w:rsidR="0029458D" w:rsidRDefault="0029458D" w:rsidP="007A14AA">
            <w:pPr>
              <w:rPr>
                <w:sz w:val="22"/>
                <w:szCs w:val="22"/>
              </w:rPr>
            </w:pPr>
            <w:proofErr w:type="spellStart"/>
            <w:r>
              <w:rPr>
                <w:sz w:val="22"/>
                <w:szCs w:val="22"/>
              </w:rPr>
              <w:t>Lorena</w:t>
            </w:r>
            <w:proofErr w:type="spellEnd"/>
            <w:r>
              <w:rPr>
                <w:sz w:val="22"/>
                <w:szCs w:val="22"/>
              </w:rPr>
              <w:t xml:space="preserve"> Delgado Varas (V)</w:t>
            </w:r>
          </w:p>
        </w:tc>
        <w:tc>
          <w:tcPr>
            <w:tcW w:w="356" w:type="dxa"/>
            <w:gridSpan w:val="2"/>
            <w:tcBorders>
              <w:top w:val="single" w:sz="6" w:space="0" w:color="auto"/>
              <w:left w:val="single" w:sz="6" w:space="0" w:color="auto"/>
              <w:bottom w:val="single" w:sz="6" w:space="0" w:color="auto"/>
              <w:right w:val="single" w:sz="6" w:space="0" w:color="auto"/>
            </w:tcBorders>
          </w:tcPr>
          <w:p w14:paraId="440DEA8F"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EC4C1C"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30B80B"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1711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2C32D5"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A6E70C"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FAB71E"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4FA1D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00617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3A7DA1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665F40"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60EB40"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2DB74A"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DD5ED5"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25C8C" w14:paraId="270103E5"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B69536F" w14:textId="2B9A32A4" w:rsidR="00A25C8C" w:rsidRDefault="00A25C8C" w:rsidP="007A14AA">
            <w:pPr>
              <w:rPr>
                <w:sz w:val="22"/>
                <w:szCs w:val="22"/>
              </w:rPr>
            </w:pPr>
            <w:r>
              <w:rPr>
                <w:sz w:val="22"/>
                <w:szCs w:val="22"/>
              </w:rPr>
              <w:t>Mona Smedman (C)</w:t>
            </w:r>
          </w:p>
        </w:tc>
        <w:tc>
          <w:tcPr>
            <w:tcW w:w="356" w:type="dxa"/>
            <w:gridSpan w:val="2"/>
            <w:tcBorders>
              <w:top w:val="single" w:sz="6" w:space="0" w:color="auto"/>
              <w:left w:val="single" w:sz="6" w:space="0" w:color="auto"/>
              <w:bottom w:val="single" w:sz="6" w:space="0" w:color="auto"/>
              <w:right w:val="single" w:sz="6" w:space="0" w:color="auto"/>
            </w:tcBorders>
          </w:tcPr>
          <w:p w14:paraId="22B2B4B3" w14:textId="77777777" w:rsidR="00A25C8C" w:rsidRDefault="00A25C8C"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CAF5AB" w14:textId="77777777" w:rsidR="00A25C8C" w:rsidRDefault="00A25C8C"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3F7544" w14:textId="77777777" w:rsidR="00A25C8C" w:rsidRDefault="00A25C8C"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828ADF" w14:textId="77777777" w:rsidR="00A25C8C" w:rsidRDefault="00A25C8C"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164655" w14:textId="77777777" w:rsidR="00A25C8C" w:rsidRDefault="00A25C8C"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9502FE" w14:textId="77777777" w:rsidR="00A25C8C" w:rsidRDefault="00A25C8C"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A0BB7D" w14:textId="77777777" w:rsidR="00A25C8C" w:rsidRDefault="00A25C8C"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4595DC" w14:textId="77777777" w:rsidR="00A25C8C" w:rsidRDefault="00A25C8C"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92DEAF" w14:textId="77777777" w:rsidR="00A25C8C" w:rsidRDefault="00A25C8C"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375972C" w14:textId="77777777" w:rsidR="00A25C8C" w:rsidRDefault="00A25C8C"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354448" w14:textId="77777777" w:rsidR="00A25C8C" w:rsidRDefault="00A25C8C"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895B12" w14:textId="77777777" w:rsidR="00A25C8C" w:rsidRDefault="00A25C8C"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777E02" w14:textId="77777777" w:rsidR="00A25C8C" w:rsidRDefault="00A25C8C"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29DC9A" w14:textId="77777777" w:rsidR="00A25C8C" w:rsidRDefault="00A25C8C"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C3597" w14:paraId="1AB975E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AC01CEC" w14:textId="7B85DAF9" w:rsidR="007C3597" w:rsidRDefault="007C3597" w:rsidP="007A14AA">
            <w:pPr>
              <w:rPr>
                <w:sz w:val="22"/>
                <w:szCs w:val="22"/>
              </w:rPr>
            </w:pPr>
            <w:r>
              <w:rPr>
                <w:sz w:val="22"/>
                <w:szCs w:val="22"/>
              </w:rPr>
              <w:t>Paula Örn (S)</w:t>
            </w:r>
          </w:p>
        </w:tc>
        <w:tc>
          <w:tcPr>
            <w:tcW w:w="356" w:type="dxa"/>
            <w:gridSpan w:val="2"/>
            <w:tcBorders>
              <w:top w:val="single" w:sz="6" w:space="0" w:color="auto"/>
              <w:left w:val="single" w:sz="6" w:space="0" w:color="auto"/>
              <w:bottom w:val="single" w:sz="6" w:space="0" w:color="auto"/>
              <w:right w:val="single" w:sz="6" w:space="0" w:color="auto"/>
            </w:tcBorders>
          </w:tcPr>
          <w:p w14:paraId="672270D5" w14:textId="0DE2D9BC" w:rsidR="007C3597" w:rsidRDefault="00865F9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F4F992F" w14:textId="77777777" w:rsidR="007C3597" w:rsidRDefault="007C359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B478F1" w14:textId="77777777" w:rsidR="007C3597" w:rsidRDefault="007C359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90795C" w14:textId="77777777" w:rsidR="007C3597" w:rsidRDefault="007C359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8CA706" w14:textId="77777777" w:rsidR="007C3597" w:rsidRDefault="007C359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F05A89" w14:textId="77777777" w:rsidR="007C3597" w:rsidRDefault="007C359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CE0CF1" w14:textId="77777777" w:rsidR="007C3597" w:rsidRDefault="007C359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D344DB" w14:textId="77777777" w:rsidR="007C3597" w:rsidRDefault="007C359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054E18" w14:textId="77777777" w:rsidR="007C3597" w:rsidRDefault="007C359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0919B99" w14:textId="77777777" w:rsidR="007C3597" w:rsidRDefault="007C359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0B3538" w14:textId="77777777" w:rsidR="007C3597" w:rsidRDefault="007C359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0569E7" w14:textId="77777777" w:rsidR="007C3597" w:rsidRDefault="007C359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BCA47A" w14:textId="77777777" w:rsidR="007C3597" w:rsidRDefault="007C359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FEA2D4" w14:textId="77777777" w:rsidR="007C3597" w:rsidRDefault="007C359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CC363F1" w14:textId="77777777" w:rsidTr="007A14AA">
        <w:trPr>
          <w:trHeight w:val="263"/>
        </w:trPr>
        <w:tc>
          <w:tcPr>
            <w:tcW w:w="3614" w:type="dxa"/>
          </w:tcPr>
          <w:p w14:paraId="17DEF8D5" w14:textId="77777777" w:rsidR="00822AF4" w:rsidRPr="003D41A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N = Närvarande</w:t>
            </w:r>
          </w:p>
        </w:tc>
        <w:tc>
          <w:tcPr>
            <w:tcW w:w="5029" w:type="dxa"/>
            <w:gridSpan w:val="17"/>
          </w:tcPr>
          <w:p w14:paraId="5FFCB5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822AF4" w14:paraId="70E609D0" w14:textId="77777777" w:rsidTr="007A14AA">
        <w:trPr>
          <w:trHeight w:val="262"/>
        </w:trPr>
        <w:tc>
          <w:tcPr>
            <w:tcW w:w="3614" w:type="dxa"/>
          </w:tcPr>
          <w:p w14:paraId="6EDE1E1E" w14:textId="77777777" w:rsidR="00822AF4" w:rsidRPr="003D41A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c>
          <w:tcPr>
            <w:tcW w:w="5029" w:type="dxa"/>
            <w:gridSpan w:val="17"/>
          </w:tcPr>
          <w:p w14:paraId="5A36519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14:paraId="137EAB80" w14:textId="1C7FBE52" w:rsidR="00575176" w:rsidRDefault="00575176" w:rsidP="008D4BF2"/>
    <w:p w14:paraId="6BB511CC" w14:textId="5DFE6074" w:rsidR="00575176" w:rsidRDefault="00575176">
      <w:pPr>
        <w:widowControl/>
      </w:pPr>
    </w:p>
    <w:sectPr w:rsidR="00575176">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FB7"/>
    <w:rsid w:val="0000051E"/>
    <w:rsid w:val="00001172"/>
    <w:rsid w:val="0001177E"/>
    <w:rsid w:val="00013FF4"/>
    <w:rsid w:val="0001407C"/>
    <w:rsid w:val="00022A7C"/>
    <w:rsid w:val="00026856"/>
    <w:rsid w:val="00033465"/>
    <w:rsid w:val="00050807"/>
    <w:rsid w:val="00053E0B"/>
    <w:rsid w:val="00071F8E"/>
    <w:rsid w:val="00073768"/>
    <w:rsid w:val="000867B0"/>
    <w:rsid w:val="0009467D"/>
    <w:rsid w:val="00097DF0"/>
    <w:rsid w:val="000A167A"/>
    <w:rsid w:val="000A2204"/>
    <w:rsid w:val="000B5D40"/>
    <w:rsid w:val="000C0C72"/>
    <w:rsid w:val="000C31BA"/>
    <w:rsid w:val="000C461C"/>
    <w:rsid w:val="000C5953"/>
    <w:rsid w:val="000D534A"/>
    <w:rsid w:val="000E5FA0"/>
    <w:rsid w:val="000E611E"/>
    <w:rsid w:val="000E65A3"/>
    <w:rsid w:val="000F18FE"/>
    <w:rsid w:val="000F3EEE"/>
    <w:rsid w:val="000F4556"/>
    <w:rsid w:val="000F7351"/>
    <w:rsid w:val="00100A34"/>
    <w:rsid w:val="00123C5B"/>
    <w:rsid w:val="00126727"/>
    <w:rsid w:val="00127778"/>
    <w:rsid w:val="0013107A"/>
    <w:rsid w:val="00135412"/>
    <w:rsid w:val="00143656"/>
    <w:rsid w:val="00161A87"/>
    <w:rsid w:val="001634B9"/>
    <w:rsid w:val="001671DE"/>
    <w:rsid w:val="001712BC"/>
    <w:rsid w:val="00186651"/>
    <w:rsid w:val="001A287E"/>
    <w:rsid w:val="001D5522"/>
    <w:rsid w:val="001F30E5"/>
    <w:rsid w:val="001F5AC6"/>
    <w:rsid w:val="002059AD"/>
    <w:rsid w:val="00207D45"/>
    <w:rsid w:val="00210E6C"/>
    <w:rsid w:val="0022226E"/>
    <w:rsid w:val="00224EC3"/>
    <w:rsid w:val="00237DB6"/>
    <w:rsid w:val="00241043"/>
    <w:rsid w:val="002462FF"/>
    <w:rsid w:val="00253162"/>
    <w:rsid w:val="002608E3"/>
    <w:rsid w:val="00267FC1"/>
    <w:rsid w:val="002711A1"/>
    <w:rsid w:val="002830F8"/>
    <w:rsid w:val="002871AD"/>
    <w:rsid w:val="0029458D"/>
    <w:rsid w:val="002A3434"/>
    <w:rsid w:val="002B5161"/>
    <w:rsid w:val="002C7850"/>
    <w:rsid w:val="002D5CD8"/>
    <w:rsid w:val="002E7435"/>
    <w:rsid w:val="002E7751"/>
    <w:rsid w:val="002F31F6"/>
    <w:rsid w:val="002F53A6"/>
    <w:rsid w:val="00303E1D"/>
    <w:rsid w:val="00306F1B"/>
    <w:rsid w:val="00310016"/>
    <w:rsid w:val="003125C1"/>
    <w:rsid w:val="00313972"/>
    <w:rsid w:val="00325A41"/>
    <w:rsid w:val="00330C61"/>
    <w:rsid w:val="00335FB0"/>
    <w:rsid w:val="003372A6"/>
    <w:rsid w:val="0034218D"/>
    <w:rsid w:val="00355251"/>
    <w:rsid w:val="00360AE7"/>
    <w:rsid w:val="00361E18"/>
    <w:rsid w:val="003702B4"/>
    <w:rsid w:val="00370F89"/>
    <w:rsid w:val="003806C2"/>
    <w:rsid w:val="0038157D"/>
    <w:rsid w:val="00382862"/>
    <w:rsid w:val="00387966"/>
    <w:rsid w:val="00387A50"/>
    <w:rsid w:val="00387EC2"/>
    <w:rsid w:val="00387F46"/>
    <w:rsid w:val="003961B6"/>
    <w:rsid w:val="003A0CB8"/>
    <w:rsid w:val="003A5FC9"/>
    <w:rsid w:val="003B035C"/>
    <w:rsid w:val="003B4DE8"/>
    <w:rsid w:val="003C751E"/>
    <w:rsid w:val="003D22AA"/>
    <w:rsid w:val="003D41A2"/>
    <w:rsid w:val="003E324A"/>
    <w:rsid w:val="003F0380"/>
    <w:rsid w:val="003F4AD8"/>
    <w:rsid w:val="00402D5D"/>
    <w:rsid w:val="0040376B"/>
    <w:rsid w:val="00407517"/>
    <w:rsid w:val="00411691"/>
    <w:rsid w:val="004214D1"/>
    <w:rsid w:val="00424C64"/>
    <w:rsid w:val="0042750F"/>
    <w:rsid w:val="004309E7"/>
    <w:rsid w:val="00437505"/>
    <w:rsid w:val="00447E69"/>
    <w:rsid w:val="004514FD"/>
    <w:rsid w:val="00453542"/>
    <w:rsid w:val="0045482B"/>
    <w:rsid w:val="004610E6"/>
    <w:rsid w:val="004674B5"/>
    <w:rsid w:val="00483EB5"/>
    <w:rsid w:val="004875DF"/>
    <w:rsid w:val="004C0422"/>
    <w:rsid w:val="004C4C01"/>
    <w:rsid w:val="004C7522"/>
    <w:rsid w:val="004E024A"/>
    <w:rsid w:val="00501D18"/>
    <w:rsid w:val="005054C4"/>
    <w:rsid w:val="00506F63"/>
    <w:rsid w:val="00520D71"/>
    <w:rsid w:val="005331E3"/>
    <w:rsid w:val="005349AA"/>
    <w:rsid w:val="005739C0"/>
    <w:rsid w:val="00575176"/>
    <w:rsid w:val="00576AFA"/>
    <w:rsid w:val="00587BBF"/>
    <w:rsid w:val="005A3941"/>
    <w:rsid w:val="005A4EAC"/>
    <w:rsid w:val="005A5EDE"/>
    <w:rsid w:val="005A63E8"/>
    <w:rsid w:val="005D0198"/>
    <w:rsid w:val="005D63F2"/>
    <w:rsid w:val="005E36F0"/>
    <w:rsid w:val="005F0E85"/>
    <w:rsid w:val="005F5155"/>
    <w:rsid w:val="005F6831"/>
    <w:rsid w:val="00600760"/>
    <w:rsid w:val="00601C28"/>
    <w:rsid w:val="00602725"/>
    <w:rsid w:val="0060305B"/>
    <w:rsid w:val="006110B5"/>
    <w:rsid w:val="00622525"/>
    <w:rsid w:val="00637376"/>
    <w:rsid w:val="00650ADB"/>
    <w:rsid w:val="00654347"/>
    <w:rsid w:val="00656420"/>
    <w:rsid w:val="00656ECC"/>
    <w:rsid w:val="00662279"/>
    <w:rsid w:val="00666846"/>
    <w:rsid w:val="00667E8B"/>
    <w:rsid w:val="0067487F"/>
    <w:rsid w:val="00680665"/>
    <w:rsid w:val="006965E4"/>
    <w:rsid w:val="006A2991"/>
    <w:rsid w:val="006B026C"/>
    <w:rsid w:val="006B1BCF"/>
    <w:rsid w:val="006B1D76"/>
    <w:rsid w:val="006B4C5A"/>
    <w:rsid w:val="006B65A5"/>
    <w:rsid w:val="006B7A08"/>
    <w:rsid w:val="006D3F07"/>
    <w:rsid w:val="006E0945"/>
    <w:rsid w:val="006E6B54"/>
    <w:rsid w:val="006F6ADE"/>
    <w:rsid w:val="00711344"/>
    <w:rsid w:val="00721260"/>
    <w:rsid w:val="00740F7D"/>
    <w:rsid w:val="00766B40"/>
    <w:rsid w:val="0076736F"/>
    <w:rsid w:val="00773C28"/>
    <w:rsid w:val="00775DBD"/>
    <w:rsid w:val="007765ED"/>
    <w:rsid w:val="00776CA2"/>
    <w:rsid w:val="007801D9"/>
    <w:rsid w:val="007838D8"/>
    <w:rsid w:val="00786FC6"/>
    <w:rsid w:val="007A1350"/>
    <w:rsid w:val="007A2471"/>
    <w:rsid w:val="007B32E2"/>
    <w:rsid w:val="007B38F0"/>
    <w:rsid w:val="007B66A7"/>
    <w:rsid w:val="007B6F35"/>
    <w:rsid w:val="007C0DFA"/>
    <w:rsid w:val="007C1E05"/>
    <w:rsid w:val="007C3597"/>
    <w:rsid w:val="007C52B4"/>
    <w:rsid w:val="007D23C1"/>
    <w:rsid w:val="007D3639"/>
    <w:rsid w:val="007D47AC"/>
    <w:rsid w:val="007D76A1"/>
    <w:rsid w:val="007E5066"/>
    <w:rsid w:val="007E738E"/>
    <w:rsid w:val="007F1443"/>
    <w:rsid w:val="007F73E1"/>
    <w:rsid w:val="0080253D"/>
    <w:rsid w:val="00822AF4"/>
    <w:rsid w:val="00823C8C"/>
    <w:rsid w:val="00825D78"/>
    <w:rsid w:val="00827DBD"/>
    <w:rsid w:val="00832BA8"/>
    <w:rsid w:val="0083501D"/>
    <w:rsid w:val="00841B9D"/>
    <w:rsid w:val="00865F9D"/>
    <w:rsid w:val="00872753"/>
    <w:rsid w:val="00874D05"/>
    <w:rsid w:val="00876835"/>
    <w:rsid w:val="008840CE"/>
    <w:rsid w:val="00886BA6"/>
    <w:rsid w:val="008929D2"/>
    <w:rsid w:val="00895553"/>
    <w:rsid w:val="00896EBD"/>
    <w:rsid w:val="008B080B"/>
    <w:rsid w:val="008B4A0D"/>
    <w:rsid w:val="008B4E84"/>
    <w:rsid w:val="008C35C4"/>
    <w:rsid w:val="008D4BF2"/>
    <w:rsid w:val="008E2E78"/>
    <w:rsid w:val="008F6938"/>
    <w:rsid w:val="008F6C98"/>
    <w:rsid w:val="008F7983"/>
    <w:rsid w:val="009171C9"/>
    <w:rsid w:val="00923EFE"/>
    <w:rsid w:val="00925ABE"/>
    <w:rsid w:val="0094358D"/>
    <w:rsid w:val="00960E59"/>
    <w:rsid w:val="00974B1C"/>
    <w:rsid w:val="00985715"/>
    <w:rsid w:val="009A1313"/>
    <w:rsid w:val="009A164A"/>
    <w:rsid w:val="009A1CEC"/>
    <w:rsid w:val="009A292F"/>
    <w:rsid w:val="009B52FA"/>
    <w:rsid w:val="009D5E29"/>
    <w:rsid w:val="009E1FCA"/>
    <w:rsid w:val="009E7A20"/>
    <w:rsid w:val="00A0106A"/>
    <w:rsid w:val="00A03D80"/>
    <w:rsid w:val="00A0525A"/>
    <w:rsid w:val="00A102DB"/>
    <w:rsid w:val="00A10ED0"/>
    <w:rsid w:val="00A13D11"/>
    <w:rsid w:val="00A2367D"/>
    <w:rsid w:val="00A25C8C"/>
    <w:rsid w:val="00A26086"/>
    <w:rsid w:val="00A35508"/>
    <w:rsid w:val="00A370F4"/>
    <w:rsid w:val="00A428EC"/>
    <w:rsid w:val="00A47DB2"/>
    <w:rsid w:val="00A65178"/>
    <w:rsid w:val="00A66B33"/>
    <w:rsid w:val="00A84772"/>
    <w:rsid w:val="00A956F9"/>
    <w:rsid w:val="00AB2E46"/>
    <w:rsid w:val="00AB3B80"/>
    <w:rsid w:val="00AB5776"/>
    <w:rsid w:val="00AC33D3"/>
    <w:rsid w:val="00AD44A0"/>
    <w:rsid w:val="00AF0314"/>
    <w:rsid w:val="00AF4D2B"/>
    <w:rsid w:val="00AF62C3"/>
    <w:rsid w:val="00B1265F"/>
    <w:rsid w:val="00B22FB7"/>
    <w:rsid w:val="00B2693D"/>
    <w:rsid w:val="00B36F2A"/>
    <w:rsid w:val="00B40576"/>
    <w:rsid w:val="00B432F2"/>
    <w:rsid w:val="00B529AF"/>
    <w:rsid w:val="00B6136A"/>
    <w:rsid w:val="00B63606"/>
    <w:rsid w:val="00B73227"/>
    <w:rsid w:val="00B734EF"/>
    <w:rsid w:val="00B97835"/>
    <w:rsid w:val="00BA05FF"/>
    <w:rsid w:val="00BA1BCD"/>
    <w:rsid w:val="00BA1F9C"/>
    <w:rsid w:val="00BA404C"/>
    <w:rsid w:val="00BB4FC6"/>
    <w:rsid w:val="00BB6E1B"/>
    <w:rsid w:val="00BB7028"/>
    <w:rsid w:val="00BD09A6"/>
    <w:rsid w:val="00BF1E92"/>
    <w:rsid w:val="00BF5F58"/>
    <w:rsid w:val="00C04265"/>
    <w:rsid w:val="00C1169B"/>
    <w:rsid w:val="00C145F4"/>
    <w:rsid w:val="00C150F8"/>
    <w:rsid w:val="00C21DC4"/>
    <w:rsid w:val="00C24CCF"/>
    <w:rsid w:val="00C318F6"/>
    <w:rsid w:val="00C367F8"/>
    <w:rsid w:val="00C422E7"/>
    <w:rsid w:val="00C616C4"/>
    <w:rsid w:val="00C62BD3"/>
    <w:rsid w:val="00C6692B"/>
    <w:rsid w:val="00C66AC4"/>
    <w:rsid w:val="00C76BCC"/>
    <w:rsid w:val="00C77DBB"/>
    <w:rsid w:val="00C82E31"/>
    <w:rsid w:val="00C866DE"/>
    <w:rsid w:val="00C87373"/>
    <w:rsid w:val="00C96CF1"/>
    <w:rsid w:val="00CA2266"/>
    <w:rsid w:val="00CA5431"/>
    <w:rsid w:val="00CB29B6"/>
    <w:rsid w:val="00CC02B4"/>
    <w:rsid w:val="00CC15D0"/>
    <w:rsid w:val="00CC4A0B"/>
    <w:rsid w:val="00CD10D8"/>
    <w:rsid w:val="00CD4DBD"/>
    <w:rsid w:val="00CE524E"/>
    <w:rsid w:val="00CE5922"/>
    <w:rsid w:val="00CF376E"/>
    <w:rsid w:val="00CF6815"/>
    <w:rsid w:val="00CF7C43"/>
    <w:rsid w:val="00D14067"/>
    <w:rsid w:val="00D16550"/>
    <w:rsid w:val="00D21331"/>
    <w:rsid w:val="00D35718"/>
    <w:rsid w:val="00D4759F"/>
    <w:rsid w:val="00D63878"/>
    <w:rsid w:val="00D65276"/>
    <w:rsid w:val="00D67D14"/>
    <w:rsid w:val="00D73858"/>
    <w:rsid w:val="00D75785"/>
    <w:rsid w:val="00D817DA"/>
    <w:rsid w:val="00D81F84"/>
    <w:rsid w:val="00D85D67"/>
    <w:rsid w:val="00DA2684"/>
    <w:rsid w:val="00DB313B"/>
    <w:rsid w:val="00DB43E0"/>
    <w:rsid w:val="00DB451F"/>
    <w:rsid w:val="00DC3214"/>
    <w:rsid w:val="00DE08F2"/>
    <w:rsid w:val="00DE3264"/>
    <w:rsid w:val="00DE45C0"/>
    <w:rsid w:val="00E03441"/>
    <w:rsid w:val="00E04650"/>
    <w:rsid w:val="00E12E8A"/>
    <w:rsid w:val="00E13501"/>
    <w:rsid w:val="00E15C69"/>
    <w:rsid w:val="00E15FBD"/>
    <w:rsid w:val="00E1627A"/>
    <w:rsid w:val="00E23AB7"/>
    <w:rsid w:val="00E2514D"/>
    <w:rsid w:val="00E362AB"/>
    <w:rsid w:val="00E45BEC"/>
    <w:rsid w:val="00E52F02"/>
    <w:rsid w:val="00E72974"/>
    <w:rsid w:val="00E72E3F"/>
    <w:rsid w:val="00E776AC"/>
    <w:rsid w:val="00E77ADF"/>
    <w:rsid w:val="00E810DC"/>
    <w:rsid w:val="00E81B4F"/>
    <w:rsid w:val="00E93918"/>
    <w:rsid w:val="00EB577E"/>
    <w:rsid w:val="00EC27A5"/>
    <w:rsid w:val="00EC4130"/>
    <w:rsid w:val="00EC418A"/>
    <w:rsid w:val="00EE4C8A"/>
    <w:rsid w:val="00EE73D8"/>
    <w:rsid w:val="00EF6285"/>
    <w:rsid w:val="00F12574"/>
    <w:rsid w:val="00F23954"/>
    <w:rsid w:val="00F33EF9"/>
    <w:rsid w:val="00F44908"/>
    <w:rsid w:val="00F46F0D"/>
    <w:rsid w:val="00F573AC"/>
    <w:rsid w:val="00F7021F"/>
    <w:rsid w:val="00F70C44"/>
    <w:rsid w:val="00F72877"/>
    <w:rsid w:val="00F816D5"/>
    <w:rsid w:val="00F8533C"/>
    <w:rsid w:val="00FA12EF"/>
    <w:rsid w:val="00FA543D"/>
    <w:rsid w:val="00FD311E"/>
    <w:rsid w:val="00FE4E01"/>
    <w:rsid w:val="00FE5A5A"/>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B3B0B"/>
  <w15:chartTrackingRefBased/>
  <w15:docId w15:val="{4AED2D75-1868-43FA-9CA9-8CE8670F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 w:type="paragraph" w:styleId="Brdtext">
    <w:name w:val="Body Text"/>
    <w:basedOn w:val="Normal"/>
    <w:link w:val="BrdtextChar"/>
    <w:unhideWhenUsed/>
    <w:qFormat/>
    <w:rsid w:val="00BA1BCD"/>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BA1BCD"/>
    <w:rPr>
      <w:rFonts w:asciiTheme="minorHAnsi" w:eastAsiaTheme="minorHAnsi" w:hAnsiTheme="minorHAnsi" w:cstheme="minorBidi"/>
      <w:sz w:val="25"/>
      <w:szCs w:val="25"/>
      <w:lang w:eastAsia="en-US"/>
    </w:rPr>
  </w:style>
  <w:style w:type="paragraph" w:customStyle="1" w:styleId="Default">
    <w:name w:val="Default"/>
    <w:rsid w:val="00BA1BCD"/>
    <w:pPr>
      <w:autoSpaceDE w:val="0"/>
      <w:autoSpaceDN w:val="0"/>
      <w:adjustRightInd w:val="0"/>
    </w:pPr>
    <w:rPr>
      <w:color w:val="000000"/>
      <w:sz w:val="24"/>
      <w:szCs w:val="24"/>
    </w:rPr>
  </w:style>
  <w:style w:type="paragraph" w:styleId="Underrubrik">
    <w:name w:val="Subtitle"/>
    <w:basedOn w:val="Normal"/>
    <w:next w:val="Normal"/>
    <w:link w:val="UnderrubrikChar"/>
    <w:qFormat/>
    <w:rsid w:val="00BA1BC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rubrikChar">
    <w:name w:val="Underrubrik Char"/>
    <w:basedOn w:val="Standardstycketeckensnitt"/>
    <w:link w:val="Underrubrik"/>
    <w:rsid w:val="00BA1BCD"/>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43700">
      <w:bodyDiv w:val="1"/>
      <w:marLeft w:val="0"/>
      <w:marRight w:val="0"/>
      <w:marTop w:val="0"/>
      <w:marBottom w:val="0"/>
      <w:divBdr>
        <w:top w:val="none" w:sz="0" w:space="0" w:color="auto"/>
        <w:left w:val="none" w:sz="0" w:space="0" w:color="auto"/>
        <w:bottom w:val="none" w:sz="0" w:space="0" w:color="auto"/>
        <w:right w:val="none" w:sz="0" w:space="0" w:color="auto"/>
      </w:divBdr>
    </w:div>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 w:id="152320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2144</Words>
  <Characters>14929</Characters>
  <Application>Microsoft Office Word</Application>
  <DocSecurity>0</DocSecurity>
  <Lines>124</Lines>
  <Paragraphs>34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Therése Olofsson</cp:lastModifiedBy>
  <cp:revision>2</cp:revision>
  <cp:lastPrinted>2013-04-22T11:37:00Z</cp:lastPrinted>
  <dcterms:created xsi:type="dcterms:W3CDTF">2024-05-14T12:33:00Z</dcterms:created>
  <dcterms:modified xsi:type="dcterms:W3CDTF">2024-05-14T12:33:00Z</dcterms:modified>
</cp:coreProperties>
</file>