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1A5" w:rsidRPr="002E3889" w:rsidRDefault="003911A5">
      <w:pPr>
        <w:pStyle w:val="Frslagsrubrik"/>
        <w:spacing w:before="125"/>
      </w:pPr>
      <w:r w:rsidRPr="002E3889">
        <w:t>Förslag till riksdagsbeslut</w:t>
      </w:r>
    </w:p>
    <w:p w:rsidR="003911A5" w:rsidRPr="002E3889" w:rsidRDefault="003911A5">
      <w:pPr>
        <w:pStyle w:val="Hemstlatt"/>
        <w:ind w:left="0"/>
      </w:pPr>
      <w:r w:rsidRPr="002E3889">
        <w:t>Riksdagen tillkännager för regeringen som sin mening vad som anförs i motionen om behovet av en från regeringen fristående u</w:t>
      </w:r>
      <w:r w:rsidRPr="002E3889">
        <w:t>t</w:t>
      </w:r>
      <w:r w:rsidRPr="002E3889">
        <w:t>värdering av samstämmigheten i Sveriges politik ur ett utvecklingsperspe</w:t>
      </w:r>
      <w:r w:rsidRPr="002E3889">
        <w:t>k</w:t>
      </w:r>
      <w:r w:rsidRPr="002E3889">
        <w:t>tiv.</w:t>
      </w:r>
    </w:p>
    <w:p w:rsidR="003911A5" w:rsidRPr="002E3889" w:rsidRDefault="003911A5">
      <w:pPr>
        <w:pStyle w:val="Rubrik1"/>
        <w:rPr>
          <w:color w:val="000000"/>
        </w:rPr>
      </w:pPr>
      <w:r w:rsidRPr="002E3889">
        <w:t>Motivering</w:t>
      </w:r>
    </w:p>
    <w:p w:rsidR="003911A5" w:rsidRPr="002E3889" w:rsidRDefault="003911A5">
      <w:r w:rsidRPr="002E3889">
        <w:t>Politik för global utveckling, PGU, har nu varit en del av Sveriges utvec</w:t>
      </w:r>
      <w:r w:rsidRPr="002E3889">
        <w:t>k</w:t>
      </w:r>
      <w:r w:rsidRPr="002E3889">
        <w:t>lingspolitik sedan 2003. Beslutet om att samtliga politikområden ska geno</w:t>
      </w:r>
      <w:r w:rsidRPr="002E3889">
        <w:t>m</w:t>
      </w:r>
      <w:r w:rsidRPr="002E3889">
        <w:t>föra sin politik på ett sätt som tar hänsyn till effekter för utvecklingsländer och tar tillvara alla möjligheter att bidra till målet hade glädjande nog brett stöd i riksdagen. Sverige har också fått beröm för ambitionerna att skapa samstämmighet för utveckling av OECD:s biståndskommitté DAC. Samtidigt är det tydligt att PGU inte har fått fullt genomslag i den förda politiken. Nästa steg för att stärka samstämmigheten bör bli att lå</w:t>
      </w:r>
      <w:r w:rsidRPr="002E3889">
        <w:t>ta en extern part utföra en professionell bedömning av hur regeringen hanterar utveckling och andra politiska mål.</w:t>
      </w:r>
    </w:p>
    <w:p w:rsidR="003911A5" w:rsidRPr="002E3889" w:rsidRDefault="003911A5">
      <w:pPr>
        <w:pStyle w:val="Normaltindrag"/>
      </w:pPr>
      <w:r w:rsidRPr="002E3889">
        <w:t xml:space="preserve">I och med regeringens skrivelse </w:t>
      </w:r>
      <w:r w:rsidRPr="002E3889">
        <w:rPr>
          <w:i/>
        </w:rPr>
        <w:t>Att möta globala utmaningar – Skrivelse om samstämmighet för utveckling</w:t>
      </w:r>
      <w:r w:rsidRPr="002E3889">
        <w:t xml:space="preserve"> fick PGU en nystart. Regeringen identifi</w:t>
      </w:r>
      <w:r w:rsidRPr="002E3889">
        <w:t>e</w:t>
      </w:r>
      <w:r w:rsidRPr="002E3889">
        <w:t>rade sex globala utmaningar där Sverige genom ett samstämmigt agerande över politikområdesgränser kan bidra på ett effektivt sätt till global utvec</w:t>
      </w:r>
      <w:r w:rsidRPr="002E3889">
        <w:t>k</w:t>
      </w:r>
      <w:r w:rsidRPr="002E3889">
        <w:t>ling. Det är en rimlig utveckling av PGU, då den tidigare strukturen med ett stort antal mål blev oöverskådlig.</w:t>
      </w:r>
    </w:p>
    <w:p w:rsidR="003911A5" w:rsidRPr="002E3889" w:rsidRDefault="003911A5">
      <w:pPr>
        <w:pStyle w:val="Normaltindrag"/>
      </w:pPr>
      <w:r w:rsidRPr="002E3889">
        <w:t>I skrivelsen redovisas hur regeringen på en rad olika områden försöker til</w:t>
      </w:r>
      <w:r w:rsidRPr="002E3889">
        <w:t>l</w:t>
      </w:r>
      <w:r w:rsidRPr="002E3889">
        <w:t>varata de möjligheter till synergieffekter som finns, men fortfarande – sju år efter att PGU antagits av riksdagen – kan inte regeringen visa vilka konkreta målkonflikter som finns och hur man har resonerat när man hanterat dem. Ett mycket tydligt brott mot principen om samstämmighet är att regeringen i strid mot sitt övergripande mål om att minska EU:s exportbidrag vid ett antal til</w:t>
      </w:r>
      <w:r w:rsidRPr="002E3889">
        <w:t>l</w:t>
      </w:r>
      <w:r w:rsidRPr="002E3889">
        <w:lastRenderedPageBreak/>
        <w:t>fällen röstat för nya exportbidrag i ministerrådet. Men detta exempel på bristande samstämmighet diskuteras inte i PGU-skriv</w:t>
      </w:r>
      <w:r w:rsidRPr="002E3889">
        <w:t>elsen.</w:t>
      </w:r>
    </w:p>
    <w:p w:rsidR="003911A5" w:rsidRPr="002E3889" w:rsidRDefault="003911A5">
      <w:pPr>
        <w:pStyle w:val="Normaltindrag"/>
      </w:pPr>
      <w:r w:rsidRPr="002E3889">
        <w:t>I de konkreta bedömningarna i skrivelsen ger regeringen övergripande omdömen och påståenden som inte underbyggs med konkreta referenser. Till exempel skriver regeringen att Sverige vinnlagt sig om de fattiga ländernas intressen i de internationella finansiella institutionerna</w:t>
      </w:r>
      <w:r w:rsidRPr="002E3889">
        <w:rPr>
          <w:color w:val="FF0000"/>
        </w:rPr>
        <w:t xml:space="preserve"> </w:t>
      </w:r>
      <w:r w:rsidRPr="002E3889">
        <w:t>utan att exemplifiera vilka positioner som kan sägas vara ett stöd för den tolkningen. Regeringen skriver också att EU:s jordbrukspolitik blivit mindre handelsstörande, genom frikopplingen av direktstöden och färre interventioner, men även här saknas tydliga referenser som stöd för påståendet. Det saknas följaktligen transparens i samstämmighetsarbetet.</w:t>
      </w:r>
    </w:p>
    <w:p w:rsidR="003911A5" w:rsidRPr="002E3889" w:rsidRDefault="003911A5">
      <w:pPr>
        <w:pStyle w:val="Normaltindrag"/>
      </w:pPr>
      <w:r w:rsidRPr="002E3889">
        <w:t>Vid sidan av riksdagens granskning har idag det civila samhället en avg</w:t>
      </w:r>
      <w:r w:rsidRPr="002E3889">
        <w:t>ö</w:t>
      </w:r>
      <w:r w:rsidRPr="002E3889">
        <w:t>rande betydelse för att granska brister i samstämmigheten och föreslå förbät</w:t>
      </w:r>
      <w:r w:rsidRPr="002E3889">
        <w:t>t</w:t>
      </w:r>
      <w:r w:rsidRPr="002E3889">
        <w:t xml:space="preserve">ringar. Idag granskar civilsamhällesorganisationerna både Sveriges PGU och den </w:t>
      </w:r>
      <w:r w:rsidRPr="002E3889">
        <w:rPr>
          <w:i/>
        </w:rPr>
        <w:t>Policy Coherence for Development</w:t>
      </w:r>
      <w:r w:rsidRPr="002E3889">
        <w:t xml:space="preserve"> som EU:s motsvarande politik kallas. De frivilliga organisationernas granskande roll har dock blivit svagare efter att informationsanslaget till civilsamhället både skurits ned kraftigt och ändrat inriktning från stöd till utvecklingsdebatt och påverkansfrågor till ren info</w:t>
      </w:r>
      <w:r w:rsidRPr="002E3889">
        <w:t>r</w:t>
      </w:r>
      <w:r w:rsidRPr="002E3889">
        <w:t>mation om svenskt bistånd. Det är en olycklig u</w:t>
      </w:r>
      <w:r w:rsidRPr="002E3889">
        <w:t>tveckling som ytterligare undergräver tilltron och effektiviteten hos PGU.</w:t>
      </w:r>
    </w:p>
    <w:p w:rsidR="003911A5" w:rsidRPr="002E3889" w:rsidRDefault="003911A5">
      <w:pPr>
        <w:pStyle w:val="Normaltindrag"/>
      </w:pPr>
      <w:r w:rsidRPr="002E3889">
        <w:t>Samstämmigheten i Sveriges politik är avgörande för vårt lands bidrag till den globala utvecklingen. För att stärka PGU-perspektivet bör en från rege</w:t>
      </w:r>
      <w:r w:rsidRPr="002E3889">
        <w:t>r</w:t>
      </w:r>
      <w:r w:rsidRPr="002E3889">
        <w:t>ingen fristående myndighet få uppdraget att fortlöpande utvärdera samstä</w:t>
      </w:r>
      <w:r w:rsidRPr="002E3889">
        <w:t>m</w:t>
      </w:r>
      <w:r w:rsidRPr="002E3889">
        <w:t xml:space="preserve">migheten i Sveriges politik. Detta var också en av de rekommendationer som OECD:s biståndskommitté rekommenderade Sverige i sin granskning av svenskt bistånd från förra året. </w:t>
      </w:r>
    </w:p>
    <w:p w:rsidR="003911A5" w:rsidRPr="002E3889" w:rsidRDefault="003911A5">
      <w:pPr>
        <w:pStyle w:val="Normaltindrag"/>
      </w:pPr>
      <w:r w:rsidRPr="002E3889">
        <w:t>Idag har Institutet för utvärdering av internationellt utvecklingssamarbete, Sadev, regeringens uppdrag att utvärdera biståndet. Sadev eller Riksrevisi</w:t>
      </w:r>
      <w:r w:rsidRPr="002E3889">
        <w:t>o</w:t>
      </w:r>
      <w:r w:rsidRPr="002E3889">
        <w:t>nen bör åläggas att utföra en nödvändig genomlysning av regeringens arbete med PGU och lyfta fram målkonflikterna och hur de hanteras i ljuset. Detta bör vara en prioritering för att tydligt markera att frågor om transparens, u</w:t>
      </w:r>
      <w:r w:rsidRPr="002E3889">
        <w:t>t</w:t>
      </w:r>
      <w:r w:rsidRPr="002E3889">
        <w:t xml:space="preserve">värdering och ansvarsutkrävande är viktiga i Sveriges utvecklingspolitik.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3889">
        <w:trPr>
          <w:cantSplit/>
        </w:trPr>
        <w:tc>
          <w:tcPr>
            <w:tcW w:w="3046" w:type="dxa"/>
          </w:tcPr>
          <w:p w:rsidR="003911A5" w:rsidRPr="002E3889" w:rsidRDefault="003911A5">
            <w:pPr>
              <w:pStyle w:val="UnderskriftDatum"/>
              <w:spacing w:before="240"/>
            </w:pPr>
            <w:r w:rsidRPr="002E3889">
              <w:t>Stockholm den 27 oktober 2010</w:t>
            </w:r>
          </w:p>
        </w:tc>
        <w:tc>
          <w:tcPr>
            <w:tcW w:w="3047" w:type="dxa"/>
          </w:tcPr>
          <w:p w:rsidR="003911A5" w:rsidRPr="002E3889" w:rsidRDefault="003911A5">
            <w:pPr>
              <w:pStyle w:val="Underskrifter"/>
              <w:spacing w:before="240"/>
            </w:pPr>
          </w:p>
        </w:tc>
      </w:tr>
      <w:tr w:rsidR="00000000" w:rsidRPr="002E3889">
        <w:trPr>
          <w:cantSplit/>
        </w:trPr>
        <w:tc>
          <w:tcPr>
            <w:tcW w:w="3046" w:type="dxa"/>
          </w:tcPr>
          <w:p w:rsidR="003911A5" w:rsidRPr="002E3889" w:rsidRDefault="003911A5">
            <w:pPr>
              <w:pStyle w:val="Underskrifter"/>
            </w:pPr>
            <w:r w:rsidRPr="002E3889">
              <w:t>Bodil Ceballos (MP)</w:t>
            </w:r>
          </w:p>
        </w:tc>
        <w:tc>
          <w:tcPr>
            <w:tcW w:w="3046" w:type="dxa"/>
          </w:tcPr>
          <w:p w:rsidR="003911A5" w:rsidRPr="002E3889" w:rsidRDefault="003911A5">
            <w:pPr>
              <w:pStyle w:val="Underskrifter"/>
            </w:pPr>
            <w:r w:rsidRPr="002E3889">
              <w:t>Åsa Romson (MP)</w:t>
            </w:r>
          </w:p>
        </w:tc>
      </w:tr>
    </w:tbl>
    <w:p w:rsidR="003911A5" w:rsidRPr="002E3889" w:rsidRDefault="003911A5">
      <w:pPr>
        <w:pStyle w:val="Normaltindrag"/>
      </w:pPr>
    </w:p>
    <w:sectPr w:rsidR="003911A5" w:rsidRPr="002E38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1A5" w:rsidRPr="002E3889" w:rsidRDefault="003911A5">
      <w:r w:rsidRPr="002E3889">
        <w:separator/>
      </w:r>
    </w:p>
  </w:endnote>
  <w:endnote w:type="continuationSeparator" w:id="0">
    <w:p w:rsidR="003911A5" w:rsidRPr="002E3889" w:rsidRDefault="003911A5">
      <w:r w:rsidRPr="002E38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1A5" w:rsidRPr="002E3889" w:rsidRDefault="002E3889">
    <w:pPr>
      <w:pStyle w:val="Sidfot"/>
    </w:pPr>
    <w:r w:rsidRPr="002E38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2501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1A5" w:rsidRDefault="003911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1A5" w:rsidRDefault="003911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1A5" w:rsidRPr="002E3889" w:rsidRDefault="002E3889">
    <w:pPr>
      <w:pStyle w:val="Sidfot"/>
    </w:pPr>
    <w:r w:rsidRPr="002E38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362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1A5" w:rsidRDefault="003911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1A5" w:rsidRDefault="003911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1A5" w:rsidRPr="002E3889" w:rsidRDefault="002E3889">
    <w:pPr>
      <w:pStyle w:val="Sidfot"/>
    </w:pPr>
    <w:r w:rsidRPr="002E38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645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1A5" w:rsidRDefault="003911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1A5" w:rsidRDefault="003911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1A5" w:rsidRPr="002E3889" w:rsidRDefault="003911A5">
      <w:r w:rsidRPr="002E3889">
        <w:separator/>
      </w:r>
    </w:p>
  </w:footnote>
  <w:footnote w:type="continuationSeparator" w:id="0">
    <w:p w:rsidR="003911A5" w:rsidRPr="002E3889" w:rsidRDefault="003911A5">
      <w:r w:rsidRPr="002E38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1A5" w:rsidRPr="002E3889" w:rsidRDefault="002E3889">
    <w:pPr>
      <w:pStyle w:val="Sidhuvud"/>
    </w:pPr>
    <w:r w:rsidRPr="002E38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7668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1A5" w:rsidRDefault="003911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1A5" w:rsidRDefault="003911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1A5" w:rsidRPr="002E3889" w:rsidRDefault="002E3889">
    <w:pPr>
      <w:pStyle w:val="Sidhuvud"/>
    </w:pPr>
    <w:r w:rsidRPr="002E38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35736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1A5" w:rsidRDefault="003911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1A5" w:rsidRDefault="003911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1A5" w:rsidRPr="002E3889" w:rsidRDefault="003911A5">
    <w:pPr>
      <w:pStyle w:val="FSHNormal"/>
      <w:tabs>
        <w:tab w:val="right" w:pos="5840"/>
      </w:tabs>
    </w:pPr>
    <w:r w:rsidRPr="002E3889">
      <w:br/>
    </w:r>
    <w:r w:rsidRPr="002E3889">
      <w:fldChar w:fldCharType="begin" w:fldLock="1"/>
    </w:r>
    <w:r w:rsidRPr="002E3889">
      <w:instrText xml:space="preserve"> DOCPROPERTY</w:instrText>
    </w:r>
    <w:r w:rsidRPr="002E3889">
      <w:rPr>
        <w:sz w:val="18"/>
      </w:rPr>
      <w:instrText xml:space="preserve"> "YearUser" *\charformat </w:instrText>
    </w:r>
    <w:r w:rsidRPr="002E3889">
      <w:fldChar w:fldCharType="separate"/>
    </w:r>
    <w:r w:rsidRPr="002E3889">
      <w:t>2010/11</w:t>
    </w:r>
    <w:r w:rsidRPr="002E3889">
      <w:fldChar w:fldCharType="end"/>
    </w:r>
    <w:r w:rsidRPr="002E3889">
      <w:t xml:space="preserve"> </w:t>
    </w:r>
    <w:r w:rsidRPr="002E3889">
      <w:tab/>
      <w:t xml:space="preserve">mnr: </w:t>
    </w:r>
    <w:r w:rsidRPr="002E3889">
      <w:fldChar w:fldCharType="begin" w:fldLock="1"/>
    </w:r>
    <w:r w:rsidRPr="002E3889">
      <w:instrText xml:space="preserve"> DOCPROPERTY</w:instrText>
    </w:r>
    <w:r w:rsidRPr="002E3889">
      <w:rPr>
        <w:sz w:val="18"/>
      </w:rPr>
      <w:instrText xml:space="preserve"> "Motionsnummer" *\charformat </w:instrText>
    </w:r>
    <w:r w:rsidRPr="002E3889">
      <w:fldChar w:fldCharType="separate"/>
    </w:r>
    <w:r w:rsidRPr="002E3889">
      <w:t>U313</w:t>
    </w:r>
    <w:r w:rsidRPr="002E3889">
      <w:fldChar w:fldCharType="end"/>
    </w:r>
    <w:r w:rsidRPr="002E3889">
      <w:br/>
    </w:r>
    <w:r w:rsidRPr="002E3889">
      <w:fldChar w:fldCharType="begin" w:fldLock="1"/>
    </w:r>
    <w:r w:rsidRPr="002E3889">
      <w:instrText xml:space="preserve"> DOCPROPERTY</w:instrText>
    </w:r>
    <w:r w:rsidRPr="002E3889">
      <w:rPr>
        <w:sz w:val="18"/>
      </w:rPr>
      <w:instrText xml:space="preserve"> "Samling" *\charformat </w:instrText>
    </w:r>
    <w:r w:rsidRPr="002E3889">
      <w:fldChar w:fldCharType="end"/>
    </w:r>
    <w:r w:rsidRPr="002E3889">
      <w:tab/>
      <w:t xml:space="preserve">pnr: </w:t>
    </w:r>
    <w:r w:rsidRPr="002E3889">
      <w:fldChar w:fldCharType="begin" w:fldLock="1"/>
    </w:r>
    <w:r w:rsidRPr="002E3889">
      <w:instrText xml:space="preserve"> DOCPROPERTY</w:instrText>
    </w:r>
    <w:r w:rsidRPr="002E3889">
      <w:rPr>
        <w:sz w:val="18"/>
      </w:rPr>
      <w:instrText xml:space="preserve"> "Partinummer" *\charformat </w:instrText>
    </w:r>
    <w:r w:rsidRPr="002E3889">
      <w:fldChar w:fldCharType="separate"/>
    </w:r>
    <w:r w:rsidRPr="002E3889">
      <w:t>MP1413</w:t>
    </w:r>
    <w:r w:rsidRPr="002E3889">
      <w:fldChar w:fldCharType="end"/>
    </w:r>
  </w:p>
  <w:p w:rsidR="003911A5" w:rsidRPr="002E3889" w:rsidRDefault="003911A5">
    <w:pPr>
      <w:pStyle w:val="FSHRub1"/>
    </w:pPr>
    <w:r w:rsidRPr="002E3889">
      <w:t>Motion till riksdagen</w:t>
    </w:r>
    <w:r w:rsidRPr="002E3889">
      <w:br/>
    </w:r>
    <w:r w:rsidRPr="002E3889">
      <w:fldChar w:fldCharType="begin" w:fldLock="1"/>
    </w:r>
    <w:r w:rsidRPr="002E3889">
      <w:instrText xml:space="preserve"> DOCPROPERTY "YearUser" *\charformat </w:instrText>
    </w:r>
    <w:r w:rsidRPr="002E3889">
      <w:fldChar w:fldCharType="separate"/>
    </w:r>
    <w:r w:rsidRPr="002E3889">
      <w:t>2010/11</w:t>
    </w:r>
    <w:r w:rsidRPr="002E3889">
      <w:fldChar w:fldCharType="end"/>
    </w:r>
    <w:r w:rsidRPr="002E3889">
      <w:t>:</w:t>
    </w:r>
    <w:r w:rsidRPr="002E3889">
      <w:fldChar w:fldCharType="begin" w:fldLock="1"/>
    </w:r>
    <w:r w:rsidRPr="002E3889">
      <w:instrText xml:space="preserve"> DOCPROPERTY "Motionsnummer" *\charformat </w:instrText>
    </w:r>
    <w:r w:rsidRPr="002E3889">
      <w:fldChar w:fldCharType="separate"/>
    </w:r>
    <w:r w:rsidRPr="002E3889">
      <w:t>U313</w:t>
    </w:r>
    <w:r w:rsidRPr="002E3889">
      <w:fldChar w:fldCharType="end"/>
    </w:r>
  </w:p>
  <w:p w:rsidR="003911A5" w:rsidRPr="002E3889" w:rsidRDefault="003911A5">
    <w:pPr>
      <w:pStyle w:val="FSHNormalS5"/>
    </w:pPr>
    <w:r w:rsidRPr="002E3889">
      <w:fldChar w:fldCharType="begin" w:fldLock="1"/>
    </w:r>
    <w:r w:rsidRPr="002E3889">
      <w:instrText xml:space="preserve"> DOCPROPERTY "MotionarText" *\charformat </w:instrText>
    </w:r>
    <w:r w:rsidRPr="002E3889">
      <w:fldChar w:fldCharType="separate"/>
    </w:r>
    <w:r w:rsidRPr="002E3889">
      <w:t>av Bodil Ceballos och Åsa Romson (MP)</w:t>
    </w:r>
    <w:r w:rsidRPr="002E3889">
      <w:fldChar w:fldCharType="end"/>
    </w:r>
    <w:r w:rsidRPr="002E3889">
      <w:br/>
    </w:r>
    <w:r w:rsidRPr="002E3889">
      <w:fldChar w:fldCharType="begin" w:fldLock="1"/>
    </w:r>
    <w:r w:rsidRPr="002E3889">
      <w:instrText xml:space="preserve"> DOCPROPERTY "SvarFrasKort" *\charformat </w:instrText>
    </w:r>
    <w:r w:rsidRPr="002E3889">
      <w:fldChar w:fldCharType="end"/>
    </w:r>
  </w:p>
  <w:p w:rsidR="003911A5" w:rsidRPr="002E3889" w:rsidRDefault="003911A5">
    <w:pPr>
      <w:pStyle w:val="FSHTitel"/>
    </w:pPr>
    <w:r w:rsidRPr="002E3889">
      <w:fldChar w:fldCharType="begin" w:fldLock="1"/>
    </w:r>
    <w:r w:rsidRPr="002E3889">
      <w:instrText xml:space="preserve"> DOCPROPERTY</w:instrText>
    </w:r>
    <w:r w:rsidRPr="002E3889">
      <w:rPr>
        <w:sz w:val="18"/>
      </w:rPr>
      <w:instrText xml:space="preserve"> "RubrikSvar" *\charformat </w:instrText>
    </w:r>
    <w:r w:rsidRPr="002E3889">
      <w:fldChar w:fldCharType="separate"/>
    </w:r>
    <w:r w:rsidRPr="002E3889">
      <w:t>Fristående utvärdering av Sveriges politik för global utveckling</w:t>
    </w:r>
    <w:r w:rsidRPr="002E3889">
      <w:fldChar w:fldCharType="end"/>
    </w:r>
  </w:p>
  <w:p w:rsidR="003911A5" w:rsidRPr="002E3889" w:rsidRDefault="003911A5">
    <w:pPr>
      <w:pStyle w:val="Normal00"/>
    </w:pPr>
  </w:p>
  <w:p w:rsidR="003911A5" w:rsidRPr="002E3889" w:rsidRDefault="003911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58790">
    <w:abstractNumId w:val="3"/>
  </w:num>
  <w:num w:numId="2" w16cid:durableId="1433164434">
    <w:abstractNumId w:val="2"/>
  </w:num>
  <w:num w:numId="3" w16cid:durableId="1357271677">
    <w:abstractNumId w:val="1"/>
  </w:num>
  <w:num w:numId="4" w16cid:durableId="1583375666">
    <w:abstractNumId w:val="0"/>
  </w:num>
  <w:num w:numId="5" w16cid:durableId="1824617520">
    <w:abstractNumId w:val="7"/>
  </w:num>
  <w:num w:numId="6" w16cid:durableId="484055207">
    <w:abstractNumId w:val="6"/>
  </w:num>
  <w:num w:numId="7" w16cid:durableId="1670209717">
    <w:abstractNumId w:val="5"/>
  </w:num>
  <w:num w:numId="8" w16cid:durableId="1005399461">
    <w:abstractNumId w:val="4"/>
  </w:num>
  <w:num w:numId="9" w16cid:durableId="1322808157">
    <w:abstractNumId w:val="8"/>
  </w:num>
  <w:num w:numId="10" w16cid:durableId="193735006">
    <w:abstractNumId w:val="9"/>
  </w:num>
  <w:num w:numId="11" w16cid:durableId="831028498">
    <w:abstractNumId w:val="10"/>
  </w:num>
  <w:num w:numId="12" w16cid:durableId="1640761981">
    <w:abstractNumId w:val="13"/>
  </w:num>
  <w:num w:numId="13" w16cid:durableId="66073390">
    <w:abstractNumId w:val="15"/>
  </w:num>
  <w:num w:numId="14" w16cid:durableId="960498457">
    <w:abstractNumId w:val="16"/>
  </w:num>
  <w:num w:numId="15" w16cid:durableId="1744982825">
    <w:abstractNumId w:val="11"/>
  </w:num>
  <w:num w:numId="16" w16cid:durableId="259067733">
    <w:abstractNumId w:val="18"/>
  </w:num>
  <w:num w:numId="17" w16cid:durableId="1755280006">
    <w:abstractNumId w:val="17"/>
  </w:num>
  <w:num w:numId="18" w16cid:durableId="1564873163">
    <w:abstractNumId w:val="14"/>
  </w:num>
  <w:num w:numId="19" w16cid:durableId="1595630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8B79F084-2FE8-43FE-81EC-B454DB4AAA24},{94AF8911-DA55-4D11-ACB5-DC09C57218B9}"/>
  </w:docVars>
  <w:rsids>
    <w:rsidRoot w:val="00764C4F"/>
    <w:rsid w:val="002E3889"/>
    <w:rsid w:val="003911A5"/>
    <w:rsid w:val="00764C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68BD48-BD97-4E10-A9E7-76D7C13F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3577</Characters>
  <Application>Microsoft Office Word</Application>
  <DocSecurity>4</DocSecurity>
  <Lines>63</Lines>
  <Paragraphs>15</Paragraphs>
  <ScaleCrop>false</ScaleCrop>
  <HeadingPairs>
    <vt:vector size="2" baseType="variant">
      <vt:variant>
        <vt:lpstr>Rubrik</vt:lpstr>
      </vt:variant>
      <vt:variant>
        <vt:i4>1</vt:i4>
      </vt:variant>
    </vt:vector>
  </HeadingPairs>
  <TitlesOfParts>
    <vt:vector size="1" baseType="lpstr">
      <vt:lpstr>MP1413</vt:lpstr>
    </vt:vector>
  </TitlesOfParts>
  <Company>Riksdagen</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MP1413</dc:title>
  <dc:subject>MP1413</dc:subject>
  <dc:creator>Riksdagen</dc:creator>
  <cp:keywords>Riksdagen</cp:keywords>
  <dc:description>Versal/gemen i partibeteckning. Gemen i tryck för 0910, versal för 1011 och nyare MP-special</dc:description>
  <cp:lastModifiedBy>Lars Brink</cp:lastModifiedBy>
  <cp:revision>2</cp:revision>
  <cp:lastPrinted>2011-01-12T09:35:00Z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Fristående utvärdering av Sveriges politik för global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Fristående utvärdering av Sveriges politik för global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MP1413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Bodil Ceballos och Åsa Romson (MP)</vt:lpwstr>
  </property>
  <property fmtid="{D5CDD505-2E9C-101B-9397-08002B2CF9AE}" pid="26" name="MotionarLista">
    <vt:lpwstr>Ceballos, Bodil (MP)\Romson,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Åsa Romson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20102011000000770080000014130069</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20102011000000770080000014130069</vt:lpwstr>
  </property>
  <property fmtid="{D5CDD505-2E9C-101B-9397-08002B2CF9AE}" pid="50" name="nummer">
    <vt:lpwstr>313</vt:lpwstr>
  </property>
  <property fmtid="{D5CDD505-2E9C-101B-9397-08002B2CF9AE}" pid="51" name="utskottsbeteckning">
    <vt:lpwstr>U</vt:lpwstr>
  </property>
  <property fmtid="{D5CDD505-2E9C-101B-9397-08002B2CF9AE}" pid="52" name="GlobalUID">
    <vt:lpwstr>{6087D3DC-62DA-4F0D-88E1-EB4558520922}</vt:lpwstr>
  </property>
  <property fmtid="{D5CDD505-2E9C-101B-9397-08002B2CF9AE}" pid="53" name="Överföringar">
    <vt:i4>0</vt:i4>
  </property>
  <property fmtid="{D5CDD505-2E9C-101B-9397-08002B2CF9AE}" pid="54" name="Checksum">
    <vt:lpwstr>*0003081974765*</vt:lpwstr>
  </property>
  <property fmtid="{D5CDD505-2E9C-101B-9397-08002B2CF9AE}" pid="55" name="skuggnummer">
    <vt:lpwstr>2887</vt:lpwstr>
  </property>
  <property fmtid="{D5CDD505-2E9C-101B-9397-08002B2CF9AE}" pid="56" name="urixVersion">
    <vt:lpwstr>4.3.2.0</vt:lpwstr>
  </property>
  <property fmtid="{D5CDD505-2E9C-101B-9397-08002B2CF9AE}" pid="57" name="urixOrigin">
    <vt:lpwstr>110112 10:46:06.783</vt:lpwstr>
  </property>
  <property fmtid="{D5CDD505-2E9C-101B-9397-08002B2CF9AE}" pid="58" name="urixGuid">
    <vt:lpwstr>{31908ECC-02E6-4581-90FE-4BA736B3C732}</vt:lpwstr>
  </property>
</Properties>
</file>