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43994">
        <w:tblPrEx>
          <w:tblCellMar>
            <w:top w:w="0" w:type="dxa"/>
            <w:bottom w:w="0" w:type="dxa"/>
          </w:tblCellMar>
        </w:tblPrEx>
        <w:tc>
          <w:tcPr>
            <w:tcW w:w="2268" w:type="dxa"/>
          </w:tcPr>
          <w:p w:rsidR="006E4E11" w:rsidRPr="00C4399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43994" w:rsidRDefault="006E4E11" w:rsidP="007242A3">
            <w:pPr>
              <w:framePr w:w="5035" w:h="1644" w:wrap="notBeside" w:vAnchor="page" w:hAnchor="page" w:x="6573" w:y="721"/>
              <w:rPr>
                <w:rFonts w:ascii="TradeGothic" w:hAnsi="TradeGothic"/>
                <w:i/>
                <w:sz w:val="18"/>
              </w:rPr>
            </w:pPr>
          </w:p>
        </w:tc>
      </w:tr>
      <w:tr w:rsidR="006E4E11" w:rsidRPr="00C43994">
        <w:tblPrEx>
          <w:tblCellMar>
            <w:top w:w="0" w:type="dxa"/>
            <w:bottom w:w="0" w:type="dxa"/>
          </w:tblCellMar>
        </w:tblPrEx>
        <w:tc>
          <w:tcPr>
            <w:tcW w:w="2268" w:type="dxa"/>
          </w:tcPr>
          <w:p w:rsidR="006E4E11" w:rsidRPr="00C43994" w:rsidRDefault="00856A3C" w:rsidP="007242A3">
            <w:pPr>
              <w:framePr w:w="5035" w:h="1644" w:wrap="notBeside" w:vAnchor="page" w:hAnchor="page" w:x="6573" w:y="721"/>
              <w:rPr>
                <w:rFonts w:ascii="TradeGothic" w:hAnsi="TradeGothic"/>
                <w:b/>
                <w:sz w:val="22"/>
              </w:rPr>
            </w:pPr>
            <w:r w:rsidRPr="00C43994">
              <w:rPr>
                <w:rFonts w:ascii="TradeGothic" w:hAnsi="TradeGothic"/>
                <w:b/>
                <w:sz w:val="22"/>
              </w:rPr>
              <w:t xml:space="preserve">Annoteringar </w:t>
            </w:r>
          </w:p>
        </w:tc>
        <w:tc>
          <w:tcPr>
            <w:tcW w:w="2999" w:type="dxa"/>
            <w:gridSpan w:val="2"/>
          </w:tcPr>
          <w:p w:rsidR="006E4E11" w:rsidRPr="00C43994" w:rsidRDefault="006E4E11" w:rsidP="007242A3">
            <w:pPr>
              <w:framePr w:w="5035" w:h="1644" w:wrap="notBeside" w:vAnchor="page" w:hAnchor="page" w:x="6573" w:y="721"/>
              <w:rPr>
                <w:rFonts w:ascii="TradeGothic" w:hAnsi="TradeGothic"/>
                <w:b/>
                <w:sz w:val="22"/>
              </w:rPr>
            </w:pPr>
          </w:p>
        </w:tc>
      </w:tr>
      <w:tr w:rsidR="006E4E11" w:rsidRPr="00C43994">
        <w:tblPrEx>
          <w:tblCellMar>
            <w:top w:w="0" w:type="dxa"/>
            <w:bottom w:w="0" w:type="dxa"/>
          </w:tblCellMar>
        </w:tblPrEx>
        <w:tc>
          <w:tcPr>
            <w:tcW w:w="3402" w:type="dxa"/>
            <w:gridSpan w:val="2"/>
          </w:tcPr>
          <w:p w:rsidR="006E4E11" w:rsidRPr="00C43994" w:rsidRDefault="006E4E11" w:rsidP="007242A3">
            <w:pPr>
              <w:framePr w:w="5035" w:h="1644" w:wrap="notBeside" w:vAnchor="page" w:hAnchor="page" w:x="6573" w:y="721"/>
            </w:pPr>
          </w:p>
        </w:tc>
        <w:tc>
          <w:tcPr>
            <w:tcW w:w="1865" w:type="dxa"/>
          </w:tcPr>
          <w:p w:rsidR="006E4E11" w:rsidRPr="00C43994" w:rsidRDefault="006E4E11" w:rsidP="007242A3">
            <w:pPr>
              <w:framePr w:w="5035" w:h="1644" w:wrap="notBeside" w:vAnchor="page" w:hAnchor="page" w:x="6573" w:y="721"/>
            </w:pPr>
          </w:p>
        </w:tc>
      </w:tr>
      <w:tr w:rsidR="006E4E11" w:rsidRPr="00C43994">
        <w:tblPrEx>
          <w:tblCellMar>
            <w:top w:w="0" w:type="dxa"/>
            <w:bottom w:w="0" w:type="dxa"/>
          </w:tblCellMar>
        </w:tblPrEx>
        <w:tc>
          <w:tcPr>
            <w:tcW w:w="2268" w:type="dxa"/>
          </w:tcPr>
          <w:p w:rsidR="006E4E11" w:rsidRPr="00C43994" w:rsidRDefault="00856A3C" w:rsidP="007242A3">
            <w:pPr>
              <w:framePr w:w="5035" w:h="1644" w:wrap="notBeside" w:vAnchor="page" w:hAnchor="page" w:x="6573" w:y="721"/>
            </w:pPr>
            <w:r w:rsidRPr="00C43994">
              <w:t>20</w:t>
            </w:r>
            <w:r w:rsidR="00557C90" w:rsidRPr="00C43994">
              <w:t>1</w:t>
            </w:r>
            <w:r w:rsidR="000921BE" w:rsidRPr="00C43994">
              <w:t>1-0</w:t>
            </w:r>
            <w:r w:rsidR="00AB0C4A" w:rsidRPr="00C43994">
              <w:t>6</w:t>
            </w:r>
            <w:r w:rsidR="00F855E1" w:rsidRPr="00C43994">
              <w:t>-</w:t>
            </w:r>
            <w:r w:rsidR="000E6DC1" w:rsidRPr="00C43994">
              <w:t>1</w:t>
            </w:r>
            <w:r w:rsidR="001A04AC" w:rsidRPr="00C43994">
              <w:t>3</w:t>
            </w:r>
          </w:p>
        </w:tc>
        <w:tc>
          <w:tcPr>
            <w:tcW w:w="2999" w:type="dxa"/>
            <w:gridSpan w:val="2"/>
          </w:tcPr>
          <w:p w:rsidR="006E4E11" w:rsidRPr="00C43994" w:rsidRDefault="006E4E11" w:rsidP="007242A3">
            <w:pPr>
              <w:framePr w:w="5035" w:h="1644" w:wrap="notBeside" w:vAnchor="page" w:hAnchor="page" w:x="6573" w:y="721"/>
            </w:pPr>
          </w:p>
        </w:tc>
      </w:tr>
      <w:tr w:rsidR="006E4E11" w:rsidRPr="00C43994">
        <w:tblPrEx>
          <w:tblCellMar>
            <w:top w:w="0" w:type="dxa"/>
            <w:bottom w:w="0" w:type="dxa"/>
          </w:tblCellMar>
        </w:tblPrEx>
        <w:tc>
          <w:tcPr>
            <w:tcW w:w="2268" w:type="dxa"/>
          </w:tcPr>
          <w:p w:rsidR="006E4E11" w:rsidRPr="00C43994" w:rsidRDefault="006E4E11" w:rsidP="007242A3">
            <w:pPr>
              <w:framePr w:w="5035" w:h="1644" w:wrap="notBeside" w:vAnchor="page" w:hAnchor="page" w:x="6573" w:y="721"/>
            </w:pPr>
          </w:p>
        </w:tc>
        <w:tc>
          <w:tcPr>
            <w:tcW w:w="2999" w:type="dxa"/>
            <w:gridSpan w:val="2"/>
          </w:tcPr>
          <w:p w:rsidR="006E4E11" w:rsidRPr="00C4399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43994">
        <w:tblPrEx>
          <w:tblCellMar>
            <w:top w:w="0" w:type="dxa"/>
            <w:bottom w:w="0" w:type="dxa"/>
          </w:tblCellMar>
        </w:tblPrEx>
        <w:trPr>
          <w:trHeight w:val="284"/>
        </w:trPr>
        <w:tc>
          <w:tcPr>
            <w:tcW w:w="4911" w:type="dxa"/>
          </w:tcPr>
          <w:p w:rsidR="006E4E11" w:rsidRPr="00C43994" w:rsidRDefault="00856A3C">
            <w:pPr>
              <w:pStyle w:val="Avsndare"/>
              <w:framePr w:h="2483" w:wrap="notBeside" w:x="1504"/>
              <w:rPr>
                <w:b/>
                <w:i w:val="0"/>
                <w:sz w:val="22"/>
              </w:rPr>
            </w:pPr>
            <w:r w:rsidRPr="00C43994">
              <w:rPr>
                <w:b/>
                <w:i w:val="0"/>
                <w:sz w:val="22"/>
              </w:rPr>
              <w:t>Finansdepartementet</w:t>
            </w:r>
          </w:p>
        </w:tc>
      </w:tr>
      <w:tr w:rsidR="006E4E11" w:rsidRPr="00C43994">
        <w:tblPrEx>
          <w:tblCellMar>
            <w:top w:w="0" w:type="dxa"/>
            <w:bottom w:w="0" w:type="dxa"/>
          </w:tblCellMar>
        </w:tblPrEx>
        <w:trPr>
          <w:trHeight w:val="284"/>
        </w:trPr>
        <w:tc>
          <w:tcPr>
            <w:tcW w:w="4911" w:type="dxa"/>
          </w:tcPr>
          <w:p w:rsidR="006E4E11" w:rsidRPr="00C43994" w:rsidRDefault="006E4E11">
            <w:pPr>
              <w:pStyle w:val="Avsndare"/>
              <w:framePr w:h="2483" w:wrap="notBeside" w:x="1504"/>
              <w:rPr>
                <w:bCs/>
                <w:iCs/>
              </w:rPr>
            </w:pPr>
          </w:p>
        </w:tc>
      </w:tr>
      <w:tr w:rsidR="006E4E11" w:rsidRPr="00C43994">
        <w:tblPrEx>
          <w:tblCellMar>
            <w:top w:w="0" w:type="dxa"/>
            <w:bottom w:w="0" w:type="dxa"/>
          </w:tblCellMar>
        </w:tblPrEx>
        <w:trPr>
          <w:trHeight w:val="284"/>
        </w:trPr>
        <w:tc>
          <w:tcPr>
            <w:tcW w:w="4911" w:type="dxa"/>
          </w:tcPr>
          <w:p w:rsidR="006E4E11" w:rsidRPr="00C43994" w:rsidRDefault="006E4E11">
            <w:pPr>
              <w:pStyle w:val="Avsndare"/>
              <w:framePr w:h="2483" w:wrap="notBeside" w:x="1504"/>
              <w:rPr>
                <w:bCs/>
                <w:iCs/>
              </w:rPr>
            </w:pPr>
          </w:p>
        </w:tc>
      </w:tr>
      <w:tr w:rsidR="006E4E11" w:rsidRPr="00C43994">
        <w:tblPrEx>
          <w:tblCellMar>
            <w:top w:w="0" w:type="dxa"/>
            <w:bottom w:w="0" w:type="dxa"/>
          </w:tblCellMar>
        </w:tblPrEx>
        <w:trPr>
          <w:trHeight w:val="284"/>
        </w:trPr>
        <w:tc>
          <w:tcPr>
            <w:tcW w:w="4911" w:type="dxa"/>
          </w:tcPr>
          <w:p w:rsidR="006E4E11" w:rsidRPr="00C43994" w:rsidRDefault="00AB0C4A">
            <w:pPr>
              <w:pStyle w:val="Avsndare"/>
              <w:framePr w:h="2483" w:wrap="notBeside" w:x="1504"/>
              <w:rPr>
                <w:bCs/>
                <w:iCs/>
              </w:rPr>
            </w:pPr>
            <w:r w:rsidRPr="00C43994">
              <w:rPr>
                <w:bCs/>
                <w:iCs/>
              </w:rPr>
              <w:t>Emil Antonsson</w:t>
            </w:r>
          </w:p>
        </w:tc>
      </w:tr>
      <w:tr w:rsidR="006E4E11" w:rsidRPr="00C43994">
        <w:tblPrEx>
          <w:tblCellMar>
            <w:top w:w="0" w:type="dxa"/>
            <w:bottom w:w="0" w:type="dxa"/>
          </w:tblCellMar>
        </w:tblPrEx>
        <w:trPr>
          <w:trHeight w:val="284"/>
        </w:trPr>
        <w:tc>
          <w:tcPr>
            <w:tcW w:w="4911" w:type="dxa"/>
          </w:tcPr>
          <w:p w:rsidR="006E4E11" w:rsidRPr="00C43994" w:rsidRDefault="006E4E11">
            <w:pPr>
              <w:pStyle w:val="Avsndare"/>
              <w:framePr w:h="2483" w:wrap="notBeside" w:x="1504"/>
              <w:rPr>
                <w:bCs/>
                <w:iCs/>
              </w:rPr>
            </w:pPr>
          </w:p>
        </w:tc>
      </w:tr>
      <w:tr w:rsidR="006E4E11" w:rsidRPr="00C43994">
        <w:tblPrEx>
          <w:tblCellMar>
            <w:top w:w="0" w:type="dxa"/>
            <w:bottom w:w="0" w:type="dxa"/>
          </w:tblCellMar>
        </w:tblPrEx>
        <w:trPr>
          <w:trHeight w:val="284"/>
        </w:trPr>
        <w:tc>
          <w:tcPr>
            <w:tcW w:w="4911" w:type="dxa"/>
          </w:tcPr>
          <w:p w:rsidR="006E4E11" w:rsidRPr="00C43994" w:rsidRDefault="006E4E11">
            <w:pPr>
              <w:pStyle w:val="Avsndare"/>
              <w:framePr w:h="2483" w:wrap="notBeside" w:x="1504"/>
              <w:rPr>
                <w:bCs/>
                <w:iCs/>
              </w:rPr>
            </w:pPr>
          </w:p>
        </w:tc>
      </w:tr>
    </w:tbl>
    <w:p w:rsidR="00856A3C" w:rsidRPr="00C43994" w:rsidRDefault="00856A3C">
      <w:pPr>
        <w:framePr w:w="4400" w:h="2523" w:wrap="notBeside" w:vAnchor="page" w:hAnchor="page" w:x="6453" w:y="2445"/>
        <w:ind w:left="142"/>
      </w:pPr>
    </w:p>
    <w:p w:rsidR="00856A3C" w:rsidRPr="00C43994" w:rsidRDefault="00856A3C">
      <w:pPr>
        <w:framePr w:w="4400" w:h="2523" w:wrap="notBeside" w:vAnchor="page" w:hAnchor="page" w:x="6453" w:y="2445"/>
        <w:ind w:left="142"/>
      </w:pPr>
    </w:p>
    <w:p w:rsidR="00F069DE" w:rsidRPr="00C43994" w:rsidRDefault="00856A3C">
      <w:pPr>
        <w:framePr w:w="4400" w:h="2523" w:wrap="notBeside" w:vAnchor="page" w:hAnchor="page" w:x="6453" w:y="2445"/>
        <w:ind w:left="142"/>
      </w:pPr>
      <w:r w:rsidRPr="00C43994">
        <w:t xml:space="preserve">Ekofinrådets möte </w:t>
      </w:r>
      <w:r w:rsidR="00F069DE" w:rsidRPr="00C43994">
        <w:t xml:space="preserve">i </w:t>
      </w:r>
      <w:r w:rsidR="005701D3" w:rsidRPr="00C43994">
        <w:t>Luxemburg</w:t>
      </w:r>
      <w:r w:rsidR="00F069DE" w:rsidRPr="00C43994">
        <w:t xml:space="preserve"> </w:t>
      </w:r>
    </w:p>
    <w:p w:rsidR="00DA5FE2" w:rsidRPr="00C43994" w:rsidRDefault="00F069DE">
      <w:pPr>
        <w:framePr w:w="4400" w:h="2523" w:wrap="notBeside" w:vAnchor="page" w:hAnchor="page" w:x="6453" w:y="2445"/>
        <w:ind w:left="142"/>
      </w:pPr>
      <w:r w:rsidRPr="00C43994">
        <w:t>den</w:t>
      </w:r>
      <w:r w:rsidR="002047D3" w:rsidRPr="00C43994">
        <w:t xml:space="preserve"> </w:t>
      </w:r>
      <w:r w:rsidR="000B5526" w:rsidRPr="00C43994">
        <w:t>20</w:t>
      </w:r>
      <w:r w:rsidR="00F855E1" w:rsidRPr="00C43994">
        <w:t xml:space="preserve"> </w:t>
      </w:r>
      <w:r w:rsidR="000B5526" w:rsidRPr="00C43994">
        <w:t xml:space="preserve">juni </w:t>
      </w:r>
      <w:r w:rsidR="000921BE" w:rsidRPr="00C43994">
        <w:t>2011</w:t>
      </w:r>
    </w:p>
    <w:p w:rsidR="006E4E11" w:rsidRPr="00C43994" w:rsidRDefault="00856A3C" w:rsidP="00856A3C">
      <w:pPr>
        <w:pStyle w:val="RKrubrik"/>
        <w:pBdr>
          <w:bottom w:val="single" w:sz="4" w:space="1" w:color="000000"/>
        </w:pBdr>
        <w:spacing w:before="0" w:after="0"/>
      </w:pPr>
      <w:r w:rsidRPr="00C43994">
        <w:t>Kommentera</w:t>
      </w:r>
      <w:r w:rsidR="004706A2" w:rsidRPr="00C43994">
        <w:t>d</w:t>
      </w:r>
      <w:r w:rsidRPr="00C43994">
        <w:t xml:space="preserve"> dagordning</w:t>
      </w:r>
    </w:p>
    <w:p w:rsidR="006E4E11" w:rsidRPr="00C43994" w:rsidRDefault="004706A2">
      <w:pPr>
        <w:pStyle w:val="RKnormal"/>
        <w:rPr>
          <w:sz w:val="20"/>
        </w:rPr>
      </w:pPr>
      <w:r w:rsidRPr="00C43994">
        <w:rPr>
          <w:sz w:val="20"/>
        </w:rPr>
        <w:t>- enligt den preliminära dagordning som framkom vid Coreper den</w:t>
      </w:r>
      <w:r w:rsidR="002047D3" w:rsidRPr="00C43994">
        <w:rPr>
          <w:sz w:val="20"/>
        </w:rPr>
        <w:t xml:space="preserve"> </w:t>
      </w:r>
      <w:r w:rsidR="000B5526" w:rsidRPr="00C43994">
        <w:rPr>
          <w:sz w:val="20"/>
        </w:rPr>
        <w:t>8 juni</w:t>
      </w:r>
    </w:p>
    <w:p w:rsidR="004706A2" w:rsidRPr="00C43994" w:rsidRDefault="004706A2" w:rsidP="00856A3C">
      <w:pPr>
        <w:pStyle w:val="RKnormal"/>
        <w:tabs>
          <w:tab w:val="clear" w:pos="2835"/>
          <w:tab w:val="left" w:pos="1701"/>
        </w:tabs>
        <w:rPr>
          <w:b/>
        </w:rPr>
      </w:pPr>
    </w:p>
    <w:p w:rsidR="0089124D" w:rsidRPr="00C43994" w:rsidRDefault="0089124D" w:rsidP="0089124D">
      <w:pPr>
        <w:tabs>
          <w:tab w:val="left" w:pos="1701"/>
        </w:tabs>
        <w:overflowPunct/>
        <w:spacing w:line="240" w:lineRule="auto"/>
        <w:textAlignment w:val="auto"/>
        <w:rPr>
          <w:rFonts w:cs="OrigGarmnd BT"/>
          <w:b/>
          <w:bCs/>
          <w:color w:val="000000"/>
          <w:szCs w:val="24"/>
          <w:lang w:eastAsia="sv-SE"/>
        </w:rPr>
      </w:pPr>
      <w:r w:rsidRPr="00C43994">
        <w:rPr>
          <w:rFonts w:cs="OrigGarmnd BT"/>
          <w:b/>
          <w:bCs/>
          <w:color w:val="000000"/>
          <w:szCs w:val="24"/>
          <w:lang w:eastAsia="sv-SE"/>
        </w:rPr>
        <w:t>1.</w:t>
      </w:r>
      <w:r w:rsidRPr="00C43994">
        <w:rPr>
          <w:rFonts w:cs="OrigGarmnd BT"/>
          <w:b/>
          <w:bCs/>
          <w:color w:val="000000"/>
          <w:szCs w:val="24"/>
          <w:lang w:eastAsia="sv-SE"/>
        </w:rPr>
        <w:tab/>
        <w:t>Antagande av den preliminära dagordningen</w:t>
      </w:r>
    </w:p>
    <w:p w:rsidR="0089124D" w:rsidRPr="00C43994" w:rsidRDefault="0089124D" w:rsidP="0089124D">
      <w:pPr>
        <w:tabs>
          <w:tab w:val="left" w:pos="1701"/>
        </w:tabs>
        <w:overflowPunct/>
        <w:spacing w:line="240" w:lineRule="auto"/>
        <w:textAlignment w:val="auto"/>
        <w:rPr>
          <w:rFonts w:cs="OrigGarmnd BT"/>
          <w:b/>
          <w:bCs/>
          <w:color w:val="000000"/>
          <w:szCs w:val="24"/>
          <w:lang w:eastAsia="sv-SE"/>
        </w:rPr>
      </w:pPr>
    </w:p>
    <w:p w:rsidR="00EF5C7B" w:rsidRPr="00C43994" w:rsidRDefault="00EF5C7B" w:rsidP="0089124D">
      <w:pPr>
        <w:tabs>
          <w:tab w:val="left" w:pos="1701"/>
        </w:tabs>
        <w:overflowPunct/>
        <w:spacing w:line="240" w:lineRule="auto"/>
        <w:textAlignment w:val="auto"/>
        <w:rPr>
          <w:rFonts w:cs="OrigGarmnd BT"/>
          <w:b/>
          <w:bCs/>
          <w:color w:val="000000"/>
          <w:szCs w:val="24"/>
          <w:lang w:eastAsia="sv-SE"/>
        </w:rPr>
      </w:pPr>
    </w:p>
    <w:p w:rsidR="0089124D" w:rsidRPr="00C43994" w:rsidRDefault="0089124D" w:rsidP="0089124D">
      <w:pPr>
        <w:tabs>
          <w:tab w:val="left" w:pos="1701"/>
        </w:tabs>
        <w:overflowPunct/>
        <w:spacing w:line="240" w:lineRule="auto"/>
        <w:textAlignment w:val="auto"/>
        <w:rPr>
          <w:rFonts w:cs="OrigGarmnd BT"/>
          <w:b/>
          <w:bCs/>
          <w:color w:val="000000"/>
          <w:szCs w:val="24"/>
          <w:lang w:eastAsia="sv-SE"/>
        </w:rPr>
      </w:pPr>
      <w:r w:rsidRPr="00C43994">
        <w:rPr>
          <w:rFonts w:cs="OrigGarmnd BT"/>
          <w:b/>
          <w:bCs/>
          <w:color w:val="000000"/>
          <w:szCs w:val="24"/>
          <w:lang w:eastAsia="sv-SE"/>
        </w:rPr>
        <w:t>2.</w:t>
      </w:r>
      <w:r w:rsidRPr="00C43994">
        <w:rPr>
          <w:rFonts w:cs="OrigGarmnd BT"/>
          <w:b/>
          <w:bCs/>
          <w:color w:val="000000"/>
          <w:szCs w:val="24"/>
          <w:lang w:eastAsia="sv-SE"/>
        </w:rPr>
        <w:tab/>
        <w:t>Godkännande av listorna över A-punkter</w:t>
      </w:r>
    </w:p>
    <w:p w:rsidR="0089124D" w:rsidRPr="00C43994" w:rsidRDefault="0089124D" w:rsidP="0089124D">
      <w:pPr>
        <w:tabs>
          <w:tab w:val="left" w:pos="1701"/>
        </w:tabs>
        <w:overflowPunct/>
        <w:spacing w:line="240" w:lineRule="auto"/>
        <w:textAlignment w:val="auto"/>
        <w:rPr>
          <w:rFonts w:cs="OrigGarmnd BT"/>
          <w:b/>
          <w:bCs/>
          <w:color w:val="000000"/>
          <w:szCs w:val="24"/>
          <w:lang w:eastAsia="sv-SE"/>
        </w:rPr>
      </w:pPr>
    </w:p>
    <w:p w:rsidR="0089124D" w:rsidRPr="00C43994" w:rsidRDefault="0089124D" w:rsidP="0089124D">
      <w:pPr>
        <w:tabs>
          <w:tab w:val="left" w:pos="1701"/>
        </w:tabs>
        <w:overflowPunct/>
        <w:spacing w:line="240" w:lineRule="auto"/>
        <w:textAlignment w:val="auto"/>
        <w:rPr>
          <w:rFonts w:cs="OrigGarmnd BT"/>
          <w:color w:val="000000"/>
          <w:szCs w:val="24"/>
          <w:lang w:eastAsia="sv-SE"/>
        </w:rPr>
      </w:pPr>
    </w:p>
    <w:p w:rsidR="002047D3" w:rsidRPr="00C43994" w:rsidRDefault="00C060CD" w:rsidP="0089124D">
      <w:pPr>
        <w:tabs>
          <w:tab w:val="left" w:pos="1701"/>
        </w:tabs>
        <w:overflowPunct/>
        <w:spacing w:line="240" w:lineRule="auto"/>
        <w:textAlignment w:val="auto"/>
        <w:rPr>
          <w:rFonts w:cs="OrigGarmnd BT"/>
          <w:b/>
          <w:bCs/>
          <w:color w:val="000000"/>
          <w:szCs w:val="24"/>
          <w:lang w:eastAsia="sv-SE"/>
        </w:rPr>
      </w:pPr>
      <w:r w:rsidRPr="00C43994">
        <w:rPr>
          <w:rFonts w:cs="OrigGarmnd BT"/>
          <w:b/>
          <w:bCs/>
          <w:color w:val="000000"/>
          <w:szCs w:val="24"/>
          <w:lang w:eastAsia="sv-SE"/>
        </w:rPr>
        <w:t>3</w:t>
      </w:r>
      <w:r w:rsidR="0089124D" w:rsidRPr="00C43994">
        <w:rPr>
          <w:rFonts w:cs="OrigGarmnd BT"/>
          <w:b/>
          <w:bCs/>
          <w:color w:val="000000"/>
          <w:szCs w:val="24"/>
          <w:lang w:eastAsia="sv-SE"/>
        </w:rPr>
        <w:t>.</w:t>
      </w:r>
      <w:r w:rsidR="0089124D" w:rsidRPr="00C43994">
        <w:rPr>
          <w:rFonts w:cs="OrigGarmnd BT"/>
          <w:b/>
          <w:bCs/>
          <w:color w:val="000000"/>
          <w:szCs w:val="24"/>
          <w:lang w:eastAsia="sv-SE"/>
        </w:rPr>
        <w:tab/>
      </w:r>
      <w:r w:rsidR="00C74DBB" w:rsidRPr="00C43994">
        <w:rPr>
          <w:rFonts w:cs="OrigGarmnd BT"/>
          <w:b/>
          <w:bCs/>
          <w:color w:val="000000"/>
          <w:szCs w:val="24"/>
          <w:lang w:eastAsia="sv-SE"/>
        </w:rPr>
        <w:t>Lagstiftningsförslag om ekonomisk styrning</w:t>
      </w:r>
    </w:p>
    <w:p w:rsidR="0089124D" w:rsidRPr="00C43994" w:rsidRDefault="002047D3" w:rsidP="0089124D">
      <w:pPr>
        <w:tabs>
          <w:tab w:val="left" w:pos="1701"/>
        </w:tabs>
        <w:overflowPunct/>
        <w:spacing w:line="240" w:lineRule="auto"/>
        <w:textAlignment w:val="auto"/>
        <w:rPr>
          <w:rFonts w:cs="OrigGarmnd BT"/>
          <w:i/>
          <w:iCs/>
          <w:color w:val="000000"/>
          <w:szCs w:val="24"/>
          <w:lang w:eastAsia="sv-SE"/>
        </w:rPr>
      </w:pPr>
      <w:r w:rsidRPr="00C43994">
        <w:rPr>
          <w:rFonts w:cs="OrigGarmnd BT"/>
          <w:b/>
          <w:bCs/>
          <w:color w:val="000000"/>
          <w:szCs w:val="24"/>
          <w:lang w:eastAsia="sv-SE"/>
        </w:rPr>
        <w:tab/>
      </w:r>
      <w:r w:rsidR="0089124D" w:rsidRPr="00C43994">
        <w:rPr>
          <w:rFonts w:cs="OrigGarmnd BT"/>
          <w:i/>
          <w:iCs/>
          <w:color w:val="000000"/>
          <w:szCs w:val="24"/>
          <w:lang w:eastAsia="sv-SE"/>
        </w:rPr>
        <w:t>-</w:t>
      </w:r>
      <w:r w:rsidR="00451C5D" w:rsidRPr="00C43994">
        <w:rPr>
          <w:rFonts w:cs="OrigGarmnd BT"/>
          <w:i/>
          <w:iCs/>
          <w:color w:val="000000"/>
          <w:szCs w:val="24"/>
          <w:lang w:eastAsia="sv-SE"/>
        </w:rPr>
        <w:t xml:space="preserve"> </w:t>
      </w:r>
      <w:r w:rsidR="00257993" w:rsidRPr="00C43994">
        <w:rPr>
          <w:rFonts w:cs="OrigGarmnd BT"/>
          <w:i/>
          <w:iCs/>
          <w:color w:val="000000"/>
          <w:szCs w:val="24"/>
          <w:lang w:eastAsia="sv-SE"/>
        </w:rPr>
        <w:t>u</w:t>
      </w:r>
      <w:r w:rsidR="00C74DBB" w:rsidRPr="00C43994">
        <w:rPr>
          <w:rFonts w:cs="OrigGarmnd BT"/>
          <w:i/>
          <w:iCs/>
          <w:color w:val="000000"/>
          <w:szCs w:val="24"/>
          <w:lang w:eastAsia="sv-SE"/>
        </w:rPr>
        <w:t xml:space="preserve">ppdaterad </w:t>
      </w:r>
      <w:r w:rsidR="00F855E1" w:rsidRPr="00C43994">
        <w:rPr>
          <w:rFonts w:cs="OrigGarmnd BT"/>
          <w:i/>
          <w:iCs/>
          <w:color w:val="000000"/>
          <w:szCs w:val="24"/>
          <w:lang w:eastAsia="sv-SE"/>
        </w:rPr>
        <w:t>allmän inriktning</w:t>
      </w:r>
    </w:p>
    <w:p w:rsidR="005B2957" w:rsidRPr="00C43994" w:rsidRDefault="005B2957" w:rsidP="005B2957">
      <w:pPr>
        <w:tabs>
          <w:tab w:val="left" w:pos="2835"/>
        </w:tabs>
      </w:pPr>
    </w:p>
    <w:p w:rsidR="00C74DBB" w:rsidRPr="00C43994" w:rsidRDefault="00C74DBB" w:rsidP="00C74DBB">
      <w:pPr>
        <w:pStyle w:val="RKnormal"/>
      </w:pPr>
      <w:r w:rsidRPr="00C43994">
        <w:t xml:space="preserve">Ekofinrådet ska på basen av de kompromissförslag som tagits fram av ordförandeskapet </w:t>
      </w:r>
      <w:r w:rsidR="00E322D5" w:rsidRPr="00C43994">
        <w:t xml:space="preserve">avseende lagstiftningspaketet för förstärkt ekonomisk styrning </w:t>
      </w:r>
      <w:r w:rsidRPr="00C43994">
        <w:t>besluta om en ny position</w:t>
      </w:r>
      <w:r w:rsidR="003A7506" w:rsidRPr="00C43994">
        <w:t xml:space="preserve"> (uppdaterad allmän inriktning)</w:t>
      </w:r>
      <w:r w:rsidR="00E322D5" w:rsidRPr="00C43994">
        <w:t xml:space="preserve">. Rådets position </w:t>
      </w:r>
      <w:r w:rsidRPr="00C43994">
        <w:t xml:space="preserve">kommer </w:t>
      </w:r>
      <w:r w:rsidR="00E322D5" w:rsidRPr="00C43994">
        <w:t xml:space="preserve">sedan </w:t>
      </w:r>
      <w:r w:rsidRPr="00C43994">
        <w:t xml:space="preserve">att vara föremål för omröstning i Europaparlamentet den 23 juni. </w:t>
      </w:r>
    </w:p>
    <w:p w:rsidR="00E322D5" w:rsidRPr="00C43994" w:rsidRDefault="00E322D5" w:rsidP="00E322D5">
      <w:pPr>
        <w:pStyle w:val="RKnormal"/>
      </w:pPr>
    </w:p>
    <w:p w:rsidR="00603F12" w:rsidRPr="00C43994" w:rsidRDefault="00E322D5" w:rsidP="00E322D5">
      <w:pPr>
        <w:pStyle w:val="RKnormal"/>
      </w:pPr>
      <w:r w:rsidRPr="00C43994">
        <w:t xml:space="preserve">Redan vid sitt möte den 15 mars enades Ekofinrådet om en gemensam förhandlingsposition (allmän inriktning) angående lagstiftningsförslaget. Den 19 april röstade Europaparlamentet om en förhandlingsposition och sedan dess har förhandlingar pågått mellan det ungerska ordförandeskapet, kommissionen och Europaparlamentet i syfte att nå en gemensam överenskommelse. </w:t>
      </w:r>
    </w:p>
    <w:p w:rsidR="00257993" w:rsidRPr="00C43994" w:rsidRDefault="00257993" w:rsidP="00E322D5">
      <w:pPr>
        <w:pStyle w:val="RKnormal"/>
      </w:pPr>
    </w:p>
    <w:p w:rsidR="00603F12" w:rsidRPr="00C43994" w:rsidRDefault="00603F12" w:rsidP="00E322D5">
      <w:pPr>
        <w:pStyle w:val="RKnormal"/>
      </w:pPr>
      <w:r w:rsidRPr="00C43994">
        <w:t>Regeringskansliet har redogjort för kommissionens förslag om förstärkt ekonomisk styrning i faktapromemoria 2010/11:FPM7 samt för kommissionens tidigare meddelande inom samma område i faktapromemoria 2009/10:FPM99.</w:t>
      </w:r>
    </w:p>
    <w:p w:rsidR="00E322D5" w:rsidRPr="00C43994" w:rsidRDefault="00E322D5" w:rsidP="00E322D5">
      <w:pPr>
        <w:pStyle w:val="RKnormal"/>
      </w:pPr>
    </w:p>
    <w:p w:rsidR="00257993" w:rsidRPr="00C43994" w:rsidRDefault="00257993" w:rsidP="00257993">
      <w:pPr>
        <w:rPr>
          <w:color w:val="000000"/>
        </w:rPr>
      </w:pPr>
      <w:r w:rsidRPr="00C43994">
        <w:rPr>
          <w:color w:val="000000"/>
          <w:szCs w:val="19"/>
        </w:rPr>
        <w:t>Något slutligt kompromissförslag finns ännu inte.</w:t>
      </w:r>
    </w:p>
    <w:p w:rsidR="00257993" w:rsidRPr="00C43994" w:rsidRDefault="00257993" w:rsidP="00E322D5">
      <w:pPr>
        <w:pStyle w:val="RKnormal"/>
      </w:pPr>
    </w:p>
    <w:p w:rsidR="00C74DBB" w:rsidRPr="00C43994" w:rsidRDefault="00C74DBB" w:rsidP="00C74DBB">
      <w:pPr>
        <w:pStyle w:val="RKnormal"/>
      </w:pPr>
      <w:r w:rsidRPr="00C43994">
        <w:t>Den ekonomiska och finansiella krisen visar tydligt att det befintliga regelverket för ekonomisk styrning varit otillräckligt och att efterlevnaden varit bristfällig. Budgetsunderskott och offentliga skulder har vuxit sig stora i många medlemsstater samtidigt som betydande oba</w:t>
      </w:r>
      <w:r w:rsidRPr="00C43994">
        <w:lastRenderedPageBreak/>
        <w:t>lanser byggts upp i stora delar av EU. Mot denna bakgrund är det mycket angeläget att förstärka regelverket i syfte att förebygga framtida kriser och öka den ekonomiska och statsfinansiella stabiliteten. Regeringen har verkat som en konstruktiv kraft för att föra förhandlingarna framåt och fäster stor vikt vid att det nya förstärkta</w:t>
      </w:r>
      <w:r w:rsidR="00603F12" w:rsidRPr="00C43994">
        <w:t xml:space="preserve"> regelverket kommer på plats. </w:t>
      </w:r>
    </w:p>
    <w:p w:rsidR="00C74DBB" w:rsidRPr="00C43994" w:rsidRDefault="00C74DBB" w:rsidP="00C74DBB">
      <w:pPr>
        <w:pStyle w:val="RKnormal"/>
      </w:pPr>
    </w:p>
    <w:p w:rsidR="00C74DBB" w:rsidRPr="00C43994" w:rsidRDefault="00C74DBB" w:rsidP="00C74DBB">
      <w:pPr>
        <w:pStyle w:val="RKnormal"/>
      </w:pPr>
      <w:r w:rsidRPr="00C43994">
        <w:t xml:space="preserve">Under förhandlingarna har regeringen understrukit vikten av att arbetsmarknadens parter och de nationella systemen för lönebildning måste respekteras.  Europaparlamentet har förslagit en rad tillägg i denna riktning och regeringen </w:t>
      </w:r>
      <w:r w:rsidR="00E322D5" w:rsidRPr="00C43994">
        <w:t>verkar</w:t>
      </w:r>
      <w:r w:rsidRPr="00C43994">
        <w:t xml:space="preserve"> för att </w:t>
      </w:r>
      <w:r w:rsidR="00E322D5" w:rsidRPr="00C43994">
        <w:t xml:space="preserve">de förslagen ska vara en </w:t>
      </w:r>
      <w:r w:rsidRPr="00C43994">
        <w:t>del av den slutliga överenskommelsen.</w:t>
      </w:r>
    </w:p>
    <w:p w:rsidR="00C74DBB" w:rsidRPr="00C43994" w:rsidRDefault="00C74DBB" w:rsidP="005B2957">
      <w:pPr>
        <w:tabs>
          <w:tab w:val="left" w:pos="2835"/>
        </w:tabs>
      </w:pPr>
    </w:p>
    <w:p w:rsidR="005E40AE" w:rsidRPr="00C43994" w:rsidRDefault="005E40AE" w:rsidP="00445181">
      <w:pPr>
        <w:rPr>
          <w:b/>
        </w:rPr>
      </w:pPr>
    </w:p>
    <w:p w:rsidR="0008297A" w:rsidRPr="00C43994" w:rsidRDefault="00C060CD" w:rsidP="00C74DBB">
      <w:pPr>
        <w:tabs>
          <w:tab w:val="left" w:pos="1701"/>
        </w:tabs>
      </w:pPr>
      <w:r w:rsidRPr="00C43994">
        <w:rPr>
          <w:b/>
        </w:rPr>
        <w:t>4</w:t>
      </w:r>
      <w:r w:rsidR="0008297A" w:rsidRPr="00C43994">
        <w:rPr>
          <w:b/>
        </w:rPr>
        <w:t>.</w:t>
      </w:r>
      <w:r w:rsidR="00C74DBB" w:rsidRPr="00C43994">
        <w:rPr>
          <w:b/>
        </w:rPr>
        <w:tab/>
        <w:t xml:space="preserve">Beviljande av </w:t>
      </w:r>
      <w:r w:rsidR="005701D3" w:rsidRPr="00C43994">
        <w:rPr>
          <w:b/>
        </w:rPr>
        <w:t xml:space="preserve">externt lånemandat för Europeiska </w:t>
      </w:r>
      <w:r w:rsidR="005701D3" w:rsidRPr="00C43994">
        <w:rPr>
          <w:b/>
        </w:rPr>
        <w:tab/>
        <w:t>investeringsbanken</w:t>
      </w:r>
      <w:r w:rsidR="0008297A" w:rsidRPr="00C43994">
        <w:rPr>
          <w:i/>
        </w:rPr>
        <w:tab/>
      </w:r>
      <w:r w:rsidR="0008297A" w:rsidRPr="00C43994">
        <w:rPr>
          <w:i/>
        </w:rPr>
        <w:tab/>
        <w:t xml:space="preserve">    </w:t>
      </w:r>
    </w:p>
    <w:p w:rsidR="0008297A" w:rsidRPr="00C43994" w:rsidRDefault="00451C5D" w:rsidP="00445181">
      <w:pPr>
        <w:rPr>
          <w:i/>
        </w:rPr>
      </w:pPr>
      <w:r w:rsidRPr="00C43994">
        <w:rPr>
          <w:i/>
        </w:rPr>
        <w:tab/>
      </w:r>
      <w:r w:rsidRPr="00C43994">
        <w:rPr>
          <w:i/>
        </w:rPr>
        <w:tab/>
        <w:t xml:space="preserve">    - </w:t>
      </w:r>
      <w:r w:rsidR="00257993" w:rsidRPr="00C43994">
        <w:rPr>
          <w:i/>
        </w:rPr>
        <w:t>b</w:t>
      </w:r>
      <w:r w:rsidR="00C74DBB" w:rsidRPr="00C43994">
        <w:rPr>
          <w:i/>
        </w:rPr>
        <w:t>eslut</w:t>
      </w:r>
    </w:p>
    <w:p w:rsidR="005701D3" w:rsidRPr="00C43994" w:rsidRDefault="005701D3" w:rsidP="00445181">
      <w:pPr>
        <w:rPr>
          <w:i/>
        </w:rPr>
      </w:pPr>
    </w:p>
    <w:p w:rsidR="00E322D5" w:rsidRPr="00C43994" w:rsidRDefault="005701D3" w:rsidP="005701D3">
      <w:pPr>
        <w:rPr>
          <w:color w:val="000000"/>
        </w:rPr>
      </w:pPr>
      <w:r w:rsidRPr="00C43994">
        <w:rPr>
          <w:color w:val="000000"/>
        </w:rPr>
        <w:t xml:space="preserve">Rådet ska ta ställning till ett kompromissförslag från ordförandeskapet om beslut om garanti från EU-budgeten för att täcka ev. förluster i samband med Europeiska investeringsbankens (EIB) långivning utanför EU (se vidare nedan). </w:t>
      </w:r>
    </w:p>
    <w:p w:rsidR="00E322D5" w:rsidRPr="00C43994" w:rsidRDefault="00E322D5" w:rsidP="005701D3">
      <w:pPr>
        <w:rPr>
          <w:color w:val="000000"/>
        </w:rPr>
      </w:pPr>
    </w:p>
    <w:p w:rsidR="005701D3" w:rsidRPr="00C43994" w:rsidRDefault="005701D3" w:rsidP="005701D3">
      <w:pPr>
        <w:rPr>
          <w:color w:val="000000"/>
        </w:rPr>
      </w:pPr>
      <w:r w:rsidRPr="00C43994">
        <w:rPr>
          <w:color w:val="000000"/>
        </w:rPr>
        <w:t>Beslutet är resultatet av en halvtidsöversyn av EIB:s externa lånemandat</w:t>
      </w:r>
      <w:r w:rsidR="00BB6AB4" w:rsidRPr="00C43994">
        <w:rPr>
          <w:color w:val="000000"/>
        </w:rPr>
        <w:t xml:space="preserve"> och</w:t>
      </w:r>
      <w:r w:rsidRPr="00C43994">
        <w:rPr>
          <w:color w:val="000000"/>
        </w:rPr>
        <w:t xml:space="preserve"> </w:t>
      </w:r>
      <w:r w:rsidR="00BB6AB4" w:rsidRPr="00C43994">
        <w:rPr>
          <w:color w:val="000000"/>
        </w:rPr>
        <w:t xml:space="preserve">bygger på </w:t>
      </w:r>
      <w:r w:rsidR="00A33DE6" w:rsidRPr="00C43994">
        <w:rPr>
          <w:color w:val="000000"/>
        </w:rPr>
        <w:t>k</w:t>
      </w:r>
      <w:r w:rsidR="00BB6AB4" w:rsidRPr="00C43994">
        <w:rPr>
          <w:color w:val="000000"/>
        </w:rPr>
        <w:t>ommissionens förslag från april 2010, rådets allmänna orientering i ärendet från juni 2010, samt synpunkter från Europaparlamentet</w:t>
      </w:r>
      <w:r w:rsidRPr="00C43994">
        <w:rPr>
          <w:color w:val="000000"/>
        </w:rPr>
        <w:t xml:space="preserve">. Beslutet fattas gemensamt av rådet och Europaparlamentet och gäller ett totalt lånemandat på 29,484 miljarder euro för perioden 2007-2013. Förslaget innebär bl.a. att ett tilläggsmandat på 2 miljarder euro </w:t>
      </w:r>
      <w:r w:rsidR="007815BA" w:rsidRPr="00C43994">
        <w:rPr>
          <w:color w:val="000000"/>
        </w:rPr>
        <w:t xml:space="preserve">aktiveras </w:t>
      </w:r>
      <w:r w:rsidRPr="00C43994">
        <w:rPr>
          <w:color w:val="000000"/>
        </w:rPr>
        <w:t xml:space="preserve">för klimatinsatser och att taket för EIB:s utlåning därutöver höjs med 1,684 miljarder euro, </w:t>
      </w:r>
      <w:r w:rsidR="007815BA" w:rsidRPr="00C43994">
        <w:rPr>
          <w:color w:val="000000"/>
        </w:rPr>
        <w:t xml:space="preserve">d.v.s. en höjning med fyra procent för alla regioner förutom det södra närområdet där en  högre höjning sker med </w:t>
      </w:r>
      <w:r w:rsidRPr="00C43994">
        <w:rPr>
          <w:color w:val="000000"/>
        </w:rPr>
        <w:t xml:space="preserve">1 miljard euro </w:t>
      </w:r>
      <w:r w:rsidR="007815BA" w:rsidRPr="00C43994">
        <w:rPr>
          <w:color w:val="000000"/>
        </w:rPr>
        <w:t>(11 procent) riktat till</w:t>
      </w:r>
      <w:r w:rsidRPr="00C43994">
        <w:rPr>
          <w:color w:val="000000"/>
        </w:rPr>
        <w:t xml:space="preserve"> länder i Nordafrika som genomför politiska reformer. Förslaget innebär även att gemensamma övergripande mål införs för långivning till samtliga regioner utanför EU, samt att EIB och </w:t>
      </w:r>
      <w:r w:rsidR="00E322D5" w:rsidRPr="00C43994">
        <w:rPr>
          <w:color w:val="000000"/>
        </w:rPr>
        <w:t>kommissionen</w:t>
      </w:r>
      <w:r w:rsidRPr="00C43994">
        <w:rPr>
          <w:color w:val="000000"/>
        </w:rPr>
        <w:t xml:space="preserve"> ökar sin samverkan. </w:t>
      </w:r>
    </w:p>
    <w:p w:rsidR="005701D3" w:rsidRPr="00C43994" w:rsidRDefault="005701D3" w:rsidP="005701D3">
      <w:pPr>
        <w:rPr>
          <w:color w:val="000000"/>
        </w:rPr>
      </w:pPr>
    </w:p>
    <w:p w:rsidR="005701D3" w:rsidRPr="00C43994" w:rsidRDefault="005701D3" w:rsidP="005701D3">
      <w:pPr>
        <w:rPr>
          <w:color w:val="000000"/>
        </w:rPr>
      </w:pPr>
      <w:r w:rsidRPr="00C43994">
        <w:rPr>
          <w:color w:val="000000"/>
          <w:szCs w:val="19"/>
        </w:rPr>
        <w:t>Något slutligt kompromissförslag finns ännu inte.</w:t>
      </w:r>
    </w:p>
    <w:p w:rsidR="005701D3" w:rsidRPr="00C43994" w:rsidRDefault="005701D3" w:rsidP="005701D3">
      <w:pPr>
        <w:rPr>
          <w:color w:val="000000"/>
        </w:rPr>
      </w:pPr>
    </w:p>
    <w:p w:rsidR="005701D3" w:rsidRPr="00C43994" w:rsidRDefault="005701D3" w:rsidP="005701D3">
      <w:pPr>
        <w:rPr>
          <w:color w:val="000000"/>
        </w:rPr>
      </w:pPr>
      <w:r w:rsidRPr="00C43994">
        <w:rPr>
          <w:color w:val="000000"/>
        </w:rPr>
        <w:t xml:space="preserve">Medlemsländerna </w:t>
      </w:r>
      <w:r w:rsidR="007815BA" w:rsidRPr="00C43994">
        <w:rPr>
          <w:color w:val="000000"/>
        </w:rPr>
        <w:t xml:space="preserve">och Europaparlamentet </w:t>
      </w:r>
      <w:r w:rsidRPr="00C43994">
        <w:rPr>
          <w:color w:val="000000"/>
        </w:rPr>
        <w:t>har hittills nått samsyn i de flesta frågorna kring beslutet, viss oenighet råder dock bl.a. om den totala utlåningsramen, huruvida EIB ska ha rätt att använda återflöden från tidigare riskkapitalinvesteringar finansierade från EU-budgeten, samt huruvida särskilda villkor ska vara uppfyllda innan Island får tillgång till finansiering från EIB under lånemandatet.</w:t>
      </w:r>
      <w:r w:rsidRPr="00C43994">
        <w:rPr>
          <w:color w:val="000000"/>
        </w:rPr>
        <w:br/>
      </w:r>
    </w:p>
    <w:p w:rsidR="005701D3" w:rsidRPr="00C43994" w:rsidRDefault="005701D3" w:rsidP="005701D3">
      <w:r w:rsidRPr="00C43994">
        <w:rPr>
          <w:color w:val="000000"/>
        </w:rPr>
        <w:t xml:space="preserve">Regeringen anser att förslaget till beslut generellt sett är bra eftersom det bör leda till ökad effektivitet i EIB:s externa verksamhet, samt möjliggör extra klimatinsatser och insatser i Nordafrika. Regeringen ser dock inget behov av att därutöver ytterligare öka det externa mandatets lånetak. </w:t>
      </w:r>
    </w:p>
    <w:p w:rsidR="005701D3" w:rsidRPr="00C43994" w:rsidRDefault="005701D3" w:rsidP="005701D3"/>
    <w:p w:rsidR="00E322D5" w:rsidRPr="00C43994" w:rsidRDefault="00E322D5" w:rsidP="00257993">
      <w:pPr>
        <w:keepNext/>
        <w:pBdr>
          <w:top w:val="single" w:sz="4" w:space="1" w:color="auto"/>
          <w:left w:val="single" w:sz="4" w:space="4" w:color="auto"/>
          <w:bottom w:val="single" w:sz="4" w:space="1" w:color="auto"/>
          <w:right w:val="single" w:sz="4" w:space="4" w:color="auto"/>
        </w:pBdr>
        <w:rPr>
          <w:i/>
          <w:color w:val="000000"/>
          <w:sz w:val="20"/>
        </w:rPr>
      </w:pPr>
      <w:r w:rsidRPr="00C43994">
        <w:rPr>
          <w:i/>
          <w:color w:val="000000"/>
          <w:sz w:val="20"/>
        </w:rPr>
        <w:t>Bakgrund</w:t>
      </w:r>
    </w:p>
    <w:p w:rsidR="005701D3" w:rsidRPr="00C43994" w:rsidRDefault="005701D3" w:rsidP="00257993">
      <w:pPr>
        <w:keepNext/>
        <w:pBdr>
          <w:top w:val="single" w:sz="4" w:space="1" w:color="auto"/>
          <w:left w:val="single" w:sz="4" w:space="4" w:color="auto"/>
          <w:bottom w:val="single" w:sz="4" w:space="1" w:color="auto"/>
          <w:right w:val="single" w:sz="4" w:space="4" w:color="auto"/>
        </w:pBdr>
        <w:rPr>
          <w:sz w:val="20"/>
        </w:rPr>
      </w:pPr>
      <w:r w:rsidRPr="00C43994">
        <w:rPr>
          <w:color w:val="000000"/>
          <w:sz w:val="20"/>
        </w:rPr>
        <w:t>EIB:s verksamhet utanför EU uppgår årligen till ca 6-9 miljarder euro, vilket under 2010 motsvarade ca 13 procent av EIB:s totala aktiviteter. EIB har genom det externa lånemandatet möjlighet att ge lån till projekt i EU:s kandidatländer, östra och södra närområden, länder i Asien och Latinamerika, samt i Sydafrika. Det externa lånemandatet är fördelat på de olika geografiska områdena och uppgick enligt tidigare beslut till totalt 27,8 mdr euro för perioden 2007-2013. EIB:s långivning under det externa mandatet backas upp av en garanti från EU motsvarande 65 procent av de totala utestående beloppen. För att skydda EU-budgeten från oväntade förluster görs en r</w:t>
      </w:r>
      <w:r w:rsidRPr="00C43994">
        <w:rPr>
          <w:sz w:val="20"/>
        </w:rPr>
        <w:t xml:space="preserve">iskavsättning från EU-budgeten till den s.k. garantifonden, på motsvarande nio procent av utlåningsvolymen. </w:t>
      </w:r>
    </w:p>
    <w:p w:rsidR="005701D3" w:rsidRPr="00C43994" w:rsidRDefault="005701D3" w:rsidP="00257993">
      <w:pPr>
        <w:pBdr>
          <w:top w:val="single" w:sz="4" w:space="1" w:color="auto"/>
          <w:left w:val="single" w:sz="4" w:space="4" w:color="auto"/>
          <w:bottom w:val="single" w:sz="4" w:space="1" w:color="auto"/>
          <w:right w:val="single" w:sz="4" w:space="4" w:color="auto"/>
        </w:pBdr>
        <w:rPr>
          <w:color w:val="000000"/>
          <w:sz w:val="20"/>
        </w:rPr>
      </w:pPr>
    </w:p>
    <w:p w:rsidR="005701D3" w:rsidRPr="00C43994" w:rsidRDefault="005701D3" w:rsidP="00257993">
      <w:pPr>
        <w:pBdr>
          <w:top w:val="single" w:sz="4" w:space="1" w:color="auto"/>
          <w:left w:val="single" w:sz="4" w:space="4" w:color="auto"/>
          <w:bottom w:val="single" w:sz="4" w:space="1" w:color="auto"/>
          <w:right w:val="single" w:sz="4" w:space="4" w:color="auto"/>
        </w:pBdr>
        <w:rPr>
          <w:color w:val="000000"/>
          <w:sz w:val="20"/>
        </w:rPr>
      </w:pPr>
      <w:r w:rsidRPr="00C43994">
        <w:rPr>
          <w:color w:val="000000"/>
          <w:sz w:val="20"/>
        </w:rPr>
        <w:t xml:space="preserve">Den geografiska fördelningen av det externa lånemandatet skulle enligt ordförandeskapets kompromissförslag se ut på följande sätt (tidigare lånemandat inom parantes), miljarder euro: </w:t>
      </w:r>
      <w:r w:rsidRPr="00C43994">
        <w:rPr>
          <w:color w:val="000000"/>
          <w:sz w:val="20"/>
        </w:rPr>
        <w:br/>
      </w:r>
      <w:r w:rsidRPr="00C43994">
        <w:rPr>
          <w:color w:val="000000"/>
          <w:sz w:val="20"/>
        </w:rPr>
        <w:br/>
        <w:t xml:space="preserve">Kandidatländer </w:t>
      </w:r>
      <w:r w:rsidRPr="00C43994">
        <w:rPr>
          <w:color w:val="000000"/>
          <w:sz w:val="20"/>
        </w:rPr>
        <w:tab/>
      </w:r>
      <w:r w:rsidR="007815BA" w:rsidRPr="00C43994">
        <w:rPr>
          <w:color w:val="000000"/>
          <w:sz w:val="20"/>
        </w:rPr>
        <w:tab/>
      </w:r>
      <w:r w:rsidRPr="00C43994">
        <w:rPr>
          <w:color w:val="000000"/>
          <w:sz w:val="20"/>
        </w:rPr>
        <w:t>9,048</w:t>
      </w:r>
      <w:r w:rsidRPr="00C43994">
        <w:rPr>
          <w:color w:val="000000"/>
          <w:sz w:val="20"/>
        </w:rPr>
        <w:tab/>
        <w:t>(8,7)</w:t>
      </w:r>
      <w:r w:rsidRPr="00C43994">
        <w:rPr>
          <w:color w:val="000000"/>
          <w:sz w:val="20"/>
        </w:rPr>
        <w:br/>
        <w:t xml:space="preserve">Södra närområdet </w:t>
      </w:r>
      <w:r w:rsidRPr="00C43994">
        <w:rPr>
          <w:color w:val="000000"/>
          <w:sz w:val="20"/>
        </w:rPr>
        <w:tab/>
        <w:t>9,7</w:t>
      </w:r>
      <w:r w:rsidRPr="00C43994">
        <w:rPr>
          <w:color w:val="000000"/>
          <w:sz w:val="20"/>
        </w:rPr>
        <w:tab/>
        <w:t>(8,7)</w:t>
      </w:r>
      <w:r w:rsidRPr="00C43994">
        <w:rPr>
          <w:color w:val="000000"/>
          <w:sz w:val="20"/>
        </w:rPr>
        <w:br/>
        <w:t xml:space="preserve">Östra närområdet </w:t>
      </w:r>
      <w:r w:rsidRPr="00C43994">
        <w:rPr>
          <w:color w:val="000000"/>
          <w:sz w:val="20"/>
        </w:rPr>
        <w:tab/>
        <w:t>3,848</w:t>
      </w:r>
      <w:r w:rsidRPr="00C43994">
        <w:rPr>
          <w:color w:val="000000"/>
          <w:sz w:val="20"/>
        </w:rPr>
        <w:tab/>
        <w:t>(3,7)</w:t>
      </w:r>
      <w:r w:rsidRPr="00C43994">
        <w:rPr>
          <w:color w:val="000000"/>
          <w:sz w:val="20"/>
        </w:rPr>
        <w:br/>
        <w:t xml:space="preserve">Asien </w:t>
      </w:r>
      <w:r w:rsidRPr="00C43994">
        <w:rPr>
          <w:color w:val="000000"/>
          <w:sz w:val="20"/>
        </w:rPr>
        <w:tab/>
      </w:r>
      <w:r w:rsidRPr="00C43994">
        <w:rPr>
          <w:color w:val="000000"/>
          <w:sz w:val="20"/>
        </w:rPr>
        <w:tab/>
      </w:r>
      <w:r w:rsidRPr="00C43994">
        <w:rPr>
          <w:color w:val="000000"/>
          <w:sz w:val="20"/>
        </w:rPr>
        <w:tab/>
        <w:t>1,04</w:t>
      </w:r>
      <w:r w:rsidRPr="00C43994">
        <w:rPr>
          <w:color w:val="000000"/>
          <w:sz w:val="20"/>
        </w:rPr>
        <w:tab/>
        <w:t>(1,0)</w:t>
      </w:r>
      <w:r w:rsidRPr="00C43994">
        <w:rPr>
          <w:color w:val="000000"/>
          <w:sz w:val="20"/>
        </w:rPr>
        <w:br/>
        <w:t xml:space="preserve">Latinamerika </w:t>
      </w:r>
      <w:r w:rsidRPr="00C43994">
        <w:rPr>
          <w:color w:val="000000"/>
          <w:sz w:val="20"/>
        </w:rPr>
        <w:tab/>
      </w:r>
      <w:r w:rsidRPr="00C43994">
        <w:rPr>
          <w:color w:val="000000"/>
          <w:sz w:val="20"/>
        </w:rPr>
        <w:tab/>
        <w:t>2,912</w:t>
      </w:r>
      <w:r w:rsidRPr="00C43994">
        <w:rPr>
          <w:color w:val="000000"/>
          <w:sz w:val="20"/>
        </w:rPr>
        <w:tab/>
        <w:t>(2,8)</w:t>
      </w:r>
      <w:r w:rsidRPr="00C43994">
        <w:rPr>
          <w:color w:val="000000"/>
          <w:sz w:val="20"/>
        </w:rPr>
        <w:br/>
        <w:t xml:space="preserve">Sydafrika </w:t>
      </w:r>
      <w:r w:rsidRPr="00C43994">
        <w:rPr>
          <w:color w:val="000000"/>
          <w:sz w:val="20"/>
        </w:rPr>
        <w:tab/>
      </w:r>
      <w:r w:rsidRPr="00C43994">
        <w:rPr>
          <w:color w:val="000000"/>
          <w:sz w:val="20"/>
        </w:rPr>
        <w:tab/>
        <w:t>0,936</w:t>
      </w:r>
      <w:r w:rsidRPr="00C43994">
        <w:rPr>
          <w:color w:val="000000"/>
          <w:sz w:val="20"/>
        </w:rPr>
        <w:tab/>
        <w:t>(0,9)</w:t>
      </w:r>
    </w:p>
    <w:p w:rsidR="007815BA" w:rsidRPr="00C43994" w:rsidRDefault="007815BA" w:rsidP="007815BA">
      <w:pPr>
        <w:pBdr>
          <w:top w:val="single" w:sz="4" w:space="1" w:color="auto"/>
          <w:left w:val="single" w:sz="4" w:space="4" w:color="auto"/>
          <w:bottom w:val="single" w:sz="4" w:space="1" w:color="auto"/>
          <w:right w:val="single" w:sz="4" w:space="4" w:color="auto"/>
        </w:pBdr>
        <w:rPr>
          <w:color w:val="000000"/>
          <w:sz w:val="20"/>
        </w:rPr>
      </w:pPr>
      <w:r w:rsidRPr="00C43994">
        <w:rPr>
          <w:color w:val="000000"/>
          <w:sz w:val="20"/>
        </w:rPr>
        <w:t>Tilläggsmandat: Klimatinsatser (i alla regioner)</w:t>
      </w:r>
    </w:p>
    <w:p w:rsidR="007815BA" w:rsidRPr="00C43994" w:rsidRDefault="007815BA" w:rsidP="00257993">
      <w:pPr>
        <w:pBdr>
          <w:top w:val="single" w:sz="4" w:space="1" w:color="auto"/>
          <w:left w:val="single" w:sz="4" w:space="4" w:color="auto"/>
          <w:bottom w:val="single" w:sz="4" w:space="1" w:color="auto"/>
          <w:right w:val="single" w:sz="4" w:space="4" w:color="auto"/>
        </w:pBdr>
        <w:rPr>
          <w:color w:val="000000"/>
          <w:sz w:val="20"/>
        </w:rPr>
      </w:pPr>
      <w:r w:rsidRPr="00C43994">
        <w:rPr>
          <w:color w:val="000000"/>
          <w:sz w:val="20"/>
        </w:rPr>
        <w:tab/>
      </w:r>
      <w:r w:rsidRPr="00C43994">
        <w:rPr>
          <w:color w:val="000000"/>
          <w:sz w:val="20"/>
        </w:rPr>
        <w:tab/>
      </w:r>
      <w:r w:rsidRPr="00C43994">
        <w:rPr>
          <w:color w:val="000000"/>
          <w:sz w:val="20"/>
        </w:rPr>
        <w:tab/>
        <w:t>2,0</w:t>
      </w:r>
      <w:r w:rsidRPr="00C43994">
        <w:rPr>
          <w:color w:val="000000"/>
          <w:sz w:val="20"/>
        </w:rPr>
        <w:tab/>
        <w:t>(2,0</w:t>
      </w:r>
      <w:r w:rsidR="00EF7994" w:rsidRPr="00C43994">
        <w:rPr>
          <w:color w:val="000000"/>
          <w:sz w:val="20"/>
        </w:rPr>
        <w:t xml:space="preserve"> tidigare dock ej aktiverat</w:t>
      </w:r>
      <w:r w:rsidRPr="00C43994">
        <w:rPr>
          <w:color w:val="000000"/>
          <w:sz w:val="20"/>
        </w:rPr>
        <w:t>)</w:t>
      </w:r>
    </w:p>
    <w:p w:rsidR="005701D3" w:rsidRPr="00C43994" w:rsidRDefault="005701D3" w:rsidP="00257993">
      <w:pPr>
        <w:pBdr>
          <w:top w:val="single" w:sz="4" w:space="1" w:color="auto"/>
          <w:left w:val="single" w:sz="4" w:space="4" w:color="auto"/>
          <w:bottom w:val="single" w:sz="4" w:space="1" w:color="auto"/>
          <w:right w:val="single" w:sz="4" w:space="4" w:color="auto"/>
        </w:pBdr>
        <w:rPr>
          <w:color w:val="000000"/>
          <w:sz w:val="20"/>
        </w:rPr>
      </w:pPr>
    </w:p>
    <w:p w:rsidR="005701D3" w:rsidRPr="00C43994" w:rsidRDefault="005701D3" w:rsidP="00257993">
      <w:pPr>
        <w:pBdr>
          <w:top w:val="single" w:sz="4" w:space="1" w:color="auto"/>
          <w:left w:val="single" w:sz="4" w:space="4" w:color="auto"/>
          <w:bottom w:val="single" w:sz="4" w:space="1" w:color="auto"/>
          <w:right w:val="single" w:sz="4" w:space="4" w:color="auto"/>
        </w:pBdr>
        <w:rPr>
          <w:color w:val="000000"/>
          <w:sz w:val="20"/>
        </w:rPr>
      </w:pPr>
      <w:r w:rsidRPr="00C43994">
        <w:rPr>
          <w:color w:val="000000"/>
          <w:sz w:val="20"/>
        </w:rPr>
        <w:t>Utöver de externa lånemandatet har EIB under Cotonou-avtalet mandat att ge lån i AVS-regionen, dvs. till ca 80 länder i Afrika söder om Sahara, Västindien och Stilla havet med medel från Europeiska utvecklingsfonden samt med särskilda garantier från medlemsstaterna. EIB har också vissa möjligheter att låna ut till länder utanför EU genom att risken för utlåningen tas på EIB:s egen balansräkning, dvs. utan garanti från EU-budgeten.</w:t>
      </w:r>
    </w:p>
    <w:p w:rsidR="00CB3510" w:rsidRPr="00C43994" w:rsidRDefault="00CB3510" w:rsidP="00CB3510">
      <w:pPr>
        <w:pStyle w:val="RKnormal"/>
      </w:pPr>
    </w:p>
    <w:p w:rsidR="00C74DBB" w:rsidRPr="00C43994" w:rsidRDefault="00C74DBB" w:rsidP="00CB3510">
      <w:pPr>
        <w:pStyle w:val="RKnormal"/>
      </w:pPr>
    </w:p>
    <w:p w:rsidR="00592030" w:rsidRPr="00C43994" w:rsidRDefault="00C060CD" w:rsidP="00C74DBB">
      <w:pPr>
        <w:tabs>
          <w:tab w:val="left" w:pos="1701"/>
        </w:tabs>
        <w:rPr>
          <w:b/>
        </w:rPr>
      </w:pPr>
      <w:r w:rsidRPr="00C43994">
        <w:rPr>
          <w:b/>
        </w:rPr>
        <w:t>5</w:t>
      </w:r>
      <w:r w:rsidR="00C74DBB" w:rsidRPr="00C43994">
        <w:rPr>
          <w:b/>
        </w:rPr>
        <w:t>.</w:t>
      </w:r>
      <w:r w:rsidR="00C74DBB" w:rsidRPr="00C43994">
        <w:rPr>
          <w:b/>
        </w:rPr>
        <w:tab/>
        <w:t>Insättningsgaranti</w:t>
      </w:r>
    </w:p>
    <w:p w:rsidR="00451C5D" w:rsidRPr="00C43994" w:rsidRDefault="00451C5D" w:rsidP="00592030">
      <w:pPr>
        <w:rPr>
          <w:i/>
        </w:rPr>
      </w:pPr>
      <w:r w:rsidRPr="00C43994">
        <w:rPr>
          <w:i/>
        </w:rPr>
        <w:tab/>
      </w:r>
      <w:r w:rsidRPr="00C43994">
        <w:rPr>
          <w:i/>
        </w:rPr>
        <w:tab/>
        <w:t xml:space="preserve">    -</w:t>
      </w:r>
      <w:r w:rsidR="00F855E1" w:rsidRPr="00C43994">
        <w:rPr>
          <w:i/>
        </w:rPr>
        <w:t xml:space="preserve"> </w:t>
      </w:r>
      <w:r w:rsidR="00257993" w:rsidRPr="00C43994">
        <w:rPr>
          <w:i/>
        </w:rPr>
        <w:t>a</w:t>
      </w:r>
      <w:r w:rsidR="00C74DBB" w:rsidRPr="00C43994">
        <w:rPr>
          <w:i/>
        </w:rPr>
        <w:t>llmän inriktning</w:t>
      </w:r>
      <w:r w:rsidRPr="00C43994">
        <w:rPr>
          <w:i/>
        </w:rPr>
        <w:t xml:space="preserve"> </w:t>
      </w:r>
    </w:p>
    <w:p w:rsidR="00D51A2E" w:rsidRPr="00C43994" w:rsidRDefault="00D51A2E" w:rsidP="00D51A2E">
      <w:pPr>
        <w:pStyle w:val="RKnormal"/>
        <w:spacing w:line="240" w:lineRule="auto"/>
        <w:rPr>
          <w:szCs w:val="24"/>
        </w:rPr>
      </w:pPr>
    </w:p>
    <w:p w:rsidR="003D3061" w:rsidRPr="00C43994" w:rsidRDefault="003D3061" w:rsidP="00D51A2E">
      <w:pPr>
        <w:pStyle w:val="RKnormal"/>
        <w:spacing w:line="240" w:lineRule="auto"/>
        <w:rPr>
          <w:szCs w:val="24"/>
        </w:rPr>
      </w:pPr>
      <w:r w:rsidRPr="00C43994">
        <w:rPr>
          <w:szCs w:val="24"/>
        </w:rPr>
        <w:t xml:space="preserve">Ekofinrådet ska enas om en allmän inriktning om förslaget om ett omarbetat insättningsgarantidirektiv. </w:t>
      </w:r>
    </w:p>
    <w:p w:rsidR="003D3061" w:rsidRPr="00C43994" w:rsidRDefault="003D3061" w:rsidP="00D51A2E">
      <w:pPr>
        <w:pStyle w:val="RKnormal"/>
        <w:spacing w:line="240" w:lineRule="auto"/>
        <w:rPr>
          <w:szCs w:val="24"/>
        </w:rPr>
      </w:pPr>
    </w:p>
    <w:p w:rsidR="003D3061" w:rsidRPr="00C43994" w:rsidRDefault="008E4FD0" w:rsidP="003D3061">
      <w:pPr>
        <w:pStyle w:val="RKnormal"/>
        <w:spacing w:line="240" w:lineRule="auto"/>
      </w:pPr>
      <w:r w:rsidRPr="00C43994">
        <w:t>Kommissionen</w:t>
      </w:r>
      <w:r w:rsidR="003D3061" w:rsidRPr="00C43994">
        <w:t xml:space="preserve"> presenterade i juli 2010 ett förslag till ett omarbetat insättningsgarantidirektiv. Förslaget syftar till att harmonisera och stärka insättningsgarantisystemen. De viktigaste beståndsdelarna i förslaget är </w:t>
      </w:r>
    </w:p>
    <w:p w:rsidR="003D3061" w:rsidRPr="00C43994" w:rsidRDefault="003D3061" w:rsidP="003D3061">
      <w:pPr>
        <w:overflowPunct/>
        <w:spacing w:line="240" w:lineRule="auto"/>
        <w:textAlignment w:val="auto"/>
      </w:pPr>
      <w:r w:rsidRPr="00C43994">
        <w:t>(i) att den harmoniserade täckningsnivån om 100 000 euro slås fast, (ii) en långsiktig finansiering av insättningsgarantisystemen, (iii) införande av riskdifferentierade avgifter, (iv) att systemet för utbetalning av ersättning förbättras (v) att ansvaret mellan hemlandets och värdlandets insättningsgarantisystem förtydligas och (vi) att informationen till insättarna förbättras. Förslaget finns beskrivet i faktapromemoria 2009/10:FPM121</w:t>
      </w:r>
      <w:r w:rsidR="004D43AE" w:rsidRPr="00C43994">
        <w:t xml:space="preserve">. </w:t>
      </w:r>
    </w:p>
    <w:p w:rsidR="003D3061" w:rsidRPr="00C43994" w:rsidRDefault="003D3061" w:rsidP="003D3061">
      <w:pPr>
        <w:overflowPunct/>
        <w:spacing w:line="240" w:lineRule="auto"/>
        <w:textAlignment w:val="auto"/>
      </w:pPr>
    </w:p>
    <w:p w:rsidR="00C74DBB" w:rsidRPr="00C43994" w:rsidRDefault="00C74DBB" w:rsidP="00C74DBB">
      <w:pPr>
        <w:overflowPunct/>
        <w:spacing w:line="240" w:lineRule="auto"/>
        <w:textAlignment w:val="auto"/>
      </w:pPr>
      <w:r w:rsidRPr="00C43994">
        <w:t>Förhandlingar har pågått sedan september 2010</w:t>
      </w:r>
      <w:r w:rsidR="000C19A6" w:rsidRPr="00C43994">
        <w:t xml:space="preserve"> och kommer att pågå under tiden fram till Ekofin (Coreperbehandling 16 juni)</w:t>
      </w:r>
      <w:r w:rsidRPr="00C43994">
        <w:t xml:space="preserve">. Den stora frågan som kvarstår att lösa rör finansieringen av insättningsgarantisystemen, framför allt vilken målnivå som insättningsgarantifonderna ska ha. </w:t>
      </w:r>
      <w:r w:rsidR="002C1B38" w:rsidRPr="00C43994">
        <w:t>Ordförandeskapets</w:t>
      </w:r>
      <w:r w:rsidRPr="00C43994">
        <w:t xml:space="preserve"> senaste kompromissförslag inne</w:t>
      </w:r>
      <w:r w:rsidR="002C1B38" w:rsidRPr="00C43994">
        <w:t xml:space="preserve">bär en miniminivå om 1 procent. Bland medlemsstaterna finns olika syn i denna fråga. </w:t>
      </w:r>
      <w:r w:rsidR="000C19A6" w:rsidRPr="00C43994">
        <w:t xml:space="preserve">Enstaka medlemsstater är emot ett förfinansierat insättningsgarantisystem medan en klar majoritet förespråkar detta. </w:t>
      </w:r>
      <w:r w:rsidR="00A74624" w:rsidRPr="00C43994">
        <w:t>De medlemsstater som förespråkar ett förfinansierat system vill ha en m</w:t>
      </w:r>
      <w:r w:rsidRPr="00C43994">
        <w:t>ålnivå som ligger på 0,2 - minst 1,5 procent.</w:t>
      </w:r>
    </w:p>
    <w:p w:rsidR="003D3061" w:rsidRPr="00C43994" w:rsidRDefault="003D3061" w:rsidP="00C74DBB">
      <w:pPr>
        <w:overflowPunct/>
        <w:spacing w:line="240" w:lineRule="auto"/>
        <w:textAlignment w:val="auto"/>
      </w:pPr>
    </w:p>
    <w:p w:rsidR="003D3061" w:rsidRPr="00C43994" w:rsidRDefault="003D3061" w:rsidP="003D3061">
      <w:pPr>
        <w:overflowPunct/>
        <w:spacing w:line="240" w:lineRule="auto"/>
        <w:textAlignment w:val="auto"/>
      </w:pPr>
      <w:r w:rsidRPr="00C43994">
        <w:t>Regeringen är för en harmonisering av insättningsgarantisystemen. Regeringen förespråkar en förfinansierad insättningsgaranti samt att målnivån för insättningsgarantifonderna ska vara en miniminivå. Miniminivån bör vara högre än 1,5</w:t>
      </w:r>
      <w:r w:rsidR="003F5BC3" w:rsidRPr="00C43994">
        <w:t xml:space="preserve"> procent</w:t>
      </w:r>
      <w:r w:rsidRPr="00C43994">
        <w:t xml:space="preserve"> för att skapa ett trovärdigt och stabilt system. Vidare anser regeringen att det bör vara varje medlemsstats åtagande att garantera respektive lands insättningsgarantisystem. </w:t>
      </w:r>
    </w:p>
    <w:p w:rsidR="003D3061" w:rsidRPr="00C43994" w:rsidRDefault="003D3061" w:rsidP="003D3061">
      <w:pPr>
        <w:overflowPunct/>
        <w:spacing w:line="240" w:lineRule="auto"/>
        <w:textAlignment w:val="auto"/>
      </w:pPr>
    </w:p>
    <w:p w:rsidR="003D3061" w:rsidRPr="00C43994" w:rsidRDefault="003D3061" w:rsidP="003D3061">
      <w:pPr>
        <w:overflowPunct/>
        <w:spacing w:line="240" w:lineRule="auto"/>
        <w:textAlignment w:val="auto"/>
      </w:pPr>
      <w:r w:rsidRPr="00C43994">
        <w:t>Regeringen är emot en obligatorisk utlåning mellan medlemsstaternas insättningsgarantisystem. Den obligatoriska utlåningen har dock helt utgått från förslaget och är därmed inte längre ett problem.</w:t>
      </w:r>
    </w:p>
    <w:p w:rsidR="003D3061" w:rsidRPr="00C43994" w:rsidRDefault="003D3061" w:rsidP="00C74DBB">
      <w:pPr>
        <w:overflowPunct/>
        <w:spacing w:line="240" w:lineRule="auto"/>
        <w:textAlignment w:val="auto"/>
      </w:pPr>
    </w:p>
    <w:p w:rsidR="00F855E1" w:rsidRPr="00C43994" w:rsidRDefault="00F855E1" w:rsidP="0089124D">
      <w:pPr>
        <w:tabs>
          <w:tab w:val="left" w:pos="1701"/>
        </w:tabs>
        <w:overflowPunct/>
        <w:spacing w:line="240" w:lineRule="auto"/>
        <w:textAlignment w:val="auto"/>
        <w:rPr>
          <w:rFonts w:cs="OrigGarmnd BT"/>
          <w:b/>
          <w:color w:val="000000"/>
          <w:szCs w:val="24"/>
          <w:lang w:eastAsia="sv-SE"/>
        </w:rPr>
      </w:pPr>
    </w:p>
    <w:p w:rsidR="00F855E1" w:rsidRPr="00C43994" w:rsidRDefault="00C060CD" w:rsidP="0089124D">
      <w:pPr>
        <w:tabs>
          <w:tab w:val="left" w:pos="1701"/>
        </w:tabs>
        <w:overflowPunct/>
        <w:spacing w:line="240" w:lineRule="auto"/>
        <w:textAlignment w:val="auto"/>
        <w:rPr>
          <w:rFonts w:cs="OrigGarmnd BT"/>
          <w:b/>
          <w:color w:val="000000"/>
          <w:szCs w:val="24"/>
          <w:lang w:eastAsia="sv-SE"/>
        </w:rPr>
      </w:pPr>
      <w:r w:rsidRPr="00C43994">
        <w:rPr>
          <w:rFonts w:cs="OrigGarmnd BT"/>
          <w:b/>
          <w:color w:val="000000"/>
          <w:szCs w:val="24"/>
          <w:lang w:eastAsia="sv-SE"/>
        </w:rPr>
        <w:t>6</w:t>
      </w:r>
      <w:r w:rsidR="00F855E1" w:rsidRPr="00C43994">
        <w:rPr>
          <w:rFonts w:cs="OrigGarmnd BT"/>
          <w:b/>
          <w:color w:val="000000"/>
          <w:szCs w:val="24"/>
          <w:lang w:eastAsia="sv-SE"/>
        </w:rPr>
        <w:t>.</w:t>
      </w:r>
      <w:r w:rsidR="00F855E1" w:rsidRPr="00C43994">
        <w:rPr>
          <w:rFonts w:cs="OrigGarmnd BT"/>
          <w:b/>
          <w:color w:val="000000"/>
          <w:szCs w:val="24"/>
          <w:lang w:eastAsia="sv-SE"/>
        </w:rPr>
        <w:tab/>
      </w:r>
      <w:r w:rsidR="00C74DBB" w:rsidRPr="00C43994">
        <w:rPr>
          <w:rFonts w:cs="OrigGarmnd BT"/>
          <w:b/>
          <w:color w:val="000000"/>
          <w:szCs w:val="24"/>
          <w:lang w:eastAsia="sv-SE"/>
        </w:rPr>
        <w:t xml:space="preserve">OTC-derivat, centrala motparter och </w:t>
      </w:r>
      <w:r w:rsidR="00C74DBB" w:rsidRPr="00C43994">
        <w:rPr>
          <w:rFonts w:cs="OrigGarmnd BT"/>
          <w:b/>
          <w:color w:val="000000"/>
          <w:szCs w:val="24"/>
          <w:lang w:eastAsia="sv-SE"/>
        </w:rPr>
        <w:tab/>
        <w:t>transaktionsregister</w:t>
      </w:r>
    </w:p>
    <w:p w:rsidR="00F855E1" w:rsidRPr="00C43994" w:rsidRDefault="00F855E1" w:rsidP="0089124D">
      <w:pPr>
        <w:tabs>
          <w:tab w:val="left" w:pos="1701"/>
        </w:tabs>
        <w:overflowPunct/>
        <w:spacing w:line="240" w:lineRule="auto"/>
        <w:textAlignment w:val="auto"/>
        <w:rPr>
          <w:rFonts w:cs="OrigGarmnd BT"/>
          <w:i/>
          <w:color w:val="000000"/>
          <w:szCs w:val="24"/>
          <w:lang w:eastAsia="sv-SE"/>
        </w:rPr>
      </w:pPr>
      <w:r w:rsidRPr="00C43994">
        <w:rPr>
          <w:rFonts w:cs="OrigGarmnd BT"/>
          <w:i/>
          <w:color w:val="000000"/>
          <w:szCs w:val="24"/>
          <w:lang w:eastAsia="sv-SE"/>
        </w:rPr>
        <w:tab/>
        <w:t xml:space="preserve">- </w:t>
      </w:r>
      <w:r w:rsidR="00257993" w:rsidRPr="00C43994">
        <w:rPr>
          <w:rFonts w:cs="OrigGarmnd BT"/>
          <w:i/>
          <w:color w:val="000000"/>
          <w:szCs w:val="24"/>
          <w:lang w:eastAsia="sv-SE"/>
        </w:rPr>
        <w:t>a</w:t>
      </w:r>
      <w:r w:rsidR="00C74DBB" w:rsidRPr="00C43994">
        <w:rPr>
          <w:rFonts w:cs="OrigGarmnd BT"/>
          <w:i/>
          <w:color w:val="000000"/>
          <w:szCs w:val="24"/>
          <w:lang w:eastAsia="sv-SE"/>
        </w:rPr>
        <w:t>llmän inriktning</w:t>
      </w:r>
    </w:p>
    <w:p w:rsidR="00B671F6" w:rsidRPr="00C43994" w:rsidRDefault="00B671F6" w:rsidP="00B671F6">
      <w:pPr>
        <w:pStyle w:val="RKnormal"/>
      </w:pPr>
    </w:p>
    <w:p w:rsidR="005701D3" w:rsidRPr="00C43994" w:rsidRDefault="005701D3" w:rsidP="005701D3">
      <w:pPr>
        <w:pStyle w:val="RKnormal"/>
        <w:rPr>
          <w:lang w:eastAsia="sv-SE"/>
        </w:rPr>
      </w:pPr>
      <w:r w:rsidRPr="00C43994">
        <w:rPr>
          <w:lang w:eastAsia="sv-SE"/>
        </w:rPr>
        <w:t>Ekofinrådet ska nå en allmän inriktning om ett kompromissförslag från det ungerska ordförandeskapet rörande en förordning om OTC-derivat</w:t>
      </w:r>
      <w:r w:rsidR="00257993" w:rsidRPr="00C43994">
        <w:rPr>
          <w:lang w:eastAsia="sv-SE"/>
        </w:rPr>
        <w:t>(derivatkontrakt som handlas utanför reglerade marknader)</w:t>
      </w:r>
      <w:r w:rsidRPr="00C43994">
        <w:rPr>
          <w:lang w:eastAsia="sv-SE"/>
        </w:rPr>
        <w:t>, centrala motparter och transaktionsregister.</w:t>
      </w:r>
    </w:p>
    <w:p w:rsidR="005701D3" w:rsidRPr="00C43994" w:rsidRDefault="005701D3" w:rsidP="005701D3">
      <w:pPr>
        <w:pStyle w:val="RKnormal"/>
        <w:rPr>
          <w:lang w:eastAsia="sv-SE"/>
        </w:rPr>
      </w:pPr>
    </w:p>
    <w:p w:rsidR="005701D3" w:rsidRPr="00C43994" w:rsidRDefault="005701D3" w:rsidP="005701D3">
      <w:pPr>
        <w:pStyle w:val="RKnormal"/>
        <w:rPr>
          <w:lang w:eastAsia="sv-SE"/>
        </w:rPr>
      </w:pPr>
      <w:r w:rsidRPr="00C43994">
        <w:rPr>
          <w:lang w:eastAsia="sv-SE"/>
        </w:rPr>
        <w:t>Kommissionen lade hösten 2010 fram förslaget om en förordning om reglering av OTC-derivat, centrala motparter och transaktionsregister. Regleringen syftar främst till förbättrad genomlysning och minskade motpartsrisker vid handel med OTC-derivat. Förslaget innebär att finansiella företag ska vara skyldiga att överlämna derivatkontrakt som är lämpade för det till en central motpart (s.k. clearing). Denna skyldighet ska också gälle icke-finansiella företag som ingår derivatkontrakt i stor omfattning och där syftet inte är begränsat till att hantera risker i deras verksamhet. I förslaget finns regler om tillstånd för och tillsyn över centrala motparter. Den behöriga myndigheten i en central motparts hemmedlemsstat ska fatta beslut om tillstånd och utöva tillsynen, men för varje central motpart ska det dessutom finnas ett tillsynskollegium där det ingår behöriga myndigheter från andra medlemsstater. Enligt förslaget ska både finansiella och icke-finansiella företag rapportera de derivatkontrakt som de har ingått till transaktionsregister. Europeiska värdepappers- och marknadsmyndigheten (ESMA) ska ansvara för registrering av och tillsyn över transaktionsregister. De behöriga myndigheterna i medlemsstaterna ska ha tillgång till de uppgifter som har rapporterats till ett transaktionsregister som de behöver för sin tillsyn. Förslaget beskrivs i faktapromemoria 2010/11:FPM6.</w:t>
      </w:r>
    </w:p>
    <w:p w:rsidR="005701D3" w:rsidRPr="00C43994" w:rsidRDefault="005701D3" w:rsidP="005701D3">
      <w:pPr>
        <w:pStyle w:val="RKnormal"/>
        <w:rPr>
          <w:lang w:eastAsia="sv-SE"/>
        </w:rPr>
      </w:pPr>
    </w:p>
    <w:p w:rsidR="005701D3" w:rsidRPr="00C43994" w:rsidRDefault="005701D3" w:rsidP="005701D3">
      <w:pPr>
        <w:pStyle w:val="RKnormal"/>
        <w:rPr>
          <w:lang w:eastAsia="sv-SE"/>
        </w:rPr>
      </w:pPr>
      <w:r w:rsidRPr="00C43994">
        <w:rPr>
          <w:lang w:eastAsia="sv-SE"/>
        </w:rPr>
        <w:t xml:space="preserve">Förhandlingarna i rådet pågår </w:t>
      </w:r>
      <w:r w:rsidR="00E322D5" w:rsidRPr="00C43994">
        <w:rPr>
          <w:lang w:eastAsia="sv-SE"/>
        </w:rPr>
        <w:t>för närvarande</w:t>
      </w:r>
      <w:r w:rsidRPr="00C43994">
        <w:rPr>
          <w:lang w:eastAsia="sv-SE"/>
        </w:rPr>
        <w:t xml:space="preserve"> (behandlas av Coreper den 16 juni). Om det i de återstående diskussionerna i rådet inte görs några avgörande ändringar i förslaget </w:t>
      </w:r>
      <w:r w:rsidR="00257993" w:rsidRPr="00C43994">
        <w:rPr>
          <w:lang w:eastAsia="sv-SE"/>
        </w:rPr>
        <w:t xml:space="preserve">kan </w:t>
      </w:r>
      <w:r w:rsidRPr="00C43994">
        <w:rPr>
          <w:lang w:eastAsia="sv-SE"/>
        </w:rPr>
        <w:t>regeringen ge sitt stöd till att anta kompromissförslaget som en allmän inriktning.</w:t>
      </w:r>
    </w:p>
    <w:p w:rsidR="005701D3" w:rsidRPr="00C43994" w:rsidRDefault="005701D3" w:rsidP="00B671F6">
      <w:pPr>
        <w:pStyle w:val="RKnormal"/>
      </w:pPr>
    </w:p>
    <w:p w:rsidR="00AE4560" w:rsidRPr="00C43994" w:rsidRDefault="00AE4560" w:rsidP="0089124D">
      <w:pPr>
        <w:tabs>
          <w:tab w:val="left" w:pos="1701"/>
        </w:tabs>
        <w:overflowPunct/>
        <w:spacing w:line="240" w:lineRule="auto"/>
        <w:textAlignment w:val="auto"/>
        <w:rPr>
          <w:rFonts w:cs="OrigGarmnd BT"/>
          <w:color w:val="000000"/>
          <w:szCs w:val="24"/>
          <w:lang w:eastAsia="sv-SE"/>
        </w:rPr>
      </w:pPr>
    </w:p>
    <w:p w:rsidR="00AE4560" w:rsidRPr="00C43994" w:rsidRDefault="00C060CD" w:rsidP="0089124D">
      <w:pPr>
        <w:tabs>
          <w:tab w:val="left" w:pos="1701"/>
        </w:tabs>
        <w:overflowPunct/>
        <w:spacing w:line="240" w:lineRule="auto"/>
        <w:textAlignment w:val="auto"/>
        <w:rPr>
          <w:rFonts w:cs="OrigGarmnd BT"/>
          <w:b/>
          <w:color w:val="000000"/>
          <w:szCs w:val="24"/>
          <w:lang w:eastAsia="sv-SE"/>
        </w:rPr>
      </w:pPr>
      <w:r w:rsidRPr="00C43994">
        <w:rPr>
          <w:rFonts w:cs="OrigGarmnd BT"/>
          <w:b/>
          <w:color w:val="000000"/>
          <w:szCs w:val="24"/>
          <w:lang w:eastAsia="sv-SE"/>
        </w:rPr>
        <w:t>7</w:t>
      </w:r>
      <w:r w:rsidR="00AE4560" w:rsidRPr="00C43994">
        <w:rPr>
          <w:rFonts w:cs="OrigGarmnd BT"/>
          <w:b/>
          <w:color w:val="000000"/>
          <w:szCs w:val="24"/>
          <w:lang w:eastAsia="sv-SE"/>
        </w:rPr>
        <w:t>.</w:t>
      </w:r>
      <w:r w:rsidR="00AE4560" w:rsidRPr="00C43994">
        <w:rPr>
          <w:rFonts w:cs="OrigGarmnd BT"/>
          <w:b/>
          <w:color w:val="000000"/>
          <w:szCs w:val="24"/>
          <w:lang w:eastAsia="sv-SE"/>
        </w:rPr>
        <w:tab/>
      </w:r>
      <w:r w:rsidR="00C74DBB" w:rsidRPr="00C43994">
        <w:rPr>
          <w:rFonts w:cs="OrigGarmnd BT"/>
          <w:b/>
          <w:color w:val="000000"/>
          <w:szCs w:val="24"/>
          <w:lang w:eastAsia="sv-SE"/>
        </w:rPr>
        <w:t>Ekonomisk styrning</w:t>
      </w:r>
    </w:p>
    <w:p w:rsidR="00AE4560" w:rsidRPr="00C43994" w:rsidRDefault="00AE4560" w:rsidP="0089124D">
      <w:pPr>
        <w:tabs>
          <w:tab w:val="left" w:pos="1701"/>
        </w:tabs>
        <w:overflowPunct/>
        <w:spacing w:line="240" w:lineRule="auto"/>
        <w:textAlignment w:val="auto"/>
        <w:rPr>
          <w:rFonts w:cs="OrigGarmnd BT"/>
          <w:i/>
          <w:color w:val="000000"/>
          <w:szCs w:val="24"/>
          <w:lang w:eastAsia="sv-SE"/>
        </w:rPr>
      </w:pPr>
      <w:r w:rsidRPr="00C43994">
        <w:rPr>
          <w:rFonts w:cs="OrigGarmnd BT"/>
          <w:i/>
          <w:color w:val="000000"/>
          <w:szCs w:val="24"/>
          <w:lang w:eastAsia="sv-SE"/>
        </w:rPr>
        <w:tab/>
        <w:t xml:space="preserve">- </w:t>
      </w:r>
      <w:r w:rsidR="00257993" w:rsidRPr="00C43994">
        <w:rPr>
          <w:rFonts w:cs="OrigGarmnd BT"/>
          <w:i/>
          <w:color w:val="000000"/>
          <w:szCs w:val="24"/>
          <w:lang w:eastAsia="sv-SE"/>
        </w:rPr>
        <w:t>u</w:t>
      </w:r>
      <w:r w:rsidR="00C74DBB" w:rsidRPr="00C43994">
        <w:rPr>
          <w:rFonts w:cs="OrigGarmnd BT"/>
          <w:i/>
          <w:color w:val="000000"/>
          <w:szCs w:val="24"/>
          <w:lang w:eastAsia="sv-SE"/>
        </w:rPr>
        <w:t>ppdaterad allmän inriktning</w:t>
      </w:r>
    </w:p>
    <w:p w:rsidR="00AE4560" w:rsidRPr="00C43994" w:rsidRDefault="00AE4560" w:rsidP="0089124D">
      <w:pPr>
        <w:tabs>
          <w:tab w:val="left" w:pos="1701"/>
        </w:tabs>
        <w:overflowPunct/>
        <w:spacing w:line="240" w:lineRule="auto"/>
        <w:textAlignment w:val="auto"/>
        <w:rPr>
          <w:rFonts w:cs="OrigGarmnd BT"/>
          <w:b/>
          <w:color w:val="000000"/>
          <w:szCs w:val="24"/>
          <w:lang w:eastAsia="sv-SE"/>
        </w:rPr>
      </w:pPr>
    </w:p>
    <w:p w:rsidR="00B82AD1" w:rsidRPr="00C43994" w:rsidRDefault="00C74DBB" w:rsidP="0089124D">
      <w:pPr>
        <w:tabs>
          <w:tab w:val="left" w:pos="1701"/>
        </w:tabs>
        <w:overflowPunct/>
        <w:spacing w:line="240" w:lineRule="auto"/>
        <w:textAlignment w:val="auto"/>
        <w:rPr>
          <w:rFonts w:cs="OrigGarmnd BT"/>
          <w:color w:val="000000"/>
          <w:szCs w:val="24"/>
          <w:lang w:eastAsia="sv-SE"/>
        </w:rPr>
      </w:pPr>
      <w:r w:rsidRPr="00C43994">
        <w:rPr>
          <w:rFonts w:cs="OrigGarmnd BT"/>
          <w:color w:val="000000"/>
          <w:szCs w:val="24"/>
          <w:lang w:eastAsia="sv-SE"/>
        </w:rPr>
        <w:t>Se dagordningspunkt 3.</w:t>
      </w:r>
    </w:p>
    <w:p w:rsidR="00AE4560" w:rsidRPr="00C43994" w:rsidRDefault="00AE4560" w:rsidP="0089124D">
      <w:pPr>
        <w:tabs>
          <w:tab w:val="left" w:pos="1701"/>
        </w:tabs>
        <w:overflowPunct/>
        <w:spacing w:line="240" w:lineRule="auto"/>
        <w:textAlignment w:val="auto"/>
        <w:rPr>
          <w:rFonts w:cs="OrigGarmnd BT"/>
          <w:b/>
          <w:color w:val="000000"/>
          <w:szCs w:val="24"/>
          <w:lang w:eastAsia="sv-SE"/>
        </w:rPr>
      </w:pPr>
    </w:p>
    <w:p w:rsidR="004D43AE" w:rsidRPr="00C43994" w:rsidRDefault="004D43AE" w:rsidP="0089124D">
      <w:pPr>
        <w:tabs>
          <w:tab w:val="left" w:pos="1701"/>
        </w:tabs>
        <w:overflowPunct/>
        <w:spacing w:line="240" w:lineRule="auto"/>
        <w:textAlignment w:val="auto"/>
        <w:rPr>
          <w:rFonts w:cs="OrigGarmnd BT"/>
          <w:b/>
          <w:color w:val="000000"/>
          <w:szCs w:val="24"/>
          <w:lang w:eastAsia="sv-SE"/>
        </w:rPr>
      </w:pPr>
    </w:p>
    <w:p w:rsidR="00AE4560" w:rsidRPr="00C43994" w:rsidRDefault="00C060CD" w:rsidP="00E322D5">
      <w:pPr>
        <w:keepNext/>
        <w:tabs>
          <w:tab w:val="left" w:pos="1701"/>
        </w:tabs>
        <w:overflowPunct/>
        <w:spacing w:line="240" w:lineRule="auto"/>
        <w:textAlignment w:val="auto"/>
        <w:rPr>
          <w:rFonts w:cs="OrigGarmnd BT"/>
          <w:b/>
          <w:color w:val="000000"/>
          <w:szCs w:val="24"/>
          <w:lang w:eastAsia="sv-SE"/>
        </w:rPr>
      </w:pPr>
      <w:r w:rsidRPr="00C43994">
        <w:rPr>
          <w:rFonts w:cs="OrigGarmnd BT"/>
          <w:b/>
          <w:color w:val="000000"/>
          <w:szCs w:val="24"/>
          <w:lang w:eastAsia="sv-SE"/>
        </w:rPr>
        <w:t>8</w:t>
      </w:r>
      <w:r w:rsidR="00AE4560" w:rsidRPr="00C43994">
        <w:rPr>
          <w:rFonts w:cs="OrigGarmnd BT"/>
          <w:b/>
          <w:color w:val="000000"/>
          <w:szCs w:val="24"/>
          <w:lang w:eastAsia="sv-SE"/>
        </w:rPr>
        <w:t>.</w:t>
      </w:r>
      <w:r w:rsidR="00AE4560" w:rsidRPr="00C43994">
        <w:rPr>
          <w:rFonts w:cs="OrigGarmnd BT"/>
          <w:b/>
          <w:color w:val="000000"/>
          <w:szCs w:val="24"/>
          <w:lang w:eastAsia="sv-SE"/>
        </w:rPr>
        <w:tab/>
      </w:r>
      <w:r w:rsidR="00C74DBB" w:rsidRPr="00C43994">
        <w:rPr>
          <w:rFonts w:cs="OrigGarmnd BT"/>
          <w:b/>
          <w:color w:val="000000"/>
          <w:szCs w:val="24"/>
          <w:lang w:eastAsia="sv-SE"/>
        </w:rPr>
        <w:t>Den Europeiska terminen</w:t>
      </w:r>
    </w:p>
    <w:p w:rsidR="00AE4560" w:rsidRPr="00C43994" w:rsidRDefault="00AE4560" w:rsidP="00E322D5">
      <w:pPr>
        <w:keepNext/>
        <w:tabs>
          <w:tab w:val="left" w:pos="1701"/>
        </w:tabs>
        <w:overflowPunct/>
        <w:spacing w:line="240" w:lineRule="auto"/>
        <w:textAlignment w:val="auto"/>
        <w:rPr>
          <w:rFonts w:cs="OrigGarmnd BT"/>
          <w:i/>
          <w:color w:val="000000"/>
          <w:szCs w:val="24"/>
          <w:lang w:eastAsia="sv-SE"/>
        </w:rPr>
      </w:pPr>
      <w:r w:rsidRPr="00C43994">
        <w:rPr>
          <w:rFonts w:cs="OrigGarmnd BT"/>
          <w:i/>
          <w:color w:val="000000"/>
          <w:szCs w:val="24"/>
          <w:lang w:eastAsia="sv-SE"/>
        </w:rPr>
        <w:tab/>
        <w:t xml:space="preserve">- </w:t>
      </w:r>
      <w:r w:rsidR="00257993" w:rsidRPr="00C43994">
        <w:rPr>
          <w:rFonts w:cs="OrigGarmnd BT"/>
          <w:i/>
          <w:color w:val="000000"/>
          <w:szCs w:val="24"/>
          <w:lang w:eastAsia="sv-SE"/>
        </w:rPr>
        <w:t>a</w:t>
      </w:r>
      <w:r w:rsidR="00C74DBB" w:rsidRPr="00C43994">
        <w:rPr>
          <w:rFonts w:cs="OrigGarmnd BT"/>
          <w:i/>
          <w:color w:val="000000"/>
          <w:szCs w:val="24"/>
          <w:lang w:eastAsia="sv-SE"/>
        </w:rPr>
        <w:t>ntagande av rekommendationer</w:t>
      </w:r>
    </w:p>
    <w:p w:rsidR="004F0E5F" w:rsidRPr="00C43994" w:rsidRDefault="004F0E5F" w:rsidP="00E322D5">
      <w:pPr>
        <w:pStyle w:val="RKnormal"/>
        <w:keepNext/>
        <w:rPr>
          <w:rFonts w:eastAsia="ヒラギノ角ゴ Pro W3"/>
        </w:rPr>
      </w:pPr>
    </w:p>
    <w:p w:rsidR="00E322D5" w:rsidRPr="00C43994" w:rsidRDefault="00E322D5" w:rsidP="00E322D5">
      <w:pPr>
        <w:pStyle w:val="RKnormal"/>
        <w:keepNext/>
        <w:tabs>
          <w:tab w:val="center" w:pos="3685"/>
        </w:tabs>
        <w:rPr>
          <w:color w:val="000000"/>
          <w:szCs w:val="24"/>
          <w:lang w:eastAsia="sv-SE"/>
        </w:rPr>
      </w:pPr>
      <w:r w:rsidRPr="00C43994">
        <w:rPr>
          <w:color w:val="000000"/>
          <w:szCs w:val="24"/>
          <w:lang w:eastAsia="sv-SE"/>
        </w:rPr>
        <w:t xml:space="preserve">Rådet ska diskutera och anta rekommendationer som ska riktas till medlemsstaterna och till Euroområdet som helhet inom ramen för den Europeiska terminen. </w:t>
      </w:r>
    </w:p>
    <w:p w:rsidR="00E322D5" w:rsidRPr="00C43994" w:rsidRDefault="00E322D5" w:rsidP="00C74DBB">
      <w:pPr>
        <w:pStyle w:val="RKnormal"/>
        <w:tabs>
          <w:tab w:val="center" w:pos="3685"/>
        </w:tabs>
        <w:rPr>
          <w:color w:val="000000"/>
          <w:szCs w:val="24"/>
          <w:lang w:eastAsia="sv-SE"/>
        </w:rPr>
      </w:pPr>
    </w:p>
    <w:p w:rsidR="00C74DBB" w:rsidRPr="00C43994" w:rsidRDefault="00C74DBB" w:rsidP="00C74DBB">
      <w:pPr>
        <w:pStyle w:val="RKnormal"/>
        <w:tabs>
          <w:tab w:val="center" w:pos="3685"/>
        </w:tabs>
        <w:rPr>
          <w:i/>
          <w:color w:val="000000"/>
          <w:szCs w:val="24"/>
          <w:lang w:eastAsia="sv-SE"/>
        </w:rPr>
      </w:pPr>
      <w:r w:rsidRPr="00C43994">
        <w:rPr>
          <w:color w:val="000000"/>
          <w:szCs w:val="24"/>
          <w:lang w:eastAsia="sv-SE"/>
        </w:rPr>
        <w:t>Den 7 juni presenterade kommissionen förslag till landspecifika rekommendationer till medlemsstaterna och euroområdet som helhet. Rekommendationerna baseras på kommissionens analys av medlemsstaternas rapportering</w:t>
      </w:r>
      <w:r w:rsidRPr="00C43994">
        <w:rPr>
          <w:lang w:eastAsia="sv-SE"/>
        </w:rPr>
        <w:t xml:space="preserve"> inom ramen för Europa 2020-startegin (nationella reformprogram) samt </w:t>
      </w:r>
      <w:r w:rsidR="008E4FD0" w:rsidRPr="00C43994">
        <w:rPr>
          <w:lang w:eastAsia="sv-SE"/>
        </w:rPr>
        <w:t>s</w:t>
      </w:r>
      <w:r w:rsidRPr="00C43994">
        <w:rPr>
          <w:lang w:eastAsia="sv-SE"/>
        </w:rPr>
        <w:t>tabilitets- och tillväxtpakten (stabilitets- och konvergensprogram).</w:t>
      </w:r>
      <w:r w:rsidRPr="00C43994">
        <w:rPr>
          <w:color w:val="000000"/>
          <w:szCs w:val="24"/>
          <w:lang w:eastAsia="sv-SE"/>
        </w:rPr>
        <w:t xml:space="preserve"> Dessutom presenterade kommissionen ett meddelande som sammanfattar genomförandet av den europeiska terminen.</w:t>
      </w:r>
      <w:r w:rsidR="00E322D5" w:rsidRPr="00C43994">
        <w:rPr>
          <w:color w:val="000000"/>
          <w:szCs w:val="24"/>
          <w:lang w:eastAsia="sv-SE"/>
        </w:rPr>
        <w:t xml:space="preserve"> </w:t>
      </w:r>
    </w:p>
    <w:p w:rsidR="00C74DBB" w:rsidRPr="00C43994" w:rsidRDefault="00C74DBB" w:rsidP="00C74DBB">
      <w:pPr>
        <w:pStyle w:val="RKnormal"/>
        <w:tabs>
          <w:tab w:val="center" w:pos="3685"/>
        </w:tabs>
        <w:ind w:left="360"/>
        <w:rPr>
          <w:i/>
          <w:color w:val="000000"/>
          <w:szCs w:val="24"/>
          <w:lang w:eastAsia="sv-SE"/>
        </w:rPr>
      </w:pPr>
    </w:p>
    <w:p w:rsidR="001A04AC" w:rsidRPr="00C43994" w:rsidRDefault="001A04AC" w:rsidP="001A04AC">
      <w:pPr>
        <w:pStyle w:val="RKnormal"/>
        <w:rPr>
          <w:rFonts w:eastAsia="ヒラギノ角ゴ Pro W3"/>
        </w:rPr>
      </w:pPr>
      <w:r w:rsidRPr="00C43994">
        <w:rPr>
          <w:rFonts w:eastAsia="ヒラギノ角ゴ Pro W3"/>
        </w:rPr>
        <w:t xml:space="preserve">Kommissionens förslag till landspecifika rekommendationer är för närvarande föremål för behandling i förberedande kommittéer. </w:t>
      </w:r>
    </w:p>
    <w:p w:rsidR="001A04AC" w:rsidRPr="00C43994" w:rsidRDefault="001A04AC" w:rsidP="00C74DBB">
      <w:pPr>
        <w:pStyle w:val="RKnormal"/>
        <w:tabs>
          <w:tab w:val="center" w:pos="3685"/>
        </w:tabs>
      </w:pPr>
    </w:p>
    <w:p w:rsidR="001A04AC" w:rsidRPr="00C43994" w:rsidRDefault="001A04AC" w:rsidP="00C74DBB">
      <w:pPr>
        <w:pStyle w:val="RKnormal"/>
        <w:tabs>
          <w:tab w:val="center" w:pos="3685"/>
        </w:tabs>
      </w:pPr>
    </w:p>
    <w:p w:rsidR="00C74DBB" w:rsidRPr="00C43994" w:rsidRDefault="001A04AC" w:rsidP="00C74DBB">
      <w:pPr>
        <w:pStyle w:val="RKnormal"/>
        <w:tabs>
          <w:tab w:val="center" w:pos="3685"/>
        </w:tabs>
      </w:pPr>
      <w:r w:rsidRPr="00C43994">
        <w:t xml:space="preserve">Kommissionen har föreslagit </w:t>
      </w:r>
      <w:r w:rsidR="00C74DBB" w:rsidRPr="00C43994">
        <w:t xml:space="preserve">tre rekommendationer </w:t>
      </w:r>
      <w:r w:rsidRPr="00C43994">
        <w:t xml:space="preserve">riktade till Sverige. De </w:t>
      </w:r>
      <w:r w:rsidR="00C74DBB" w:rsidRPr="00C43994">
        <w:t>rör (i) finanspolitiken, (ii) makroekonomiska risker förknippade med stigande huspriser och hushållens skuldsättning samt (iii) d</w:t>
      </w:r>
      <w:r w:rsidR="00C74DBB" w:rsidRPr="00C43994">
        <w:rPr>
          <w:lang w:eastAsia="sv-SE"/>
        </w:rPr>
        <w:t>eltagandet på arbetsmarknaden bland unga och andra svaga grupper.</w:t>
      </w:r>
    </w:p>
    <w:p w:rsidR="00C74DBB" w:rsidRPr="00C43994" w:rsidRDefault="00C74DBB" w:rsidP="00C74DBB">
      <w:pPr>
        <w:pStyle w:val="RKnormal"/>
        <w:ind w:left="360"/>
        <w:rPr>
          <w:i/>
        </w:rPr>
      </w:pPr>
    </w:p>
    <w:p w:rsidR="00C74DBB" w:rsidRPr="00C43994" w:rsidRDefault="00C74DBB" w:rsidP="00C74DBB">
      <w:pPr>
        <w:pStyle w:val="RKnormal"/>
      </w:pPr>
      <w:r w:rsidRPr="00C43994">
        <w:t xml:space="preserve">Regeringen välkomnar kommissionens meddelande och förslagen till  landspecifika rekommendationer. Dessa utgör en viktig del av den Europeiska terminen som bidrar till förstärkt ekonomisk samordning inom EU och ett ambitiöst genomförande av Europa 2020-strategin samt </w:t>
      </w:r>
      <w:r w:rsidR="008E4FD0" w:rsidRPr="00C43994">
        <w:t>s</w:t>
      </w:r>
      <w:r w:rsidRPr="00C43994">
        <w:t xml:space="preserve">tabilitets- och tillväxtpakten. Vidare </w:t>
      </w:r>
      <w:r w:rsidR="00257993" w:rsidRPr="00C43994">
        <w:t>anser</w:t>
      </w:r>
      <w:r w:rsidRPr="00C43994">
        <w:t xml:space="preserve"> regeringen att det är viktigt att medlemsstaterna nu genomför nödvändiga reformer. Gällande </w:t>
      </w:r>
      <w:r w:rsidR="001A04AC" w:rsidRPr="00C43994">
        <w:t xml:space="preserve">kommissionens föreslagna </w:t>
      </w:r>
      <w:r w:rsidRPr="00C43994">
        <w:t>rekommendationer</w:t>
      </w:r>
      <w:r w:rsidR="001A04AC" w:rsidRPr="00C43994">
        <w:t xml:space="preserve"> </w:t>
      </w:r>
      <w:r w:rsidRPr="00C43994">
        <w:t xml:space="preserve">till Sverige ligger dessa huvudsakligen i linje med regeringens politik. Regeringen menar dock att det finns en bredare uppsättning möjliga reformer för att minska de makroekonomiska riskerna förknippande med stigande huspriser och hushållens skuldsättning än vad kommissionen föreslår. </w:t>
      </w:r>
    </w:p>
    <w:p w:rsidR="004F0E5F" w:rsidRPr="00C43994" w:rsidRDefault="004F0E5F" w:rsidP="004F0E5F">
      <w:pPr>
        <w:pStyle w:val="RKnormal"/>
        <w:rPr>
          <w:rFonts w:eastAsia="ヒラギノ角ゴ Pro W3"/>
        </w:rPr>
      </w:pPr>
    </w:p>
    <w:p w:rsidR="00B82AD1" w:rsidRPr="00C43994" w:rsidRDefault="00B82AD1" w:rsidP="004F0E5F">
      <w:pPr>
        <w:pStyle w:val="RKnormal"/>
        <w:rPr>
          <w:rFonts w:eastAsia="ヒラギノ角ゴ Pro W3"/>
        </w:rPr>
      </w:pPr>
    </w:p>
    <w:p w:rsidR="00AE4560" w:rsidRPr="00C43994" w:rsidRDefault="00C060CD" w:rsidP="0089124D">
      <w:pPr>
        <w:tabs>
          <w:tab w:val="left" w:pos="1701"/>
        </w:tabs>
        <w:overflowPunct/>
        <w:spacing w:line="240" w:lineRule="auto"/>
        <w:textAlignment w:val="auto"/>
        <w:rPr>
          <w:rFonts w:cs="OrigGarmnd BT"/>
          <w:b/>
          <w:color w:val="000000"/>
          <w:szCs w:val="24"/>
          <w:lang w:eastAsia="sv-SE"/>
        </w:rPr>
      </w:pPr>
      <w:r w:rsidRPr="00C43994">
        <w:rPr>
          <w:rFonts w:cs="OrigGarmnd BT"/>
          <w:b/>
          <w:color w:val="000000"/>
          <w:szCs w:val="24"/>
          <w:lang w:eastAsia="sv-SE"/>
        </w:rPr>
        <w:t>9</w:t>
      </w:r>
      <w:r w:rsidR="00AE4560" w:rsidRPr="00C43994">
        <w:rPr>
          <w:rFonts w:cs="OrigGarmnd BT"/>
          <w:b/>
          <w:color w:val="000000"/>
          <w:szCs w:val="24"/>
          <w:lang w:eastAsia="sv-SE"/>
        </w:rPr>
        <w:t>.</w:t>
      </w:r>
      <w:r w:rsidR="00AE4560" w:rsidRPr="00C43994">
        <w:rPr>
          <w:rFonts w:cs="OrigGarmnd BT"/>
          <w:b/>
          <w:color w:val="000000"/>
          <w:szCs w:val="24"/>
          <w:lang w:eastAsia="sv-SE"/>
        </w:rPr>
        <w:tab/>
      </w:r>
      <w:r w:rsidR="00C74DBB" w:rsidRPr="00C43994">
        <w:rPr>
          <w:rFonts w:cs="OrigGarmnd BT"/>
          <w:b/>
          <w:color w:val="000000"/>
          <w:szCs w:val="24"/>
          <w:lang w:eastAsia="sv-SE"/>
        </w:rPr>
        <w:t xml:space="preserve">Kvalitetshantering av den Europeiska </w:t>
      </w:r>
      <w:r w:rsidR="00C74DBB" w:rsidRPr="00C43994">
        <w:rPr>
          <w:rFonts w:cs="OrigGarmnd BT"/>
          <w:b/>
          <w:color w:val="000000"/>
          <w:szCs w:val="24"/>
          <w:lang w:eastAsia="sv-SE"/>
        </w:rPr>
        <w:tab/>
      </w:r>
      <w:r w:rsidR="00C74DBB" w:rsidRPr="00C43994">
        <w:rPr>
          <w:rFonts w:cs="OrigGarmnd BT"/>
          <w:b/>
          <w:color w:val="000000"/>
          <w:szCs w:val="24"/>
          <w:lang w:eastAsia="sv-SE"/>
        </w:rPr>
        <w:tab/>
        <w:t>statistiken</w:t>
      </w:r>
    </w:p>
    <w:p w:rsidR="00AE4560" w:rsidRPr="00C43994" w:rsidRDefault="00AE4560" w:rsidP="0089124D">
      <w:pPr>
        <w:tabs>
          <w:tab w:val="left" w:pos="1701"/>
        </w:tabs>
        <w:overflowPunct/>
        <w:spacing w:line="240" w:lineRule="auto"/>
        <w:textAlignment w:val="auto"/>
        <w:rPr>
          <w:rFonts w:cs="OrigGarmnd BT"/>
          <w:i/>
          <w:color w:val="000000"/>
          <w:szCs w:val="24"/>
          <w:lang w:eastAsia="sv-SE"/>
        </w:rPr>
      </w:pPr>
      <w:r w:rsidRPr="00C43994">
        <w:rPr>
          <w:rFonts w:cs="OrigGarmnd BT"/>
          <w:i/>
          <w:color w:val="000000"/>
          <w:szCs w:val="24"/>
          <w:lang w:eastAsia="sv-SE"/>
        </w:rPr>
        <w:tab/>
        <w:t xml:space="preserve">- </w:t>
      </w:r>
      <w:r w:rsidR="00C74DBB" w:rsidRPr="00C43994">
        <w:rPr>
          <w:rFonts w:cs="OrigGarmnd BT"/>
          <w:i/>
          <w:color w:val="000000"/>
          <w:szCs w:val="24"/>
          <w:lang w:eastAsia="sv-SE"/>
        </w:rPr>
        <w:t xml:space="preserve">antagande av slutsatser </w:t>
      </w:r>
    </w:p>
    <w:p w:rsidR="00DD6D4A" w:rsidRPr="00C43994" w:rsidRDefault="00DD6D4A" w:rsidP="00DD6D4A">
      <w:pPr>
        <w:pStyle w:val="RKnormal"/>
        <w:rPr>
          <w:rFonts w:eastAsia="ヒラギノ角ゴ Pro W3"/>
        </w:rPr>
      </w:pPr>
    </w:p>
    <w:p w:rsidR="00C74DBB" w:rsidRPr="00C43994" w:rsidRDefault="00C74DBB" w:rsidP="00C74DBB">
      <w:pPr>
        <w:pStyle w:val="RKnormal"/>
      </w:pPr>
      <w:r w:rsidRPr="00C43994">
        <w:t>Rådet ska anta slutsatser om kvalitetsstyrning för europeisk statistik. Slutsatserna tar sin utgångspunkt i kommissionens meddelande om en strategi för förbättringar av kvalitetssystemet för europeisk statistik</w:t>
      </w:r>
      <w:r w:rsidR="00603F12" w:rsidRPr="00C43994">
        <w:t xml:space="preserve"> (se vidare 2010/11:FPM107)</w:t>
      </w:r>
      <w:r w:rsidRPr="00C43994">
        <w:t xml:space="preserve">. </w:t>
      </w:r>
    </w:p>
    <w:p w:rsidR="00C74DBB" w:rsidRPr="00C43994" w:rsidRDefault="00C74DBB" w:rsidP="00C74DBB">
      <w:pPr>
        <w:pStyle w:val="RKnormal"/>
        <w:rPr>
          <w:b/>
          <w:i/>
        </w:rPr>
      </w:pPr>
    </w:p>
    <w:p w:rsidR="00C74DBB" w:rsidRPr="00C43994" w:rsidRDefault="00C74DBB" w:rsidP="00C74DBB">
      <w:pPr>
        <w:pStyle w:val="RKnormal"/>
      </w:pPr>
      <w:r w:rsidRPr="00C43994">
        <w:t xml:space="preserve">Ekofinrådet välkomnade den 17 november 2010 rekommendationerna i Van Rompuys arbetsgrupp om förstärkt ekonomisk styrning att stärka den europeiska statistiken och uppmanade kommissionen att presentera förslag baserade på rekommendationerna. </w:t>
      </w:r>
    </w:p>
    <w:p w:rsidR="00C74DBB" w:rsidRPr="00C43994" w:rsidRDefault="00C74DBB" w:rsidP="00C74DBB">
      <w:pPr>
        <w:pStyle w:val="RKnormal"/>
      </w:pPr>
    </w:p>
    <w:p w:rsidR="00C74DBB" w:rsidRPr="00C43994" w:rsidRDefault="00C74DBB" w:rsidP="00C74DBB">
      <w:pPr>
        <w:pStyle w:val="RKnormal"/>
      </w:pPr>
      <w:r w:rsidRPr="00C43994">
        <w:t>Kommissionen har nu presenterat ett meddelande som svar på Ekofinrådets uppmaning. Enligt meddelandet kommer kommissionen att vidta två typer av åtgärder för att utveckla kvalitetssystemet för europeisk statistik. Det första handlar om förebyggande åtgärder för att kontrollera statistiken över de offentliga finanserna inom ramen för förfarandet vid alltför stora underskott. Det andra handlar om kraftfullare styrning av det europeiska statistiksystemet.</w:t>
      </w:r>
    </w:p>
    <w:p w:rsidR="00C74DBB" w:rsidRPr="00C43994" w:rsidRDefault="00C74DBB" w:rsidP="00C74DBB">
      <w:pPr>
        <w:pStyle w:val="RKnormal"/>
      </w:pPr>
    </w:p>
    <w:p w:rsidR="00C74DBB" w:rsidRPr="00C43994" w:rsidRDefault="00C74DBB" w:rsidP="00C74DBB">
      <w:pPr>
        <w:pStyle w:val="RKnormal"/>
      </w:pPr>
      <w:r w:rsidRPr="00C43994">
        <w:rPr>
          <w:rFonts w:cs="OrigGarmnd BT"/>
          <w:color w:val="000000"/>
          <w:szCs w:val="24"/>
          <w:lang w:eastAsia="sv-SE"/>
        </w:rPr>
        <w:t xml:space="preserve">Regeringen ställer sig bakom utkastet till slutsatser. </w:t>
      </w:r>
    </w:p>
    <w:p w:rsidR="00C74DBB" w:rsidRPr="00C43994" w:rsidRDefault="00C74DBB" w:rsidP="00DD6D4A">
      <w:pPr>
        <w:pStyle w:val="RKnormal"/>
        <w:rPr>
          <w:rFonts w:eastAsia="ヒラギノ角ゴ Pro W3"/>
        </w:rPr>
      </w:pPr>
    </w:p>
    <w:p w:rsidR="0088140B" w:rsidRPr="00C43994" w:rsidRDefault="0088140B" w:rsidP="0089124D">
      <w:pPr>
        <w:tabs>
          <w:tab w:val="left" w:pos="1701"/>
        </w:tabs>
        <w:overflowPunct/>
        <w:spacing w:line="240" w:lineRule="auto"/>
        <w:textAlignment w:val="auto"/>
        <w:rPr>
          <w:rFonts w:cs="OrigGarmnd BT"/>
          <w:color w:val="000000"/>
          <w:szCs w:val="24"/>
          <w:lang w:eastAsia="sv-SE"/>
        </w:rPr>
      </w:pPr>
    </w:p>
    <w:p w:rsidR="00E974DC" w:rsidRPr="00C43994" w:rsidRDefault="00C74DBB" w:rsidP="0089124D">
      <w:pPr>
        <w:tabs>
          <w:tab w:val="left" w:pos="1701"/>
        </w:tabs>
        <w:overflowPunct/>
        <w:spacing w:line="240" w:lineRule="auto"/>
        <w:textAlignment w:val="auto"/>
        <w:rPr>
          <w:rFonts w:cs="OrigGarmnd BT"/>
          <w:b/>
          <w:color w:val="000000"/>
          <w:szCs w:val="24"/>
          <w:lang w:eastAsia="sv-SE"/>
        </w:rPr>
      </w:pPr>
      <w:r w:rsidRPr="00C43994">
        <w:rPr>
          <w:rFonts w:cs="OrigGarmnd BT"/>
          <w:b/>
          <w:color w:val="000000"/>
          <w:szCs w:val="24"/>
          <w:lang w:eastAsia="sv-SE"/>
        </w:rPr>
        <w:t>10</w:t>
      </w:r>
      <w:r w:rsidR="00AE4560" w:rsidRPr="00C43994">
        <w:rPr>
          <w:rFonts w:cs="OrigGarmnd BT"/>
          <w:b/>
          <w:color w:val="000000"/>
          <w:szCs w:val="24"/>
          <w:lang w:eastAsia="sv-SE"/>
        </w:rPr>
        <w:t xml:space="preserve">. </w:t>
      </w:r>
      <w:r w:rsidR="00F069DE" w:rsidRPr="00C43994">
        <w:rPr>
          <w:rFonts w:cs="OrigGarmnd BT"/>
          <w:b/>
          <w:color w:val="000000"/>
          <w:szCs w:val="24"/>
          <w:lang w:eastAsia="sv-SE"/>
        </w:rPr>
        <w:t xml:space="preserve"> </w:t>
      </w:r>
      <w:r w:rsidR="00F069DE" w:rsidRPr="00C43994">
        <w:rPr>
          <w:rFonts w:cs="OrigGarmnd BT"/>
          <w:b/>
          <w:color w:val="000000"/>
          <w:szCs w:val="24"/>
          <w:lang w:eastAsia="sv-SE"/>
        </w:rPr>
        <w:tab/>
      </w:r>
      <w:r w:rsidR="00451C5D" w:rsidRPr="00C43994">
        <w:rPr>
          <w:rFonts w:cs="OrigGarmnd BT"/>
          <w:b/>
          <w:color w:val="000000"/>
          <w:szCs w:val="24"/>
          <w:lang w:eastAsia="sv-SE"/>
        </w:rPr>
        <w:t>(ev.) Övriga ärenden</w:t>
      </w:r>
      <w:r w:rsidR="00E974DC" w:rsidRPr="00C43994">
        <w:rPr>
          <w:rFonts w:cs="OrigGarmnd BT"/>
          <w:b/>
          <w:color w:val="000000"/>
          <w:szCs w:val="24"/>
          <w:lang w:eastAsia="sv-SE"/>
        </w:rPr>
        <w:t xml:space="preserve"> </w:t>
      </w:r>
    </w:p>
    <w:p w:rsidR="00451C5D" w:rsidRPr="00C43994" w:rsidRDefault="00451C5D" w:rsidP="0089124D">
      <w:pPr>
        <w:tabs>
          <w:tab w:val="left" w:pos="1701"/>
        </w:tabs>
        <w:overflowPunct/>
        <w:spacing w:line="240" w:lineRule="auto"/>
        <w:textAlignment w:val="auto"/>
        <w:rPr>
          <w:rFonts w:cs="OrigGarmnd BT"/>
          <w:b/>
          <w:color w:val="000000"/>
          <w:szCs w:val="24"/>
          <w:lang w:eastAsia="sv-SE"/>
        </w:rPr>
      </w:pPr>
    </w:p>
    <w:p w:rsidR="00451C5D" w:rsidRPr="00C43994" w:rsidRDefault="00451C5D" w:rsidP="0089124D">
      <w:pPr>
        <w:tabs>
          <w:tab w:val="left" w:pos="1701"/>
        </w:tabs>
        <w:overflowPunct/>
        <w:spacing w:line="240" w:lineRule="auto"/>
        <w:textAlignment w:val="auto"/>
        <w:rPr>
          <w:rFonts w:cs="OrigGarmnd BT"/>
          <w:color w:val="000000"/>
          <w:szCs w:val="24"/>
          <w:lang w:eastAsia="sv-SE"/>
        </w:rPr>
      </w:pPr>
      <w:r w:rsidRPr="00C43994">
        <w:rPr>
          <w:rFonts w:cs="OrigGarmnd BT"/>
          <w:color w:val="000000"/>
          <w:szCs w:val="24"/>
          <w:lang w:eastAsia="sv-SE"/>
        </w:rPr>
        <w:t xml:space="preserve">Det </w:t>
      </w:r>
      <w:r w:rsidR="00552F39" w:rsidRPr="00C43994">
        <w:rPr>
          <w:rFonts w:cs="OrigGarmnd BT"/>
          <w:color w:val="000000"/>
          <w:szCs w:val="24"/>
          <w:lang w:eastAsia="sv-SE"/>
        </w:rPr>
        <w:t xml:space="preserve">har </w:t>
      </w:r>
      <w:r w:rsidRPr="00C43994">
        <w:rPr>
          <w:rFonts w:cs="OrigGarmnd BT"/>
          <w:color w:val="000000"/>
          <w:szCs w:val="24"/>
          <w:lang w:eastAsia="sv-SE"/>
        </w:rPr>
        <w:t>i skrivande stund in</w:t>
      </w:r>
      <w:r w:rsidR="00552F39" w:rsidRPr="00C43994">
        <w:rPr>
          <w:rFonts w:cs="OrigGarmnd BT"/>
          <w:color w:val="000000"/>
          <w:szCs w:val="24"/>
          <w:lang w:eastAsia="sv-SE"/>
        </w:rPr>
        <w:t xml:space="preserve">te presenterats några </w:t>
      </w:r>
      <w:r w:rsidRPr="00C43994">
        <w:rPr>
          <w:rFonts w:cs="OrigGarmnd BT"/>
          <w:color w:val="000000"/>
          <w:szCs w:val="24"/>
          <w:lang w:eastAsia="sv-SE"/>
        </w:rPr>
        <w:t xml:space="preserve">övriga ärenden. </w:t>
      </w:r>
    </w:p>
    <w:p w:rsidR="00AE4560" w:rsidRPr="00C43994" w:rsidRDefault="00AE4560" w:rsidP="0089124D">
      <w:pPr>
        <w:tabs>
          <w:tab w:val="left" w:pos="1701"/>
        </w:tabs>
        <w:overflowPunct/>
        <w:spacing w:line="240" w:lineRule="auto"/>
        <w:textAlignment w:val="auto"/>
        <w:rPr>
          <w:rFonts w:cs="OrigGarmnd BT"/>
          <w:color w:val="000000"/>
          <w:szCs w:val="24"/>
          <w:lang w:eastAsia="sv-SE"/>
        </w:rPr>
      </w:pPr>
    </w:p>
    <w:p w:rsidR="0089124D" w:rsidRPr="00C43994" w:rsidRDefault="0089124D" w:rsidP="006114EC">
      <w:pPr>
        <w:tabs>
          <w:tab w:val="left" w:pos="1701"/>
        </w:tabs>
        <w:overflowPunct/>
        <w:spacing w:line="240" w:lineRule="auto"/>
        <w:jc w:val="center"/>
        <w:textAlignment w:val="auto"/>
        <w:rPr>
          <w:lang w:eastAsia="sv-SE"/>
        </w:rPr>
      </w:pPr>
      <w:r w:rsidRPr="00C43994">
        <w:rPr>
          <w:lang w:eastAsia="sv-SE"/>
        </w:rPr>
        <w:t>_______________________</w:t>
      </w:r>
    </w:p>
    <w:p w:rsidR="00C775DF" w:rsidRPr="00C43994" w:rsidRDefault="00C775DF" w:rsidP="006114EC">
      <w:pPr>
        <w:tabs>
          <w:tab w:val="left" w:pos="1701"/>
        </w:tabs>
        <w:overflowPunct/>
        <w:spacing w:line="240" w:lineRule="auto"/>
        <w:jc w:val="center"/>
        <w:textAlignment w:val="auto"/>
        <w:rPr>
          <w:lang w:eastAsia="sv-SE"/>
        </w:rPr>
      </w:pPr>
    </w:p>
    <w:sectPr w:rsidR="00C775DF" w:rsidRPr="00C43994">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BC4" w:rsidRPr="00C43994" w:rsidRDefault="00352BC4">
      <w:r w:rsidRPr="00C43994">
        <w:separator/>
      </w:r>
    </w:p>
  </w:endnote>
  <w:endnote w:type="continuationSeparator" w:id="0">
    <w:p w:rsidR="00352BC4" w:rsidRPr="00C43994" w:rsidRDefault="00352BC4">
      <w:r w:rsidRPr="00C43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07" w:rsidRPr="00C43994" w:rsidRDefault="00D85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BC4" w:rsidRPr="00C43994" w:rsidRDefault="00352BC4">
      <w:r w:rsidRPr="00C43994">
        <w:separator/>
      </w:r>
    </w:p>
  </w:footnote>
  <w:footnote w:type="continuationSeparator" w:id="0">
    <w:p w:rsidR="00352BC4" w:rsidRPr="00C43994" w:rsidRDefault="00352BC4">
      <w:r w:rsidRPr="00C43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07" w:rsidRPr="00C43994" w:rsidRDefault="00D85307">
    <w:pPr>
      <w:pStyle w:val="Sidhuvud"/>
      <w:framePr w:wrap="around" w:vAnchor="text" w:hAnchor="margin" w:xAlign="right" w:y="1"/>
      <w:rPr>
        <w:rStyle w:val="Sidnummer"/>
        <w:rPrChange w:id="0" w:author="Lars Brink" w:date="2025-12-18T05:00:00Z" w16du:dateUtc="2025-12-18T04:00:00Z">
          <w:rPr>
            <w:rStyle w:val="Sidnummer"/>
          </w:rPr>
        </w:rPrChange>
      </w:rPr>
    </w:pPr>
    <w:r w:rsidRPr="00C43994">
      <w:rPr>
        <w:rStyle w:val="Sidnummer"/>
      </w:rPr>
      <w:fldChar w:fldCharType="begin" w:fldLock="1"/>
    </w:r>
    <w:r w:rsidRPr="00C43994">
      <w:rPr>
        <w:rStyle w:val="Sidnummer"/>
      </w:rPr>
      <w:instrText xml:space="preserve">PAGE  </w:instrText>
    </w:r>
    <w:r w:rsidRPr="00C43994">
      <w:rPr>
        <w:rStyle w:val="Sidnummer"/>
      </w:rPr>
      <w:fldChar w:fldCharType="separate"/>
    </w:r>
    <w:r w:rsidR="007134D4" w:rsidRPr="00C43994">
      <w:rPr>
        <w:rStyle w:val="Sidnummer"/>
        <w:rPrChange w:id="1" w:author="Lars Brink" w:date="2025-12-18T05:00:00Z" w16du:dateUtc="2025-12-18T04:00:00Z">
          <w:rPr>
            <w:rStyle w:val="Sidnummer"/>
            <w:noProof/>
          </w:rPr>
        </w:rPrChange>
      </w:rPr>
      <w:t>6</w:t>
    </w:r>
    <w:r w:rsidRPr="00C43994">
      <w:rPr>
        <w:rStyle w:val="Sidnummer"/>
        <w:rPrChange w:id="2" w:author="Lars Brink" w:date="2025-12-18T05:00:00Z" w16du:dateUtc="2025-12-18T04:0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D85307" w:rsidRPr="00C43994">
      <w:tblPrEx>
        <w:tblCellMar>
          <w:top w:w="0" w:type="dxa"/>
          <w:bottom w:w="0" w:type="dxa"/>
        </w:tblCellMar>
      </w:tblPrEx>
      <w:trPr>
        <w:cantSplit/>
      </w:trPr>
      <w:tc>
        <w:tcPr>
          <w:tcW w:w="3119" w:type="dxa"/>
        </w:tcPr>
        <w:p w:rsidR="00D85307" w:rsidRPr="00C43994" w:rsidRDefault="00D85307">
          <w:pPr>
            <w:pStyle w:val="Sidhuvud"/>
            <w:spacing w:line="200" w:lineRule="atLeast"/>
            <w:ind w:right="357"/>
            <w:rPr>
              <w:rFonts w:ascii="TradeGothic" w:hAnsi="TradeGothic"/>
              <w:b/>
              <w:bCs/>
              <w:sz w:val="16"/>
              <w:rPrChange w:id="3" w:author="Lars Brink" w:date="2025-12-18T05:00:00Z" w16du:dateUtc="2025-12-18T04:00:00Z">
                <w:rPr>
                  <w:rFonts w:ascii="TradeGothic" w:hAnsi="TradeGothic"/>
                  <w:b/>
                  <w:bCs/>
                  <w:sz w:val="16"/>
                </w:rPr>
              </w:rPrChange>
            </w:rPr>
          </w:pPr>
        </w:p>
      </w:tc>
      <w:tc>
        <w:tcPr>
          <w:tcW w:w="4111" w:type="dxa"/>
          <w:tcMar>
            <w:left w:w="567" w:type="dxa"/>
          </w:tcMar>
        </w:tcPr>
        <w:p w:rsidR="00D85307" w:rsidRPr="00C43994" w:rsidRDefault="00D85307">
          <w:pPr>
            <w:pStyle w:val="Sidhuvud"/>
            <w:ind w:right="360"/>
            <w:rPr>
              <w:rPrChange w:id="4" w:author="Lars Brink" w:date="2025-12-18T05:00:00Z" w16du:dateUtc="2025-12-18T04:00:00Z">
                <w:rPr/>
              </w:rPrChange>
            </w:rPr>
          </w:pPr>
        </w:p>
      </w:tc>
      <w:tc>
        <w:tcPr>
          <w:tcW w:w="1525" w:type="dxa"/>
        </w:tcPr>
        <w:p w:rsidR="00D85307" w:rsidRPr="00C43994" w:rsidRDefault="00D85307">
          <w:pPr>
            <w:pStyle w:val="Sidhuvud"/>
            <w:ind w:right="360"/>
            <w:rPr>
              <w:rPrChange w:id="5" w:author="Lars Brink" w:date="2025-12-18T05:00:00Z" w16du:dateUtc="2025-12-18T04:00:00Z">
                <w:rPr/>
              </w:rPrChange>
            </w:rPr>
          </w:pPr>
        </w:p>
      </w:tc>
    </w:tr>
  </w:tbl>
  <w:p w:rsidR="00D85307" w:rsidRPr="00C43994" w:rsidRDefault="00D85307">
    <w:pPr>
      <w:pStyle w:val="Sidhuvud"/>
      <w:ind w:right="357" w:firstLine="357"/>
      <w:rPr>
        <w:rPrChange w:id="6" w:author="Lars Brink" w:date="2025-12-18T05:00:00Z" w16du:dateUtc="2025-12-18T04:00: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07" w:rsidRPr="00C43994" w:rsidRDefault="00D85307">
    <w:pPr>
      <w:pStyle w:val="Sidhuvud"/>
      <w:framePr w:wrap="around" w:vAnchor="text" w:hAnchor="margin" w:xAlign="right" w:y="1"/>
      <w:rPr>
        <w:rStyle w:val="Sidnummer"/>
        <w:rPrChange w:id="7" w:author="Lars Brink" w:date="2025-12-18T05:00:00Z" w16du:dateUtc="2025-12-18T04:00:00Z">
          <w:rPr>
            <w:rStyle w:val="Sidnummer"/>
          </w:rPr>
        </w:rPrChange>
      </w:rPr>
    </w:pPr>
    <w:r w:rsidRPr="00C43994">
      <w:rPr>
        <w:rStyle w:val="Sidnummer"/>
      </w:rPr>
      <w:fldChar w:fldCharType="begin" w:fldLock="1"/>
    </w:r>
    <w:r w:rsidRPr="00C43994">
      <w:rPr>
        <w:rStyle w:val="Sidnummer"/>
      </w:rPr>
      <w:instrText xml:space="preserve">PAGE  </w:instrText>
    </w:r>
    <w:r w:rsidRPr="00C43994">
      <w:rPr>
        <w:rStyle w:val="Sidnummer"/>
      </w:rPr>
      <w:fldChar w:fldCharType="separate"/>
    </w:r>
    <w:r w:rsidR="007134D4" w:rsidRPr="00C43994">
      <w:rPr>
        <w:rStyle w:val="Sidnummer"/>
        <w:rPrChange w:id="8" w:author="Lars Brink" w:date="2025-12-18T05:00:00Z" w16du:dateUtc="2025-12-18T04:00:00Z">
          <w:rPr>
            <w:rStyle w:val="Sidnummer"/>
            <w:noProof/>
          </w:rPr>
        </w:rPrChange>
      </w:rPr>
      <w:t>7</w:t>
    </w:r>
    <w:r w:rsidRPr="00C43994">
      <w:rPr>
        <w:rStyle w:val="Sidnummer"/>
        <w:rPrChange w:id="9" w:author="Lars Brink" w:date="2025-12-18T05:00:00Z" w16du:dateUtc="2025-12-18T04:0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D85307" w:rsidRPr="00C43994">
      <w:tblPrEx>
        <w:tblCellMar>
          <w:top w:w="0" w:type="dxa"/>
          <w:bottom w:w="0" w:type="dxa"/>
        </w:tblCellMar>
      </w:tblPrEx>
      <w:trPr>
        <w:cantSplit/>
      </w:trPr>
      <w:tc>
        <w:tcPr>
          <w:tcW w:w="3119" w:type="dxa"/>
        </w:tcPr>
        <w:p w:rsidR="00D85307" w:rsidRPr="00C43994" w:rsidRDefault="00D85307">
          <w:pPr>
            <w:pStyle w:val="Sidhuvud"/>
            <w:spacing w:line="200" w:lineRule="atLeast"/>
            <w:ind w:right="357"/>
            <w:rPr>
              <w:rFonts w:ascii="TradeGothic" w:hAnsi="TradeGothic"/>
              <w:b/>
              <w:bCs/>
              <w:sz w:val="16"/>
              <w:rPrChange w:id="10" w:author="Lars Brink" w:date="2025-12-18T05:00:00Z" w16du:dateUtc="2025-12-18T04:00:00Z">
                <w:rPr>
                  <w:rFonts w:ascii="TradeGothic" w:hAnsi="TradeGothic"/>
                  <w:b/>
                  <w:bCs/>
                  <w:sz w:val="16"/>
                </w:rPr>
              </w:rPrChange>
            </w:rPr>
          </w:pPr>
        </w:p>
      </w:tc>
      <w:tc>
        <w:tcPr>
          <w:tcW w:w="4111" w:type="dxa"/>
          <w:tcMar>
            <w:left w:w="567" w:type="dxa"/>
          </w:tcMar>
        </w:tcPr>
        <w:p w:rsidR="00D85307" w:rsidRPr="00C43994" w:rsidRDefault="00D85307">
          <w:pPr>
            <w:pStyle w:val="Sidhuvud"/>
            <w:ind w:right="360"/>
            <w:rPr>
              <w:rPrChange w:id="11" w:author="Lars Brink" w:date="2025-12-18T05:00:00Z" w16du:dateUtc="2025-12-18T04:00:00Z">
                <w:rPr/>
              </w:rPrChange>
            </w:rPr>
          </w:pPr>
        </w:p>
      </w:tc>
      <w:tc>
        <w:tcPr>
          <w:tcW w:w="1525" w:type="dxa"/>
        </w:tcPr>
        <w:p w:rsidR="00D85307" w:rsidRPr="00C43994" w:rsidRDefault="00D85307">
          <w:pPr>
            <w:pStyle w:val="Sidhuvud"/>
            <w:ind w:right="360"/>
            <w:rPr>
              <w:rPrChange w:id="12" w:author="Lars Brink" w:date="2025-12-18T05:00:00Z" w16du:dateUtc="2025-12-18T04:00:00Z">
                <w:rPr/>
              </w:rPrChange>
            </w:rPr>
          </w:pPr>
        </w:p>
      </w:tc>
    </w:tr>
  </w:tbl>
  <w:p w:rsidR="00D85307" w:rsidRPr="00C43994" w:rsidRDefault="00D85307">
    <w:pPr>
      <w:pStyle w:val="Sidhuvud"/>
      <w:ind w:right="357" w:firstLine="357"/>
      <w:rPr>
        <w:rPrChange w:id="13" w:author="Lars Brink" w:date="2025-12-18T05:00:00Z" w16du:dateUtc="2025-12-18T04:00: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07" w:rsidRPr="00C43994" w:rsidRDefault="00C43994">
    <w:pPr>
      <w:framePr w:w="2948" w:h="1321" w:hRule="exact" w:wrap="notBeside" w:vAnchor="page" w:hAnchor="page" w:x="1362" w:y="653"/>
    </w:pPr>
    <w:r w:rsidRPr="00C4399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85307" w:rsidRPr="00C43994" w:rsidRDefault="00D85307">
    <w:pPr>
      <w:pStyle w:val="RKrubrik"/>
      <w:keepNext w:val="0"/>
      <w:tabs>
        <w:tab w:val="clear" w:pos="1134"/>
        <w:tab w:val="clear" w:pos="2835"/>
      </w:tabs>
      <w:spacing w:before="0" w:after="0" w:line="320" w:lineRule="atLeast"/>
      <w:rPr>
        <w:bCs/>
      </w:rPr>
    </w:pPr>
  </w:p>
  <w:p w:rsidR="00D85307" w:rsidRPr="00C43994" w:rsidRDefault="00D85307">
    <w:pPr>
      <w:rPr>
        <w:rFonts w:ascii="TradeGothic" w:hAnsi="TradeGothic"/>
        <w:b/>
        <w:bCs/>
        <w:spacing w:val="12"/>
        <w:sz w:val="22"/>
      </w:rPr>
    </w:pPr>
  </w:p>
  <w:p w:rsidR="00D85307" w:rsidRPr="00C43994" w:rsidRDefault="00D85307">
    <w:pPr>
      <w:pStyle w:val="RKrubrik"/>
      <w:keepNext w:val="0"/>
      <w:tabs>
        <w:tab w:val="clear" w:pos="1134"/>
        <w:tab w:val="clear" w:pos="2835"/>
      </w:tabs>
      <w:spacing w:before="0" w:after="0" w:line="320" w:lineRule="atLeast"/>
      <w:rPr>
        <w:bCs/>
      </w:rPr>
    </w:pPr>
  </w:p>
  <w:p w:rsidR="00D85307" w:rsidRPr="00C43994" w:rsidRDefault="00D8530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D61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D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A04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B2D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0D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0F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21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85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4AF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EAB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14E2AC6"/>
    <w:lvl w:ilvl="0">
      <w:numFmt w:val="bullet"/>
      <w:lvlText w:val="*"/>
      <w:lvlJc w:val="left"/>
    </w:lvl>
  </w:abstractNum>
  <w:abstractNum w:abstractNumId="1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607A8"/>
    <w:multiLevelType w:val="hybridMultilevel"/>
    <w:tmpl w:val="BB0092FC"/>
    <w:lvl w:ilvl="0" w:tplc="508C8864">
      <w:start w:val="1"/>
      <w:numFmt w:val="lowerRoman"/>
      <w:lvlText w:val="(%1)"/>
      <w:lvlJc w:val="left"/>
      <w:pPr>
        <w:tabs>
          <w:tab w:val="num" w:pos="1440"/>
        </w:tabs>
        <w:ind w:left="1440" w:hanging="108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F3B98"/>
    <w:multiLevelType w:val="hybridMultilevel"/>
    <w:tmpl w:val="E2F4591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63600"/>
    <w:multiLevelType w:val="hybridMultilevel"/>
    <w:tmpl w:val="94109E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54A6D"/>
    <w:multiLevelType w:val="hybridMultilevel"/>
    <w:tmpl w:val="E1F030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9660215">
    <w:abstractNumId w:val="10"/>
    <w:lvlOverride w:ilvl="0">
      <w:lvl w:ilvl="0">
        <w:numFmt w:val="bullet"/>
        <w:lvlText w:val="•"/>
        <w:legacy w:legacy="1" w:legacySpace="0" w:legacyIndent="0"/>
        <w:lvlJc w:val="left"/>
        <w:rPr>
          <w:rFonts w:ascii="Helv" w:hAnsi="Helv" w:hint="default"/>
        </w:rPr>
      </w:lvl>
    </w:lvlOverride>
  </w:num>
  <w:num w:numId="2" w16cid:durableId="1768768689">
    <w:abstractNumId w:val="21"/>
  </w:num>
  <w:num w:numId="3" w16cid:durableId="93132830">
    <w:abstractNumId w:val="31"/>
  </w:num>
  <w:num w:numId="4" w16cid:durableId="1821270985">
    <w:abstractNumId w:val="25"/>
  </w:num>
  <w:num w:numId="5" w16cid:durableId="1545680555">
    <w:abstractNumId w:val="13"/>
  </w:num>
  <w:num w:numId="6" w16cid:durableId="116796456">
    <w:abstractNumId w:val="29"/>
  </w:num>
  <w:num w:numId="7" w16cid:durableId="997611384">
    <w:abstractNumId w:val="18"/>
  </w:num>
  <w:num w:numId="8" w16cid:durableId="1323048758">
    <w:abstractNumId w:val="15"/>
  </w:num>
  <w:num w:numId="9" w16cid:durableId="279459805">
    <w:abstractNumId w:val="32"/>
  </w:num>
  <w:num w:numId="10" w16cid:durableId="1702587828">
    <w:abstractNumId w:val="22"/>
  </w:num>
  <w:num w:numId="11" w16cid:durableId="1613510212">
    <w:abstractNumId w:val="26"/>
  </w:num>
  <w:num w:numId="12" w16cid:durableId="287594214">
    <w:abstractNumId w:val="17"/>
  </w:num>
  <w:num w:numId="13" w16cid:durableId="2090957298">
    <w:abstractNumId w:val="30"/>
  </w:num>
  <w:num w:numId="14" w16cid:durableId="389158046">
    <w:abstractNumId w:val="20"/>
  </w:num>
  <w:num w:numId="15" w16cid:durableId="884489924">
    <w:abstractNumId w:val="16"/>
  </w:num>
  <w:num w:numId="16" w16cid:durableId="926617417">
    <w:abstractNumId w:val="28"/>
  </w:num>
  <w:num w:numId="17" w16cid:durableId="174855234">
    <w:abstractNumId w:val="11"/>
  </w:num>
  <w:num w:numId="18" w16cid:durableId="1619794272">
    <w:abstractNumId w:val="27"/>
  </w:num>
  <w:num w:numId="19" w16cid:durableId="990405426">
    <w:abstractNumId w:val="19"/>
  </w:num>
  <w:num w:numId="20" w16cid:durableId="1059401525">
    <w:abstractNumId w:val="12"/>
  </w:num>
  <w:num w:numId="21" w16cid:durableId="964892170">
    <w:abstractNumId w:val="8"/>
  </w:num>
  <w:num w:numId="22" w16cid:durableId="991758474">
    <w:abstractNumId w:val="3"/>
  </w:num>
  <w:num w:numId="23" w16cid:durableId="1055274093">
    <w:abstractNumId w:val="2"/>
  </w:num>
  <w:num w:numId="24" w16cid:durableId="1752582368">
    <w:abstractNumId w:val="1"/>
  </w:num>
  <w:num w:numId="25" w16cid:durableId="1909995237">
    <w:abstractNumId w:val="0"/>
  </w:num>
  <w:num w:numId="26" w16cid:durableId="551963213">
    <w:abstractNumId w:val="9"/>
  </w:num>
  <w:num w:numId="27" w16cid:durableId="776754335">
    <w:abstractNumId w:val="7"/>
  </w:num>
  <w:num w:numId="28" w16cid:durableId="433862357">
    <w:abstractNumId w:val="6"/>
  </w:num>
  <w:num w:numId="29" w16cid:durableId="1026296223">
    <w:abstractNumId w:val="5"/>
  </w:num>
  <w:num w:numId="30" w16cid:durableId="1260217696">
    <w:abstractNumId w:val="4"/>
  </w:num>
  <w:num w:numId="31" w16cid:durableId="1440878004">
    <w:abstractNumId w:val="14"/>
  </w:num>
  <w:num w:numId="32" w16cid:durableId="1905530157">
    <w:abstractNumId w:val="24"/>
  </w:num>
  <w:num w:numId="33" w16cid:durableId="1181131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1FDD"/>
    <w:rsid w:val="00002E7D"/>
    <w:rsid w:val="0000309D"/>
    <w:rsid w:val="00005681"/>
    <w:rsid w:val="00005D28"/>
    <w:rsid w:val="0002076E"/>
    <w:rsid w:val="00020F98"/>
    <w:rsid w:val="00036061"/>
    <w:rsid w:val="000368BF"/>
    <w:rsid w:val="00036AA2"/>
    <w:rsid w:val="00036D03"/>
    <w:rsid w:val="00041195"/>
    <w:rsid w:val="00045C74"/>
    <w:rsid w:val="00050A61"/>
    <w:rsid w:val="00051CF5"/>
    <w:rsid w:val="0005228A"/>
    <w:rsid w:val="00054A4F"/>
    <w:rsid w:val="00055412"/>
    <w:rsid w:val="00060B79"/>
    <w:rsid w:val="00062474"/>
    <w:rsid w:val="00065C80"/>
    <w:rsid w:val="00067C36"/>
    <w:rsid w:val="0007009C"/>
    <w:rsid w:val="00074982"/>
    <w:rsid w:val="00074DAA"/>
    <w:rsid w:val="0007546F"/>
    <w:rsid w:val="0008297A"/>
    <w:rsid w:val="00085088"/>
    <w:rsid w:val="000921BE"/>
    <w:rsid w:val="00093337"/>
    <w:rsid w:val="00094F71"/>
    <w:rsid w:val="00096298"/>
    <w:rsid w:val="000B3D09"/>
    <w:rsid w:val="000B4A77"/>
    <w:rsid w:val="000B5526"/>
    <w:rsid w:val="000C058A"/>
    <w:rsid w:val="000C19A6"/>
    <w:rsid w:val="000C4031"/>
    <w:rsid w:val="000C7B02"/>
    <w:rsid w:val="000D0E2B"/>
    <w:rsid w:val="000D1F4D"/>
    <w:rsid w:val="000D6091"/>
    <w:rsid w:val="000E45F5"/>
    <w:rsid w:val="000E52B4"/>
    <w:rsid w:val="000E5DF7"/>
    <w:rsid w:val="000E6DC1"/>
    <w:rsid w:val="000F368A"/>
    <w:rsid w:val="000F7186"/>
    <w:rsid w:val="000F7A65"/>
    <w:rsid w:val="00104C19"/>
    <w:rsid w:val="00113C40"/>
    <w:rsid w:val="001140C4"/>
    <w:rsid w:val="00115D03"/>
    <w:rsid w:val="00116B16"/>
    <w:rsid w:val="0012341E"/>
    <w:rsid w:val="00124CA8"/>
    <w:rsid w:val="0013161E"/>
    <w:rsid w:val="00132043"/>
    <w:rsid w:val="001365AC"/>
    <w:rsid w:val="00142F08"/>
    <w:rsid w:val="00143DBC"/>
    <w:rsid w:val="00144666"/>
    <w:rsid w:val="00145CC4"/>
    <w:rsid w:val="0014651B"/>
    <w:rsid w:val="00147E57"/>
    <w:rsid w:val="00150384"/>
    <w:rsid w:val="00162E27"/>
    <w:rsid w:val="00165A4C"/>
    <w:rsid w:val="00167FD2"/>
    <w:rsid w:val="00175FE3"/>
    <w:rsid w:val="00180316"/>
    <w:rsid w:val="001805B7"/>
    <w:rsid w:val="00193BE3"/>
    <w:rsid w:val="0019602C"/>
    <w:rsid w:val="001A04AC"/>
    <w:rsid w:val="001A22CE"/>
    <w:rsid w:val="001A3B22"/>
    <w:rsid w:val="001A4081"/>
    <w:rsid w:val="001A5D7A"/>
    <w:rsid w:val="001A7CFF"/>
    <w:rsid w:val="001B0435"/>
    <w:rsid w:val="001B1D40"/>
    <w:rsid w:val="001B250C"/>
    <w:rsid w:val="001B5279"/>
    <w:rsid w:val="001C5B7F"/>
    <w:rsid w:val="001D3DFE"/>
    <w:rsid w:val="001D758A"/>
    <w:rsid w:val="001E2280"/>
    <w:rsid w:val="001F2632"/>
    <w:rsid w:val="001F3AC2"/>
    <w:rsid w:val="001F529D"/>
    <w:rsid w:val="001F5B4C"/>
    <w:rsid w:val="002009D8"/>
    <w:rsid w:val="0020207D"/>
    <w:rsid w:val="00202F66"/>
    <w:rsid w:val="002040D3"/>
    <w:rsid w:val="002047D3"/>
    <w:rsid w:val="0020623A"/>
    <w:rsid w:val="0021408F"/>
    <w:rsid w:val="00214E8E"/>
    <w:rsid w:val="00214FB6"/>
    <w:rsid w:val="0021594A"/>
    <w:rsid w:val="0022015D"/>
    <w:rsid w:val="00222E35"/>
    <w:rsid w:val="0022391A"/>
    <w:rsid w:val="00224C84"/>
    <w:rsid w:val="002323A0"/>
    <w:rsid w:val="00235652"/>
    <w:rsid w:val="00240588"/>
    <w:rsid w:val="00240656"/>
    <w:rsid w:val="002416E9"/>
    <w:rsid w:val="00245E32"/>
    <w:rsid w:val="00257993"/>
    <w:rsid w:val="002603B7"/>
    <w:rsid w:val="002827A8"/>
    <w:rsid w:val="00284009"/>
    <w:rsid w:val="00296623"/>
    <w:rsid w:val="002971F6"/>
    <w:rsid w:val="002A2358"/>
    <w:rsid w:val="002A647D"/>
    <w:rsid w:val="002C15DA"/>
    <w:rsid w:val="002C1B38"/>
    <w:rsid w:val="002C54FD"/>
    <w:rsid w:val="002C7698"/>
    <w:rsid w:val="002C7789"/>
    <w:rsid w:val="002C7DF9"/>
    <w:rsid w:val="002D197A"/>
    <w:rsid w:val="002D3C3D"/>
    <w:rsid w:val="002E02C5"/>
    <w:rsid w:val="002E2FDE"/>
    <w:rsid w:val="002E36DF"/>
    <w:rsid w:val="002E452E"/>
    <w:rsid w:val="002E75F5"/>
    <w:rsid w:val="002E7C49"/>
    <w:rsid w:val="002F1B8E"/>
    <w:rsid w:val="002F2F1E"/>
    <w:rsid w:val="002F31A6"/>
    <w:rsid w:val="002F6A0C"/>
    <w:rsid w:val="003007D7"/>
    <w:rsid w:val="00300B28"/>
    <w:rsid w:val="00301F5E"/>
    <w:rsid w:val="00302F5E"/>
    <w:rsid w:val="003034ED"/>
    <w:rsid w:val="00304E4E"/>
    <w:rsid w:val="00310545"/>
    <w:rsid w:val="00315453"/>
    <w:rsid w:val="00316176"/>
    <w:rsid w:val="00324996"/>
    <w:rsid w:val="00324E60"/>
    <w:rsid w:val="00325090"/>
    <w:rsid w:val="00330369"/>
    <w:rsid w:val="0033112E"/>
    <w:rsid w:val="00331F88"/>
    <w:rsid w:val="003435A6"/>
    <w:rsid w:val="00350C4C"/>
    <w:rsid w:val="003511A7"/>
    <w:rsid w:val="0035222F"/>
    <w:rsid w:val="00352BC4"/>
    <w:rsid w:val="0035577C"/>
    <w:rsid w:val="003615CB"/>
    <w:rsid w:val="003629A1"/>
    <w:rsid w:val="00362BB1"/>
    <w:rsid w:val="00363447"/>
    <w:rsid w:val="00364EE5"/>
    <w:rsid w:val="00366A0D"/>
    <w:rsid w:val="00371063"/>
    <w:rsid w:val="00373107"/>
    <w:rsid w:val="00373DD3"/>
    <w:rsid w:val="00376CDE"/>
    <w:rsid w:val="003828A3"/>
    <w:rsid w:val="003829B2"/>
    <w:rsid w:val="00383302"/>
    <w:rsid w:val="0038357A"/>
    <w:rsid w:val="00383698"/>
    <w:rsid w:val="0038571D"/>
    <w:rsid w:val="00385C6C"/>
    <w:rsid w:val="003877DD"/>
    <w:rsid w:val="00387CF7"/>
    <w:rsid w:val="0039524B"/>
    <w:rsid w:val="003A3FEA"/>
    <w:rsid w:val="003A7506"/>
    <w:rsid w:val="003B0F21"/>
    <w:rsid w:val="003B7A24"/>
    <w:rsid w:val="003C0C70"/>
    <w:rsid w:val="003C1AB1"/>
    <w:rsid w:val="003C554B"/>
    <w:rsid w:val="003C645A"/>
    <w:rsid w:val="003C6D18"/>
    <w:rsid w:val="003D0BE7"/>
    <w:rsid w:val="003D3061"/>
    <w:rsid w:val="003D39A6"/>
    <w:rsid w:val="003D45A4"/>
    <w:rsid w:val="003D5761"/>
    <w:rsid w:val="003D77E9"/>
    <w:rsid w:val="003E5ABF"/>
    <w:rsid w:val="003E5F20"/>
    <w:rsid w:val="003F13B8"/>
    <w:rsid w:val="003F16DF"/>
    <w:rsid w:val="003F436C"/>
    <w:rsid w:val="003F4F70"/>
    <w:rsid w:val="003F591A"/>
    <w:rsid w:val="003F5BC3"/>
    <w:rsid w:val="003F7E7E"/>
    <w:rsid w:val="004032DB"/>
    <w:rsid w:val="00403A3B"/>
    <w:rsid w:val="004138F4"/>
    <w:rsid w:val="00421C68"/>
    <w:rsid w:val="00421EC8"/>
    <w:rsid w:val="00422531"/>
    <w:rsid w:val="00426F66"/>
    <w:rsid w:val="0043370C"/>
    <w:rsid w:val="00434E68"/>
    <w:rsid w:val="00435A03"/>
    <w:rsid w:val="0043636F"/>
    <w:rsid w:val="004364BF"/>
    <w:rsid w:val="00445181"/>
    <w:rsid w:val="00446811"/>
    <w:rsid w:val="0044703C"/>
    <w:rsid w:val="00451C5D"/>
    <w:rsid w:val="00454514"/>
    <w:rsid w:val="00455913"/>
    <w:rsid w:val="00456C61"/>
    <w:rsid w:val="004579B8"/>
    <w:rsid w:val="004624B4"/>
    <w:rsid w:val="004629C8"/>
    <w:rsid w:val="004671DF"/>
    <w:rsid w:val="004706A2"/>
    <w:rsid w:val="00474352"/>
    <w:rsid w:val="0048370D"/>
    <w:rsid w:val="00490975"/>
    <w:rsid w:val="00491B1E"/>
    <w:rsid w:val="004938B1"/>
    <w:rsid w:val="00495362"/>
    <w:rsid w:val="004971F9"/>
    <w:rsid w:val="004A328D"/>
    <w:rsid w:val="004A743A"/>
    <w:rsid w:val="004B3127"/>
    <w:rsid w:val="004B5064"/>
    <w:rsid w:val="004B75EE"/>
    <w:rsid w:val="004C01E7"/>
    <w:rsid w:val="004C1971"/>
    <w:rsid w:val="004D22AA"/>
    <w:rsid w:val="004D4014"/>
    <w:rsid w:val="004D43AE"/>
    <w:rsid w:val="004D53AC"/>
    <w:rsid w:val="004E0C5C"/>
    <w:rsid w:val="004E7A54"/>
    <w:rsid w:val="004F0E5F"/>
    <w:rsid w:val="004F1409"/>
    <w:rsid w:val="004F252D"/>
    <w:rsid w:val="00501200"/>
    <w:rsid w:val="00510FAE"/>
    <w:rsid w:val="00515451"/>
    <w:rsid w:val="00521DC8"/>
    <w:rsid w:val="00524AA0"/>
    <w:rsid w:val="005372F1"/>
    <w:rsid w:val="00540DCA"/>
    <w:rsid w:val="00541DC5"/>
    <w:rsid w:val="00543DBB"/>
    <w:rsid w:val="005515AD"/>
    <w:rsid w:val="00552F39"/>
    <w:rsid w:val="00553B42"/>
    <w:rsid w:val="00557C90"/>
    <w:rsid w:val="00562C31"/>
    <w:rsid w:val="005659EB"/>
    <w:rsid w:val="005701D3"/>
    <w:rsid w:val="005748CD"/>
    <w:rsid w:val="00575BFA"/>
    <w:rsid w:val="00575D45"/>
    <w:rsid w:val="00580564"/>
    <w:rsid w:val="0058579A"/>
    <w:rsid w:val="00592030"/>
    <w:rsid w:val="00593C8B"/>
    <w:rsid w:val="005A1884"/>
    <w:rsid w:val="005A52F6"/>
    <w:rsid w:val="005B2957"/>
    <w:rsid w:val="005B4F85"/>
    <w:rsid w:val="005B54C3"/>
    <w:rsid w:val="005B6658"/>
    <w:rsid w:val="005C18BC"/>
    <w:rsid w:val="005C2526"/>
    <w:rsid w:val="005C2DB7"/>
    <w:rsid w:val="005C58A5"/>
    <w:rsid w:val="005D0E37"/>
    <w:rsid w:val="005D5138"/>
    <w:rsid w:val="005E40AE"/>
    <w:rsid w:val="005F3AA0"/>
    <w:rsid w:val="005F4359"/>
    <w:rsid w:val="005F45C8"/>
    <w:rsid w:val="00603F12"/>
    <w:rsid w:val="00605AF6"/>
    <w:rsid w:val="006114EC"/>
    <w:rsid w:val="0061465F"/>
    <w:rsid w:val="00616E9E"/>
    <w:rsid w:val="00620957"/>
    <w:rsid w:val="00627D7C"/>
    <w:rsid w:val="006310DB"/>
    <w:rsid w:val="0063673F"/>
    <w:rsid w:val="00636D5D"/>
    <w:rsid w:val="00640655"/>
    <w:rsid w:val="006631F5"/>
    <w:rsid w:val="00665DA3"/>
    <w:rsid w:val="006660D3"/>
    <w:rsid w:val="00666535"/>
    <w:rsid w:val="00681715"/>
    <w:rsid w:val="006838E2"/>
    <w:rsid w:val="006855DF"/>
    <w:rsid w:val="0069477C"/>
    <w:rsid w:val="00695636"/>
    <w:rsid w:val="00697A9D"/>
    <w:rsid w:val="006A2AD9"/>
    <w:rsid w:val="006A3CD5"/>
    <w:rsid w:val="006A4D13"/>
    <w:rsid w:val="006B0BE7"/>
    <w:rsid w:val="006B1FDE"/>
    <w:rsid w:val="006B7351"/>
    <w:rsid w:val="006B7652"/>
    <w:rsid w:val="006C6C21"/>
    <w:rsid w:val="006D4CF5"/>
    <w:rsid w:val="006D54AE"/>
    <w:rsid w:val="006D6450"/>
    <w:rsid w:val="006E4E11"/>
    <w:rsid w:val="006E6F31"/>
    <w:rsid w:val="006F1434"/>
    <w:rsid w:val="006F3CAD"/>
    <w:rsid w:val="006F7D42"/>
    <w:rsid w:val="00700152"/>
    <w:rsid w:val="00704BD1"/>
    <w:rsid w:val="007063F7"/>
    <w:rsid w:val="00706535"/>
    <w:rsid w:val="00707192"/>
    <w:rsid w:val="007074EC"/>
    <w:rsid w:val="00707A0C"/>
    <w:rsid w:val="0071049E"/>
    <w:rsid w:val="007129BC"/>
    <w:rsid w:val="00712CBA"/>
    <w:rsid w:val="007134D4"/>
    <w:rsid w:val="007149EA"/>
    <w:rsid w:val="00721C05"/>
    <w:rsid w:val="00723A76"/>
    <w:rsid w:val="007242A3"/>
    <w:rsid w:val="0072718D"/>
    <w:rsid w:val="007359F0"/>
    <w:rsid w:val="00741E59"/>
    <w:rsid w:val="007511FC"/>
    <w:rsid w:val="007537B9"/>
    <w:rsid w:val="00756769"/>
    <w:rsid w:val="00757066"/>
    <w:rsid w:val="00765A95"/>
    <w:rsid w:val="00773948"/>
    <w:rsid w:val="00775043"/>
    <w:rsid w:val="007815BA"/>
    <w:rsid w:val="00782417"/>
    <w:rsid w:val="00787EE4"/>
    <w:rsid w:val="007A14CD"/>
    <w:rsid w:val="007A2062"/>
    <w:rsid w:val="007A4D0C"/>
    <w:rsid w:val="007A75C4"/>
    <w:rsid w:val="007B1BC1"/>
    <w:rsid w:val="007B2AB5"/>
    <w:rsid w:val="007B41AD"/>
    <w:rsid w:val="007B4CBB"/>
    <w:rsid w:val="007B7A0A"/>
    <w:rsid w:val="007C1B01"/>
    <w:rsid w:val="007C1C59"/>
    <w:rsid w:val="007C69FC"/>
    <w:rsid w:val="007D37CD"/>
    <w:rsid w:val="007D5ED2"/>
    <w:rsid w:val="007E18BA"/>
    <w:rsid w:val="007E6DC8"/>
    <w:rsid w:val="007F24A4"/>
    <w:rsid w:val="007F281E"/>
    <w:rsid w:val="007F35AD"/>
    <w:rsid w:val="007F4A5B"/>
    <w:rsid w:val="007F533C"/>
    <w:rsid w:val="007F588C"/>
    <w:rsid w:val="007F62C7"/>
    <w:rsid w:val="00806C4C"/>
    <w:rsid w:val="008129F1"/>
    <w:rsid w:val="00822FCB"/>
    <w:rsid w:val="00830ABD"/>
    <w:rsid w:val="00837437"/>
    <w:rsid w:val="00840933"/>
    <w:rsid w:val="00841F11"/>
    <w:rsid w:val="00842C3B"/>
    <w:rsid w:val="00844584"/>
    <w:rsid w:val="0084685C"/>
    <w:rsid w:val="00851038"/>
    <w:rsid w:val="008518E9"/>
    <w:rsid w:val="00851B1D"/>
    <w:rsid w:val="0085480A"/>
    <w:rsid w:val="00856A3C"/>
    <w:rsid w:val="00862A80"/>
    <w:rsid w:val="00867A83"/>
    <w:rsid w:val="00870802"/>
    <w:rsid w:val="00870F5E"/>
    <w:rsid w:val="00872208"/>
    <w:rsid w:val="00880876"/>
    <w:rsid w:val="0088140B"/>
    <w:rsid w:val="0088275D"/>
    <w:rsid w:val="008846F7"/>
    <w:rsid w:val="008863E4"/>
    <w:rsid w:val="00890102"/>
    <w:rsid w:val="0089124D"/>
    <w:rsid w:val="00896BEE"/>
    <w:rsid w:val="008B1A33"/>
    <w:rsid w:val="008B4D72"/>
    <w:rsid w:val="008C0F8F"/>
    <w:rsid w:val="008C1948"/>
    <w:rsid w:val="008C76A6"/>
    <w:rsid w:val="008D0588"/>
    <w:rsid w:val="008D1B0F"/>
    <w:rsid w:val="008D1E59"/>
    <w:rsid w:val="008D3A58"/>
    <w:rsid w:val="008D46F1"/>
    <w:rsid w:val="008D7DD9"/>
    <w:rsid w:val="008E0AF3"/>
    <w:rsid w:val="008E4FD0"/>
    <w:rsid w:val="008E66E7"/>
    <w:rsid w:val="008E6978"/>
    <w:rsid w:val="008E6FC0"/>
    <w:rsid w:val="008F074F"/>
    <w:rsid w:val="008F0880"/>
    <w:rsid w:val="008F4282"/>
    <w:rsid w:val="00900B62"/>
    <w:rsid w:val="009035A6"/>
    <w:rsid w:val="009044A2"/>
    <w:rsid w:val="00904506"/>
    <w:rsid w:val="009120F4"/>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04E"/>
    <w:rsid w:val="009973CD"/>
    <w:rsid w:val="00997FDE"/>
    <w:rsid w:val="009A31DC"/>
    <w:rsid w:val="009A6242"/>
    <w:rsid w:val="009A6C4B"/>
    <w:rsid w:val="009B1D60"/>
    <w:rsid w:val="009B3A3C"/>
    <w:rsid w:val="009C39A0"/>
    <w:rsid w:val="009D6C77"/>
    <w:rsid w:val="009D79B4"/>
    <w:rsid w:val="009E1C2C"/>
    <w:rsid w:val="009E641E"/>
    <w:rsid w:val="009F3FCA"/>
    <w:rsid w:val="009F6C3E"/>
    <w:rsid w:val="009F7C49"/>
    <w:rsid w:val="00A00D77"/>
    <w:rsid w:val="00A0403E"/>
    <w:rsid w:val="00A047D1"/>
    <w:rsid w:val="00A15B2C"/>
    <w:rsid w:val="00A20AD3"/>
    <w:rsid w:val="00A33DE6"/>
    <w:rsid w:val="00A3439C"/>
    <w:rsid w:val="00A343DC"/>
    <w:rsid w:val="00A36370"/>
    <w:rsid w:val="00A37176"/>
    <w:rsid w:val="00A40794"/>
    <w:rsid w:val="00A41507"/>
    <w:rsid w:val="00A42E05"/>
    <w:rsid w:val="00A433C5"/>
    <w:rsid w:val="00A45200"/>
    <w:rsid w:val="00A463C6"/>
    <w:rsid w:val="00A531A0"/>
    <w:rsid w:val="00A537F1"/>
    <w:rsid w:val="00A63496"/>
    <w:rsid w:val="00A657A4"/>
    <w:rsid w:val="00A678B6"/>
    <w:rsid w:val="00A734F5"/>
    <w:rsid w:val="00A74624"/>
    <w:rsid w:val="00A75D8F"/>
    <w:rsid w:val="00A824FF"/>
    <w:rsid w:val="00A826AE"/>
    <w:rsid w:val="00A84655"/>
    <w:rsid w:val="00A866E6"/>
    <w:rsid w:val="00A87990"/>
    <w:rsid w:val="00A91645"/>
    <w:rsid w:val="00A94474"/>
    <w:rsid w:val="00AA1023"/>
    <w:rsid w:val="00AA6135"/>
    <w:rsid w:val="00AA7510"/>
    <w:rsid w:val="00AB0C4A"/>
    <w:rsid w:val="00AB0E4D"/>
    <w:rsid w:val="00AB4C5C"/>
    <w:rsid w:val="00AB72FE"/>
    <w:rsid w:val="00AD33C9"/>
    <w:rsid w:val="00AD74B0"/>
    <w:rsid w:val="00AE125F"/>
    <w:rsid w:val="00AE1EBF"/>
    <w:rsid w:val="00AE4560"/>
    <w:rsid w:val="00AE4C1F"/>
    <w:rsid w:val="00AE4D24"/>
    <w:rsid w:val="00AE5C5B"/>
    <w:rsid w:val="00AE72A9"/>
    <w:rsid w:val="00AF0121"/>
    <w:rsid w:val="00AF246C"/>
    <w:rsid w:val="00AF44D2"/>
    <w:rsid w:val="00B03237"/>
    <w:rsid w:val="00B0529B"/>
    <w:rsid w:val="00B053CD"/>
    <w:rsid w:val="00B21CD8"/>
    <w:rsid w:val="00B258CB"/>
    <w:rsid w:val="00B26E85"/>
    <w:rsid w:val="00B27B95"/>
    <w:rsid w:val="00B3237E"/>
    <w:rsid w:val="00B36305"/>
    <w:rsid w:val="00B370E3"/>
    <w:rsid w:val="00B4134A"/>
    <w:rsid w:val="00B417A1"/>
    <w:rsid w:val="00B439D8"/>
    <w:rsid w:val="00B53E1E"/>
    <w:rsid w:val="00B61ABA"/>
    <w:rsid w:val="00B64E35"/>
    <w:rsid w:val="00B671F6"/>
    <w:rsid w:val="00B727B6"/>
    <w:rsid w:val="00B73B8D"/>
    <w:rsid w:val="00B74E95"/>
    <w:rsid w:val="00B7548A"/>
    <w:rsid w:val="00B762A9"/>
    <w:rsid w:val="00B824ED"/>
    <w:rsid w:val="00B82AD1"/>
    <w:rsid w:val="00B85018"/>
    <w:rsid w:val="00B9196D"/>
    <w:rsid w:val="00B96438"/>
    <w:rsid w:val="00B96883"/>
    <w:rsid w:val="00BA6A04"/>
    <w:rsid w:val="00BA7800"/>
    <w:rsid w:val="00BB42C2"/>
    <w:rsid w:val="00BB59D9"/>
    <w:rsid w:val="00BB6AB4"/>
    <w:rsid w:val="00BB74A0"/>
    <w:rsid w:val="00BC7088"/>
    <w:rsid w:val="00BC762F"/>
    <w:rsid w:val="00BD360A"/>
    <w:rsid w:val="00BD41D1"/>
    <w:rsid w:val="00BD60FB"/>
    <w:rsid w:val="00BD65B2"/>
    <w:rsid w:val="00BE2767"/>
    <w:rsid w:val="00BF3EF1"/>
    <w:rsid w:val="00BF5B65"/>
    <w:rsid w:val="00C0353B"/>
    <w:rsid w:val="00C060CD"/>
    <w:rsid w:val="00C116E5"/>
    <w:rsid w:val="00C1295E"/>
    <w:rsid w:val="00C27F25"/>
    <w:rsid w:val="00C413B4"/>
    <w:rsid w:val="00C43994"/>
    <w:rsid w:val="00C4582E"/>
    <w:rsid w:val="00C50910"/>
    <w:rsid w:val="00C5306B"/>
    <w:rsid w:val="00C61004"/>
    <w:rsid w:val="00C62916"/>
    <w:rsid w:val="00C64C66"/>
    <w:rsid w:val="00C74DBB"/>
    <w:rsid w:val="00C74EA4"/>
    <w:rsid w:val="00C775DF"/>
    <w:rsid w:val="00C80B9B"/>
    <w:rsid w:val="00C83BB6"/>
    <w:rsid w:val="00C8443D"/>
    <w:rsid w:val="00C86D99"/>
    <w:rsid w:val="00C87D9E"/>
    <w:rsid w:val="00C929A9"/>
    <w:rsid w:val="00C941D0"/>
    <w:rsid w:val="00C97274"/>
    <w:rsid w:val="00CA001B"/>
    <w:rsid w:val="00CA390F"/>
    <w:rsid w:val="00CA4AAC"/>
    <w:rsid w:val="00CA742F"/>
    <w:rsid w:val="00CA7DD6"/>
    <w:rsid w:val="00CB00E0"/>
    <w:rsid w:val="00CB1951"/>
    <w:rsid w:val="00CB3510"/>
    <w:rsid w:val="00CB5195"/>
    <w:rsid w:val="00CB5547"/>
    <w:rsid w:val="00CB6870"/>
    <w:rsid w:val="00CC162D"/>
    <w:rsid w:val="00CC7BF4"/>
    <w:rsid w:val="00CD1318"/>
    <w:rsid w:val="00CD5048"/>
    <w:rsid w:val="00CD648B"/>
    <w:rsid w:val="00CE1279"/>
    <w:rsid w:val="00CE175F"/>
    <w:rsid w:val="00CE2CE9"/>
    <w:rsid w:val="00CE6F12"/>
    <w:rsid w:val="00D033B9"/>
    <w:rsid w:val="00D05370"/>
    <w:rsid w:val="00D07381"/>
    <w:rsid w:val="00D079D2"/>
    <w:rsid w:val="00D07E25"/>
    <w:rsid w:val="00D11123"/>
    <w:rsid w:val="00D1216E"/>
    <w:rsid w:val="00D13AF7"/>
    <w:rsid w:val="00D2603D"/>
    <w:rsid w:val="00D27F9E"/>
    <w:rsid w:val="00D35CF9"/>
    <w:rsid w:val="00D35DFC"/>
    <w:rsid w:val="00D4327E"/>
    <w:rsid w:val="00D4606F"/>
    <w:rsid w:val="00D51A2E"/>
    <w:rsid w:val="00D56B66"/>
    <w:rsid w:val="00D6048F"/>
    <w:rsid w:val="00D70A0D"/>
    <w:rsid w:val="00D71343"/>
    <w:rsid w:val="00D85307"/>
    <w:rsid w:val="00D955C5"/>
    <w:rsid w:val="00DA190E"/>
    <w:rsid w:val="00DA46F4"/>
    <w:rsid w:val="00DA5FE2"/>
    <w:rsid w:val="00DA6C7B"/>
    <w:rsid w:val="00DA7890"/>
    <w:rsid w:val="00DA7924"/>
    <w:rsid w:val="00DB62DB"/>
    <w:rsid w:val="00DC402F"/>
    <w:rsid w:val="00DC542E"/>
    <w:rsid w:val="00DD54E2"/>
    <w:rsid w:val="00DD5DD1"/>
    <w:rsid w:val="00DD627F"/>
    <w:rsid w:val="00DD6D4A"/>
    <w:rsid w:val="00DE2B0B"/>
    <w:rsid w:val="00DE2E1F"/>
    <w:rsid w:val="00DE7E71"/>
    <w:rsid w:val="00DF01CD"/>
    <w:rsid w:val="00DF3567"/>
    <w:rsid w:val="00DF3661"/>
    <w:rsid w:val="00DF4D88"/>
    <w:rsid w:val="00DF5492"/>
    <w:rsid w:val="00DF60C3"/>
    <w:rsid w:val="00E00022"/>
    <w:rsid w:val="00E02C39"/>
    <w:rsid w:val="00E07CA7"/>
    <w:rsid w:val="00E1384C"/>
    <w:rsid w:val="00E13F80"/>
    <w:rsid w:val="00E23326"/>
    <w:rsid w:val="00E233FE"/>
    <w:rsid w:val="00E24AEE"/>
    <w:rsid w:val="00E266EC"/>
    <w:rsid w:val="00E27B3B"/>
    <w:rsid w:val="00E31111"/>
    <w:rsid w:val="00E322D5"/>
    <w:rsid w:val="00E356AC"/>
    <w:rsid w:val="00E4367F"/>
    <w:rsid w:val="00E46B06"/>
    <w:rsid w:val="00E47F96"/>
    <w:rsid w:val="00E52F06"/>
    <w:rsid w:val="00E557D6"/>
    <w:rsid w:val="00E55DD6"/>
    <w:rsid w:val="00E61B35"/>
    <w:rsid w:val="00E72A4C"/>
    <w:rsid w:val="00E7725E"/>
    <w:rsid w:val="00E84EA1"/>
    <w:rsid w:val="00E910EB"/>
    <w:rsid w:val="00E9129D"/>
    <w:rsid w:val="00E92CF1"/>
    <w:rsid w:val="00E94C55"/>
    <w:rsid w:val="00E96F06"/>
    <w:rsid w:val="00E97091"/>
    <w:rsid w:val="00E974DC"/>
    <w:rsid w:val="00EA102C"/>
    <w:rsid w:val="00EC25F9"/>
    <w:rsid w:val="00EC450A"/>
    <w:rsid w:val="00EC5436"/>
    <w:rsid w:val="00EC63C2"/>
    <w:rsid w:val="00EC7E75"/>
    <w:rsid w:val="00ED1D9A"/>
    <w:rsid w:val="00ED607F"/>
    <w:rsid w:val="00EE056F"/>
    <w:rsid w:val="00EE1C8D"/>
    <w:rsid w:val="00EE21E5"/>
    <w:rsid w:val="00EE66A7"/>
    <w:rsid w:val="00EF1EDB"/>
    <w:rsid w:val="00EF22BF"/>
    <w:rsid w:val="00EF5C7B"/>
    <w:rsid w:val="00EF7994"/>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80738"/>
    <w:rsid w:val="00F855E1"/>
    <w:rsid w:val="00F955A1"/>
    <w:rsid w:val="00F9679A"/>
    <w:rsid w:val="00FA18F6"/>
    <w:rsid w:val="00FA76FB"/>
    <w:rsid w:val="00FB0CB3"/>
    <w:rsid w:val="00FB0DAB"/>
    <w:rsid w:val="00FB6A1C"/>
    <w:rsid w:val="00FB6B28"/>
    <w:rsid w:val="00FC0814"/>
    <w:rsid w:val="00FC26AD"/>
    <w:rsid w:val="00FD0013"/>
    <w:rsid w:val="00FE17BA"/>
    <w:rsid w:val="00FE5203"/>
    <w:rsid w:val="00FE627F"/>
    <w:rsid w:val="00FE7059"/>
    <w:rsid w:val="00FF343E"/>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FAEFA0-8453-48A4-B0FC-BA40896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7B4CBB"/>
    <w:pPr>
      <w:tabs>
        <w:tab w:val="num" w:pos="357"/>
      </w:tabs>
      <w:ind w:left="357" w:hanging="357"/>
    </w:pPr>
  </w:style>
  <w:style w:type="paragraph" w:styleId="Fotnotstext">
    <w:name w:val="footnote text"/>
    <w:basedOn w:val="Normal"/>
    <w:semiHidden/>
    <w:rsid w:val="00B370E3"/>
    <w:rPr>
      <w:sz w:val="20"/>
    </w:rPr>
  </w:style>
  <w:style w:type="character" w:styleId="Fotnotsreferens">
    <w:name w:val="footnote reference"/>
    <w:basedOn w:val="Standardstycketeckensnitt"/>
    <w:semiHidden/>
    <w:rsid w:val="00B370E3"/>
    <w:rPr>
      <w:vertAlign w:val="superscript"/>
    </w:rPr>
  </w:style>
  <w:style w:type="paragraph" w:styleId="Revision">
    <w:name w:val="Revision"/>
    <w:hidden/>
    <w:uiPriority w:val="99"/>
    <w:semiHidden/>
    <w:rsid w:val="00C43994"/>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11366</Characters>
  <Application>Microsoft Office Word</Application>
  <DocSecurity>4</DocSecurity>
  <Lines>299</Lines>
  <Paragraphs>73</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2011-06-13T10:15:00Z</cp:lastPrinted>
  <dcterms:created xsi:type="dcterms:W3CDTF">2025-12-18T04:00:00Z</dcterms:created>
  <dcterms:modified xsi:type="dcterms:W3CDTF">2025-12-18T04:00:00Z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