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5F5" w:rsidRPr="004F78EB" w:rsidRDefault="005945F5" w:rsidP="005945F5">
      <w:pPr>
        <w:ind w:right="-193"/>
        <w:jc w:val="both"/>
        <w:rPr>
          <w:rFonts w:ascii="OrigGarmnd BT" w:hAnsi="OrigGarmnd BT"/>
          <w:color w:val="000000"/>
          <w:sz w:val="24"/>
          <w:szCs w:val="24"/>
        </w:rPr>
      </w:pPr>
      <w:r w:rsidRPr="004F78EB">
        <w:rPr>
          <w:rFonts w:ascii="OrigGarmnd BT" w:hAnsi="OrigGarmnd BT"/>
          <w:b/>
          <w:bCs/>
          <w:color w:val="000000"/>
          <w:sz w:val="24"/>
          <w:szCs w:val="24"/>
        </w:rPr>
        <w:t>REGERINGSKANSLIET</w:t>
      </w:r>
      <w:r w:rsidRPr="004F78EB">
        <w:rPr>
          <w:rFonts w:ascii="OrigGarmnd BT" w:hAnsi="OrigGarmnd BT"/>
          <w:color w:val="000000"/>
          <w:sz w:val="24"/>
          <w:szCs w:val="24"/>
        </w:rPr>
        <w:tab/>
      </w:r>
      <w:r w:rsidRPr="004F78EB">
        <w:rPr>
          <w:rFonts w:ascii="OrigGarmnd BT" w:hAnsi="OrigGarmnd BT"/>
          <w:color w:val="000000"/>
          <w:sz w:val="24"/>
          <w:szCs w:val="24"/>
        </w:rPr>
        <w:tab/>
      </w:r>
      <w:r w:rsidRPr="004F78EB">
        <w:rPr>
          <w:rFonts w:ascii="OrigGarmnd BT" w:hAnsi="OrigGarmnd BT"/>
          <w:color w:val="000000"/>
          <w:sz w:val="24"/>
          <w:szCs w:val="24"/>
        </w:rPr>
        <w:tab/>
      </w:r>
    </w:p>
    <w:p w:rsidR="005945F5" w:rsidRPr="004F78EB" w:rsidRDefault="005945F5" w:rsidP="005945F5">
      <w:pPr>
        <w:ind w:right="-193"/>
        <w:jc w:val="both"/>
        <w:rPr>
          <w:rFonts w:ascii="OrigGarmnd BT" w:hAnsi="OrigGarmnd BT"/>
          <w:color w:val="000000"/>
          <w:sz w:val="24"/>
          <w:szCs w:val="24"/>
        </w:rPr>
      </w:pPr>
      <w:r w:rsidRPr="004F78EB">
        <w:rPr>
          <w:rFonts w:ascii="OrigGarmnd BT" w:hAnsi="OrigGarmnd BT"/>
          <w:color w:val="000000"/>
          <w:sz w:val="24"/>
          <w:szCs w:val="24"/>
        </w:rPr>
        <w:t>Utrikesdepartementet</w:t>
      </w:r>
      <w:r w:rsidRPr="004F78EB">
        <w:rPr>
          <w:rFonts w:ascii="OrigGarmnd BT" w:hAnsi="OrigGarmnd BT"/>
          <w:color w:val="000000"/>
          <w:sz w:val="24"/>
          <w:szCs w:val="24"/>
        </w:rPr>
        <w:tab/>
      </w:r>
      <w:r w:rsidRPr="004F78EB">
        <w:rPr>
          <w:rFonts w:ascii="OrigGarmnd BT" w:hAnsi="OrigGarmnd BT"/>
          <w:color w:val="000000"/>
          <w:sz w:val="24"/>
          <w:szCs w:val="24"/>
        </w:rPr>
        <w:tab/>
      </w:r>
      <w:r w:rsidRPr="004F78EB">
        <w:rPr>
          <w:rFonts w:ascii="OrigGarmnd BT" w:hAnsi="OrigGarmnd BT"/>
          <w:color w:val="000000"/>
          <w:sz w:val="24"/>
          <w:szCs w:val="24"/>
        </w:rPr>
        <w:tab/>
        <w:t>Kommenterad dagordning</w:t>
      </w:r>
      <w:r w:rsidRPr="004F78EB">
        <w:rPr>
          <w:rFonts w:ascii="OrigGarmnd BT" w:hAnsi="OrigGarmnd BT"/>
          <w:b/>
          <w:color w:val="000000"/>
          <w:sz w:val="24"/>
          <w:szCs w:val="24"/>
        </w:rPr>
        <w:t xml:space="preserve"> </w:t>
      </w:r>
    </w:p>
    <w:p w:rsidR="005945F5" w:rsidRPr="004F78EB" w:rsidRDefault="005945F5" w:rsidP="005945F5">
      <w:pPr>
        <w:jc w:val="both"/>
        <w:rPr>
          <w:rFonts w:ascii="OrigGarmnd BT" w:hAnsi="OrigGarmnd BT"/>
          <w:color w:val="000000"/>
          <w:sz w:val="24"/>
          <w:szCs w:val="24"/>
        </w:rPr>
      </w:pPr>
      <w:r w:rsidRPr="004F78EB">
        <w:rPr>
          <w:rFonts w:ascii="OrigGarmnd BT" w:hAnsi="OrigGarmnd BT"/>
          <w:color w:val="000000"/>
          <w:sz w:val="24"/>
          <w:szCs w:val="24"/>
        </w:rPr>
        <w:tab/>
      </w:r>
      <w:r w:rsidRPr="004F78EB">
        <w:rPr>
          <w:rFonts w:ascii="OrigGarmnd BT" w:hAnsi="OrigGarmnd BT"/>
          <w:color w:val="000000"/>
          <w:sz w:val="24"/>
          <w:szCs w:val="24"/>
        </w:rPr>
        <w:tab/>
      </w:r>
      <w:r w:rsidRPr="004F78EB">
        <w:rPr>
          <w:rFonts w:ascii="OrigGarmnd BT" w:hAnsi="OrigGarmnd BT"/>
          <w:color w:val="000000"/>
          <w:sz w:val="24"/>
          <w:szCs w:val="24"/>
        </w:rPr>
        <w:tab/>
      </w:r>
      <w:r w:rsidRPr="004F78EB">
        <w:rPr>
          <w:rFonts w:ascii="OrigGarmnd BT" w:hAnsi="OrigGarmnd BT"/>
          <w:color w:val="000000"/>
          <w:sz w:val="24"/>
          <w:szCs w:val="24"/>
        </w:rPr>
        <w:tab/>
      </w:r>
      <w:r w:rsidRPr="004F78EB">
        <w:rPr>
          <w:rFonts w:ascii="OrigGarmnd BT" w:hAnsi="OrigGarmnd BT"/>
          <w:color w:val="000000"/>
          <w:sz w:val="24"/>
          <w:szCs w:val="24"/>
        </w:rPr>
        <w:tab/>
      </w:r>
      <w:r w:rsidRPr="004F78EB">
        <w:rPr>
          <w:rFonts w:ascii="OrigGarmnd BT" w:hAnsi="OrigGarmnd BT"/>
          <w:color w:val="000000"/>
          <w:sz w:val="24"/>
          <w:szCs w:val="24"/>
        </w:rPr>
        <w:tab/>
        <w:t>Ministerrådet</w:t>
      </w:r>
      <w:r w:rsidRPr="004F78EB">
        <w:rPr>
          <w:rFonts w:ascii="OrigGarmnd BT" w:hAnsi="OrigGarmnd BT"/>
          <w:color w:val="000000"/>
          <w:sz w:val="24"/>
          <w:szCs w:val="24"/>
        </w:rPr>
        <w:tab/>
      </w:r>
      <w:r w:rsidRPr="004F78EB">
        <w:rPr>
          <w:rFonts w:ascii="OrigGarmnd BT" w:hAnsi="OrigGarmnd BT"/>
          <w:color w:val="000000"/>
          <w:sz w:val="24"/>
          <w:szCs w:val="24"/>
        </w:rPr>
        <w:tab/>
      </w:r>
      <w:r w:rsidRPr="004F78EB">
        <w:rPr>
          <w:rFonts w:ascii="OrigGarmnd BT" w:hAnsi="OrigGarmnd BT"/>
          <w:color w:val="000000"/>
          <w:sz w:val="24"/>
          <w:szCs w:val="24"/>
        </w:rPr>
        <w:tab/>
      </w:r>
      <w:r w:rsidRPr="004F78EB">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945F5" w:rsidRPr="004F78EB" w:rsidTr="005945F5">
        <w:tblPrEx>
          <w:tblCellMar>
            <w:top w:w="0" w:type="dxa"/>
            <w:bottom w:w="0" w:type="dxa"/>
          </w:tblCellMar>
        </w:tblPrEx>
        <w:trPr>
          <w:trHeight w:val="284"/>
        </w:trPr>
        <w:tc>
          <w:tcPr>
            <w:tcW w:w="4911" w:type="dxa"/>
          </w:tcPr>
          <w:p w:rsidR="005945F5" w:rsidRPr="004F78EB" w:rsidRDefault="005945F5" w:rsidP="005945F5">
            <w:pPr>
              <w:tabs>
                <w:tab w:val="left" w:pos="284"/>
              </w:tabs>
              <w:jc w:val="both"/>
              <w:rPr>
                <w:rFonts w:ascii="OrigGarmnd BT" w:hAnsi="OrigGarmnd BT"/>
                <w:b/>
                <w:bCs/>
                <w:iCs/>
                <w:sz w:val="24"/>
                <w:szCs w:val="24"/>
              </w:rPr>
            </w:pPr>
          </w:p>
        </w:tc>
      </w:tr>
    </w:tbl>
    <w:p w:rsidR="005945F5" w:rsidRPr="004F78EB" w:rsidRDefault="005945F5" w:rsidP="005945F5">
      <w:pPr>
        <w:tabs>
          <w:tab w:val="left" w:pos="284"/>
        </w:tabs>
        <w:jc w:val="both"/>
        <w:rPr>
          <w:rFonts w:ascii="OrigGarmnd BT" w:hAnsi="OrigGarmnd BT"/>
          <w:color w:val="000000"/>
          <w:sz w:val="24"/>
          <w:szCs w:val="24"/>
        </w:rPr>
      </w:pPr>
      <w:r w:rsidRPr="004F78EB">
        <w:rPr>
          <w:rFonts w:ascii="OrigGarmnd BT" w:hAnsi="OrigGarmnd BT"/>
          <w:color w:val="000000"/>
          <w:sz w:val="24"/>
          <w:szCs w:val="24"/>
        </w:rPr>
        <w:t>Enheten för Europeiska unionen</w:t>
      </w:r>
      <w:r w:rsidRPr="004F78EB">
        <w:rPr>
          <w:rFonts w:ascii="OrigGarmnd BT" w:hAnsi="OrigGarmnd BT"/>
          <w:color w:val="000000"/>
          <w:sz w:val="24"/>
          <w:szCs w:val="24"/>
        </w:rPr>
        <w:tab/>
      </w:r>
      <w:r w:rsidRPr="004F78EB">
        <w:rPr>
          <w:rFonts w:ascii="OrigGarmnd BT" w:hAnsi="OrigGarmnd BT"/>
          <w:color w:val="000000"/>
          <w:sz w:val="24"/>
          <w:szCs w:val="24"/>
        </w:rPr>
        <w:tab/>
      </w:r>
    </w:p>
    <w:p w:rsidR="005945F5" w:rsidRPr="004F78EB" w:rsidRDefault="005945F5" w:rsidP="005945F5">
      <w:pPr>
        <w:jc w:val="both"/>
        <w:rPr>
          <w:rFonts w:ascii="OrigGarmnd BT" w:hAnsi="OrigGarmnd BT"/>
          <w:b/>
          <w:sz w:val="24"/>
          <w:szCs w:val="24"/>
          <w:u w:val="single"/>
        </w:rPr>
      </w:pPr>
      <w:r w:rsidRPr="004F78EB">
        <w:rPr>
          <w:rFonts w:ascii="OrigGarmnd BT" w:hAnsi="OrigGarmnd BT"/>
          <w:color w:val="000000"/>
          <w:sz w:val="24"/>
          <w:szCs w:val="24"/>
        </w:rPr>
        <w:tab/>
      </w:r>
      <w:r w:rsidRPr="004F78EB">
        <w:rPr>
          <w:rFonts w:ascii="OrigGarmnd BT" w:hAnsi="OrigGarmnd BT"/>
          <w:color w:val="000000"/>
          <w:sz w:val="24"/>
          <w:szCs w:val="24"/>
        </w:rPr>
        <w:tab/>
      </w:r>
      <w:r w:rsidRPr="004F78EB">
        <w:rPr>
          <w:rFonts w:ascii="OrigGarmnd BT" w:hAnsi="OrigGarmnd BT"/>
          <w:color w:val="000000"/>
          <w:sz w:val="24"/>
          <w:szCs w:val="24"/>
        </w:rPr>
        <w:tab/>
      </w:r>
      <w:r w:rsidRPr="004F78EB">
        <w:rPr>
          <w:rFonts w:ascii="OrigGarmnd BT" w:hAnsi="OrigGarmnd BT"/>
          <w:color w:val="000000"/>
          <w:sz w:val="24"/>
          <w:szCs w:val="24"/>
        </w:rPr>
        <w:tab/>
      </w:r>
    </w:p>
    <w:p w:rsidR="005945F5" w:rsidRPr="004F78EB" w:rsidRDefault="005945F5" w:rsidP="005945F5">
      <w:pPr>
        <w:pStyle w:val="UDrubrik"/>
        <w:spacing w:line="240" w:lineRule="auto"/>
        <w:ind w:left="1418"/>
        <w:rPr>
          <w:rFonts w:ascii="OrigGarmnd BT" w:hAnsi="OrigGarmnd BT"/>
          <w:sz w:val="24"/>
          <w:szCs w:val="24"/>
          <w:u w:val="single"/>
        </w:rPr>
      </w:pPr>
    </w:p>
    <w:p w:rsidR="005945F5" w:rsidRPr="004F78EB" w:rsidRDefault="005945F5" w:rsidP="005945F5">
      <w:pPr>
        <w:pStyle w:val="UDrubrik"/>
        <w:spacing w:line="240" w:lineRule="auto"/>
        <w:ind w:left="1418"/>
        <w:rPr>
          <w:rFonts w:ascii="OrigGarmnd BT" w:hAnsi="OrigGarmnd BT"/>
          <w:sz w:val="24"/>
          <w:szCs w:val="24"/>
          <w:u w:val="single"/>
        </w:rPr>
      </w:pPr>
    </w:p>
    <w:p w:rsidR="005945F5" w:rsidRPr="004F78EB" w:rsidRDefault="005945F5" w:rsidP="005945F5">
      <w:pPr>
        <w:pStyle w:val="UDrubrik"/>
        <w:spacing w:line="240" w:lineRule="auto"/>
        <w:ind w:left="1418"/>
        <w:rPr>
          <w:rFonts w:ascii="OrigGarmnd BT" w:hAnsi="OrigGarmnd BT"/>
          <w:sz w:val="24"/>
          <w:szCs w:val="24"/>
          <w:u w:val="single"/>
        </w:rPr>
      </w:pPr>
    </w:p>
    <w:p w:rsidR="005945F5" w:rsidRPr="004F78EB" w:rsidRDefault="005945F5" w:rsidP="005945F5">
      <w:pPr>
        <w:rPr>
          <w:rFonts w:ascii="OrigGarmnd BT" w:hAnsi="OrigGarmnd BT"/>
          <w:sz w:val="24"/>
          <w:szCs w:val="24"/>
        </w:rPr>
      </w:pPr>
    </w:p>
    <w:p w:rsidR="005945F5" w:rsidRPr="004F78EB" w:rsidRDefault="005945F5" w:rsidP="005945F5">
      <w:pPr>
        <w:pStyle w:val="UDrubrik"/>
        <w:spacing w:line="240" w:lineRule="auto"/>
        <w:jc w:val="center"/>
        <w:rPr>
          <w:rFonts w:ascii="OrigGarmnd BT" w:hAnsi="OrigGarmnd BT"/>
          <w:sz w:val="24"/>
          <w:szCs w:val="24"/>
          <w:u w:val="single"/>
        </w:rPr>
      </w:pPr>
      <w:r w:rsidRPr="004F78EB">
        <w:rPr>
          <w:rFonts w:ascii="OrigGarmnd BT" w:hAnsi="OrigGarmnd BT"/>
          <w:sz w:val="24"/>
          <w:szCs w:val="24"/>
          <w:u w:val="single"/>
        </w:rPr>
        <w:t xml:space="preserve">Kommenterad dagordning för utrikesrådet  </w:t>
      </w:r>
    </w:p>
    <w:p w:rsidR="005945F5" w:rsidRPr="004F78EB" w:rsidRDefault="005945F5" w:rsidP="005945F5">
      <w:pPr>
        <w:pStyle w:val="UDrubrik"/>
        <w:spacing w:line="240" w:lineRule="auto"/>
        <w:jc w:val="center"/>
      </w:pPr>
      <w:r w:rsidRPr="004F78EB">
        <w:rPr>
          <w:rFonts w:ascii="OrigGarmnd BT" w:hAnsi="OrigGarmnd BT"/>
          <w:u w:val="single"/>
        </w:rPr>
        <w:t>den</w:t>
      </w:r>
      <w:bookmarkStart w:id="0" w:name="_Toc128393595"/>
      <w:r w:rsidRPr="004F78EB">
        <w:rPr>
          <w:rFonts w:ascii="OrigGarmnd BT" w:hAnsi="OrigGarmnd BT"/>
          <w:u w:val="single"/>
        </w:rPr>
        <w:t xml:space="preserve"> </w:t>
      </w:r>
      <w:r w:rsidRPr="004F78EB">
        <w:rPr>
          <w:rFonts w:ascii="OrigGarmnd BT" w:hAnsi="OrigGarmnd BT"/>
          <w:sz w:val="24"/>
          <w:szCs w:val="24"/>
          <w:u w:val="single"/>
        </w:rPr>
        <w:t>12 april 2011</w:t>
      </w:r>
    </w:p>
    <w:p w:rsidR="005945F5" w:rsidRPr="004F78EB" w:rsidRDefault="005945F5" w:rsidP="005945F5">
      <w:pPr>
        <w:rPr>
          <w:rFonts w:ascii="OrigGarmnd BT" w:hAnsi="OrigGarmnd BT"/>
          <w:sz w:val="24"/>
          <w:szCs w:val="24"/>
        </w:rPr>
      </w:pPr>
      <w:bookmarkStart w:id="1" w:name="_Toc150232148"/>
      <w:bookmarkStart w:id="2" w:name="_Toc150242355"/>
      <w:bookmarkEnd w:id="0"/>
    </w:p>
    <w:p w:rsidR="005945F5" w:rsidRPr="004F78EB" w:rsidRDefault="005945F5" w:rsidP="005945F5">
      <w:pPr>
        <w:rPr>
          <w:rFonts w:ascii="OrigGarmnd BT" w:hAnsi="OrigGarmnd BT"/>
          <w:b/>
          <w:bCs/>
          <w:sz w:val="24"/>
          <w:szCs w:val="24"/>
          <w:u w:val="single"/>
        </w:rPr>
      </w:pPr>
      <w:r w:rsidRPr="004F78EB">
        <w:rPr>
          <w:rFonts w:ascii="OrigGarmnd BT" w:hAnsi="OrigGarmnd BT"/>
          <w:b/>
          <w:bCs/>
          <w:sz w:val="24"/>
          <w:szCs w:val="24"/>
          <w:u w:val="single"/>
        </w:rPr>
        <w:t>Utrikesministrarnas möte</w:t>
      </w:r>
    </w:p>
    <w:p w:rsidR="005945F5" w:rsidRPr="004F78EB" w:rsidRDefault="005945F5" w:rsidP="005945F5">
      <w:pPr>
        <w:rPr>
          <w:rFonts w:ascii="OrigGarmnd BT" w:hAnsi="OrigGarmnd BT"/>
          <w:bCs/>
          <w:sz w:val="24"/>
          <w:szCs w:val="24"/>
        </w:rPr>
      </w:pPr>
    </w:p>
    <w:p w:rsidR="005945F5" w:rsidRPr="004F78EB" w:rsidRDefault="005945F5" w:rsidP="005945F5">
      <w:pPr>
        <w:rPr>
          <w:rFonts w:ascii="OrigGarmnd BT" w:hAnsi="OrigGarmnd BT"/>
          <w:b/>
          <w:bCs/>
          <w:sz w:val="24"/>
          <w:szCs w:val="24"/>
        </w:rPr>
      </w:pPr>
      <w:r w:rsidRPr="004F78EB">
        <w:rPr>
          <w:rFonts w:ascii="OrigGarmnd BT" w:hAnsi="OrigGarmnd BT"/>
          <w:b/>
          <w:bCs/>
          <w:sz w:val="24"/>
          <w:szCs w:val="24"/>
        </w:rPr>
        <w:t>1. Godkännande av den preliminära dagordningen</w:t>
      </w:r>
      <w:bookmarkEnd w:id="1"/>
      <w:bookmarkEnd w:id="2"/>
    </w:p>
    <w:p w:rsidR="005945F5" w:rsidRPr="004F78EB" w:rsidRDefault="005945F5" w:rsidP="005945F5">
      <w:pPr>
        <w:rPr>
          <w:rFonts w:ascii="OrigGarmnd BT" w:hAnsi="OrigGarmnd BT"/>
          <w:bCs/>
          <w:sz w:val="24"/>
          <w:szCs w:val="24"/>
        </w:rPr>
      </w:pPr>
    </w:p>
    <w:p w:rsidR="005945F5" w:rsidRPr="004F78EB" w:rsidRDefault="005945F5" w:rsidP="005945F5">
      <w:pPr>
        <w:spacing w:line="320" w:lineRule="exact"/>
        <w:rPr>
          <w:rFonts w:ascii="OrigGarmnd BT" w:hAnsi="OrigGarmnd BT"/>
          <w:b/>
          <w:sz w:val="24"/>
          <w:szCs w:val="24"/>
        </w:rPr>
      </w:pPr>
      <w:r w:rsidRPr="004F78EB">
        <w:rPr>
          <w:rFonts w:ascii="OrigGarmnd BT" w:hAnsi="OrigGarmnd BT"/>
          <w:b/>
          <w:sz w:val="24"/>
          <w:szCs w:val="24"/>
        </w:rPr>
        <w:t>2. Södra grannskapet inklusive Libyen</w:t>
      </w:r>
    </w:p>
    <w:p w:rsidR="005945F5" w:rsidRPr="004F78EB" w:rsidRDefault="005945F5" w:rsidP="005945F5">
      <w:pPr>
        <w:spacing w:line="320" w:lineRule="exact"/>
        <w:rPr>
          <w:rFonts w:ascii="OrigGarmnd BT" w:hAnsi="OrigGarmnd BT"/>
          <w:i/>
          <w:sz w:val="24"/>
          <w:szCs w:val="24"/>
        </w:rPr>
      </w:pPr>
      <w:r w:rsidRPr="004F78EB">
        <w:rPr>
          <w:rFonts w:ascii="OrigGarmnd BT" w:hAnsi="OrigGarmnd BT"/>
          <w:i/>
          <w:sz w:val="24"/>
          <w:szCs w:val="24"/>
        </w:rPr>
        <w:t>Diskussions- och ev. beslutspunktpunkt</w:t>
      </w:r>
    </w:p>
    <w:p w:rsidR="005945F5" w:rsidRPr="004F78EB" w:rsidRDefault="005945F5" w:rsidP="005945F5">
      <w:pPr>
        <w:spacing w:line="320" w:lineRule="exact"/>
        <w:rPr>
          <w:rFonts w:ascii="OrigGarmnd BT" w:hAnsi="OrigGarmnd BT"/>
          <w:i/>
          <w:sz w:val="24"/>
          <w:szCs w:val="24"/>
        </w:rPr>
      </w:pPr>
    </w:p>
    <w:p w:rsidR="005945F5" w:rsidRPr="004F78EB" w:rsidRDefault="005945F5" w:rsidP="005945F5">
      <w:pPr>
        <w:spacing w:line="320" w:lineRule="exact"/>
        <w:rPr>
          <w:rFonts w:ascii="OrigGarmnd BT" w:hAnsi="OrigGarmnd BT"/>
          <w:sz w:val="24"/>
          <w:szCs w:val="24"/>
        </w:rPr>
      </w:pPr>
      <w:r w:rsidRPr="004F78EB">
        <w:rPr>
          <w:rFonts w:ascii="OrigGarmnd BT" w:hAnsi="OrigGarmnd BT"/>
          <w:sz w:val="24"/>
          <w:szCs w:val="24"/>
        </w:rPr>
        <w:t>Rådet förväntas diskutera den fortsatta utvecklingen i Nordafrika och  följa upp diskussionen från Europeiska rådet den 11 mars och 24-25 mars om den framtida inriktningen av EU:s södra grannskapspolitik  samt utvecklingen i Libyen. Rådsslutsatser kommer eventuellt antas om Bahrain, Jemen, Libyen och Syrien.</w:t>
      </w:r>
    </w:p>
    <w:p w:rsidR="005945F5" w:rsidRPr="004F78EB" w:rsidRDefault="005945F5" w:rsidP="005945F5">
      <w:pPr>
        <w:rPr>
          <w:rFonts w:ascii="OrigGarmnd BT" w:hAnsi="OrigGarmnd BT"/>
          <w:sz w:val="24"/>
          <w:szCs w:val="24"/>
        </w:rPr>
      </w:pPr>
    </w:p>
    <w:p w:rsidR="005945F5" w:rsidRPr="004F78EB" w:rsidRDefault="005945F5" w:rsidP="005945F5">
      <w:pPr>
        <w:rPr>
          <w:rFonts w:ascii="OrigGarmnd BT" w:hAnsi="OrigGarmnd BT"/>
          <w:sz w:val="24"/>
          <w:szCs w:val="24"/>
        </w:rPr>
      </w:pPr>
      <w:r w:rsidRPr="004F78EB">
        <w:rPr>
          <w:rFonts w:ascii="OrigGarmnd BT" w:hAnsi="OrigGarmnd BT"/>
          <w:sz w:val="24"/>
          <w:szCs w:val="24"/>
          <w:u w:val="single"/>
        </w:rPr>
        <w:t>Regeringens ståndpunkt:</w:t>
      </w:r>
      <w:r w:rsidRPr="004F78EB">
        <w:rPr>
          <w:rFonts w:ascii="OrigGarmnd BT" w:hAnsi="OrigGarmnd BT"/>
          <w:sz w:val="24"/>
          <w:szCs w:val="24"/>
        </w:rPr>
        <w:t xml:space="preserve"> EU och dess medlemsstater måste fortsätta agera resolut för att genomföra UNSCR 1970 och 1973. Sveriges militära bidrag för att upprätthålla flygförbudszonen i Libyen kommer att vara en viktig del av detta. </w:t>
      </w:r>
    </w:p>
    <w:p w:rsidR="005945F5" w:rsidRPr="004F78EB" w:rsidRDefault="005945F5" w:rsidP="005945F5">
      <w:pPr>
        <w:rPr>
          <w:rFonts w:ascii="OrigGarmnd BT" w:hAnsi="OrigGarmnd BT"/>
          <w:sz w:val="24"/>
          <w:szCs w:val="24"/>
        </w:rPr>
      </w:pPr>
      <w:r w:rsidRPr="004F78EB">
        <w:rPr>
          <w:rFonts w:ascii="OrigGarmnd BT" w:hAnsi="OrigGarmnd BT"/>
          <w:sz w:val="24"/>
          <w:szCs w:val="24"/>
        </w:rPr>
        <w:t xml:space="preserve">I det korta perspektivet gäller även att hantera, se över behoven av och kräva tillträde för de humanitära insatserna samt se till att sanktionerna efterlevs. I det medellånga perspektivet behöver EU stödja etablerandet av en bred nationell dialog och politisk process i Libyen. </w:t>
      </w:r>
    </w:p>
    <w:p w:rsidR="005945F5" w:rsidRPr="004F78EB" w:rsidRDefault="005945F5" w:rsidP="005945F5">
      <w:pPr>
        <w:rPr>
          <w:rFonts w:ascii="OrigGarmnd BT" w:hAnsi="OrigGarmnd BT" w:cs="Tms Rmn"/>
          <w:sz w:val="24"/>
          <w:szCs w:val="24"/>
        </w:rPr>
      </w:pPr>
    </w:p>
    <w:p w:rsidR="005945F5" w:rsidRPr="004F78EB" w:rsidRDefault="005945F5" w:rsidP="005945F5">
      <w:pPr>
        <w:rPr>
          <w:rFonts w:ascii="OrigGarmnd BT" w:hAnsi="OrigGarmnd BT" w:cs="Tms Rmn"/>
          <w:sz w:val="24"/>
          <w:szCs w:val="24"/>
        </w:rPr>
      </w:pPr>
      <w:r w:rsidRPr="004F78EB">
        <w:rPr>
          <w:rFonts w:ascii="OrigGarmnd BT" w:hAnsi="OrigGarmnd BT"/>
          <w:sz w:val="24"/>
          <w:szCs w:val="24"/>
        </w:rPr>
        <w:t xml:space="preserve">Vad gäller relationerna med länderna i södra grannskapet anser regeringen att EU måste följa upp slutsatserna från Europeiska rådet och diskutera konkreta förslag på hur man kan stödja de demokratiska transitionsprocesserna i Egypten och Tunisien. EU måste agera </w:t>
      </w:r>
      <w:r w:rsidRPr="004F78EB">
        <w:rPr>
          <w:rFonts w:ascii="OrigGarmnd BT" w:hAnsi="OrigGarmnd BT" w:cs="Tms Rmn"/>
          <w:sz w:val="24"/>
          <w:szCs w:val="24"/>
        </w:rPr>
        <w:t xml:space="preserve">på bred front för att stödja fred, demokratisering, institutionsbyggande samt stärkande av ländernas ekonomier inklusive genom handel och främjande av turism. </w:t>
      </w:r>
    </w:p>
    <w:p w:rsidR="005945F5" w:rsidRPr="004F78EB" w:rsidRDefault="005945F5" w:rsidP="005945F5">
      <w:pPr>
        <w:spacing w:line="320" w:lineRule="exact"/>
        <w:rPr>
          <w:rFonts w:ascii="OrigGarmnd BT" w:hAnsi="OrigGarmnd BT"/>
          <w:sz w:val="24"/>
          <w:szCs w:val="24"/>
        </w:rPr>
      </w:pPr>
    </w:p>
    <w:p w:rsidR="005945F5" w:rsidRPr="004F78EB" w:rsidRDefault="005945F5" w:rsidP="005945F5">
      <w:pPr>
        <w:pStyle w:val="RKnormal"/>
        <w:rPr>
          <w:szCs w:val="24"/>
        </w:rPr>
      </w:pPr>
      <w:r w:rsidRPr="004F78EB">
        <w:rPr>
          <w:szCs w:val="24"/>
        </w:rPr>
        <w:t xml:space="preserve">Planerna på ett nytt partnerskap med EU:s grannländer i syd för demokrati och välstånd stämmer väl överens med </w:t>
      </w:r>
      <w:r w:rsidRPr="004F78EB">
        <w:rPr>
          <w:rFonts w:cs="Tms Rmn"/>
          <w:szCs w:val="24"/>
        </w:rPr>
        <w:t>regeringens linje, som bl.a. betonar vikten av konditionalitet baserad på ökat stöd till länder som genomför demokratiska reformer och utvecklar en rättsstat. Samma konditionalitet bör även gälla i EU:s östeuropeiska grannskap.</w:t>
      </w:r>
    </w:p>
    <w:p w:rsidR="005945F5" w:rsidRPr="004F78EB" w:rsidRDefault="005945F5" w:rsidP="005945F5">
      <w:pPr>
        <w:spacing w:line="320" w:lineRule="exact"/>
        <w:rPr>
          <w:rFonts w:ascii="OrigGarmnd BT" w:hAnsi="OrigGarmnd BT"/>
          <w:b/>
          <w:sz w:val="24"/>
          <w:szCs w:val="24"/>
        </w:rPr>
      </w:pPr>
    </w:p>
    <w:p w:rsidR="005945F5" w:rsidRPr="004F78EB" w:rsidRDefault="005945F5" w:rsidP="005945F5">
      <w:pPr>
        <w:spacing w:line="320" w:lineRule="exact"/>
        <w:rPr>
          <w:rFonts w:ascii="OrigGarmnd BT" w:hAnsi="OrigGarmnd BT"/>
          <w:sz w:val="24"/>
          <w:szCs w:val="24"/>
        </w:rPr>
      </w:pPr>
      <w:r w:rsidRPr="004F78EB">
        <w:rPr>
          <w:rFonts w:ascii="OrigGarmnd BT" w:hAnsi="OrigGarmnd BT"/>
          <w:sz w:val="24"/>
          <w:szCs w:val="24"/>
        </w:rPr>
        <w:t>Regeringen stödjer antagandet av rådsslutsatser om Bahrain, Jemen, Libyen och Syrien.</w:t>
      </w:r>
    </w:p>
    <w:p w:rsidR="005945F5" w:rsidRPr="004F78EB" w:rsidRDefault="005945F5" w:rsidP="005945F5">
      <w:pPr>
        <w:spacing w:line="320" w:lineRule="exact"/>
        <w:rPr>
          <w:rFonts w:ascii="OrigGarmnd BT" w:hAnsi="OrigGarmnd BT"/>
          <w:b/>
          <w:sz w:val="24"/>
          <w:szCs w:val="24"/>
        </w:rPr>
      </w:pPr>
      <w:r w:rsidRPr="004F78EB">
        <w:rPr>
          <w:rFonts w:ascii="OrigGarmnd BT" w:hAnsi="OrigGarmnd BT"/>
          <w:b/>
          <w:sz w:val="24"/>
          <w:szCs w:val="24"/>
        </w:rPr>
        <w:lastRenderedPageBreak/>
        <w:t>3. Fredsprocessen i Mellanöstern</w:t>
      </w:r>
    </w:p>
    <w:p w:rsidR="005945F5" w:rsidRPr="004F78EB" w:rsidRDefault="005945F5" w:rsidP="005945F5">
      <w:pPr>
        <w:spacing w:line="320" w:lineRule="exact"/>
        <w:rPr>
          <w:rFonts w:ascii="OrigGarmnd BT" w:hAnsi="OrigGarmnd BT"/>
          <w:i/>
          <w:sz w:val="24"/>
          <w:szCs w:val="24"/>
        </w:rPr>
      </w:pPr>
      <w:r w:rsidRPr="004F78EB">
        <w:rPr>
          <w:rFonts w:ascii="OrigGarmnd BT" w:hAnsi="OrigGarmnd BT"/>
          <w:i/>
          <w:sz w:val="24"/>
          <w:szCs w:val="24"/>
        </w:rPr>
        <w:t>Diskussionspunkt</w:t>
      </w:r>
    </w:p>
    <w:p w:rsidR="005945F5" w:rsidRPr="004F78EB" w:rsidRDefault="005945F5" w:rsidP="005945F5">
      <w:pPr>
        <w:spacing w:line="320" w:lineRule="exact"/>
        <w:rPr>
          <w:rFonts w:ascii="OrigGarmnd BT" w:hAnsi="OrigGarmnd BT"/>
          <w:sz w:val="24"/>
          <w:szCs w:val="24"/>
        </w:rPr>
      </w:pPr>
    </w:p>
    <w:p w:rsidR="005945F5" w:rsidRPr="004F78EB" w:rsidRDefault="005945F5" w:rsidP="005945F5">
      <w:pPr>
        <w:spacing w:line="320" w:lineRule="exact"/>
        <w:rPr>
          <w:rFonts w:ascii="OrigGarmnd BT" w:hAnsi="OrigGarmnd BT"/>
          <w:sz w:val="24"/>
          <w:szCs w:val="24"/>
        </w:rPr>
      </w:pPr>
      <w:r w:rsidRPr="004F78EB">
        <w:rPr>
          <w:rFonts w:ascii="OrigGarmnd BT" w:hAnsi="OrigGarmnd BT"/>
          <w:sz w:val="24"/>
          <w:szCs w:val="24"/>
        </w:rPr>
        <w:t>Rådet förväntas diskutera läget i fredsprocessen i Mellanöstern och de fortsatta ansträngningarna för att återuppta fredssamtalen, inklusive förberedelser inför det Kvartett-möte som planeras till mitten av april.</w:t>
      </w:r>
    </w:p>
    <w:p w:rsidR="005945F5" w:rsidRPr="004F78EB" w:rsidRDefault="005945F5" w:rsidP="005945F5">
      <w:pPr>
        <w:spacing w:line="320" w:lineRule="exact"/>
        <w:rPr>
          <w:rFonts w:ascii="OrigGarmnd BT" w:hAnsi="OrigGarmnd BT"/>
          <w:sz w:val="24"/>
          <w:szCs w:val="24"/>
        </w:rPr>
      </w:pPr>
    </w:p>
    <w:p w:rsidR="005945F5" w:rsidRPr="004F78EB" w:rsidRDefault="005945F5" w:rsidP="005945F5">
      <w:pPr>
        <w:spacing w:line="320" w:lineRule="exact"/>
        <w:rPr>
          <w:rFonts w:ascii="OrigGarmnd BT" w:hAnsi="OrigGarmnd BT"/>
          <w:sz w:val="24"/>
          <w:szCs w:val="24"/>
        </w:rPr>
      </w:pPr>
      <w:r w:rsidRPr="004F78EB">
        <w:rPr>
          <w:rFonts w:ascii="OrigGarmnd BT" w:hAnsi="OrigGarmnd BT"/>
          <w:sz w:val="24"/>
          <w:szCs w:val="24"/>
          <w:u w:val="single"/>
        </w:rPr>
        <w:t>Regeringens ståndpunkt</w:t>
      </w:r>
      <w:r w:rsidRPr="004F78EB">
        <w:rPr>
          <w:rFonts w:ascii="OrigGarmnd BT" w:hAnsi="OrigGarmnd BT"/>
          <w:sz w:val="24"/>
          <w:szCs w:val="24"/>
        </w:rPr>
        <w:t>: Sverige verkar för en fortsatt aktiv EU-roll i Kvartetten, med utgångspunkt i rådsslutsatserna från december 2009 och december 2010. Det är också viktigt med fortsatt starkt EU-stöd för det palestinska statsbyggandet, vilket kommer att diskuteras vid AHLC (internationellt samordningsorgan för det statsbyggande biståndet till de palestinska områdena) den 13 april. Vidare är det angeläget att EU upprätthåller det politiska trycket för tillträde till Gaza, för humanitärt stöd, personer och handelsvaror, inkl export.</w:t>
      </w:r>
    </w:p>
    <w:p w:rsidR="005945F5" w:rsidRPr="004F78EB" w:rsidRDefault="005945F5" w:rsidP="005945F5">
      <w:pPr>
        <w:spacing w:line="320" w:lineRule="exact"/>
        <w:rPr>
          <w:rFonts w:ascii="OrigGarmnd BT" w:hAnsi="OrigGarmnd BT"/>
          <w:sz w:val="24"/>
          <w:szCs w:val="24"/>
        </w:rPr>
      </w:pPr>
    </w:p>
    <w:p w:rsidR="005945F5" w:rsidRPr="004F78EB" w:rsidRDefault="005945F5" w:rsidP="005945F5">
      <w:pPr>
        <w:rPr>
          <w:rFonts w:ascii="OrigGarmnd BT" w:hAnsi="OrigGarmnd BT"/>
          <w:sz w:val="24"/>
          <w:szCs w:val="24"/>
        </w:rPr>
      </w:pPr>
    </w:p>
    <w:p w:rsidR="005945F5" w:rsidRPr="004F78EB" w:rsidRDefault="005945F5" w:rsidP="005945F5">
      <w:pPr>
        <w:rPr>
          <w:rFonts w:ascii="OrigGarmnd BT" w:hAnsi="OrigGarmnd BT"/>
          <w:b/>
          <w:sz w:val="24"/>
          <w:szCs w:val="24"/>
        </w:rPr>
      </w:pPr>
      <w:r w:rsidRPr="004F78EB">
        <w:rPr>
          <w:rFonts w:ascii="OrigGarmnd BT" w:hAnsi="OrigGarmnd BT"/>
          <w:b/>
          <w:sz w:val="24"/>
          <w:szCs w:val="24"/>
        </w:rPr>
        <w:t>4. Södra Kaukasien</w:t>
      </w:r>
    </w:p>
    <w:p w:rsidR="005945F5" w:rsidRPr="004F78EB" w:rsidRDefault="005945F5" w:rsidP="005945F5">
      <w:pPr>
        <w:rPr>
          <w:rFonts w:ascii="OrigGarmnd BT" w:hAnsi="OrigGarmnd BT"/>
          <w:i/>
          <w:sz w:val="24"/>
          <w:szCs w:val="24"/>
        </w:rPr>
      </w:pPr>
      <w:r w:rsidRPr="004F78EB">
        <w:rPr>
          <w:rFonts w:ascii="OrigGarmnd BT" w:hAnsi="OrigGarmnd BT"/>
          <w:i/>
          <w:sz w:val="24"/>
          <w:szCs w:val="24"/>
        </w:rPr>
        <w:t>Diskussionspunkt</w:t>
      </w:r>
    </w:p>
    <w:p w:rsidR="005945F5" w:rsidRPr="004F78EB" w:rsidRDefault="005945F5" w:rsidP="005945F5">
      <w:pPr>
        <w:rPr>
          <w:rFonts w:ascii="OrigGarmnd BT" w:hAnsi="OrigGarmnd BT"/>
          <w:sz w:val="24"/>
          <w:szCs w:val="24"/>
        </w:rPr>
      </w:pPr>
    </w:p>
    <w:p w:rsidR="005945F5" w:rsidRPr="004F78EB" w:rsidRDefault="005945F5" w:rsidP="005945F5">
      <w:pPr>
        <w:rPr>
          <w:rFonts w:ascii="OrigGarmnd BT" w:hAnsi="OrigGarmnd BT"/>
          <w:sz w:val="24"/>
          <w:szCs w:val="24"/>
        </w:rPr>
      </w:pPr>
      <w:r w:rsidRPr="004F78EB">
        <w:rPr>
          <w:rFonts w:ascii="OrigGarmnd BT" w:hAnsi="OrigGarmnd BT"/>
          <w:sz w:val="24"/>
          <w:szCs w:val="24"/>
        </w:rPr>
        <w:t xml:space="preserve">Utrikesministrarna väntas diskutera situationen i Armenien, Azerbajdzjan och Georgien och EU:s engagemang i regionen, bl. a. inom ramen för Östliga partnerskapet. Diskussionen kan särskilt väntas beröra regionens frusna konflikter och EU:s roll i konfliktlösningen. </w:t>
      </w:r>
    </w:p>
    <w:p w:rsidR="005945F5" w:rsidRPr="004F78EB" w:rsidRDefault="005945F5" w:rsidP="005945F5">
      <w:pPr>
        <w:rPr>
          <w:rFonts w:ascii="OrigGarmnd BT" w:hAnsi="OrigGarmnd BT"/>
          <w:sz w:val="24"/>
          <w:szCs w:val="24"/>
        </w:rPr>
      </w:pPr>
    </w:p>
    <w:p w:rsidR="005945F5" w:rsidRPr="004F78EB" w:rsidRDefault="005945F5" w:rsidP="005945F5">
      <w:pPr>
        <w:rPr>
          <w:rFonts w:ascii="OrigGarmnd BT" w:hAnsi="OrigGarmnd BT"/>
          <w:sz w:val="24"/>
          <w:szCs w:val="24"/>
        </w:rPr>
      </w:pPr>
      <w:r w:rsidRPr="004F78EB">
        <w:rPr>
          <w:rFonts w:ascii="OrigGarmnd BT" w:hAnsi="OrigGarmnd BT"/>
          <w:sz w:val="24"/>
          <w:szCs w:val="24"/>
          <w:u w:val="single"/>
        </w:rPr>
        <w:t>Regeringens ståndpunkt:</w:t>
      </w:r>
      <w:r w:rsidRPr="004F78EB">
        <w:rPr>
          <w:rFonts w:ascii="OrigGarmnd BT" w:hAnsi="OrigGarmnd BT"/>
          <w:sz w:val="24"/>
          <w:szCs w:val="24"/>
        </w:rPr>
        <w:t xml:space="preserve"> Det är av stor vikt att EU upprätthåller och ytterligare förstärker sin höga och tydliga profil i EU:s närområde. Detta gäller inte minst Södra Kaukasien, där de pågående processerna av EU-närmande inom ramen för Östliga partnerskapet är av särskilt intresse, liksom vikten av ett starkt EU-engagemang till stöd för en fredlig lösning av regionens frusna konflikter. </w:t>
      </w:r>
    </w:p>
    <w:p w:rsidR="005945F5" w:rsidRPr="004F78EB" w:rsidRDefault="005945F5" w:rsidP="005945F5">
      <w:pPr>
        <w:rPr>
          <w:rFonts w:ascii="OrigGarmnd BT" w:hAnsi="OrigGarmnd BT"/>
          <w:sz w:val="24"/>
          <w:szCs w:val="24"/>
        </w:rPr>
      </w:pPr>
    </w:p>
    <w:p w:rsidR="005945F5" w:rsidRPr="004F78EB" w:rsidRDefault="005945F5" w:rsidP="005945F5">
      <w:pPr>
        <w:rPr>
          <w:rFonts w:ascii="OrigGarmnd BT" w:hAnsi="OrigGarmnd BT"/>
          <w:sz w:val="24"/>
          <w:szCs w:val="24"/>
        </w:rPr>
      </w:pPr>
    </w:p>
    <w:p w:rsidR="005945F5" w:rsidRPr="004F78EB" w:rsidRDefault="005945F5" w:rsidP="005945F5">
      <w:pPr>
        <w:rPr>
          <w:rFonts w:ascii="OrigGarmnd BT" w:hAnsi="OrigGarmnd BT"/>
          <w:b/>
          <w:sz w:val="24"/>
          <w:szCs w:val="24"/>
        </w:rPr>
      </w:pPr>
      <w:r w:rsidRPr="004F78EB">
        <w:rPr>
          <w:rFonts w:ascii="OrigGarmnd BT" w:hAnsi="OrigGarmnd BT"/>
          <w:b/>
          <w:sz w:val="24"/>
          <w:szCs w:val="24"/>
        </w:rPr>
        <w:t xml:space="preserve">5. Vitryssland </w:t>
      </w:r>
    </w:p>
    <w:p w:rsidR="005945F5" w:rsidRPr="004F78EB" w:rsidRDefault="005945F5" w:rsidP="005945F5">
      <w:pPr>
        <w:rPr>
          <w:rFonts w:ascii="OrigGarmnd BT" w:hAnsi="OrigGarmnd BT"/>
          <w:i/>
          <w:sz w:val="24"/>
          <w:szCs w:val="24"/>
        </w:rPr>
      </w:pPr>
      <w:r w:rsidRPr="004F78EB">
        <w:rPr>
          <w:rFonts w:ascii="OrigGarmnd BT" w:hAnsi="OrigGarmnd BT"/>
          <w:i/>
          <w:sz w:val="24"/>
          <w:szCs w:val="24"/>
        </w:rPr>
        <w:t>Diskussionspunkt</w:t>
      </w:r>
    </w:p>
    <w:p w:rsidR="005945F5" w:rsidRPr="004F78EB" w:rsidRDefault="005945F5" w:rsidP="005945F5">
      <w:pPr>
        <w:rPr>
          <w:rFonts w:ascii="OrigGarmnd BT" w:hAnsi="OrigGarmnd BT"/>
          <w:b/>
          <w:sz w:val="24"/>
          <w:szCs w:val="24"/>
        </w:rPr>
      </w:pPr>
    </w:p>
    <w:p w:rsidR="005945F5" w:rsidRPr="004F78EB" w:rsidRDefault="005945F5" w:rsidP="005945F5">
      <w:pPr>
        <w:rPr>
          <w:rFonts w:ascii="OrigGarmnd BT" w:hAnsi="OrigGarmnd BT"/>
          <w:sz w:val="24"/>
          <w:szCs w:val="24"/>
        </w:rPr>
      </w:pPr>
      <w:r w:rsidRPr="004F78EB">
        <w:rPr>
          <w:rFonts w:ascii="OrigGarmnd BT" w:hAnsi="OrigGarmnd BT"/>
          <w:sz w:val="24"/>
          <w:szCs w:val="24"/>
        </w:rPr>
        <w:t xml:space="preserve">Utrikesministrarna förväntas diskutera situationen i Vitryssland i ljuset av den fortsatt negativa utvecklingen avseende mänskliga rättigheter i landet efter presidentvalet den 19 december 2010. Flera politiska fångar har de senaste veckorna dömts till långa fängelsestraff för delaktighet i demonstrationerna efter valet. EU:s krav på att alla som fängslats av politiska skäl måste släppas fria och rehabiliteras med omedelbar verkan har inte hörsammats och trakasserierna mot oppositionella, MR-aktivister och journalister fortsätter. Mot denna bakgrund väntas utrikesministrarna diskutera möjliga ytterligare riktade åtgärder riktade mot den vitryska regimen, i linje med rådsslutsatserna från FAC den 31 januari 2011. </w:t>
      </w:r>
    </w:p>
    <w:p w:rsidR="005945F5" w:rsidRPr="004F78EB" w:rsidRDefault="005945F5" w:rsidP="005945F5">
      <w:pPr>
        <w:rPr>
          <w:rFonts w:ascii="OrigGarmnd BT" w:hAnsi="OrigGarmnd BT"/>
          <w:sz w:val="24"/>
          <w:szCs w:val="24"/>
        </w:rPr>
      </w:pPr>
    </w:p>
    <w:p w:rsidR="005945F5" w:rsidRPr="004F78EB" w:rsidRDefault="005945F5" w:rsidP="005945F5">
      <w:pPr>
        <w:rPr>
          <w:rFonts w:ascii="OrigGarmnd BT" w:hAnsi="OrigGarmnd BT"/>
          <w:sz w:val="24"/>
          <w:szCs w:val="24"/>
        </w:rPr>
      </w:pPr>
      <w:r w:rsidRPr="004F78EB">
        <w:rPr>
          <w:rFonts w:ascii="OrigGarmnd BT" w:hAnsi="OrigGarmnd BT"/>
          <w:sz w:val="24"/>
          <w:szCs w:val="24"/>
          <w:u w:val="single"/>
        </w:rPr>
        <w:t>Regeringens ståndpunkt:</w:t>
      </w:r>
      <w:r w:rsidRPr="004F78EB">
        <w:rPr>
          <w:rFonts w:ascii="OrigGarmnd BT" w:hAnsi="OrigGarmnd BT"/>
          <w:sz w:val="24"/>
          <w:szCs w:val="24"/>
        </w:rPr>
        <w:t xml:space="preserve"> Det fortsatt försämrade läget vad gäller mänskliga rättigheter i Vitryssland motiverar ytterligare åtgärder mot den vitryska regimen. Samtidigt är det viktigt med en fortsatt tydlig engagemangspolitik för det vitryska folket, inklusive stöd till det civila samhället, mer mellanfolkliga kontakter och förenklat resande för vanliga vitryska medborgare till EU.</w:t>
      </w:r>
    </w:p>
    <w:p w:rsidR="005945F5" w:rsidRPr="004F78EB" w:rsidRDefault="005945F5" w:rsidP="005945F5">
      <w:pPr>
        <w:rPr>
          <w:rFonts w:ascii="OrigGarmnd BT" w:hAnsi="OrigGarmnd BT"/>
          <w:sz w:val="24"/>
          <w:szCs w:val="24"/>
        </w:rPr>
      </w:pPr>
    </w:p>
    <w:p w:rsidR="005945F5" w:rsidRPr="004F78EB" w:rsidRDefault="005945F5" w:rsidP="005945F5">
      <w:pPr>
        <w:overflowPunct/>
        <w:textAlignment w:val="auto"/>
        <w:rPr>
          <w:rFonts w:ascii="OrigGarmnd BT" w:hAnsi="OrigGarmnd BT" w:cs="Helv"/>
          <w:b/>
          <w:color w:val="000000"/>
          <w:sz w:val="24"/>
          <w:szCs w:val="24"/>
          <w:lang w:eastAsia="sv-SE"/>
        </w:rPr>
      </w:pPr>
    </w:p>
    <w:p w:rsidR="005945F5" w:rsidRPr="004F78EB" w:rsidRDefault="005945F5" w:rsidP="005945F5">
      <w:pPr>
        <w:overflowPunct/>
        <w:textAlignment w:val="auto"/>
        <w:rPr>
          <w:rFonts w:ascii="OrigGarmnd BT" w:hAnsi="OrigGarmnd BT" w:cs="Helv"/>
          <w:b/>
          <w:color w:val="000000"/>
          <w:sz w:val="24"/>
          <w:szCs w:val="24"/>
          <w:lang w:eastAsia="sv-SE"/>
        </w:rPr>
      </w:pPr>
      <w:r w:rsidRPr="004F78EB">
        <w:rPr>
          <w:rFonts w:ascii="OrigGarmnd BT" w:hAnsi="OrigGarmnd BT" w:cs="Helv"/>
          <w:b/>
          <w:color w:val="000000"/>
          <w:sz w:val="24"/>
          <w:szCs w:val="24"/>
          <w:lang w:eastAsia="sv-SE"/>
        </w:rPr>
        <w:t>6. Mänskliga rättigheter</w:t>
      </w:r>
    </w:p>
    <w:p w:rsidR="005945F5" w:rsidRPr="004F78EB" w:rsidRDefault="005945F5" w:rsidP="005945F5">
      <w:pPr>
        <w:overflowPunct/>
        <w:textAlignment w:val="auto"/>
        <w:rPr>
          <w:rFonts w:ascii="OrigGarmnd BT" w:hAnsi="OrigGarmnd BT" w:cs="Helv"/>
          <w:i/>
          <w:color w:val="000000"/>
          <w:sz w:val="24"/>
          <w:szCs w:val="24"/>
          <w:lang w:eastAsia="sv-SE"/>
        </w:rPr>
      </w:pPr>
      <w:r w:rsidRPr="004F78EB">
        <w:rPr>
          <w:rFonts w:ascii="OrigGarmnd BT" w:hAnsi="OrigGarmnd BT" w:cs="Helv"/>
          <w:i/>
          <w:color w:val="000000"/>
          <w:sz w:val="24"/>
          <w:szCs w:val="24"/>
          <w:lang w:eastAsia="sv-SE"/>
        </w:rPr>
        <w:t>Diskussionspunkt</w:t>
      </w:r>
    </w:p>
    <w:p w:rsidR="005945F5" w:rsidRPr="004F78EB" w:rsidRDefault="005945F5" w:rsidP="005945F5">
      <w:pPr>
        <w:overflowPunct/>
        <w:textAlignment w:val="auto"/>
        <w:rPr>
          <w:rFonts w:ascii="OrigGarmnd BT" w:hAnsi="OrigGarmnd BT" w:cs="Helv"/>
          <w:color w:val="000000"/>
          <w:sz w:val="24"/>
          <w:szCs w:val="24"/>
          <w:lang w:eastAsia="sv-SE"/>
        </w:rPr>
      </w:pPr>
    </w:p>
    <w:p w:rsidR="005945F5" w:rsidRPr="004F78EB" w:rsidRDefault="005945F5" w:rsidP="005945F5">
      <w:pPr>
        <w:rPr>
          <w:rFonts w:ascii="OrigGarmnd BT" w:hAnsi="OrigGarmnd BT" w:cs="Helv"/>
          <w:color w:val="000000"/>
          <w:sz w:val="24"/>
          <w:szCs w:val="24"/>
          <w:lang w:eastAsia="sv-SE"/>
        </w:rPr>
      </w:pPr>
      <w:r w:rsidRPr="004F78EB">
        <w:rPr>
          <w:rFonts w:ascii="OrigGarmnd BT" w:hAnsi="OrigGarmnd BT" w:cs="Helv"/>
          <w:color w:val="000000"/>
          <w:sz w:val="24"/>
          <w:szCs w:val="24"/>
          <w:lang w:eastAsia="sv-SE"/>
        </w:rPr>
        <w:t>HR Ashton avser ta upp mänskliga rättigheter som en diskussionspunkt. I nuläget förväntas inga rådsslutsatser till utrikesrådet i april. Bakgrunden till diskussionen är den "översyn" som Ashton/EAS har gjort av EU:s MR-arbete under hösten 2010. Hur resultaten av denna "översyn" ska diskuteras eller presenteras är inte känt.</w:t>
      </w:r>
    </w:p>
    <w:p w:rsidR="005945F5" w:rsidRPr="004F78EB" w:rsidRDefault="005945F5" w:rsidP="005945F5">
      <w:pPr>
        <w:rPr>
          <w:rFonts w:ascii="OrigGarmnd BT" w:hAnsi="OrigGarmnd BT" w:cs="Helv"/>
          <w:color w:val="000000"/>
          <w:sz w:val="24"/>
          <w:szCs w:val="24"/>
          <w:lang w:eastAsia="sv-SE"/>
        </w:rPr>
      </w:pPr>
    </w:p>
    <w:p w:rsidR="005945F5" w:rsidRPr="004F78EB" w:rsidRDefault="005945F5" w:rsidP="005945F5">
      <w:pPr>
        <w:rPr>
          <w:rFonts w:ascii="OrigGarmnd BT" w:hAnsi="OrigGarmnd BT"/>
          <w:sz w:val="24"/>
          <w:szCs w:val="24"/>
        </w:rPr>
      </w:pPr>
      <w:r w:rsidRPr="004F78EB">
        <w:rPr>
          <w:rFonts w:ascii="OrigGarmnd BT" w:hAnsi="OrigGarmnd BT" w:cs="Helv"/>
          <w:color w:val="000000"/>
          <w:sz w:val="24"/>
          <w:szCs w:val="24"/>
          <w:u w:val="single"/>
          <w:lang w:eastAsia="sv-SE"/>
        </w:rPr>
        <w:t>Regeringens ståndpunkt:</w:t>
      </w:r>
      <w:r w:rsidRPr="004F78EB">
        <w:rPr>
          <w:rFonts w:ascii="OrigGarmnd BT" w:hAnsi="OrigGarmnd BT" w:cs="Helv"/>
          <w:color w:val="000000"/>
          <w:sz w:val="24"/>
          <w:szCs w:val="24"/>
          <w:lang w:eastAsia="sv-SE"/>
        </w:rPr>
        <w:t xml:space="preserve"> Det är välkommet att utrikesrådet diskuterar MR-frågor. Regeringen anser att det är viktigt att fortsätta diskussionerna kring hur EAS effektivt ska kunna implementera EU:s gemensamma MR-politik. </w:t>
      </w:r>
    </w:p>
    <w:p w:rsidR="005945F5" w:rsidRPr="004F78EB" w:rsidRDefault="005945F5" w:rsidP="005945F5">
      <w:pPr>
        <w:spacing w:line="320" w:lineRule="exact"/>
        <w:rPr>
          <w:rFonts w:ascii="OrigGarmnd BT" w:hAnsi="OrigGarmnd BT"/>
          <w:sz w:val="24"/>
          <w:szCs w:val="24"/>
        </w:rPr>
      </w:pPr>
    </w:p>
    <w:p w:rsidR="005945F5" w:rsidRPr="004F78EB" w:rsidRDefault="005945F5" w:rsidP="005945F5">
      <w:pPr>
        <w:rPr>
          <w:rFonts w:ascii="OrigGarmnd BT" w:hAnsi="OrigGarmnd BT"/>
          <w:b/>
          <w:sz w:val="24"/>
          <w:szCs w:val="24"/>
        </w:rPr>
      </w:pPr>
    </w:p>
    <w:p w:rsidR="005945F5" w:rsidRPr="004F78EB" w:rsidRDefault="005945F5" w:rsidP="005945F5">
      <w:pPr>
        <w:rPr>
          <w:rFonts w:ascii="OrigGarmnd BT" w:hAnsi="OrigGarmnd BT"/>
          <w:sz w:val="24"/>
          <w:szCs w:val="24"/>
        </w:rPr>
      </w:pPr>
      <w:r w:rsidRPr="004F78EB">
        <w:rPr>
          <w:rFonts w:ascii="OrigGarmnd BT" w:hAnsi="OrigGarmnd BT"/>
          <w:b/>
          <w:sz w:val="24"/>
          <w:szCs w:val="24"/>
        </w:rPr>
        <w:t xml:space="preserve">7. Utrikestjänsten-EEAS </w:t>
      </w:r>
    </w:p>
    <w:p w:rsidR="005945F5" w:rsidRPr="004F78EB" w:rsidRDefault="005945F5" w:rsidP="005945F5">
      <w:pPr>
        <w:rPr>
          <w:rFonts w:ascii="OrigGarmnd BT" w:hAnsi="OrigGarmnd BT"/>
          <w:i/>
          <w:sz w:val="24"/>
          <w:szCs w:val="24"/>
        </w:rPr>
      </w:pPr>
      <w:r w:rsidRPr="004F78EB">
        <w:rPr>
          <w:rFonts w:ascii="OrigGarmnd BT" w:hAnsi="OrigGarmnd BT"/>
          <w:i/>
          <w:sz w:val="24"/>
          <w:szCs w:val="24"/>
        </w:rPr>
        <w:t>Diskussionspunkt</w:t>
      </w:r>
    </w:p>
    <w:p w:rsidR="005945F5" w:rsidRPr="004F78EB" w:rsidRDefault="005945F5" w:rsidP="005945F5">
      <w:pPr>
        <w:rPr>
          <w:rFonts w:ascii="OrigGarmnd BT" w:hAnsi="OrigGarmnd BT"/>
          <w:sz w:val="24"/>
          <w:szCs w:val="24"/>
        </w:rPr>
      </w:pPr>
    </w:p>
    <w:p w:rsidR="005945F5" w:rsidRPr="004F78EB" w:rsidRDefault="005945F5" w:rsidP="005945F5">
      <w:pPr>
        <w:rPr>
          <w:rFonts w:ascii="OrigGarmnd BT" w:hAnsi="OrigGarmnd BT"/>
          <w:sz w:val="24"/>
          <w:szCs w:val="24"/>
        </w:rPr>
      </w:pPr>
      <w:r w:rsidRPr="004F78EB">
        <w:rPr>
          <w:rFonts w:ascii="OrigGarmnd BT" w:hAnsi="OrigGarmnd BT"/>
          <w:sz w:val="24"/>
          <w:szCs w:val="24"/>
        </w:rPr>
        <w:t xml:space="preserve">Rådet förväntas, på basis av en muntlig presentation av den höga representanten, diskutera läget i uppbyggnaden av den nya utrikestjänsten – EEAS. EEAS blev operativ den 1 januari 2011 men uppbyggnaden av en fullskalig utrikestjänst fortsätter.   </w:t>
      </w:r>
    </w:p>
    <w:p w:rsidR="005945F5" w:rsidRPr="004F78EB" w:rsidRDefault="005945F5" w:rsidP="005945F5">
      <w:pPr>
        <w:rPr>
          <w:rFonts w:ascii="OrigGarmnd BT" w:hAnsi="OrigGarmnd BT"/>
          <w:sz w:val="24"/>
          <w:szCs w:val="24"/>
        </w:rPr>
      </w:pPr>
    </w:p>
    <w:p w:rsidR="005945F5" w:rsidRPr="004F78EB" w:rsidRDefault="005945F5" w:rsidP="005945F5">
      <w:pPr>
        <w:rPr>
          <w:rFonts w:ascii="OrigGarmnd BT" w:hAnsi="OrigGarmnd BT"/>
          <w:sz w:val="24"/>
          <w:szCs w:val="24"/>
        </w:rPr>
      </w:pPr>
      <w:r w:rsidRPr="004F78EB">
        <w:rPr>
          <w:rFonts w:ascii="OrigGarmnd BT" w:hAnsi="OrigGarmnd BT"/>
          <w:sz w:val="24"/>
          <w:szCs w:val="24"/>
          <w:u w:val="single"/>
        </w:rPr>
        <w:t>Regeringens ståndpunkt</w:t>
      </w:r>
      <w:r w:rsidRPr="004F78EB">
        <w:rPr>
          <w:rFonts w:ascii="OrigGarmnd BT" w:hAnsi="OrigGarmnd BT"/>
          <w:sz w:val="24"/>
          <w:szCs w:val="24"/>
        </w:rPr>
        <w:t>: EEAS har skapat nya förutsättningar för samstämmighet, effektivitet och kontinuitet i EU:s externa agerande och är därmed ett viktigt verktyg för att stärka EU som global aktör. SE verkar för att dessa förutsättningar utnyttjas fullt ut. SE fortsätter att stödja HR Ashton i uppbyggnadsarbetet samtidigt som vi verkar för att få genomslag för svenska intressen i EEAS.</w:t>
      </w:r>
    </w:p>
    <w:p w:rsidR="005945F5" w:rsidRPr="004F78EB" w:rsidRDefault="005945F5" w:rsidP="005945F5">
      <w:pPr>
        <w:spacing w:line="320" w:lineRule="exact"/>
        <w:rPr>
          <w:rFonts w:ascii="OrigGarmnd BT" w:hAnsi="OrigGarmnd BT"/>
          <w:sz w:val="24"/>
          <w:szCs w:val="24"/>
        </w:rPr>
      </w:pPr>
    </w:p>
    <w:p w:rsidR="005945F5" w:rsidRPr="004F78EB" w:rsidRDefault="005945F5" w:rsidP="005945F5">
      <w:pPr>
        <w:rPr>
          <w:rFonts w:ascii="OrigGarmnd BT" w:hAnsi="OrigGarmnd BT"/>
          <w:sz w:val="24"/>
          <w:szCs w:val="24"/>
        </w:rPr>
      </w:pPr>
    </w:p>
    <w:p w:rsidR="005945F5" w:rsidRPr="004F78EB" w:rsidRDefault="005945F5" w:rsidP="005945F5">
      <w:pPr>
        <w:rPr>
          <w:rFonts w:ascii="OrigGarmnd BT" w:hAnsi="OrigGarmnd BT"/>
          <w:b/>
          <w:sz w:val="24"/>
          <w:szCs w:val="24"/>
        </w:rPr>
      </w:pPr>
      <w:r w:rsidRPr="004F78EB">
        <w:rPr>
          <w:rFonts w:ascii="OrigGarmnd BT" w:hAnsi="OrigGarmnd BT"/>
          <w:b/>
          <w:sz w:val="24"/>
          <w:szCs w:val="24"/>
        </w:rPr>
        <w:t>9. Elfenbenskusten (ev.)</w:t>
      </w:r>
    </w:p>
    <w:p w:rsidR="005945F5" w:rsidRPr="004F78EB" w:rsidRDefault="005945F5" w:rsidP="005945F5">
      <w:pPr>
        <w:rPr>
          <w:rFonts w:ascii="OrigGarmnd BT" w:hAnsi="OrigGarmnd BT"/>
          <w:i/>
          <w:sz w:val="24"/>
          <w:szCs w:val="24"/>
        </w:rPr>
      </w:pPr>
      <w:r w:rsidRPr="004F78EB">
        <w:rPr>
          <w:rFonts w:ascii="OrigGarmnd BT" w:hAnsi="OrigGarmnd BT"/>
          <w:i/>
          <w:sz w:val="24"/>
          <w:szCs w:val="24"/>
        </w:rPr>
        <w:t>Diskussions- och beslutspunkt.</w:t>
      </w:r>
    </w:p>
    <w:p w:rsidR="005945F5" w:rsidRPr="004F78EB" w:rsidRDefault="005945F5" w:rsidP="005945F5">
      <w:pPr>
        <w:spacing w:line="320" w:lineRule="exact"/>
        <w:rPr>
          <w:rFonts w:ascii="OrigGarmnd BT" w:hAnsi="OrigGarmnd BT"/>
          <w:sz w:val="24"/>
          <w:szCs w:val="24"/>
        </w:rPr>
      </w:pPr>
    </w:p>
    <w:p w:rsidR="005945F5" w:rsidRPr="004F78EB" w:rsidRDefault="005945F5" w:rsidP="005945F5">
      <w:pPr>
        <w:overflowPunct/>
        <w:textAlignment w:val="auto"/>
        <w:rPr>
          <w:rFonts w:ascii="OrigGarmnd BT" w:hAnsi="OrigGarmnd BT" w:cs="OrigGarmnd BT"/>
          <w:color w:val="000000"/>
          <w:sz w:val="24"/>
          <w:szCs w:val="24"/>
          <w:lang w:eastAsia="sv-SE"/>
        </w:rPr>
      </w:pPr>
      <w:r w:rsidRPr="004F78EB">
        <w:rPr>
          <w:rFonts w:ascii="OrigGarmnd BT" w:hAnsi="OrigGarmnd BT" w:cs="OrigGarmnd BT"/>
          <w:color w:val="000000"/>
          <w:sz w:val="24"/>
          <w:szCs w:val="24"/>
          <w:lang w:eastAsia="sv-SE"/>
        </w:rPr>
        <w:t>Diskussion om situationen i Elfenbenskusten. Beslut förväntas fattas om att förstärka EU:s restriktiva åtgärder mot Gbagbo och hans regim. Rådet förväntas även anta rådsslutsatser.</w:t>
      </w:r>
    </w:p>
    <w:p w:rsidR="005945F5" w:rsidRPr="004F78EB" w:rsidRDefault="005945F5" w:rsidP="005945F5">
      <w:pPr>
        <w:overflowPunct/>
        <w:textAlignment w:val="auto"/>
        <w:rPr>
          <w:rFonts w:ascii="OrigGarmnd BT" w:hAnsi="OrigGarmnd BT" w:cs="OrigGarmnd BT"/>
          <w:color w:val="000000"/>
          <w:sz w:val="24"/>
          <w:szCs w:val="24"/>
          <w:u w:val="single"/>
          <w:lang w:eastAsia="sv-SE"/>
        </w:rPr>
      </w:pPr>
    </w:p>
    <w:p w:rsidR="005945F5" w:rsidRPr="004F78EB" w:rsidRDefault="005945F5" w:rsidP="005945F5">
      <w:pPr>
        <w:overflowPunct/>
        <w:textAlignment w:val="auto"/>
        <w:rPr>
          <w:rFonts w:ascii="OrigGarmnd BT" w:hAnsi="OrigGarmnd BT" w:cs="OrigGarmnd BT"/>
          <w:color w:val="000000"/>
          <w:sz w:val="24"/>
          <w:szCs w:val="24"/>
          <w:lang w:eastAsia="sv-SE"/>
        </w:rPr>
      </w:pPr>
      <w:r w:rsidRPr="004F78EB">
        <w:rPr>
          <w:rFonts w:ascii="OrigGarmnd BT" w:hAnsi="OrigGarmnd BT" w:cs="OrigGarmnd BT"/>
          <w:color w:val="000000"/>
          <w:sz w:val="24"/>
          <w:szCs w:val="24"/>
          <w:u w:val="single"/>
          <w:lang w:eastAsia="sv-SE"/>
        </w:rPr>
        <w:t>Regeringens ståndpunkt:</w:t>
      </w:r>
      <w:r w:rsidRPr="004F78EB">
        <w:rPr>
          <w:rFonts w:ascii="OrigGarmnd BT" w:hAnsi="OrigGarmnd BT" w:cs="OrigGarmnd BT"/>
          <w:color w:val="000000"/>
          <w:sz w:val="24"/>
          <w:szCs w:val="24"/>
          <w:lang w:eastAsia="sv-SE"/>
        </w:rPr>
        <w:t xml:space="preserve"> Regeringen välkomnar att utrikesministrarna fortsätter att noga följa utvecklingen i landet som är mycket oroande, i synnerhet vad avser bristen på skydd av civilbefolkningen. Regeringen välkomnar FN:s säkerhetsråds</w:t>
      </w:r>
      <w:r w:rsidRPr="004F78EB">
        <w:rPr>
          <w:rFonts w:ascii="OrigGarmnd BT" w:hAnsi="OrigGarmnd BT" w:cs="OrigGarmnd BT"/>
          <w:color w:val="000000"/>
          <w:sz w:val="24"/>
          <w:szCs w:val="24"/>
          <w:lang w:eastAsia="sv-SE"/>
        </w:rPr>
        <w:softHyphen/>
        <w:t xml:space="preserve">resolution 1975 och det internationella samfundets fortsatta försök att verka för att Gbagbo avsäger sig makten till förmån för den av det ivorianska folket valda Ouattara. De regionala konsekvenserna, inte minst i Liberia, bör även beaktas. </w:t>
      </w:r>
    </w:p>
    <w:p w:rsidR="005945F5" w:rsidRPr="004F78EB" w:rsidRDefault="005945F5" w:rsidP="005945F5">
      <w:pPr>
        <w:overflowPunct/>
        <w:textAlignment w:val="auto"/>
        <w:rPr>
          <w:rFonts w:ascii="OrigGarmnd BT" w:hAnsi="OrigGarmnd BT" w:cs="OrigGarmnd BT"/>
          <w:color w:val="000000"/>
          <w:sz w:val="24"/>
          <w:szCs w:val="24"/>
          <w:lang w:eastAsia="sv-SE"/>
        </w:rPr>
      </w:pPr>
      <w:r w:rsidRPr="004F78EB">
        <w:rPr>
          <w:rFonts w:ascii="OrigGarmnd BT" w:hAnsi="OrigGarmnd BT" w:cs="OrigGarmnd BT"/>
          <w:color w:val="000000"/>
          <w:sz w:val="24"/>
          <w:szCs w:val="24"/>
          <w:lang w:eastAsia="sv-SE"/>
        </w:rPr>
        <w:t xml:space="preserve">Sverige stödjer ett beslut om ytterligare riktade sanktioner mot Gbagbos regim och antagandet av rådsslutsatser. </w:t>
      </w:r>
    </w:p>
    <w:p w:rsidR="005945F5" w:rsidRPr="004F78EB" w:rsidRDefault="005945F5" w:rsidP="005945F5">
      <w:pPr>
        <w:spacing w:line="320" w:lineRule="exact"/>
        <w:rPr>
          <w:rFonts w:ascii="OrigGarmnd BT" w:hAnsi="OrigGarmnd BT"/>
          <w:sz w:val="24"/>
          <w:szCs w:val="24"/>
        </w:rPr>
      </w:pPr>
    </w:p>
    <w:p w:rsidR="005945F5" w:rsidRPr="004F78EB" w:rsidRDefault="005945F5" w:rsidP="005945F5">
      <w:pPr>
        <w:spacing w:line="320" w:lineRule="exact"/>
        <w:rPr>
          <w:rFonts w:ascii="OrigGarmnd BT" w:hAnsi="OrigGarmnd BT"/>
          <w:sz w:val="24"/>
          <w:szCs w:val="24"/>
        </w:rPr>
      </w:pPr>
    </w:p>
    <w:p w:rsidR="005945F5" w:rsidRPr="004F78EB" w:rsidRDefault="005945F5" w:rsidP="005945F5">
      <w:pPr>
        <w:spacing w:line="320" w:lineRule="exact"/>
        <w:rPr>
          <w:rFonts w:ascii="OrigGarmnd BT" w:hAnsi="OrigGarmnd BT"/>
          <w:b/>
          <w:sz w:val="24"/>
          <w:szCs w:val="24"/>
        </w:rPr>
      </w:pPr>
      <w:r w:rsidRPr="004F78EB">
        <w:rPr>
          <w:rFonts w:ascii="OrigGarmnd BT" w:hAnsi="OrigGarmnd BT"/>
          <w:b/>
          <w:sz w:val="24"/>
          <w:szCs w:val="24"/>
        </w:rPr>
        <w:t>10. Burma (ev.)</w:t>
      </w:r>
    </w:p>
    <w:p w:rsidR="005945F5" w:rsidRPr="004F78EB" w:rsidRDefault="005945F5" w:rsidP="005945F5">
      <w:pPr>
        <w:spacing w:line="320" w:lineRule="exact"/>
        <w:rPr>
          <w:rFonts w:ascii="OrigGarmnd BT" w:hAnsi="OrigGarmnd BT"/>
          <w:i/>
          <w:sz w:val="24"/>
          <w:szCs w:val="24"/>
        </w:rPr>
      </w:pPr>
      <w:r w:rsidRPr="004F78EB">
        <w:rPr>
          <w:rFonts w:ascii="OrigGarmnd BT" w:hAnsi="OrigGarmnd BT"/>
          <w:i/>
          <w:sz w:val="24"/>
          <w:szCs w:val="24"/>
        </w:rPr>
        <w:t>Diskussions- och beslutspunkt</w:t>
      </w:r>
    </w:p>
    <w:p w:rsidR="005945F5" w:rsidRPr="004F78EB" w:rsidRDefault="005945F5" w:rsidP="005945F5">
      <w:pPr>
        <w:spacing w:line="320" w:lineRule="exact"/>
        <w:rPr>
          <w:rFonts w:ascii="OrigGarmnd BT" w:hAnsi="OrigGarmnd BT"/>
          <w:b/>
          <w:sz w:val="24"/>
          <w:szCs w:val="24"/>
        </w:rPr>
      </w:pPr>
    </w:p>
    <w:p w:rsidR="005945F5" w:rsidRPr="004F78EB" w:rsidRDefault="005945F5" w:rsidP="005945F5">
      <w:pPr>
        <w:pStyle w:val="RKnormal"/>
      </w:pPr>
      <w:r w:rsidRPr="004F78EB">
        <w:t xml:space="preserve">Utrikesrådet förväntas fatta beslut om att förlänga EU:s restriktiva åtgärder mot Burma, som löper ut den 30 april. Eventuellt kommer även slutsatser att antas vid utrikesrådet. </w:t>
      </w:r>
    </w:p>
    <w:p w:rsidR="005945F5" w:rsidRPr="004F78EB" w:rsidRDefault="005945F5" w:rsidP="005945F5">
      <w:pPr>
        <w:pStyle w:val="RKnormal"/>
      </w:pPr>
    </w:p>
    <w:p w:rsidR="005945F5" w:rsidRPr="004F78EB" w:rsidRDefault="005945F5" w:rsidP="005945F5">
      <w:pPr>
        <w:overflowPunct/>
        <w:textAlignment w:val="auto"/>
        <w:rPr>
          <w:rFonts w:ascii="OrigGarmnd BT" w:hAnsi="OrigGarmnd BT"/>
          <w:sz w:val="24"/>
          <w:szCs w:val="24"/>
        </w:rPr>
      </w:pPr>
      <w:r w:rsidRPr="004F78EB">
        <w:rPr>
          <w:rFonts w:ascii="OrigGarmnd BT" w:hAnsi="OrigGarmnd BT"/>
          <w:sz w:val="24"/>
          <w:szCs w:val="24"/>
          <w:u w:val="single"/>
        </w:rPr>
        <w:t>Regeringens ståndpunkt:</w:t>
      </w:r>
      <w:r w:rsidRPr="004F78EB">
        <w:rPr>
          <w:rFonts w:ascii="OrigGarmnd BT" w:hAnsi="OrigGarmnd BT"/>
          <w:sz w:val="24"/>
          <w:szCs w:val="24"/>
        </w:rPr>
        <w:t xml:space="preserve"> Regeringens stödjer en förlängning av de restriktiva åtgärderna mot </w:t>
      </w:r>
      <w:smartTag w:uri="urn:schemas-microsoft-com:office:smarttags" w:element="country-region">
        <w:smartTag w:uri="urn:schemas-microsoft-com:office:smarttags" w:element="place">
          <w:r w:rsidRPr="004F78EB">
            <w:rPr>
              <w:rFonts w:ascii="OrigGarmnd BT" w:hAnsi="OrigGarmnd BT"/>
              <w:sz w:val="24"/>
              <w:szCs w:val="24"/>
            </w:rPr>
            <w:t>Burma</w:t>
          </w:r>
        </w:smartTag>
      </w:smartTag>
      <w:r w:rsidRPr="004F78EB">
        <w:rPr>
          <w:rFonts w:ascii="OrigGarmnd BT" w:hAnsi="OrigGarmnd BT"/>
          <w:sz w:val="24"/>
          <w:szCs w:val="24"/>
        </w:rPr>
        <w:t xml:space="preserve"> i avsaknad av framsteg vad gäller demokratiska reformer och den fortsatta bristen på respekt för mänskliga rättigheter. Europeiska Unionen måste fortsatt följa utvecklingen i </w:t>
      </w:r>
      <w:smartTag w:uri="urn:schemas-microsoft-com:office:smarttags" w:element="country-region">
        <w:smartTag w:uri="urn:schemas-microsoft-com:office:smarttags" w:element="place">
          <w:r w:rsidRPr="004F78EB">
            <w:rPr>
              <w:rFonts w:ascii="OrigGarmnd BT" w:hAnsi="OrigGarmnd BT"/>
              <w:sz w:val="24"/>
              <w:szCs w:val="24"/>
            </w:rPr>
            <w:t>Burma</w:t>
          </w:r>
        </w:smartTag>
      </w:smartTag>
      <w:r w:rsidRPr="004F78EB">
        <w:rPr>
          <w:rFonts w:ascii="OrigGarmnd BT" w:hAnsi="OrigGarmnd BT"/>
          <w:sz w:val="24"/>
          <w:szCs w:val="24"/>
        </w:rPr>
        <w:t xml:space="preserve"> och vara beredd att understödja positiva framsteg med ökat stöd och engagemang.</w:t>
      </w:r>
    </w:p>
    <w:p w:rsidR="005945F5" w:rsidRPr="004F78EB" w:rsidRDefault="005945F5" w:rsidP="005945F5">
      <w:pPr>
        <w:spacing w:line="320" w:lineRule="exact"/>
        <w:rPr>
          <w:rFonts w:ascii="OrigGarmnd BT" w:hAnsi="OrigGarmnd BT"/>
          <w:b/>
          <w:sz w:val="24"/>
          <w:szCs w:val="24"/>
        </w:rPr>
      </w:pPr>
    </w:p>
    <w:p w:rsidR="005945F5" w:rsidRPr="004F78EB" w:rsidRDefault="005945F5" w:rsidP="005945F5">
      <w:pPr>
        <w:spacing w:line="320" w:lineRule="exact"/>
        <w:rPr>
          <w:rFonts w:ascii="OrigGarmnd BT" w:hAnsi="OrigGarmnd BT"/>
          <w:b/>
          <w:sz w:val="24"/>
          <w:szCs w:val="24"/>
        </w:rPr>
      </w:pPr>
    </w:p>
    <w:p w:rsidR="005945F5" w:rsidRPr="004F78EB" w:rsidRDefault="005945F5" w:rsidP="005945F5">
      <w:pPr>
        <w:spacing w:line="320" w:lineRule="exact"/>
        <w:rPr>
          <w:rFonts w:ascii="OrigGarmnd BT" w:hAnsi="OrigGarmnd BT"/>
          <w:b/>
          <w:sz w:val="24"/>
          <w:szCs w:val="24"/>
        </w:rPr>
      </w:pPr>
      <w:r w:rsidRPr="004F78EB">
        <w:rPr>
          <w:rFonts w:ascii="OrigGarmnd BT" w:hAnsi="OrigGarmnd BT"/>
          <w:b/>
          <w:sz w:val="24"/>
          <w:szCs w:val="24"/>
        </w:rPr>
        <w:t>11. Övriga frågor</w:t>
      </w:r>
    </w:p>
    <w:p w:rsidR="005945F5" w:rsidRPr="004F78EB" w:rsidRDefault="005945F5" w:rsidP="005945F5">
      <w:pPr>
        <w:rPr>
          <w:rFonts w:ascii="OrigGarmnd BT" w:hAnsi="OrigGarmnd BT"/>
          <w:sz w:val="24"/>
          <w:szCs w:val="24"/>
        </w:rPr>
      </w:pPr>
    </w:p>
    <w:p w:rsidR="005945F5" w:rsidRPr="004F78EB" w:rsidRDefault="005945F5" w:rsidP="005945F5">
      <w:pPr>
        <w:rPr>
          <w:rFonts w:ascii="OrigGarmnd BT" w:hAnsi="OrigGarmnd BT"/>
          <w:sz w:val="24"/>
          <w:szCs w:val="24"/>
        </w:rPr>
      </w:pPr>
    </w:p>
    <w:p w:rsidR="005945F5" w:rsidRPr="004F78EB" w:rsidRDefault="005945F5" w:rsidP="005945F5"/>
    <w:p w:rsidR="005945F5" w:rsidRPr="004F78EB" w:rsidRDefault="005945F5" w:rsidP="005945F5"/>
    <w:p w:rsidR="005945F5" w:rsidRPr="004F78EB" w:rsidRDefault="005945F5"/>
    <w:sectPr w:rsidR="005945F5" w:rsidRPr="004F78EB">
      <w:footerReference w:type="even" r:id="rId6"/>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FB1" w:rsidRPr="004F78EB" w:rsidRDefault="00CC6FB1">
      <w:r w:rsidRPr="004F78EB">
        <w:separator/>
      </w:r>
    </w:p>
  </w:endnote>
  <w:endnote w:type="continuationSeparator" w:id="0">
    <w:p w:rsidR="00CC6FB1" w:rsidRPr="004F78EB" w:rsidRDefault="00CC6FB1">
      <w:r w:rsidRPr="004F78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F5" w:rsidRPr="004F78EB" w:rsidRDefault="005945F5" w:rsidP="005945F5">
    <w:pPr>
      <w:pStyle w:val="Sidfot"/>
      <w:framePr w:wrap="around" w:vAnchor="text" w:hAnchor="margin" w:xAlign="right" w:y="1"/>
      <w:rPr>
        <w:rStyle w:val="Sidnummer"/>
      </w:rPr>
    </w:pPr>
    <w:r w:rsidRPr="004F78EB">
      <w:rPr>
        <w:rStyle w:val="Sidnummer"/>
      </w:rPr>
      <w:fldChar w:fldCharType="begin" w:fldLock="1"/>
    </w:r>
    <w:r w:rsidRPr="004F78EB">
      <w:rPr>
        <w:rStyle w:val="Sidnummer"/>
      </w:rPr>
      <w:instrText xml:space="preserve">PAGE  </w:instrText>
    </w:r>
    <w:r w:rsidRPr="004F78EB">
      <w:rPr>
        <w:rStyle w:val="Sidnummer"/>
      </w:rPr>
      <w:fldChar w:fldCharType="end"/>
    </w:r>
  </w:p>
  <w:p w:rsidR="005945F5" w:rsidRPr="004F78EB" w:rsidRDefault="005945F5" w:rsidP="005945F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F5" w:rsidRPr="004F78EB" w:rsidRDefault="005945F5" w:rsidP="005945F5">
    <w:pPr>
      <w:pStyle w:val="Sidfot"/>
      <w:ind w:right="360"/>
    </w:pPr>
    <w:r w:rsidRPr="004F78EB">
      <w:rPr>
        <w:rStyle w:val="Sidnummer"/>
      </w:rPr>
      <w:tab/>
    </w:r>
    <w:r w:rsidRPr="004F78EB">
      <w:rPr>
        <w:rStyle w:val="Sidnummer"/>
      </w:rPr>
      <w:tab/>
    </w:r>
    <w:r w:rsidRPr="004F78EB">
      <w:rPr>
        <w:rStyle w:val="Sidnummer"/>
      </w:rPr>
      <w:fldChar w:fldCharType="begin" w:fldLock="1"/>
    </w:r>
    <w:r w:rsidRPr="004F78EB">
      <w:rPr>
        <w:rStyle w:val="Sidnummer"/>
      </w:rPr>
      <w:instrText xml:space="preserve"> PAGE </w:instrText>
    </w:r>
    <w:r w:rsidRPr="004F78EB">
      <w:rPr>
        <w:rStyle w:val="Sidnummer"/>
      </w:rPr>
      <w:fldChar w:fldCharType="separate"/>
    </w:r>
    <w:r w:rsidR="00CC6FB1" w:rsidRPr="004F78EB">
      <w:rPr>
        <w:rStyle w:val="Sidnummer"/>
      </w:rPr>
      <w:t>1</w:t>
    </w:r>
    <w:r w:rsidRPr="004F78EB">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FB1" w:rsidRPr="004F78EB" w:rsidRDefault="00CC6FB1">
      <w:r w:rsidRPr="004F78EB">
        <w:separator/>
      </w:r>
    </w:p>
  </w:footnote>
  <w:footnote w:type="continuationSeparator" w:id="0">
    <w:p w:rsidR="00CC6FB1" w:rsidRPr="004F78EB" w:rsidRDefault="00CC6FB1">
      <w:r w:rsidRPr="004F78EB">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F5"/>
    <w:rsid w:val="004F78EB"/>
    <w:rsid w:val="005945F5"/>
    <w:rsid w:val="00CC6FB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358FFAE-6E01-41E4-8766-012B6268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5F5"/>
    <w:pPr>
      <w:overflowPunct w:val="0"/>
      <w:autoSpaceDE w:val="0"/>
      <w:autoSpaceDN w:val="0"/>
      <w:adjustRightInd w:val="0"/>
      <w:textAlignment w:val="baseline"/>
    </w:pPr>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5945F5"/>
  </w:style>
  <w:style w:type="paragraph" w:styleId="Sidfot">
    <w:name w:val="footer"/>
    <w:basedOn w:val="Normal"/>
    <w:rsid w:val="005945F5"/>
    <w:pPr>
      <w:tabs>
        <w:tab w:val="center" w:pos="4153"/>
        <w:tab w:val="right" w:pos="8306"/>
      </w:tabs>
    </w:pPr>
    <w:rPr>
      <w:sz w:val="24"/>
    </w:rPr>
  </w:style>
  <w:style w:type="paragraph" w:customStyle="1" w:styleId="UDrubrik">
    <w:name w:val="UDrubrik"/>
    <w:basedOn w:val="Normal"/>
    <w:next w:val="Normal"/>
    <w:rsid w:val="005945F5"/>
    <w:pPr>
      <w:spacing w:line="320" w:lineRule="exact"/>
    </w:pPr>
    <w:rPr>
      <w:rFonts w:ascii="Arial" w:hAnsi="Arial"/>
      <w:b/>
      <w:sz w:val="22"/>
    </w:rPr>
  </w:style>
  <w:style w:type="paragraph" w:customStyle="1" w:styleId="RKnormal">
    <w:name w:val="RKnormal"/>
    <w:basedOn w:val="Normal"/>
    <w:rsid w:val="005945F5"/>
    <w:pPr>
      <w:tabs>
        <w:tab w:val="left" w:pos="2835"/>
      </w:tabs>
      <w:spacing w:line="240" w:lineRule="atLeast"/>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6400</Characters>
  <Application>Microsoft Office Word</Application>
  <DocSecurity>4</DocSecurity>
  <Lines>168</Lines>
  <Paragraphs>53</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2011-04-04T13:22:00Z</cp:lastPrinted>
  <dcterms:created xsi:type="dcterms:W3CDTF">2025-12-18T03:56:00Z</dcterms:created>
  <dcterms:modified xsi:type="dcterms:W3CDTF">2025-12-18T03:56:00Z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Utrikesdepartementet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