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right" w:tblpY="1020"/>
        <w:tblW w:w="9141" w:type="dxa"/>
        <w:tblLayout w:type="fixed"/>
        <w:tblCellMar>
          <w:left w:w="70" w:type="dxa"/>
          <w:right w:w="70" w:type="dxa"/>
        </w:tblCellMar>
        <w:tblLook w:val="0000" w:firstRow="0" w:lastRow="0" w:firstColumn="0" w:lastColumn="0" w:noHBand="0" w:noVBand="0"/>
      </w:tblPr>
      <w:tblGrid>
        <w:gridCol w:w="9141"/>
      </w:tblGrid>
      <w:tr w:rsidR="008743DA" w:rsidRPr="002E3691" w:rsidTr="008743DA">
        <w:tc>
          <w:tcPr>
            <w:tcW w:w="9141" w:type="dxa"/>
          </w:tcPr>
          <w:p w:rsidR="008743DA" w:rsidRPr="002E3691" w:rsidRDefault="008743DA" w:rsidP="008743DA">
            <w:pPr>
              <w:ind w:left="4"/>
            </w:pPr>
            <w:bookmarkStart w:id="0" w:name="_Hlk51170772"/>
            <w:bookmarkStart w:id="1" w:name="_GoBack"/>
            <w:bookmarkEnd w:id="0"/>
            <w:bookmarkEnd w:id="1"/>
            <w:r w:rsidRPr="002E3691">
              <w:t>RIKSDAGEN</w:t>
            </w:r>
          </w:p>
          <w:p w:rsidR="008743DA" w:rsidRPr="002E3691" w:rsidRDefault="008743DA" w:rsidP="008743DA">
            <w:pPr>
              <w:ind w:left="4"/>
            </w:pPr>
            <w:r w:rsidRPr="002E3691">
              <w:t>ARBETSMARKNADSUTSKOTTET</w:t>
            </w:r>
          </w:p>
        </w:tc>
      </w:tr>
    </w:tbl>
    <w:p w:rsidR="00725D41" w:rsidRPr="002E3691" w:rsidRDefault="00725D41" w:rsidP="00725D41"/>
    <w:p w:rsidR="00386367" w:rsidRPr="002E3691" w:rsidRDefault="00386367" w:rsidP="00C82299"/>
    <w:tbl>
      <w:tblPr>
        <w:tblW w:w="9853" w:type="dxa"/>
        <w:tblInd w:w="142" w:type="dxa"/>
        <w:tblLayout w:type="fixed"/>
        <w:tblCellMar>
          <w:left w:w="70" w:type="dxa"/>
          <w:right w:w="70" w:type="dxa"/>
        </w:tblCellMar>
        <w:tblLook w:val="0000" w:firstRow="0" w:lastRow="0" w:firstColumn="0" w:lastColumn="0" w:noHBand="0" w:noVBand="0"/>
      </w:tblPr>
      <w:tblGrid>
        <w:gridCol w:w="1984"/>
        <w:gridCol w:w="497"/>
        <w:gridCol w:w="1844"/>
        <w:gridCol w:w="495"/>
        <w:gridCol w:w="425"/>
        <w:gridCol w:w="283"/>
        <w:gridCol w:w="356"/>
        <w:gridCol w:w="425"/>
        <w:gridCol w:w="386"/>
        <w:gridCol w:w="429"/>
        <w:gridCol w:w="319"/>
        <w:gridCol w:w="386"/>
        <w:gridCol w:w="300"/>
        <w:gridCol w:w="448"/>
        <w:gridCol w:w="425"/>
        <w:gridCol w:w="426"/>
        <w:gridCol w:w="425"/>
      </w:tblGrid>
      <w:tr w:rsidR="00725D41" w:rsidRPr="002E3691" w:rsidTr="00B3122A">
        <w:trPr>
          <w:gridAfter w:val="2"/>
          <w:wAfter w:w="851" w:type="dxa"/>
          <w:cantSplit/>
          <w:trHeight w:val="742"/>
        </w:trPr>
        <w:tc>
          <w:tcPr>
            <w:tcW w:w="1984" w:type="dxa"/>
          </w:tcPr>
          <w:p w:rsidR="00725D41" w:rsidRPr="002E3691" w:rsidRDefault="00725D41" w:rsidP="00381D02">
            <w:pPr>
              <w:rPr>
                <w:b/>
                <w:sz w:val="22"/>
              </w:rPr>
            </w:pPr>
            <w:r w:rsidRPr="002E3691">
              <w:rPr>
                <w:b/>
                <w:sz w:val="22"/>
              </w:rPr>
              <w:t xml:space="preserve">PROTOKOLL </w:t>
            </w:r>
          </w:p>
        </w:tc>
        <w:tc>
          <w:tcPr>
            <w:tcW w:w="7018" w:type="dxa"/>
            <w:gridSpan w:val="14"/>
          </w:tcPr>
          <w:p w:rsidR="00725D41" w:rsidRPr="002E3691" w:rsidRDefault="00725D41" w:rsidP="00381D02">
            <w:pPr>
              <w:rPr>
                <w:b/>
              </w:rPr>
            </w:pPr>
            <w:r w:rsidRPr="002E3691">
              <w:rPr>
                <w:b/>
              </w:rPr>
              <w:t>UTSKOTTSSAMMANTRÄDE 20</w:t>
            </w:r>
            <w:r w:rsidR="006C57E4" w:rsidRPr="002E3691">
              <w:rPr>
                <w:b/>
              </w:rPr>
              <w:t>20/21:</w:t>
            </w:r>
            <w:r w:rsidR="00EB2841">
              <w:rPr>
                <w:b/>
              </w:rPr>
              <w:t>4</w:t>
            </w:r>
          </w:p>
        </w:tc>
      </w:tr>
      <w:tr w:rsidR="00725D41" w:rsidRPr="002E3691" w:rsidTr="00B3122A">
        <w:trPr>
          <w:gridAfter w:val="2"/>
          <w:wAfter w:w="851" w:type="dxa"/>
        </w:trPr>
        <w:tc>
          <w:tcPr>
            <w:tcW w:w="1984" w:type="dxa"/>
          </w:tcPr>
          <w:p w:rsidR="00725D41" w:rsidRPr="002E3691" w:rsidRDefault="00725D41" w:rsidP="00381D02">
            <w:pPr>
              <w:rPr>
                <w:sz w:val="22"/>
              </w:rPr>
            </w:pPr>
            <w:r w:rsidRPr="002E3691">
              <w:rPr>
                <w:sz w:val="22"/>
              </w:rPr>
              <w:t>DATUM</w:t>
            </w:r>
          </w:p>
        </w:tc>
        <w:tc>
          <w:tcPr>
            <w:tcW w:w="7018" w:type="dxa"/>
            <w:gridSpan w:val="14"/>
          </w:tcPr>
          <w:p w:rsidR="00725D41" w:rsidRPr="002E3691" w:rsidRDefault="00725D41" w:rsidP="00381D02">
            <w:r w:rsidRPr="002E3691">
              <w:t>2020-</w:t>
            </w:r>
            <w:r w:rsidR="00EB2841">
              <w:t>10-01</w:t>
            </w:r>
          </w:p>
        </w:tc>
      </w:tr>
      <w:tr w:rsidR="00725D41" w:rsidRPr="002E3691" w:rsidTr="00B3122A">
        <w:trPr>
          <w:gridAfter w:val="2"/>
          <w:wAfter w:w="851" w:type="dxa"/>
        </w:trPr>
        <w:tc>
          <w:tcPr>
            <w:tcW w:w="1984" w:type="dxa"/>
          </w:tcPr>
          <w:p w:rsidR="00725D41" w:rsidRPr="002E3691" w:rsidRDefault="00725D41" w:rsidP="00381D02">
            <w:pPr>
              <w:rPr>
                <w:sz w:val="22"/>
              </w:rPr>
            </w:pPr>
            <w:r w:rsidRPr="002E3691">
              <w:rPr>
                <w:sz w:val="22"/>
              </w:rPr>
              <w:t>TID</w:t>
            </w:r>
          </w:p>
        </w:tc>
        <w:tc>
          <w:tcPr>
            <w:tcW w:w="7018" w:type="dxa"/>
            <w:gridSpan w:val="14"/>
          </w:tcPr>
          <w:p w:rsidR="00725D41" w:rsidRPr="002E3691" w:rsidRDefault="006E15A7" w:rsidP="0062295E">
            <w:r w:rsidRPr="002E3691">
              <w:t>1</w:t>
            </w:r>
            <w:r w:rsidR="00EB2841">
              <w:t>1.00–</w:t>
            </w:r>
            <w:r w:rsidR="00A54FEE">
              <w:t>12.16</w:t>
            </w:r>
          </w:p>
        </w:tc>
      </w:tr>
      <w:tr w:rsidR="00725D41" w:rsidRPr="002E3691" w:rsidTr="00B3122A">
        <w:trPr>
          <w:gridAfter w:val="2"/>
          <w:wAfter w:w="851" w:type="dxa"/>
        </w:trPr>
        <w:tc>
          <w:tcPr>
            <w:tcW w:w="1984" w:type="dxa"/>
          </w:tcPr>
          <w:p w:rsidR="00CD1065" w:rsidRPr="002E3691" w:rsidRDefault="00725D41" w:rsidP="00381D02">
            <w:pPr>
              <w:rPr>
                <w:sz w:val="18"/>
                <w:szCs w:val="18"/>
              </w:rPr>
            </w:pPr>
            <w:r w:rsidRPr="002E3691">
              <w:rPr>
                <w:sz w:val="22"/>
              </w:rPr>
              <w:t>NÄRVARANDE</w:t>
            </w:r>
          </w:p>
        </w:tc>
        <w:tc>
          <w:tcPr>
            <w:tcW w:w="7018" w:type="dxa"/>
            <w:gridSpan w:val="14"/>
          </w:tcPr>
          <w:p w:rsidR="006F0918" w:rsidRDefault="00725D41" w:rsidP="00FD60A1">
            <w:r w:rsidRPr="002E3691">
              <w:t>Se bilaga</w:t>
            </w:r>
            <w:r w:rsidR="00724DEE" w:rsidRPr="002E3691">
              <w:t xml:space="preserve"> 1</w:t>
            </w:r>
          </w:p>
          <w:p w:rsidR="00A54FEE" w:rsidRPr="002E3691" w:rsidRDefault="00A54FEE" w:rsidP="00FD60A1"/>
          <w:p w:rsidR="00083DC5" w:rsidRPr="002E3691" w:rsidRDefault="00083DC5" w:rsidP="00FD60A1"/>
        </w:tc>
      </w:tr>
      <w:tr w:rsidR="00352B39" w:rsidRPr="002E3691" w:rsidTr="00B3122A">
        <w:tblPrEx>
          <w:tblLook w:val="00A0" w:firstRow="1" w:lastRow="0" w:firstColumn="1" w:lastColumn="0" w:noHBand="0" w:noVBand="0"/>
        </w:tblPrEx>
        <w:trPr>
          <w:gridBefore w:val="1"/>
          <w:wBefore w:w="1984" w:type="dxa"/>
        </w:trPr>
        <w:tc>
          <w:tcPr>
            <w:tcW w:w="497" w:type="dxa"/>
          </w:tcPr>
          <w:p w:rsidR="00352B39" w:rsidRPr="002E3691" w:rsidRDefault="00352B39" w:rsidP="00381D02">
            <w:pPr>
              <w:tabs>
                <w:tab w:val="left" w:pos="1701"/>
              </w:tabs>
              <w:rPr>
                <w:b/>
                <w:snapToGrid w:val="0"/>
              </w:rPr>
            </w:pPr>
            <w:r w:rsidRPr="002E3691">
              <w:rPr>
                <w:b/>
                <w:snapToGrid w:val="0"/>
              </w:rPr>
              <w:t>§ 1</w:t>
            </w:r>
          </w:p>
        </w:tc>
        <w:tc>
          <w:tcPr>
            <w:tcW w:w="7372" w:type="dxa"/>
            <w:gridSpan w:val="15"/>
          </w:tcPr>
          <w:p w:rsidR="006C57E4" w:rsidRPr="002E3691" w:rsidRDefault="006C57E4" w:rsidP="006C57E4">
            <w:pPr>
              <w:autoSpaceDE w:val="0"/>
              <w:autoSpaceDN w:val="0"/>
              <w:adjustRightInd w:val="0"/>
              <w:textAlignment w:val="center"/>
              <w:rPr>
                <w:b/>
                <w:szCs w:val="26"/>
              </w:rPr>
            </w:pPr>
            <w:r w:rsidRPr="002E3691">
              <w:rPr>
                <w:b/>
                <w:szCs w:val="26"/>
              </w:rPr>
              <w:t>Medgivande att delta på distans</w:t>
            </w:r>
          </w:p>
          <w:p w:rsidR="006C57E4" w:rsidRPr="002E3691" w:rsidRDefault="006C57E4" w:rsidP="006C57E4">
            <w:pPr>
              <w:rPr>
                <w:b/>
                <w:bCs/>
              </w:rPr>
            </w:pPr>
          </w:p>
          <w:p w:rsidR="00EB2841" w:rsidRDefault="006C57E4" w:rsidP="00EB2841">
            <w:pPr>
              <w:ind w:left="-72"/>
              <w:rPr>
                <w:b/>
                <w:bCs/>
              </w:rPr>
            </w:pPr>
            <w:r w:rsidRPr="002E3691">
              <w:rPr>
                <w:bCs/>
              </w:rPr>
              <w:t>Utskottet medgav deltagande på distans för följande ledamöter och suppleanter:</w:t>
            </w:r>
            <w:r w:rsidR="006F0918" w:rsidRPr="002E3691">
              <w:rPr>
                <w:bCs/>
              </w:rPr>
              <w:t xml:space="preserve"> </w:t>
            </w:r>
            <w:r w:rsidR="00A54FEE">
              <w:rPr>
                <w:bCs/>
              </w:rPr>
              <w:t>Patrik Björck (S), Magnus Persson (SD), Johan Andersson (S), Gulan Avci (L), Johanna Haraldsson (S), Malin Höglund (M), Marianne Pettersson (S) och Ciczie Weidby (V).</w:t>
            </w:r>
          </w:p>
          <w:p w:rsidR="00EB2841" w:rsidRDefault="00EB2841" w:rsidP="00EB2841">
            <w:pPr>
              <w:ind w:left="-72"/>
            </w:pPr>
          </w:p>
          <w:p w:rsidR="006C57E4" w:rsidRPr="00EB2841" w:rsidRDefault="006C57E4" w:rsidP="00EB2841">
            <w:pPr>
              <w:ind w:left="-72"/>
              <w:rPr>
                <w:b/>
                <w:bCs/>
              </w:rPr>
            </w:pPr>
            <w:r w:rsidRPr="002E3691">
              <w:t>Denna paragraf förklarades omedelbart justerad.</w:t>
            </w:r>
          </w:p>
          <w:p w:rsidR="00352B39" w:rsidRPr="002E3691" w:rsidRDefault="00352B39" w:rsidP="005C2083">
            <w:pPr>
              <w:widowControl/>
              <w:autoSpaceDE w:val="0"/>
              <w:autoSpaceDN w:val="0"/>
              <w:adjustRightInd w:val="0"/>
              <w:textAlignment w:val="center"/>
              <w:rPr>
                <w:b/>
                <w:szCs w:val="24"/>
              </w:rPr>
            </w:pPr>
          </w:p>
        </w:tc>
      </w:tr>
      <w:tr w:rsidR="001C37F0" w:rsidRPr="002E3691" w:rsidTr="00B3122A">
        <w:tblPrEx>
          <w:tblLook w:val="00A0" w:firstRow="1" w:lastRow="0" w:firstColumn="1" w:lastColumn="0" w:noHBand="0" w:noVBand="0"/>
        </w:tblPrEx>
        <w:trPr>
          <w:gridBefore w:val="1"/>
          <w:wBefore w:w="1984" w:type="dxa"/>
        </w:trPr>
        <w:tc>
          <w:tcPr>
            <w:tcW w:w="497" w:type="dxa"/>
          </w:tcPr>
          <w:p w:rsidR="001C37F0" w:rsidRPr="002E3691" w:rsidRDefault="001C37F0" w:rsidP="00381D02">
            <w:pPr>
              <w:tabs>
                <w:tab w:val="left" w:pos="1701"/>
              </w:tabs>
              <w:rPr>
                <w:b/>
                <w:snapToGrid w:val="0"/>
              </w:rPr>
            </w:pPr>
            <w:r w:rsidRPr="002E3691">
              <w:rPr>
                <w:b/>
                <w:snapToGrid w:val="0"/>
              </w:rPr>
              <w:t>§ 2</w:t>
            </w:r>
          </w:p>
        </w:tc>
        <w:tc>
          <w:tcPr>
            <w:tcW w:w="7372" w:type="dxa"/>
            <w:gridSpan w:val="15"/>
          </w:tcPr>
          <w:p w:rsidR="001C37F0" w:rsidRPr="002E3691" w:rsidRDefault="001C37F0" w:rsidP="006E15A7">
            <w:pPr>
              <w:widowControl/>
              <w:autoSpaceDE w:val="0"/>
              <w:autoSpaceDN w:val="0"/>
              <w:adjustRightInd w:val="0"/>
              <w:textAlignment w:val="center"/>
              <w:rPr>
                <w:b/>
                <w:szCs w:val="26"/>
              </w:rPr>
            </w:pPr>
            <w:r w:rsidRPr="002E3691">
              <w:rPr>
                <w:b/>
                <w:szCs w:val="26"/>
              </w:rPr>
              <w:t>Justering av protokoll</w:t>
            </w:r>
          </w:p>
          <w:p w:rsidR="001C37F0" w:rsidRPr="002E3691" w:rsidRDefault="001C37F0" w:rsidP="006E15A7">
            <w:pPr>
              <w:widowControl/>
              <w:autoSpaceDE w:val="0"/>
              <w:autoSpaceDN w:val="0"/>
              <w:adjustRightInd w:val="0"/>
              <w:textAlignment w:val="center"/>
              <w:rPr>
                <w:b/>
                <w:szCs w:val="26"/>
              </w:rPr>
            </w:pPr>
          </w:p>
          <w:p w:rsidR="001C37F0" w:rsidRPr="002E3691" w:rsidRDefault="001C37F0" w:rsidP="006E15A7">
            <w:pPr>
              <w:widowControl/>
              <w:autoSpaceDE w:val="0"/>
              <w:autoSpaceDN w:val="0"/>
              <w:adjustRightInd w:val="0"/>
              <w:textAlignment w:val="center"/>
              <w:rPr>
                <w:szCs w:val="26"/>
              </w:rPr>
            </w:pPr>
            <w:r w:rsidRPr="002E3691">
              <w:rPr>
                <w:szCs w:val="26"/>
              </w:rPr>
              <w:t>Utskottet justerade protokoll 2020/21:</w:t>
            </w:r>
            <w:r w:rsidR="00EB2841">
              <w:rPr>
                <w:szCs w:val="26"/>
              </w:rPr>
              <w:t>3</w:t>
            </w:r>
            <w:r w:rsidRPr="002E3691">
              <w:rPr>
                <w:szCs w:val="26"/>
              </w:rPr>
              <w:t>.</w:t>
            </w:r>
          </w:p>
          <w:p w:rsidR="001C37F0" w:rsidRPr="002E3691" w:rsidRDefault="001C37F0" w:rsidP="006E15A7">
            <w:pPr>
              <w:widowControl/>
              <w:autoSpaceDE w:val="0"/>
              <w:autoSpaceDN w:val="0"/>
              <w:adjustRightInd w:val="0"/>
              <w:textAlignment w:val="center"/>
              <w:rPr>
                <w:b/>
                <w:szCs w:val="26"/>
              </w:rPr>
            </w:pPr>
          </w:p>
        </w:tc>
      </w:tr>
      <w:tr w:rsidR="005C2083" w:rsidRPr="002E3691" w:rsidTr="00B3122A">
        <w:tblPrEx>
          <w:tblLook w:val="00A0" w:firstRow="1" w:lastRow="0" w:firstColumn="1" w:lastColumn="0" w:noHBand="0" w:noVBand="0"/>
        </w:tblPrEx>
        <w:trPr>
          <w:gridBefore w:val="1"/>
          <w:wBefore w:w="1984" w:type="dxa"/>
        </w:trPr>
        <w:tc>
          <w:tcPr>
            <w:tcW w:w="497" w:type="dxa"/>
          </w:tcPr>
          <w:p w:rsidR="005C2083" w:rsidRPr="002E3691" w:rsidRDefault="00E33CF6" w:rsidP="00381D02">
            <w:pPr>
              <w:tabs>
                <w:tab w:val="left" w:pos="1701"/>
              </w:tabs>
              <w:rPr>
                <w:b/>
                <w:snapToGrid w:val="0"/>
              </w:rPr>
            </w:pPr>
            <w:r w:rsidRPr="002E3691">
              <w:rPr>
                <w:b/>
                <w:snapToGrid w:val="0"/>
              </w:rPr>
              <w:t xml:space="preserve">§ </w:t>
            </w:r>
            <w:r w:rsidR="001C37F0" w:rsidRPr="002E3691">
              <w:rPr>
                <w:b/>
                <w:snapToGrid w:val="0"/>
              </w:rPr>
              <w:t>3</w:t>
            </w:r>
          </w:p>
        </w:tc>
        <w:tc>
          <w:tcPr>
            <w:tcW w:w="7372" w:type="dxa"/>
            <w:gridSpan w:val="15"/>
          </w:tcPr>
          <w:p w:rsidR="00EB2841" w:rsidRPr="00EB2841" w:rsidRDefault="00EB2841" w:rsidP="0068382F">
            <w:pPr>
              <w:widowControl/>
              <w:autoSpaceDE w:val="0"/>
              <w:autoSpaceDN w:val="0"/>
              <w:adjustRightInd w:val="0"/>
              <w:textAlignment w:val="center"/>
              <w:rPr>
                <w:szCs w:val="24"/>
                <w:u w:val="single"/>
              </w:rPr>
            </w:pPr>
            <w:r w:rsidRPr="00EB2841">
              <w:rPr>
                <w:b/>
                <w:szCs w:val="24"/>
              </w:rPr>
              <w:t>Riksrevisionens rapport om effektiviteten i förmedlings-</w:t>
            </w:r>
          </w:p>
          <w:p w:rsidR="00EB2841" w:rsidRDefault="00EB2841" w:rsidP="00EB2841">
            <w:pPr>
              <w:widowControl/>
              <w:autoSpaceDE w:val="0"/>
              <w:autoSpaceDN w:val="0"/>
              <w:adjustRightInd w:val="0"/>
              <w:textAlignment w:val="center"/>
              <w:rPr>
                <w:b/>
                <w:szCs w:val="24"/>
              </w:rPr>
            </w:pPr>
            <w:r w:rsidRPr="00D40F1F">
              <w:rPr>
                <w:b/>
                <w:szCs w:val="24"/>
              </w:rPr>
              <w:t>verksamheten</w:t>
            </w:r>
            <w:r>
              <w:rPr>
                <w:b/>
                <w:szCs w:val="24"/>
              </w:rPr>
              <w:t xml:space="preserve"> (</w:t>
            </w:r>
            <w:r w:rsidRPr="00D40F1F">
              <w:rPr>
                <w:b/>
                <w:szCs w:val="24"/>
              </w:rPr>
              <w:t>AU3)</w:t>
            </w:r>
          </w:p>
          <w:p w:rsidR="00EB2841" w:rsidRDefault="00EB2841" w:rsidP="00EB2841">
            <w:pPr>
              <w:widowControl/>
              <w:autoSpaceDE w:val="0"/>
              <w:autoSpaceDN w:val="0"/>
              <w:adjustRightInd w:val="0"/>
              <w:textAlignment w:val="center"/>
              <w:rPr>
                <w:szCs w:val="24"/>
              </w:rPr>
            </w:pPr>
          </w:p>
          <w:p w:rsidR="008743DA" w:rsidRPr="00EB2841" w:rsidRDefault="00787446" w:rsidP="00EB2841">
            <w:pPr>
              <w:widowControl/>
              <w:autoSpaceDE w:val="0"/>
              <w:autoSpaceDN w:val="0"/>
              <w:adjustRightInd w:val="0"/>
              <w:textAlignment w:val="center"/>
              <w:rPr>
                <w:b/>
                <w:szCs w:val="24"/>
              </w:rPr>
            </w:pPr>
            <w:r w:rsidRPr="002E3691">
              <w:rPr>
                <w:szCs w:val="24"/>
              </w:rPr>
              <w:t xml:space="preserve">Utskottet behandlade </w:t>
            </w:r>
            <w:r w:rsidR="00EB2841">
              <w:rPr>
                <w:szCs w:val="24"/>
              </w:rPr>
              <w:t>skrivelse 2019/20:192 och motion.</w:t>
            </w:r>
          </w:p>
          <w:p w:rsidR="00787446" w:rsidRPr="002E3691" w:rsidRDefault="00787446" w:rsidP="001C37F0">
            <w:pPr>
              <w:pStyle w:val="Brdtext"/>
              <w:ind w:left="-74"/>
              <w:rPr>
                <w:rFonts w:ascii="Times New Roman" w:hAnsi="Times New Roman" w:cs="Times New Roman"/>
                <w:sz w:val="24"/>
                <w:szCs w:val="24"/>
              </w:rPr>
            </w:pPr>
          </w:p>
          <w:p w:rsidR="008207FB" w:rsidRPr="008A12FC" w:rsidRDefault="008A12FC" w:rsidP="001C37F0">
            <w:pPr>
              <w:pStyle w:val="Brdtext"/>
              <w:ind w:left="-74"/>
              <w:rPr>
                <w:rFonts w:ascii="Times New Roman" w:eastAsia="Times New Roman" w:hAnsi="Times New Roman" w:cs="Times New Roman"/>
                <w:sz w:val="24"/>
                <w:szCs w:val="24"/>
                <w:lang w:eastAsia="sv-SE"/>
              </w:rPr>
            </w:pPr>
            <w:r>
              <w:rPr>
                <w:rFonts w:ascii="Times New Roman" w:hAnsi="Times New Roman" w:cs="Times New Roman"/>
                <w:sz w:val="24"/>
                <w:szCs w:val="24"/>
              </w:rPr>
              <w:t xml:space="preserve"> </w:t>
            </w:r>
            <w:r w:rsidR="00EB2841" w:rsidRPr="008A12FC">
              <w:rPr>
                <w:rFonts w:ascii="Times New Roman" w:eastAsia="Times New Roman" w:hAnsi="Times New Roman" w:cs="Times New Roman"/>
                <w:sz w:val="24"/>
                <w:szCs w:val="24"/>
                <w:lang w:eastAsia="sv-SE"/>
              </w:rPr>
              <w:t>Ärendet bordlades.</w:t>
            </w:r>
          </w:p>
          <w:p w:rsidR="001C37F0" w:rsidRPr="002E3691" w:rsidRDefault="001C37F0" w:rsidP="001C37F0">
            <w:pPr>
              <w:pStyle w:val="Brdtext"/>
              <w:ind w:left="-72"/>
              <w:rPr>
                <w:rFonts w:ascii="Times New Roman" w:hAnsi="Times New Roman" w:cs="Times New Roman"/>
                <w:b/>
                <w:szCs w:val="26"/>
              </w:rPr>
            </w:pPr>
          </w:p>
        </w:tc>
      </w:tr>
      <w:tr w:rsidR="001C37F0" w:rsidRPr="002E3691" w:rsidTr="00B3122A">
        <w:tblPrEx>
          <w:tblLook w:val="00A0" w:firstRow="1" w:lastRow="0" w:firstColumn="1" w:lastColumn="0" w:noHBand="0" w:noVBand="0"/>
        </w:tblPrEx>
        <w:trPr>
          <w:gridBefore w:val="1"/>
          <w:wBefore w:w="1984" w:type="dxa"/>
        </w:trPr>
        <w:tc>
          <w:tcPr>
            <w:tcW w:w="497" w:type="dxa"/>
          </w:tcPr>
          <w:p w:rsidR="001C37F0" w:rsidRPr="002E3691" w:rsidRDefault="001C37F0" w:rsidP="001C37F0">
            <w:pPr>
              <w:tabs>
                <w:tab w:val="left" w:pos="1701"/>
              </w:tabs>
              <w:rPr>
                <w:b/>
                <w:snapToGrid w:val="0"/>
              </w:rPr>
            </w:pPr>
            <w:r w:rsidRPr="002E3691">
              <w:rPr>
                <w:b/>
                <w:snapToGrid w:val="0"/>
              </w:rPr>
              <w:t>§ 4</w:t>
            </w:r>
          </w:p>
        </w:tc>
        <w:tc>
          <w:tcPr>
            <w:tcW w:w="7372" w:type="dxa"/>
            <w:gridSpan w:val="15"/>
          </w:tcPr>
          <w:p w:rsidR="00EB2841" w:rsidRPr="00EB2841" w:rsidRDefault="00EB2841" w:rsidP="0068382F">
            <w:pPr>
              <w:widowControl/>
              <w:autoSpaceDE w:val="0"/>
              <w:autoSpaceDN w:val="0"/>
              <w:adjustRightInd w:val="0"/>
              <w:textAlignment w:val="center"/>
              <w:rPr>
                <w:b/>
                <w:szCs w:val="24"/>
              </w:rPr>
            </w:pPr>
            <w:r w:rsidRPr="00EB2841">
              <w:rPr>
                <w:b/>
                <w:szCs w:val="24"/>
              </w:rPr>
              <w:t>ILO:s hundraårsdeklaration för framtidens arbetsliv (AU4)</w:t>
            </w:r>
          </w:p>
          <w:p w:rsidR="00B3122A" w:rsidRDefault="00B3122A" w:rsidP="00EB2841">
            <w:pPr>
              <w:widowControl/>
              <w:autoSpaceDE w:val="0"/>
              <w:autoSpaceDN w:val="0"/>
              <w:adjustRightInd w:val="0"/>
              <w:textAlignment w:val="center"/>
              <w:rPr>
                <w:b/>
                <w:szCs w:val="26"/>
              </w:rPr>
            </w:pPr>
          </w:p>
          <w:p w:rsidR="00EB2841" w:rsidRPr="00EB2841" w:rsidRDefault="00EB2841" w:rsidP="00EB2841">
            <w:pPr>
              <w:widowControl/>
              <w:autoSpaceDE w:val="0"/>
              <w:autoSpaceDN w:val="0"/>
              <w:adjustRightInd w:val="0"/>
              <w:textAlignment w:val="center"/>
              <w:rPr>
                <w:b/>
                <w:szCs w:val="24"/>
              </w:rPr>
            </w:pPr>
            <w:r w:rsidRPr="002E3691">
              <w:rPr>
                <w:szCs w:val="24"/>
              </w:rPr>
              <w:t xml:space="preserve">Utskottet behandlade </w:t>
            </w:r>
            <w:r>
              <w:rPr>
                <w:szCs w:val="24"/>
              </w:rPr>
              <w:t>skrivelse 2019/20:202.</w:t>
            </w:r>
          </w:p>
          <w:p w:rsidR="00EB2841" w:rsidRPr="002E3691" w:rsidRDefault="00EB2841" w:rsidP="00EB2841">
            <w:pPr>
              <w:pStyle w:val="Brdtext"/>
              <w:ind w:left="-74"/>
              <w:rPr>
                <w:rFonts w:ascii="Times New Roman" w:hAnsi="Times New Roman" w:cs="Times New Roman"/>
                <w:sz w:val="24"/>
                <w:szCs w:val="24"/>
              </w:rPr>
            </w:pPr>
          </w:p>
          <w:p w:rsidR="00EB2841" w:rsidRPr="002E3691" w:rsidRDefault="00EB2841" w:rsidP="00EB2841">
            <w:pPr>
              <w:pStyle w:val="Brdtext"/>
              <w:ind w:left="-74"/>
              <w:rPr>
                <w:rFonts w:ascii="Times New Roman" w:hAnsi="Times New Roman" w:cs="Times New Roman"/>
                <w:sz w:val="24"/>
                <w:szCs w:val="24"/>
              </w:rPr>
            </w:pPr>
            <w:r>
              <w:rPr>
                <w:rFonts w:ascii="Times New Roman" w:hAnsi="Times New Roman" w:cs="Times New Roman"/>
                <w:sz w:val="24"/>
                <w:szCs w:val="24"/>
              </w:rPr>
              <w:t>Ärendet bordlades.</w:t>
            </w:r>
          </w:p>
          <w:p w:rsidR="00B04FAE" w:rsidRPr="002E3691" w:rsidRDefault="00B04FAE" w:rsidP="00787446">
            <w:pPr>
              <w:widowControl/>
              <w:autoSpaceDE w:val="0"/>
              <w:autoSpaceDN w:val="0"/>
              <w:adjustRightInd w:val="0"/>
              <w:textAlignment w:val="center"/>
            </w:pPr>
          </w:p>
        </w:tc>
      </w:tr>
      <w:tr w:rsidR="001C37F0" w:rsidRPr="002E3691" w:rsidTr="00B3122A">
        <w:tblPrEx>
          <w:tblLook w:val="00A0" w:firstRow="1" w:lastRow="0" w:firstColumn="1" w:lastColumn="0" w:noHBand="0" w:noVBand="0"/>
        </w:tblPrEx>
        <w:trPr>
          <w:gridBefore w:val="1"/>
          <w:wBefore w:w="1984" w:type="dxa"/>
        </w:trPr>
        <w:tc>
          <w:tcPr>
            <w:tcW w:w="497" w:type="dxa"/>
          </w:tcPr>
          <w:p w:rsidR="001C37F0" w:rsidRPr="002E3691" w:rsidRDefault="001C37F0" w:rsidP="001C37F0">
            <w:pPr>
              <w:tabs>
                <w:tab w:val="left" w:pos="1701"/>
              </w:tabs>
              <w:ind w:right="-65"/>
              <w:rPr>
                <w:b/>
                <w:snapToGrid w:val="0"/>
              </w:rPr>
            </w:pPr>
            <w:r w:rsidRPr="002E3691">
              <w:rPr>
                <w:b/>
                <w:snapToGrid w:val="0"/>
              </w:rPr>
              <w:t>§ 5</w:t>
            </w:r>
          </w:p>
        </w:tc>
        <w:tc>
          <w:tcPr>
            <w:tcW w:w="7372" w:type="dxa"/>
            <w:gridSpan w:val="15"/>
          </w:tcPr>
          <w:p w:rsidR="001C37F0" w:rsidRDefault="00EB2841" w:rsidP="001C37F0">
            <w:pPr>
              <w:widowControl/>
              <w:autoSpaceDE w:val="0"/>
              <w:autoSpaceDN w:val="0"/>
              <w:adjustRightInd w:val="0"/>
              <w:textAlignment w:val="center"/>
              <w:rPr>
                <w:b/>
                <w:szCs w:val="22"/>
              </w:rPr>
            </w:pPr>
            <w:r w:rsidRPr="00960FC3">
              <w:rPr>
                <w:b/>
                <w:szCs w:val="22"/>
              </w:rPr>
              <w:t>Förslag till ändring av direktivet om skydd för arbetstagare mot risker vid exponering för carcinogener eller mutagena ämnen i arbetet (fjärde revideringen)</w:t>
            </w:r>
          </w:p>
          <w:p w:rsidR="0068382F" w:rsidRPr="002E3691" w:rsidRDefault="0068382F" w:rsidP="001C37F0">
            <w:pPr>
              <w:widowControl/>
              <w:autoSpaceDE w:val="0"/>
              <w:autoSpaceDN w:val="0"/>
              <w:adjustRightInd w:val="0"/>
              <w:textAlignment w:val="center"/>
              <w:rPr>
                <w:b/>
                <w:szCs w:val="26"/>
              </w:rPr>
            </w:pPr>
          </w:p>
          <w:p w:rsidR="00787446" w:rsidRDefault="00E11D7B" w:rsidP="00A02D82">
            <w:r>
              <w:t xml:space="preserve">Utskottet inledde subsidiaritetsprövning av </w:t>
            </w:r>
            <w:proofErr w:type="gramStart"/>
            <w:r>
              <w:t>COM(</w:t>
            </w:r>
            <w:proofErr w:type="gramEnd"/>
            <w:r>
              <w:t xml:space="preserve">2020) 571. </w:t>
            </w:r>
          </w:p>
          <w:p w:rsidR="00E11D7B" w:rsidRDefault="00E11D7B" w:rsidP="00A02D82"/>
          <w:p w:rsidR="00E11D7B" w:rsidRDefault="00E11D7B" w:rsidP="00A02D82">
            <w:r>
              <w:t xml:space="preserve">Utskottet </w:t>
            </w:r>
            <w:r w:rsidR="00A54FEE">
              <w:t>beslutade att begära information om regeringens bedömning i subsidiaritetsfrågan</w:t>
            </w:r>
            <w:r>
              <w:t>.</w:t>
            </w:r>
          </w:p>
          <w:p w:rsidR="00A54FEE" w:rsidRDefault="00A54FEE" w:rsidP="00A02D82"/>
          <w:p w:rsidR="00A54FEE" w:rsidRDefault="00A54FEE" w:rsidP="00A02D82">
            <w:r>
              <w:t>Ärendet bordlades.</w:t>
            </w:r>
          </w:p>
          <w:p w:rsidR="00E11D7B" w:rsidRPr="002E3691" w:rsidRDefault="00E11D7B" w:rsidP="00A02D82"/>
          <w:p w:rsidR="00787446" w:rsidRPr="002E3691" w:rsidRDefault="00787446" w:rsidP="00A02D82">
            <w:r w:rsidRPr="002E3691">
              <w:t>Denna paragraf förklarades omedelbart justerad.</w:t>
            </w:r>
          </w:p>
          <w:p w:rsidR="001C37F0" w:rsidRPr="002E3691" w:rsidRDefault="001C37F0" w:rsidP="00787446">
            <w:pPr>
              <w:widowControl/>
              <w:autoSpaceDE w:val="0"/>
              <w:autoSpaceDN w:val="0"/>
              <w:adjustRightInd w:val="0"/>
              <w:textAlignment w:val="center"/>
            </w:pPr>
          </w:p>
        </w:tc>
      </w:tr>
      <w:tr w:rsidR="001C37F0" w:rsidRPr="002E3691" w:rsidTr="00B3122A">
        <w:tblPrEx>
          <w:tblLook w:val="00A0" w:firstRow="1" w:lastRow="0" w:firstColumn="1" w:lastColumn="0" w:noHBand="0" w:noVBand="0"/>
        </w:tblPrEx>
        <w:trPr>
          <w:gridBefore w:val="1"/>
          <w:wBefore w:w="1984" w:type="dxa"/>
        </w:trPr>
        <w:tc>
          <w:tcPr>
            <w:tcW w:w="497" w:type="dxa"/>
          </w:tcPr>
          <w:p w:rsidR="001C37F0" w:rsidRPr="002E3691" w:rsidRDefault="001C37F0" w:rsidP="001C37F0">
            <w:pPr>
              <w:tabs>
                <w:tab w:val="left" w:pos="1701"/>
              </w:tabs>
              <w:rPr>
                <w:b/>
                <w:snapToGrid w:val="0"/>
              </w:rPr>
            </w:pPr>
            <w:r w:rsidRPr="002E3691">
              <w:rPr>
                <w:b/>
                <w:snapToGrid w:val="0"/>
              </w:rPr>
              <w:t>§ 6</w:t>
            </w:r>
          </w:p>
        </w:tc>
        <w:tc>
          <w:tcPr>
            <w:tcW w:w="7372" w:type="dxa"/>
            <w:gridSpan w:val="15"/>
          </w:tcPr>
          <w:p w:rsidR="001C37F0" w:rsidRPr="002E3691" w:rsidRDefault="00787446" w:rsidP="001C37F0">
            <w:pPr>
              <w:widowControl/>
              <w:autoSpaceDE w:val="0"/>
              <w:autoSpaceDN w:val="0"/>
              <w:adjustRightInd w:val="0"/>
              <w:textAlignment w:val="center"/>
              <w:rPr>
                <w:b/>
                <w:szCs w:val="26"/>
              </w:rPr>
            </w:pPr>
            <w:r w:rsidRPr="002E3691">
              <w:rPr>
                <w:b/>
                <w:szCs w:val="24"/>
              </w:rPr>
              <w:t xml:space="preserve">Information från </w:t>
            </w:r>
            <w:r w:rsidR="003E4D56">
              <w:rPr>
                <w:b/>
                <w:szCs w:val="24"/>
              </w:rPr>
              <w:t>Konjunkturinstitutet</w:t>
            </w:r>
          </w:p>
          <w:p w:rsidR="0068382F" w:rsidRDefault="0068382F" w:rsidP="008207FB">
            <w:pPr>
              <w:pStyle w:val="Brdtext"/>
              <w:ind w:left="-72"/>
              <w:rPr>
                <w:rFonts w:ascii="Times New Roman" w:hAnsi="Times New Roman" w:cs="Times New Roman"/>
                <w:szCs w:val="26"/>
              </w:rPr>
            </w:pPr>
          </w:p>
          <w:p w:rsidR="0077708C" w:rsidRDefault="0068382F" w:rsidP="00A02D82">
            <w:r w:rsidRPr="00025506">
              <w:t xml:space="preserve">Prognoschef Ylva Hedén Westerdahl </w:t>
            </w:r>
            <w:r w:rsidR="00C83C7D" w:rsidRPr="00025506">
              <w:t>och</w:t>
            </w:r>
            <w:r w:rsidR="00C83C7D">
              <w:t xml:space="preserve"> ekonom Valter Hultén</w:t>
            </w:r>
            <w:r w:rsidR="00C83C7D" w:rsidRPr="00025506">
              <w:t xml:space="preserve"> </w:t>
            </w:r>
            <w:r w:rsidRPr="00025506">
              <w:t xml:space="preserve">informerade om Konjunkturläget </w:t>
            </w:r>
            <w:r w:rsidR="00B3122A">
              <w:t xml:space="preserve">oktober </w:t>
            </w:r>
            <w:r w:rsidRPr="00025506">
              <w:t xml:space="preserve">2020 </w:t>
            </w:r>
            <w:r w:rsidR="00C83C7D">
              <w:t>och o</w:t>
            </w:r>
            <w:r w:rsidRPr="00025506">
              <w:t xml:space="preserve">m Lönebildningsrapporten 2020. </w:t>
            </w:r>
          </w:p>
          <w:p w:rsidR="00025506" w:rsidRPr="00025506" w:rsidRDefault="00025506" w:rsidP="008207FB">
            <w:pPr>
              <w:pStyle w:val="Brdtext"/>
              <w:ind w:left="-72"/>
              <w:rPr>
                <w:rFonts w:ascii="Times New Roman" w:hAnsi="Times New Roman" w:cs="Times New Roman"/>
                <w:b/>
                <w:sz w:val="24"/>
                <w:szCs w:val="24"/>
              </w:rPr>
            </w:pPr>
          </w:p>
        </w:tc>
      </w:tr>
      <w:tr w:rsidR="0068382F" w:rsidRPr="002E3691" w:rsidTr="00B3122A">
        <w:tblPrEx>
          <w:tblLook w:val="00A0" w:firstRow="1" w:lastRow="0" w:firstColumn="1" w:lastColumn="0" w:noHBand="0" w:noVBand="0"/>
        </w:tblPrEx>
        <w:trPr>
          <w:gridBefore w:val="1"/>
          <w:wBefore w:w="1984" w:type="dxa"/>
        </w:trPr>
        <w:tc>
          <w:tcPr>
            <w:tcW w:w="497" w:type="dxa"/>
          </w:tcPr>
          <w:p w:rsidR="0068382F" w:rsidRPr="002E3691" w:rsidRDefault="0068382F" w:rsidP="001C37F0">
            <w:pPr>
              <w:tabs>
                <w:tab w:val="left" w:pos="1701"/>
              </w:tabs>
              <w:ind w:right="-65"/>
              <w:rPr>
                <w:b/>
                <w:snapToGrid w:val="0"/>
              </w:rPr>
            </w:pPr>
            <w:r>
              <w:rPr>
                <w:b/>
                <w:snapToGrid w:val="0"/>
              </w:rPr>
              <w:lastRenderedPageBreak/>
              <w:t>§ 7</w:t>
            </w:r>
          </w:p>
        </w:tc>
        <w:tc>
          <w:tcPr>
            <w:tcW w:w="7372" w:type="dxa"/>
            <w:gridSpan w:val="15"/>
          </w:tcPr>
          <w:p w:rsidR="0068382F" w:rsidRDefault="00A54FEE" w:rsidP="0068382F">
            <w:pPr>
              <w:widowControl/>
              <w:autoSpaceDE w:val="0"/>
              <w:autoSpaceDN w:val="0"/>
              <w:adjustRightInd w:val="0"/>
              <w:textAlignment w:val="center"/>
              <w:rPr>
                <w:b/>
                <w:szCs w:val="22"/>
              </w:rPr>
            </w:pPr>
            <w:r>
              <w:rPr>
                <w:b/>
                <w:szCs w:val="22"/>
              </w:rPr>
              <w:t>Aviserat</w:t>
            </w:r>
            <w:r w:rsidR="0068382F" w:rsidRPr="0068382F">
              <w:rPr>
                <w:b/>
                <w:szCs w:val="22"/>
              </w:rPr>
              <w:t xml:space="preserve"> förslag om lönetransparens</w:t>
            </w:r>
          </w:p>
          <w:p w:rsidR="0068382F" w:rsidRDefault="0068382F" w:rsidP="0068382F">
            <w:pPr>
              <w:widowControl/>
              <w:autoSpaceDE w:val="0"/>
              <w:autoSpaceDN w:val="0"/>
              <w:adjustRightInd w:val="0"/>
              <w:textAlignment w:val="center"/>
              <w:rPr>
                <w:b/>
                <w:szCs w:val="22"/>
              </w:rPr>
            </w:pPr>
          </w:p>
          <w:p w:rsidR="0068382F" w:rsidRDefault="0068382F" w:rsidP="0068382F">
            <w:pPr>
              <w:widowControl/>
              <w:autoSpaceDE w:val="0"/>
              <w:autoSpaceDN w:val="0"/>
              <w:adjustRightInd w:val="0"/>
              <w:textAlignment w:val="center"/>
              <w:rPr>
                <w:szCs w:val="22"/>
              </w:rPr>
            </w:pPr>
            <w:r>
              <w:rPr>
                <w:szCs w:val="22"/>
              </w:rPr>
              <w:t>Utskottet överlade med jämställdhetsminister Åsa Lindhagen, åtföljd av medarbetare från Arbetsmarknadsdepartementet.</w:t>
            </w:r>
          </w:p>
          <w:p w:rsidR="00A54FEE" w:rsidRDefault="00A54FEE" w:rsidP="0068382F">
            <w:pPr>
              <w:widowControl/>
              <w:autoSpaceDE w:val="0"/>
              <w:autoSpaceDN w:val="0"/>
              <w:adjustRightInd w:val="0"/>
              <w:textAlignment w:val="center"/>
              <w:rPr>
                <w:szCs w:val="22"/>
              </w:rPr>
            </w:pPr>
          </w:p>
          <w:p w:rsidR="0068382F" w:rsidRDefault="0068382F" w:rsidP="0068382F">
            <w:pPr>
              <w:widowControl/>
              <w:autoSpaceDE w:val="0"/>
              <w:autoSpaceDN w:val="0"/>
              <w:adjustRightInd w:val="0"/>
              <w:textAlignment w:val="center"/>
              <w:rPr>
                <w:szCs w:val="22"/>
              </w:rPr>
            </w:pPr>
            <w:r>
              <w:rPr>
                <w:szCs w:val="22"/>
              </w:rPr>
              <w:t xml:space="preserve">Underlaget utgjordes av Regeringskansliets </w:t>
            </w:r>
            <w:r w:rsidR="00A54FEE">
              <w:rPr>
                <w:szCs w:val="22"/>
              </w:rPr>
              <w:t xml:space="preserve">reviderade </w:t>
            </w:r>
            <w:r>
              <w:rPr>
                <w:szCs w:val="22"/>
              </w:rPr>
              <w:t xml:space="preserve">överläggningspromemoria (dnr </w:t>
            </w:r>
            <w:r w:rsidR="00B3122A">
              <w:rPr>
                <w:szCs w:val="22"/>
              </w:rPr>
              <w:t>250–</w:t>
            </w:r>
            <w:r>
              <w:rPr>
                <w:szCs w:val="22"/>
              </w:rPr>
              <w:t xml:space="preserve">2020/21). </w:t>
            </w:r>
          </w:p>
          <w:p w:rsidR="0068382F" w:rsidRDefault="0068382F" w:rsidP="0068382F">
            <w:pPr>
              <w:widowControl/>
              <w:autoSpaceDE w:val="0"/>
              <w:autoSpaceDN w:val="0"/>
              <w:adjustRightInd w:val="0"/>
              <w:textAlignment w:val="center"/>
              <w:rPr>
                <w:szCs w:val="22"/>
              </w:rPr>
            </w:pPr>
          </w:p>
          <w:p w:rsidR="0068382F" w:rsidRDefault="0068382F" w:rsidP="0068382F">
            <w:pPr>
              <w:widowControl/>
              <w:autoSpaceDE w:val="0"/>
              <w:autoSpaceDN w:val="0"/>
              <w:adjustRightInd w:val="0"/>
              <w:textAlignment w:val="center"/>
              <w:rPr>
                <w:szCs w:val="22"/>
              </w:rPr>
            </w:pPr>
            <w:r>
              <w:rPr>
                <w:szCs w:val="22"/>
              </w:rPr>
              <w:t>Jämställdhetsministern redogjorde för regeringens ståndpunkt i enlighet med överläggningspromemoria</w:t>
            </w:r>
            <w:r w:rsidR="00131339">
              <w:rPr>
                <w:szCs w:val="22"/>
              </w:rPr>
              <w:t>n</w:t>
            </w:r>
            <w:r>
              <w:rPr>
                <w:szCs w:val="22"/>
              </w:rPr>
              <w:t xml:space="preserve"> (bilaga </w:t>
            </w:r>
            <w:r w:rsidR="00B3122A">
              <w:rPr>
                <w:szCs w:val="22"/>
              </w:rPr>
              <w:t>2</w:t>
            </w:r>
            <w:r>
              <w:rPr>
                <w:szCs w:val="22"/>
              </w:rPr>
              <w:t>).</w:t>
            </w:r>
          </w:p>
          <w:p w:rsidR="0068382F" w:rsidRDefault="0068382F" w:rsidP="0068382F">
            <w:pPr>
              <w:widowControl/>
              <w:autoSpaceDE w:val="0"/>
              <w:autoSpaceDN w:val="0"/>
              <w:adjustRightInd w:val="0"/>
              <w:textAlignment w:val="center"/>
              <w:rPr>
                <w:szCs w:val="22"/>
              </w:rPr>
            </w:pPr>
          </w:p>
          <w:p w:rsidR="0068382F" w:rsidRDefault="0068382F" w:rsidP="0068382F">
            <w:pPr>
              <w:widowControl/>
              <w:autoSpaceDE w:val="0"/>
              <w:autoSpaceDN w:val="0"/>
              <w:adjustRightInd w:val="0"/>
              <w:textAlignment w:val="center"/>
              <w:rPr>
                <w:szCs w:val="22"/>
              </w:rPr>
            </w:pPr>
            <w:r>
              <w:rPr>
                <w:szCs w:val="22"/>
              </w:rPr>
              <w:t>Ordföranden konstaterade att det fanns stöd för regeringens ståndpunkt.</w:t>
            </w:r>
          </w:p>
          <w:p w:rsidR="00A54FEE" w:rsidRDefault="00A54FEE" w:rsidP="0068382F">
            <w:pPr>
              <w:widowControl/>
              <w:autoSpaceDE w:val="0"/>
              <w:autoSpaceDN w:val="0"/>
              <w:adjustRightInd w:val="0"/>
              <w:textAlignment w:val="center"/>
              <w:rPr>
                <w:szCs w:val="22"/>
              </w:rPr>
            </w:pPr>
          </w:p>
          <w:p w:rsidR="00A54FEE" w:rsidRDefault="00A54FEE" w:rsidP="0068382F">
            <w:pPr>
              <w:widowControl/>
              <w:autoSpaceDE w:val="0"/>
              <w:autoSpaceDN w:val="0"/>
              <w:adjustRightInd w:val="0"/>
              <w:textAlignment w:val="center"/>
              <w:rPr>
                <w:szCs w:val="22"/>
              </w:rPr>
            </w:pPr>
            <w:r>
              <w:rPr>
                <w:szCs w:val="22"/>
              </w:rPr>
              <w:t>M-, SD- och KD-ledamöterna anmälde den avvikande ståndpunkt som framgår av bilaga 3.</w:t>
            </w:r>
          </w:p>
          <w:p w:rsidR="0068382F" w:rsidRDefault="0068382F" w:rsidP="0068382F">
            <w:pPr>
              <w:widowControl/>
              <w:autoSpaceDE w:val="0"/>
              <w:autoSpaceDN w:val="0"/>
              <w:adjustRightInd w:val="0"/>
              <w:textAlignment w:val="center"/>
              <w:rPr>
                <w:szCs w:val="22"/>
              </w:rPr>
            </w:pPr>
          </w:p>
          <w:p w:rsidR="0068382F" w:rsidRPr="0068382F" w:rsidRDefault="0068382F" w:rsidP="0068382F">
            <w:pPr>
              <w:widowControl/>
              <w:autoSpaceDE w:val="0"/>
              <w:autoSpaceDN w:val="0"/>
              <w:adjustRightInd w:val="0"/>
              <w:textAlignment w:val="center"/>
              <w:rPr>
                <w:szCs w:val="22"/>
              </w:rPr>
            </w:pPr>
            <w:r>
              <w:rPr>
                <w:szCs w:val="22"/>
              </w:rPr>
              <w:t>Denna paragraf förklarades omedelbart justerad.</w:t>
            </w:r>
          </w:p>
          <w:p w:rsidR="0068382F" w:rsidRPr="002E3691" w:rsidRDefault="0068382F" w:rsidP="001C37F0">
            <w:pPr>
              <w:widowControl/>
              <w:textAlignment w:val="center"/>
              <w:rPr>
                <w:b/>
                <w:szCs w:val="24"/>
              </w:rPr>
            </w:pPr>
          </w:p>
        </w:tc>
      </w:tr>
      <w:tr w:rsidR="00E11D7B" w:rsidRPr="002E3691" w:rsidTr="00B3122A">
        <w:tblPrEx>
          <w:tblLook w:val="00A0" w:firstRow="1" w:lastRow="0" w:firstColumn="1" w:lastColumn="0" w:noHBand="0" w:noVBand="0"/>
        </w:tblPrEx>
        <w:trPr>
          <w:gridBefore w:val="1"/>
          <w:wBefore w:w="1984" w:type="dxa"/>
        </w:trPr>
        <w:tc>
          <w:tcPr>
            <w:tcW w:w="497" w:type="dxa"/>
          </w:tcPr>
          <w:p w:rsidR="00E11D7B" w:rsidRDefault="00E11D7B" w:rsidP="00A5753F">
            <w:pPr>
              <w:tabs>
                <w:tab w:val="left" w:pos="1701"/>
              </w:tabs>
              <w:ind w:right="-65"/>
              <w:rPr>
                <w:b/>
                <w:snapToGrid w:val="0"/>
              </w:rPr>
            </w:pPr>
            <w:r>
              <w:rPr>
                <w:b/>
                <w:snapToGrid w:val="0"/>
              </w:rPr>
              <w:t>§ 8</w:t>
            </w:r>
          </w:p>
        </w:tc>
        <w:tc>
          <w:tcPr>
            <w:tcW w:w="7372" w:type="dxa"/>
            <w:gridSpan w:val="15"/>
          </w:tcPr>
          <w:p w:rsidR="00E11D7B" w:rsidRDefault="00E11D7B" w:rsidP="00A5753F">
            <w:pPr>
              <w:widowControl/>
              <w:autoSpaceDE w:val="0"/>
              <w:autoSpaceDN w:val="0"/>
              <w:adjustRightInd w:val="0"/>
              <w:textAlignment w:val="center"/>
              <w:rPr>
                <w:b/>
                <w:szCs w:val="22"/>
              </w:rPr>
            </w:pPr>
            <w:r w:rsidRPr="00A40993">
              <w:rPr>
                <w:b/>
                <w:szCs w:val="22"/>
              </w:rPr>
              <w:t>En jämlikhetsunion: EU:s handlingsplan mot rasism 2020–2025</w:t>
            </w:r>
          </w:p>
          <w:p w:rsidR="00E11D7B" w:rsidRDefault="00E11D7B" w:rsidP="00A5753F">
            <w:pPr>
              <w:widowControl/>
              <w:autoSpaceDE w:val="0"/>
              <w:autoSpaceDN w:val="0"/>
              <w:adjustRightInd w:val="0"/>
              <w:textAlignment w:val="center"/>
              <w:rPr>
                <w:b/>
                <w:szCs w:val="22"/>
              </w:rPr>
            </w:pPr>
          </w:p>
          <w:p w:rsidR="00E11D7B" w:rsidRDefault="00E11D7B" w:rsidP="00A5753F">
            <w:pPr>
              <w:widowControl/>
              <w:autoSpaceDE w:val="0"/>
              <w:autoSpaceDN w:val="0"/>
              <w:adjustRightInd w:val="0"/>
              <w:textAlignment w:val="center"/>
              <w:rPr>
                <w:szCs w:val="22"/>
              </w:rPr>
            </w:pPr>
            <w:r w:rsidRPr="00C359DD">
              <w:rPr>
                <w:szCs w:val="22"/>
              </w:rPr>
              <w:t xml:space="preserve">Jämställdhetsminister Åsa Lindhagen, åtföljd av medarbetare från Arbetsmarknadsdepartementet, informerade om </w:t>
            </w:r>
            <w:r w:rsidR="00E2762F">
              <w:rPr>
                <w:szCs w:val="22"/>
              </w:rPr>
              <w:t xml:space="preserve">kommissionens </w:t>
            </w:r>
            <w:r>
              <w:rPr>
                <w:szCs w:val="22"/>
              </w:rPr>
              <w:t xml:space="preserve">meddelande </w:t>
            </w:r>
            <w:proofErr w:type="gramStart"/>
            <w:r>
              <w:rPr>
                <w:szCs w:val="22"/>
              </w:rPr>
              <w:t>COM(</w:t>
            </w:r>
            <w:proofErr w:type="gramEnd"/>
            <w:r>
              <w:rPr>
                <w:szCs w:val="22"/>
              </w:rPr>
              <w:t>2020) 565 om en jämlikhetsunion: EU:s handlingsplan mot rasism 2020–2025.</w:t>
            </w:r>
          </w:p>
          <w:p w:rsidR="00E11D7B" w:rsidRPr="00C359DD" w:rsidRDefault="00E11D7B" w:rsidP="00A5753F">
            <w:pPr>
              <w:widowControl/>
              <w:autoSpaceDE w:val="0"/>
              <w:autoSpaceDN w:val="0"/>
              <w:adjustRightInd w:val="0"/>
              <w:textAlignment w:val="center"/>
              <w:rPr>
                <w:szCs w:val="22"/>
              </w:rPr>
            </w:pPr>
          </w:p>
        </w:tc>
      </w:tr>
      <w:tr w:rsidR="0068382F" w:rsidRPr="002E3691" w:rsidTr="00B3122A">
        <w:tblPrEx>
          <w:tblLook w:val="00A0" w:firstRow="1" w:lastRow="0" w:firstColumn="1" w:lastColumn="0" w:noHBand="0" w:noVBand="0"/>
        </w:tblPrEx>
        <w:trPr>
          <w:gridBefore w:val="1"/>
          <w:wBefore w:w="1984" w:type="dxa"/>
        </w:trPr>
        <w:tc>
          <w:tcPr>
            <w:tcW w:w="497" w:type="dxa"/>
          </w:tcPr>
          <w:p w:rsidR="0068382F" w:rsidRDefault="0068382F" w:rsidP="001C37F0">
            <w:pPr>
              <w:tabs>
                <w:tab w:val="left" w:pos="1701"/>
              </w:tabs>
              <w:ind w:right="-65"/>
              <w:rPr>
                <w:b/>
                <w:snapToGrid w:val="0"/>
              </w:rPr>
            </w:pPr>
            <w:r>
              <w:rPr>
                <w:b/>
                <w:snapToGrid w:val="0"/>
              </w:rPr>
              <w:t xml:space="preserve">§ </w:t>
            </w:r>
            <w:r w:rsidR="00E11D7B">
              <w:rPr>
                <w:b/>
                <w:snapToGrid w:val="0"/>
              </w:rPr>
              <w:t>9</w:t>
            </w:r>
          </w:p>
        </w:tc>
        <w:tc>
          <w:tcPr>
            <w:tcW w:w="7372" w:type="dxa"/>
            <w:gridSpan w:val="15"/>
          </w:tcPr>
          <w:p w:rsidR="0068382F" w:rsidRDefault="0068382F" w:rsidP="0068382F">
            <w:pPr>
              <w:widowControl/>
              <w:autoSpaceDE w:val="0"/>
              <w:autoSpaceDN w:val="0"/>
              <w:adjustRightInd w:val="0"/>
              <w:textAlignment w:val="center"/>
              <w:rPr>
                <w:b/>
                <w:szCs w:val="22"/>
              </w:rPr>
            </w:pPr>
            <w:r w:rsidRPr="00D40F1F">
              <w:rPr>
                <w:b/>
                <w:szCs w:val="22"/>
              </w:rPr>
              <w:t xml:space="preserve">Utkast till </w:t>
            </w:r>
            <w:proofErr w:type="spellStart"/>
            <w:r w:rsidRPr="00D40F1F">
              <w:rPr>
                <w:b/>
                <w:szCs w:val="22"/>
              </w:rPr>
              <w:t>rådsslutsatser</w:t>
            </w:r>
            <w:proofErr w:type="spellEnd"/>
            <w:r w:rsidRPr="00D40F1F">
              <w:rPr>
                <w:b/>
                <w:szCs w:val="22"/>
              </w:rPr>
              <w:t xml:space="preserve"> om lönegapet mellan kvinnor och män</w:t>
            </w:r>
          </w:p>
          <w:p w:rsidR="0068382F" w:rsidRDefault="0068382F" w:rsidP="0068382F">
            <w:pPr>
              <w:widowControl/>
              <w:autoSpaceDE w:val="0"/>
              <w:autoSpaceDN w:val="0"/>
              <w:adjustRightInd w:val="0"/>
              <w:textAlignment w:val="center"/>
              <w:rPr>
                <w:b/>
                <w:szCs w:val="22"/>
              </w:rPr>
            </w:pPr>
          </w:p>
          <w:p w:rsidR="0068382F" w:rsidRDefault="0068382F" w:rsidP="0068382F">
            <w:pPr>
              <w:widowControl/>
              <w:autoSpaceDE w:val="0"/>
              <w:autoSpaceDN w:val="0"/>
              <w:adjustRightInd w:val="0"/>
              <w:textAlignment w:val="center"/>
              <w:rPr>
                <w:szCs w:val="22"/>
              </w:rPr>
            </w:pPr>
            <w:r>
              <w:rPr>
                <w:szCs w:val="22"/>
              </w:rPr>
              <w:t>Utskottet överlade med jämställdhetsminister Åsa Lindhagen, åtföljd av medarbetare från Arbetsmarknadsdepartementet.</w:t>
            </w:r>
          </w:p>
          <w:p w:rsidR="0068382F" w:rsidRDefault="0068382F" w:rsidP="0068382F">
            <w:pPr>
              <w:widowControl/>
              <w:autoSpaceDE w:val="0"/>
              <w:autoSpaceDN w:val="0"/>
              <w:adjustRightInd w:val="0"/>
              <w:textAlignment w:val="center"/>
              <w:rPr>
                <w:szCs w:val="22"/>
              </w:rPr>
            </w:pPr>
          </w:p>
          <w:p w:rsidR="0068382F" w:rsidRDefault="0068382F" w:rsidP="0068382F">
            <w:pPr>
              <w:widowControl/>
              <w:autoSpaceDE w:val="0"/>
              <w:autoSpaceDN w:val="0"/>
              <w:adjustRightInd w:val="0"/>
              <w:textAlignment w:val="center"/>
              <w:rPr>
                <w:szCs w:val="22"/>
              </w:rPr>
            </w:pPr>
            <w:r>
              <w:rPr>
                <w:szCs w:val="22"/>
              </w:rPr>
              <w:t xml:space="preserve">Underlaget utgjordes av utkast till </w:t>
            </w:r>
            <w:proofErr w:type="spellStart"/>
            <w:r>
              <w:rPr>
                <w:szCs w:val="22"/>
              </w:rPr>
              <w:t>rådsslutsatser</w:t>
            </w:r>
            <w:proofErr w:type="spellEnd"/>
            <w:r>
              <w:rPr>
                <w:szCs w:val="22"/>
              </w:rPr>
              <w:t xml:space="preserve"> om lönegapet mellan kvinnor och män (dok.nr </w:t>
            </w:r>
            <w:proofErr w:type="gramStart"/>
            <w:r w:rsidR="00B3122A">
              <w:rPr>
                <w:szCs w:val="22"/>
              </w:rPr>
              <w:t>10514</w:t>
            </w:r>
            <w:proofErr w:type="gramEnd"/>
            <w:r w:rsidR="00B3122A">
              <w:rPr>
                <w:szCs w:val="22"/>
              </w:rPr>
              <w:t>/20</w:t>
            </w:r>
            <w:r>
              <w:rPr>
                <w:szCs w:val="22"/>
              </w:rPr>
              <w:t xml:space="preserve">) och Regeringskansliets överläggningspromemoria (dnr </w:t>
            </w:r>
            <w:r w:rsidR="00B3122A">
              <w:rPr>
                <w:szCs w:val="22"/>
              </w:rPr>
              <w:t>248</w:t>
            </w:r>
            <w:r>
              <w:rPr>
                <w:szCs w:val="22"/>
              </w:rPr>
              <w:t>-2020/21).</w:t>
            </w:r>
          </w:p>
          <w:p w:rsidR="0068382F" w:rsidRDefault="0068382F" w:rsidP="0068382F">
            <w:pPr>
              <w:widowControl/>
              <w:autoSpaceDE w:val="0"/>
              <w:autoSpaceDN w:val="0"/>
              <w:adjustRightInd w:val="0"/>
              <w:textAlignment w:val="center"/>
              <w:rPr>
                <w:szCs w:val="22"/>
              </w:rPr>
            </w:pPr>
          </w:p>
          <w:p w:rsidR="0068382F" w:rsidRDefault="0068382F" w:rsidP="0068382F">
            <w:pPr>
              <w:widowControl/>
              <w:autoSpaceDE w:val="0"/>
              <w:autoSpaceDN w:val="0"/>
              <w:adjustRightInd w:val="0"/>
              <w:textAlignment w:val="center"/>
              <w:rPr>
                <w:szCs w:val="22"/>
              </w:rPr>
            </w:pPr>
            <w:r>
              <w:rPr>
                <w:szCs w:val="22"/>
              </w:rPr>
              <w:t>Jämställdhetsministern redogjorde för regeringens ståndpunkt i enlighet med överläggningspromemoria</w:t>
            </w:r>
            <w:r w:rsidR="00C83C7D">
              <w:rPr>
                <w:szCs w:val="22"/>
              </w:rPr>
              <w:t>n</w:t>
            </w:r>
            <w:r>
              <w:rPr>
                <w:szCs w:val="22"/>
              </w:rPr>
              <w:t xml:space="preserve"> (bilaga </w:t>
            </w:r>
            <w:r w:rsidR="00A54FEE">
              <w:rPr>
                <w:szCs w:val="22"/>
              </w:rPr>
              <w:t>4</w:t>
            </w:r>
            <w:r>
              <w:rPr>
                <w:szCs w:val="22"/>
              </w:rPr>
              <w:t>).</w:t>
            </w:r>
          </w:p>
          <w:p w:rsidR="0068382F" w:rsidRDefault="0068382F" w:rsidP="0068382F">
            <w:pPr>
              <w:widowControl/>
              <w:autoSpaceDE w:val="0"/>
              <w:autoSpaceDN w:val="0"/>
              <w:adjustRightInd w:val="0"/>
              <w:textAlignment w:val="center"/>
              <w:rPr>
                <w:szCs w:val="22"/>
              </w:rPr>
            </w:pPr>
          </w:p>
          <w:p w:rsidR="0068382F" w:rsidRDefault="0068382F" w:rsidP="0068382F">
            <w:pPr>
              <w:widowControl/>
              <w:autoSpaceDE w:val="0"/>
              <w:autoSpaceDN w:val="0"/>
              <w:adjustRightInd w:val="0"/>
              <w:textAlignment w:val="center"/>
              <w:rPr>
                <w:szCs w:val="22"/>
              </w:rPr>
            </w:pPr>
            <w:r>
              <w:rPr>
                <w:szCs w:val="22"/>
              </w:rPr>
              <w:t>Ordföranden konstaterade att det fanns stöd för regeringens ståndpunkt.</w:t>
            </w:r>
          </w:p>
          <w:p w:rsidR="00A54FEE" w:rsidRDefault="00A54FEE" w:rsidP="0068382F">
            <w:pPr>
              <w:widowControl/>
              <w:autoSpaceDE w:val="0"/>
              <w:autoSpaceDN w:val="0"/>
              <w:adjustRightInd w:val="0"/>
              <w:textAlignment w:val="center"/>
              <w:rPr>
                <w:szCs w:val="22"/>
              </w:rPr>
            </w:pPr>
          </w:p>
          <w:p w:rsidR="00A54FEE" w:rsidRDefault="00A54FEE" w:rsidP="0068382F">
            <w:pPr>
              <w:widowControl/>
              <w:autoSpaceDE w:val="0"/>
              <w:autoSpaceDN w:val="0"/>
              <w:adjustRightInd w:val="0"/>
              <w:textAlignment w:val="center"/>
              <w:rPr>
                <w:szCs w:val="22"/>
              </w:rPr>
            </w:pPr>
            <w:r>
              <w:rPr>
                <w:szCs w:val="22"/>
              </w:rPr>
              <w:t xml:space="preserve">SD-ledamöterna anmälde den avvikande ståndpunkt som framgår av </w:t>
            </w:r>
            <w:r>
              <w:rPr>
                <w:szCs w:val="22"/>
              </w:rPr>
              <w:br/>
              <w:t>bilaga 5.</w:t>
            </w:r>
          </w:p>
          <w:p w:rsidR="0068382F" w:rsidRDefault="0068382F" w:rsidP="0068382F">
            <w:pPr>
              <w:widowControl/>
              <w:autoSpaceDE w:val="0"/>
              <w:autoSpaceDN w:val="0"/>
              <w:adjustRightInd w:val="0"/>
              <w:textAlignment w:val="center"/>
              <w:rPr>
                <w:szCs w:val="22"/>
              </w:rPr>
            </w:pPr>
          </w:p>
          <w:p w:rsidR="0068382F" w:rsidRPr="0068382F" w:rsidRDefault="0068382F" w:rsidP="0068382F">
            <w:pPr>
              <w:widowControl/>
              <w:autoSpaceDE w:val="0"/>
              <w:autoSpaceDN w:val="0"/>
              <w:adjustRightInd w:val="0"/>
              <w:textAlignment w:val="center"/>
              <w:rPr>
                <w:szCs w:val="22"/>
              </w:rPr>
            </w:pPr>
            <w:r>
              <w:rPr>
                <w:szCs w:val="22"/>
              </w:rPr>
              <w:t>Denna paragraf förklarades omedelbart justerad.</w:t>
            </w:r>
          </w:p>
          <w:p w:rsidR="0068382F" w:rsidRPr="0068382F" w:rsidRDefault="0068382F" w:rsidP="0068382F">
            <w:pPr>
              <w:widowControl/>
              <w:autoSpaceDE w:val="0"/>
              <w:autoSpaceDN w:val="0"/>
              <w:adjustRightInd w:val="0"/>
              <w:textAlignment w:val="center"/>
              <w:rPr>
                <w:b/>
                <w:szCs w:val="22"/>
              </w:rPr>
            </w:pPr>
          </w:p>
        </w:tc>
      </w:tr>
      <w:tr w:rsidR="00E11D7B" w:rsidRPr="002E3691" w:rsidTr="00B3122A">
        <w:tblPrEx>
          <w:tblLook w:val="00A0" w:firstRow="1" w:lastRow="0" w:firstColumn="1" w:lastColumn="0" w:noHBand="0" w:noVBand="0"/>
        </w:tblPrEx>
        <w:trPr>
          <w:gridBefore w:val="1"/>
          <w:wBefore w:w="1984" w:type="dxa"/>
        </w:trPr>
        <w:tc>
          <w:tcPr>
            <w:tcW w:w="497" w:type="dxa"/>
          </w:tcPr>
          <w:p w:rsidR="00E11D7B" w:rsidRPr="002E3691" w:rsidRDefault="00E11D7B" w:rsidP="00833D84">
            <w:pPr>
              <w:tabs>
                <w:tab w:val="left" w:pos="1701"/>
              </w:tabs>
              <w:ind w:right="-65"/>
              <w:rPr>
                <w:b/>
                <w:snapToGrid w:val="0"/>
              </w:rPr>
            </w:pPr>
            <w:r w:rsidRPr="002E3691">
              <w:rPr>
                <w:b/>
                <w:snapToGrid w:val="0"/>
              </w:rPr>
              <w:t xml:space="preserve">§ </w:t>
            </w:r>
            <w:r w:rsidR="00B3122A">
              <w:rPr>
                <w:b/>
                <w:snapToGrid w:val="0"/>
              </w:rPr>
              <w:t>10</w:t>
            </w:r>
          </w:p>
        </w:tc>
        <w:tc>
          <w:tcPr>
            <w:tcW w:w="7372" w:type="dxa"/>
            <w:gridSpan w:val="15"/>
          </w:tcPr>
          <w:p w:rsidR="00E11D7B" w:rsidRPr="0068382F" w:rsidRDefault="00E11D7B" w:rsidP="00833D84">
            <w:pPr>
              <w:widowControl/>
              <w:textAlignment w:val="center"/>
              <w:rPr>
                <w:b/>
                <w:szCs w:val="24"/>
              </w:rPr>
            </w:pPr>
            <w:r w:rsidRPr="0068382F">
              <w:rPr>
                <w:b/>
                <w:szCs w:val="24"/>
              </w:rPr>
              <w:t>Kanslimeddelanden</w:t>
            </w:r>
          </w:p>
          <w:p w:rsidR="00E11D7B" w:rsidRPr="0068382F" w:rsidRDefault="00E11D7B" w:rsidP="00833D84">
            <w:pPr>
              <w:widowControl/>
              <w:textAlignment w:val="center"/>
              <w:rPr>
                <w:szCs w:val="24"/>
              </w:rPr>
            </w:pPr>
          </w:p>
          <w:p w:rsidR="00E11D7B" w:rsidRDefault="00E11D7B" w:rsidP="00833D84">
            <w:pPr>
              <w:widowControl/>
              <w:autoSpaceDE w:val="0"/>
              <w:autoSpaceDN w:val="0"/>
              <w:adjustRightInd w:val="0"/>
              <w:textAlignment w:val="center"/>
              <w:rPr>
                <w:szCs w:val="24"/>
              </w:rPr>
            </w:pPr>
            <w:r>
              <w:rPr>
                <w:szCs w:val="24"/>
              </w:rPr>
              <w:t xml:space="preserve">- </w:t>
            </w:r>
            <w:r w:rsidRPr="0068382F">
              <w:rPr>
                <w:szCs w:val="24"/>
              </w:rPr>
              <w:t>Kanslichefen anmälde sammanträdesplanen.</w:t>
            </w:r>
          </w:p>
          <w:p w:rsidR="00E11D7B" w:rsidRPr="0068382F" w:rsidRDefault="00E11D7B" w:rsidP="00833D84">
            <w:pPr>
              <w:widowControl/>
              <w:autoSpaceDE w:val="0"/>
              <w:autoSpaceDN w:val="0"/>
              <w:adjustRightInd w:val="0"/>
              <w:textAlignment w:val="center"/>
              <w:rPr>
                <w:szCs w:val="24"/>
              </w:rPr>
            </w:pPr>
          </w:p>
          <w:p w:rsidR="00E11D7B" w:rsidRDefault="00E11D7B" w:rsidP="00B3122A">
            <w:pPr>
              <w:widowControl/>
              <w:autoSpaceDE w:val="0"/>
              <w:autoSpaceDN w:val="0"/>
              <w:adjustRightInd w:val="0"/>
              <w:textAlignment w:val="center"/>
              <w:rPr>
                <w:szCs w:val="24"/>
              </w:rPr>
            </w:pPr>
            <w:r>
              <w:rPr>
                <w:szCs w:val="24"/>
              </w:rPr>
              <w:t xml:space="preserve">- </w:t>
            </w:r>
            <w:r w:rsidRPr="0068382F">
              <w:rPr>
                <w:szCs w:val="24"/>
              </w:rPr>
              <w:t xml:space="preserve">Kanslichefen anmälde </w:t>
            </w:r>
            <w:r>
              <w:rPr>
                <w:szCs w:val="24"/>
              </w:rPr>
              <w:t>två</w:t>
            </w:r>
            <w:r w:rsidRPr="0068382F">
              <w:rPr>
                <w:szCs w:val="24"/>
              </w:rPr>
              <w:t xml:space="preserve"> inkom</w:t>
            </w:r>
            <w:r>
              <w:rPr>
                <w:szCs w:val="24"/>
              </w:rPr>
              <w:t>na</w:t>
            </w:r>
            <w:r w:rsidRPr="0068382F">
              <w:rPr>
                <w:szCs w:val="24"/>
              </w:rPr>
              <w:t xml:space="preserve"> skrivelse</w:t>
            </w:r>
            <w:r>
              <w:rPr>
                <w:szCs w:val="24"/>
              </w:rPr>
              <w:t>r</w:t>
            </w:r>
            <w:r w:rsidRPr="0068382F">
              <w:rPr>
                <w:szCs w:val="24"/>
              </w:rPr>
              <w:t xml:space="preserve"> enligt bilag</w:t>
            </w:r>
            <w:r w:rsidR="00201E2A">
              <w:rPr>
                <w:szCs w:val="24"/>
              </w:rPr>
              <w:t>orna</w:t>
            </w:r>
            <w:r w:rsidRPr="0068382F">
              <w:rPr>
                <w:szCs w:val="24"/>
              </w:rPr>
              <w:t xml:space="preserve"> </w:t>
            </w:r>
            <w:r w:rsidR="00A54FEE">
              <w:rPr>
                <w:szCs w:val="24"/>
              </w:rPr>
              <w:t>6–7</w:t>
            </w:r>
            <w:r w:rsidR="00B3122A">
              <w:rPr>
                <w:szCs w:val="24"/>
              </w:rPr>
              <w:t>.</w:t>
            </w:r>
          </w:p>
          <w:p w:rsidR="00B3122A" w:rsidRPr="0068382F" w:rsidRDefault="00B3122A" w:rsidP="00833D84">
            <w:pPr>
              <w:widowControl/>
              <w:autoSpaceDE w:val="0"/>
              <w:autoSpaceDN w:val="0"/>
              <w:adjustRightInd w:val="0"/>
              <w:spacing w:after="120"/>
              <w:textAlignment w:val="center"/>
              <w:rPr>
                <w:szCs w:val="24"/>
              </w:rPr>
            </w:pPr>
          </w:p>
        </w:tc>
      </w:tr>
      <w:tr w:rsidR="001C37F0" w:rsidRPr="002E3691" w:rsidTr="00B3122A">
        <w:tblPrEx>
          <w:tblLook w:val="00A0" w:firstRow="1" w:lastRow="0" w:firstColumn="1" w:lastColumn="0" w:noHBand="0" w:noVBand="0"/>
        </w:tblPrEx>
        <w:trPr>
          <w:gridBefore w:val="1"/>
          <w:wBefore w:w="1984" w:type="dxa"/>
        </w:trPr>
        <w:tc>
          <w:tcPr>
            <w:tcW w:w="497" w:type="dxa"/>
          </w:tcPr>
          <w:p w:rsidR="001C37F0" w:rsidRPr="002E3691" w:rsidRDefault="001C37F0" w:rsidP="001C37F0">
            <w:pPr>
              <w:tabs>
                <w:tab w:val="left" w:pos="1701"/>
              </w:tabs>
              <w:ind w:right="-65"/>
              <w:rPr>
                <w:b/>
                <w:snapToGrid w:val="0"/>
              </w:rPr>
            </w:pPr>
            <w:r w:rsidRPr="002E3691">
              <w:rPr>
                <w:b/>
                <w:snapToGrid w:val="0"/>
              </w:rPr>
              <w:t xml:space="preserve">§ </w:t>
            </w:r>
            <w:r w:rsidR="00C359DD">
              <w:rPr>
                <w:b/>
                <w:snapToGrid w:val="0"/>
              </w:rPr>
              <w:t>1</w:t>
            </w:r>
            <w:r w:rsidR="00B3122A">
              <w:rPr>
                <w:b/>
                <w:snapToGrid w:val="0"/>
              </w:rPr>
              <w:t>1</w:t>
            </w:r>
          </w:p>
        </w:tc>
        <w:tc>
          <w:tcPr>
            <w:tcW w:w="7372" w:type="dxa"/>
            <w:gridSpan w:val="15"/>
          </w:tcPr>
          <w:p w:rsidR="001C37F0" w:rsidRPr="002E3691" w:rsidRDefault="001C37F0" w:rsidP="001C37F0">
            <w:pPr>
              <w:widowControl/>
              <w:textAlignment w:val="center"/>
              <w:rPr>
                <w:b/>
                <w:szCs w:val="24"/>
              </w:rPr>
            </w:pPr>
            <w:r w:rsidRPr="002E3691">
              <w:rPr>
                <w:b/>
                <w:szCs w:val="24"/>
              </w:rPr>
              <w:t>Nästa sammanträde</w:t>
            </w:r>
          </w:p>
          <w:p w:rsidR="001C37F0" w:rsidRPr="002E3691" w:rsidRDefault="001C37F0" w:rsidP="001C37F0">
            <w:pPr>
              <w:widowControl/>
              <w:textAlignment w:val="center"/>
              <w:rPr>
                <w:szCs w:val="24"/>
              </w:rPr>
            </w:pPr>
          </w:p>
          <w:p w:rsidR="001C37F0" w:rsidRPr="002E3691" w:rsidRDefault="001C37F0" w:rsidP="001C37F0">
            <w:pPr>
              <w:widowControl/>
              <w:autoSpaceDE w:val="0"/>
              <w:autoSpaceDN w:val="0"/>
              <w:adjustRightInd w:val="0"/>
              <w:textAlignment w:val="center"/>
              <w:rPr>
                <w:szCs w:val="24"/>
              </w:rPr>
            </w:pPr>
            <w:r w:rsidRPr="002E3691">
              <w:rPr>
                <w:szCs w:val="24"/>
              </w:rPr>
              <w:t>Utskottet beslutade att nästa sammanträde ska äga rum t</w:t>
            </w:r>
            <w:r w:rsidR="0068382F">
              <w:rPr>
                <w:szCs w:val="24"/>
              </w:rPr>
              <w:t>i</w:t>
            </w:r>
            <w:r w:rsidR="00B7198D" w:rsidRPr="002E3691">
              <w:rPr>
                <w:szCs w:val="24"/>
              </w:rPr>
              <w:t>s</w:t>
            </w:r>
            <w:r w:rsidRPr="002E3691">
              <w:rPr>
                <w:szCs w:val="24"/>
              </w:rPr>
              <w:t xml:space="preserve">dagen den </w:t>
            </w:r>
          </w:p>
          <w:p w:rsidR="001C37F0" w:rsidRPr="002E3691" w:rsidRDefault="00787446" w:rsidP="00B3122A">
            <w:pPr>
              <w:widowControl/>
              <w:autoSpaceDE w:val="0"/>
              <w:autoSpaceDN w:val="0"/>
              <w:adjustRightInd w:val="0"/>
              <w:textAlignment w:val="center"/>
              <w:rPr>
                <w:b/>
                <w:szCs w:val="24"/>
              </w:rPr>
            </w:pPr>
            <w:r w:rsidRPr="002E3691">
              <w:rPr>
                <w:szCs w:val="24"/>
              </w:rPr>
              <w:t>1</w:t>
            </w:r>
            <w:r w:rsidR="0068382F">
              <w:rPr>
                <w:szCs w:val="24"/>
              </w:rPr>
              <w:t>3</w:t>
            </w:r>
            <w:r w:rsidRPr="002E3691">
              <w:rPr>
                <w:szCs w:val="24"/>
              </w:rPr>
              <w:t xml:space="preserve"> oktober</w:t>
            </w:r>
            <w:r w:rsidR="001C37F0" w:rsidRPr="002E3691">
              <w:rPr>
                <w:szCs w:val="24"/>
              </w:rPr>
              <w:t xml:space="preserve"> 2020 kl. 1</w:t>
            </w:r>
            <w:r w:rsidRPr="002E3691">
              <w:rPr>
                <w:szCs w:val="24"/>
              </w:rPr>
              <w:t>1</w:t>
            </w:r>
            <w:r w:rsidR="001C37F0" w:rsidRPr="002E3691">
              <w:rPr>
                <w:szCs w:val="24"/>
              </w:rPr>
              <w:t>.00.</w:t>
            </w:r>
          </w:p>
        </w:tc>
      </w:tr>
      <w:tr w:rsidR="001C37F0" w:rsidRPr="002E3691" w:rsidTr="00B3122A">
        <w:tblPrEx>
          <w:tblLook w:val="00A0" w:firstRow="1" w:lastRow="0" w:firstColumn="1" w:lastColumn="0" w:noHBand="0" w:noVBand="0"/>
        </w:tblPrEx>
        <w:trPr>
          <w:gridBefore w:val="1"/>
          <w:wBefore w:w="1984" w:type="dxa"/>
          <w:trHeight w:val="1461"/>
        </w:trPr>
        <w:tc>
          <w:tcPr>
            <w:tcW w:w="497" w:type="dxa"/>
          </w:tcPr>
          <w:p w:rsidR="001C37F0" w:rsidRPr="002E3691" w:rsidRDefault="001C37F0" w:rsidP="001C37F0">
            <w:pPr>
              <w:tabs>
                <w:tab w:val="left" w:pos="1701"/>
              </w:tabs>
              <w:ind w:right="-65"/>
              <w:rPr>
                <w:b/>
                <w:snapToGrid w:val="0"/>
              </w:rPr>
            </w:pPr>
          </w:p>
        </w:tc>
        <w:tc>
          <w:tcPr>
            <w:tcW w:w="7372" w:type="dxa"/>
            <w:gridSpan w:val="15"/>
          </w:tcPr>
          <w:p w:rsidR="001C37F0" w:rsidRPr="002E3691" w:rsidRDefault="001C37F0" w:rsidP="001C37F0">
            <w:pPr>
              <w:widowControl/>
              <w:autoSpaceDE w:val="0"/>
              <w:autoSpaceDN w:val="0"/>
              <w:adjustRightInd w:val="0"/>
              <w:textAlignment w:val="center"/>
              <w:rPr>
                <w:szCs w:val="24"/>
              </w:rPr>
            </w:pPr>
          </w:p>
          <w:p w:rsidR="001C37F0" w:rsidRPr="002E3691" w:rsidRDefault="001C37F0" w:rsidP="001C37F0">
            <w:pPr>
              <w:widowControl/>
              <w:autoSpaceDE w:val="0"/>
              <w:autoSpaceDN w:val="0"/>
              <w:adjustRightInd w:val="0"/>
              <w:textAlignment w:val="center"/>
              <w:rPr>
                <w:szCs w:val="24"/>
              </w:rPr>
            </w:pPr>
          </w:p>
          <w:p w:rsidR="001C37F0" w:rsidRPr="002E3691" w:rsidRDefault="001C37F0" w:rsidP="001C37F0">
            <w:pPr>
              <w:widowControl/>
              <w:autoSpaceDE w:val="0"/>
              <w:autoSpaceDN w:val="0"/>
              <w:adjustRightInd w:val="0"/>
              <w:textAlignment w:val="center"/>
              <w:rPr>
                <w:szCs w:val="24"/>
              </w:rPr>
            </w:pPr>
            <w:r w:rsidRPr="002E3691">
              <w:rPr>
                <w:szCs w:val="24"/>
              </w:rPr>
              <w:t>Vid protokollet</w:t>
            </w:r>
          </w:p>
          <w:p w:rsidR="001C37F0" w:rsidRPr="002E3691" w:rsidRDefault="001C37F0" w:rsidP="001C37F0">
            <w:pPr>
              <w:widowControl/>
              <w:autoSpaceDE w:val="0"/>
              <w:autoSpaceDN w:val="0"/>
              <w:adjustRightInd w:val="0"/>
              <w:textAlignment w:val="center"/>
              <w:rPr>
                <w:szCs w:val="24"/>
              </w:rPr>
            </w:pPr>
          </w:p>
          <w:p w:rsidR="006F0918" w:rsidRDefault="006F0918" w:rsidP="001C37F0">
            <w:pPr>
              <w:widowControl/>
              <w:autoSpaceDE w:val="0"/>
              <w:autoSpaceDN w:val="0"/>
              <w:adjustRightInd w:val="0"/>
              <w:textAlignment w:val="center"/>
              <w:rPr>
                <w:szCs w:val="24"/>
              </w:rPr>
            </w:pPr>
          </w:p>
          <w:p w:rsidR="00CE7054" w:rsidRPr="002E3691" w:rsidRDefault="00CE7054" w:rsidP="001C37F0">
            <w:pPr>
              <w:widowControl/>
              <w:autoSpaceDE w:val="0"/>
              <w:autoSpaceDN w:val="0"/>
              <w:adjustRightInd w:val="0"/>
              <w:textAlignment w:val="center"/>
              <w:rPr>
                <w:szCs w:val="24"/>
              </w:rPr>
            </w:pPr>
          </w:p>
          <w:p w:rsidR="008743DA" w:rsidRPr="002E3691" w:rsidRDefault="008743DA" w:rsidP="001C37F0">
            <w:pPr>
              <w:widowControl/>
              <w:autoSpaceDE w:val="0"/>
              <w:autoSpaceDN w:val="0"/>
              <w:adjustRightInd w:val="0"/>
              <w:textAlignment w:val="center"/>
              <w:rPr>
                <w:szCs w:val="24"/>
              </w:rPr>
            </w:pPr>
          </w:p>
          <w:p w:rsidR="00B3122A" w:rsidRDefault="001C37F0" w:rsidP="00B3122A">
            <w:pPr>
              <w:widowControl/>
              <w:autoSpaceDE w:val="0"/>
              <w:autoSpaceDN w:val="0"/>
              <w:adjustRightInd w:val="0"/>
              <w:textAlignment w:val="center"/>
              <w:rPr>
                <w:szCs w:val="24"/>
              </w:rPr>
            </w:pPr>
            <w:r w:rsidRPr="002E3691">
              <w:rPr>
                <w:szCs w:val="24"/>
              </w:rPr>
              <w:t xml:space="preserve">Justeras </w:t>
            </w:r>
            <w:r w:rsidR="00787446" w:rsidRPr="002E3691">
              <w:rPr>
                <w:szCs w:val="24"/>
              </w:rPr>
              <w:t>1</w:t>
            </w:r>
            <w:r w:rsidR="0068382F">
              <w:rPr>
                <w:szCs w:val="24"/>
              </w:rPr>
              <w:t>3</w:t>
            </w:r>
            <w:r w:rsidR="00787446" w:rsidRPr="002E3691">
              <w:rPr>
                <w:szCs w:val="24"/>
              </w:rPr>
              <w:t xml:space="preserve"> oktober</w:t>
            </w:r>
            <w:r w:rsidRPr="002E3691">
              <w:rPr>
                <w:szCs w:val="24"/>
              </w:rPr>
              <w:t xml:space="preserve"> 2020</w:t>
            </w: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A54FEE" w:rsidRDefault="00A54FEE" w:rsidP="00B3122A">
            <w:pPr>
              <w:widowControl/>
              <w:autoSpaceDE w:val="0"/>
              <w:autoSpaceDN w:val="0"/>
              <w:adjustRightInd w:val="0"/>
              <w:textAlignment w:val="center"/>
              <w:rPr>
                <w:b/>
                <w:szCs w:val="24"/>
              </w:rPr>
            </w:pPr>
          </w:p>
          <w:p w:rsidR="00B3122A" w:rsidRDefault="00B3122A" w:rsidP="00B3122A">
            <w:pPr>
              <w:widowControl/>
              <w:autoSpaceDE w:val="0"/>
              <w:autoSpaceDN w:val="0"/>
              <w:adjustRightInd w:val="0"/>
              <w:textAlignment w:val="center"/>
              <w:rPr>
                <w:b/>
                <w:szCs w:val="24"/>
              </w:rPr>
            </w:pPr>
          </w:p>
          <w:p w:rsidR="00B3122A" w:rsidRPr="002E3691" w:rsidRDefault="00B3122A" w:rsidP="00B3122A">
            <w:pPr>
              <w:widowControl/>
              <w:autoSpaceDE w:val="0"/>
              <w:autoSpaceDN w:val="0"/>
              <w:adjustRightInd w:val="0"/>
              <w:textAlignment w:val="center"/>
              <w:rPr>
                <w:b/>
                <w:szCs w:val="24"/>
              </w:rPr>
            </w:pPr>
          </w:p>
        </w:tc>
      </w:tr>
      <w:tr w:rsidR="001C37F0" w:rsidRPr="002E3691" w:rsidTr="00B312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5" w:type="dxa"/>
            <w:gridSpan w:val="3"/>
            <w:tcBorders>
              <w:top w:val="nil"/>
              <w:left w:val="nil"/>
              <w:bottom w:val="nil"/>
              <w:right w:val="nil"/>
            </w:tcBorders>
          </w:tcPr>
          <w:p w:rsidR="001C37F0" w:rsidRPr="002E3691" w:rsidRDefault="001C37F0" w:rsidP="001C37F0">
            <w:pPr>
              <w:tabs>
                <w:tab w:val="left" w:pos="1701"/>
              </w:tabs>
              <w:rPr>
                <w:sz w:val="22"/>
              </w:rPr>
            </w:pPr>
            <w:r w:rsidRPr="002E3691">
              <w:rPr>
                <w:sz w:val="22"/>
              </w:rPr>
              <w:lastRenderedPageBreak/>
              <w:t>ARBETSMARKNADSUTSKOTTET</w:t>
            </w:r>
          </w:p>
          <w:p w:rsidR="001C37F0" w:rsidRPr="002E3691" w:rsidRDefault="001C37F0" w:rsidP="001C37F0">
            <w:pPr>
              <w:tabs>
                <w:tab w:val="left" w:pos="1701"/>
              </w:tabs>
              <w:rPr>
                <w:sz w:val="22"/>
              </w:rPr>
            </w:pPr>
          </w:p>
        </w:tc>
        <w:tc>
          <w:tcPr>
            <w:tcW w:w="3504" w:type="dxa"/>
            <w:gridSpan w:val="9"/>
            <w:tcBorders>
              <w:top w:val="nil"/>
              <w:left w:val="nil"/>
              <w:bottom w:val="nil"/>
              <w:right w:val="nil"/>
            </w:tcBorders>
          </w:tcPr>
          <w:p w:rsidR="001C37F0" w:rsidRPr="002E3691" w:rsidRDefault="001C37F0" w:rsidP="001C37F0">
            <w:pPr>
              <w:tabs>
                <w:tab w:val="left" w:pos="1701"/>
              </w:tabs>
              <w:rPr>
                <w:b/>
                <w:sz w:val="22"/>
              </w:rPr>
            </w:pPr>
            <w:r w:rsidRPr="002E3691">
              <w:rPr>
                <w:b/>
                <w:sz w:val="22"/>
              </w:rPr>
              <w:t>FÖRTECKNING ÖVER LEDAMÖTER</w:t>
            </w:r>
          </w:p>
          <w:p w:rsidR="001C37F0" w:rsidRPr="002E3691" w:rsidRDefault="001C37F0" w:rsidP="001C37F0">
            <w:pPr>
              <w:tabs>
                <w:tab w:val="left" w:pos="1701"/>
              </w:tabs>
              <w:jc w:val="center"/>
              <w:rPr>
                <w:b/>
                <w:sz w:val="22"/>
              </w:rPr>
            </w:pPr>
          </w:p>
        </w:tc>
        <w:tc>
          <w:tcPr>
            <w:tcW w:w="2024" w:type="dxa"/>
            <w:gridSpan w:val="5"/>
            <w:tcBorders>
              <w:top w:val="nil"/>
              <w:left w:val="nil"/>
              <w:bottom w:val="nil"/>
              <w:right w:val="nil"/>
            </w:tcBorders>
          </w:tcPr>
          <w:p w:rsidR="001C37F0" w:rsidRPr="002E3691" w:rsidRDefault="001C37F0" w:rsidP="001C37F0">
            <w:pPr>
              <w:tabs>
                <w:tab w:val="left" w:pos="1701"/>
              </w:tabs>
              <w:rPr>
                <w:b/>
                <w:sz w:val="22"/>
              </w:rPr>
            </w:pPr>
            <w:r w:rsidRPr="002E3691">
              <w:rPr>
                <w:b/>
                <w:sz w:val="22"/>
              </w:rPr>
              <w:t>Bilaga 1</w:t>
            </w:r>
          </w:p>
          <w:p w:rsidR="001C37F0" w:rsidRPr="002E3691" w:rsidRDefault="001C37F0" w:rsidP="001C37F0">
            <w:pPr>
              <w:tabs>
                <w:tab w:val="left" w:pos="1701"/>
              </w:tabs>
              <w:rPr>
                <w:sz w:val="22"/>
              </w:rPr>
            </w:pPr>
            <w:r w:rsidRPr="002E3691">
              <w:rPr>
                <w:sz w:val="22"/>
              </w:rPr>
              <w:t>till protokoll</w:t>
            </w:r>
          </w:p>
          <w:p w:rsidR="001C37F0" w:rsidRPr="002E3691" w:rsidRDefault="001C37F0" w:rsidP="001C37F0">
            <w:pPr>
              <w:tabs>
                <w:tab w:val="left" w:pos="1701"/>
              </w:tabs>
              <w:rPr>
                <w:sz w:val="22"/>
              </w:rPr>
            </w:pPr>
            <w:r w:rsidRPr="002E3691">
              <w:rPr>
                <w:sz w:val="22"/>
              </w:rPr>
              <w:t>2020/21:</w:t>
            </w:r>
            <w:r w:rsidR="00EF4C51">
              <w:rPr>
                <w:sz w:val="22"/>
              </w:rPr>
              <w:t>4</w:t>
            </w:r>
          </w:p>
        </w:tc>
      </w:tr>
      <w:tr w:rsidR="001C37F0" w:rsidRPr="002E3691" w:rsidTr="00A54FEE">
        <w:trPr>
          <w:cantSplit/>
        </w:trPr>
        <w:tc>
          <w:tcPr>
            <w:tcW w:w="4325" w:type="dxa"/>
            <w:gridSpan w:val="3"/>
            <w:tcBorders>
              <w:top w:val="single" w:sz="6" w:space="0" w:color="auto"/>
              <w:left w:val="single" w:sz="6" w:space="0" w:color="auto"/>
              <w:bottom w:val="single" w:sz="6"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920" w:type="dxa"/>
            <w:gridSpan w:val="2"/>
            <w:tcBorders>
              <w:top w:val="single" w:sz="6" w:space="0" w:color="auto"/>
              <w:left w:val="single" w:sz="6" w:space="0" w:color="auto"/>
              <w:bottom w:val="single" w:sz="6"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2E3691">
              <w:rPr>
                <w:szCs w:val="22"/>
              </w:rPr>
              <w:t>§ 1–</w:t>
            </w:r>
            <w:r w:rsidR="00A54FEE">
              <w:rPr>
                <w:szCs w:val="22"/>
              </w:rPr>
              <w:t>11</w:t>
            </w:r>
          </w:p>
        </w:tc>
        <w:tc>
          <w:tcPr>
            <w:tcW w:w="639" w:type="dxa"/>
            <w:gridSpan w:val="2"/>
            <w:tcBorders>
              <w:top w:val="single" w:sz="6" w:space="0" w:color="auto"/>
              <w:left w:val="single" w:sz="6" w:space="0" w:color="auto"/>
              <w:bottom w:val="single" w:sz="6"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11" w:type="dxa"/>
            <w:gridSpan w:val="2"/>
            <w:tcBorders>
              <w:top w:val="single" w:sz="6" w:space="0" w:color="auto"/>
              <w:left w:val="single" w:sz="6" w:space="0" w:color="auto"/>
              <w:bottom w:val="single" w:sz="6"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686" w:type="dxa"/>
            <w:gridSpan w:val="2"/>
            <w:tcBorders>
              <w:top w:val="single" w:sz="6" w:space="0" w:color="auto"/>
              <w:left w:val="single" w:sz="6" w:space="0" w:color="auto"/>
              <w:bottom w:val="single" w:sz="6"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73" w:type="dxa"/>
            <w:gridSpan w:val="2"/>
            <w:tcBorders>
              <w:top w:val="single" w:sz="6" w:space="0" w:color="auto"/>
              <w:left w:val="single" w:sz="6" w:space="0" w:color="auto"/>
              <w:bottom w:val="single" w:sz="6"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r>
      <w:tr w:rsidR="001C37F0" w:rsidRPr="002E3691" w:rsidTr="00A54FEE">
        <w:tc>
          <w:tcPr>
            <w:tcW w:w="4325" w:type="dxa"/>
            <w:gridSpan w:val="3"/>
            <w:tcBorders>
              <w:top w:val="single" w:sz="6" w:space="0" w:color="auto"/>
              <w:left w:val="single" w:sz="6" w:space="0" w:color="auto"/>
              <w:bottom w:val="single" w:sz="6"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b/>
                <w:i/>
                <w:szCs w:val="22"/>
              </w:rPr>
              <w:t>LEDAMÖTER</w:t>
            </w:r>
          </w:p>
        </w:tc>
        <w:tc>
          <w:tcPr>
            <w:tcW w:w="495"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2E3691">
              <w:rPr>
                <w:szCs w:val="22"/>
              </w:rPr>
              <w:t>N</w:t>
            </w:r>
          </w:p>
        </w:tc>
        <w:tc>
          <w:tcPr>
            <w:tcW w:w="425"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2E3691">
              <w:rPr>
                <w:szCs w:val="22"/>
              </w:rPr>
              <w:t>V</w:t>
            </w:r>
          </w:p>
        </w:tc>
        <w:tc>
          <w:tcPr>
            <w:tcW w:w="283"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2E3691">
              <w:rPr>
                <w:szCs w:val="22"/>
              </w:rPr>
              <w:t>N</w:t>
            </w:r>
          </w:p>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p>
        </w:tc>
        <w:tc>
          <w:tcPr>
            <w:tcW w:w="356"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2E3691">
              <w:rPr>
                <w:szCs w:val="22"/>
              </w:rPr>
              <w:t>V</w:t>
            </w:r>
          </w:p>
        </w:tc>
        <w:tc>
          <w:tcPr>
            <w:tcW w:w="425"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N</w:t>
            </w:r>
          </w:p>
        </w:tc>
        <w:tc>
          <w:tcPr>
            <w:tcW w:w="386"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V</w:t>
            </w:r>
          </w:p>
        </w:tc>
        <w:tc>
          <w:tcPr>
            <w:tcW w:w="429"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N</w:t>
            </w:r>
          </w:p>
        </w:tc>
        <w:tc>
          <w:tcPr>
            <w:tcW w:w="319"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V</w:t>
            </w:r>
          </w:p>
        </w:tc>
        <w:tc>
          <w:tcPr>
            <w:tcW w:w="386"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N</w:t>
            </w:r>
          </w:p>
        </w:tc>
        <w:tc>
          <w:tcPr>
            <w:tcW w:w="300"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V</w:t>
            </w:r>
          </w:p>
        </w:tc>
        <w:tc>
          <w:tcPr>
            <w:tcW w:w="448"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N</w:t>
            </w:r>
          </w:p>
        </w:tc>
        <w:tc>
          <w:tcPr>
            <w:tcW w:w="425"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V</w:t>
            </w:r>
          </w:p>
        </w:tc>
        <w:tc>
          <w:tcPr>
            <w:tcW w:w="426"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N</w:t>
            </w:r>
          </w:p>
        </w:tc>
        <w:tc>
          <w:tcPr>
            <w:tcW w:w="425" w:type="dxa"/>
            <w:tcBorders>
              <w:top w:val="single" w:sz="6" w:space="0" w:color="auto"/>
              <w:left w:val="single" w:sz="6" w:space="0" w:color="auto"/>
              <w:bottom w:val="single" w:sz="4" w:space="0" w:color="auto"/>
              <w:right w:val="single" w:sz="6" w:space="0" w:color="auto"/>
            </w:tcBorders>
          </w:tcPr>
          <w:p w:rsidR="001C37F0" w:rsidRPr="002E3691" w:rsidRDefault="001C37F0" w:rsidP="001C37F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E3691">
              <w:rPr>
                <w:szCs w:val="22"/>
              </w:rPr>
              <w:t>V</w:t>
            </w: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 xml:space="preserve">Anna Johansson (S), </w:t>
            </w:r>
            <w:r w:rsidRPr="002E3691">
              <w:rPr>
                <w:i/>
                <w:sz w:val="22"/>
              </w:rPr>
              <w:t>ordf.</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 xml:space="preserve">Gulan Avci (L), </w:t>
            </w:r>
            <w:r w:rsidRPr="002E3691">
              <w:rPr>
                <w:i/>
                <w:sz w:val="22"/>
              </w:rPr>
              <w:t>förste</w:t>
            </w:r>
            <w:r w:rsidRPr="002E3691">
              <w:rPr>
                <w:sz w:val="22"/>
              </w:rPr>
              <w:t xml:space="preserve"> </w:t>
            </w:r>
            <w:r w:rsidRPr="002E3691">
              <w:rPr>
                <w:i/>
                <w:sz w:val="22"/>
              </w:rPr>
              <w:t>vice ordf.</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lang w:val="en-US"/>
              </w:rPr>
            </w:pPr>
            <w:r w:rsidRPr="002E3691">
              <w:rPr>
                <w:sz w:val="22"/>
                <w:lang w:val="en-US"/>
              </w:rPr>
              <w:t xml:space="preserve">Mats Green (M), </w:t>
            </w:r>
            <w:proofErr w:type="spellStart"/>
            <w:r w:rsidRPr="002E3691">
              <w:rPr>
                <w:i/>
                <w:sz w:val="22"/>
                <w:lang w:val="en-US"/>
              </w:rPr>
              <w:t>andre</w:t>
            </w:r>
            <w:proofErr w:type="spellEnd"/>
            <w:r w:rsidRPr="002E3691">
              <w:rPr>
                <w:i/>
                <w:sz w:val="22"/>
                <w:lang w:val="en-US"/>
              </w:rPr>
              <w:t xml:space="preserve"> vice </w:t>
            </w:r>
            <w:proofErr w:type="spellStart"/>
            <w:r w:rsidRPr="002E3691">
              <w:rPr>
                <w:i/>
                <w:sz w:val="22"/>
                <w:lang w:val="en-US"/>
              </w:rPr>
              <w:t>ordf</w:t>
            </w:r>
            <w:proofErr w:type="spellEnd"/>
            <w:r w:rsidRPr="002E3691">
              <w:rPr>
                <w:i/>
                <w:sz w:val="22"/>
                <w:lang w:val="en-US"/>
              </w:rPr>
              <w:t>.</w:t>
            </w:r>
          </w:p>
        </w:tc>
        <w:tc>
          <w:tcPr>
            <w:tcW w:w="495" w:type="dxa"/>
            <w:tcBorders>
              <w:top w:val="single" w:sz="4" w:space="0" w:color="auto"/>
              <w:left w:val="single" w:sz="4" w:space="0" w:color="auto"/>
              <w:bottom w:val="single" w:sz="4" w:space="0" w:color="auto"/>
              <w:right w:val="single" w:sz="4" w:space="0" w:color="auto"/>
            </w:tcBorders>
          </w:tcPr>
          <w:p w:rsidR="00EF4C51" w:rsidRPr="00EF4C5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lang w:val="en-US"/>
              </w:rPr>
              <w:t>Patrik Björck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Saila Quicklund (M)</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Magnus Persson (SD)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Helén Pettersson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Martin Ådahl (C)</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Ali Esbati (V)</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Ann-Sofie Lifvenhage (M)</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Ebba Hermansson (SD)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Johan Andersson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Sofia Damm (KD)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Serkan Köse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 xml:space="preserve">Alexander Christiansson (SD) </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Leila Ali-Elmi (MP)</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Malin Danielsson (L)</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vAlign w:val="bottom"/>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2E3691">
              <w:rPr>
                <w:b/>
                <w:i/>
              </w:rPr>
              <w:t>SUPPLEANTER</w:t>
            </w:r>
          </w:p>
        </w:tc>
        <w:tc>
          <w:tcPr>
            <w:tcW w:w="495" w:type="dxa"/>
            <w:tcBorders>
              <w:top w:val="single" w:sz="4" w:space="0" w:color="auto"/>
              <w:left w:val="single" w:sz="4" w:space="0" w:color="auto"/>
              <w:bottom w:val="single" w:sz="4" w:space="0" w:color="auto"/>
              <w:right w:val="single" w:sz="4"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Johanna Haraldsson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Malin Höglund (M)</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Marianne Pettersson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Elisabeth Björnsdotter Rahm (M)</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Henrik Vinge (SD)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Ann-Christin Ahlberg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Alireza Akhondi (C)</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Ciczie Weidby (V)</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Helena Bouveng (M)</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Sara Gille (SD)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Patrik Engström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Désirée Pethrus (KD)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877EED" w:rsidP="00EF4C51">
            <w:pPr>
              <w:ind w:right="513"/>
              <w:rPr>
                <w:sz w:val="22"/>
              </w:rPr>
            </w:pPr>
            <w:r>
              <w:rPr>
                <w:sz w:val="22"/>
              </w:rPr>
              <w:t>Jasenko Omanovic</w:t>
            </w:r>
            <w:r w:rsidRPr="00334ED7">
              <w:rPr>
                <w:sz w:val="22"/>
              </w:rPr>
              <w:t xml:space="preserve">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Juno Blom (L)</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Sven-Olof Sällström (SD)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4" w:space="0" w:color="auto"/>
            </w:tcBorders>
          </w:tcPr>
          <w:p w:rsidR="00EF4C51" w:rsidRPr="002E3691" w:rsidRDefault="00EF4C51" w:rsidP="00EF4C51">
            <w:pPr>
              <w:ind w:right="513"/>
              <w:rPr>
                <w:sz w:val="22"/>
              </w:rPr>
            </w:pPr>
            <w:r w:rsidRPr="002E3691">
              <w:rPr>
                <w:sz w:val="22"/>
              </w:rPr>
              <w:t>Rebecka Le Moine (MP)</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Katarina Brännström (M)</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Cassandra Sundin (SD)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Linda Lindberg (SD)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Maria Nilsson (L)</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Robert Hannah (L)</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Annika Hirvonen Falk (MP)</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Annika Qarlsson (C)</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Christina Höj Larsen (V)</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Hans Eklind (KD)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rPr>
          <w:trHeight w:val="165"/>
        </w:trPr>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Camilla Brodin (KD)</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rPr>
          <w:trHeight w:val="238"/>
        </w:trPr>
        <w:tc>
          <w:tcPr>
            <w:tcW w:w="4325" w:type="dxa"/>
            <w:gridSpan w:val="3"/>
            <w:tcBorders>
              <w:top w:val="single" w:sz="6" w:space="0" w:color="auto"/>
              <w:left w:val="single" w:sz="6" w:space="0" w:color="auto"/>
              <w:bottom w:val="single" w:sz="8" w:space="0" w:color="auto"/>
              <w:right w:val="single" w:sz="4" w:space="0" w:color="auto"/>
            </w:tcBorders>
          </w:tcPr>
          <w:p w:rsidR="00EF4C51" w:rsidRPr="002E3691" w:rsidRDefault="00EF4C51" w:rsidP="00EF4C51">
            <w:pPr>
              <w:ind w:right="513"/>
              <w:rPr>
                <w:sz w:val="22"/>
              </w:rPr>
            </w:pPr>
            <w:r w:rsidRPr="002E3691">
              <w:rPr>
                <w:sz w:val="22"/>
              </w:rPr>
              <w:t xml:space="preserve">Roza </w:t>
            </w:r>
            <w:proofErr w:type="spellStart"/>
            <w:r w:rsidRPr="002E3691">
              <w:rPr>
                <w:sz w:val="22"/>
              </w:rPr>
              <w:t>Güclu</w:t>
            </w:r>
            <w:proofErr w:type="spellEnd"/>
            <w:r w:rsidRPr="002E3691">
              <w:rPr>
                <w:sz w:val="22"/>
              </w:rPr>
              <w:t xml:space="preserve"> Hedin (S)</w:t>
            </w:r>
          </w:p>
        </w:tc>
        <w:tc>
          <w:tcPr>
            <w:tcW w:w="49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19"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00"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F4C51" w:rsidRPr="002E3691" w:rsidTr="00A54FEE">
        <w:tc>
          <w:tcPr>
            <w:tcW w:w="4325" w:type="dxa"/>
            <w:gridSpan w:val="3"/>
            <w:tcBorders>
              <w:top w:val="single" w:sz="6" w:space="0" w:color="auto"/>
              <w:left w:val="single" w:sz="6" w:space="0" w:color="auto"/>
              <w:bottom w:val="single" w:sz="6" w:space="0" w:color="auto"/>
              <w:right w:val="single" w:sz="6" w:space="0" w:color="auto"/>
            </w:tcBorders>
          </w:tcPr>
          <w:p w:rsidR="00EF4C51" w:rsidRPr="002E3691" w:rsidRDefault="00EF4C51" w:rsidP="00EF4C51">
            <w:pPr>
              <w:ind w:right="513"/>
              <w:rPr>
                <w:szCs w:val="22"/>
              </w:rPr>
            </w:pPr>
            <w:r w:rsidRPr="002E3691">
              <w:rPr>
                <w:sz w:val="22"/>
              </w:rPr>
              <w:t>Ludvig Aspling (SD)</w:t>
            </w:r>
          </w:p>
        </w:tc>
        <w:tc>
          <w:tcPr>
            <w:tcW w:w="495" w:type="dxa"/>
            <w:tcBorders>
              <w:top w:val="single" w:sz="6" w:space="0" w:color="auto"/>
              <w:left w:val="single" w:sz="6" w:space="0" w:color="auto"/>
              <w:bottom w:val="single" w:sz="6" w:space="0" w:color="auto"/>
              <w:right w:val="single" w:sz="6" w:space="0" w:color="auto"/>
            </w:tcBorders>
          </w:tcPr>
          <w:p w:rsidR="00EF4C51" w:rsidRPr="00EF4C51" w:rsidRDefault="00A54FEE"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rsidR="00EF4C51" w:rsidRPr="00EF4C5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429"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319"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386"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300"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448"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425"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426"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425" w:type="dxa"/>
            <w:tcBorders>
              <w:top w:val="single" w:sz="6" w:space="0" w:color="auto"/>
              <w:left w:val="single" w:sz="6" w:space="0" w:color="auto"/>
              <w:bottom w:val="single" w:sz="6" w:space="0" w:color="auto"/>
              <w:right w:val="single" w:sz="6" w:space="0" w:color="auto"/>
            </w:tcBorders>
          </w:tcPr>
          <w:p w:rsidR="00EF4C51" w:rsidRPr="002E3691" w:rsidRDefault="00EF4C51" w:rsidP="00EF4C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r>
      <w:tr w:rsidR="006F0918" w:rsidRPr="002E3691" w:rsidTr="00B3122A">
        <w:trPr>
          <w:trHeight w:val="838"/>
        </w:trPr>
        <w:tc>
          <w:tcPr>
            <w:tcW w:w="4325" w:type="dxa"/>
            <w:gridSpan w:val="3"/>
          </w:tcPr>
          <w:p w:rsidR="006F0918" w:rsidRPr="002E3691" w:rsidRDefault="006F0918" w:rsidP="006F0918">
            <w:pPr>
              <w:spacing w:before="60"/>
              <w:rPr>
                <w:sz w:val="20"/>
                <w:szCs w:val="22"/>
              </w:rPr>
            </w:pPr>
            <w:r w:rsidRPr="002E3691">
              <w:rPr>
                <w:sz w:val="20"/>
                <w:szCs w:val="22"/>
              </w:rPr>
              <w:t>N = Närvarande</w:t>
            </w:r>
          </w:p>
          <w:p w:rsidR="006F0918" w:rsidRPr="002E3691" w:rsidRDefault="006F0918" w:rsidP="006F0918">
            <w:pPr>
              <w:spacing w:before="60"/>
              <w:rPr>
                <w:sz w:val="20"/>
                <w:szCs w:val="22"/>
              </w:rPr>
            </w:pPr>
            <w:r w:rsidRPr="002E3691">
              <w:rPr>
                <w:sz w:val="20"/>
                <w:szCs w:val="22"/>
              </w:rPr>
              <w:t>V = Votering</w:t>
            </w:r>
          </w:p>
        </w:tc>
        <w:tc>
          <w:tcPr>
            <w:tcW w:w="5528" w:type="dxa"/>
            <w:gridSpan w:val="14"/>
            <w:tcBorders>
              <w:top w:val="single" w:sz="4" w:space="0" w:color="auto"/>
              <w:bottom w:val="single" w:sz="4" w:space="0" w:color="auto"/>
            </w:tcBorders>
          </w:tcPr>
          <w:p w:rsidR="006F0918" w:rsidRPr="002E3691" w:rsidRDefault="006F0918" w:rsidP="006F0918">
            <w:pPr>
              <w:spacing w:before="60"/>
              <w:rPr>
                <w:sz w:val="20"/>
                <w:szCs w:val="22"/>
              </w:rPr>
            </w:pPr>
            <w:r w:rsidRPr="002E3691">
              <w:rPr>
                <w:sz w:val="20"/>
                <w:szCs w:val="22"/>
              </w:rPr>
              <w:t>X = ledamöter som deltagit i handläggningen</w:t>
            </w:r>
          </w:p>
          <w:p w:rsidR="006F0918" w:rsidRPr="002E3691" w:rsidRDefault="006F0918" w:rsidP="006F0918">
            <w:pPr>
              <w:spacing w:before="60"/>
              <w:rPr>
                <w:sz w:val="20"/>
                <w:szCs w:val="22"/>
              </w:rPr>
            </w:pPr>
            <w:r w:rsidRPr="002E3691">
              <w:rPr>
                <w:sz w:val="20"/>
                <w:szCs w:val="22"/>
              </w:rPr>
              <w:t>O = ledamöter som härutöver har varit närvarande</w:t>
            </w:r>
          </w:p>
        </w:tc>
      </w:tr>
    </w:tbl>
    <w:p w:rsidR="006C57E4" w:rsidRDefault="006C57E4" w:rsidP="00B802AB"/>
    <w:p w:rsidR="00B3122A" w:rsidRDefault="00B3122A" w:rsidP="00B802AB"/>
    <w:tbl>
      <w:tblPr>
        <w:tblpPr w:leftFromText="141" w:rightFromText="141" w:vertAnchor="page" w:horzAnchor="margin" w:tblpY="556"/>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A54FEE" w:rsidRPr="002C1D5A" w:rsidTr="00A54FEE">
        <w:trPr>
          <w:trHeight w:val="658"/>
        </w:trPr>
        <w:tc>
          <w:tcPr>
            <w:tcW w:w="4021" w:type="dxa"/>
            <w:tcBorders>
              <w:top w:val="nil"/>
              <w:left w:val="nil"/>
              <w:bottom w:val="nil"/>
              <w:right w:val="nil"/>
            </w:tcBorders>
          </w:tcPr>
          <w:p w:rsidR="00A54FEE" w:rsidRPr="002C1D5A" w:rsidRDefault="00A54FEE" w:rsidP="00A54FEE">
            <w:pPr>
              <w:tabs>
                <w:tab w:val="left" w:pos="1701"/>
              </w:tabs>
              <w:rPr>
                <w:sz w:val="22"/>
                <w:szCs w:val="24"/>
              </w:rPr>
            </w:pPr>
            <w:r>
              <w:rPr>
                <w:sz w:val="22"/>
                <w:szCs w:val="24"/>
              </w:rPr>
              <w:lastRenderedPageBreak/>
              <w:t>AR</w:t>
            </w:r>
            <w:r w:rsidRPr="002C1D5A">
              <w:rPr>
                <w:sz w:val="22"/>
                <w:szCs w:val="24"/>
              </w:rPr>
              <w:t>BETSMARKNADSUTSKOTTET</w:t>
            </w:r>
          </w:p>
          <w:p w:rsidR="00A54FEE" w:rsidRPr="002C1D5A" w:rsidRDefault="00A54FEE" w:rsidP="00A54FEE">
            <w:pPr>
              <w:tabs>
                <w:tab w:val="left" w:pos="1701"/>
              </w:tabs>
              <w:rPr>
                <w:sz w:val="22"/>
                <w:szCs w:val="24"/>
              </w:rPr>
            </w:pPr>
          </w:p>
        </w:tc>
        <w:tc>
          <w:tcPr>
            <w:tcW w:w="4021" w:type="dxa"/>
            <w:tcBorders>
              <w:top w:val="nil"/>
              <w:left w:val="nil"/>
              <w:bottom w:val="nil"/>
              <w:right w:val="nil"/>
            </w:tcBorders>
          </w:tcPr>
          <w:p w:rsidR="00A54FEE" w:rsidRPr="002C1D5A" w:rsidRDefault="00A54FEE" w:rsidP="00A54FEE">
            <w:pPr>
              <w:tabs>
                <w:tab w:val="left" w:pos="1701"/>
              </w:tabs>
              <w:jc w:val="center"/>
              <w:rPr>
                <w:b/>
                <w:sz w:val="22"/>
                <w:szCs w:val="24"/>
              </w:rPr>
            </w:pPr>
          </w:p>
        </w:tc>
        <w:tc>
          <w:tcPr>
            <w:tcW w:w="1685" w:type="dxa"/>
            <w:tcBorders>
              <w:top w:val="nil"/>
              <w:left w:val="nil"/>
              <w:bottom w:val="nil"/>
              <w:right w:val="nil"/>
            </w:tcBorders>
          </w:tcPr>
          <w:p w:rsidR="00A54FEE" w:rsidRPr="002C1D5A" w:rsidRDefault="00A54FEE" w:rsidP="00A54FEE">
            <w:pPr>
              <w:tabs>
                <w:tab w:val="left" w:pos="1701"/>
              </w:tabs>
              <w:rPr>
                <w:b/>
                <w:sz w:val="22"/>
                <w:szCs w:val="24"/>
              </w:rPr>
            </w:pPr>
            <w:r>
              <w:rPr>
                <w:b/>
                <w:sz w:val="22"/>
                <w:szCs w:val="24"/>
              </w:rPr>
              <w:t>Bilaga 2</w:t>
            </w:r>
          </w:p>
          <w:p w:rsidR="00A54FEE" w:rsidRPr="002C1D5A" w:rsidRDefault="00A54FEE" w:rsidP="00A54FEE">
            <w:pPr>
              <w:tabs>
                <w:tab w:val="left" w:pos="1701"/>
              </w:tabs>
              <w:rPr>
                <w:sz w:val="22"/>
                <w:szCs w:val="24"/>
              </w:rPr>
            </w:pPr>
            <w:r w:rsidRPr="002C1D5A">
              <w:rPr>
                <w:sz w:val="22"/>
                <w:szCs w:val="24"/>
              </w:rPr>
              <w:t>till protokoll</w:t>
            </w:r>
          </w:p>
          <w:p w:rsidR="00A54FEE" w:rsidRDefault="00A54FEE" w:rsidP="00A54FEE">
            <w:pPr>
              <w:tabs>
                <w:tab w:val="left" w:pos="1701"/>
              </w:tabs>
              <w:rPr>
                <w:sz w:val="22"/>
                <w:szCs w:val="24"/>
              </w:rPr>
            </w:pPr>
            <w:r>
              <w:rPr>
                <w:sz w:val="22"/>
                <w:szCs w:val="24"/>
              </w:rPr>
              <w:t>2020/21:4</w:t>
            </w:r>
          </w:p>
          <w:p w:rsidR="00A54FEE" w:rsidRPr="002C1D5A" w:rsidRDefault="00A54FEE" w:rsidP="00A54FEE">
            <w:pPr>
              <w:tabs>
                <w:tab w:val="left" w:pos="1701"/>
              </w:tabs>
              <w:rPr>
                <w:sz w:val="22"/>
                <w:szCs w:val="24"/>
              </w:rPr>
            </w:pPr>
          </w:p>
        </w:tc>
      </w:tr>
    </w:tbl>
    <w:p w:rsidR="00B3122A" w:rsidRDefault="00B3122A" w:rsidP="00B802AB"/>
    <w:p w:rsidR="00B3122A" w:rsidRDefault="00B3122A" w:rsidP="00B802AB"/>
    <w:p w:rsidR="00B3122A" w:rsidRDefault="00B3122A" w:rsidP="00B802AB"/>
    <w:p w:rsidR="00A54FEE" w:rsidRDefault="00A54FEE" w:rsidP="00B802AB"/>
    <w:p w:rsidR="00A54FEE" w:rsidRPr="00A54FEE" w:rsidRDefault="00A54FEE" w:rsidP="00A54FEE">
      <w:pPr>
        <w:autoSpaceDE w:val="0"/>
        <w:autoSpaceDN w:val="0"/>
        <w:spacing w:before="67"/>
        <w:ind w:left="5645"/>
        <w:rPr>
          <w:rFonts w:ascii="Arial" w:eastAsia="Garamond" w:hAnsi="Garamond" w:cs="Garamond"/>
          <w:b/>
          <w:sz w:val="19"/>
          <w:szCs w:val="22"/>
          <w:lang w:eastAsia="en-US"/>
        </w:rPr>
      </w:pPr>
      <w:r w:rsidRPr="00A54FEE">
        <w:rPr>
          <w:rFonts w:ascii="Garamond" w:eastAsia="Garamond" w:hAnsi="Garamond" w:cs="Garamond"/>
          <w:noProof/>
          <w:sz w:val="22"/>
          <w:szCs w:val="22"/>
          <w:lang w:eastAsia="en-US"/>
        </w:rPr>
        <w:drawing>
          <wp:anchor distT="0" distB="0" distL="0" distR="0" simplePos="0" relativeHeight="251666432" behindDoc="0" locked="0" layoutInCell="1" allowOverlap="1" wp14:anchorId="417BB5FA" wp14:editId="420113FB">
            <wp:simplePos x="0" y="0"/>
            <wp:positionH relativeFrom="page">
              <wp:posOffset>1018411</wp:posOffset>
            </wp:positionH>
            <wp:positionV relativeFrom="paragraph">
              <wp:posOffset>250045</wp:posOffset>
            </wp:positionV>
            <wp:extent cx="1343387" cy="1619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43387" cy="161925"/>
                    </a:xfrm>
                    <a:prstGeom prst="rect">
                      <a:avLst/>
                    </a:prstGeom>
                  </pic:spPr>
                </pic:pic>
              </a:graphicData>
            </a:graphic>
          </wp:anchor>
        </w:drawing>
      </w:r>
      <w:r w:rsidRPr="00A54FEE">
        <w:rPr>
          <w:rFonts w:ascii="Garamond" w:eastAsia="Garamond" w:hAnsi="Garamond" w:cs="Garamond"/>
          <w:noProof/>
          <w:sz w:val="22"/>
          <w:szCs w:val="22"/>
          <w:lang w:eastAsia="en-US"/>
        </w:rPr>
        <w:drawing>
          <wp:anchor distT="0" distB="0" distL="0" distR="0" simplePos="0" relativeHeight="251665408" behindDoc="0" locked="0" layoutInCell="1" allowOverlap="1" wp14:anchorId="3E686E0F" wp14:editId="4753022D">
            <wp:simplePos x="0" y="0"/>
            <wp:positionH relativeFrom="page">
              <wp:posOffset>635091</wp:posOffset>
            </wp:positionH>
            <wp:positionV relativeFrom="paragraph">
              <wp:posOffset>51886</wp:posOffset>
            </wp:positionV>
            <wp:extent cx="282947" cy="48850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82947" cy="488504"/>
                    </a:xfrm>
                    <a:prstGeom prst="rect">
                      <a:avLst/>
                    </a:prstGeom>
                  </pic:spPr>
                </pic:pic>
              </a:graphicData>
            </a:graphic>
          </wp:anchor>
        </w:drawing>
      </w:r>
      <w:r w:rsidRPr="00A54FEE">
        <w:rPr>
          <w:rFonts w:ascii="Arial" w:eastAsia="Garamond" w:hAnsi="Garamond" w:cs="Garamond"/>
          <w:b/>
          <w:sz w:val="19"/>
          <w:szCs w:val="22"/>
          <w:lang w:eastAsia="en-US"/>
        </w:rPr>
        <w:t>Promemoria</w:t>
      </w:r>
    </w:p>
    <w:p w:rsidR="00A54FEE" w:rsidRPr="00A54FEE" w:rsidRDefault="00A54FEE" w:rsidP="00A54FEE">
      <w:pPr>
        <w:autoSpaceDE w:val="0"/>
        <w:autoSpaceDN w:val="0"/>
        <w:spacing w:before="44"/>
        <w:ind w:left="5645"/>
        <w:rPr>
          <w:rFonts w:ascii="Arial" w:eastAsia="Garamond" w:hAnsi="Garamond" w:cs="Garamond"/>
          <w:sz w:val="19"/>
          <w:szCs w:val="22"/>
          <w:lang w:eastAsia="en-US"/>
        </w:rPr>
      </w:pPr>
      <w:r w:rsidRPr="00A54FEE">
        <w:rPr>
          <w:rFonts w:ascii="Arial" w:eastAsia="Garamond" w:hAnsi="Garamond" w:cs="Garamond"/>
          <w:sz w:val="19"/>
          <w:szCs w:val="22"/>
          <w:lang w:eastAsia="en-US"/>
        </w:rPr>
        <w:t>2020-10-01</w:t>
      </w:r>
    </w:p>
    <w:p w:rsidR="00A54FEE" w:rsidRPr="00A54FEE" w:rsidRDefault="00A54FEE" w:rsidP="00A54FEE">
      <w:pPr>
        <w:autoSpaceDE w:val="0"/>
        <w:autoSpaceDN w:val="0"/>
        <w:rPr>
          <w:rFonts w:ascii="Arial" w:eastAsia="Garamond" w:hAnsi="Garamond" w:cs="Garamond"/>
          <w:sz w:val="20"/>
          <w:szCs w:val="25"/>
          <w:lang w:eastAsia="en-US"/>
        </w:rPr>
      </w:pPr>
    </w:p>
    <w:p w:rsidR="00A54FEE" w:rsidRPr="00A54FEE" w:rsidRDefault="00A54FEE" w:rsidP="00A54FEE">
      <w:pPr>
        <w:autoSpaceDE w:val="0"/>
        <w:autoSpaceDN w:val="0"/>
        <w:rPr>
          <w:rFonts w:ascii="Arial" w:eastAsia="Garamond" w:hAnsi="Garamond" w:cs="Garamond"/>
          <w:sz w:val="20"/>
          <w:szCs w:val="25"/>
          <w:lang w:eastAsia="en-US"/>
        </w:rPr>
      </w:pPr>
    </w:p>
    <w:p w:rsidR="00A54FEE" w:rsidRPr="00A54FEE" w:rsidRDefault="00A54FEE" w:rsidP="00A54FEE">
      <w:pPr>
        <w:autoSpaceDE w:val="0"/>
        <w:autoSpaceDN w:val="0"/>
        <w:rPr>
          <w:rFonts w:ascii="Arial" w:eastAsia="Garamond" w:hAnsi="Garamond" w:cs="Garamond"/>
          <w:sz w:val="20"/>
          <w:szCs w:val="25"/>
          <w:lang w:eastAsia="en-US"/>
        </w:rPr>
      </w:pPr>
    </w:p>
    <w:p w:rsidR="00A54FEE" w:rsidRPr="00A54FEE" w:rsidRDefault="00A54FEE" w:rsidP="00A54FEE">
      <w:pPr>
        <w:autoSpaceDE w:val="0"/>
        <w:autoSpaceDN w:val="0"/>
        <w:spacing w:before="8"/>
        <w:rPr>
          <w:rFonts w:ascii="Arial" w:eastAsia="Garamond" w:hAnsi="Garamond" w:cs="Garamond"/>
          <w:sz w:val="23"/>
          <w:szCs w:val="25"/>
          <w:lang w:eastAsia="en-US"/>
        </w:rPr>
      </w:pPr>
    </w:p>
    <w:p w:rsidR="00A54FEE" w:rsidRPr="00A54FEE" w:rsidRDefault="00A54FEE" w:rsidP="00A54FEE">
      <w:pPr>
        <w:autoSpaceDE w:val="0"/>
        <w:autoSpaceDN w:val="0"/>
        <w:spacing w:before="94"/>
        <w:ind w:left="111"/>
        <w:rPr>
          <w:rFonts w:ascii="Arial" w:eastAsia="Garamond" w:hAnsi="Garamond" w:cs="Garamond"/>
          <w:sz w:val="19"/>
          <w:szCs w:val="22"/>
          <w:lang w:eastAsia="en-US"/>
        </w:rPr>
      </w:pPr>
      <w:r w:rsidRPr="00A54FEE">
        <w:rPr>
          <w:rFonts w:ascii="Arial" w:eastAsia="Garamond" w:hAnsi="Garamond" w:cs="Garamond"/>
          <w:b/>
          <w:sz w:val="19"/>
          <w:szCs w:val="22"/>
          <w:lang w:eastAsia="en-US"/>
        </w:rPr>
        <w:t>Arbetsmarknadsdepartementet</w:t>
      </w:r>
      <w:r w:rsidRPr="00A54FEE">
        <w:rPr>
          <w:rFonts w:ascii="Arial" w:eastAsia="Garamond" w:hAnsi="Garamond" w:cs="Garamond"/>
          <w:b/>
          <w:sz w:val="19"/>
          <w:szCs w:val="22"/>
          <w:lang w:eastAsia="en-US"/>
        </w:rPr>
        <w:tab/>
      </w:r>
      <w:r w:rsidRPr="00A54FEE">
        <w:rPr>
          <w:rFonts w:ascii="Arial" w:eastAsia="Garamond" w:hAnsi="Garamond" w:cs="Garamond"/>
          <w:b/>
          <w:sz w:val="19"/>
          <w:szCs w:val="22"/>
          <w:lang w:eastAsia="en-US"/>
        </w:rPr>
        <w:tab/>
      </w:r>
      <w:r w:rsidRPr="00A54FEE">
        <w:rPr>
          <w:rFonts w:ascii="Arial" w:eastAsia="Garamond" w:hAnsi="Garamond" w:cs="Garamond"/>
          <w:b/>
          <w:sz w:val="19"/>
          <w:szCs w:val="22"/>
          <w:lang w:eastAsia="en-US"/>
        </w:rPr>
        <w:tab/>
      </w:r>
      <w:r w:rsidRPr="00A54FEE">
        <w:rPr>
          <w:rFonts w:ascii="Arial" w:eastAsia="Garamond" w:hAnsi="Garamond" w:cs="Garamond"/>
          <w:b/>
          <w:sz w:val="19"/>
          <w:szCs w:val="22"/>
          <w:lang w:eastAsia="en-US"/>
        </w:rPr>
        <w:tab/>
      </w:r>
      <w:r w:rsidRPr="00A54FEE">
        <w:rPr>
          <w:rFonts w:ascii="Arial" w:eastAsia="Garamond" w:hAnsi="Garamond" w:cs="Garamond"/>
          <w:sz w:val="19"/>
          <w:szCs w:val="22"/>
          <w:lang w:eastAsia="en-US"/>
        </w:rPr>
        <w:t>Arbetsmarknadsutskottet</w:t>
      </w:r>
      <w:r w:rsidRPr="00A54FEE">
        <w:rPr>
          <w:rFonts w:ascii="Arial" w:eastAsia="Garamond" w:hAnsi="Garamond" w:cs="Garamond"/>
          <w:sz w:val="19"/>
          <w:szCs w:val="22"/>
          <w:lang w:eastAsia="en-US"/>
        </w:rPr>
        <w:br/>
      </w:r>
      <w:r w:rsidRPr="00A54FEE">
        <w:rPr>
          <w:rFonts w:ascii="Arial" w:eastAsia="Garamond" w:hAnsi="Garamond" w:cs="Garamond"/>
          <w:sz w:val="19"/>
          <w:szCs w:val="22"/>
          <w:lang w:eastAsia="en-US"/>
        </w:rPr>
        <w:tab/>
      </w:r>
      <w:r w:rsidRPr="00A54FEE">
        <w:rPr>
          <w:rFonts w:ascii="Arial" w:eastAsia="Garamond" w:hAnsi="Garamond" w:cs="Garamond"/>
          <w:sz w:val="19"/>
          <w:szCs w:val="22"/>
          <w:lang w:eastAsia="en-US"/>
        </w:rPr>
        <w:tab/>
      </w:r>
      <w:r w:rsidRPr="00A54FEE">
        <w:rPr>
          <w:rFonts w:ascii="Arial" w:eastAsia="Garamond" w:hAnsi="Garamond" w:cs="Garamond"/>
          <w:sz w:val="19"/>
          <w:szCs w:val="22"/>
          <w:lang w:eastAsia="en-US"/>
        </w:rPr>
        <w:tab/>
      </w:r>
      <w:r w:rsidRPr="00A54FEE">
        <w:rPr>
          <w:rFonts w:ascii="Arial" w:eastAsia="Garamond" w:hAnsi="Garamond" w:cs="Garamond"/>
          <w:sz w:val="19"/>
          <w:szCs w:val="22"/>
          <w:lang w:eastAsia="en-US"/>
        </w:rPr>
        <w:tab/>
      </w:r>
      <w:r w:rsidRPr="00A54FEE">
        <w:rPr>
          <w:rFonts w:ascii="Arial" w:eastAsia="Garamond" w:hAnsi="Garamond" w:cs="Garamond"/>
          <w:sz w:val="19"/>
          <w:szCs w:val="22"/>
          <w:lang w:eastAsia="en-US"/>
        </w:rPr>
        <w:tab/>
      </w:r>
      <w:r w:rsidRPr="00A54FEE">
        <w:rPr>
          <w:rFonts w:ascii="Arial" w:eastAsia="Garamond" w:hAnsi="Garamond" w:cs="Garamond"/>
          <w:sz w:val="19"/>
          <w:szCs w:val="22"/>
          <w:lang w:eastAsia="en-US"/>
        </w:rPr>
        <w:tab/>
      </w:r>
      <w:r w:rsidRPr="00A54FEE">
        <w:rPr>
          <w:rFonts w:ascii="Arial" w:eastAsia="Garamond" w:hAnsi="Garamond" w:cs="Garamond"/>
          <w:sz w:val="19"/>
          <w:szCs w:val="22"/>
          <w:lang w:eastAsia="en-US"/>
        </w:rPr>
        <w:tab/>
      </w:r>
      <w:r w:rsidRPr="00A54FEE">
        <w:rPr>
          <w:rFonts w:ascii="Arial" w:eastAsia="Garamond" w:hAnsi="Garamond" w:cs="Garamond"/>
          <w:sz w:val="19"/>
          <w:szCs w:val="22"/>
          <w:lang w:eastAsia="en-US"/>
        </w:rPr>
        <w:tab/>
        <w:t>Diarienummer: 250/2020/21</w:t>
      </w:r>
    </w:p>
    <w:p w:rsidR="00A54FEE" w:rsidRPr="00A54FEE" w:rsidRDefault="00A54FEE" w:rsidP="00A54FEE">
      <w:pPr>
        <w:autoSpaceDE w:val="0"/>
        <w:autoSpaceDN w:val="0"/>
        <w:rPr>
          <w:rFonts w:ascii="Arial" w:eastAsia="Garamond" w:hAnsi="Garamond" w:cs="Garamond"/>
          <w:sz w:val="20"/>
          <w:szCs w:val="25"/>
          <w:lang w:eastAsia="en-US"/>
        </w:rPr>
      </w:pPr>
    </w:p>
    <w:p w:rsidR="00A54FEE" w:rsidRPr="00A54FEE" w:rsidRDefault="00A54FEE" w:rsidP="00A54FEE">
      <w:pPr>
        <w:autoSpaceDE w:val="0"/>
        <w:autoSpaceDN w:val="0"/>
        <w:rPr>
          <w:rFonts w:ascii="Arial" w:eastAsia="Garamond" w:hAnsi="Garamond" w:cs="Garamond"/>
          <w:b/>
          <w:sz w:val="20"/>
          <w:szCs w:val="25"/>
          <w:lang w:eastAsia="en-US"/>
        </w:rPr>
      </w:pPr>
    </w:p>
    <w:p w:rsidR="00A54FEE" w:rsidRPr="00A54FEE" w:rsidRDefault="00A54FEE" w:rsidP="00A54FEE">
      <w:pPr>
        <w:autoSpaceDE w:val="0"/>
        <w:autoSpaceDN w:val="0"/>
        <w:rPr>
          <w:rFonts w:ascii="Arial" w:eastAsia="Garamond" w:hAnsi="Garamond" w:cs="Garamond"/>
          <w:b/>
          <w:sz w:val="20"/>
          <w:szCs w:val="25"/>
          <w:lang w:eastAsia="en-US"/>
        </w:rPr>
      </w:pPr>
    </w:p>
    <w:p w:rsidR="00A54FEE" w:rsidRPr="00A54FEE" w:rsidRDefault="00A54FEE" w:rsidP="00A54FEE">
      <w:pPr>
        <w:autoSpaceDE w:val="0"/>
        <w:autoSpaceDN w:val="0"/>
        <w:spacing w:before="230" w:line="276" w:lineRule="auto"/>
        <w:ind w:left="1587" w:right="430"/>
        <w:rPr>
          <w:rFonts w:ascii="Arial" w:eastAsia="Arial" w:hAnsi="Arial" w:cs="Arial"/>
          <w:sz w:val="26"/>
          <w:szCs w:val="26"/>
          <w:lang w:eastAsia="en-US"/>
        </w:rPr>
      </w:pPr>
      <w:r w:rsidRPr="00A54FEE">
        <w:rPr>
          <w:rFonts w:ascii="Arial" w:eastAsia="Arial" w:hAnsi="Arial" w:cs="Arial"/>
          <w:sz w:val="26"/>
          <w:szCs w:val="26"/>
          <w:lang w:eastAsia="en-US"/>
        </w:rPr>
        <w:t>Överläggningspromemoria till arbetsmarknadsutskottet om kommissionens aviserade initiativ om transparens i lönesättningen i syfte att stärka principen om lika lön för kvinnor och män för lika eller likvärdigt arbete</w:t>
      </w:r>
    </w:p>
    <w:p w:rsidR="00A54FEE" w:rsidRPr="00A54FEE" w:rsidRDefault="00A54FEE" w:rsidP="00A54FEE">
      <w:pPr>
        <w:autoSpaceDE w:val="0"/>
        <w:autoSpaceDN w:val="0"/>
        <w:rPr>
          <w:rFonts w:ascii="Arial" w:eastAsia="Garamond" w:hAnsi="Garamond" w:cs="Garamond"/>
          <w:sz w:val="28"/>
          <w:szCs w:val="25"/>
          <w:lang w:eastAsia="en-US"/>
        </w:rPr>
      </w:pPr>
    </w:p>
    <w:p w:rsidR="00A54FEE" w:rsidRPr="00A54FEE" w:rsidRDefault="00A54FEE" w:rsidP="00A54FEE">
      <w:pPr>
        <w:autoSpaceDE w:val="0"/>
        <w:autoSpaceDN w:val="0"/>
        <w:spacing w:before="1"/>
        <w:rPr>
          <w:rFonts w:ascii="Arial" w:eastAsia="Garamond" w:hAnsi="Garamond" w:cs="Garamond"/>
          <w:szCs w:val="25"/>
          <w:lang w:eastAsia="en-US"/>
        </w:rPr>
      </w:pPr>
    </w:p>
    <w:p w:rsidR="00A54FEE" w:rsidRPr="00A54FEE" w:rsidRDefault="00A54FEE" w:rsidP="00A54FEE">
      <w:pPr>
        <w:autoSpaceDE w:val="0"/>
        <w:autoSpaceDN w:val="0"/>
        <w:ind w:left="1587"/>
        <w:rPr>
          <w:rFonts w:ascii="Garamond" w:eastAsia="Garamond" w:hAnsi="Garamond" w:cs="Garamond"/>
          <w:szCs w:val="22"/>
          <w:lang w:eastAsia="en-US"/>
        </w:rPr>
      </w:pPr>
      <w:r w:rsidRPr="00A54FEE">
        <w:rPr>
          <w:rFonts w:ascii="Garamond" w:eastAsia="Garamond" w:hAnsi="Garamond" w:cs="Garamond"/>
          <w:b/>
          <w:szCs w:val="22"/>
          <w:lang w:eastAsia="en-US"/>
        </w:rPr>
        <w:t xml:space="preserve">Dokument: </w:t>
      </w:r>
      <w:r w:rsidRPr="00A54FEE">
        <w:rPr>
          <w:rFonts w:ascii="Garamond" w:eastAsia="Garamond" w:hAnsi="Garamond" w:cs="Garamond"/>
          <w:szCs w:val="22"/>
          <w:lang w:eastAsia="en-US"/>
        </w:rPr>
        <w:t>-</w:t>
      </w:r>
    </w:p>
    <w:p w:rsidR="00A54FEE" w:rsidRPr="00A54FEE" w:rsidRDefault="00A54FEE" w:rsidP="00A54FEE">
      <w:pPr>
        <w:autoSpaceDE w:val="0"/>
        <w:autoSpaceDN w:val="0"/>
        <w:spacing w:before="8"/>
        <w:rPr>
          <w:rFonts w:ascii="Garamond" w:eastAsia="Garamond" w:hAnsi="Garamond" w:cs="Garamond"/>
          <w:sz w:val="28"/>
          <w:szCs w:val="25"/>
          <w:lang w:eastAsia="en-US"/>
        </w:rPr>
      </w:pPr>
    </w:p>
    <w:p w:rsidR="00A54FEE" w:rsidRPr="00A54FEE" w:rsidRDefault="00A54FEE" w:rsidP="00A54FEE">
      <w:pPr>
        <w:autoSpaceDE w:val="0"/>
        <w:autoSpaceDN w:val="0"/>
        <w:ind w:left="1587"/>
        <w:rPr>
          <w:rFonts w:ascii="Garamond" w:eastAsia="Garamond" w:hAnsi="Garamond" w:cs="Garamond"/>
          <w:szCs w:val="22"/>
          <w:lang w:eastAsia="en-US"/>
        </w:rPr>
      </w:pPr>
      <w:r w:rsidRPr="00A54FEE">
        <w:rPr>
          <w:rFonts w:ascii="Garamond" w:eastAsia="Garamond" w:hAnsi="Garamond" w:cs="Garamond"/>
          <w:b/>
          <w:szCs w:val="22"/>
          <w:lang w:eastAsia="en-US"/>
        </w:rPr>
        <w:t xml:space="preserve">Tidigare dokument till utskottet: </w:t>
      </w:r>
      <w:r w:rsidRPr="00A54FEE">
        <w:rPr>
          <w:rFonts w:ascii="Garamond" w:eastAsia="Garamond" w:hAnsi="Garamond" w:cs="Garamond"/>
          <w:szCs w:val="22"/>
          <w:lang w:eastAsia="en-US"/>
        </w:rPr>
        <w:t>-</w:t>
      </w:r>
    </w:p>
    <w:p w:rsidR="00A54FEE" w:rsidRPr="00A54FEE" w:rsidRDefault="00A54FEE" w:rsidP="00A54FEE">
      <w:pPr>
        <w:autoSpaceDE w:val="0"/>
        <w:autoSpaceDN w:val="0"/>
        <w:rPr>
          <w:rFonts w:ascii="Garamond" w:eastAsia="Garamond" w:hAnsi="Garamond" w:cs="Garamond"/>
          <w:szCs w:val="25"/>
          <w:lang w:eastAsia="en-US"/>
        </w:rPr>
      </w:pPr>
    </w:p>
    <w:p w:rsidR="00A54FEE" w:rsidRPr="00A54FEE" w:rsidRDefault="00A54FEE" w:rsidP="00A54FEE">
      <w:pPr>
        <w:autoSpaceDE w:val="0"/>
        <w:autoSpaceDN w:val="0"/>
        <w:ind w:left="1587"/>
        <w:rPr>
          <w:rFonts w:ascii="Garamond" w:eastAsia="Garamond" w:hAnsi="Garamond" w:cs="Garamond"/>
          <w:szCs w:val="22"/>
          <w:lang w:eastAsia="en-US"/>
        </w:rPr>
      </w:pPr>
      <w:r w:rsidRPr="00A54FEE">
        <w:rPr>
          <w:rFonts w:ascii="Garamond" w:eastAsia="Garamond" w:hAnsi="Garamond" w:cs="Garamond"/>
          <w:b/>
          <w:szCs w:val="22"/>
          <w:lang w:eastAsia="en-US"/>
        </w:rPr>
        <w:t xml:space="preserve">Tidigare behandlad vid samråd med EU-nämnden: </w:t>
      </w:r>
      <w:r w:rsidRPr="00A54FEE">
        <w:rPr>
          <w:rFonts w:ascii="Garamond" w:eastAsia="Garamond" w:hAnsi="Garamond" w:cs="Garamond"/>
          <w:szCs w:val="22"/>
          <w:lang w:eastAsia="en-US"/>
        </w:rPr>
        <w:t>-</w:t>
      </w:r>
    </w:p>
    <w:p w:rsidR="00A54FEE" w:rsidRPr="00A54FEE" w:rsidRDefault="00A54FEE" w:rsidP="00A54FEE">
      <w:pPr>
        <w:autoSpaceDE w:val="0"/>
        <w:autoSpaceDN w:val="0"/>
        <w:spacing w:before="9"/>
        <w:rPr>
          <w:rFonts w:ascii="Garamond" w:eastAsia="Garamond" w:hAnsi="Garamond" w:cs="Garamond"/>
          <w:sz w:val="23"/>
          <w:szCs w:val="25"/>
          <w:lang w:eastAsia="en-US"/>
        </w:rPr>
      </w:pPr>
    </w:p>
    <w:p w:rsidR="00A54FEE" w:rsidRPr="00A54FEE" w:rsidRDefault="00A54FEE" w:rsidP="00A54FEE">
      <w:pPr>
        <w:autoSpaceDE w:val="0"/>
        <w:autoSpaceDN w:val="0"/>
        <w:spacing w:line="278" w:lineRule="auto"/>
        <w:ind w:left="1587" w:right="713"/>
        <w:rPr>
          <w:rFonts w:ascii="Garamond" w:eastAsia="Garamond" w:hAnsi="Garamond" w:cs="Garamond"/>
          <w:szCs w:val="22"/>
          <w:lang w:eastAsia="en-US"/>
        </w:rPr>
      </w:pPr>
      <w:r w:rsidRPr="00A54FEE">
        <w:rPr>
          <w:rFonts w:ascii="Garamond" w:eastAsia="Garamond" w:hAnsi="Garamond" w:cs="Garamond"/>
          <w:b/>
          <w:szCs w:val="22"/>
          <w:lang w:eastAsia="en-US"/>
        </w:rPr>
        <w:t xml:space="preserve">Tidigare behandlad vid möte med arbetsmarknadsutskottet: </w:t>
      </w:r>
      <w:r w:rsidRPr="00A54FEE">
        <w:rPr>
          <w:rFonts w:ascii="Garamond" w:eastAsia="Garamond" w:hAnsi="Garamond" w:cs="Garamond"/>
          <w:szCs w:val="22"/>
          <w:lang w:eastAsia="en-US"/>
        </w:rPr>
        <w:t>Utskottet informerades den 11 februari 2020 och den 22 september 2020.</w:t>
      </w:r>
    </w:p>
    <w:p w:rsidR="00A54FEE" w:rsidRPr="00A54FEE" w:rsidRDefault="00A54FEE" w:rsidP="00A54FEE">
      <w:pPr>
        <w:autoSpaceDE w:val="0"/>
        <w:autoSpaceDN w:val="0"/>
        <w:spacing w:before="2"/>
        <w:rPr>
          <w:rFonts w:ascii="Garamond" w:eastAsia="Garamond" w:hAnsi="Garamond" w:cs="Garamond"/>
          <w:sz w:val="28"/>
          <w:szCs w:val="25"/>
          <w:lang w:eastAsia="en-US"/>
        </w:rPr>
      </w:pPr>
    </w:p>
    <w:p w:rsidR="00A54FEE" w:rsidRPr="00A54FEE" w:rsidRDefault="00A54FEE" w:rsidP="00A54FEE">
      <w:pPr>
        <w:numPr>
          <w:ilvl w:val="0"/>
          <w:numId w:val="29"/>
        </w:numPr>
        <w:tabs>
          <w:tab w:val="left" w:pos="1988"/>
        </w:tabs>
        <w:autoSpaceDE w:val="0"/>
        <w:autoSpaceDN w:val="0"/>
        <w:rPr>
          <w:rFonts w:ascii="Arial" w:eastAsia="Garamond" w:hAnsi="Garamond" w:cs="Garamond"/>
          <w:szCs w:val="22"/>
          <w:lang w:eastAsia="en-US"/>
        </w:rPr>
      </w:pPr>
      <w:bookmarkStart w:id="2" w:name="1.____Bakgrund"/>
      <w:bookmarkEnd w:id="2"/>
      <w:r w:rsidRPr="00A54FEE">
        <w:rPr>
          <w:rFonts w:ascii="Arial" w:eastAsia="Garamond" w:hAnsi="Garamond" w:cs="Garamond"/>
          <w:szCs w:val="22"/>
          <w:lang w:eastAsia="en-US"/>
        </w:rPr>
        <w:t>Bakgrund</w:t>
      </w:r>
    </w:p>
    <w:p w:rsidR="00A54FEE" w:rsidRPr="00A54FEE" w:rsidRDefault="00A54FEE" w:rsidP="00A54FEE">
      <w:pPr>
        <w:autoSpaceDE w:val="0"/>
        <w:autoSpaceDN w:val="0"/>
        <w:spacing w:before="121" w:line="276" w:lineRule="auto"/>
        <w:ind w:left="1587" w:right="415"/>
        <w:rPr>
          <w:rFonts w:ascii="Garamond" w:eastAsia="Garamond" w:hAnsi="Garamond" w:cs="Garamond"/>
          <w:sz w:val="25"/>
          <w:szCs w:val="25"/>
          <w:lang w:eastAsia="en-US"/>
        </w:rPr>
      </w:pPr>
      <w:r w:rsidRPr="00A54FEE">
        <w:rPr>
          <w:rFonts w:ascii="Garamond" w:eastAsia="Garamond" w:hAnsi="Garamond" w:cs="Garamond"/>
          <w:sz w:val="25"/>
          <w:szCs w:val="25"/>
          <w:lang w:eastAsia="en-US"/>
        </w:rPr>
        <w:t>I kommissionsordförandens politiska riktlinjer för innevarande kommissionsperiod, och i kommissionens arbetsprogram för 2020 aviseras ett initiativ om rättsligt bindande åtgärder för transparens i lönesättningen. Detta har sedermera bekräftats i kommissionens jämställdhetsstrategi vilken antogs av kommissionen den 5 mars 2020.</w:t>
      </w:r>
    </w:p>
    <w:p w:rsidR="00A54FEE" w:rsidRPr="00A54FEE" w:rsidRDefault="00A54FEE" w:rsidP="00A54FEE">
      <w:pPr>
        <w:autoSpaceDE w:val="0"/>
        <w:autoSpaceDN w:val="0"/>
        <w:spacing w:before="10"/>
        <w:rPr>
          <w:rFonts w:ascii="Garamond" w:eastAsia="Garamond" w:hAnsi="Garamond" w:cs="Garamond"/>
          <w:szCs w:val="25"/>
          <w:lang w:eastAsia="en-US"/>
        </w:rPr>
      </w:pPr>
    </w:p>
    <w:p w:rsidR="00A54FEE" w:rsidRPr="00A54FEE" w:rsidRDefault="00A54FEE" w:rsidP="00A54FEE">
      <w:pPr>
        <w:autoSpaceDE w:val="0"/>
        <w:autoSpaceDN w:val="0"/>
        <w:spacing w:before="1" w:line="276" w:lineRule="auto"/>
        <w:ind w:left="1586" w:right="430"/>
        <w:rPr>
          <w:rFonts w:ascii="Garamond" w:eastAsia="Garamond" w:hAnsi="Garamond" w:cs="Garamond"/>
          <w:sz w:val="25"/>
          <w:szCs w:val="25"/>
          <w:lang w:eastAsia="en-US"/>
        </w:rPr>
      </w:pPr>
      <w:r w:rsidRPr="00A54FEE">
        <w:rPr>
          <w:rFonts w:ascii="Garamond" w:eastAsia="Garamond" w:hAnsi="Garamond" w:cs="Garamond"/>
          <w:sz w:val="25"/>
          <w:szCs w:val="25"/>
          <w:lang w:eastAsia="en-US"/>
        </w:rPr>
        <w:t>Unionens grundläggande värden finns upptagna i artikel 2 i fördraget om EU. Enligt artikeln ska principerna om icke-diskriminering och jämställdhet mellan kvinnor och män prägla samhället, och utgör därför grundläggande uppgifter för unionen. Principen om lika lön för kvinnor och män för lika eller likvärdigt arbete stadgas vidare i artikel 157 i fördraget om EU:s funktionssätt.</w:t>
      </w:r>
    </w:p>
    <w:p w:rsidR="00A54FEE" w:rsidRPr="00A54FEE" w:rsidRDefault="00A54FEE" w:rsidP="00A54FEE">
      <w:pPr>
        <w:autoSpaceDE w:val="0"/>
        <w:autoSpaceDN w:val="0"/>
        <w:spacing w:before="8"/>
        <w:rPr>
          <w:rFonts w:ascii="Garamond" w:eastAsia="Garamond" w:hAnsi="Garamond" w:cs="Garamond"/>
          <w:szCs w:val="25"/>
          <w:lang w:eastAsia="en-US"/>
        </w:rPr>
      </w:pPr>
    </w:p>
    <w:p w:rsidR="00A54FEE" w:rsidRPr="00A54FEE" w:rsidRDefault="00A54FEE" w:rsidP="00A54FEE">
      <w:pPr>
        <w:autoSpaceDE w:val="0"/>
        <w:autoSpaceDN w:val="0"/>
        <w:spacing w:before="1" w:line="276" w:lineRule="auto"/>
        <w:ind w:left="1587" w:right="752"/>
        <w:rPr>
          <w:rFonts w:ascii="Garamond" w:eastAsia="Garamond" w:hAnsi="Garamond" w:cs="Garamond"/>
          <w:sz w:val="25"/>
          <w:szCs w:val="25"/>
          <w:lang w:eastAsia="en-US"/>
        </w:rPr>
      </w:pPr>
      <w:r w:rsidRPr="00A54FEE">
        <w:rPr>
          <w:rFonts w:ascii="Garamond" w:eastAsia="Garamond" w:hAnsi="Garamond" w:cs="Garamond"/>
          <w:sz w:val="25"/>
          <w:szCs w:val="25"/>
          <w:lang w:eastAsia="en-US"/>
        </w:rPr>
        <w:t>I artiklarna 21 och 23 i EU:s stadga om de grundläggande rättigheterna förbjuds all könsdiskriminering och fastställs rätten till likabehandling av</w:t>
      </w:r>
    </w:p>
    <w:p w:rsidR="00A54FEE" w:rsidRPr="00A54FEE" w:rsidRDefault="00A54FEE" w:rsidP="00A54FEE">
      <w:pPr>
        <w:autoSpaceDE w:val="0"/>
        <w:autoSpaceDN w:val="0"/>
        <w:spacing w:line="276" w:lineRule="auto"/>
        <w:rPr>
          <w:rFonts w:ascii="Garamond" w:eastAsia="Garamond" w:hAnsi="Garamond" w:cs="Garamond"/>
          <w:sz w:val="22"/>
          <w:szCs w:val="22"/>
          <w:lang w:eastAsia="en-US"/>
        </w:rPr>
        <w:sectPr w:rsidR="00A54FEE" w:rsidRPr="00A54FEE">
          <w:type w:val="continuous"/>
          <w:pgSz w:w="11910" w:h="16840"/>
          <w:pgMar w:top="480" w:right="1680" w:bottom="280" w:left="880" w:header="720" w:footer="720" w:gutter="0"/>
          <w:cols w:space="720"/>
        </w:sectPr>
      </w:pPr>
    </w:p>
    <w:p w:rsidR="00A54FEE" w:rsidRPr="00A54FEE" w:rsidRDefault="00A54FEE" w:rsidP="00A54FEE">
      <w:pPr>
        <w:autoSpaceDE w:val="0"/>
        <w:autoSpaceDN w:val="0"/>
        <w:spacing w:before="10"/>
        <w:rPr>
          <w:rFonts w:ascii="Garamond" w:eastAsia="Garamond" w:hAnsi="Garamond" w:cs="Garamond"/>
          <w:sz w:val="12"/>
          <w:szCs w:val="25"/>
          <w:lang w:eastAsia="en-US"/>
        </w:rPr>
      </w:pPr>
    </w:p>
    <w:p w:rsidR="00A54FEE" w:rsidRPr="00A54FEE" w:rsidRDefault="00A54FEE" w:rsidP="00A54FEE">
      <w:pPr>
        <w:autoSpaceDE w:val="0"/>
        <w:autoSpaceDN w:val="0"/>
        <w:spacing w:before="100" w:line="276" w:lineRule="auto"/>
        <w:ind w:left="1587" w:right="618"/>
        <w:rPr>
          <w:rFonts w:ascii="Garamond" w:eastAsia="Garamond" w:hAnsi="Garamond" w:cs="Garamond"/>
          <w:sz w:val="25"/>
          <w:szCs w:val="25"/>
          <w:lang w:eastAsia="en-US"/>
        </w:rPr>
      </w:pPr>
      <w:r w:rsidRPr="00A54FEE">
        <w:rPr>
          <w:rFonts w:ascii="Garamond" w:eastAsia="Garamond" w:hAnsi="Garamond" w:cs="Garamond"/>
          <w:sz w:val="25"/>
          <w:szCs w:val="25"/>
          <w:lang w:eastAsia="en-US"/>
        </w:rPr>
        <w:t>kvinnor och män på alla områden, inklusive i fråga om anställning, arbete och lön. I den icke-rättsligt bindande europeiska pelaren för sociala rättigheter framgår, i princip nummer två om jämställdhet, även principen om lika lön för kvinnor och män för lika eller likvärdigt arbete.</w:t>
      </w:r>
    </w:p>
    <w:p w:rsidR="00A54FEE" w:rsidRPr="00A54FEE" w:rsidRDefault="00A54FEE" w:rsidP="00A54FEE">
      <w:pPr>
        <w:autoSpaceDE w:val="0"/>
        <w:autoSpaceDN w:val="0"/>
        <w:spacing w:before="10"/>
        <w:rPr>
          <w:rFonts w:ascii="Garamond" w:eastAsia="Garamond" w:hAnsi="Garamond" w:cs="Garamond"/>
          <w:szCs w:val="25"/>
          <w:lang w:eastAsia="en-US"/>
        </w:rPr>
      </w:pPr>
    </w:p>
    <w:p w:rsidR="00A54FEE" w:rsidRPr="00A54FEE" w:rsidRDefault="00A54FEE" w:rsidP="00A54FEE">
      <w:pPr>
        <w:autoSpaceDE w:val="0"/>
        <w:autoSpaceDN w:val="0"/>
        <w:spacing w:before="1" w:line="276" w:lineRule="auto"/>
        <w:ind w:left="1587" w:right="751"/>
        <w:rPr>
          <w:rFonts w:ascii="Garamond" w:eastAsia="Garamond" w:hAnsi="Garamond" w:cs="Garamond"/>
          <w:sz w:val="25"/>
          <w:szCs w:val="25"/>
          <w:lang w:eastAsia="en-US"/>
        </w:rPr>
      </w:pPr>
      <w:r w:rsidRPr="00A54FEE">
        <w:rPr>
          <w:rFonts w:ascii="Garamond" w:eastAsia="Garamond" w:hAnsi="Garamond" w:cs="Garamond"/>
          <w:sz w:val="25"/>
          <w:szCs w:val="25"/>
          <w:lang w:eastAsia="en-US"/>
        </w:rPr>
        <w:t>I syfte att genomföra principen om likabehandling i fråga om tillgång till anställning, yrkesutbildning och befordran samt arbetsvillkor, inklusive principen om lika lön för kvinnor och män för lika eller likvärdigt arbete antogs den 5 juli 2006 direktivet om genomförande av principen om lika möjligheter och likabehandling av kvinnor och män i arbetslivet (</w:t>
      </w:r>
      <w:proofErr w:type="spellStart"/>
      <w:r w:rsidRPr="00A54FEE">
        <w:rPr>
          <w:rFonts w:ascii="Garamond" w:eastAsia="Garamond" w:hAnsi="Garamond" w:cs="Garamond"/>
          <w:sz w:val="25"/>
          <w:szCs w:val="25"/>
          <w:lang w:eastAsia="en-US"/>
        </w:rPr>
        <w:t>recast</w:t>
      </w:r>
      <w:proofErr w:type="spellEnd"/>
      <w:r w:rsidRPr="00A54FEE">
        <w:rPr>
          <w:rFonts w:ascii="Garamond" w:eastAsia="Garamond" w:hAnsi="Garamond" w:cs="Garamond"/>
          <w:sz w:val="25"/>
          <w:szCs w:val="25"/>
          <w:lang w:eastAsia="en-US"/>
        </w:rPr>
        <w:t>- direktivet, 2006/54/EG).</w:t>
      </w:r>
    </w:p>
    <w:p w:rsidR="00A54FEE" w:rsidRPr="00A54FEE" w:rsidRDefault="00A54FEE" w:rsidP="00A54FEE">
      <w:pPr>
        <w:autoSpaceDE w:val="0"/>
        <w:autoSpaceDN w:val="0"/>
        <w:spacing w:before="8"/>
        <w:rPr>
          <w:rFonts w:ascii="Garamond" w:eastAsia="Garamond" w:hAnsi="Garamond" w:cs="Garamond"/>
          <w:szCs w:val="25"/>
          <w:lang w:eastAsia="en-US"/>
        </w:rPr>
      </w:pPr>
    </w:p>
    <w:p w:rsidR="00A54FEE" w:rsidRPr="00A54FEE" w:rsidRDefault="00A54FEE" w:rsidP="00A54FEE">
      <w:pPr>
        <w:autoSpaceDE w:val="0"/>
        <w:autoSpaceDN w:val="0"/>
        <w:spacing w:before="1" w:line="276" w:lineRule="auto"/>
        <w:ind w:left="1587" w:right="358"/>
        <w:rPr>
          <w:rFonts w:ascii="Garamond" w:eastAsia="Garamond" w:hAnsi="Garamond" w:cs="Garamond"/>
          <w:sz w:val="25"/>
          <w:szCs w:val="25"/>
          <w:lang w:eastAsia="en-US"/>
        </w:rPr>
      </w:pPr>
      <w:r w:rsidRPr="00A54FEE">
        <w:rPr>
          <w:rFonts w:ascii="Garamond" w:eastAsia="Garamond" w:hAnsi="Garamond" w:cs="Garamond"/>
          <w:sz w:val="25"/>
          <w:szCs w:val="25"/>
          <w:lang w:eastAsia="en-US"/>
        </w:rPr>
        <w:t>Kommissionen antog 2014 en rekommendation om att medlemsstaterna ska förmå arbetsgivare att vidta åtgärder för att öka transparensen i lönesättningen. Kommissionen har under 2017–2019 arbetat enligt en handlingsplan i syfte att åtgärda löneklyftan mellan kvinnor och män. I utvärderingen av handlingsplanen bedömes den och övriga åtgärder inte ha fått avsedd effekt. Kommissionen aviserade därför intentionen att överväga möjligheten att göra delar av rekommendationen från 2014 bindande. Något som nuvarande kommission nu agerar i linje med.</w:t>
      </w:r>
    </w:p>
    <w:p w:rsidR="00A54FEE" w:rsidRPr="00A54FEE" w:rsidRDefault="00A54FEE" w:rsidP="00A54FEE">
      <w:pPr>
        <w:autoSpaceDE w:val="0"/>
        <w:autoSpaceDN w:val="0"/>
        <w:spacing w:before="10"/>
        <w:rPr>
          <w:rFonts w:ascii="Garamond" w:eastAsia="Garamond" w:hAnsi="Garamond" w:cs="Garamond"/>
          <w:szCs w:val="25"/>
          <w:lang w:eastAsia="en-US"/>
        </w:rPr>
      </w:pPr>
    </w:p>
    <w:p w:rsidR="00A54FEE" w:rsidRPr="00A54FEE" w:rsidRDefault="00A54FEE" w:rsidP="00A54FEE">
      <w:pPr>
        <w:autoSpaceDE w:val="0"/>
        <w:autoSpaceDN w:val="0"/>
        <w:spacing w:line="276" w:lineRule="auto"/>
        <w:ind w:left="1587" w:right="708" w:firstLine="1"/>
        <w:rPr>
          <w:rFonts w:ascii="Garamond" w:eastAsia="Garamond" w:hAnsi="Garamond" w:cs="Garamond"/>
          <w:sz w:val="25"/>
          <w:szCs w:val="25"/>
          <w:lang w:eastAsia="en-US"/>
        </w:rPr>
      </w:pPr>
      <w:r w:rsidRPr="00A54FEE">
        <w:rPr>
          <w:rFonts w:ascii="Garamond" w:eastAsia="Garamond" w:hAnsi="Garamond" w:cs="Garamond"/>
          <w:sz w:val="25"/>
          <w:szCs w:val="25"/>
          <w:lang w:eastAsia="en-US"/>
        </w:rPr>
        <w:t xml:space="preserve">Kommissionen väntas under </w:t>
      </w:r>
      <w:r w:rsidRPr="00A54FEE">
        <w:rPr>
          <w:rFonts w:ascii="Garamond" w:eastAsia="Garamond" w:hAnsi="Garamond" w:cs="Garamond"/>
          <w:sz w:val="25"/>
          <w:szCs w:val="25"/>
          <w:u w:val="single"/>
          <w:lang w:eastAsia="en-US"/>
        </w:rPr>
        <w:t>fjärde kvartalet</w:t>
      </w:r>
      <w:r w:rsidRPr="00A54FEE">
        <w:rPr>
          <w:rFonts w:ascii="Garamond" w:eastAsia="Garamond" w:hAnsi="Garamond" w:cs="Garamond"/>
          <w:sz w:val="25"/>
          <w:szCs w:val="25"/>
          <w:lang w:eastAsia="en-US"/>
        </w:rPr>
        <w:t xml:space="preserve"> 2020 lägga fram ett förslag i syfte att stärka principen om lika lön för kvinnor och män för lika eller likvärdigt arbete genom rättsligt bindande åtgärder för transparens i lönesättningen. Förslaget väntas vara i form av ett nytt direktiv med utgångspunkt i det gällande </w:t>
      </w:r>
      <w:proofErr w:type="spellStart"/>
      <w:r w:rsidRPr="00A54FEE">
        <w:rPr>
          <w:rFonts w:ascii="Garamond" w:eastAsia="Garamond" w:hAnsi="Garamond" w:cs="Garamond"/>
          <w:sz w:val="25"/>
          <w:szCs w:val="25"/>
          <w:lang w:eastAsia="en-US"/>
        </w:rPr>
        <w:t>recast</w:t>
      </w:r>
      <w:proofErr w:type="spellEnd"/>
      <w:r w:rsidRPr="00A54FEE">
        <w:rPr>
          <w:rFonts w:ascii="Garamond" w:eastAsia="Garamond" w:hAnsi="Garamond" w:cs="Garamond"/>
          <w:sz w:val="25"/>
          <w:szCs w:val="25"/>
          <w:lang w:eastAsia="en-US"/>
        </w:rPr>
        <w:t>-direktivet och kommissionens rekommendation om insyn i lönesättning.</w:t>
      </w:r>
    </w:p>
    <w:p w:rsidR="00A54FEE" w:rsidRPr="00A54FEE" w:rsidRDefault="00A54FEE" w:rsidP="00A54FEE">
      <w:pPr>
        <w:autoSpaceDE w:val="0"/>
        <w:autoSpaceDN w:val="0"/>
        <w:spacing w:before="10"/>
        <w:rPr>
          <w:rFonts w:ascii="Garamond" w:eastAsia="Garamond" w:hAnsi="Garamond" w:cs="Garamond"/>
          <w:szCs w:val="25"/>
          <w:lang w:eastAsia="en-US"/>
        </w:rPr>
      </w:pPr>
    </w:p>
    <w:p w:rsidR="00A54FEE" w:rsidRPr="00A54FEE" w:rsidRDefault="00A54FEE" w:rsidP="00A54FEE">
      <w:pPr>
        <w:autoSpaceDE w:val="0"/>
        <w:autoSpaceDN w:val="0"/>
        <w:ind w:left="1587"/>
        <w:rPr>
          <w:rFonts w:ascii="Garamond" w:eastAsia="Garamond" w:hAnsi="Garamond" w:cs="Garamond"/>
          <w:sz w:val="25"/>
          <w:szCs w:val="25"/>
          <w:lang w:eastAsia="en-US"/>
        </w:rPr>
      </w:pPr>
      <w:r w:rsidRPr="00A54FEE">
        <w:rPr>
          <w:rFonts w:ascii="Garamond" w:eastAsia="Garamond" w:hAnsi="Garamond" w:cs="Garamond"/>
          <w:sz w:val="25"/>
          <w:szCs w:val="25"/>
          <w:lang w:eastAsia="en-US"/>
        </w:rPr>
        <w:t>Förslaget kan t.ex. komma att innehålla följande aspekter:</w:t>
      </w:r>
    </w:p>
    <w:p w:rsidR="00A54FEE" w:rsidRPr="00A54FEE" w:rsidRDefault="00A54FEE" w:rsidP="00A54FEE">
      <w:pPr>
        <w:numPr>
          <w:ilvl w:val="0"/>
          <w:numId w:val="28"/>
        </w:numPr>
        <w:tabs>
          <w:tab w:val="left" w:pos="2011"/>
          <w:tab w:val="left" w:pos="2013"/>
        </w:tabs>
        <w:autoSpaceDE w:val="0"/>
        <w:autoSpaceDN w:val="0"/>
        <w:spacing w:before="42"/>
        <w:ind w:hanging="426"/>
        <w:rPr>
          <w:rFonts w:ascii="Garamond" w:eastAsia="Garamond" w:hAnsi="Garamond" w:cs="Garamond"/>
          <w:sz w:val="25"/>
          <w:szCs w:val="22"/>
          <w:lang w:eastAsia="en-US"/>
        </w:rPr>
      </w:pPr>
      <w:r w:rsidRPr="00A54FEE">
        <w:rPr>
          <w:rFonts w:ascii="Garamond" w:eastAsia="Garamond" w:hAnsi="Garamond" w:cs="Garamond"/>
          <w:sz w:val="25"/>
          <w:szCs w:val="22"/>
          <w:lang w:eastAsia="en-US"/>
        </w:rPr>
        <w:t>Rätt för enskilda att begära information om</w:t>
      </w:r>
      <w:r w:rsidRPr="00A54FEE">
        <w:rPr>
          <w:rFonts w:ascii="Garamond" w:eastAsia="Garamond" w:hAnsi="Garamond" w:cs="Garamond"/>
          <w:spacing w:val="-6"/>
          <w:sz w:val="25"/>
          <w:szCs w:val="22"/>
          <w:lang w:eastAsia="en-US"/>
        </w:rPr>
        <w:t xml:space="preserve"> </w:t>
      </w:r>
      <w:r w:rsidRPr="00A54FEE">
        <w:rPr>
          <w:rFonts w:ascii="Garamond" w:eastAsia="Garamond" w:hAnsi="Garamond" w:cs="Garamond"/>
          <w:sz w:val="25"/>
          <w:szCs w:val="22"/>
          <w:lang w:eastAsia="en-US"/>
        </w:rPr>
        <w:t>lönenivåer.</w:t>
      </w:r>
    </w:p>
    <w:p w:rsidR="00A54FEE" w:rsidRPr="00A54FEE" w:rsidRDefault="00A54FEE" w:rsidP="00A54FEE">
      <w:pPr>
        <w:numPr>
          <w:ilvl w:val="0"/>
          <w:numId w:val="28"/>
        </w:numPr>
        <w:tabs>
          <w:tab w:val="left" w:pos="2011"/>
          <w:tab w:val="left" w:pos="2013"/>
        </w:tabs>
        <w:autoSpaceDE w:val="0"/>
        <w:autoSpaceDN w:val="0"/>
        <w:spacing w:before="41" w:line="276" w:lineRule="auto"/>
        <w:ind w:right="802"/>
        <w:rPr>
          <w:rFonts w:ascii="Garamond" w:eastAsia="Garamond" w:hAnsi="Garamond" w:cs="Garamond"/>
          <w:sz w:val="25"/>
          <w:szCs w:val="22"/>
          <w:lang w:eastAsia="en-US"/>
        </w:rPr>
      </w:pPr>
      <w:r w:rsidRPr="00A54FEE">
        <w:rPr>
          <w:rFonts w:ascii="Garamond" w:eastAsia="Garamond" w:hAnsi="Garamond" w:cs="Garamond"/>
          <w:sz w:val="25"/>
          <w:szCs w:val="22"/>
          <w:lang w:eastAsia="en-US"/>
        </w:rPr>
        <w:t>Krav på arbetsgivare att rapportera lön för anställda baserad på kön (lönekartläggning).</w:t>
      </w:r>
    </w:p>
    <w:p w:rsidR="00A54FEE" w:rsidRPr="00A54FEE" w:rsidRDefault="00A54FEE" w:rsidP="00A54FEE">
      <w:pPr>
        <w:numPr>
          <w:ilvl w:val="0"/>
          <w:numId w:val="28"/>
        </w:numPr>
        <w:tabs>
          <w:tab w:val="left" w:pos="2012"/>
          <w:tab w:val="left" w:pos="2013"/>
        </w:tabs>
        <w:autoSpaceDE w:val="0"/>
        <w:autoSpaceDN w:val="0"/>
        <w:spacing w:before="1"/>
        <w:ind w:hanging="426"/>
        <w:rPr>
          <w:rFonts w:ascii="Garamond" w:eastAsia="Garamond" w:hAnsi="Garamond" w:cs="Garamond"/>
          <w:sz w:val="25"/>
          <w:szCs w:val="22"/>
          <w:lang w:eastAsia="en-US"/>
        </w:rPr>
      </w:pPr>
      <w:r w:rsidRPr="00A54FEE">
        <w:rPr>
          <w:rFonts w:ascii="Garamond" w:eastAsia="Garamond" w:hAnsi="Garamond" w:cs="Garamond"/>
          <w:sz w:val="25"/>
          <w:szCs w:val="22"/>
          <w:lang w:eastAsia="en-US"/>
        </w:rPr>
        <w:t>Krav på arbetsgivare att genomföra</w:t>
      </w:r>
      <w:r w:rsidRPr="00A54FEE">
        <w:rPr>
          <w:rFonts w:ascii="Garamond" w:eastAsia="Garamond" w:hAnsi="Garamond" w:cs="Garamond"/>
          <w:spacing w:val="-3"/>
          <w:sz w:val="25"/>
          <w:szCs w:val="22"/>
          <w:lang w:eastAsia="en-US"/>
        </w:rPr>
        <w:t xml:space="preserve"> </w:t>
      </w:r>
      <w:r w:rsidRPr="00A54FEE">
        <w:rPr>
          <w:rFonts w:ascii="Garamond" w:eastAsia="Garamond" w:hAnsi="Garamond" w:cs="Garamond"/>
          <w:sz w:val="25"/>
          <w:szCs w:val="22"/>
          <w:lang w:eastAsia="en-US"/>
        </w:rPr>
        <w:t>löneanalyser.</w:t>
      </w:r>
    </w:p>
    <w:p w:rsidR="00A54FEE" w:rsidRPr="00A54FEE" w:rsidRDefault="00A54FEE" w:rsidP="00A54FEE">
      <w:pPr>
        <w:numPr>
          <w:ilvl w:val="0"/>
          <w:numId w:val="28"/>
        </w:numPr>
        <w:tabs>
          <w:tab w:val="left" w:pos="2012"/>
          <w:tab w:val="left" w:pos="2013"/>
        </w:tabs>
        <w:autoSpaceDE w:val="0"/>
        <w:autoSpaceDN w:val="0"/>
        <w:spacing w:before="43"/>
        <w:ind w:hanging="426"/>
        <w:rPr>
          <w:rFonts w:ascii="Garamond" w:eastAsia="Garamond" w:hAnsi="Garamond" w:cs="Garamond"/>
          <w:sz w:val="25"/>
          <w:szCs w:val="22"/>
          <w:lang w:eastAsia="en-US"/>
        </w:rPr>
      </w:pPr>
      <w:r w:rsidRPr="00A54FEE">
        <w:rPr>
          <w:rFonts w:ascii="Garamond" w:eastAsia="Garamond" w:hAnsi="Garamond" w:cs="Garamond"/>
          <w:sz w:val="25"/>
          <w:szCs w:val="22"/>
          <w:lang w:eastAsia="en-US"/>
        </w:rPr>
        <w:t>Harmonisering av vissa rättsliga begrepp på</w:t>
      </w:r>
      <w:r w:rsidRPr="00A54FEE">
        <w:rPr>
          <w:rFonts w:ascii="Garamond" w:eastAsia="Garamond" w:hAnsi="Garamond" w:cs="Garamond"/>
          <w:spacing w:val="-4"/>
          <w:sz w:val="25"/>
          <w:szCs w:val="22"/>
          <w:lang w:eastAsia="en-US"/>
        </w:rPr>
        <w:t xml:space="preserve"> </w:t>
      </w:r>
      <w:r w:rsidRPr="00A54FEE">
        <w:rPr>
          <w:rFonts w:ascii="Garamond" w:eastAsia="Garamond" w:hAnsi="Garamond" w:cs="Garamond"/>
          <w:sz w:val="25"/>
          <w:szCs w:val="22"/>
          <w:lang w:eastAsia="en-US"/>
        </w:rPr>
        <w:t>området.</w:t>
      </w:r>
    </w:p>
    <w:p w:rsidR="00A54FEE" w:rsidRPr="00A54FEE" w:rsidRDefault="00A54FEE" w:rsidP="00A54FEE">
      <w:pPr>
        <w:numPr>
          <w:ilvl w:val="0"/>
          <w:numId w:val="28"/>
        </w:numPr>
        <w:tabs>
          <w:tab w:val="left" w:pos="2012"/>
          <w:tab w:val="left" w:pos="2013"/>
        </w:tabs>
        <w:autoSpaceDE w:val="0"/>
        <w:autoSpaceDN w:val="0"/>
        <w:spacing w:before="42"/>
        <w:ind w:hanging="426"/>
        <w:rPr>
          <w:rFonts w:ascii="Garamond" w:eastAsia="Garamond" w:hAnsi="Garamond" w:cs="Garamond"/>
          <w:sz w:val="25"/>
          <w:szCs w:val="22"/>
          <w:lang w:eastAsia="en-US"/>
        </w:rPr>
      </w:pPr>
      <w:r w:rsidRPr="00A54FEE">
        <w:rPr>
          <w:rFonts w:ascii="Garamond" w:eastAsia="Garamond" w:hAnsi="Garamond" w:cs="Garamond"/>
          <w:sz w:val="25"/>
          <w:szCs w:val="22"/>
          <w:lang w:eastAsia="en-US"/>
        </w:rPr>
        <w:t>Förstärkt krav på</w:t>
      </w:r>
      <w:r w:rsidRPr="00A54FEE">
        <w:rPr>
          <w:rFonts w:ascii="Garamond" w:eastAsia="Garamond" w:hAnsi="Garamond" w:cs="Garamond"/>
          <w:spacing w:val="-3"/>
          <w:sz w:val="25"/>
          <w:szCs w:val="22"/>
          <w:lang w:eastAsia="en-US"/>
        </w:rPr>
        <w:t xml:space="preserve"> </w:t>
      </w:r>
      <w:r w:rsidRPr="00A54FEE">
        <w:rPr>
          <w:rFonts w:ascii="Garamond" w:eastAsia="Garamond" w:hAnsi="Garamond" w:cs="Garamond"/>
          <w:sz w:val="25"/>
          <w:szCs w:val="22"/>
          <w:lang w:eastAsia="en-US"/>
        </w:rPr>
        <w:t>tillsyn.</w:t>
      </w:r>
    </w:p>
    <w:p w:rsidR="00A54FEE" w:rsidRPr="00A54FEE" w:rsidRDefault="00A54FEE" w:rsidP="00A54FEE">
      <w:pPr>
        <w:autoSpaceDE w:val="0"/>
        <w:autoSpaceDN w:val="0"/>
        <w:spacing w:before="2"/>
        <w:rPr>
          <w:rFonts w:ascii="Garamond" w:eastAsia="Garamond" w:hAnsi="Garamond" w:cs="Garamond"/>
          <w:sz w:val="32"/>
          <w:szCs w:val="25"/>
          <w:lang w:eastAsia="en-US"/>
        </w:rPr>
      </w:pPr>
    </w:p>
    <w:p w:rsidR="00A54FEE" w:rsidRPr="00A54FEE" w:rsidRDefault="00A54FEE" w:rsidP="00A54FEE">
      <w:pPr>
        <w:numPr>
          <w:ilvl w:val="0"/>
          <w:numId w:val="29"/>
        </w:numPr>
        <w:tabs>
          <w:tab w:val="left" w:pos="1988"/>
        </w:tabs>
        <w:autoSpaceDE w:val="0"/>
        <w:autoSpaceDN w:val="0"/>
        <w:spacing w:before="1"/>
        <w:rPr>
          <w:rFonts w:ascii="Arial" w:eastAsia="Garamond" w:hAnsi="Arial" w:cs="Garamond"/>
          <w:szCs w:val="22"/>
          <w:lang w:eastAsia="en-US"/>
        </w:rPr>
      </w:pPr>
      <w:bookmarkStart w:id="3" w:name="2.____Regeringens_ståndpunkt"/>
      <w:bookmarkEnd w:id="3"/>
      <w:r w:rsidRPr="00A54FEE">
        <w:rPr>
          <w:rFonts w:ascii="Arial" w:eastAsia="Garamond" w:hAnsi="Arial" w:cs="Garamond"/>
          <w:szCs w:val="22"/>
          <w:lang w:eastAsia="en-US"/>
        </w:rPr>
        <w:t>Regeringens</w:t>
      </w:r>
      <w:r w:rsidRPr="00A54FEE">
        <w:rPr>
          <w:rFonts w:ascii="Arial" w:eastAsia="Garamond" w:hAnsi="Arial" w:cs="Garamond"/>
          <w:spacing w:val="-1"/>
          <w:szCs w:val="22"/>
          <w:lang w:eastAsia="en-US"/>
        </w:rPr>
        <w:t xml:space="preserve"> </w:t>
      </w:r>
      <w:r w:rsidRPr="00A54FEE">
        <w:rPr>
          <w:rFonts w:ascii="Arial" w:eastAsia="Garamond" w:hAnsi="Arial" w:cs="Garamond"/>
          <w:szCs w:val="22"/>
          <w:lang w:eastAsia="en-US"/>
        </w:rPr>
        <w:t>ståndpunkt</w:t>
      </w:r>
    </w:p>
    <w:p w:rsidR="00A54FEE" w:rsidRPr="00A54FEE" w:rsidRDefault="00A54FEE" w:rsidP="00A54FEE">
      <w:pPr>
        <w:autoSpaceDE w:val="0"/>
        <w:autoSpaceDN w:val="0"/>
        <w:spacing w:before="120" w:line="276" w:lineRule="auto"/>
        <w:ind w:left="1587" w:right="456"/>
        <w:jc w:val="both"/>
        <w:rPr>
          <w:rFonts w:ascii="Garamond" w:eastAsia="Garamond" w:hAnsi="Garamond" w:cs="Garamond"/>
          <w:sz w:val="25"/>
          <w:szCs w:val="25"/>
          <w:lang w:eastAsia="en-US"/>
        </w:rPr>
      </w:pPr>
      <w:r w:rsidRPr="00A54FEE">
        <w:rPr>
          <w:rFonts w:ascii="Garamond" w:eastAsia="Garamond" w:hAnsi="Garamond" w:cs="Garamond"/>
          <w:sz w:val="25"/>
          <w:szCs w:val="25"/>
          <w:lang w:eastAsia="en-US"/>
        </w:rPr>
        <w:t>Sverige är och ska fortsatt vara en stark kraft inom EU vad gäller frågor om jämställdhet, icke-diskriminering, grundläggande rättigheter och rättsstatens principer. Regeringen välkomnar därför på en övergripande nivå</w:t>
      </w:r>
    </w:p>
    <w:p w:rsidR="00A54FEE" w:rsidRPr="00A54FEE" w:rsidRDefault="00A54FEE" w:rsidP="00A54FEE">
      <w:pPr>
        <w:autoSpaceDE w:val="0"/>
        <w:autoSpaceDN w:val="0"/>
        <w:spacing w:line="276" w:lineRule="auto"/>
        <w:jc w:val="both"/>
        <w:rPr>
          <w:rFonts w:ascii="Garamond" w:eastAsia="Garamond" w:hAnsi="Garamond" w:cs="Garamond"/>
          <w:sz w:val="22"/>
          <w:szCs w:val="22"/>
          <w:lang w:eastAsia="en-US"/>
        </w:rPr>
        <w:sectPr w:rsidR="00A54FEE" w:rsidRPr="00A54FEE">
          <w:footerReference w:type="default" r:id="rId10"/>
          <w:pgSz w:w="11910" w:h="16840"/>
          <w:pgMar w:top="1580" w:right="1680" w:bottom="1740" w:left="880" w:header="0" w:footer="1548" w:gutter="0"/>
          <w:pgNumType w:start="2"/>
          <w:cols w:space="720"/>
        </w:sectPr>
      </w:pPr>
    </w:p>
    <w:p w:rsidR="00A54FEE" w:rsidRPr="00A54FEE" w:rsidRDefault="00A54FEE" w:rsidP="00A54FEE">
      <w:pPr>
        <w:autoSpaceDE w:val="0"/>
        <w:autoSpaceDN w:val="0"/>
        <w:spacing w:before="10"/>
        <w:rPr>
          <w:rFonts w:ascii="Garamond" w:eastAsia="Garamond" w:hAnsi="Garamond" w:cs="Garamond"/>
          <w:sz w:val="12"/>
          <w:szCs w:val="25"/>
          <w:lang w:eastAsia="en-US"/>
        </w:rPr>
      </w:pPr>
    </w:p>
    <w:p w:rsidR="00A54FEE" w:rsidRPr="00A54FEE" w:rsidRDefault="00A54FEE" w:rsidP="00A54FEE">
      <w:pPr>
        <w:autoSpaceDE w:val="0"/>
        <w:autoSpaceDN w:val="0"/>
        <w:spacing w:before="100" w:line="276" w:lineRule="auto"/>
        <w:ind w:left="1587" w:right="308"/>
        <w:rPr>
          <w:rFonts w:ascii="Garamond" w:eastAsia="Garamond" w:hAnsi="Garamond" w:cs="Garamond"/>
          <w:sz w:val="25"/>
          <w:szCs w:val="25"/>
          <w:lang w:eastAsia="en-US"/>
        </w:rPr>
      </w:pPr>
      <w:r w:rsidRPr="00A54FEE">
        <w:rPr>
          <w:rFonts w:ascii="Garamond" w:eastAsia="Garamond" w:hAnsi="Garamond" w:cs="Garamond"/>
          <w:sz w:val="25"/>
          <w:szCs w:val="25"/>
          <w:lang w:eastAsia="en-US"/>
        </w:rPr>
        <w:t xml:space="preserve">unionsinitiativ i syfte att stärka principen om lika lön för kvinnor och män för lika eller likvärdigt arbete. </w:t>
      </w:r>
      <w:r w:rsidRPr="00A54FEE">
        <w:rPr>
          <w:rFonts w:ascii="Garamond" w:eastAsia="Garamond" w:hAnsi="Garamond" w:cs="Garamond"/>
          <w:sz w:val="25"/>
          <w:szCs w:val="25"/>
          <w:u w:val="single"/>
          <w:lang w:eastAsia="en-US"/>
        </w:rPr>
        <w:t>Frågan om detta ska ske i form av direktiv eller</w:t>
      </w:r>
      <w:r w:rsidRPr="00A54FEE">
        <w:rPr>
          <w:rFonts w:ascii="Garamond" w:eastAsia="Garamond" w:hAnsi="Garamond" w:cs="Garamond"/>
          <w:sz w:val="25"/>
          <w:szCs w:val="25"/>
          <w:lang w:eastAsia="en-US"/>
        </w:rPr>
        <w:t xml:space="preserve"> </w:t>
      </w:r>
      <w:r w:rsidRPr="00A54FEE">
        <w:rPr>
          <w:rFonts w:ascii="Garamond" w:eastAsia="Garamond" w:hAnsi="Garamond" w:cs="Garamond"/>
          <w:sz w:val="25"/>
          <w:szCs w:val="25"/>
          <w:u w:val="single"/>
          <w:lang w:eastAsia="en-US"/>
        </w:rPr>
        <w:t>på annat sätt behöver prövas utifrån principerna om proportionalitet och</w:t>
      </w:r>
      <w:r w:rsidRPr="00A54FEE">
        <w:rPr>
          <w:rFonts w:ascii="Garamond" w:eastAsia="Garamond" w:hAnsi="Garamond" w:cs="Garamond"/>
          <w:sz w:val="25"/>
          <w:szCs w:val="25"/>
          <w:lang w:eastAsia="en-US"/>
        </w:rPr>
        <w:t xml:space="preserve"> </w:t>
      </w:r>
      <w:r w:rsidRPr="00A54FEE">
        <w:rPr>
          <w:rFonts w:ascii="Garamond" w:eastAsia="Garamond" w:hAnsi="Garamond" w:cs="Garamond"/>
          <w:sz w:val="25"/>
          <w:szCs w:val="25"/>
          <w:u w:val="single"/>
          <w:lang w:eastAsia="en-US"/>
        </w:rPr>
        <w:t>subsidiaritet. En närmare analys från kommissionens sida behövs. Det är</w:t>
      </w:r>
      <w:r w:rsidRPr="00A54FEE">
        <w:rPr>
          <w:rFonts w:ascii="Garamond" w:eastAsia="Garamond" w:hAnsi="Garamond" w:cs="Garamond"/>
          <w:sz w:val="25"/>
          <w:szCs w:val="25"/>
          <w:lang w:eastAsia="en-US"/>
        </w:rPr>
        <w:t xml:space="preserve"> </w:t>
      </w:r>
      <w:r w:rsidRPr="00A54FEE">
        <w:rPr>
          <w:rFonts w:ascii="Garamond" w:eastAsia="Garamond" w:hAnsi="Garamond" w:cs="Garamond"/>
          <w:sz w:val="25"/>
          <w:szCs w:val="25"/>
          <w:u w:val="single"/>
          <w:lang w:eastAsia="en-US"/>
        </w:rPr>
        <w:t>också</w:t>
      </w:r>
      <w:r w:rsidRPr="00A54FEE">
        <w:rPr>
          <w:rFonts w:ascii="Garamond" w:eastAsia="Garamond" w:hAnsi="Garamond" w:cs="Garamond"/>
          <w:sz w:val="25"/>
          <w:szCs w:val="25"/>
          <w:lang w:eastAsia="en-US"/>
        </w:rPr>
        <w:t xml:space="preserve"> viktigt att sådana initiativ tar hänsyn till den svenska arbetsmarknadsmodellen.</w:t>
      </w:r>
    </w:p>
    <w:p w:rsidR="00A54FEE" w:rsidRPr="00A54FEE" w:rsidRDefault="00A54FEE" w:rsidP="00A54FEE">
      <w:pPr>
        <w:autoSpaceDE w:val="0"/>
        <w:autoSpaceDN w:val="0"/>
        <w:spacing w:before="9"/>
        <w:rPr>
          <w:rFonts w:ascii="Garamond" w:eastAsia="Garamond" w:hAnsi="Garamond" w:cs="Garamond"/>
          <w:szCs w:val="25"/>
          <w:lang w:eastAsia="en-US"/>
        </w:rPr>
      </w:pPr>
    </w:p>
    <w:p w:rsidR="00A54FEE" w:rsidRPr="00A54FEE" w:rsidRDefault="00A54FEE" w:rsidP="00A54FEE">
      <w:pPr>
        <w:autoSpaceDE w:val="0"/>
        <w:autoSpaceDN w:val="0"/>
        <w:spacing w:line="276" w:lineRule="auto"/>
        <w:ind w:left="1587" w:right="699"/>
        <w:rPr>
          <w:rFonts w:ascii="Garamond" w:eastAsia="Garamond" w:hAnsi="Garamond" w:cs="Garamond"/>
          <w:sz w:val="25"/>
          <w:szCs w:val="25"/>
          <w:lang w:eastAsia="en-US"/>
        </w:rPr>
      </w:pPr>
      <w:r w:rsidRPr="00A54FEE">
        <w:rPr>
          <w:rFonts w:ascii="Garamond" w:eastAsia="Garamond" w:hAnsi="Garamond" w:cs="Garamond"/>
          <w:sz w:val="25"/>
          <w:szCs w:val="25"/>
          <w:lang w:eastAsia="en-US"/>
        </w:rPr>
        <w:t>Arbetet med att främja jämställdhet och lika lön för lika eller likvärdigt arbete förutsätter ett brett angreppsätt för att det ska vara möjligt att förebygga och motverka strukturella skillnader på arbetsmarknaden och i arbetslivet. De primära verktygen i detta arbete bör för svenskt vidkommande vara effektiv och väl fungerande tillämpning av befintlig lagstiftning tillsammans med partsgemensamma satsningar och kollektivavtalslösningar.</w:t>
      </w:r>
    </w:p>
    <w:p w:rsidR="00A54FEE" w:rsidRPr="00A54FEE" w:rsidRDefault="00A54FEE" w:rsidP="00A54FEE">
      <w:pPr>
        <w:autoSpaceDE w:val="0"/>
        <w:autoSpaceDN w:val="0"/>
        <w:spacing w:before="10"/>
        <w:rPr>
          <w:rFonts w:ascii="Garamond" w:eastAsia="Garamond" w:hAnsi="Garamond" w:cs="Garamond"/>
          <w:szCs w:val="25"/>
          <w:lang w:eastAsia="en-US"/>
        </w:rPr>
      </w:pPr>
    </w:p>
    <w:p w:rsidR="00A54FEE" w:rsidRPr="00A54FEE" w:rsidRDefault="00A54FEE" w:rsidP="00A54FEE">
      <w:pPr>
        <w:autoSpaceDE w:val="0"/>
        <w:autoSpaceDN w:val="0"/>
        <w:spacing w:line="276" w:lineRule="auto"/>
        <w:ind w:left="1586" w:right="316"/>
        <w:rPr>
          <w:rFonts w:ascii="Garamond" w:eastAsia="Garamond" w:hAnsi="Garamond" w:cs="Garamond"/>
          <w:sz w:val="25"/>
          <w:szCs w:val="25"/>
          <w:lang w:eastAsia="en-US"/>
        </w:rPr>
      </w:pPr>
      <w:r w:rsidRPr="00A54FEE">
        <w:rPr>
          <w:rFonts w:ascii="Garamond" w:eastAsia="Garamond" w:hAnsi="Garamond" w:cs="Garamond"/>
          <w:sz w:val="25"/>
          <w:szCs w:val="25"/>
          <w:lang w:eastAsia="en-US"/>
        </w:rPr>
        <w:t xml:space="preserve">Regeringen anser att det är angeläget att stödja åtgärder för ökad jämställdhet inom EU, inklusive principen om lika lön för kvinnor och män för lika eller likvärdigt arbete. Krav på arbetsgivare att i samverkan med </w:t>
      </w:r>
      <w:proofErr w:type="gramStart"/>
      <w:r w:rsidRPr="00A54FEE">
        <w:rPr>
          <w:rFonts w:ascii="Garamond" w:eastAsia="Garamond" w:hAnsi="Garamond" w:cs="Garamond"/>
          <w:sz w:val="25"/>
          <w:szCs w:val="25"/>
          <w:lang w:eastAsia="en-US"/>
        </w:rPr>
        <w:t>arbetstagar- organisationer</w:t>
      </w:r>
      <w:proofErr w:type="gramEnd"/>
      <w:r w:rsidRPr="00A54FEE">
        <w:rPr>
          <w:rFonts w:ascii="Garamond" w:eastAsia="Garamond" w:hAnsi="Garamond" w:cs="Garamond"/>
          <w:sz w:val="25"/>
          <w:szCs w:val="25"/>
          <w:lang w:eastAsia="en-US"/>
        </w:rPr>
        <w:t xml:space="preserve"> göra lönekartläggning och löneanalyser är ett verktyg som syftar till att främja jämställda löner och motverka osakliga löneskillnader, något som är till gagn för såväl jämställdheten mellan kvinnor och män som för samhällsekonomin. Det som redan gäller i Sverige i fråga om lönekartläggning, löneanalyser, tillsyn och arbetsmarknadens parters roller utgör riktmärken. Regeringen anser därför att det kommande initiativet främst bör vara inriktat på lönekartläggning samt löneanalyser, och att det inte ska medföra en generell rätt för enskilda att ta del av individuella arbetstagares lönenivåer </w:t>
      </w:r>
      <w:r w:rsidRPr="00A54FEE">
        <w:rPr>
          <w:rFonts w:ascii="Garamond" w:eastAsia="Garamond" w:hAnsi="Garamond" w:cs="Garamond"/>
          <w:sz w:val="25"/>
          <w:szCs w:val="25"/>
          <w:u w:val="single"/>
          <w:lang w:eastAsia="en-US"/>
        </w:rPr>
        <w:t>eller innefatta regleringar som för Sveriges del är</w:t>
      </w:r>
      <w:r w:rsidRPr="00A54FEE">
        <w:rPr>
          <w:rFonts w:ascii="Garamond" w:eastAsia="Garamond" w:hAnsi="Garamond" w:cs="Garamond"/>
          <w:sz w:val="25"/>
          <w:szCs w:val="25"/>
          <w:lang w:eastAsia="en-US"/>
        </w:rPr>
        <w:t xml:space="preserve"> </w:t>
      </w:r>
      <w:r w:rsidRPr="00A54FEE">
        <w:rPr>
          <w:rFonts w:ascii="Garamond" w:eastAsia="Garamond" w:hAnsi="Garamond" w:cs="Garamond"/>
          <w:sz w:val="25"/>
          <w:szCs w:val="25"/>
          <w:u w:val="single"/>
          <w:lang w:eastAsia="en-US"/>
        </w:rPr>
        <w:t>mer långtgående än vad som gäller i dag</w:t>
      </w:r>
      <w:r w:rsidRPr="00A54FEE">
        <w:rPr>
          <w:rFonts w:ascii="Garamond" w:eastAsia="Garamond" w:hAnsi="Garamond" w:cs="Garamond"/>
          <w:sz w:val="25"/>
          <w:szCs w:val="25"/>
          <w:lang w:eastAsia="en-US"/>
        </w:rPr>
        <w:t xml:space="preserve">. De lokala </w:t>
      </w:r>
      <w:proofErr w:type="gramStart"/>
      <w:r w:rsidRPr="00A54FEE">
        <w:rPr>
          <w:rFonts w:ascii="Garamond" w:eastAsia="Garamond" w:hAnsi="Garamond" w:cs="Garamond"/>
          <w:sz w:val="25"/>
          <w:szCs w:val="25"/>
          <w:lang w:eastAsia="en-US"/>
        </w:rPr>
        <w:t>arbetstagar- organisationerna</w:t>
      </w:r>
      <w:proofErr w:type="gramEnd"/>
      <w:r w:rsidRPr="00A54FEE">
        <w:rPr>
          <w:rFonts w:ascii="Garamond" w:eastAsia="Garamond" w:hAnsi="Garamond" w:cs="Garamond"/>
          <w:sz w:val="25"/>
          <w:szCs w:val="25"/>
          <w:lang w:eastAsia="en-US"/>
        </w:rPr>
        <w:t xml:space="preserve"> behöver fortsatt tillgång till lönestatistik på individnivå för att kunna samverka vid arbetsgivarens lönekartläggning och</w:t>
      </w:r>
      <w:r w:rsidRPr="00A54FEE">
        <w:rPr>
          <w:rFonts w:ascii="Garamond" w:eastAsia="Garamond" w:hAnsi="Garamond" w:cs="Garamond"/>
          <w:spacing w:val="-18"/>
          <w:sz w:val="25"/>
          <w:szCs w:val="25"/>
          <w:lang w:eastAsia="en-US"/>
        </w:rPr>
        <w:t xml:space="preserve"> </w:t>
      </w:r>
      <w:r w:rsidRPr="00A54FEE">
        <w:rPr>
          <w:rFonts w:ascii="Garamond" w:eastAsia="Garamond" w:hAnsi="Garamond" w:cs="Garamond"/>
          <w:sz w:val="25"/>
          <w:szCs w:val="25"/>
          <w:lang w:eastAsia="en-US"/>
        </w:rPr>
        <w:t>löneanalyser.</w:t>
      </w:r>
    </w:p>
    <w:p w:rsidR="00A54FEE" w:rsidRPr="00A54FEE" w:rsidRDefault="00A54FEE" w:rsidP="00A54FEE">
      <w:pPr>
        <w:autoSpaceDE w:val="0"/>
        <w:autoSpaceDN w:val="0"/>
        <w:spacing w:before="10"/>
        <w:rPr>
          <w:rFonts w:ascii="Garamond" w:eastAsia="Garamond" w:hAnsi="Garamond" w:cs="Garamond"/>
          <w:szCs w:val="25"/>
          <w:lang w:eastAsia="en-US"/>
        </w:rPr>
      </w:pPr>
    </w:p>
    <w:p w:rsidR="00A54FEE" w:rsidRPr="00A54FEE" w:rsidRDefault="00A54FEE" w:rsidP="00A54FEE">
      <w:pPr>
        <w:autoSpaceDE w:val="0"/>
        <w:autoSpaceDN w:val="0"/>
        <w:spacing w:line="276" w:lineRule="auto"/>
        <w:ind w:left="1586" w:right="336"/>
        <w:rPr>
          <w:rFonts w:ascii="Garamond" w:eastAsia="Garamond" w:hAnsi="Garamond" w:cs="Garamond"/>
          <w:sz w:val="25"/>
          <w:szCs w:val="25"/>
          <w:lang w:eastAsia="en-US"/>
        </w:rPr>
      </w:pPr>
      <w:r w:rsidRPr="00A54FEE">
        <w:rPr>
          <w:rFonts w:ascii="Garamond" w:eastAsia="Garamond" w:hAnsi="Garamond" w:cs="Garamond"/>
          <w:sz w:val="25"/>
          <w:szCs w:val="25"/>
          <w:lang w:eastAsia="en-US"/>
        </w:rPr>
        <w:t>Den svenska arbetsmarknadsmodellen ska värnas. Däribland arbetsmarknadens parters ansvar för lönebildningen i Sverige genom att självständigt förhandla och ingå avtal om löner, inbegripet möjligheten till individuell lönesättning. Regeringen anser att ett aktivt agerande krävs för att säkerställa att det av kommissionen aviserade initiativet, inklusive eventuella förslag om harmonisering av rättsliga begrepp, utformas på ett sätt som respekterar vårt nationella system och arbetsmarknadens parters autonomi. Inte minst bör det rättsliga begreppet arbetstagare ta sin utgångspunkt i nationell rätt.</w:t>
      </w:r>
    </w:p>
    <w:p w:rsidR="00A54FEE" w:rsidRPr="00A54FEE" w:rsidRDefault="00A54FEE" w:rsidP="00A54FEE">
      <w:pPr>
        <w:autoSpaceDE w:val="0"/>
        <w:autoSpaceDN w:val="0"/>
        <w:spacing w:line="276" w:lineRule="auto"/>
        <w:rPr>
          <w:rFonts w:ascii="Garamond" w:eastAsia="Garamond" w:hAnsi="Garamond" w:cs="Garamond"/>
          <w:sz w:val="22"/>
          <w:szCs w:val="22"/>
          <w:lang w:eastAsia="en-US"/>
        </w:rPr>
        <w:sectPr w:rsidR="00A54FEE" w:rsidRPr="00A54FEE">
          <w:pgSz w:w="11910" w:h="16840"/>
          <w:pgMar w:top="1580" w:right="1680" w:bottom="1740" w:left="880" w:header="0" w:footer="1548" w:gutter="0"/>
          <w:cols w:space="720"/>
        </w:sectPr>
      </w:pPr>
    </w:p>
    <w:p w:rsidR="00A54FEE" w:rsidRPr="00A54FEE" w:rsidRDefault="00A54FEE" w:rsidP="00A54FEE">
      <w:pPr>
        <w:autoSpaceDE w:val="0"/>
        <w:autoSpaceDN w:val="0"/>
        <w:spacing w:before="10"/>
        <w:rPr>
          <w:rFonts w:ascii="Garamond" w:eastAsia="Garamond" w:hAnsi="Garamond" w:cs="Garamond"/>
          <w:sz w:val="12"/>
          <w:szCs w:val="25"/>
          <w:lang w:eastAsia="en-US"/>
        </w:rPr>
      </w:pPr>
    </w:p>
    <w:p w:rsidR="00A54FEE" w:rsidRPr="00A54FEE" w:rsidRDefault="00A54FEE" w:rsidP="00A54FEE">
      <w:pPr>
        <w:autoSpaceDE w:val="0"/>
        <w:autoSpaceDN w:val="0"/>
        <w:spacing w:before="100" w:line="276" w:lineRule="auto"/>
        <w:ind w:left="1587" w:right="433"/>
        <w:rPr>
          <w:rFonts w:ascii="Garamond" w:eastAsia="Garamond" w:hAnsi="Garamond" w:cs="Garamond"/>
          <w:sz w:val="25"/>
          <w:szCs w:val="25"/>
          <w:lang w:eastAsia="en-US"/>
        </w:rPr>
      </w:pPr>
      <w:r w:rsidRPr="00A54FEE">
        <w:rPr>
          <w:rFonts w:ascii="Garamond" w:eastAsia="Garamond" w:hAnsi="Garamond" w:cs="Garamond"/>
          <w:sz w:val="25"/>
          <w:szCs w:val="25"/>
          <w:lang w:eastAsia="en-US"/>
        </w:rPr>
        <w:lastRenderedPageBreak/>
        <w:t>Regeringen anser att företagens konkurrenskraft och tillväxtförmåga ska värnas. Mindre företag ska värnas särskilt. Det kommande förslaget ska inte få en sådan utformning att det medför en kostnadsökning eller ökad administrativ börda för företag och andra arbetsgivare jämfört med nuvarande svenskt regelverk.</w:t>
      </w:r>
    </w:p>
    <w:p w:rsidR="00A54FEE" w:rsidRPr="00A54FEE" w:rsidRDefault="00A54FEE" w:rsidP="00A54FEE">
      <w:pPr>
        <w:autoSpaceDE w:val="0"/>
        <w:autoSpaceDN w:val="0"/>
        <w:spacing w:before="8"/>
        <w:rPr>
          <w:rFonts w:ascii="Garamond" w:eastAsia="Garamond" w:hAnsi="Garamond" w:cs="Garamond"/>
          <w:szCs w:val="25"/>
          <w:lang w:eastAsia="en-US"/>
        </w:rPr>
      </w:pPr>
    </w:p>
    <w:p w:rsidR="00A54FEE" w:rsidRPr="00A54FEE" w:rsidRDefault="00A54FEE" w:rsidP="00A54FEE">
      <w:pPr>
        <w:autoSpaceDE w:val="0"/>
        <w:autoSpaceDN w:val="0"/>
        <w:spacing w:before="1" w:line="276" w:lineRule="auto"/>
        <w:ind w:left="1587" w:right="470"/>
        <w:rPr>
          <w:rFonts w:ascii="Garamond" w:eastAsia="Garamond" w:hAnsi="Garamond" w:cs="Garamond"/>
          <w:sz w:val="25"/>
          <w:szCs w:val="25"/>
          <w:lang w:eastAsia="en-US"/>
        </w:rPr>
      </w:pPr>
      <w:r w:rsidRPr="00A54FEE">
        <w:rPr>
          <w:rFonts w:ascii="Garamond" w:eastAsia="Garamond" w:hAnsi="Garamond" w:cs="Garamond"/>
          <w:sz w:val="25"/>
          <w:szCs w:val="25"/>
          <w:lang w:eastAsia="en-US"/>
        </w:rPr>
        <w:t>En viktig utgångspunkt är att fördelningen av befogenheter mellan EU och medlemsstaterna samt principerna om subsidiaritet och proportionalitet respekteras. Det är viktigt att kommissionens kommande förslag föregås av en noggrann och väl underbyggd konsekvensanalys.</w:t>
      </w:r>
    </w:p>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tbl>
      <w:tblPr>
        <w:tblpPr w:leftFromText="141" w:rightFromText="141" w:vertAnchor="page" w:horzAnchor="margin" w:tblpY="601"/>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A54FEE" w:rsidRPr="002C1D5A" w:rsidTr="00A54FEE">
        <w:trPr>
          <w:trHeight w:val="658"/>
        </w:trPr>
        <w:tc>
          <w:tcPr>
            <w:tcW w:w="4021" w:type="dxa"/>
            <w:tcBorders>
              <w:top w:val="nil"/>
              <w:left w:val="nil"/>
              <w:bottom w:val="nil"/>
              <w:right w:val="nil"/>
            </w:tcBorders>
          </w:tcPr>
          <w:p w:rsidR="00A54FEE" w:rsidRPr="002C1D5A" w:rsidRDefault="00A54FEE" w:rsidP="00A54FEE">
            <w:pPr>
              <w:tabs>
                <w:tab w:val="left" w:pos="1701"/>
              </w:tabs>
              <w:rPr>
                <w:sz w:val="22"/>
                <w:szCs w:val="24"/>
              </w:rPr>
            </w:pPr>
            <w:r>
              <w:rPr>
                <w:sz w:val="22"/>
                <w:szCs w:val="24"/>
              </w:rPr>
              <w:lastRenderedPageBreak/>
              <w:t>AR</w:t>
            </w:r>
            <w:r w:rsidRPr="002C1D5A">
              <w:rPr>
                <w:sz w:val="22"/>
                <w:szCs w:val="24"/>
              </w:rPr>
              <w:t>BETSMARKNADSUTSKOTTET</w:t>
            </w:r>
          </w:p>
          <w:p w:rsidR="00A54FEE" w:rsidRPr="002C1D5A" w:rsidRDefault="00A54FEE" w:rsidP="00A54FEE">
            <w:pPr>
              <w:tabs>
                <w:tab w:val="left" w:pos="1701"/>
              </w:tabs>
              <w:rPr>
                <w:sz w:val="22"/>
                <w:szCs w:val="24"/>
              </w:rPr>
            </w:pPr>
          </w:p>
        </w:tc>
        <w:tc>
          <w:tcPr>
            <w:tcW w:w="4021" w:type="dxa"/>
            <w:tcBorders>
              <w:top w:val="nil"/>
              <w:left w:val="nil"/>
              <w:bottom w:val="nil"/>
              <w:right w:val="nil"/>
            </w:tcBorders>
          </w:tcPr>
          <w:p w:rsidR="00A54FEE" w:rsidRPr="002C1D5A" w:rsidRDefault="00A54FEE" w:rsidP="00A54FEE">
            <w:pPr>
              <w:tabs>
                <w:tab w:val="left" w:pos="1701"/>
              </w:tabs>
              <w:jc w:val="center"/>
              <w:rPr>
                <w:b/>
                <w:sz w:val="22"/>
                <w:szCs w:val="24"/>
              </w:rPr>
            </w:pPr>
          </w:p>
        </w:tc>
        <w:tc>
          <w:tcPr>
            <w:tcW w:w="1685" w:type="dxa"/>
            <w:tcBorders>
              <w:top w:val="nil"/>
              <w:left w:val="nil"/>
              <w:bottom w:val="nil"/>
              <w:right w:val="nil"/>
            </w:tcBorders>
          </w:tcPr>
          <w:p w:rsidR="00A54FEE" w:rsidRPr="002C1D5A" w:rsidRDefault="00A54FEE" w:rsidP="00A54FEE">
            <w:pPr>
              <w:tabs>
                <w:tab w:val="left" w:pos="1701"/>
              </w:tabs>
              <w:rPr>
                <w:b/>
                <w:sz w:val="22"/>
                <w:szCs w:val="24"/>
              </w:rPr>
            </w:pPr>
            <w:r>
              <w:rPr>
                <w:b/>
                <w:sz w:val="22"/>
                <w:szCs w:val="24"/>
              </w:rPr>
              <w:t>Bilaga 3</w:t>
            </w:r>
          </w:p>
          <w:p w:rsidR="00A54FEE" w:rsidRPr="002C1D5A" w:rsidRDefault="00A54FEE" w:rsidP="00A54FEE">
            <w:pPr>
              <w:tabs>
                <w:tab w:val="left" w:pos="1701"/>
              </w:tabs>
              <w:rPr>
                <w:sz w:val="22"/>
                <w:szCs w:val="24"/>
              </w:rPr>
            </w:pPr>
            <w:r w:rsidRPr="002C1D5A">
              <w:rPr>
                <w:sz w:val="22"/>
                <w:szCs w:val="24"/>
              </w:rPr>
              <w:t>till protokoll</w:t>
            </w:r>
          </w:p>
          <w:p w:rsidR="00A54FEE" w:rsidRDefault="00A54FEE" w:rsidP="00A54FEE">
            <w:pPr>
              <w:tabs>
                <w:tab w:val="left" w:pos="1701"/>
              </w:tabs>
              <w:rPr>
                <w:sz w:val="22"/>
                <w:szCs w:val="24"/>
              </w:rPr>
            </w:pPr>
            <w:r>
              <w:rPr>
                <w:sz w:val="22"/>
                <w:szCs w:val="24"/>
              </w:rPr>
              <w:t>2020/21:4</w:t>
            </w:r>
          </w:p>
          <w:p w:rsidR="00A54FEE" w:rsidRPr="002C1D5A" w:rsidRDefault="00A54FEE" w:rsidP="00A54FEE">
            <w:pPr>
              <w:tabs>
                <w:tab w:val="left" w:pos="1701"/>
              </w:tabs>
              <w:rPr>
                <w:sz w:val="22"/>
                <w:szCs w:val="24"/>
              </w:rPr>
            </w:pPr>
          </w:p>
        </w:tc>
      </w:tr>
    </w:tbl>
    <w:p w:rsidR="00A54FEE" w:rsidRDefault="00A54FEE" w:rsidP="00B802AB"/>
    <w:p w:rsidR="00A54FEE" w:rsidRDefault="00A54FEE" w:rsidP="00B802AB"/>
    <w:p w:rsidR="00A54FEE" w:rsidRDefault="00A54FEE" w:rsidP="00A54FEE">
      <w:pPr>
        <w:pStyle w:val="Rubrik1"/>
      </w:pPr>
      <w:r>
        <w:t>Avvikande ståndpunkt M, SD, KD</w:t>
      </w:r>
    </w:p>
    <w:p w:rsidR="00A54FEE" w:rsidRPr="00A54FEE" w:rsidRDefault="00A54FEE" w:rsidP="00A54FEE"/>
    <w:p w:rsidR="00A54FEE" w:rsidRDefault="00A54FEE" w:rsidP="00A54FEE">
      <w:pPr>
        <w:pStyle w:val="Rubrik3"/>
      </w:pPr>
      <w:r>
        <w:t>Aviserat förslag om lönetransparens</w:t>
      </w:r>
    </w:p>
    <w:p w:rsidR="00A54FEE" w:rsidRPr="00A54FEE" w:rsidRDefault="00A54FEE" w:rsidP="00A54FEE"/>
    <w:p w:rsidR="00A54FEE" w:rsidRPr="00A54FEE" w:rsidRDefault="00A54FEE" w:rsidP="00A54FEE">
      <w:r w:rsidRPr="00A54FEE">
        <w:rPr>
          <w:rStyle w:val="xs2"/>
        </w:rPr>
        <w:t>Sverige är en stark kraft i EU vad gäller frågor om jämställdhet. Vi stöttar åtgärder för ökad jämställdhet inom EU men menar att det är på nationell nivå som störst skillnad kan göras för jämställdheten. I synnerhet Sverige har visat det. För många medlemsländer innebär det genomförande av strukturella reformer för att öka kvinnors delaktighet på arbetsmarknaden.</w:t>
      </w:r>
    </w:p>
    <w:p w:rsidR="00A54FEE" w:rsidRDefault="00A54FEE" w:rsidP="00A54FEE">
      <w:pPr>
        <w:rPr>
          <w:rStyle w:val="xs2"/>
        </w:rPr>
      </w:pPr>
      <w:r w:rsidRPr="00A54FEE">
        <w:rPr>
          <w:rStyle w:val="xs2"/>
        </w:rPr>
        <w:t>När det kommer till att stärka principen om lika lön för lika eller likvärdigt arbete måste därför regeringen säkerställa att den svenska partsmodellen inte påverkas negativt av förslag från kommissionen eller blir sårbar för juridisk prövning på EU-nivå. Ser man till EU ser situationen i medlemsländerna olika ut och det finns ingen lösning som kommer kunna appliceras i alla länder. </w:t>
      </w:r>
    </w:p>
    <w:p w:rsidR="00A54FEE" w:rsidRPr="00A54FEE" w:rsidRDefault="00A54FEE" w:rsidP="00A54FEE"/>
    <w:p w:rsidR="00A54FEE" w:rsidRDefault="00A54FEE" w:rsidP="00A54FEE">
      <w:pPr>
        <w:rPr>
          <w:rStyle w:val="xs2"/>
        </w:rPr>
      </w:pPr>
      <w:r w:rsidRPr="00A54FEE">
        <w:rPr>
          <w:rStyle w:val="xs2"/>
        </w:rPr>
        <w:t>För svensk del ser vi en särskild risk i att parternas autonomi och självbestämmande över lönebildningen sätts ur spel av denna typ av lagstiftning.</w:t>
      </w:r>
    </w:p>
    <w:p w:rsidR="00A54FEE" w:rsidRPr="00A54FEE" w:rsidRDefault="00A54FEE" w:rsidP="00A54FEE"/>
    <w:p w:rsidR="00A54FEE" w:rsidRDefault="00A54FEE" w:rsidP="00A54FEE">
      <w:pPr>
        <w:rPr>
          <w:color w:val="201F1E"/>
        </w:rPr>
      </w:pPr>
      <w:r w:rsidRPr="00A54FEE">
        <w:rPr>
          <w:rStyle w:val="xs2"/>
        </w:rPr>
        <w:t>Vi har svårt att se att EU skulle komma med ett förslag som förenklar arbetet med lönekartläggning. Det behöver vi göra på nationell nivå, i enlighet med ovanstående. Med ett nytt direktiv riskerar vi att få ökad administrativ börda för arbetsgivare och det är inte säkert att det ger den effekt som önskas. </w:t>
      </w:r>
      <w:r w:rsidRPr="00A54FEE">
        <w:rPr>
          <w:color w:val="201F1E"/>
        </w:rPr>
        <w:t>Tvärtom riskerar det att leda till försämrad konkurrenskraft och tillväxtförmåga, och därmed i förlängningen även sysselsättning och löner.</w:t>
      </w:r>
    </w:p>
    <w:p w:rsidR="00A54FEE" w:rsidRPr="00A54FEE" w:rsidRDefault="00A54FEE" w:rsidP="00A54FEE"/>
    <w:p w:rsidR="00A54FEE" w:rsidRDefault="00A54FEE" w:rsidP="00A54FEE">
      <w:pPr>
        <w:rPr>
          <w:color w:val="201F1E"/>
        </w:rPr>
      </w:pPr>
      <w:r w:rsidRPr="00A54FEE">
        <w:rPr>
          <w:rStyle w:val="xs2"/>
        </w:rPr>
        <w:t>När den sociala pelaren togs fram aviserades att det skulle komma olika initiativ på det sociala området. Vi varnade för att det skulle resultera i att EU skulle utvidga lagstiftning på området, vilket riskerar vårt nationella självbestämmande. Trots detta drev regeringen på för den sociala pelaren. </w:t>
      </w:r>
      <w:r w:rsidRPr="00A54FEE">
        <w:rPr>
          <w:color w:val="201F1E"/>
        </w:rPr>
        <w:t>Detta initiativ från kommissionen är ytterligare ett i den nu långa raden av nya initiativ som kommissionen uttryckligen motiverar med den sociala pelaren och som Sverige behöver ägna stor möda åt att motverka.</w:t>
      </w:r>
    </w:p>
    <w:p w:rsidR="00A54FEE" w:rsidRPr="00A54FEE" w:rsidRDefault="00A54FEE" w:rsidP="00A54FEE"/>
    <w:p w:rsidR="00A54FEE" w:rsidRDefault="00A54FEE" w:rsidP="00A54FEE">
      <w:pPr>
        <w:rPr>
          <w:rStyle w:val="xs2"/>
        </w:rPr>
      </w:pPr>
      <w:r w:rsidRPr="00A54FEE">
        <w:rPr>
          <w:rStyle w:val="xs2"/>
        </w:rPr>
        <w:t>Precis som det står i regeringens ståndpunkt så finns det många frågetecken kring ett direktiv. Det gäller exempelvis hur det kommer att påverka vår arbetsmarknadsmodell och parternas ansvar för lönebildningen i Sverige. Regeringen noterar också att det finns delar i förslag som de inte stödjer, exempelvis kring generell rätt för enskilda att ta del av individuella arbetstagares lönenivåer. Likaså finns en risk för lönebildningen och förhandlingar om löner inklusive möjligheten för individuell lönesättning. Vidare att det rättsliga begreppet arbetstagare tar sin utgångspunkt i nationell rätt. </w:t>
      </w:r>
    </w:p>
    <w:p w:rsidR="00A54FEE" w:rsidRPr="00A54FEE" w:rsidRDefault="00A54FEE" w:rsidP="00A54FEE"/>
    <w:p w:rsidR="00A54FEE" w:rsidRDefault="00A54FEE" w:rsidP="00A54FEE">
      <w:pPr>
        <w:rPr>
          <w:rStyle w:val="xs2"/>
        </w:rPr>
      </w:pPr>
      <w:r w:rsidRPr="00A54FEE">
        <w:rPr>
          <w:rStyle w:val="xs2"/>
        </w:rPr>
        <w:t>Vår uppfattning är därför att lönebildning och arbetsgivares skyldigheter avseende lönekartläggning bör regleras på nationell nivå. </w:t>
      </w:r>
    </w:p>
    <w:p w:rsidR="00A54FEE" w:rsidRPr="00A54FEE" w:rsidRDefault="00A54FEE" w:rsidP="00A54FEE"/>
    <w:p w:rsidR="00A54FEE" w:rsidRDefault="00A54FEE" w:rsidP="00A54FEE">
      <w:pPr>
        <w:rPr>
          <w:rStyle w:val="xs2"/>
        </w:rPr>
      </w:pPr>
      <w:r w:rsidRPr="00A54FEE">
        <w:rPr>
          <w:rStyle w:val="xs2"/>
        </w:rPr>
        <w:t>Inom ett antal områden riskerar nu den svenska arbetsmarknadsmodellen att utmanas och undergrävas, bl. a genom hotet om införande av minimilöner genom direktiv.</w:t>
      </w:r>
    </w:p>
    <w:p w:rsidR="00A54FEE" w:rsidRPr="00A54FEE" w:rsidRDefault="00A54FEE" w:rsidP="00A54FEE"/>
    <w:p w:rsidR="00A54FEE" w:rsidRPr="00A54FEE" w:rsidRDefault="00A54FEE" w:rsidP="00A54FEE">
      <w:r w:rsidRPr="00A54FEE">
        <w:rPr>
          <w:rStyle w:val="xs2"/>
        </w:rPr>
        <w:t>Följaktligen förespråkar vi att den rådsrekommendation som idag gäller inte ersätts av ett direktiv. Och att regeringen ska verka i den riktningen. </w:t>
      </w:r>
    </w:p>
    <w:p w:rsidR="00A54FEE" w:rsidRDefault="00A54FEE" w:rsidP="00B802AB"/>
    <w:p w:rsidR="00A54FEE" w:rsidRDefault="00A54FEE" w:rsidP="00B802AB"/>
    <w:p w:rsidR="00A54FEE" w:rsidRDefault="00A54FEE" w:rsidP="00B802AB"/>
    <w:p w:rsidR="00A54FEE" w:rsidRDefault="00A54FEE" w:rsidP="00B802AB"/>
    <w:tbl>
      <w:tblPr>
        <w:tblpPr w:leftFromText="141" w:rightFromText="141" w:vertAnchor="page" w:horzAnchor="margin" w:tblpY="601"/>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A54FEE" w:rsidRPr="002C1D5A" w:rsidTr="008046DD">
        <w:trPr>
          <w:trHeight w:val="658"/>
        </w:trPr>
        <w:tc>
          <w:tcPr>
            <w:tcW w:w="4021" w:type="dxa"/>
            <w:tcBorders>
              <w:top w:val="nil"/>
              <w:left w:val="nil"/>
              <w:bottom w:val="nil"/>
              <w:right w:val="nil"/>
            </w:tcBorders>
          </w:tcPr>
          <w:p w:rsidR="00A54FEE" w:rsidRPr="002C1D5A" w:rsidRDefault="00A54FEE" w:rsidP="008046DD">
            <w:pPr>
              <w:tabs>
                <w:tab w:val="left" w:pos="1701"/>
              </w:tabs>
              <w:rPr>
                <w:sz w:val="22"/>
                <w:szCs w:val="24"/>
              </w:rPr>
            </w:pPr>
            <w:r>
              <w:rPr>
                <w:sz w:val="22"/>
                <w:szCs w:val="24"/>
              </w:rPr>
              <w:t>AR</w:t>
            </w:r>
            <w:r w:rsidRPr="002C1D5A">
              <w:rPr>
                <w:sz w:val="22"/>
                <w:szCs w:val="24"/>
              </w:rPr>
              <w:t>BETSMARKNADSUTSKOTTET</w:t>
            </w:r>
          </w:p>
          <w:p w:rsidR="00A54FEE" w:rsidRPr="002C1D5A" w:rsidRDefault="00A54FEE" w:rsidP="008046DD">
            <w:pPr>
              <w:tabs>
                <w:tab w:val="left" w:pos="1701"/>
              </w:tabs>
              <w:rPr>
                <w:sz w:val="22"/>
                <w:szCs w:val="24"/>
              </w:rPr>
            </w:pPr>
          </w:p>
        </w:tc>
        <w:tc>
          <w:tcPr>
            <w:tcW w:w="4021" w:type="dxa"/>
            <w:tcBorders>
              <w:top w:val="nil"/>
              <w:left w:val="nil"/>
              <w:bottom w:val="nil"/>
              <w:right w:val="nil"/>
            </w:tcBorders>
          </w:tcPr>
          <w:p w:rsidR="00A54FEE" w:rsidRPr="002C1D5A" w:rsidRDefault="00A54FEE" w:rsidP="008046DD">
            <w:pPr>
              <w:tabs>
                <w:tab w:val="left" w:pos="1701"/>
              </w:tabs>
              <w:jc w:val="center"/>
              <w:rPr>
                <w:b/>
                <w:sz w:val="22"/>
                <w:szCs w:val="24"/>
              </w:rPr>
            </w:pPr>
          </w:p>
        </w:tc>
        <w:tc>
          <w:tcPr>
            <w:tcW w:w="1685" w:type="dxa"/>
            <w:tcBorders>
              <w:top w:val="nil"/>
              <w:left w:val="nil"/>
              <w:bottom w:val="nil"/>
              <w:right w:val="nil"/>
            </w:tcBorders>
          </w:tcPr>
          <w:p w:rsidR="00A54FEE" w:rsidRPr="002C1D5A" w:rsidRDefault="00A54FEE" w:rsidP="008046DD">
            <w:pPr>
              <w:tabs>
                <w:tab w:val="left" w:pos="1701"/>
              </w:tabs>
              <w:rPr>
                <w:b/>
                <w:sz w:val="22"/>
                <w:szCs w:val="24"/>
              </w:rPr>
            </w:pPr>
            <w:r>
              <w:rPr>
                <w:b/>
                <w:sz w:val="22"/>
                <w:szCs w:val="24"/>
              </w:rPr>
              <w:t>Bilaga 4</w:t>
            </w:r>
          </w:p>
          <w:p w:rsidR="00A54FEE" w:rsidRPr="002C1D5A" w:rsidRDefault="00A54FEE" w:rsidP="008046DD">
            <w:pPr>
              <w:tabs>
                <w:tab w:val="left" w:pos="1701"/>
              </w:tabs>
              <w:rPr>
                <w:sz w:val="22"/>
                <w:szCs w:val="24"/>
              </w:rPr>
            </w:pPr>
            <w:r w:rsidRPr="002C1D5A">
              <w:rPr>
                <w:sz w:val="22"/>
                <w:szCs w:val="24"/>
              </w:rPr>
              <w:t>till protokoll</w:t>
            </w:r>
          </w:p>
          <w:p w:rsidR="00A54FEE" w:rsidRDefault="00A54FEE" w:rsidP="008046DD">
            <w:pPr>
              <w:tabs>
                <w:tab w:val="left" w:pos="1701"/>
              </w:tabs>
              <w:rPr>
                <w:sz w:val="22"/>
                <w:szCs w:val="24"/>
              </w:rPr>
            </w:pPr>
            <w:r>
              <w:rPr>
                <w:sz w:val="22"/>
                <w:szCs w:val="24"/>
              </w:rPr>
              <w:t>2020/21:4</w:t>
            </w:r>
          </w:p>
          <w:p w:rsidR="00A54FEE" w:rsidRPr="002C1D5A" w:rsidRDefault="00A54FEE" w:rsidP="008046DD">
            <w:pPr>
              <w:tabs>
                <w:tab w:val="left" w:pos="1701"/>
              </w:tabs>
              <w:rPr>
                <w:sz w:val="22"/>
                <w:szCs w:val="24"/>
              </w:rPr>
            </w:pPr>
          </w:p>
        </w:tc>
      </w:tr>
    </w:tbl>
    <w:p w:rsidR="00A54FEE" w:rsidRDefault="00A54FEE" w:rsidP="00B802AB"/>
    <w:p w:rsidR="00B3122A" w:rsidRDefault="00B3122A" w:rsidP="00B3122A">
      <w:pPr>
        <w:spacing w:before="67"/>
        <w:ind w:left="5646"/>
        <w:rPr>
          <w:rFonts w:ascii="Arial"/>
          <w:b/>
          <w:sz w:val="19"/>
        </w:rPr>
      </w:pPr>
      <w:r>
        <w:rPr>
          <w:noProof/>
        </w:rPr>
        <w:drawing>
          <wp:anchor distT="0" distB="0" distL="0" distR="0" simplePos="0" relativeHeight="251663360" behindDoc="0" locked="0" layoutInCell="1" allowOverlap="1" wp14:anchorId="0820FBF3" wp14:editId="746E3D3D">
            <wp:simplePos x="0" y="0"/>
            <wp:positionH relativeFrom="page">
              <wp:posOffset>1018441</wp:posOffset>
            </wp:positionH>
            <wp:positionV relativeFrom="paragraph">
              <wp:posOffset>250047</wp:posOffset>
            </wp:positionV>
            <wp:extent cx="1343391" cy="161925"/>
            <wp:effectExtent l="0" t="0" r="0" b="0"/>
            <wp:wrapTopAndBottom/>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343391" cy="161925"/>
                    </a:xfrm>
                    <a:prstGeom prst="rect">
                      <a:avLst/>
                    </a:prstGeom>
                  </pic:spPr>
                </pic:pic>
              </a:graphicData>
            </a:graphic>
          </wp:anchor>
        </w:drawing>
      </w:r>
      <w:r>
        <w:rPr>
          <w:noProof/>
        </w:rPr>
        <w:drawing>
          <wp:anchor distT="0" distB="0" distL="0" distR="0" simplePos="0" relativeHeight="251662336" behindDoc="0" locked="0" layoutInCell="1" allowOverlap="1" wp14:anchorId="4430548E" wp14:editId="0D28AE1F">
            <wp:simplePos x="0" y="0"/>
            <wp:positionH relativeFrom="page">
              <wp:posOffset>635091</wp:posOffset>
            </wp:positionH>
            <wp:positionV relativeFrom="paragraph">
              <wp:posOffset>51918</wp:posOffset>
            </wp:positionV>
            <wp:extent cx="282962" cy="488474"/>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282962" cy="488474"/>
                    </a:xfrm>
                    <a:prstGeom prst="rect">
                      <a:avLst/>
                    </a:prstGeom>
                  </pic:spPr>
                </pic:pic>
              </a:graphicData>
            </a:graphic>
          </wp:anchor>
        </w:drawing>
      </w:r>
      <w:r>
        <w:rPr>
          <w:rFonts w:ascii="Arial"/>
          <w:b/>
          <w:sz w:val="19"/>
        </w:rPr>
        <w:t>Promemoria</w:t>
      </w:r>
    </w:p>
    <w:p w:rsidR="00B3122A" w:rsidRDefault="00B3122A" w:rsidP="00B3122A">
      <w:pPr>
        <w:spacing w:before="44"/>
        <w:ind w:left="5646"/>
        <w:rPr>
          <w:rFonts w:ascii="Arial"/>
          <w:sz w:val="19"/>
        </w:rPr>
      </w:pPr>
      <w:r>
        <w:rPr>
          <w:rFonts w:ascii="Arial"/>
          <w:sz w:val="19"/>
        </w:rPr>
        <w:t>2020-09-29</w:t>
      </w:r>
    </w:p>
    <w:p w:rsidR="00B3122A" w:rsidRDefault="00B3122A" w:rsidP="00B3122A">
      <w:pPr>
        <w:ind w:left="5646"/>
        <w:rPr>
          <w:rFonts w:ascii="Arial"/>
          <w:sz w:val="19"/>
        </w:rPr>
      </w:pPr>
      <w:r>
        <w:rPr>
          <w:rFonts w:ascii="Arial"/>
          <w:sz w:val="19"/>
        </w:rPr>
        <w:t>A2020/</w:t>
      </w:r>
    </w:p>
    <w:p w:rsidR="00B3122A" w:rsidRDefault="00B3122A" w:rsidP="00B3122A">
      <w:pPr>
        <w:pStyle w:val="Brdtext"/>
        <w:rPr>
          <w:rFonts w:ascii="Arial"/>
          <w:sz w:val="20"/>
        </w:rPr>
      </w:pPr>
    </w:p>
    <w:p w:rsidR="00B3122A" w:rsidRDefault="00B3122A" w:rsidP="00B3122A">
      <w:pPr>
        <w:pStyle w:val="Brdtext"/>
        <w:rPr>
          <w:rFonts w:ascii="Arial"/>
          <w:sz w:val="20"/>
        </w:rPr>
      </w:pPr>
    </w:p>
    <w:p w:rsidR="00B3122A" w:rsidRDefault="00B3122A" w:rsidP="00B3122A">
      <w:pPr>
        <w:rPr>
          <w:rFonts w:ascii="Arial"/>
        </w:rPr>
        <w:sectPr w:rsidR="00B3122A">
          <w:footerReference w:type="default" r:id="rId13"/>
          <w:type w:val="continuous"/>
          <w:pgSz w:w="11910" w:h="16840"/>
          <w:pgMar w:top="480" w:right="1680" w:bottom="280" w:left="880" w:header="720" w:footer="720" w:gutter="0"/>
          <w:cols w:space="720"/>
        </w:sectPr>
      </w:pPr>
    </w:p>
    <w:p w:rsidR="00B3122A" w:rsidRDefault="00B3122A" w:rsidP="00B3122A">
      <w:pPr>
        <w:spacing w:before="94"/>
        <w:ind w:left="111"/>
        <w:rPr>
          <w:rFonts w:ascii="Arial"/>
          <w:b/>
          <w:sz w:val="19"/>
        </w:rPr>
      </w:pPr>
      <w:r>
        <w:rPr>
          <w:rFonts w:ascii="Arial"/>
          <w:b/>
          <w:sz w:val="19"/>
        </w:rPr>
        <w:t>Arbetsmarknadsdepartementet</w:t>
      </w:r>
    </w:p>
    <w:p w:rsidR="00B3122A" w:rsidRDefault="00B3122A" w:rsidP="00B3122A">
      <w:pPr>
        <w:spacing w:before="144" w:line="249" w:lineRule="auto"/>
        <w:ind w:left="111" w:right="1307"/>
        <w:rPr>
          <w:rFonts w:ascii="Arial"/>
          <w:sz w:val="19"/>
        </w:rPr>
      </w:pPr>
      <w:r>
        <w:br w:type="column"/>
      </w:r>
      <w:r>
        <w:rPr>
          <w:rFonts w:ascii="Arial"/>
          <w:sz w:val="19"/>
        </w:rPr>
        <w:t xml:space="preserve">Arbetsmarknadsutskottet Diarienummer: </w:t>
      </w:r>
      <w:proofErr w:type="gramStart"/>
      <w:r>
        <w:rPr>
          <w:rFonts w:ascii="Arial"/>
          <w:sz w:val="19"/>
        </w:rPr>
        <w:t>248-2020</w:t>
      </w:r>
      <w:proofErr w:type="gramEnd"/>
      <w:r>
        <w:rPr>
          <w:rFonts w:ascii="Arial"/>
          <w:sz w:val="19"/>
        </w:rPr>
        <w:t>/21</w:t>
      </w:r>
    </w:p>
    <w:p w:rsidR="00B3122A" w:rsidRDefault="00B3122A" w:rsidP="00B3122A">
      <w:pPr>
        <w:spacing w:line="249" w:lineRule="auto"/>
        <w:rPr>
          <w:rFonts w:ascii="Arial"/>
          <w:sz w:val="19"/>
        </w:rPr>
        <w:sectPr w:rsidR="00B3122A">
          <w:type w:val="continuous"/>
          <w:pgSz w:w="11910" w:h="16840"/>
          <w:pgMar w:top="480" w:right="1680" w:bottom="280" w:left="880" w:header="720" w:footer="720" w:gutter="0"/>
          <w:cols w:num="2" w:space="720" w:equalWidth="0">
            <w:col w:w="2957" w:space="2589"/>
            <w:col w:w="3804"/>
          </w:cols>
        </w:sectPr>
      </w:pPr>
    </w:p>
    <w:p w:rsidR="00B3122A" w:rsidRDefault="00B3122A" w:rsidP="00B3122A">
      <w:pPr>
        <w:pStyle w:val="Brdtext"/>
        <w:rPr>
          <w:rFonts w:ascii="Arial"/>
          <w:sz w:val="20"/>
        </w:rPr>
      </w:pPr>
    </w:p>
    <w:p w:rsidR="00B3122A" w:rsidRDefault="00B3122A" w:rsidP="00B3122A">
      <w:pPr>
        <w:pStyle w:val="Rubrik"/>
        <w:spacing w:line="276" w:lineRule="auto"/>
      </w:pPr>
      <w:r>
        <w:t xml:space="preserve">Överläggningspromemoria till arbetsmarknadsutskottet om </w:t>
      </w:r>
      <w:proofErr w:type="spellStart"/>
      <w:r>
        <w:t>rådsslutsatser</w:t>
      </w:r>
      <w:proofErr w:type="spellEnd"/>
      <w:r>
        <w:t xml:space="preserve"> beträffande att åtgärda lönegapet mellan kvinnor och män genom värdering och fördelning av det obetalda hem- och omsorgsarbetet</w:t>
      </w:r>
    </w:p>
    <w:p w:rsidR="00B3122A" w:rsidRDefault="00B3122A" w:rsidP="00B3122A">
      <w:pPr>
        <w:pStyle w:val="Brdtext"/>
        <w:rPr>
          <w:rFonts w:ascii="Arial"/>
          <w:sz w:val="28"/>
        </w:rPr>
      </w:pPr>
    </w:p>
    <w:p w:rsidR="00B3122A" w:rsidRDefault="00B3122A" w:rsidP="00B3122A">
      <w:pPr>
        <w:pStyle w:val="Brdtext"/>
        <w:spacing w:before="1"/>
        <w:rPr>
          <w:rFonts w:ascii="Arial"/>
          <w:sz w:val="24"/>
        </w:rPr>
      </w:pPr>
    </w:p>
    <w:p w:rsidR="00B3122A" w:rsidRDefault="00B3122A" w:rsidP="00B3122A">
      <w:pPr>
        <w:spacing w:before="1"/>
        <w:ind w:left="1587"/>
      </w:pPr>
      <w:r>
        <w:rPr>
          <w:b/>
        </w:rPr>
        <w:t xml:space="preserve">Dokument: </w:t>
      </w:r>
      <w:proofErr w:type="gramStart"/>
      <w:r>
        <w:t>10514</w:t>
      </w:r>
      <w:proofErr w:type="gramEnd"/>
      <w:r>
        <w:t>/20</w:t>
      </w:r>
    </w:p>
    <w:p w:rsidR="00B3122A" w:rsidRDefault="00B3122A" w:rsidP="00B3122A">
      <w:pPr>
        <w:pStyle w:val="Brdtext"/>
        <w:spacing w:before="7"/>
        <w:rPr>
          <w:sz w:val="28"/>
        </w:rPr>
      </w:pPr>
    </w:p>
    <w:p w:rsidR="00B3122A" w:rsidRDefault="00B3122A" w:rsidP="00B3122A">
      <w:pPr>
        <w:ind w:left="1587"/>
      </w:pPr>
      <w:r>
        <w:rPr>
          <w:b/>
        </w:rPr>
        <w:t xml:space="preserve">Tidigare dokument: </w:t>
      </w:r>
      <w:r>
        <w:t>-</w:t>
      </w:r>
    </w:p>
    <w:p w:rsidR="00B3122A" w:rsidRDefault="00B3122A" w:rsidP="00B3122A">
      <w:pPr>
        <w:pStyle w:val="Brdtext"/>
        <w:rPr>
          <w:sz w:val="24"/>
        </w:rPr>
      </w:pPr>
    </w:p>
    <w:p w:rsidR="00B3122A" w:rsidRDefault="00B3122A" w:rsidP="00B3122A">
      <w:pPr>
        <w:ind w:left="1587"/>
      </w:pPr>
      <w:r>
        <w:rPr>
          <w:b/>
        </w:rPr>
        <w:t xml:space="preserve">Tidigare behandlad vid samråd med EU-nämnden: </w:t>
      </w:r>
      <w:r>
        <w:t>-</w:t>
      </w:r>
    </w:p>
    <w:p w:rsidR="00B3122A" w:rsidRDefault="00B3122A" w:rsidP="00B3122A">
      <w:pPr>
        <w:pStyle w:val="Brdtext"/>
        <w:rPr>
          <w:sz w:val="26"/>
        </w:rPr>
      </w:pPr>
    </w:p>
    <w:p w:rsidR="00B3122A" w:rsidRDefault="00B3122A" w:rsidP="00B3122A">
      <w:pPr>
        <w:pStyle w:val="Brdtext"/>
        <w:spacing w:before="10"/>
        <w:rPr>
          <w:sz w:val="21"/>
        </w:rPr>
      </w:pPr>
    </w:p>
    <w:p w:rsidR="00B3122A" w:rsidRDefault="00B3122A" w:rsidP="00B3122A">
      <w:pPr>
        <w:ind w:left="1587" w:right="713"/>
      </w:pPr>
      <w:r>
        <w:rPr>
          <w:b/>
        </w:rPr>
        <w:t xml:space="preserve">Tidigare behandlad vid möte med arbetsmarknadsutskottet: </w:t>
      </w:r>
      <w:r>
        <w:t>Utskottet informerades om frågan den 22 september 2020.</w:t>
      </w:r>
    </w:p>
    <w:p w:rsidR="00B3122A" w:rsidRDefault="00B3122A" w:rsidP="00B3122A">
      <w:pPr>
        <w:ind w:left="1587" w:right="713"/>
      </w:pPr>
    </w:p>
    <w:p w:rsidR="00B3122A" w:rsidRDefault="00B3122A" w:rsidP="00B3122A">
      <w:pPr>
        <w:pStyle w:val="Brdtext"/>
        <w:rPr>
          <w:sz w:val="26"/>
        </w:rPr>
      </w:pPr>
    </w:p>
    <w:p w:rsidR="00B3122A" w:rsidRDefault="00B3122A" w:rsidP="00B3122A">
      <w:pPr>
        <w:pStyle w:val="Liststycke"/>
        <w:numPr>
          <w:ilvl w:val="0"/>
          <w:numId w:val="27"/>
        </w:numPr>
        <w:tabs>
          <w:tab w:val="left" w:pos="1989"/>
        </w:tabs>
        <w:autoSpaceDE w:val="0"/>
        <w:autoSpaceDN w:val="0"/>
        <w:ind w:hanging="402"/>
        <w:contextualSpacing w:val="0"/>
      </w:pPr>
      <w:r>
        <w:t>Bakgrund</w:t>
      </w:r>
    </w:p>
    <w:p w:rsidR="00B3122A" w:rsidRDefault="00B3122A" w:rsidP="00B3122A">
      <w:pPr>
        <w:pStyle w:val="Brdtext"/>
        <w:spacing w:before="122" w:line="276" w:lineRule="auto"/>
        <w:ind w:left="1587" w:right="298"/>
      </w:pPr>
      <w:r>
        <w:t>Det tyska ordförandeskapet i Europeiska unionens råd har två prioriteringar på jämställdhetsområdet, att förebygga och förhindra mäns våld mot kvinnor samt att uppmärksamma den ojämna fördelningen av det obetalda hem- och omsorgsarbetet och de konsekvenser denna får för lönegapet mellan kvinnor och män.</w:t>
      </w:r>
    </w:p>
    <w:p w:rsidR="00B3122A" w:rsidRDefault="00B3122A" w:rsidP="00B3122A">
      <w:pPr>
        <w:pStyle w:val="Brdtext"/>
        <w:spacing w:before="9"/>
        <w:rPr>
          <w:sz w:val="24"/>
        </w:rPr>
      </w:pPr>
    </w:p>
    <w:p w:rsidR="00B3122A" w:rsidRDefault="00B3122A" w:rsidP="00B3122A">
      <w:pPr>
        <w:pStyle w:val="Brdtext"/>
        <w:spacing w:line="276" w:lineRule="auto"/>
        <w:ind w:left="1587" w:right="338"/>
      </w:pPr>
      <w:r>
        <w:t xml:space="preserve">Som ett led i att uppmärksamma den ojämna fördelningen av det obetalda hem- och omsorgsarbetet och det åtföljande lönegapet har ordförandeskapet tagit fram utkast till </w:t>
      </w:r>
      <w:proofErr w:type="spellStart"/>
      <w:r>
        <w:t>rådsslutsatser</w:t>
      </w:r>
      <w:proofErr w:type="spellEnd"/>
      <w:r>
        <w:t>. Slutsatserna är preliminärt uppsatta för antagande vid EPSCO-rådets möte den 3 december.</w:t>
      </w:r>
    </w:p>
    <w:p w:rsidR="00B3122A" w:rsidRDefault="00B3122A" w:rsidP="00B3122A">
      <w:pPr>
        <w:pStyle w:val="Brdtext"/>
      </w:pPr>
    </w:p>
    <w:p w:rsidR="00B3122A" w:rsidRDefault="00B3122A" w:rsidP="00B3122A">
      <w:pPr>
        <w:pStyle w:val="Brdtext"/>
        <w:spacing w:line="276" w:lineRule="auto"/>
        <w:ind w:left="1587" w:right="324"/>
      </w:pPr>
      <w:r>
        <w:t>I utkastet identifieras två huvudsakligavägar för att bemöta utmaningen. Den ena är en utbyggnad av barnomsorg och äldreomsorg och den andra är en</w:t>
      </w:r>
    </w:p>
    <w:p w:rsidR="00B3122A" w:rsidRPr="00B3122A" w:rsidRDefault="00B3122A" w:rsidP="00B3122A">
      <w:pPr>
        <w:tabs>
          <w:tab w:val="left" w:pos="8625"/>
          <w:tab w:val="left" w:pos="8805"/>
        </w:tabs>
        <w:spacing w:line="276" w:lineRule="auto"/>
        <w:sectPr w:rsidR="00B3122A" w:rsidRPr="00B3122A">
          <w:type w:val="continuous"/>
          <w:pgSz w:w="11910" w:h="16840"/>
          <w:pgMar w:top="480" w:right="1680" w:bottom="280" w:left="880" w:header="720" w:footer="720" w:gutter="0"/>
          <w:cols w:space="720"/>
        </w:sectPr>
      </w:pPr>
      <w:r>
        <w:tab/>
      </w:r>
      <w:r>
        <w:tab/>
      </w:r>
      <w:r>
        <w:tab/>
      </w:r>
    </w:p>
    <w:p w:rsidR="00B3122A" w:rsidRDefault="00B3122A" w:rsidP="00B3122A">
      <w:pPr>
        <w:pStyle w:val="Brdtext"/>
        <w:rPr>
          <w:sz w:val="20"/>
        </w:rPr>
      </w:pPr>
    </w:p>
    <w:p w:rsidR="00B3122A" w:rsidRDefault="00B3122A" w:rsidP="00B3122A">
      <w:pPr>
        <w:pStyle w:val="Brdtext"/>
        <w:spacing w:before="217" w:line="276" w:lineRule="auto"/>
        <w:ind w:left="1587" w:right="709"/>
      </w:pPr>
      <w:r>
        <w:t xml:space="preserve">mer jämn fördelning av betalt och obetalt arbete mellan könen. </w:t>
      </w:r>
      <w:proofErr w:type="spellStart"/>
      <w:r>
        <w:t>Rådsslutsatserna</w:t>
      </w:r>
      <w:proofErr w:type="spellEnd"/>
      <w:r>
        <w:t xml:space="preserve"> innehåller dessutom ett antal uppmaningar riktade till medlemsstaterna, kommissionen, Eurostat och arbetsmarknadens parter.</w:t>
      </w:r>
    </w:p>
    <w:p w:rsidR="00B3122A" w:rsidRDefault="00B3122A" w:rsidP="00B3122A">
      <w:pPr>
        <w:pStyle w:val="Brdtext"/>
        <w:spacing w:before="8"/>
        <w:rPr>
          <w:sz w:val="28"/>
        </w:rPr>
      </w:pPr>
    </w:p>
    <w:p w:rsidR="00B3122A" w:rsidRDefault="00B3122A" w:rsidP="00B3122A">
      <w:pPr>
        <w:pStyle w:val="Brdtext"/>
        <w:spacing w:before="1" w:line="276" w:lineRule="auto"/>
        <w:ind w:left="1587" w:right="374"/>
      </w:pPr>
      <w:r>
        <w:t>Riksdagen har beslutat att kvinnor och män ska ha samma makt att forma samhället och sina egna liv. Inom ramen för detta övergripande mål har regeringens beslutat som ett jämställdhetspolitiskt delmål om ekonomisk jämställdhet, dvs. att kvinnor och män ska ha samma möjligheter och villkor i fråga om betalt arbete som ger ekonomisk självständighet livet ut.</w:t>
      </w:r>
    </w:p>
    <w:p w:rsidR="00B3122A" w:rsidRDefault="00B3122A" w:rsidP="00B3122A">
      <w:pPr>
        <w:pStyle w:val="Brdtext"/>
        <w:spacing w:before="9"/>
        <w:rPr>
          <w:sz w:val="28"/>
        </w:rPr>
      </w:pPr>
    </w:p>
    <w:p w:rsidR="00B3122A" w:rsidRDefault="00B3122A" w:rsidP="00B3122A">
      <w:pPr>
        <w:pStyle w:val="Brdtext"/>
        <w:spacing w:line="276" w:lineRule="auto"/>
        <w:ind w:left="1587" w:right="1035"/>
      </w:pPr>
      <w:r>
        <w:t>Ett annat delmål är en jämn fördelning av det obetalda hem- och omsorgsarbetet, dvs. att kvinnor och män ska ta samma ansvar för hemarbetet och ha möjligheter att ge och få omsorg på lika villkor. Målen för den svenska jämställdhetspolitiken utgör också mål för vad regeringen vill uppnå inom ramen för EU-arbetet.</w:t>
      </w:r>
    </w:p>
    <w:p w:rsidR="00B3122A" w:rsidRDefault="00B3122A" w:rsidP="00B3122A">
      <w:pPr>
        <w:pStyle w:val="Brdtext"/>
        <w:rPr>
          <w:sz w:val="28"/>
        </w:rPr>
      </w:pPr>
    </w:p>
    <w:p w:rsidR="00B3122A" w:rsidRDefault="00B3122A" w:rsidP="00B3122A">
      <w:pPr>
        <w:pStyle w:val="Brdtext"/>
        <w:spacing w:before="3"/>
        <w:rPr>
          <w:sz w:val="29"/>
        </w:rPr>
      </w:pPr>
    </w:p>
    <w:p w:rsidR="00B3122A" w:rsidRDefault="00B3122A" w:rsidP="00B3122A">
      <w:pPr>
        <w:pStyle w:val="Liststycke"/>
        <w:numPr>
          <w:ilvl w:val="0"/>
          <w:numId w:val="27"/>
        </w:numPr>
        <w:tabs>
          <w:tab w:val="left" w:pos="1989"/>
        </w:tabs>
        <w:autoSpaceDE w:val="0"/>
        <w:autoSpaceDN w:val="0"/>
        <w:ind w:hanging="402"/>
        <w:contextualSpacing w:val="0"/>
      </w:pPr>
      <w:r>
        <w:t>Regeringens</w:t>
      </w:r>
      <w:r>
        <w:rPr>
          <w:spacing w:val="-1"/>
        </w:rPr>
        <w:t xml:space="preserve"> </w:t>
      </w:r>
      <w:r>
        <w:t>ståndpunkt</w:t>
      </w:r>
    </w:p>
    <w:p w:rsidR="00B3122A" w:rsidRDefault="00B3122A" w:rsidP="00B3122A">
      <w:pPr>
        <w:pStyle w:val="Brdtext"/>
        <w:spacing w:before="7"/>
        <w:rPr>
          <w:rFonts w:ascii="Arial"/>
          <w:sz w:val="38"/>
        </w:rPr>
      </w:pPr>
    </w:p>
    <w:p w:rsidR="00B3122A" w:rsidRDefault="00B3122A" w:rsidP="00B3122A">
      <w:pPr>
        <w:pStyle w:val="Brdtext"/>
        <w:spacing w:line="276" w:lineRule="auto"/>
        <w:ind w:left="1587" w:right="561"/>
      </w:pPr>
      <w:r>
        <w:t xml:space="preserve">Mot bakgrund av de jämställdhetspolitiska målen och den i utskottet förankrade ståndpunkt om framtidens </w:t>
      </w:r>
      <w:proofErr w:type="spellStart"/>
      <w:r>
        <w:t>jämställdhetspolitik</w:t>
      </w:r>
      <w:proofErr w:type="spellEnd"/>
      <w:r>
        <w:t xml:space="preserve"> i EU (överläggning 22 oktober 2019) välkomnar regeringen att det tyska ordförandeskapet uppmärksammar frågorna om lönegapet mellan kvinnor och män.</w:t>
      </w:r>
    </w:p>
    <w:p w:rsidR="00B3122A" w:rsidRDefault="00B3122A" w:rsidP="00B3122A">
      <w:pPr>
        <w:pStyle w:val="Brdtext"/>
        <w:spacing w:before="10"/>
        <w:rPr>
          <w:sz w:val="28"/>
        </w:rPr>
      </w:pPr>
    </w:p>
    <w:p w:rsidR="00B3122A" w:rsidRDefault="00B3122A" w:rsidP="00B3122A">
      <w:pPr>
        <w:pStyle w:val="Brdtext"/>
        <w:spacing w:line="276" w:lineRule="auto"/>
        <w:ind w:left="1587" w:right="339"/>
      </w:pPr>
      <w:r>
        <w:t xml:space="preserve">Regeringen ser positivt på uppmaningen till medlemsstaterna att bygga ut sin barn- och äldreomsorg och att anpassa sina ekonomiska förmånssystem så att de uppmuntrar till en jämn fördelning av det betalda och obetalda arbetet mellan könen. Reformer inom dessa områden har varit grundläggande för utvecklingen av svensk </w:t>
      </w:r>
      <w:proofErr w:type="spellStart"/>
      <w:r>
        <w:t>jämställdhetspolitik</w:t>
      </w:r>
      <w:proofErr w:type="spellEnd"/>
      <w:r>
        <w:t>. Vidare ser regeringen positivt på uppmaningen till medlemsstaterna att även se till att offentliga och prisvärda transporter säkerställer att både kvinnor och män enkelt kan förflytta sig mellan omsorgen och hemmet.</w:t>
      </w:r>
    </w:p>
    <w:p w:rsidR="00B3122A" w:rsidRDefault="00B3122A" w:rsidP="00B3122A">
      <w:pPr>
        <w:pStyle w:val="Brdtext"/>
        <w:spacing w:before="9"/>
        <w:rPr>
          <w:sz w:val="28"/>
        </w:rPr>
      </w:pPr>
    </w:p>
    <w:p w:rsidR="00B3122A" w:rsidRDefault="00B3122A" w:rsidP="00B3122A">
      <w:pPr>
        <w:pStyle w:val="Brdtext"/>
        <w:spacing w:line="276" w:lineRule="auto"/>
        <w:ind w:left="1587" w:right="509"/>
      </w:pPr>
      <w:r>
        <w:t>Regeringen ser även positivt på att slutsatserna uppmanar Europeiska kommissionen och medlemsstaterna att sätta mätbara mål för att motverka könsstereotyper beträffande yrkesval i skolan och förskolan. Den horisontella könssegregeringen är den enskilt största anledningen till att kvinnor har lägre lön än män.</w:t>
      </w:r>
    </w:p>
    <w:p w:rsidR="00B3122A" w:rsidRDefault="00B3122A" w:rsidP="00B3122A">
      <w:pPr>
        <w:spacing w:line="276" w:lineRule="auto"/>
        <w:sectPr w:rsidR="00B3122A">
          <w:footerReference w:type="default" r:id="rId14"/>
          <w:pgSz w:w="11910" w:h="16840"/>
          <w:pgMar w:top="1580" w:right="1680" w:bottom="1740" w:left="880" w:header="0" w:footer="1546" w:gutter="0"/>
          <w:pgNumType w:start="2"/>
          <w:cols w:space="720"/>
        </w:sectPr>
      </w:pPr>
    </w:p>
    <w:p w:rsidR="00B3122A" w:rsidRDefault="00B3122A" w:rsidP="00B3122A">
      <w:pPr>
        <w:pStyle w:val="Brdtext"/>
        <w:rPr>
          <w:sz w:val="20"/>
        </w:rPr>
      </w:pPr>
    </w:p>
    <w:p w:rsidR="00B3122A" w:rsidRDefault="00B3122A" w:rsidP="00B3122A">
      <w:pPr>
        <w:pStyle w:val="Brdtext"/>
        <w:rPr>
          <w:sz w:val="20"/>
        </w:rPr>
      </w:pPr>
    </w:p>
    <w:p w:rsidR="00B3122A" w:rsidRDefault="00B3122A" w:rsidP="00B3122A">
      <w:pPr>
        <w:pStyle w:val="Brdtext"/>
        <w:spacing w:before="3"/>
        <w:rPr>
          <w:sz w:val="19"/>
        </w:rPr>
      </w:pPr>
    </w:p>
    <w:p w:rsidR="00B3122A" w:rsidRDefault="00B3122A" w:rsidP="00B3122A">
      <w:pPr>
        <w:pStyle w:val="Brdtext"/>
        <w:spacing w:before="99" w:line="276" w:lineRule="auto"/>
        <w:ind w:left="1587" w:right="371"/>
      </w:pPr>
      <w:r>
        <w:t>Regeringen anser vidare att uppmaningen till den Europeiska kommissionen att systematiskt jämställdhetsintegrera den europeiska terminen är relevant och väl genomtänkt.</w:t>
      </w:r>
    </w:p>
    <w:p w:rsidR="00B3122A" w:rsidRDefault="00B3122A" w:rsidP="00B3122A">
      <w:pPr>
        <w:pStyle w:val="Brdtext"/>
        <w:spacing w:before="9"/>
        <w:rPr>
          <w:sz w:val="28"/>
        </w:rPr>
      </w:pPr>
    </w:p>
    <w:p w:rsidR="00B3122A" w:rsidRDefault="00B3122A" w:rsidP="00B3122A">
      <w:pPr>
        <w:pStyle w:val="Brdtext"/>
        <w:spacing w:line="276" w:lineRule="auto"/>
        <w:ind w:left="1587" w:right="757"/>
      </w:pPr>
      <w:r>
        <w:t xml:space="preserve">Regeringen välkomnar i stort utkastet och anser att en god offentligt finansierad omsorg ger ökad möjlighet till ekonomisk självständighet för kvinnor i förvärvsaktiv ålder. Möjligheten för både kvinnor och män att förena betalt arbete med att ha en familj och att vårda relationer med närstående är en central komponent i svensk </w:t>
      </w:r>
      <w:proofErr w:type="spellStart"/>
      <w:r>
        <w:t>jämställdhetspolitik</w:t>
      </w:r>
      <w:proofErr w:type="spellEnd"/>
      <w:r>
        <w:t>.</w:t>
      </w:r>
    </w:p>
    <w:p w:rsidR="00B3122A" w:rsidRDefault="00B3122A" w:rsidP="00B3122A">
      <w:pPr>
        <w:pStyle w:val="Brdtext"/>
        <w:spacing w:before="10"/>
        <w:rPr>
          <w:sz w:val="28"/>
        </w:rPr>
      </w:pPr>
    </w:p>
    <w:p w:rsidR="00B3122A" w:rsidRDefault="00B3122A" w:rsidP="00B3122A">
      <w:pPr>
        <w:pStyle w:val="Brdtext"/>
        <w:spacing w:line="276" w:lineRule="auto"/>
        <w:ind w:left="1587" w:right="363"/>
      </w:pPr>
      <w:r>
        <w:t xml:space="preserve">En viktig utgångspunkt för regeringen är att </w:t>
      </w:r>
      <w:proofErr w:type="spellStart"/>
      <w:r>
        <w:t>rådsslutsatserna</w:t>
      </w:r>
      <w:proofErr w:type="spellEnd"/>
      <w:r>
        <w:t xml:space="preserve"> ska respektera nationella arbetsmarknadsmodeller och arbetsmarknadens parters autonomi.</w:t>
      </w:r>
    </w:p>
    <w:p w:rsidR="00B3122A" w:rsidRDefault="00B3122A"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p w:rsidR="00A54FEE" w:rsidRDefault="00A54FEE" w:rsidP="00B802AB"/>
    <w:tbl>
      <w:tblPr>
        <w:tblpPr w:leftFromText="141" w:rightFromText="141" w:vertAnchor="page" w:horzAnchor="margin" w:tblpXSpec="center" w:tblpY="466"/>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A54FEE" w:rsidRPr="002C1D5A" w:rsidTr="00A54FEE">
        <w:trPr>
          <w:trHeight w:val="658"/>
        </w:trPr>
        <w:tc>
          <w:tcPr>
            <w:tcW w:w="4021" w:type="dxa"/>
            <w:tcBorders>
              <w:top w:val="nil"/>
              <w:left w:val="nil"/>
              <w:bottom w:val="nil"/>
              <w:right w:val="nil"/>
            </w:tcBorders>
          </w:tcPr>
          <w:p w:rsidR="00A54FEE" w:rsidRPr="002C1D5A" w:rsidRDefault="00A54FEE" w:rsidP="00A54FEE">
            <w:pPr>
              <w:tabs>
                <w:tab w:val="left" w:pos="1701"/>
              </w:tabs>
              <w:rPr>
                <w:sz w:val="22"/>
                <w:szCs w:val="24"/>
              </w:rPr>
            </w:pPr>
            <w:bookmarkStart w:id="4" w:name="_Hlk52455085"/>
            <w:r>
              <w:rPr>
                <w:sz w:val="22"/>
                <w:szCs w:val="24"/>
              </w:rPr>
              <w:lastRenderedPageBreak/>
              <w:t>AR</w:t>
            </w:r>
            <w:r w:rsidRPr="002C1D5A">
              <w:rPr>
                <w:sz w:val="22"/>
                <w:szCs w:val="24"/>
              </w:rPr>
              <w:t>BETSMARKNADSUTSKOTTET</w:t>
            </w:r>
          </w:p>
          <w:p w:rsidR="00A54FEE" w:rsidRPr="002C1D5A" w:rsidRDefault="00A54FEE" w:rsidP="00A54FEE">
            <w:pPr>
              <w:tabs>
                <w:tab w:val="left" w:pos="1701"/>
              </w:tabs>
              <w:rPr>
                <w:sz w:val="22"/>
                <w:szCs w:val="24"/>
              </w:rPr>
            </w:pPr>
          </w:p>
        </w:tc>
        <w:tc>
          <w:tcPr>
            <w:tcW w:w="4021" w:type="dxa"/>
            <w:tcBorders>
              <w:top w:val="nil"/>
              <w:left w:val="nil"/>
              <w:bottom w:val="nil"/>
              <w:right w:val="nil"/>
            </w:tcBorders>
          </w:tcPr>
          <w:p w:rsidR="00A54FEE" w:rsidRPr="002C1D5A" w:rsidRDefault="00A54FEE" w:rsidP="00A54FEE">
            <w:pPr>
              <w:tabs>
                <w:tab w:val="left" w:pos="1701"/>
              </w:tabs>
              <w:jc w:val="center"/>
              <w:rPr>
                <w:b/>
                <w:sz w:val="22"/>
                <w:szCs w:val="24"/>
              </w:rPr>
            </w:pPr>
          </w:p>
        </w:tc>
        <w:tc>
          <w:tcPr>
            <w:tcW w:w="1685" w:type="dxa"/>
            <w:tcBorders>
              <w:top w:val="nil"/>
              <w:left w:val="nil"/>
              <w:bottom w:val="nil"/>
              <w:right w:val="nil"/>
            </w:tcBorders>
          </w:tcPr>
          <w:p w:rsidR="00A54FEE" w:rsidRPr="002C1D5A" w:rsidRDefault="00A54FEE" w:rsidP="00A54FEE">
            <w:pPr>
              <w:tabs>
                <w:tab w:val="left" w:pos="1701"/>
              </w:tabs>
              <w:rPr>
                <w:b/>
                <w:sz w:val="22"/>
                <w:szCs w:val="24"/>
              </w:rPr>
            </w:pPr>
            <w:r>
              <w:rPr>
                <w:b/>
                <w:sz w:val="22"/>
                <w:szCs w:val="24"/>
              </w:rPr>
              <w:t>Bilaga 5</w:t>
            </w:r>
          </w:p>
          <w:p w:rsidR="00A54FEE" w:rsidRPr="002C1D5A" w:rsidRDefault="00A54FEE" w:rsidP="00A54FEE">
            <w:pPr>
              <w:tabs>
                <w:tab w:val="left" w:pos="1701"/>
              </w:tabs>
              <w:rPr>
                <w:sz w:val="22"/>
                <w:szCs w:val="24"/>
              </w:rPr>
            </w:pPr>
            <w:r w:rsidRPr="002C1D5A">
              <w:rPr>
                <w:sz w:val="22"/>
                <w:szCs w:val="24"/>
              </w:rPr>
              <w:t>till protokoll</w:t>
            </w:r>
          </w:p>
          <w:p w:rsidR="00A54FEE" w:rsidRDefault="00A54FEE" w:rsidP="00A54FEE">
            <w:pPr>
              <w:tabs>
                <w:tab w:val="left" w:pos="1701"/>
              </w:tabs>
              <w:rPr>
                <w:sz w:val="22"/>
                <w:szCs w:val="24"/>
              </w:rPr>
            </w:pPr>
            <w:r>
              <w:rPr>
                <w:sz w:val="22"/>
                <w:szCs w:val="24"/>
              </w:rPr>
              <w:t>2020/21:4</w:t>
            </w:r>
          </w:p>
          <w:p w:rsidR="00A54FEE" w:rsidRPr="002C1D5A" w:rsidRDefault="00A54FEE" w:rsidP="00A54FEE">
            <w:pPr>
              <w:tabs>
                <w:tab w:val="left" w:pos="1701"/>
              </w:tabs>
              <w:rPr>
                <w:sz w:val="22"/>
                <w:szCs w:val="24"/>
              </w:rPr>
            </w:pPr>
          </w:p>
        </w:tc>
      </w:tr>
      <w:bookmarkEnd w:id="4"/>
    </w:tbl>
    <w:p w:rsidR="00A54FEE" w:rsidRDefault="00A54FEE" w:rsidP="00B802AB"/>
    <w:p w:rsidR="00A54FEE" w:rsidRDefault="00A54FEE" w:rsidP="00B802AB"/>
    <w:p w:rsidR="00A54FEE" w:rsidRDefault="00A54FEE" w:rsidP="00B802AB"/>
    <w:p w:rsidR="00A54FEE" w:rsidRDefault="00A54FEE" w:rsidP="00A54FEE">
      <w:pPr>
        <w:pStyle w:val="Rubrik1"/>
      </w:pPr>
      <w:r>
        <w:t>Avvikande ståndpunkt SD</w:t>
      </w:r>
    </w:p>
    <w:p w:rsidR="00A54FEE" w:rsidRDefault="00A54FEE" w:rsidP="00B802AB"/>
    <w:p w:rsidR="00A54FEE" w:rsidRDefault="00A54FEE" w:rsidP="00A54FEE">
      <w:pPr>
        <w:pStyle w:val="Rubrik3"/>
      </w:pPr>
      <w:r>
        <w:t xml:space="preserve">Utkast till </w:t>
      </w:r>
      <w:proofErr w:type="spellStart"/>
      <w:r>
        <w:t>rådsslutsatser</w:t>
      </w:r>
      <w:proofErr w:type="spellEnd"/>
      <w:r>
        <w:t xml:space="preserve"> om lönegapet mellan kvinnor och män</w:t>
      </w:r>
    </w:p>
    <w:p w:rsidR="00A54FEE" w:rsidRDefault="00A54FEE" w:rsidP="00A54FEE">
      <w:pPr>
        <w:rPr>
          <w:rFonts w:asciiTheme="minorHAnsi" w:hAnsiTheme="minorHAnsi" w:cstheme="minorHAnsi"/>
          <w:u w:val="single"/>
        </w:rPr>
      </w:pPr>
    </w:p>
    <w:p w:rsidR="00A54FEE" w:rsidRPr="00CD69E6" w:rsidRDefault="00A54FEE" w:rsidP="00A54FEE">
      <w:pPr>
        <w:rPr>
          <w:rFonts w:asciiTheme="minorHAnsi" w:hAnsiTheme="minorHAnsi" w:cstheme="minorHAnsi"/>
        </w:rPr>
      </w:pPr>
    </w:p>
    <w:p w:rsidR="00A54FEE" w:rsidRDefault="00A54FEE" w:rsidP="00B802AB">
      <w:r w:rsidRPr="00A54FEE">
        <w:rPr>
          <w:lang w:eastAsia="en-US"/>
        </w:rPr>
        <w:t xml:space="preserve">Sverigedemokraterna delar regeringens ståndpunkt när det gäller vikten av att stärka och förbättra kvinnors ställning på arbetsmarknaden inom EU. Vi anser dock att de många uppmaningarna till medlemsstaterna om att vidta specifika åtgärder riskerar att inskränka medlemsländernas kompetens på området. En viktig utgångspunkt för regeringen bör därför vara att </w:t>
      </w:r>
      <w:proofErr w:type="spellStart"/>
      <w:r w:rsidRPr="00A54FEE">
        <w:rPr>
          <w:lang w:eastAsia="en-US"/>
        </w:rPr>
        <w:t>rådsslutsatserna</w:t>
      </w:r>
      <w:proofErr w:type="spellEnd"/>
      <w:r w:rsidRPr="00A54FEE">
        <w:rPr>
          <w:lang w:eastAsia="en-US"/>
        </w:rPr>
        <w:t xml:space="preserve"> inte ska leda till att den nationella kompetensen på området urholkas.</w:t>
      </w:r>
    </w:p>
    <w:sectPr w:rsidR="00A54FEE" w:rsidSect="008207FB">
      <w:footerReference w:type="default" r:id="rId15"/>
      <w:type w:val="continuous"/>
      <w:pgSz w:w="11910" w:h="16840"/>
      <w:pgMar w:top="709" w:right="1680" w:bottom="28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3F2" w:rsidRDefault="003303F2" w:rsidP="003303F2">
      <w:r>
        <w:separator/>
      </w:r>
    </w:p>
  </w:endnote>
  <w:endnote w:type="continuationSeparator" w:id="0">
    <w:p w:rsidR="003303F2" w:rsidRDefault="003303F2" w:rsidP="0033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FEE" w:rsidRDefault="00A54FEE">
    <w:pPr>
      <w:pStyle w:val="Brdtext"/>
      <w:spacing w:line="14" w:lineRule="auto"/>
      <w:rPr>
        <w:sz w:val="20"/>
      </w:rPr>
    </w:pPr>
    <w:r>
      <w:rPr>
        <w:noProof/>
      </w:rPr>
      <mc:AlternateContent>
        <mc:Choice Requires="wps">
          <w:drawing>
            <wp:anchor distT="0" distB="0" distL="114300" distR="114300" simplePos="0" relativeHeight="251663360" behindDoc="1" locked="0" layoutInCell="1" allowOverlap="1">
              <wp:simplePos x="0" y="0"/>
              <wp:positionH relativeFrom="page">
                <wp:posOffset>6039485</wp:posOffset>
              </wp:positionH>
              <wp:positionV relativeFrom="page">
                <wp:posOffset>9570085</wp:posOffset>
              </wp:positionV>
              <wp:extent cx="312420" cy="146685"/>
              <wp:effectExtent l="0" t="0" r="0" b="0"/>
              <wp:wrapNone/>
              <wp:docPr id="7"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FEE" w:rsidRDefault="00A54FEE">
                          <w:pPr>
                            <w:spacing w:before="15"/>
                            <w:ind w:left="60"/>
                            <w:rPr>
                              <w:rFonts w:ascii="Arial"/>
                              <w:sz w:val="17"/>
                            </w:rPr>
                          </w:pPr>
                          <w:r>
                            <w:fldChar w:fldCharType="begin"/>
                          </w:r>
                          <w:r>
                            <w:rPr>
                              <w:rFonts w:ascii="Arial"/>
                              <w:sz w:val="17"/>
                            </w:rPr>
                            <w:instrText xml:space="preserve"> PAGE </w:instrText>
                          </w:r>
                          <w:r>
                            <w:fldChar w:fldCharType="separate"/>
                          </w:r>
                          <w:r>
                            <w:t>2</w:t>
                          </w:r>
                          <w:r>
                            <w:fldChar w:fldCharType="end"/>
                          </w:r>
                          <w:r>
                            <w:rPr>
                              <w:rFonts w:ascii="Arial"/>
                              <w:sz w:val="17"/>
                            </w:rPr>
                            <w:t xml:space="preserv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7" o:spid="_x0000_s1026" type="#_x0000_t202" style="position:absolute;margin-left:475.55pt;margin-top:753.55pt;width:24.6pt;height:11.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K4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" filled="f" stroked="f">
              <v:textbox inset="0,0,0,0">
                <w:txbxContent>
                  <w:p w:rsidR="00A54FEE" w:rsidRDefault="00A54FEE">
                    <w:pPr>
                      <w:spacing w:before="15"/>
                      <w:ind w:left="60"/>
                      <w:rPr>
                        <w:rFonts w:ascii="Arial"/>
                        <w:sz w:val="17"/>
                      </w:rPr>
                    </w:pPr>
                    <w:r>
                      <w:fldChar w:fldCharType="begin"/>
                    </w:r>
                    <w:r>
                      <w:rPr>
                        <w:rFonts w:ascii="Arial"/>
                        <w:sz w:val="17"/>
                      </w:rPr>
                      <w:instrText xml:space="preserve"> PAGE </w:instrText>
                    </w:r>
                    <w:r>
                      <w:fldChar w:fldCharType="separate"/>
                    </w:r>
                    <w:r>
                      <w:t>2</w:t>
                    </w:r>
                    <w:r>
                      <w:fldChar w:fldCharType="end"/>
                    </w:r>
                    <w:r>
                      <w:rPr>
                        <w:rFonts w:ascii="Arial"/>
                        <w:sz w:val="17"/>
                      </w:rPr>
                      <w:t xml:space="preserve"> (4)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22A" w:rsidRDefault="00B3122A">
    <w:pPr>
      <w:pStyle w:val="Brd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22A" w:rsidRDefault="00B3122A">
    <w:pPr>
      <w:pStyle w:val="Brdtext"/>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6040755</wp:posOffset>
              </wp:positionH>
              <wp:positionV relativeFrom="page">
                <wp:posOffset>9570720</wp:posOffset>
              </wp:positionV>
              <wp:extent cx="312420" cy="146685"/>
              <wp:effectExtent l="0" t="0" r="0" b="0"/>
              <wp:wrapNone/>
              <wp:docPr id="6" name="Textruta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22A" w:rsidRDefault="00B3122A">
                          <w:pPr>
                            <w:spacing w:before="15"/>
                            <w:ind w:left="60"/>
                            <w:rPr>
                              <w:rFonts w:ascii="Arial"/>
                              <w:sz w:val="17"/>
                            </w:rPr>
                          </w:pPr>
                          <w:r>
                            <w:fldChar w:fldCharType="begin"/>
                          </w:r>
                          <w:r>
                            <w:rPr>
                              <w:rFonts w:ascii="Arial"/>
                              <w:sz w:val="17"/>
                            </w:rPr>
                            <w:instrText xml:space="preserve"> PAGE </w:instrText>
                          </w:r>
                          <w:r>
                            <w:fldChar w:fldCharType="separate"/>
                          </w:r>
                          <w:r>
                            <w:t>2</w:t>
                          </w:r>
                          <w:r>
                            <w:fldChar w:fldCharType="end"/>
                          </w:r>
                          <w:r>
                            <w:rPr>
                              <w:rFonts w:ascii="Arial"/>
                              <w:sz w:val="17"/>
                            </w:rP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6" o:spid="_x0000_s1027" type="#_x0000_t202" style="position:absolute;margin-left:475.65pt;margin-top:753.6pt;width:24.6pt;height:11.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8korw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" filled="f" stroked="f">
              <v:textbox inset="0,0,0,0">
                <w:txbxContent>
                  <w:p w:rsidR="00B3122A" w:rsidRDefault="00B3122A">
                    <w:pPr>
                      <w:spacing w:before="15"/>
                      <w:ind w:left="60"/>
                      <w:rPr>
                        <w:rFonts w:ascii="Arial"/>
                        <w:sz w:val="17"/>
                      </w:rPr>
                    </w:pPr>
                    <w:r>
                      <w:fldChar w:fldCharType="begin"/>
                    </w:r>
                    <w:r>
                      <w:rPr>
                        <w:rFonts w:ascii="Arial"/>
                        <w:sz w:val="17"/>
                      </w:rPr>
                      <w:instrText xml:space="preserve"> PAGE </w:instrText>
                    </w:r>
                    <w:r>
                      <w:fldChar w:fldCharType="separate"/>
                    </w:r>
                    <w:r>
                      <w:t>2</w:t>
                    </w:r>
                    <w:r>
                      <w:fldChar w:fldCharType="end"/>
                    </w:r>
                    <w:r>
                      <w:rPr>
                        <w:rFonts w:ascii="Arial"/>
                        <w:sz w:val="17"/>
                      </w:rPr>
                      <w:t xml:space="preserve"> (3)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330" w:rsidRDefault="005268DF">
    <w:pPr>
      <w:pStyle w:val="Brd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3F2" w:rsidRDefault="003303F2" w:rsidP="003303F2">
      <w:r>
        <w:separator/>
      </w:r>
    </w:p>
  </w:footnote>
  <w:footnote w:type="continuationSeparator" w:id="0">
    <w:p w:rsidR="003303F2" w:rsidRDefault="003303F2" w:rsidP="00330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2833"/>
        </w:tabs>
        <w:ind w:left="2833"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13B06"/>
    <w:multiLevelType w:val="hybridMultilevel"/>
    <w:tmpl w:val="2D70A756"/>
    <w:lvl w:ilvl="0" w:tplc="FF6457DC">
      <w:start w:val="1"/>
      <w:numFmt w:val="decimal"/>
      <w:lvlText w:val="%1."/>
      <w:lvlJc w:val="left"/>
      <w:pPr>
        <w:ind w:left="1988" w:hanging="401"/>
        <w:jc w:val="left"/>
      </w:pPr>
      <w:rPr>
        <w:rFonts w:ascii="Arial" w:eastAsia="Arial" w:hAnsi="Arial" w:cs="Arial" w:hint="default"/>
        <w:w w:val="99"/>
        <w:sz w:val="24"/>
        <w:szCs w:val="24"/>
        <w:lang w:val="sv-SE" w:eastAsia="en-US" w:bidi="ar-SA"/>
      </w:rPr>
    </w:lvl>
    <w:lvl w:ilvl="1" w:tplc="011E1A66">
      <w:numFmt w:val="bullet"/>
      <w:lvlText w:val="•"/>
      <w:lvlJc w:val="left"/>
      <w:pPr>
        <w:ind w:left="2716" w:hanging="401"/>
      </w:pPr>
      <w:rPr>
        <w:rFonts w:hint="default"/>
        <w:lang w:val="sv-SE" w:eastAsia="en-US" w:bidi="ar-SA"/>
      </w:rPr>
    </w:lvl>
    <w:lvl w:ilvl="2" w:tplc="19A075BE">
      <w:numFmt w:val="bullet"/>
      <w:lvlText w:val="•"/>
      <w:lvlJc w:val="left"/>
      <w:pPr>
        <w:ind w:left="3453" w:hanging="401"/>
      </w:pPr>
      <w:rPr>
        <w:rFonts w:hint="default"/>
        <w:lang w:val="sv-SE" w:eastAsia="en-US" w:bidi="ar-SA"/>
      </w:rPr>
    </w:lvl>
    <w:lvl w:ilvl="3" w:tplc="9C562042">
      <w:numFmt w:val="bullet"/>
      <w:lvlText w:val="•"/>
      <w:lvlJc w:val="left"/>
      <w:pPr>
        <w:ind w:left="4189" w:hanging="401"/>
      </w:pPr>
      <w:rPr>
        <w:rFonts w:hint="default"/>
        <w:lang w:val="sv-SE" w:eastAsia="en-US" w:bidi="ar-SA"/>
      </w:rPr>
    </w:lvl>
    <w:lvl w:ilvl="4" w:tplc="0FF0BEE2">
      <w:numFmt w:val="bullet"/>
      <w:lvlText w:val="•"/>
      <w:lvlJc w:val="left"/>
      <w:pPr>
        <w:ind w:left="4926" w:hanging="401"/>
      </w:pPr>
      <w:rPr>
        <w:rFonts w:hint="default"/>
        <w:lang w:val="sv-SE" w:eastAsia="en-US" w:bidi="ar-SA"/>
      </w:rPr>
    </w:lvl>
    <w:lvl w:ilvl="5" w:tplc="8C342402">
      <w:numFmt w:val="bullet"/>
      <w:lvlText w:val="•"/>
      <w:lvlJc w:val="left"/>
      <w:pPr>
        <w:ind w:left="5663" w:hanging="401"/>
      </w:pPr>
      <w:rPr>
        <w:rFonts w:hint="default"/>
        <w:lang w:val="sv-SE" w:eastAsia="en-US" w:bidi="ar-SA"/>
      </w:rPr>
    </w:lvl>
    <w:lvl w:ilvl="6" w:tplc="AD32FB84">
      <w:numFmt w:val="bullet"/>
      <w:lvlText w:val="•"/>
      <w:lvlJc w:val="left"/>
      <w:pPr>
        <w:ind w:left="6399" w:hanging="401"/>
      </w:pPr>
      <w:rPr>
        <w:rFonts w:hint="default"/>
        <w:lang w:val="sv-SE" w:eastAsia="en-US" w:bidi="ar-SA"/>
      </w:rPr>
    </w:lvl>
    <w:lvl w:ilvl="7" w:tplc="953CC02A">
      <w:numFmt w:val="bullet"/>
      <w:lvlText w:val="•"/>
      <w:lvlJc w:val="left"/>
      <w:pPr>
        <w:ind w:left="7136" w:hanging="401"/>
      </w:pPr>
      <w:rPr>
        <w:rFonts w:hint="default"/>
        <w:lang w:val="sv-SE" w:eastAsia="en-US" w:bidi="ar-SA"/>
      </w:rPr>
    </w:lvl>
    <w:lvl w:ilvl="8" w:tplc="B8760B0E">
      <w:numFmt w:val="bullet"/>
      <w:lvlText w:val="•"/>
      <w:lvlJc w:val="left"/>
      <w:pPr>
        <w:ind w:left="7873" w:hanging="401"/>
      </w:pPr>
      <w:rPr>
        <w:rFonts w:hint="default"/>
        <w:lang w:val="sv-SE" w:eastAsia="en-US" w:bidi="ar-SA"/>
      </w:rPr>
    </w:lvl>
  </w:abstractNum>
  <w:abstractNum w:abstractNumId="11" w15:restartNumberingAfterBreak="0">
    <w:nsid w:val="0BE220EB"/>
    <w:multiLevelType w:val="hybridMultilevel"/>
    <w:tmpl w:val="2E980712"/>
    <w:lvl w:ilvl="0" w:tplc="7A022EF4">
      <w:start w:val="1"/>
      <w:numFmt w:val="decimal"/>
      <w:lvlText w:val="%1."/>
      <w:lvlJc w:val="left"/>
      <w:pPr>
        <w:ind w:left="1988" w:hanging="401"/>
      </w:pPr>
      <w:rPr>
        <w:rFonts w:ascii="Arial" w:eastAsia="Arial" w:hAnsi="Arial" w:cs="Arial" w:hint="default"/>
        <w:w w:val="99"/>
        <w:sz w:val="24"/>
        <w:szCs w:val="24"/>
        <w:lang w:val="sv-SE" w:eastAsia="en-US" w:bidi="ar-SA"/>
      </w:rPr>
    </w:lvl>
    <w:lvl w:ilvl="1" w:tplc="9B5EE56C">
      <w:numFmt w:val="bullet"/>
      <w:lvlText w:val="•"/>
      <w:lvlJc w:val="left"/>
      <w:pPr>
        <w:ind w:left="2716" w:hanging="401"/>
      </w:pPr>
      <w:rPr>
        <w:rFonts w:hint="default"/>
        <w:lang w:val="sv-SE" w:eastAsia="en-US" w:bidi="ar-SA"/>
      </w:rPr>
    </w:lvl>
    <w:lvl w:ilvl="2" w:tplc="F97E0C0C">
      <w:numFmt w:val="bullet"/>
      <w:lvlText w:val="•"/>
      <w:lvlJc w:val="left"/>
      <w:pPr>
        <w:ind w:left="3453" w:hanging="401"/>
      </w:pPr>
      <w:rPr>
        <w:rFonts w:hint="default"/>
        <w:lang w:val="sv-SE" w:eastAsia="en-US" w:bidi="ar-SA"/>
      </w:rPr>
    </w:lvl>
    <w:lvl w:ilvl="3" w:tplc="7EAAA6B8">
      <w:numFmt w:val="bullet"/>
      <w:lvlText w:val="•"/>
      <w:lvlJc w:val="left"/>
      <w:pPr>
        <w:ind w:left="4189" w:hanging="401"/>
      </w:pPr>
      <w:rPr>
        <w:rFonts w:hint="default"/>
        <w:lang w:val="sv-SE" w:eastAsia="en-US" w:bidi="ar-SA"/>
      </w:rPr>
    </w:lvl>
    <w:lvl w:ilvl="4" w:tplc="60AAEC46">
      <w:numFmt w:val="bullet"/>
      <w:lvlText w:val="•"/>
      <w:lvlJc w:val="left"/>
      <w:pPr>
        <w:ind w:left="4926" w:hanging="401"/>
      </w:pPr>
      <w:rPr>
        <w:rFonts w:hint="default"/>
        <w:lang w:val="sv-SE" w:eastAsia="en-US" w:bidi="ar-SA"/>
      </w:rPr>
    </w:lvl>
    <w:lvl w:ilvl="5" w:tplc="F9024BF4">
      <w:numFmt w:val="bullet"/>
      <w:lvlText w:val="•"/>
      <w:lvlJc w:val="left"/>
      <w:pPr>
        <w:ind w:left="5663" w:hanging="401"/>
      </w:pPr>
      <w:rPr>
        <w:rFonts w:hint="default"/>
        <w:lang w:val="sv-SE" w:eastAsia="en-US" w:bidi="ar-SA"/>
      </w:rPr>
    </w:lvl>
    <w:lvl w:ilvl="6" w:tplc="4956CA74">
      <w:numFmt w:val="bullet"/>
      <w:lvlText w:val="•"/>
      <w:lvlJc w:val="left"/>
      <w:pPr>
        <w:ind w:left="6399" w:hanging="401"/>
      </w:pPr>
      <w:rPr>
        <w:rFonts w:hint="default"/>
        <w:lang w:val="sv-SE" w:eastAsia="en-US" w:bidi="ar-SA"/>
      </w:rPr>
    </w:lvl>
    <w:lvl w:ilvl="7" w:tplc="3850A7B2">
      <w:numFmt w:val="bullet"/>
      <w:lvlText w:val="•"/>
      <w:lvlJc w:val="left"/>
      <w:pPr>
        <w:ind w:left="7136" w:hanging="401"/>
      </w:pPr>
      <w:rPr>
        <w:rFonts w:hint="default"/>
        <w:lang w:val="sv-SE" w:eastAsia="en-US" w:bidi="ar-SA"/>
      </w:rPr>
    </w:lvl>
    <w:lvl w:ilvl="8" w:tplc="E8EAE3AE">
      <w:numFmt w:val="bullet"/>
      <w:lvlText w:val="•"/>
      <w:lvlJc w:val="left"/>
      <w:pPr>
        <w:ind w:left="7873" w:hanging="401"/>
      </w:pPr>
      <w:rPr>
        <w:rFonts w:hint="default"/>
        <w:lang w:val="sv-SE" w:eastAsia="en-US" w:bidi="ar-SA"/>
      </w:rPr>
    </w:lvl>
  </w:abstractNum>
  <w:abstractNum w:abstractNumId="12"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3" w15:restartNumberingAfterBreak="0">
    <w:nsid w:val="19A51015"/>
    <w:multiLevelType w:val="hybridMultilevel"/>
    <w:tmpl w:val="CF6887FC"/>
    <w:lvl w:ilvl="0" w:tplc="057CA61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1F16479F"/>
    <w:multiLevelType w:val="hybridMultilevel"/>
    <w:tmpl w:val="BBD09D8E"/>
    <w:lvl w:ilvl="0" w:tplc="FE76AB46">
      <w:start w:val="1"/>
      <w:numFmt w:val="decimal"/>
      <w:lvlText w:val="%1."/>
      <w:lvlJc w:val="left"/>
      <w:pPr>
        <w:ind w:left="1988" w:hanging="401"/>
      </w:pPr>
      <w:rPr>
        <w:rFonts w:ascii="Arial" w:eastAsia="Arial" w:hAnsi="Arial" w:cs="Arial" w:hint="default"/>
        <w:w w:val="99"/>
        <w:sz w:val="24"/>
        <w:szCs w:val="24"/>
        <w:lang w:val="sv-SE" w:eastAsia="en-US" w:bidi="ar-SA"/>
      </w:rPr>
    </w:lvl>
    <w:lvl w:ilvl="1" w:tplc="28407518">
      <w:numFmt w:val="bullet"/>
      <w:lvlText w:val="•"/>
      <w:lvlJc w:val="left"/>
      <w:pPr>
        <w:ind w:left="2716" w:hanging="401"/>
      </w:pPr>
      <w:rPr>
        <w:rFonts w:hint="default"/>
        <w:lang w:val="sv-SE" w:eastAsia="en-US" w:bidi="ar-SA"/>
      </w:rPr>
    </w:lvl>
    <w:lvl w:ilvl="2" w:tplc="7856F31E">
      <w:numFmt w:val="bullet"/>
      <w:lvlText w:val="•"/>
      <w:lvlJc w:val="left"/>
      <w:pPr>
        <w:ind w:left="3453" w:hanging="401"/>
      </w:pPr>
      <w:rPr>
        <w:rFonts w:hint="default"/>
        <w:lang w:val="sv-SE" w:eastAsia="en-US" w:bidi="ar-SA"/>
      </w:rPr>
    </w:lvl>
    <w:lvl w:ilvl="3" w:tplc="52088B12">
      <w:numFmt w:val="bullet"/>
      <w:lvlText w:val="•"/>
      <w:lvlJc w:val="left"/>
      <w:pPr>
        <w:ind w:left="4189" w:hanging="401"/>
      </w:pPr>
      <w:rPr>
        <w:rFonts w:hint="default"/>
        <w:lang w:val="sv-SE" w:eastAsia="en-US" w:bidi="ar-SA"/>
      </w:rPr>
    </w:lvl>
    <w:lvl w:ilvl="4" w:tplc="9F005506">
      <w:numFmt w:val="bullet"/>
      <w:lvlText w:val="•"/>
      <w:lvlJc w:val="left"/>
      <w:pPr>
        <w:ind w:left="4926" w:hanging="401"/>
      </w:pPr>
      <w:rPr>
        <w:rFonts w:hint="default"/>
        <w:lang w:val="sv-SE" w:eastAsia="en-US" w:bidi="ar-SA"/>
      </w:rPr>
    </w:lvl>
    <w:lvl w:ilvl="5" w:tplc="4B50AF44">
      <w:numFmt w:val="bullet"/>
      <w:lvlText w:val="•"/>
      <w:lvlJc w:val="left"/>
      <w:pPr>
        <w:ind w:left="5663" w:hanging="401"/>
      </w:pPr>
      <w:rPr>
        <w:rFonts w:hint="default"/>
        <w:lang w:val="sv-SE" w:eastAsia="en-US" w:bidi="ar-SA"/>
      </w:rPr>
    </w:lvl>
    <w:lvl w:ilvl="6" w:tplc="763E8922">
      <w:numFmt w:val="bullet"/>
      <w:lvlText w:val="•"/>
      <w:lvlJc w:val="left"/>
      <w:pPr>
        <w:ind w:left="6399" w:hanging="401"/>
      </w:pPr>
      <w:rPr>
        <w:rFonts w:hint="default"/>
        <w:lang w:val="sv-SE" w:eastAsia="en-US" w:bidi="ar-SA"/>
      </w:rPr>
    </w:lvl>
    <w:lvl w:ilvl="7" w:tplc="7D2EB160">
      <w:numFmt w:val="bullet"/>
      <w:lvlText w:val="•"/>
      <w:lvlJc w:val="left"/>
      <w:pPr>
        <w:ind w:left="7136" w:hanging="401"/>
      </w:pPr>
      <w:rPr>
        <w:rFonts w:hint="default"/>
        <w:lang w:val="sv-SE" w:eastAsia="en-US" w:bidi="ar-SA"/>
      </w:rPr>
    </w:lvl>
    <w:lvl w:ilvl="8" w:tplc="24C03212">
      <w:numFmt w:val="bullet"/>
      <w:lvlText w:val="•"/>
      <w:lvlJc w:val="left"/>
      <w:pPr>
        <w:ind w:left="7873" w:hanging="401"/>
      </w:pPr>
      <w:rPr>
        <w:rFonts w:hint="default"/>
        <w:lang w:val="sv-SE" w:eastAsia="en-US" w:bidi="ar-SA"/>
      </w:rPr>
    </w:lvl>
  </w:abstractNum>
  <w:abstractNum w:abstractNumId="15"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8481290"/>
    <w:multiLevelType w:val="hybridMultilevel"/>
    <w:tmpl w:val="281AF0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3546DF6"/>
    <w:multiLevelType w:val="hybridMultilevel"/>
    <w:tmpl w:val="7B24969E"/>
    <w:lvl w:ilvl="0" w:tplc="8F0E8B0E">
      <w:numFmt w:val="bullet"/>
      <w:lvlText w:val="•"/>
      <w:lvlJc w:val="left"/>
      <w:pPr>
        <w:ind w:left="2012" w:hanging="425"/>
      </w:pPr>
      <w:rPr>
        <w:rFonts w:ascii="Garamond" w:eastAsia="Garamond" w:hAnsi="Garamond" w:cs="Garamond" w:hint="default"/>
        <w:w w:val="99"/>
        <w:sz w:val="25"/>
        <w:szCs w:val="25"/>
        <w:lang w:val="sv-SE" w:eastAsia="en-US" w:bidi="ar-SA"/>
      </w:rPr>
    </w:lvl>
    <w:lvl w:ilvl="1" w:tplc="0D188EAE">
      <w:numFmt w:val="bullet"/>
      <w:lvlText w:val="•"/>
      <w:lvlJc w:val="left"/>
      <w:pPr>
        <w:ind w:left="2752" w:hanging="425"/>
      </w:pPr>
      <w:rPr>
        <w:rFonts w:hint="default"/>
        <w:lang w:val="sv-SE" w:eastAsia="en-US" w:bidi="ar-SA"/>
      </w:rPr>
    </w:lvl>
    <w:lvl w:ilvl="2" w:tplc="0ED2CD9C">
      <w:numFmt w:val="bullet"/>
      <w:lvlText w:val="•"/>
      <w:lvlJc w:val="left"/>
      <w:pPr>
        <w:ind w:left="3485" w:hanging="425"/>
      </w:pPr>
      <w:rPr>
        <w:rFonts w:hint="default"/>
        <w:lang w:val="sv-SE" w:eastAsia="en-US" w:bidi="ar-SA"/>
      </w:rPr>
    </w:lvl>
    <w:lvl w:ilvl="3" w:tplc="6FE4DC4A">
      <w:numFmt w:val="bullet"/>
      <w:lvlText w:val="•"/>
      <w:lvlJc w:val="left"/>
      <w:pPr>
        <w:ind w:left="4217" w:hanging="425"/>
      </w:pPr>
      <w:rPr>
        <w:rFonts w:hint="default"/>
        <w:lang w:val="sv-SE" w:eastAsia="en-US" w:bidi="ar-SA"/>
      </w:rPr>
    </w:lvl>
    <w:lvl w:ilvl="4" w:tplc="91F009DA">
      <w:numFmt w:val="bullet"/>
      <w:lvlText w:val="•"/>
      <w:lvlJc w:val="left"/>
      <w:pPr>
        <w:ind w:left="4950" w:hanging="425"/>
      </w:pPr>
      <w:rPr>
        <w:rFonts w:hint="default"/>
        <w:lang w:val="sv-SE" w:eastAsia="en-US" w:bidi="ar-SA"/>
      </w:rPr>
    </w:lvl>
    <w:lvl w:ilvl="5" w:tplc="4B904F9C">
      <w:numFmt w:val="bullet"/>
      <w:lvlText w:val="•"/>
      <w:lvlJc w:val="left"/>
      <w:pPr>
        <w:ind w:left="5683" w:hanging="425"/>
      </w:pPr>
      <w:rPr>
        <w:rFonts w:hint="default"/>
        <w:lang w:val="sv-SE" w:eastAsia="en-US" w:bidi="ar-SA"/>
      </w:rPr>
    </w:lvl>
    <w:lvl w:ilvl="6" w:tplc="7C7C2FB0">
      <w:numFmt w:val="bullet"/>
      <w:lvlText w:val="•"/>
      <w:lvlJc w:val="left"/>
      <w:pPr>
        <w:ind w:left="6415" w:hanging="425"/>
      </w:pPr>
      <w:rPr>
        <w:rFonts w:hint="default"/>
        <w:lang w:val="sv-SE" w:eastAsia="en-US" w:bidi="ar-SA"/>
      </w:rPr>
    </w:lvl>
    <w:lvl w:ilvl="7" w:tplc="D408DB88">
      <w:numFmt w:val="bullet"/>
      <w:lvlText w:val="•"/>
      <w:lvlJc w:val="left"/>
      <w:pPr>
        <w:ind w:left="7148" w:hanging="425"/>
      </w:pPr>
      <w:rPr>
        <w:rFonts w:hint="default"/>
        <w:lang w:val="sv-SE" w:eastAsia="en-US" w:bidi="ar-SA"/>
      </w:rPr>
    </w:lvl>
    <w:lvl w:ilvl="8" w:tplc="7AD6FE56">
      <w:numFmt w:val="bullet"/>
      <w:lvlText w:val="•"/>
      <w:lvlJc w:val="left"/>
      <w:pPr>
        <w:ind w:left="7881" w:hanging="425"/>
      </w:pPr>
      <w:rPr>
        <w:rFonts w:hint="default"/>
        <w:lang w:val="sv-SE" w:eastAsia="en-US" w:bidi="ar-SA"/>
      </w:rPr>
    </w:lvl>
  </w:abstractNum>
  <w:abstractNum w:abstractNumId="18" w15:restartNumberingAfterBreak="0">
    <w:nsid w:val="36B15721"/>
    <w:multiLevelType w:val="hybridMultilevel"/>
    <w:tmpl w:val="272AFCD6"/>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9" w15:restartNumberingAfterBreak="0">
    <w:nsid w:val="3F490CD5"/>
    <w:multiLevelType w:val="hybridMultilevel"/>
    <w:tmpl w:val="DAE0560E"/>
    <w:lvl w:ilvl="0" w:tplc="E75A1D92">
      <w:numFmt w:val="bullet"/>
      <w:lvlText w:val="•"/>
      <w:lvlJc w:val="left"/>
      <w:pPr>
        <w:ind w:left="2012" w:hanging="425"/>
      </w:pPr>
      <w:rPr>
        <w:rFonts w:ascii="Garamond" w:eastAsia="Garamond" w:hAnsi="Garamond" w:cs="Garamond" w:hint="default"/>
        <w:w w:val="99"/>
        <w:sz w:val="25"/>
        <w:szCs w:val="25"/>
        <w:lang w:val="sv-SE" w:eastAsia="en-US" w:bidi="ar-SA"/>
      </w:rPr>
    </w:lvl>
    <w:lvl w:ilvl="1" w:tplc="EEE21556">
      <w:numFmt w:val="bullet"/>
      <w:lvlText w:val="•"/>
      <w:lvlJc w:val="left"/>
      <w:pPr>
        <w:ind w:left="2752" w:hanging="425"/>
      </w:pPr>
      <w:rPr>
        <w:rFonts w:hint="default"/>
        <w:lang w:val="sv-SE" w:eastAsia="en-US" w:bidi="ar-SA"/>
      </w:rPr>
    </w:lvl>
    <w:lvl w:ilvl="2" w:tplc="EE362910">
      <w:numFmt w:val="bullet"/>
      <w:lvlText w:val="•"/>
      <w:lvlJc w:val="left"/>
      <w:pPr>
        <w:ind w:left="3485" w:hanging="425"/>
      </w:pPr>
      <w:rPr>
        <w:rFonts w:hint="default"/>
        <w:lang w:val="sv-SE" w:eastAsia="en-US" w:bidi="ar-SA"/>
      </w:rPr>
    </w:lvl>
    <w:lvl w:ilvl="3" w:tplc="A372C3BE">
      <w:numFmt w:val="bullet"/>
      <w:lvlText w:val="•"/>
      <w:lvlJc w:val="left"/>
      <w:pPr>
        <w:ind w:left="4217" w:hanging="425"/>
      </w:pPr>
      <w:rPr>
        <w:rFonts w:hint="default"/>
        <w:lang w:val="sv-SE" w:eastAsia="en-US" w:bidi="ar-SA"/>
      </w:rPr>
    </w:lvl>
    <w:lvl w:ilvl="4" w:tplc="0C16FBF6">
      <w:numFmt w:val="bullet"/>
      <w:lvlText w:val="•"/>
      <w:lvlJc w:val="left"/>
      <w:pPr>
        <w:ind w:left="4950" w:hanging="425"/>
      </w:pPr>
      <w:rPr>
        <w:rFonts w:hint="default"/>
        <w:lang w:val="sv-SE" w:eastAsia="en-US" w:bidi="ar-SA"/>
      </w:rPr>
    </w:lvl>
    <w:lvl w:ilvl="5" w:tplc="B950CE84">
      <w:numFmt w:val="bullet"/>
      <w:lvlText w:val="•"/>
      <w:lvlJc w:val="left"/>
      <w:pPr>
        <w:ind w:left="5683" w:hanging="425"/>
      </w:pPr>
      <w:rPr>
        <w:rFonts w:hint="default"/>
        <w:lang w:val="sv-SE" w:eastAsia="en-US" w:bidi="ar-SA"/>
      </w:rPr>
    </w:lvl>
    <w:lvl w:ilvl="6" w:tplc="44D27A48">
      <w:numFmt w:val="bullet"/>
      <w:lvlText w:val="•"/>
      <w:lvlJc w:val="left"/>
      <w:pPr>
        <w:ind w:left="6415" w:hanging="425"/>
      </w:pPr>
      <w:rPr>
        <w:rFonts w:hint="default"/>
        <w:lang w:val="sv-SE" w:eastAsia="en-US" w:bidi="ar-SA"/>
      </w:rPr>
    </w:lvl>
    <w:lvl w:ilvl="7" w:tplc="AD1692C8">
      <w:numFmt w:val="bullet"/>
      <w:lvlText w:val="•"/>
      <w:lvlJc w:val="left"/>
      <w:pPr>
        <w:ind w:left="7148" w:hanging="425"/>
      </w:pPr>
      <w:rPr>
        <w:rFonts w:hint="default"/>
        <w:lang w:val="sv-SE" w:eastAsia="en-US" w:bidi="ar-SA"/>
      </w:rPr>
    </w:lvl>
    <w:lvl w:ilvl="8" w:tplc="772A2130">
      <w:numFmt w:val="bullet"/>
      <w:lvlText w:val="•"/>
      <w:lvlJc w:val="left"/>
      <w:pPr>
        <w:ind w:left="7881" w:hanging="425"/>
      </w:pPr>
      <w:rPr>
        <w:rFonts w:hint="default"/>
        <w:lang w:val="sv-SE" w:eastAsia="en-US" w:bidi="ar-SA"/>
      </w:rPr>
    </w:lvl>
  </w:abstractNum>
  <w:abstractNum w:abstractNumId="20"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D94F99"/>
    <w:multiLevelType w:val="hybridMultilevel"/>
    <w:tmpl w:val="C3EA8760"/>
    <w:lvl w:ilvl="0" w:tplc="D44887D8">
      <w:start w:val="1"/>
      <w:numFmt w:val="decimal"/>
      <w:lvlText w:val="%1."/>
      <w:lvlJc w:val="left"/>
      <w:pPr>
        <w:ind w:left="1988" w:hanging="401"/>
        <w:jc w:val="left"/>
      </w:pPr>
      <w:rPr>
        <w:rFonts w:ascii="Arial" w:eastAsia="Arial" w:hAnsi="Arial" w:cs="Arial" w:hint="default"/>
        <w:w w:val="100"/>
        <w:sz w:val="24"/>
        <w:szCs w:val="24"/>
        <w:lang w:val="sv-SE" w:eastAsia="en-US" w:bidi="ar-SA"/>
      </w:rPr>
    </w:lvl>
    <w:lvl w:ilvl="1" w:tplc="D52A52FC">
      <w:numFmt w:val="bullet"/>
      <w:lvlText w:val="•"/>
      <w:lvlJc w:val="left"/>
      <w:pPr>
        <w:ind w:left="2716" w:hanging="401"/>
      </w:pPr>
      <w:rPr>
        <w:rFonts w:hint="default"/>
        <w:lang w:val="sv-SE" w:eastAsia="en-US" w:bidi="ar-SA"/>
      </w:rPr>
    </w:lvl>
    <w:lvl w:ilvl="2" w:tplc="E084E572">
      <w:numFmt w:val="bullet"/>
      <w:lvlText w:val="•"/>
      <w:lvlJc w:val="left"/>
      <w:pPr>
        <w:ind w:left="3453" w:hanging="401"/>
      </w:pPr>
      <w:rPr>
        <w:rFonts w:hint="default"/>
        <w:lang w:val="sv-SE" w:eastAsia="en-US" w:bidi="ar-SA"/>
      </w:rPr>
    </w:lvl>
    <w:lvl w:ilvl="3" w:tplc="E71A63E0">
      <w:numFmt w:val="bullet"/>
      <w:lvlText w:val="•"/>
      <w:lvlJc w:val="left"/>
      <w:pPr>
        <w:ind w:left="4189" w:hanging="401"/>
      </w:pPr>
      <w:rPr>
        <w:rFonts w:hint="default"/>
        <w:lang w:val="sv-SE" w:eastAsia="en-US" w:bidi="ar-SA"/>
      </w:rPr>
    </w:lvl>
    <w:lvl w:ilvl="4" w:tplc="F8BE18A0">
      <w:numFmt w:val="bullet"/>
      <w:lvlText w:val="•"/>
      <w:lvlJc w:val="left"/>
      <w:pPr>
        <w:ind w:left="4926" w:hanging="401"/>
      </w:pPr>
      <w:rPr>
        <w:rFonts w:hint="default"/>
        <w:lang w:val="sv-SE" w:eastAsia="en-US" w:bidi="ar-SA"/>
      </w:rPr>
    </w:lvl>
    <w:lvl w:ilvl="5" w:tplc="FFBA0F1A">
      <w:numFmt w:val="bullet"/>
      <w:lvlText w:val="•"/>
      <w:lvlJc w:val="left"/>
      <w:pPr>
        <w:ind w:left="5663" w:hanging="401"/>
      </w:pPr>
      <w:rPr>
        <w:rFonts w:hint="default"/>
        <w:lang w:val="sv-SE" w:eastAsia="en-US" w:bidi="ar-SA"/>
      </w:rPr>
    </w:lvl>
    <w:lvl w:ilvl="6" w:tplc="AB488B1A">
      <w:numFmt w:val="bullet"/>
      <w:lvlText w:val="•"/>
      <w:lvlJc w:val="left"/>
      <w:pPr>
        <w:ind w:left="6399" w:hanging="401"/>
      </w:pPr>
      <w:rPr>
        <w:rFonts w:hint="default"/>
        <w:lang w:val="sv-SE" w:eastAsia="en-US" w:bidi="ar-SA"/>
      </w:rPr>
    </w:lvl>
    <w:lvl w:ilvl="7" w:tplc="E56CDC74">
      <w:numFmt w:val="bullet"/>
      <w:lvlText w:val="•"/>
      <w:lvlJc w:val="left"/>
      <w:pPr>
        <w:ind w:left="7136" w:hanging="401"/>
      </w:pPr>
      <w:rPr>
        <w:rFonts w:hint="default"/>
        <w:lang w:val="sv-SE" w:eastAsia="en-US" w:bidi="ar-SA"/>
      </w:rPr>
    </w:lvl>
    <w:lvl w:ilvl="8" w:tplc="11E28D6C">
      <w:numFmt w:val="bullet"/>
      <w:lvlText w:val="•"/>
      <w:lvlJc w:val="left"/>
      <w:pPr>
        <w:ind w:left="7873" w:hanging="401"/>
      </w:pPr>
      <w:rPr>
        <w:rFonts w:hint="default"/>
        <w:lang w:val="sv-SE" w:eastAsia="en-US" w:bidi="ar-SA"/>
      </w:rPr>
    </w:lvl>
  </w:abstractNum>
  <w:abstractNum w:abstractNumId="23" w15:restartNumberingAfterBreak="0">
    <w:nsid w:val="50BA4908"/>
    <w:multiLevelType w:val="hybridMultilevel"/>
    <w:tmpl w:val="A2B233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26"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6026B01"/>
    <w:multiLevelType w:val="hybridMultilevel"/>
    <w:tmpl w:val="A3EE6FA8"/>
    <w:lvl w:ilvl="0" w:tplc="20105B1C">
      <w:start w:val="1"/>
      <w:numFmt w:val="decimal"/>
      <w:lvlText w:val="%1."/>
      <w:lvlJc w:val="left"/>
      <w:pPr>
        <w:ind w:left="1988" w:hanging="401"/>
        <w:jc w:val="left"/>
      </w:pPr>
      <w:rPr>
        <w:rFonts w:ascii="Arial" w:eastAsia="Arial" w:hAnsi="Arial" w:cs="Arial" w:hint="default"/>
        <w:w w:val="99"/>
        <w:sz w:val="24"/>
        <w:szCs w:val="24"/>
        <w:lang w:val="sv-SE" w:eastAsia="en-US" w:bidi="ar-SA"/>
      </w:rPr>
    </w:lvl>
    <w:lvl w:ilvl="1" w:tplc="D85AB352">
      <w:numFmt w:val="bullet"/>
      <w:lvlText w:val="•"/>
      <w:lvlJc w:val="left"/>
      <w:pPr>
        <w:ind w:left="2716" w:hanging="401"/>
      </w:pPr>
      <w:rPr>
        <w:rFonts w:hint="default"/>
        <w:lang w:val="sv-SE" w:eastAsia="en-US" w:bidi="ar-SA"/>
      </w:rPr>
    </w:lvl>
    <w:lvl w:ilvl="2" w:tplc="E2DA838E">
      <w:numFmt w:val="bullet"/>
      <w:lvlText w:val="•"/>
      <w:lvlJc w:val="left"/>
      <w:pPr>
        <w:ind w:left="3453" w:hanging="401"/>
      </w:pPr>
      <w:rPr>
        <w:rFonts w:hint="default"/>
        <w:lang w:val="sv-SE" w:eastAsia="en-US" w:bidi="ar-SA"/>
      </w:rPr>
    </w:lvl>
    <w:lvl w:ilvl="3" w:tplc="7CC40604">
      <w:numFmt w:val="bullet"/>
      <w:lvlText w:val="•"/>
      <w:lvlJc w:val="left"/>
      <w:pPr>
        <w:ind w:left="4189" w:hanging="401"/>
      </w:pPr>
      <w:rPr>
        <w:rFonts w:hint="default"/>
        <w:lang w:val="sv-SE" w:eastAsia="en-US" w:bidi="ar-SA"/>
      </w:rPr>
    </w:lvl>
    <w:lvl w:ilvl="4" w:tplc="2E7A4DDE">
      <w:numFmt w:val="bullet"/>
      <w:lvlText w:val="•"/>
      <w:lvlJc w:val="left"/>
      <w:pPr>
        <w:ind w:left="4926" w:hanging="401"/>
      </w:pPr>
      <w:rPr>
        <w:rFonts w:hint="default"/>
        <w:lang w:val="sv-SE" w:eastAsia="en-US" w:bidi="ar-SA"/>
      </w:rPr>
    </w:lvl>
    <w:lvl w:ilvl="5" w:tplc="A25E966C">
      <w:numFmt w:val="bullet"/>
      <w:lvlText w:val="•"/>
      <w:lvlJc w:val="left"/>
      <w:pPr>
        <w:ind w:left="5663" w:hanging="401"/>
      </w:pPr>
      <w:rPr>
        <w:rFonts w:hint="default"/>
        <w:lang w:val="sv-SE" w:eastAsia="en-US" w:bidi="ar-SA"/>
      </w:rPr>
    </w:lvl>
    <w:lvl w:ilvl="6" w:tplc="3F6C9140">
      <w:numFmt w:val="bullet"/>
      <w:lvlText w:val="•"/>
      <w:lvlJc w:val="left"/>
      <w:pPr>
        <w:ind w:left="6399" w:hanging="401"/>
      </w:pPr>
      <w:rPr>
        <w:rFonts w:hint="default"/>
        <w:lang w:val="sv-SE" w:eastAsia="en-US" w:bidi="ar-SA"/>
      </w:rPr>
    </w:lvl>
    <w:lvl w:ilvl="7" w:tplc="F08CC00E">
      <w:numFmt w:val="bullet"/>
      <w:lvlText w:val="•"/>
      <w:lvlJc w:val="left"/>
      <w:pPr>
        <w:ind w:left="7136" w:hanging="401"/>
      </w:pPr>
      <w:rPr>
        <w:rFonts w:hint="default"/>
        <w:lang w:val="sv-SE" w:eastAsia="en-US" w:bidi="ar-SA"/>
      </w:rPr>
    </w:lvl>
    <w:lvl w:ilvl="8" w:tplc="83722A14">
      <w:numFmt w:val="bullet"/>
      <w:lvlText w:val="•"/>
      <w:lvlJc w:val="left"/>
      <w:pPr>
        <w:ind w:left="7873" w:hanging="401"/>
      </w:pPr>
      <w:rPr>
        <w:rFonts w:hint="default"/>
        <w:lang w:val="sv-SE" w:eastAsia="en-US" w:bidi="ar-SA"/>
      </w:rPr>
    </w:lvl>
  </w:abstractNum>
  <w:num w:numId="1">
    <w:abstractNumId w:val="2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4"/>
  </w:num>
  <w:num w:numId="13">
    <w:abstractNumId w:val="21"/>
  </w:num>
  <w:num w:numId="14">
    <w:abstractNumId w:val="15"/>
  </w:num>
  <w:num w:numId="15">
    <w:abstractNumId w:val="12"/>
  </w:num>
  <w:num w:numId="16">
    <w:abstractNumId w:val="20"/>
  </w:num>
  <w:num w:numId="17">
    <w:abstractNumId w:val="25"/>
  </w:num>
  <w:num w:numId="18">
    <w:abstractNumId w:val="23"/>
  </w:num>
  <w:num w:numId="19">
    <w:abstractNumId w:val="13"/>
  </w:num>
  <w:num w:numId="20">
    <w:abstractNumId w:val="15"/>
  </w:num>
  <w:num w:numId="21">
    <w:abstractNumId w:val="16"/>
  </w:num>
  <w:num w:numId="22">
    <w:abstractNumId w:val="18"/>
  </w:num>
  <w:num w:numId="23">
    <w:abstractNumId w:val="14"/>
  </w:num>
  <w:num w:numId="24">
    <w:abstractNumId w:val="11"/>
  </w:num>
  <w:num w:numId="25">
    <w:abstractNumId w:val="17"/>
  </w:num>
  <w:num w:numId="26">
    <w:abstractNumId w:val="27"/>
  </w:num>
  <w:num w:numId="27">
    <w:abstractNumId w:val="10"/>
  </w:num>
  <w:num w:numId="28">
    <w:abstractNumId w:val="19"/>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0050"/>
    <w:rsid w:val="00001CCB"/>
    <w:rsid w:val="00001FC6"/>
    <w:rsid w:val="000144BE"/>
    <w:rsid w:val="00020024"/>
    <w:rsid w:val="0002343F"/>
    <w:rsid w:val="00025506"/>
    <w:rsid w:val="000263F9"/>
    <w:rsid w:val="000525E5"/>
    <w:rsid w:val="0005339D"/>
    <w:rsid w:val="0006043F"/>
    <w:rsid w:val="00062C92"/>
    <w:rsid w:val="00063340"/>
    <w:rsid w:val="00070889"/>
    <w:rsid w:val="00071D50"/>
    <w:rsid w:val="00072835"/>
    <w:rsid w:val="00083DC5"/>
    <w:rsid w:val="00094A50"/>
    <w:rsid w:val="000A56C4"/>
    <w:rsid w:val="000B12FE"/>
    <w:rsid w:val="000D406B"/>
    <w:rsid w:val="0010230D"/>
    <w:rsid w:val="00122584"/>
    <w:rsid w:val="00127956"/>
    <w:rsid w:val="00127A7A"/>
    <w:rsid w:val="00127F55"/>
    <w:rsid w:val="00131339"/>
    <w:rsid w:val="00141B3C"/>
    <w:rsid w:val="00146C7F"/>
    <w:rsid w:val="00154749"/>
    <w:rsid w:val="00163D90"/>
    <w:rsid w:val="00175973"/>
    <w:rsid w:val="0018618D"/>
    <w:rsid w:val="00191096"/>
    <w:rsid w:val="0019139E"/>
    <w:rsid w:val="001C1906"/>
    <w:rsid w:val="001C37F0"/>
    <w:rsid w:val="001D4B15"/>
    <w:rsid w:val="001D6F36"/>
    <w:rsid w:val="001E0799"/>
    <w:rsid w:val="001E3F89"/>
    <w:rsid w:val="00201E2A"/>
    <w:rsid w:val="00210720"/>
    <w:rsid w:val="002146A4"/>
    <w:rsid w:val="00224128"/>
    <w:rsid w:val="00225BC2"/>
    <w:rsid w:val="002313ED"/>
    <w:rsid w:val="0024613B"/>
    <w:rsid w:val="002610A9"/>
    <w:rsid w:val="00272623"/>
    <w:rsid w:val="0028015F"/>
    <w:rsid w:val="00280BC7"/>
    <w:rsid w:val="00282D78"/>
    <w:rsid w:val="00283677"/>
    <w:rsid w:val="0029665B"/>
    <w:rsid w:val="00297C1C"/>
    <w:rsid w:val="002A41C4"/>
    <w:rsid w:val="002B25FC"/>
    <w:rsid w:val="002B7046"/>
    <w:rsid w:val="002C0C7F"/>
    <w:rsid w:val="002C1744"/>
    <w:rsid w:val="002C7D16"/>
    <w:rsid w:val="002D1AEC"/>
    <w:rsid w:val="002D2A18"/>
    <w:rsid w:val="002E3691"/>
    <w:rsid w:val="0030282B"/>
    <w:rsid w:val="00304588"/>
    <w:rsid w:val="00315E9B"/>
    <w:rsid w:val="00321CAF"/>
    <w:rsid w:val="00325519"/>
    <w:rsid w:val="003303F2"/>
    <w:rsid w:val="00331E82"/>
    <w:rsid w:val="00334C66"/>
    <w:rsid w:val="00335263"/>
    <w:rsid w:val="00336B47"/>
    <w:rsid w:val="003455FC"/>
    <w:rsid w:val="00352B39"/>
    <w:rsid w:val="003531F6"/>
    <w:rsid w:val="00375A1E"/>
    <w:rsid w:val="00386367"/>
    <w:rsid w:val="00386CC5"/>
    <w:rsid w:val="00391119"/>
    <w:rsid w:val="00391418"/>
    <w:rsid w:val="003A6ACF"/>
    <w:rsid w:val="003B0F58"/>
    <w:rsid w:val="003B25C0"/>
    <w:rsid w:val="003B4963"/>
    <w:rsid w:val="003C0407"/>
    <w:rsid w:val="003E4D56"/>
    <w:rsid w:val="003E5814"/>
    <w:rsid w:val="003F1731"/>
    <w:rsid w:val="003F32D1"/>
    <w:rsid w:val="003F38F6"/>
    <w:rsid w:val="00401E46"/>
    <w:rsid w:val="004052BE"/>
    <w:rsid w:val="004114A0"/>
    <w:rsid w:val="00441930"/>
    <w:rsid w:val="00445AA5"/>
    <w:rsid w:val="0044600F"/>
    <w:rsid w:val="00446F46"/>
    <w:rsid w:val="00456725"/>
    <w:rsid w:val="00471B08"/>
    <w:rsid w:val="004772D0"/>
    <w:rsid w:val="00480B9F"/>
    <w:rsid w:val="004941EE"/>
    <w:rsid w:val="004A2BCD"/>
    <w:rsid w:val="004A64CA"/>
    <w:rsid w:val="004D3000"/>
    <w:rsid w:val="004F1166"/>
    <w:rsid w:val="0050070F"/>
    <w:rsid w:val="005134AF"/>
    <w:rsid w:val="0051478F"/>
    <w:rsid w:val="00524B63"/>
    <w:rsid w:val="005268DF"/>
    <w:rsid w:val="00527B11"/>
    <w:rsid w:val="005315D0"/>
    <w:rsid w:val="005463DE"/>
    <w:rsid w:val="0054670D"/>
    <w:rsid w:val="00547C06"/>
    <w:rsid w:val="00555A09"/>
    <w:rsid w:val="00585C22"/>
    <w:rsid w:val="00594944"/>
    <w:rsid w:val="005A06A0"/>
    <w:rsid w:val="005B7B0F"/>
    <w:rsid w:val="005C01D2"/>
    <w:rsid w:val="005C2083"/>
    <w:rsid w:val="005F4CC7"/>
    <w:rsid w:val="00602337"/>
    <w:rsid w:val="00607002"/>
    <w:rsid w:val="00612333"/>
    <w:rsid w:val="006128C6"/>
    <w:rsid w:val="0062295E"/>
    <w:rsid w:val="00632BC4"/>
    <w:rsid w:val="006331F1"/>
    <w:rsid w:val="006352A1"/>
    <w:rsid w:val="00636BE0"/>
    <w:rsid w:val="00643703"/>
    <w:rsid w:val="00647588"/>
    <w:rsid w:val="0065753E"/>
    <w:rsid w:val="006629B1"/>
    <w:rsid w:val="00666153"/>
    <w:rsid w:val="00674C4D"/>
    <w:rsid w:val="0068017B"/>
    <w:rsid w:val="0068382F"/>
    <w:rsid w:val="00686AC2"/>
    <w:rsid w:val="0068755F"/>
    <w:rsid w:val="006A184F"/>
    <w:rsid w:val="006A2FC8"/>
    <w:rsid w:val="006A3AA6"/>
    <w:rsid w:val="006A6BE3"/>
    <w:rsid w:val="006B1E45"/>
    <w:rsid w:val="006C57E4"/>
    <w:rsid w:val="006C7DC9"/>
    <w:rsid w:val="006D39D6"/>
    <w:rsid w:val="006D3AF9"/>
    <w:rsid w:val="006D5098"/>
    <w:rsid w:val="006D5DBA"/>
    <w:rsid w:val="006E15A7"/>
    <w:rsid w:val="006F0918"/>
    <w:rsid w:val="006F28BA"/>
    <w:rsid w:val="00710094"/>
    <w:rsid w:val="00712851"/>
    <w:rsid w:val="0071395D"/>
    <w:rsid w:val="007149F6"/>
    <w:rsid w:val="00724DEE"/>
    <w:rsid w:val="00725D41"/>
    <w:rsid w:val="00736832"/>
    <w:rsid w:val="007377B2"/>
    <w:rsid w:val="00737FB2"/>
    <w:rsid w:val="00743834"/>
    <w:rsid w:val="007519EF"/>
    <w:rsid w:val="00764B15"/>
    <w:rsid w:val="007723B8"/>
    <w:rsid w:val="007758D6"/>
    <w:rsid w:val="0077708C"/>
    <w:rsid w:val="007772D7"/>
    <w:rsid w:val="00781DBD"/>
    <w:rsid w:val="00787446"/>
    <w:rsid w:val="00790A46"/>
    <w:rsid w:val="00793B2C"/>
    <w:rsid w:val="007A31C6"/>
    <w:rsid w:val="007B20F5"/>
    <w:rsid w:val="007B6A85"/>
    <w:rsid w:val="007C06A7"/>
    <w:rsid w:val="007C27EE"/>
    <w:rsid w:val="008207FB"/>
    <w:rsid w:val="00820D6E"/>
    <w:rsid w:val="00826058"/>
    <w:rsid w:val="008319D6"/>
    <w:rsid w:val="00837B9A"/>
    <w:rsid w:val="0085192F"/>
    <w:rsid w:val="00860178"/>
    <w:rsid w:val="00861119"/>
    <w:rsid w:val="00870C0F"/>
    <w:rsid w:val="00870EB9"/>
    <w:rsid w:val="008743DA"/>
    <w:rsid w:val="00874A67"/>
    <w:rsid w:val="00877E30"/>
    <w:rsid w:val="00877EED"/>
    <w:rsid w:val="00886F13"/>
    <w:rsid w:val="008A12FC"/>
    <w:rsid w:val="008A3417"/>
    <w:rsid w:val="008B2CA3"/>
    <w:rsid w:val="008B3387"/>
    <w:rsid w:val="008D0D51"/>
    <w:rsid w:val="008D3BE8"/>
    <w:rsid w:val="008F5C48"/>
    <w:rsid w:val="009031BC"/>
    <w:rsid w:val="00920AA0"/>
    <w:rsid w:val="00925EF5"/>
    <w:rsid w:val="00927E19"/>
    <w:rsid w:val="0093083D"/>
    <w:rsid w:val="009370AD"/>
    <w:rsid w:val="00946009"/>
    <w:rsid w:val="00953C28"/>
    <w:rsid w:val="00966DA6"/>
    <w:rsid w:val="00970C39"/>
    <w:rsid w:val="009724F3"/>
    <w:rsid w:val="00977A26"/>
    <w:rsid w:val="00980BA4"/>
    <w:rsid w:val="00983C68"/>
    <w:rsid w:val="009855B9"/>
    <w:rsid w:val="009A4F04"/>
    <w:rsid w:val="009B3825"/>
    <w:rsid w:val="009B399E"/>
    <w:rsid w:val="009B4BEC"/>
    <w:rsid w:val="009B7540"/>
    <w:rsid w:val="009C5AE4"/>
    <w:rsid w:val="009E11E6"/>
    <w:rsid w:val="009E3885"/>
    <w:rsid w:val="009F3280"/>
    <w:rsid w:val="009F4CC6"/>
    <w:rsid w:val="00A02D82"/>
    <w:rsid w:val="00A13BAB"/>
    <w:rsid w:val="00A148DE"/>
    <w:rsid w:val="00A212E2"/>
    <w:rsid w:val="00A37376"/>
    <w:rsid w:val="00A43A21"/>
    <w:rsid w:val="00A52148"/>
    <w:rsid w:val="00A54FEE"/>
    <w:rsid w:val="00A73A98"/>
    <w:rsid w:val="00A9524D"/>
    <w:rsid w:val="00A955FF"/>
    <w:rsid w:val="00AA0244"/>
    <w:rsid w:val="00AB22B8"/>
    <w:rsid w:val="00AC2579"/>
    <w:rsid w:val="00AC5EAD"/>
    <w:rsid w:val="00AD199A"/>
    <w:rsid w:val="00B026D0"/>
    <w:rsid w:val="00B04FAE"/>
    <w:rsid w:val="00B23358"/>
    <w:rsid w:val="00B26FA2"/>
    <w:rsid w:val="00B3122A"/>
    <w:rsid w:val="00B37A30"/>
    <w:rsid w:val="00B402C4"/>
    <w:rsid w:val="00B430CC"/>
    <w:rsid w:val="00B53782"/>
    <w:rsid w:val="00B7198D"/>
    <w:rsid w:val="00B71B68"/>
    <w:rsid w:val="00B73128"/>
    <w:rsid w:val="00B802AB"/>
    <w:rsid w:val="00BB3E9E"/>
    <w:rsid w:val="00BD7A57"/>
    <w:rsid w:val="00BE2726"/>
    <w:rsid w:val="00BF7A1D"/>
    <w:rsid w:val="00C047B1"/>
    <w:rsid w:val="00C050DF"/>
    <w:rsid w:val="00C11536"/>
    <w:rsid w:val="00C25283"/>
    <w:rsid w:val="00C26E2D"/>
    <w:rsid w:val="00C3081E"/>
    <w:rsid w:val="00C353D9"/>
    <w:rsid w:val="00C359DD"/>
    <w:rsid w:val="00C3732B"/>
    <w:rsid w:val="00C56A2F"/>
    <w:rsid w:val="00C613CF"/>
    <w:rsid w:val="00C66473"/>
    <w:rsid w:val="00C73069"/>
    <w:rsid w:val="00C73525"/>
    <w:rsid w:val="00C74C63"/>
    <w:rsid w:val="00C75907"/>
    <w:rsid w:val="00C82299"/>
    <w:rsid w:val="00C83C7D"/>
    <w:rsid w:val="00C9368E"/>
    <w:rsid w:val="00CB7273"/>
    <w:rsid w:val="00CC08C4"/>
    <w:rsid w:val="00CD1065"/>
    <w:rsid w:val="00CE7054"/>
    <w:rsid w:val="00D02513"/>
    <w:rsid w:val="00D125F3"/>
    <w:rsid w:val="00D30E8D"/>
    <w:rsid w:val="00D32791"/>
    <w:rsid w:val="00D35874"/>
    <w:rsid w:val="00D37B6F"/>
    <w:rsid w:val="00D45DD2"/>
    <w:rsid w:val="00D6269D"/>
    <w:rsid w:val="00D66118"/>
    <w:rsid w:val="00D70C1C"/>
    <w:rsid w:val="00D8468E"/>
    <w:rsid w:val="00D8591F"/>
    <w:rsid w:val="00D85A5D"/>
    <w:rsid w:val="00DC293F"/>
    <w:rsid w:val="00DE1695"/>
    <w:rsid w:val="00DE3D8E"/>
    <w:rsid w:val="00DE593B"/>
    <w:rsid w:val="00DF08C0"/>
    <w:rsid w:val="00DF5169"/>
    <w:rsid w:val="00E01093"/>
    <w:rsid w:val="00E04AB9"/>
    <w:rsid w:val="00E10A96"/>
    <w:rsid w:val="00E11D7B"/>
    <w:rsid w:val="00E2762F"/>
    <w:rsid w:val="00E33CF6"/>
    <w:rsid w:val="00E35049"/>
    <w:rsid w:val="00E40420"/>
    <w:rsid w:val="00E45034"/>
    <w:rsid w:val="00E51E4F"/>
    <w:rsid w:val="00E52062"/>
    <w:rsid w:val="00E87779"/>
    <w:rsid w:val="00E92648"/>
    <w:rsid w:val="00E92F19"/>
    <w:rsid w:val="00EB2841"/>
    <w:rsid w:val="00EF1747"/>
    <w:rsid w:val="00EF4C51"/>
    <w:rsid w:val="00F063C4"/>
    <w:rsid w:val="00F066C9"/>
    <w:rsid w:val="00F1089F"/>
    <w:rsid w:val="00F10C46"/>
    <w:rsid w:val="00F12699"/>
    <w:rsid w:val="00F27F30"/>
    <w:rsid w:val="00F33C26"/>
    <w:rsid w:val="00F55614"/>
    <w:rsid w:val="00F66E5F"/>
    <w:rsid w:val="00F70326"/>
    <w:rsid w:val="00F72ABC"/>
    <w:rsid w:val="00F7416D"/>
    <w:rsid w:val="00FA09FA"/>
    <w:rsid w:val="00FD292C"/>
    <w:rsid w:val="00FD60A1"/>
    <w:rsid w:val="00FE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0A1"/>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1"/>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Kommentarsreferens">
    <w:name w:val="annotation reference"/>
    <w:basedOn w:val="Standardstycketeckensnitt"/>
    <w:uiPriority w:val="99"/>
    <w:semiHidden/>
    <w:unhideWhenUsed/>
    <w:rsid w:val="005C2083"/>
    <w:rPr>
      <w:sz w:val="16"/>
      <w:szCs w:val="16"/>
    </w:rPr>
  </w:style>
  <w:style w:type="paragraph" w:styleId="Kommentarer">
    <w:name w:val="annotation text"/>
    <w:basedOn w:val="Normal"/>
    <w:link w:val="KommentarerChar"/>
    <w:uiPriority w:val="99"/>
    <w:semiHidden/>
    <w:unhideWhenUsed/>
    <w:rsid w:val="005C2083"/>
    <w:rPr>
      <w:sz w:val="20"/>
    </w:rPr>
  </w:style>
  <w:style w:type="character" w:customStyle="1" w:styleId="KommentarerChar">
    <w:name w:val="Kommentarer Char"/>
    <w:basedOn w:val="Standardstycketeckensnitt"/>
    <w:link w:val="Kommentarer"/>
    <w:uiPriority w:val="99"/>
    <w:semiHidden/>
    <w:rsid w:val="005C2083"/>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5C2083"/>
    <w:rPr>
      <w:b/>
      <w:bCs/>
    </w:rPr>
  </w:style>
  <w:style w:type="character" w:customStyle="1" w:styleId="KommentarsmneChar">
    <w:name w:val="Kommentarsämne Char"/>
    <w:basedOn w:val="KommentarerChar"/>
    <w:link w:val="Kommentarsmne"/>
    <w:uiPriority w:val="99"/>
    <w:semiHidden/>
    <w:rsid w:val="005C2083"/>
    <w:rPr>
      <w:rFonts w:ascii="Times New Roman" w:eastAsia="Times New Roman" w:hAnsi="Times New Roman" w:cs="Times New Roman"/>
      <w:b/>
      <w:bCs/>
      <w:sz w:val="20"/>
      <w:szCs w:val="20"/>
      <w:lang w:val="sv-SE" w:eastAsia="sv-SE"/>
    </w:rPr>
  </w:style>
  <w:style w:type="paragraph" w:customStyle="1" w:styleId="Default">
    <w:name w:val="Default"/>
    <w:rsid w:val="0050070F"/>
    <w:pPr>
      <w:autoSpaceDE w:val="0"/>
      <w:autoSpaceDN w:val="0"/>
      <w:adjustRightInd w:val="0"/>
      <w:spacing w:after="0" w:line="240" w:lineRule="auto"/>
    </w:pPr>
    <w:rPr>
      <w:rFonts w:ascii="Arial" w:hAnsi="Arial" w:cs="Arial"/>
      <w:color w:val="000000"/>
      <w:sz w:val="24"/>
      <w:szCs w:val="24"/>
      <w:lang w:val="sv-SE"/>
    </w:rPr>
  </w:style>
  <w:style w:type="paragraph" w:customStyle="1" w:styleId="FormatmallPMrubrik14pt">
    <w:name w:val="Formatmall PMrubrik + 14 pt"/>
    <w:basedOn w:val="Normal"/>
    <w:semiHidden/>
    <w:unhideWhenUsed/>
    <w:rsid w:val="00D85A5D"/>
    <w:pPr>
      <w:widowControl/>
      <w:spacing w:after="120" w:line="280" w:lineRule="atLeast"/>
    </w:pPr>
    <w:rPr>
      <w:rFonts w:ascii="GillSans Pro for Riksdagen Md" w:hAnsi="GillSans Pro for Riksdagen Md"/>
      <w:b/>
      <w:bCs/>
      <w:sz w:val="28"/>
      <w:szCs w:val="36"/>
    </w:rPr>
  </w:style>
  <w:style w:type="paragraph" w:styleId="Normalwebb">
    <w:name w:val="Normal (Web)"/>
    <w:basedOn w:val="Normal"/>
    <w:uiPriority w:val="99"/>
    <w:unhideWhenUsed/>
    <w:rsid w:val="00127F55"/>
    <w:pPr>
      <w:widowControl/>
      <w:spacing w:before="100" w:beforeAutospacing="1" w:after="100" w:afterAutospacing="1"/>
    </w:pPr>
    <w:rPr>
      <w:szCs w:val="24"/>
    </w:rPr>
  </w:style>
  <w:style w:type="character" w:customStyle="1" w:styleId="bold">
    <w:name w:val="bold"/>
    <w:basedOn w:val="Standardstycketeckensnitt"/>
    <w:rsid w:val="00127F55"/>
  </w:style>
  <w:style w:type="character" w:styleId="Hyperlnk">
    <w:name w:val="Hyperlink"/>
    <w:basedOn w:val="Standardstycketeckensnitt"/>
    <w:uiPriority w:val="99"/>
    <w:unhideWhenUsed/>
    <w:rsid w:val="006C57E4"/>
    <w:rPr>
      <w:color w:val="0563C1" w:themeColor="hyperlink"/>
      <w:u w:val="single"/>
    </w:rPr>
  </w:style>
  <w:style w:type="paragraph" w:styleId="Brdtext">
    <w:name w:val="Body Text"/>
    <w:basedOn w:val="Normal"/>
    <w:link w:val="BrdtextChar"/>
    <w:uiPriority w:val="1"/>
    <w:qFormat/>
    <w:rsid w:val="003303F2"/>
    <w:pPr>
      <w:autoSpaceDE w:val="0"/>
      <w:autoSpaceDN w:val="0"/>
    </w:pPr>
    <w:rPr>
      <w:rFonts w:ascii="Garamond" w:eastAsia="Garamond" w:hAnsi="Garamond" w:cs="Garamond"/>
      <w:sz w:val="25"/>
      <w:szCs w:val="25"/>
      <w:lang w:eastAsia="en-US"/>
    </w:rPr>
  </w:style>
  <w:style w:type="character" w:customStyle="1" w:styleId="BrdtextChar">
    <w:name w:val="Brödtext Char"/>
    <w:basedOn w:val="Standardstycketeckensnitt"/>
    <w:link w:val="Brdtext"/>
    <w:uiPriority w:val="1"/>
    <w:rsid w:val="003303F2"/>
    <w:rPr>
      <w:rFonts w:ascii="Garamond" w:eastAsia="Garamond" w:hAnsi="Garamond" w:cs="Garamond"/>
      <w:sz w:val="25"/>
      <w:szCs w:val="25"/>
      <w:lang w:val="sv-SE"/>
    </w:rPr>
  </w:style>
  <w:style w:type="paragraph" w:styleId="Rubrik">
    <w:name w:val="Title"/>
    <w:basedOn w:val="Normal"/>
    <w:link w:val="RubrikChar"/>
    <w:uiPriority w:val="10"/>
    <w:qFormat/>
    <w:rsid w:val="003303F2"/>
    <w:pPr>
      <w:autoSpaceDE w:val="0"/>
      <w:autoSpaceDN w:val="0"/>
      <w:spacing w:before="91"/>
      <w:ind w:left="1587" w:right="1027"/>
      <w:jc w:val="both"/>
    </w:pPr>
    <w:rPr>
      <w:rFonts w:ascii="Arial" w:eastAsia="Arial" w:hAnsi="Arial" w:cs="Arial"/>
      <w:sz w:val="26"/>
      <w:szCs w:val="26"/>
      <w:lang w:eastAsia="en-US"/>
    </w:rPr>
  </w:style>
  <w:style w:type="character" w:customStyle="1" w:styleId="RubrikChar">
    <w:name w:val="Rubrik Char"/>
    <w:basedOn w:val="Standardstycketeckensnitt"/>
    <w:link w:val="Rubrik"/>
    <w:uiPriority w:val="10"/>
    <w:rsid w:val="003303F2"/>
    <w:rPr>
      <w:rFonts w:ascii="Arial" w:eastAsia="Arial" w:hAnsi="Arial" w:cs="Arial"/>
      <w:sz w:val="26"/>
      <w:szCs w:val="26"/>
      <w:lang w:val="sv-SE"/>
    </w:rPr>
  </w:style>
  <w:style w:type="paragraph" w:styleId="Sidhuvud">
    <w:name w:val="header"/>
    <w:basedOn w:val="Normal"/>
    <w:link w:val="SidhuvudChar"/>
    <w:uiPriority w:val="99"/>
    <w:unhideWhenUsed/>
    <w:rsid w:val="003303F2"/>
    <w:pPr>
      <w:tabs>
        <w:tab w:val="center" w:pos="4536"/>
        <w:tab w:val="right" w:pos="9072"/>
      </w:tabs>
    </w:pPr>
  </w:style>
  <w:style w:type="character" w:customStyle="1" w:styleId="SidhuvudChar">
    <w:name w:val="Sidhuvud Char"/>
    <w:basedOn w:val="Standardstycketeckensnitt"/>
    <w:link w:val="Sidhuvud"/>
    <w:uiPriority w:val="99"/>
    <w:rsid w:val="003303F2"/>
    <w:rPr>
      <w:rFonts w:ascii="Times New Roman" w:eastAsia="Times New Roman" w:hAnsi="Times New Roman" w:cs="Times New Roman"/>
      <w:sz w:val="24"/>
      <w:szCs w:val="20"/>
      <w:lang w:val="sv-SE" w:eastAsia="sv-SE"/>
    </w:rPr>
  </w:style>
  <w:style w:type="paragraph" w:styleId="Sidfot">
    <w:name w:val="footer"/>
    <w:basedOn w:val="Normal"/>
    <w:link w:val="SidfotChar"/>
    <w:uiPriority w:val="99"/>
    <w:unhideWhenUsed/>
    <w:rsid w:val="003303F2"/>
    <w:pPr>
      <w:tabs>
        <w:tab w:val="center" w:pos="4536"/>
        <w:tab w:val="right" w:pos="9072"/>
      </w:tabs>
    </w:pPr>
  </w:style>
  <w:style w:type="character" w:customStyle="1" w:styleId="SidfotChar">
    <w:name w:val="Sidfot Char"/>
    <w:basedOn w:val="Standardstycketeckensnitt"/>
    <w:link w:val="Sidfot"/>
    <w:uiPriority w:val="99"/>
    <w:rsid w:val="003303F2"/>
    <w:rPr>
      <w:rFonts w:ascii="Times New Roman" w:eastAsia="Times New Roman" w:hAnsi="Times New Roman" w:cs="Times New Roman"/>
      <w:sz w:val="24"/>
      <w:szCs w:val="20"/>
      <w:lang w:val="sv-SE" w:eastAsia="sv-SE"/>
    </w:rPr>
  </w:style>
  <w:style w:type="paragraph" w:customStyle="1" w:styleId="xs3">
    <w:name w:val="x_s3"/>
    <w:basedOn w:val="Normal"/>
    <w:rsid w:val="00A54FEE"/>
    <w:pPr>
      <w:widowControl/>
      <w:spacing w:before="100" w:beforeAutospacing="1" w:after="100" w:afterAutospacing="1"/>
    </w:pPr>
    <w:rPr>
      <w:rFonts w:ascii="Calibri" w:eastAsiaTheme="minorHAnsi" w:hAnsi="Calibri" w:cs="Calibri"/>
      <w:sz w:val="22"/>
      <w:szCs w:val="22"/>
    </w:rPr>
  </w:style>
  <w:style w:type="character" w:customStyle="1" w:styleId="xs2">
    <w:name w:val="x_s2"/>
    <w:basedOn w:val="Standardstycketeckensnitt"/>
    <w:rsid w:val="00A5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81965">
      <w:bodyDiv w:val="1"/>
      <w:marLeft w:val="0"/>
      <w:marRight w:val="0"/>
      <w:marTop w:val="0"/>
      <w:marBottom w:val="0"/>
      <w:divBdr>
        <w:top w:val="none" w:sz="0" w:space="0" w:color="auto"/>
        <w:left w:val="none" w:sz="0" w:space="0" w:color="auto"/>
        <w:bottom w:val="none" w:sz="0" w:space="0" w:color="auto"/>
        <w:right w:val="none" w:sz="0" w:space="0" w:color="auto"/>
      </w:divBdr>
    </w:div>
    <w:div w:id="21277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D22B7-8E0A-4A8A-8BCF-D7F09F9E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13</Pages>
  <Words>2746</Words>
  <Characters>17109</Characters>
  <Application>Microsoft Office Word</Application>
  <DocSecurity>4</DocSecurity>
  <Lines>1425</Lines>
  <Paragraphs>287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Anna Bolmström</cp:lastModifiedBy>
  <cp:revision>2</cp:revision>
  <cp:lastPrinted>2020-10-01T12:53:00Z</cp:lastPrinted>
  <dcterms:created xsi:type="dcterms:W3CDTF">2020-10-21T12:39:00Z</dcterms:created>
  <dcterms:modified xsi:type="dcterms:W3CDTF">2020-10-21T12:39:00Z</dcterms:modified>
</cp:coreProperties>
</file>