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rsidP="00F5400B">
            <w:pPr>
              <w:rPr>
                <w:b/>
              </w:rPr>
            </w:pPr>
            <w:r w:rsidRPr="007A327C">
              <w:rPr>
                <w:b/>
              </w:rPr>
              <w:t>UTSKOTTSSAMMANTRÄDE 20</w:t>
            </w:r>
            <w:r w:rsidR="00670477">
              <w:rPr>
                <w:b/>
              </w:rPr>
              <w:t>2</w:t>
            </w:r>
            <w:r w:rsidR="009966EE">
              <w:rPr>
                <w:b/>
              </w:rPr>
              <w:t>1</w:t>
            </w:r>
            <w:r w:rsidRPr="007A327C">
              <w:rPr>
                <w:b/>
              </w:rPr>
              <w:t>/</w:t>
            </w:r>
            <w:r w:rsidR="008E3706">
              <w:rPr>
                <w:b/>
              </w:rPr>
              <w:t>2</w:t>
            </w:r>
            <w:r w:rsidR="009966EE">
              <w:rPr>
                <w:b/>
              </w:rPr>
              <w:t>2</w:t>
            </w:r>
            <w:r w:rsidR="004F680C" w:rsidRPr="007A327C">
              <w:rPr>
                <w:b/>
              </w:rPr>
              <w:t>:</w:t>
            </w:r>
            <w:r w:rsidR="00002332">
              <w:rPr>
                <w:b/>
              </w:rPr>
              <w:t>4</w:t>
            </w:r>
            <w:r w:rsidR="00CF0780">
              <w:rPr>
                <w:b/>
              </w:rPr>
              <w:t>2</w:t>
            </w:r>
          </w:p>
        </w:tc>
      </w:tr>
      <w:tr w:rsidR="004F680C" w:rsidRPr="007A327C">
        <w:tc>
          <w:tcPr>
            <w:tcW w:w="1985" w:type="dxa"/>
          </w:tcPr>
          <w:p w:rsidR="004F680C" w:rsidRPr="007A327C" w:rsidRDefault="004F680C">
            <w:r w:rsidRPr="007A327C">
              <w:t>DATUM</w:t>
            </w:r>
          </w:p>
        </w:tc>
        <w:tc>
          <w:tcPr>
            <w:tcW w:w="6463" w:type="dxa"/>
          </w:tcPr>
          <w:p w:rsidR="004F680C" w:rsidRPr="007A327C" w:rsidRDefault="00685998" w:rsidP="00AC3854">
            <w:r>
              <w:t>2022-</w:t>
            </w:r>
            <w:r w:rsidR="00916134">
              <w:t>0</w:t>
            </w:r>
            <w:r w:rsidR="00002332">
              <w:t>6-</w:t>
            </w:r>
            <w:r w:rsidR="00ED3A91">
              <w:t>14</w:t>
            </w:r>
          </w:p>
        </w:tc>
      </w:tr>
      <w:tr w:rsidR="00072F27" w:rsidRPr="007A327C">
        <w:tc>
          <w:tcPr>
            <w:tcW w:w="1985" w:type="dxa"/>
          </w:tcPr>
          <w:p w:rsidR="00072F27" w:rsidRPr="007A327C" w:rsidRDefault="00072F27">
            <w:r>
              <w:t>TID</w:t>
            </w:r>
          </w:p>
        </w:tc>
        <w:tc>
          <w:tcPr>
            <w:tcW w:w="6463" w:type="dxa"/>
          </w:tcPr>
          <w:p w:rsidR="00787FCD" w:rsidRDefault="00A80683" w:rsidP="00002332">
            <w:r>
              <w:t>1</w:t>
            </w:r>
            <w:r w:rsidR="00ED3A91">
              <w:t>1</w:t>
            </w:r>
            <w:r>
              <w:t>.</w:t>
            </w:r>
            <w:r w:rsidR="00002332">
              <w:t>0</w:t>
            </w:r>
            <w:r w:rsidR="00072F27">
              <w:t>0–</w:t>
            </w:r>
            <w:r w:rsidR="00D75CC9" w:rsidRPr="00D75CC9">
              <w:t>1</w:t>
            </w:r>
            <w:r w:rsidR="004008F6">
              <w:t>2</w:t>
            </w:r>
            <w:r w:rsidR="00ED3A91">
              <w:t>.</w:t>
            </w:r>
            <w:r w:rsidR="004008F6">
              <w:t>25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3B40CE" w:rsidRDefault="003B40CE">
      <w:pPr>
        <w:tabs>
          <w:tab w:val="left" w:pos="1701"/>
        </w:tabs>
        <w:rPr>
          <w:snapToGrid w:val="0"/>
          <w:color w:val="000000"/>
        </w:rPr>
      </w:pPr>
    </w:p>
    <w:p w:rsidR="00DC5F0A" w:rsidRDefault="00DC5F0A">
      <w:pPr>
        <w:tabs>
          <w:tab w:val="left" w:pos="1701"/>
        </w:tabs>
        <w:rPr>
          <w:snapToGrid w:val="0"/>
          <w:color w:val="000000"/>
        </w:rPr>
      </w:pPr>
    </w:p>
    <w:p w:rsidR="00970E18" w:rsidRPr="007A327C" w:rsidRDefault="00970E18">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61DFE" w:rsidRPr="007A327C" w:rsidTr="00F5133A">
        <w:tc>
          <w:tcPr>
            <w:tcW w:w="567" w:type="dxa"/>
          </w:tcPr>
          <w:p w:rsidR="00161DFE" w:rsidRPr="007A327C" w:rsidRDefault="00161DFE" w:rsidP="00705A0F">
            <w:pPr>
              <w:tabs>
                <w:tab w:val="left" w:pos="1701"/>
              </w:tabs>
              <w:rPr>
                <w:b/>
                <w:snapToGrid w:val="0"/>
              </w:rPr>
            </w:pPr>
            <w:r>
              <w:rPr>
                <w:b/>
                <w:snapToGrid w:val="0"/>
              </w:rPr>
              <w:t xml:space="preserve">§ </w:t>
            </w:r>
            <w:r w:rsidR="00F7333E">
              <w:rPr>
                <w:b/>
                <w:snapToGrid w:val="0"/>
              </w:rPr>
              <w:t>1</w:t>
            </w:r>
          </w:p>
        </w:tc>
        <w:tc>
          <w:tcPr>
            <w:tcW w:w="6946" w:type="dxa"/>
            <w:gridSpan w:val="2"/>
          </w:tcPr>
          <w:p w:rsidR="00A80683" w:rsidRDefault="00A80683" w:rsidP="00A80683">
            <w:pPr>
              <w:tabs>
                <w:tab w:val="left" w:pos="1701"/>
              </w:tabs>
              <w:rPr>
                <w:b/>
                <w:snapToGrid w:val="0"/>
              </w:rPr>
            </w:pPr>
            <w:r>
              <w:rPr>
                <w:b/>
                <w:snapToGrid w:val="0"/>
              </w:rPr>
              <w:t>Justering av protokoll</w:t>
            </w:r>
          </w:p>
          <w:p w:rsidR="00A80683" w:rsidRDefault="00A80683" w:rsidP="00A80683">
            <w:pPr>
              <w:tabs>
                <w:tab w:val="left" w:pos="1701"/>
              </w:tabs>
              <w:rPr>
                <w:b/>
                <w:snapToGrid w:val="0"/>
              </w:rPr>
            </w:pPr>
          </w:p>
          <w:p w:rsidR="00072F27" w:rsidRPr="00072F27" w:rsidRDefault="00A80683" w:rsidP="00A80683">
            <w:pPr>
              <w:tabs>
                <w:tab w:val="left" w:pos="1701"/>
              </w:tabs>
              <w:rPr>
                <w:snapToGrid w:val="0"/>
              </w:rPr>
            </w:pPr>
            <w:r>
              <w:rPr>
                <w:snapToGrid w:val="0"/>
              </w:rPr>
              <w:t>Utskottet justerade protokoll 2021/22:</w:t>
            </w:r>
            <w:r w:rsidR="00002332">
              <w:rPr>
                <w:snapToGrid w:val="0"/>
              </w:rPr>
              <w:t>4</w:t>
            </w:r>
            <w:r w:rsidR="00ED3A91">
              <w:rPr>
                <w:snapToGrid w:val="0"/>
              </w:rPr>
              <w:t>1.</w:t>
            </w:r>
          </w:p>
        </w:tc>
      </w:tr>
      <w:tr w:rsidR="009B2236" w:rsidRPr="007A327C" w:rsidTr="00F5133A">
        <w:tc>
          <w:tcPr>
            <w:tcW w:w="567" w:type="dxa"/>
          </w:tcPr>
          <w:p w:rsidR="009B2236" w:rsidRDefault="009B2236" w:rsidP="00705A0F">
            <w:pPr>
              <w:tabs>
                <w:tab w:val="left" w:pos="1701"/>
              </w:tabs>
              <w:rPr>
                <w:b/>
                <w:snapToGrid w:val="0"/>
              </w:rPr>
            </w:pPr>
          </w:p>
        </w:tc>
        <w:tc>
          <w:tcPr>
            <w:tcW w:w="6946" w:type="dxa"/>
            <w:gridSpan w:val="2"/>
          </w:tcPr>
          <w:p w:rsidR="009B2236" w:rsidRDefault="009B2236" w:rsidP="00705A0F">
            <w:pPr>
              <w:tabs>
                <w:tab w:val="left" w:pos="1701"/>
              </w:tabs>
              <w:rPr>
                <w:b/>
                <w:snapToGrid w:val="0"/>
              </w:rPr>
            </w:pPr>
          </w:p>
        </w:tc>
      </w:tr>
      <w:tr w:rsidR="00787FCD" w:rsidRPr="007A327C" w:rsidTr="00F5133A">
        <w:tc>
          <w:tcPr>
            <w:tcW w:w="567" w:type="dxa"/>
          </w:tcPr>
          <w:p w:rsidR="00787FCD" w:rsidRPr="007A327C" w:rsidRDefault="00787FCD" w:rsidP="00787FCD">
            <w:pPr>
              <w:tabs>
                <w:tab w:val="left" w:pos="1701"/>
              </w:tabs>
              <w:rPr>
                <w:b/>
                <w:snapToGrid w:val="0"/>
              </w:rPr>
            </w:pPr>
            <w:r>
              <w:rPr>
                <w:b/>
                <w:snapToGrid w:val="0"/>
              </w:rPr>
              <w:t xml:space="preserve">§ </w:t>
            </w:r>
            <w:r w:rsidR="00041FD2">
              <w:rPr>
                <w:b/>
                <w:snapToGrid w:val="0"/>
              </w:rPr>
              <w:t>2</w:t>
            </w:r>
          </w:p>
        </w:tc>
        <w:tc>
          <w:tcPr>
            <w:tcW w:w="6946" w:type="dxa"/>
            <w:gridSpan w:val="2"/>
          </w:tcPr>
          <w:p w:rsidR="00787FCD" w:rsidRDefault="004008F6" w:rsidP="00787FCD">
            <w:pPr>
              <w:tabs>
                <w:tab w:val="left" w:pos="1701"/>
              </w:tabs>
              <w:rPr>
                <w:b/>
                <w:bCs/>
                <w:color w:val="000000"/>
                <w:szCs w:val="24"/>
              </w:rPr>
            </w:pPr>
            <w:r w:rsidRPr="00465D6F">
              <w:rPr>
                <w:b/>
                <w:bCs/>
                <w:color w:val="000000"/>
                <w:szCs w:val="24"/>
              </w:rPr>
              <w:t>Direktiv om ett kombinerat tillstånd för arbete och meddelande om att locka kompetens och talang till EU</w:t>
            </w:r>
          </w:p>
          <w:p w:rsidR="004008F6" w:rsidRDefault="004008F6" w:rsidP="00787FCD">
            <w:pPr>
              <w:tabs>
                <w:tab w:val="left" w:pos="1701"/>
              </w:tabs>
              <w:rPr>
                <w:snapToGrid w:val="0"/>
              </w:rPr>
            </w:pPr>
          </w:p>
          <w:p w:rsidR="004008F6" w:rsidRDefault="004008F6" w:rsidP="00787FCD">
            <w:pPr>
              <w:tabs>
                <w:tab w:val="left" w:pos="1701"/>
              </w:tabs>
              <w:rPr>
                <w:snapToGrid w:val="0"/>
              </w:rPr>
            </w:pPr>
            <w:r>
              <w:rPr>
                <w:snapToGrid w:val="0"/>
              </w:rPr>
              <w:t xml:space="preserve">Utskottet överlade med regeringen, statsrådet Anders </w:t>
            </w:r>
            <w:proofErr w:type="spellStart"/>
            <w:r>
              <w:rPr>
                <w:snapToGrid w:val="0"/>
              </w:rPr>
              <w:t>Ygeman</w:t>
            </w:r>
            <w:proofErr w:type="spellEnd"/>
            <w:r>
              <w:rPr>
                <w:snapToGrid w:val="0"/>
              </w:rPr>
              <w:t>, biträdd av medarbetare på Justitiedepartementet.</w:t>
            </w:r>
          </w:p>
          <w:p w:rsidR="004008F6" w:rsidRDefault="004008F6" w:rsidP="00787FCD">
            <w:pPr>
              <w:tabs>
                <w:tab w:val="left" w:pos="1701"/>
              </w:tabs>
              <w:rPr>
                <w:snapToGrid w:val="0"/>
              </w:rPr>
            </w:pPr>
          </w:p>
          <w:p w:rsidR="004008F6" w:rsidRDefault="004008F6" w:rsidP="00787FCD">
            <w:pPr>
              <w:tabs>
                <w:tab w:val="left" w:pos="1701"/>
              </w:tabs>
              <w:rPr>
                <w:snapToGrid w:val="0"/>
              </w:rPr>
            </w:pPr>
            <w:r>
              <w:rPr>
                <w:snapToGrid w:val="0"/>
              </w:rPr>
              <w:t xml:space="preserve">Underlaget utgjordes av dels kommissionens förslag till omarbetat direktiv om ett kombinerat tillstånd för arbete, </w:t>
            </w:r>
            <w:proofErr w:type="gramStart"/>
            <w:r>
              <w:rPr>
                <w:snapToGrid w:val="0"/>
              </w:rPr>
              <w:t>COM(</w:t>
            </w:r>
            <w:proofErr w:type="gramEnd"/>
            <w:r>
              <w:rPr>
                <w:snapToGrid w:val="0"/>
              </w:rPr>
              <w:t>2022) 655</w:t>
            </w:r>
            <w:r w:rsidR="00541DD9">
              <w:rPr>
                <w:snapToGrid w:val="0"/>
              </w:rPr>
              <w:t>,</w:t>
            </w:r>
            <w:r>
              <w:rPr>
                <w:snapToGrid w:val="0"/>
              </w:rPr>
              <w:t xml:space="preserve"> </w:t>
            </w:r>
            <w:r w:rsidR="00541DD9">
              <w:rPr>
                <w:snapToGrid w:val="0"/>
              </w:rPr>
              <w:t>och</w:t>
            </w:r>
            <w:r>
              <w:rPr>
                <w:snapToGrid w:val="0"/>
              </w:rPr>
              <w:t xml:space="preserve"> kommissionens meddelande om att locka kompetens och talang till EU, COM(2022) 657, dels regeringens faktapromemoria 2021/22:FPM:90.</w:t>
            </w:r>
          </w:p>
          <w:p w:rsidR="004008F6" w:rsidRDefault="004008F6" w:rsidP="00787FCD">
            <w:pPr>
              <w:tabs>
                <w:tab w:val="left" w:pos="1701"/>
              </w:tabs>
              <w:rPr>
                <w:snapToGrid w:val="0"/>
              </w:rPr>
            </w:pPr>
          </w:p>
          <w:p w:rsidR="004008F6" w:rsidRDefault="004008F6" w:rsidP="00787FCD">
            <w:pPr>
              <w:tabs>
                <w:tab w:val="left" w:pos="1701"/>
              </w:tabs>
              <w:rPr>
                <w:snapToGrid w:val="0"/>
              </w:rPr>
            </w:pPr>
            <w:r>
              <w:rPr>
                <w:snapToGrid w:val="0"/>
              </w:rPr>
              <w:t>Statsrådet redogjorde för regeringens ståndpunkt i enlighet med faktapromemorian:</w:t>
            </w:r>
          </w:p>
          <w:p w:rsidR="004008F6" w:rsidRPr="004008F6" w:rsidRDefault="004008F6" w:rsidP="004008F6">
            <w:pPr>
              <w:tabs>
                <w:tab w:val="left" w:pos="1701"/>
              </w:tabs>
              <w:ind w:left="422"/>
              <w:rPr>
                <w:snapToGrid w:val="0"/>
              </w:rPr>
            </w:pPr>
            <w:bookmarkStart w:id="0" w:name="_Hlk103686339"/>
            <w:r w:rsidRPr="004008F6">
              <w:rPr>
                <w:snapToGrid w:val="0"/>
              </w:rPr>
              <w:t>Regeringen ställer sig bakom det övergripande syftet att attrahera kompetens och talanger till EU. Flera av förslagen i meddelandet kan underlätta kompetensförsörjning och bidra till ett fördjupat samarbete på migrations</w:t>
            </w:r>
            <w:r w:rsidRPr="004008F6">
              <w:rPr>
                <w:snapToGrid w:val="0"/>
              </w:rPr>
              <w:softHyphen/>
              <w:t xml:space="preserve">området med prioriterade länder utanför EU, vilket är positivt. </w:t>
            </w:r>
          </w:p>
          <w:p w:rsidR="004008F6" w:rsidRPr="004008F6" w:rsidRDefault="004008F6" w:rsidP="004008F6">
            <w:pPr>
              <w:tabs>
                <w:tab w:val="left" w:pos="1701"/>
              </w:tabs>
              <w:ind w:left="422"/>
              <w:rPr>
                <w:snapToGrid w:val="0"/>
              </w:rPr>
            </w:pPr>
            <w:r w:rsidRPr="004008F6">
              <w:rPr>
                <w:snapToGrid w:val="0"/>
              </w:rPr>
              <w:t>När det gäller direktivförslaget delar regeringen kommissionens uppfattning att smidiga processer för tillstånd för arbete kan bidra till att attrahera kompetens och talanger till EU. Förslaget fokuserar på tillståndsprocessen men innebär samtidigt vissa begränsning av medlems</w:t>
            </w:r>
            <w:r w:rsidRPr="004008F6">
              <w:rPr>
                <w:snapToGrid w:val="0"/>
              </w:rPr>
              <w:softHyphen/>
              <w:t>staternas möjligheter att på egen hand avgöra hur nationella regelverk för arbetskraftsinvandring ska utformas, vilket regeringen har invändningar emot. Sverige ska därför i förhandlingarna verka för smidiga processer och att medlemsstaterna ska kunna utforma regelverk för arbetskraftsinvandring som möter behoven i den egna medlemsstaten. Det är också viktigt för regeringen att medlems</w:t>
            </w:r>
            <w:r w:rsidRPr="004008F6">
              <w:rPr>
                <w:snapToGrid w:val="0"/>
              </w:rPr>
              <w:softHyphen/>
              <w:t>staterna har möjlighet att tillämpa arbets</w:t>
            </w:r>
            <w:r w:rsidRPr="004008F6">
              <w:rPr>
                <w:snapToGrid w:val="0"/>
              </w:rPr>
              <w:softHyphen/>
              <w:t>marknads</w:t>
            </w:r>
            <w:r w:rsidRPr="004008F6">
              <w:rPr>
                <w:snapToGrid w:val="0"/>
              </w:rPr>
              <w:softHyphen/>
              <w:t>prövning och kan ställa krav på anställnings</w:t>
            </w:r>
            <w:r w:rsidRPr="004008F6">
              <w:rPr>
                <w:snapToGrid w:val="0"/>
              </w:rPr>
              <w:softHyphen/>
              <w:t>villkor i nivå med kollektivavtal eller branschpraxis vid arbets</w:t>
            </w:r>
            <w:r w:rsidRPr="004008F6">
              <w:rPr>
                <w:snapToGrid w:val="0"/>
              </w:rPr>
              <w:softHyphen/>
              <w:t>krafts</w:t>
            </w:r>
            <w:r w:rsidRPr="004008F6">
              <w:rPr>
                <w:snapToGrid w:val="0"/>
              </w:rPr>
              <w:softHyphen/>
              <w:t xml:space="preserve">invandring. </w:t>
            </w:r>
            <w:r w:rsidRPr="004008F6">
              <w:rPr>
                <w:snapToGrid w:val="0"/>
              </w:rPr>
              <w:lastRenderedPageBreak/>
              <w:t xml:space="preserve">Arbetskraftsinvandring ska bidra till att möta företagens behov av kvalificerad arbetskraft, utan att leda till lönedumpning eller att inhemsk arbetskraft konkurreras ut. </w:t>
            </w:r>
          </w:p>
          <w:p w:rsidR="004008F6" w:rsidRPr="004008F6" w:rsidRDefault="004008F6" w:rsidP="004008F6">
            <w:pPr>
              <w:tabs>
                <w:tab w:val="left" w:pos="1701"/>
              </w:tabs>
              <w:ind w:left="422"/>
              <w:rPr>
                <w:snapToGrid w:val="0"/>
              </w:rPr>
            </w:pPr>
            <w:r w:rsidRPr="004008F6">
              <w:rPr>
                <w:snapToGrid w:val="0"/>
              </w:rPr>
              <w:t>Att motverka att utländska arbetstagare exploateras är en högt prioriterad fråga för regeringen. Sanktioner mot arbetsgivare och kontrollåtgärder av olika slag hanteras dock bäst på nationell nivå. Det är viktigt att direktivet respekterar medlemsstaternas olika arbetsmarknadsmodeller och arbetsmarknadens parters autonomi.</w:t>
            </w:r>
          </w:p>
          <w:p w:rsidR="004008F6" w:rsidRPr="004008F6" w:rsidRDefault="004008F6" w:rsidP="004008F6">
            <w:pPr>
              <w:tabs>
                <w:tab w:val="left" w:pos="1701"/>
              </w:tabs>
              <w:ind w:left="422"/>
              <w:rPr>
                <w:snapToGrid w:val="0"/>
              </w:rPr>
            </w:pPr>
            <w:r w:rsidRPr="004008F6">
              <w:rPr>
                <w:snapToGrid w:val="0"/>
              </w:rPr>
              <w:t xml:space="preserve">Det är en utgångspunkt i svensk migrationspolitik att uppehålls- och arbetstillstånd ska vara beviljat innan en person reser in i Sverige. Kommissionens förslag innebär ett avsteg från den huvudregeln som behöver analyseras närmare. </w:t>
            </w:r>
          </w:p>
          <w:bookmarkEnd w:id="0"/>
          <w:p w:rsidR="004008F6" w:rsidRDefault="004008F6" w:rsidP="00787FCD">
            <w:pPr>
              <w:tabs>
                <w:tab w:val="left" w:pos="1701"/>
              </w:tabs>
              <w:rPr>
                <w:snapToGrid w:val="0"/>
              </w:rPr>
            </w:pPr>
          </w:p>
          <w:p w:rsidR="004008F6" w:rsidRPr="00870736" w:rsidRDefault="004008F6" w:rsidP="00787FCD">
            <w:pPr>
              <w:tabs>
                <w:tab w:val="left" w:pos="1701"/>
              </w:tabs>
              <w:rPr>
                <w:snapToGrid w:val="0"/>
              </w:rPr>
            </w:pPr>
            <w:r>
              <w:rPr>
                <w:snapToGrid w:val="0"/>
              </w:rPr>
              <w:t xml:space="preserve">Ordföranden konstaterade att det fanns stöd för regeringens ståndpunkt. </w:t>
            </w:r>
          </w:p>
        </w:tc>
      </w:tr>
      <w:tr w:rsidR="00787FCD" w:rsidRPr="007A327C" w:rsidTr="00F5133A">
        <w:tc>
          <w:tcPr>
            <w:tcW w:w="567" w:type="dxa"/>
          </w:tcPr>
          <w:p w:rsidR="00787FCD" w:rsidRPr="007A327C" w:rsidRDefault="00787FCD" w:rsidP="00705A0F">
            <w:pPr>
              <w:tabs>
                <w:tab w:val="left" w:pos="1701"/>
              </w:tabs>
              <w:rPr>
                <w:b/>
                <w:snapToGrid w:val="0"/>
              </w:rPr>
            </w:pPr>
          </w:p>
        </w:tc>
        <w:tc>
          <w:tcPr>
            <w:tcW w:w="6946" w:type="dxa"/>
            <w:gridSpan w:val="2"/>
          </w:tcPr>
          <w:p w:rsidR="00787FCD" w:rsidRPr="004C59D1" w:rsidRDefault="00787FCD" w:rsidP="00705A0F">
            <w:pPr>
              <w:tabs>
                <w:tab w:val="left" w:pos="1701"/>
              </w:tabs>
              <w:rPr>
                <w:snapToGrid w:val="0"/>
              </w:rPr>
            </w:pPr>
          </w:p>
        </w:tc>
      </w:tr>
      <w:tr w:rsidR="00ED3A91" w:rsidRPr="007A327C" w:rsidTr="00F5133A">
        <w:tc>
          <w:tcPr>
            <w:tcW w:w="567" w:type="dxa"/>
          </w:tcPr>
          <w:p w:rsidR="00ED3A91" w:rsidRPr="007A327C" w:rsidRDefault="00ED3A91" w:rsidP="00705A0F">
            <w:pPr>
              <w:tabs>
                <w:tab w:val="left" w:pos="1701"/>
              </w:tabs>
              <w:rPr>
                <w:b/>
                <w:snapToGrid w:val="0"/>
              </w:rPr>
            </w:pPr>
            <w:r>
              <w:rPr>
                <w:b/>
                <w:snapToGrid w:val="0"/>
              </w:rPr>
              <w:t>§ 3</w:t>
            </w:r>
          </w:p>
        </w:tc>
        <w:tc>
          <w:tcPr>
            <w:tcW w:w="6946" w:type="dxa"/>
            <w:gridSpan w:val="2"/>
          </w:tcPr>
          <w:p w:rsidR="00ED3A91" w:rsidRDefault="004008F6" w:rsidP="00705A0F">
            <w:pPr>
              <w:tabs>
                <w:tab w:val="left" w:pos="1701"/>
              </w:tabs>
              <w:rPr>
                <w:b/>
                <w:snapToGrid w:val="0"/>
              </w:rPr>
            </w:pPr>
            <w:r>
              <w:rPr>
                <w:b/>
                <w:snapToGrid w:val="0"/>
              </w:rPr>
              <w:t>Reviderat direktiv om varaktigt bosatta tredjelandsmedborgares ställning</w:t>
            </w:r>
          </w:p>
          <w:p w:rsidR="00ED3A91" w:rsidRDefault="00ED3A91" w:rsidP="00705A0F">
            <w:pPr>
              <w:tabs>
                <w:tab w:val="left" w:pos="1701"/>
              </w:tabs>
              <w:rPr>
                <w:b/>
                <w:snapToGrid w:val="0"/>
              </w:rPr>
            </w:pPr>
          </w:p>
          <w:p w:rsidR="00ED3A91" w:rsidRDefault="00ED3A91" w:rsidP="00705A0F">
            <w:pPr>
              <w:tabs>
                <w:tab w:val="left" w:pos="1701"/>
              </w:tabs>
              <w:rPr>
                <w:snapToGrid w:val="0"/>
              </w:rPr>
            </w:pPr>
            <w:r>
              <w:rPr>
                <w:snapToGrid w:val="0"/>
              </w:rPr>
              <w:t xml:space="preserve">Utskottet överlade med regeringen, statsrådet Anders </w:t>
            </w:r>
            <w:proofErr w:type="spellStart"/>
            <w:r>
              <w:rPr>
                <w:snapToGrid w:val="0"/>
              </w:rPr>
              <w:t>Ygeman</w:t>
            </w:r>
            <w:proofErr w:type="spellEnd"/>
            <w:r>
              <w:rPr>
                <w:snapToGrid w:val="0"/>
              </w:rPr>
              <w:t>, biträdd av medarbetare från Justitiedepartementet.</w:t>
            </w:r>
          </w:p>
          <w:p w:rsidR="00ED3A91" w:rsidRDefault="00ED3A91" w:rsidP="00705A0F">
            <w:pPr>
              <w:tabs>
                <w:tab w:val="left" w:pos="1701"/>
              </w:tabs>
              <w:rPr>
                <w:snapToGrid w:val="0"/>
              </w:rPr>
            </w:pPr>
          </w:p>
          <w:p w:rsidR="004008F6" w:rsidRDefault="004008F6" w:rsidP="004008F6">
            <w:pPr>
              <w:tabs>
                <w:tab w:val="left" w:pos="1701"/>
              </w:tabs>
              <w:rPr>
                <w:snapToGrid w:val="0"/>
              </w:rPr>
            </w:pPr>
            <w:r>
              <w:rPr>
                <w:snapToGrid w:val="0"/>
              </w:rPr>
              <w:t xml:space="preserve">Underlaget utgjordes av dels kommissionens förslag till omarbetat direktiv om varaktigt bosatta tredjelandsmedborgares ställning, </w:t>
            </w:r>
            <w:proofErr w:type="gramStart"/>
            <w:r>
              <w:rPr>
                <w:snapToGrid w:val="0"/>
              </w:rPr>
              <w:t>COM(</w:t>
            </w:r>
            <w:proofErr w:type="gramEnd"/>
            <w:r>
              <w:rPr>
                <w:snapToGrid w:val="0"/>
              </w:rPr>
              <w:t>2022) 650, dels regeringens faktapromemoria 2021/22:FPM:91.</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 xml:space="preserve">Överläggningen motiverade statsrådet att göra </w:t>
            </w:r>
            <w:r w:rsidR="00541DD9">
              <w:rPr>
                <w:snapToGrid w:val="0"/>
              </w:rPr>
              <w:t>ett tillägg (kursiverat)</w:t>
            </w:r>
            <w:r>
              <w:rPr>
                <w:snapToGrid w:val="0"/>
              </w:rPr>
              <w:t xml:space="preserve"> till ståndpunkten:</w:t>
            </w:r>
          </w:p>
          <w:p w:rsidR="004008F6" w:rsidRPr="004008F6" w:rsidRDefault="004008F6" w:rsidP="004008F6">
            <w:pPr>
              <w:tabs>
                <w:tab w:val="left" w:pos="1701"/>
              </w:tabs>
              <w:ind w:left="422"/>
              <w:rPr>
                <w:snapToGrid w:val="0"/>
              </w:rPr>
            </w:pPr>
            <w:r w:rsidRPr="004008F6">
              <w:rPr>
                <w:snapToGrid w:val="0"/>
              </w:rPr>
              <w:t>Regeringen ser positivt på förslagets syfte att förbättra balansen på arbetsmarknaden och öka EU:s attraktivitet för kvalificerad arbetskraft. Regeringen understryker vikten av ett ömsesidigt gynnande samarbete med tredjeländer och anser att kommissionens förslag bör ses som en utveckling av lagliga och säkra vägar att migrera till EU för att arbeta. Förslaget torde därför motverka incitament till irreguljär migration. Regeringen välkomnar förslaget att stärka familjemedlemmars ställning eftersom detta kan förväntas gynna integrationen i samhället.</w:t>
            </w:r>
          </w:p>
          <w:p w:rsidR="004008F6" w:rsidRPr="004008F6" w:rsidRDefault="004008F6" w:rsidP="004008F6">
            <w:pPr>
              <w:tabs>
                <w:tab w:val="left" w:pos="1701"/>
              </w:tabs>
              <w:ind w:left="422"/>
              <w:rPr>
                <w:snapToGrid w:val="0"/>
              </w:rPr>
            </w:pPr>
            <w:r w:rsidRPr="004008F6">
              <w:rPr>
                <w:snapToGrid w:val="0"/>
              </w:rPr>
              <w:t xml:space="preserve">Förslaget behöver dock analyseras ytterligare. Regeringen har invändningar mot delar av förslaget som kan riskera att bidra till lönedumpning, utnyttjande av arbetskraftsinvandrare eller till en orimlig belastning på de sociala välfärdssystemen. Det bör därför finnas rimliga krav för att personer ska anses som varaktigt bosatta, </w:t>
            </w:r>
            <w:r w:rsidRPr="004008F6">
              <w:rPr>
                <w:i/>
                <w:snapToGrid w:val="0"/>
              </w:rPr>
              <w:t xml:space="preserve">t.ex. ska kravet på försörjning inte ska kunna uppfyllas genom bidrag. </w:t>
            </w:r>
            <w:r w:rsidRPr="004008F6">
              <w:rPr>
                <w:snapToGrid w:val="0"/>
              </w:rPr>
              <w:t>Regeringen stödjer ökade möjligheter för rörlighet inom unionen under förutsättning att detta bidrar till att möta efterfrågan på arbetskraft i bristyrken och till en bättre balans på arbetsmarknaden.</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Ordföranden konstaterade att det fanns stöd för regeringens ståndpunkt.</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SD-ledamöterna anmälde följande avvikande ståndpunkt:</w:t>
            </w:r>
          </w:p>
          <w:p w:rsidR="00ED3A91" w:rsidRPr="00ED3A91" w:rsidRDefault="004008F6" w:rsidP="002862C6">
            <w:pPr>
              <w:tabs>
                <w:tab w:val="left" w:pos="1701"/>
              </w:tabs>
              <w:ind w:left="422"/>
              <w:rPr>
                <w:snapToGrid w:val="0"/>
              </w:rPr>
            </w:pPr>
            <w:r w:rsidRPr="004008F6">
              <w:rPr>
                <w:snapToGrid w:val="0"/>
              </w:rPr>
              <w:lastRenderedPageBreak/>
              <w:t xml:space="preserve">Reglerna om varaktigt bosatta tredjelandsmedborgares ställning utgör redan i dag ett alldeles för stort ingrepp i medlemsstaternas förutsättningar att reglera sin egen migrationspolitik. Principen att det ska vara möjligt att få ett uppehållstillstånd i ett medlemsland genom att spendera tid i ett annat medlemsland är helt enkelt inte rimlig. Förslaget till reviderat regelverk innehåller ytterligare försämringar och inskränkningar i medlemsstaternas suveränitet vilket riskerar att leda till mer låglönekonkurrens och otillbörligt utnyttjande av våra välfärdsystem. Regeringen bör redan på detta tidiga stadium motsätta sig förslaget. </w:t>
            </w:r>
          </w:p>
        </w:tc>
      </w:tr>
      <w:tr w:rsidR="00ED3A91" w:rsidRPr="007A327C" w:rsidTr="00F5133A">
        <w:tc>
          <w:tcPr>
            <w:tcW w:w="567" w:type="dxa"/>
          </w:tcPr>
          <w:p w:rsidR="00ED3A91" w:rsidRPr="007A327C" w:rsidRDefault="00ED3A91" w:rsidP="00705A0F">
            <w:pPr>
              <w:tabs>
                <w:tab w:val="left" w:pos="1701"/>
              </w:tabs>
              <w:rPr>
                <w:b/>
                <w:snapToGrid w:val="0"/>
              </w:rPr>
            </w:pPr>
          </w:p>
        </w:tc>
        <w:tc>
          <w:tcPr>
            <w:tcW w:w="6946" w:type="dxa"/>
            <w:gridSpan w:val="2"/>
          </w:tcPr>
          <w:p w:rsidR="00ED3A91" w:rsidRPr="004C59D1" w:rsidRDefault="00ED3A91" w:rsidP="00705A0F">
            <w:pPr>
              <w:tabs>
                <w:tab w:val="left" w:pos="1701"/>
              </w:tabs>
              <w:rPr>
                <w:snapToGrid w:val="0"/>
              </w:rPr>
            </w:pPr>
          </w:p>
        </w:tc>
      </w:tr>
      <w:tr w:rsidR="00ED3A91" w:rsidRPr="007A327C" w:rsidTr="00F5133A">
        <w:tc>
          <w:tcPr>
            <w:tcW w:w="567" w:type="dxa"/>
          </w:tcPr>
          <w:p w:rsidR="00ED3A91" w:rsidRPr="007A327C" w:rsidRDefault="00ED3A91" w:rsidP="00705A0F">
            <w:pPr>
              <w:tabs>
                <w:tab w:val="left" w:pos="1701"/>
              </w:tabs>
              <w:rPr>
                <w:b/>
                <w:snapToGrid w:val="0"/>
              </w:rPr>
            </w:pPr>
            <w:r>
              <w:rPr>
                <w:b/>
                <w:snapToGrid w:val="0"/>
              </w:rPr>
              <w:t>§ 4</w:t>
            </w:r>
          </w:p>
        </w:tc>
        <w:tc>
          <w:tcPr>
            <w:tcW w:w="6946" w:type="dxa"/>
            <w:gridSpan w:val="2"/>
          </w:tcPr>
          <w:p w:rsidR="00ED3A91" w:rsidRDefault="004008F6" w:rsidP="00705A0F">
            <w:pPr>
              <w:tabs>
                <w:tab w:val="left" w:pos="1701"/>
              </w:tabs>
              <w:rPr>
                <w:b/>
                <w:snapToGrid w:val="0"/>
              </w:rPr>
            </w:pPr>
            <w:r w:rsidRPr="00465D6F">
              <w:rPr>
                <w:b/>
                <w:bCs/>
                <w:color w:val="000000"/>
                <w:szCs w:val="24"/>
              </w:rPr>
              <w:t>Direktiv om ett kombinerat tillstånd för arbete</w:t>
            </w:r>
            <w:r>
              <w:rPr>
                <w:b/>
                <w:snapToGrid w:val="0"/>
              </w:rPr>
              <w:t xml:space="preserve"> </w:t>
            </w:r>
          </w:p>
          <w:p w:rsidR="004008F6" w:rsidRDefault="004008F6" w:rsidP="00705A0F">
            <w:pPr>
              <w:tabs>
                <w:tab w:val="left" w:pos="1701"/>
              </w:tabs>
              <w:rPr>
                <w:b/>
                <w:snapToGrid w:val="0"/>
              </w:rPr>
            </w:pPr>
          </w:p>
          <w:p w:rsidR="004008F6" w:rsidRDefault="004008F6" w:rsidP="004008F6">
            <w:pPr>
              <w:tabs>
                <w:tab w:val="left" w:pos="1701"/>
              </w:tabs>
              <w:rPr>
                <w:snapToGrid w:val="0"/>
              </w:rPr>
            </w:pPr>
            <w:r>
              <w:rPr>
                <w:snapToGrid w:val="0"/>
              </w:rPr>
              <w:t xml:space="preserve">Utskottet inledde subsidiaritetsprövning av </w:t>
            </w:r>
            <w:proofErr w:type="gramStart"/>
            <w:r>
              <w:rPr>
                <w:snapToGrid w:val="0"/>
              </w:rPr>
              <w:t>COM(</w:t>
            </w:r>
            <w:proofErr w:type="gramEnd"/>
            <w:r>
              <w:rPr>
                <w:snapToGrid w:val="0"/>
              </w:rPr>
              <w:t>2022) 655.</w:t>
            </w:r>
          </w:p>
          <w:p w:rsidR="004008F6" w:rsidRDefault="004008F6" w:rsidP="004008F6">
            <w:pPr>
              <w:tabs>
                <w:tab w:val="left" w:pos="1701"/>
              </w:tabs>
              <w:rPr>
                <w:snapToGrid w:val="0"/>
              </w:rPr>
            </w:pPr>
          </w:p>
          <w:p w:rsidR="004008F6" w:rsidRDefault="004008F6" w:rsidP="004008F6">
            <w:pPr>
              <w:rPr>
                <w:sz w:val="22"/>
              </w:rPr>
            </w:pPr>
            <w:r>
              <w:t>Under förutsättning att förslaget kommer att hänvisas till utskottet under innevarande valperiod för subsidiaritetsprövning beslutade utskottet att meddela att förslaget inte strider mot subsidiaritetsprincipen.</w:t>
            </w:r>
          </w:p>
          <w:p w:rsidR="004008F6" w:rsidRDefault="004008F6" w:rsidP="004008F6">
            <w:pPr>
              <w:tabs>
                <w:tab w:val="left" w:pos="1701"/>
              </w:tabs>
              <w:rPr>
                <w:snapToGrid w:val="0"/>
              </w:rPr>
            </w:pPr>
          </w:p>
          <w:p w:rsidR="002B1D59" w:rsidRDefault="002B1D59" w:rsidP="002B1D59">
            <w:pPr>
              <w:tabs>
                <w:tab w:val="left" w:pos="1701"/>
              </w:tabs>
            </w:pPr>
            <w:r w:rsidRPr="003B1984">
              <w:t xml:space="preserve">SD-ledamöterna </w:t>
            </w:r>
            <w:r>
              <w:t xml:space="preserve">reserverade sig och </w:t>
            </w:r>
            <w:r w:rsidRPr="003B1984">
              <w:t xml:space="preserve">anmälde att de </w:t>
            </w:r>
            <w:r>
              <w:t>ansåg</w:t>
            </w:r>
            <w:r w:rsidRPr="003B1984">
              <w:t xml:space="preserve"> att förslaget strider mot subsidiaritetsprincipen.</w:t>
            </w:r>
          </w:p>
          <w:p w:rsidR="004008F6" w:rsidRPr="003B1984" w:rsidRDefault="004008F6" w:rsidP="004008F6">
            <w:pPr>
              <w:tabs>
                <w:tab w:val="left" w:pos="1701"/>
              </w:tabs>
            </w:pPr>
          </w:p>
          <w:p w:rsidR="00ED3A91" w:rsidRPr="00ED3A91" w:rsidRDefault="004008F6" w:rsidP="004008F6">
            <w:pPr>
              <w:tabs>
                <w:tab w:val="left" w:pos="1701"/>
              </w:tabs>
              <w:rPr>
                <w:b/>
                <w:snapToGrid w:val="0"/>
              </w:rPr>
            </w:pPr>
            <w:r>
              <w:rPr>
                <w:snapToGrid w:val="0"/>
              </w:rPr>
              <w:t>Denna paragraf förklarades omedelbart justerad.</w:t>
            </w:r>
          </w:p>
        </w:tc>
      </w:tr>
      <w:tr w:rsidR="00ED3A91" w:rsidRPr="007A327C" w:rsidTr="00F5133A">
        <w:tc>
          <w:tcPr>
            <w:tcW w:w="567" w:type="dxa"/>
          </w:tcPr>
          <w:p w:rsidR="00ED3A91" w:rsidRPr="007A327C" w:rsidRDefault="00ED3A91" w:rsidP="00705A0F">
            <w:pPr>
              <w:tabs>
                <w:tab w:val="left" w:pos="1701"/>
              </w:tabs>
              <w:rPr>
                <w:b/>
                <w:snapToGrid w:val="0"/>
              </w:rPr>
            </w:pPr>
          </w:p>
        </w:tc>
        <w:tc>
          <w:tcPr>
            <w:tcW w:w="6946" w:type="dxa"/>
            <w:gridSpan w:val="2"/>
          </w:tcPr>
          <w:p w:rsidR="00ED3A91" w:rsidRPr="004C59D1" w:rsidRDefault="00ED3A91" w:rsidP="00705A0F">
            <w:pPr>
              <w:tabs>
                <w:tab w:val="left" w:pos="1701"/>
              </w:tabs>
              <w:rPr>
                <w:snapToGrid w:val="0"/>
              </w:rPr>
            </w:pPr>
          </w:p>
        </w:tc>
      </w:tr>
      <w:tr w:rsidR="004008F6" w:rsidRPr="007A327C" w:rsidTr="00F5133A">
        <w:tc>
          <w:tcPr>
            <w:tcW w:w="567" w:type="dxa"/>
          </w:tcPr>
          <w:p w:rsidR="004008F6" w:rsidRPr="007A327C" w:rsidRDefault="004008F6" w:rsidP="004008F6">
            <w:pPr>
              <w:tabs>
                <w:tab w:val="left" w:pos="1701"/>
              </w:tabs>
              <w:rPr>
                <w:b/>
                <w:snapToGrid w:val="0"/>
              </w:rPr>
            </w:pPr>
            <w:r>
              <w:rPr>
                <w:b/>
                <w:snapToGrid w:val="0"/>
              </w:rPr>
              <w:t>§ 5</w:t>
            </w:r>
          </w:p>
        </w:tc>
        <w:tc>
          <w:tcPr>
            <w:tcW w:w="6946" w:type="dxa"/>
            <w:gridSpan w:val="2"/>
          </w:tcPr>
          <w:p w:rsidR="004008F6" w:rsidRDefault="004008F6" w:rsidP="004008F6">
            <w:pPr>
              <w:tabs>
                <w:tab w:val="left" w:pos="1701"/>
              </w:tabs>
              <w:rPr>
                <w:b/>
                <w:snapToGrid w:val="0"/>
              </w:rPr>
            </w:pPr>
            <w:r>
              <w:rPr>
                <w:b/>
                <w:snapToGrid w:val="0"/>
              </w:rPr>
              <w:t>Åtgärder för en jämnare fördelning av boende för vissa skyddsbehövande (SfU31)</w:t>
            </w:r>
          </w:p>
          <w:p w:rsidR="004008F6" w:rsidRDefault="004008F6" w:rsidP="004008F6">
            <w:pPr>
              <w:tabs>
                <w:tab w:val="left" w:pos="1701"/>
              </w:tabs>
              <w:rPr>
                <w:b/>
                <w:snapToGrid w:val="0"/>
              </w:rPr>
            </w:pPr>
          </w:p>
          <w:p w:rsidR="004008F6" w:rsidRDefault="004008F6" w:rsidP="004008F6">
            <w:pPr>
              <w:tabs>
                <w:tab w:val="left" w:pos="1701"/>
              </w:tabs>
              <w:rPr>
                <w:snapToGrid w:val="0"/>
              </w:rPr>
            </w:pPr>
            <w:r>
              <w:rPr>
                <w:snapToGrid w:val="0"/>
              </w:rPr>
              <w:t xml:space="preserve">Utskottet fortsatte behandlingen av </w:t>
            </w:r>
            <w:r w:rsidRPr="00C75186">
              <w:rPr>
                <w:snapToGrid w:val="0"/>
              </w:rPr>
              <w:t>proposition 2021/22:</w:t>
            </w:r>
            <w:r>
              <w:rPr>
                <w:snapToGrid w:val="0"/>
              </w:rPr>
              <w:t>250</w:t>
            </w:r>
            <w:r w:rsidRPr="00C75186">
              <w:rPr>
                <w:snapToGrid w:val="0"/>
              </w:rPr>
              <w:t xml:space="preserve"> och följd</w:t>
            </w:r>
            <w:r>
              <w:rPr>
                <w:snapToGrid w:val="0"/>
              </w:rPr>
              <w:t>motioner.</w:t>
            </w:r>
          </w:p>
          <w:p w:rsidR="004008F6" w:rsidRDefault="004008F6" w:rsidP="004008F6">
            <w:pPr>
              <w:tabs>
                <w:tab w:val="left" w:pos="1701"/>
              </w:tabs>
              <w:rPr>
                <w:snapToGrid w:val="0"/>
              </w:rPr>
            </w:pPr>
          </w:p>
          <w:p w:rsidR="004008F6" w:rsidRPr="00870736" w:rsidRDefault="004008F6" w:rsidP="004008F6">
            <w:pPr>
              <w:tabs>
                <w:tab w:val="left" w:pos="1701"/>
              </w:tabs>
              <w:rPr>
                <w:snapToGrid w:val="0"/>
              </w:rPr>
            </w:pPr>
            <w:r>
              <w:rPr>
                <w:snapToGrid w:val="0"/>
              </w:rPr>
              <w:t>Ärendet bordlades.</w:t>
            </w:r>
          </w:p>
        </w:tc>
      </w:tr>
      <w:tr w:rsidR="00ED3A91" w:rsidRPr="007A327C" w:rsidTr="00F5133A">
        <w:tc>
          <w:tcPr>
            <w:tcW w:w="567" w:type="dxa"/>
          </w:tcPr>
          <w:p w:rsidR="00ED3A91" w:rsidRPr="007A327C" w:rsidRDefault="00ED3A91" w:rsidP="00705A0F">
            <w:pPr>
              <w:tabs>
                <w:tab w:val="left" w:pos="1701"/>
              </w:tabs>
              <w:rPr>
                <w:b/>
                <w:snapToGrid w:val="0"/>
              </w:rPr>
            </w:pPr>
          </w:p>
        </w:tc>
        <w:tc>
          <w:tcPr>
            <w:tcW w:w="6946" w:type="dxa"/>
            <w:gridSpan w:val="2"/>
          </w:tcPr>
          <w:p w:rsidR="00ED3A91" w:rsidRPr="004C59D1" w:rsidRDefault="00ED3A91" w:rsidP="00705A0F">
            <w:pPr>
              <w:tabs>
                <w:tab w:val="left" w:pos="1701"/>
              </w:tabs>
              <w:rPr>
                <w:snapToGrid w:val="0"/>
              </w:rPr>
            </w:pPr>
          </w:p>
        </w:tc>
      </w:tr>
      <w:tr w:rsidR="00ED3A91" w:rsidRPr="007A327C" w:rsidTr="00F5133A">
        <w:tc>
          <w:tcPr>
            <w:tcW w:w="567" w:type="dxa"/>
          </w:tcPr>
          <w:p w:rsidR="00ED3A91" w:rsidRPr="007A327C" w:rsidRDefault="00ED3A91" w:rsidP="00705A0F">
            <w:pPr>
              <w:tabs>
                <w:tab w:val="left" w:pos="1701"/>
              </w:tabs>
              <w:rPr>
                <w:b/>
                <w:snapToGrid w:val="0"/>
              </w:rPr>
            </w:pPr>
            <w:r>
              <w:rPr>
                <w:b/>
                <w:snapToGrid w:val="0"/>
              </w:rPr>
              <w:t>§ 6</w:t>
            </w:r>
          </w:p>
        </w:tc>
        <w:tc>
          <w:tcPr>
            <w:tcW w:w="6946" w:type="dxa"/>
            <w:gridSpan w:val="2"/>
          </w:tcPr>
          <w:p w:rsidR="004008F6" w:rsidRPr="004008F6" w:rsidRDefault="004008F6" w:rsidP="004008F6">
            <w:pPr>
              <w:tabs>
                <w:tab w:val="left" w:pos="1701"/>
              </w:tabs>
              <w:rPr>
                <w:b/>
                <w:snapToGrid w:val="0"/>
              </w:rPr>
            </w:pPr>
            <w:r w:rsidRPr="004008F6">
              <w:rPr>
                <w:b/>
                <w:snapToGrid w:val="0"/>
              </w:rPr>
              <w:t>Fråga om utskottsinitiativ om dagersättning för asylsökande och ensamkommande barn</w:t>
            </w:r>
          </w:p>
          <w:p w:rsidR="004008F6" w:rsidRP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Utskottet fortsatte behandlingen av frågan om ett initiativ om dagersättning för asylsökande och ensamkommande barn.</w:t>
            </w:r>
          </w:p>
          <w:p w:rsidR="004008F6" w:rsidRDefault="004008F6" w:rsidP="004008F6">
            <w:pPr>
              <w:tabs>
                <w:tab w:val="left" w:pos="1701"/>
              </w:tabs>
              <w:rPr>
                <w:snapToGrid w:val="0"/>
              </w:rPr>
            </w:pPr>
          </w:p>
          <w:p w:rsidR="004008F6" w:rsidRPr="004008F6" w:rsidRDefault="004008F6" w:rsidP="004008F6">
            <w:pPr>
              <w:tabs>
                <w:tab w:val="left" w:pos="1701"/>
              </w:tabs>
              <w:rPr>
                <w:snapToGrid w:val="0"/>
              </w:rPr>
            </w:pPr>
            <w:r w:rsidRPr="004008F6">
              <w:rPr>
                <w:snapToGrid w:val="0"/>
              </w:rPr>
              <w:t>Utskottet beslutade att inte ta något initiativ.</w:t>
            </w:r>
            <w:r w:rsidRPr="004008F6">
              <w:rPr>
                <w:snapToGrid w:val="0"/>
              </w:rPr>
              <w:br/>
              <w:t xml:space="preserve">Mot beslutet reserverade sig </w:t>
            </w:r>
            <w:r>
              <w:rPr>
                <w:snapToGrid w:val="0"/>
              </w:rPr>
              <w:t>V</w:t>
            </w:r>
            <w:r w:rsidRPr="004008F6">
              <w:rPr>
                <w:snapToGrid w:val="0"/>
              </w:rPr>
              <w:t>-ledamoten och ansåg att utskottet borde ha inlett ett beredningsarbete i syfte att kunna ta ett initiativ i frågan.</w:t>
            </w:r>
          </w:p>
          <w:p w:rsidR="004008F6" w:rsidRPr="004008F6" w:rsidRDefault="004008F6" w:rsidP="004008F6">
            <w:pPr>
              <w:tabs>
                <w:tab w:val="left" w:pos="1701"/>
              </w:tabs>
              <w:rPr>
                <w:snapToGrid w:val="0"/>
              </w:rPr>
            </w:pPr>
          </w:p>
          <w:p w:rsidR="00ED3A91" w:rsidRPr="004C59D1" w:rsidRDefault="004008F6" w:rsidP="002862C6">
            <w:pPr>
              <w:tabs>
                <w:tab w:val="left" w:pos="1701"/>
              </w:tabs>
              <w:rPr>
                <w:snapToGrid w:val="0"/>
              </w:rPr>
            </w:pPr>
            <w:r w:rsidRPr="004008F6">
              <w:rPr>
                <w:snapToGrid w:val="0"/>
              </w:rPr>
              <w:t>Denna paragraf förklarades omedelbart justerad.</w:t>
            </w:r>
          </w:p>
        </w:tc>
      </w:tr>
      <w:tr w:rsidR="002862C6" w:rsidRPr="007A327C" w:rsidTr="00F5133A">
        <w:tc>
          <w:tcPr>
            <w:tcW w:w="567" w:type="dxa"/>
          </w:tcPr>
          <w:p w:rsidR="002862C6" w:rsidRDefault="002862C6" w:rsidP="00705A0F">
            <w:pPr>
              <w:tabs>
                <w:tab w:val="left" w:pos="1701"/>
              </w:tabs>
              <w:rPr>
                <w:b/>
                <w:snapToGrid w:val="0"/>
              </w:rPr>
            </w:pPr>
          </w:p>
        </w:tc>
        <w:tc>
          <w:tcPr>
            <w:tcW w:w="6946" w:type="dxa"/>
            <w:gridSpan w:val="2"/>
          </w:tcPr>
          <w:p w:rsidR="002862C6" w:rsidRPr="004008F6" w:rsidRDefault="002862C6" w:rsidP="004008F6">
            <w:pPr>
              <w:tabs>
                <w:tab w:val="left" w:pos="1701"/>
              </w:tabs>
              <w:rPr>
                <w:b/>
                <w:snapToGrid w:val="0"/>
              </w:rPr>
            </w:pPr>
          </w:p>
        </w:tc>
      </w:tr>
      <w:tr w:rsidR="00ED3A91" w:rsidRPr="007A327C" w:rsidTr="00F5133A">
        <w:tc>
          <w:tcPr>
            <w:tcW w:w="567" w:type="dxa"/>
          </w:tcPr>
          <w:p w:rsidR="00ED3A91" w:rsidRPr="007A327C" w:rsidRDefault="00ED3A91" w:rsidP="00705A0F">
            <w:pPr>
              <w:tabs>
                <w:tab w:val="left" w:pos="1701"/>
              </w:tabs>
              <w:rPr>
                <w:b/>
                <w:snapToGrid w:val="0"/>
              </w:rPr>
            </w:pPr>
            <w:r>
              <w:rPr>
                <w:b/>
                <w:snapToGrid w:val="0"/>
              </w:rPr>
              <w:t>§ 7</w:t>
            </w:r>
          </w:p>
        </w:tc>
        <w:tc>
          <w:tcPr>
            <w:tcW w:w="6946" w:type="dxa"/>
            <w:gridSpan w:val="2"/>
          </w:tcPr>
          <w:p w:rsidR="00ED3A91" w:rsidRDefault="004008F6" w:rsidP="00705A0F">
            <w:pPr>
              <w:tabs>
                <w:tab w:val="left" w:pos="1701"/>
              </w:tabs>
              <w:rPr>
                <w:b/>
                <w:snapToGrid w:val="0"/>
              </w:rPr>
            </w:pPr>
            <w:r>
              <w:rPr>
                <w:b/>
                <w:snapToGrid w:val="0"/>
              </w:rPr>
              <w:t>Viseringsfrihet för Kuwait och Qatar</w:t>
            </w:r>
          </w:p>
          <w:p w:rsidR="00ED3A91" w:rsidRDefault="00ED3A91" w:rsidP="00ED3A91">
            <w:pPr>
              <w:tabs>
                <w:tab w:val="left" w:pos="1701"/>
              </w:tabs>
              <w:rPr>
                <w:b/>
                <w:snapToGrid w:val="0"/>
              </w:rPr>
            </w:pPr>
          </w:p>
          <w:p w:rsidR="004008F6" w:rsidRDefault="004008F6" w:rsidP="004008F6">
            <w:pPr>
              <w:tabs>
                <w:tab w:val="left" w:pos="1701"/>
              </w:tabs>
              <w:rPr>
                <w:snapToGrid w:val="0"/>
              </w:rPr>
            </w:pPr>
            <w:r>
              <w:rPr>
                <w:snapToGrid w:val="0"/>
              </w:rPr>
              <w:t xml:space="preserve">Utskottet överlade med regeringen, statsrådet Anders </w:t>
            </w:r>
            <w:proofErr w:type="spellStart"/>
            <w:r>
              <w:rPr>
                <w:snapToGrid w:val="0"/>
              </w:rPr>
              <w:t>Ygeman</w:t>
            </w:r>
            <w:proofErr w:type="spellEnd"/>
            <w:r>
              <w:rPr>
                <w:snapToGrid w:val="0"/>
              </w:rPr>
              <w:t>, biträdd av medarbetare på Justitiedepartementet.</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 xml:space="preserve">Underlaget utgjordes av dels kommissionens förslag </w:t>
            </w:r>
            <w:r w:rsidRPr="004008F6">
              <w:rPr>
                <w:snapToGrid w:val="0"/>
              </w:rPr>
              <w:t xml:space="preserve">till förordning </w:t>
            </w:r>
            <w:r w:rsidRPr="004008F6">
              <w:rPr>
                <w:snapToGrid w:val="0"/>
              </w:rPr>
              <w:lastRenderedPageBreak/>
              <w:t>om ändring av förordning (EU) 2018/1806 om fastställande av förteckningen över tredjeländer vars medborgare är skyldiga att inneha visering när de passerar de yttre gränserna och av förteckningen över de tredjeländer vars medborgare är undantagna från detta krav (Kuwait, Qatar)</w:t>
            </w:r>
            <w:r>
              <w:rPr>
                <w:snapToGrid w:val="0"/>
              </w:rPr>
              <w:t xml:space="preserve">, </w:t>
            </w:r>
            <w:proofErr w:type="gramStart"/>
            <w:r>
              <w:rPr>
                <w:snapToGrid w:val="0"/>
              </w:rPr>
              <w:t>COM(</w:t>
            </w:r>
            <w:proofErr w:type="gramEnd"/>
            <w:r>
              <w:rPr>
                <w:snapToGrid w:val="0"/>
              </w:rPr>
              <w:t>2022) 189, dels regeringens faktapromemoria 2021/22:FPM:90.</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 xml:space="preserve">Överläggningen motiverade statsrådet att göra </w:t>
            </w:r>
            <w:r w:rsidR="00541DD9">
              <w:rPr>
                <w:snapToGrid w:val="0"/>
              </w:rPr>
              <w:t xml:space="preserve">ett </w:t>
            </w:r>
            <w:r>
              <w:rPr>
                <w:snapToGrid w:val="0"/>
              </w:rPr>
              <w:t>tillägg</w:t>
            </w:r>
            <w:r w:rsidR="00541DD9">
              <w:rPr>
                <w:snapToGrid w:val="0"/>
              </w:rPr>
              <w:t xml:space="preserve"> (kursiverat)</w:t>
            </w:r>
            <w:r>
              <w:rPr>
                <w:snapToGrid w:val="0"/>
              </w:rPr>
              <w:t xml:space="preserve"> till ståndpunkten:</w:t>
            </w:r>
          </w:p>
          <w:p w:rsidR="004008F6" w:rsidRPr="004008F6" w:rsidRDefault="004008F6" w:rsidP="004008F6">
            <w:pPr>
              <w:tabs>
                <w:tab w:val="left" w:pos="1701"/>
              </w:tabs>
              <w:ind w:left="422"/>
              <w:rPr>
                <w:i/>
                <w:snapToGrid w:val="0"/>
              </w:rPr>
            </w:pPr>
            <w:r w:rsidRPr="004008F6">
              <w:rPr>
                <w:snapToGrid w:val="0"/>
              </w:rPr>
              <w:t xml:space="preserve">Regeringen kan stödja förslaget om viseringsfrihet för Kuwait och Qatar. Regeringen ska verka för att, under förhandlingarna om viseringsfrihet, stärka samarbete kring bland annat återtagande och säkerhet samt efterlevnad av mänskliga rättigheter. Regeringen verkar även för att avtalen ska innehålla nödvändiga säkerhetsgarantier. </w:t>
            </w:r>
            <w:r w:rsidRPr="004008F6">
              <w:rPr>
                <w:i/>
                <w:snapToGrid w:val="0"/>
              </w:rPr>
              <w:t>Regeringen verkar också för att en suspenderingsmekanism inkluderas i viseringsfrihetsavtalet.</w:t>
            </w:r>
            <w:r w:rsidRPr="004008F6">
              <w:rPr>
                <w:snapToGrid w:val="0"/>
              </w:rPr>
              <w:t xml:space="preserve"> </w:t>
            </w:r>
            <w:r w:rsidRPr="004008F6">
              <w:rPr>
                <w:i/>
                <w:snapToGrid w:val="0"/>
              </w:rPr>
              <w:t>Denna suspenderingsmekanism vill regeringen ska innehålla kriterier för samarbete på återtagandeområdet samt när det gäller att bekämpa utländsk finansiering av religiösa samfund med kopplingar till anti-demokratisk verksamhet och radikal islamism.</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Ordföranden konstaterade att det fanns stöd för regeringens ståndpunkt.</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SD-ledamöterna anmälde följande avvikande ståndpunkt:</w:t>
            </w:r>
          </w:p>
          <w:p w:rsidR="004008F6" w:rsidRPr="004008F6" w:rsidRDefault="004008F6" w:rsidP="004008F6">
            <w:pPr>
              <w:tabs>
                <w:tab w:val="left" w:pos="1701"/>
              </w:tabs>
              <w:ind w:left="422"/>
              <w:rPr>
                <w:snapToGrid w:val="0"/>
              </w:rPr>
            </w:pPr>
            <w:r w:rsidRPr="004008F6">
              <w:rPr>
                <w:snapToGrid w:val="0"/>
              </w:rPr>
              <w:t xml:space="preserve">Kuwait och Qatar bör inte beviljas visumfrihet. Båda dessa länder, men i synnerhet Qatar, har stora problem med finansiering av terrorism, religiös extremism och politisk desinformation som i vissa fall riktas direkt mot Sverige. Ett ytterligare fördjupat samarbete med länderna för att </w:t>
            </w:r>
            <w:r w:rsidR="00956594">
              <w:rPr>
                <w:snapToGrid w:val="0"/>
              </w:rPr>
              <w:t>införa viseringsfrihet för ländernas medborgare</w:t>
            </w:r>
            <w:r w:rsidRPr="004008F6">
              <w:rPr>
                <w:snapToGrid w:val="0"/>
              </w:rPr>
              <w:t xml:space="preserve"> skulle kräva betydande framsteg på dessa områden.</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KD-ledamoten anmälde följande avvikande ståndpunkt:</w:t>
            </w:r>
          </w:p>
          <w:p w:rsidR="004008F6" w:rsidRPr="004008F6" w:rsidRDefault="004008F6" w:rsidP="004008F6">
            <w:pPr>
              <w:tabs>
                <w:tab w:val="left" w:pos="1701"/>
              </w:tabs>
              <w:ind w:left="422"/>
              <w:rPr>
                <w:snapToGrid w:val="0"/>
              </w:rPr>
            </w:pPr>
            <w:r w:rsidRPr="004008F6">
              <w:rPr>
                <w:snapToGrid w:val="0"/>
              </w:rPr>
              <w:t>Det är</w:t>
            </w:r>
            <w:r w:rsidR="00956594">
              <w:rPr>
                <w:snapToGrid w:val="0"/>
              </w:rPr>
              <w:t xml:space="preserve"> inte</w:t>
            </w:r>
            <w:r w:rsidRPr="004008F6">
              <w:rPr>
                <w:snapToGrid w:val="0"/>
              </w:rPr>
              <w:t xml:space="preserve"> förenligt med svensk nationell säkerhet att införa viseringsfrihet för medborgare i Kuwait och Qatar. Det är väl känt att dessa länder är stora finansiärer av terroriströrelser runt om i världen. Kuwait och Qatar är vidare två för oss i Sverige bekanta länder när det gäller finansiering av islamistiska föreningar, stiftelser och moskéer. Att ge medborgare från dessa länder, som dessutom bryter mot grundläggande mänskliga rättigheter, viseringsfrihet är att ta ett steg i fel riktning i arbetet för ökad nationell säkerhet och mot radikalisering samt terrorverksamhet. Regeringen bör inte stödja förslaget om viseringsfrihet för medborgare i Kuwait och Qatar.</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L-ledamoten anmälde följande avvikande ståndpunkt:</w:t>
            </w:r>
          </w:p>
          <w:p w:rsidR="00ED3A91" w:rsidRPr="00ED3A91" w:rsidRDefault="004008F6" w:rsidP="002862C6">
            <w:pPr>
              <w:tabs>
                <w:tab w:val="left" w:pos="1701"/>
              </w:tabs>
              <w:ind w:left="422"/>
              <w:rPr>
                <w:b/>
                <w:snapToGrid w:val="0"/>
              </w:rPr>
            </w:pPr>
            <w:r w:rsidRPr="004008F6">
              <w:rPr>
                <w:snapToGrid w:val="0"/>
              </w:rPr>
              <w:t xml:space="preserve">Både Kuwait och Qatar har en historia av att finansiera separatistiska islamistiska rörelser i Sverige. Länderna har varit stora källor för finansiering av terroriströrelser runt om i världen. Inget av länderna är demokratier och båda bryter dagligen mot grundläggande mänskliga rättigheter. Sveriges nationella säkerhet </w:t>
            </w:r>
            <w:r w:rsidRPr="004008F6">
              <w:rPr>
                <w:snapToGrid w:val="0"/>
              </w:rPr>
              <w:lastRenderedPageBreak/>
              <w:t xml:space="preserve">gör det omöjligt för Sverige och EU att öppna upp för visumfrihet för medborgare från Kuwait och Qatar. EU-länder kan köpa in ännu mer olja och gas från dessa båda länder i stället för Ryssland utan att behöva </w:t>
            </w:r>
            <w:r w:rsidR="00956594">
              <w:rPr>
                <w:snapToGrid w:val="0"/>
              </w:rPr>
              <w:t>införa</w:t>
            </w:r>
            <w:r w:rsidRPr="004008F6">
              <w:rPr>
                <w:snapToGrid w:val="0"/>
              </w:rPr>
              <w:t xml:space="preserve"> visumfrihet</w:t>
            </w:r>
            <w:r w:rsidR="00956594">
              <w:rPr>
                <w:snapToGrid w:val="0"/>
              </w:rPr>
              <w:t xml:space="preserve"> för landets medborgare</w:t>
            </w:r>
            <w:r w:rsidRPr="004008F6">
              <w:rPr>
                <w:snapToGrid w:val="0"/>
              </w:rPr>
              <w:t xml:space="preserve">. Regeringen </w:t>
            </w:r>
            <w:r w:rsidR="00956594">
              <w:rPr>
                <w:snapToGrid w:val="0"/>
              </w:rPr>
              <w:t>motsätta sig att</w:t>
            </w:r>
            <w:r w:rsidRPr="004008F6">
              <w:rPr>
                <w:snapToGrid w:val="0"/>
              </w:rPr>
              <w:t xml:space="preserve"> Kuwait och Qatar tas upp på </w:t>
            </w:r>
            <w:r w:rsidR="00541DD9">
              <w:rPr>
                <w:snapToGrid w:val="0"/>
              </w:rPr>
              <w:t>förteckningen</w:t>
            </w:r>
            <w:r w:rsidRPr="004008F6">
              <w:rPr>
                <w:snapToGrid w:val="0"/>
              </w:rPr>
              <w:t xml:space="preserve"> över viseringsfria länder. </w:t>
            </w:r>
          </w:p>
        </w:tc>
      </w:tr>
      <w:tr w:rsidR="002862C6" w:rsidRPr="007A327C" w:rsidTr="002F4AAE">
        <w:tc>
          <w:tcPr>
            <w:tcW w:w="567" w:type="dxa"/>
          </w:tcPr>
          <w:p w:rsidR="002862C6" w:rsidRDefault="002862C6" w:rsidP="002F4AAE">
            <w:pPr>
              <w:tabs>
                <w:tab w:val="left" w:pos="1701"/>
              </w:tabs>
              <w:rPr>
                <w:b/>
                <w:snapToGrid w:val="0"/>
              </w:rPr>
            </w:pPr>
          </w:p>
        </w:tc>
        <w:tc>
          <w:tcPr>
            <w:tcW w:w="6946" w:type="dxa"/>
            <w:gridSpan w:val="2"/>
          </w:tcPr>
          <w:p w:rsidR="002862C6" w:rsidRDefault="002862C6" w:rsidP="002F4AAE">
            <w:pPr>
              <w:tabs>
                <w:tab w:val="left" w:pos="1701"/>
              </w:tabs>
              <w:rPr>
                <w:b/>
                <w:snapToGrid w:val="0"/>
              </w:rPr>
            </w:pPr>
          </w:p>
        </w:tc>
      </w:tr>
      <w:tr w:rsidR="00ED3A91" w:rsidRPr="007A327C" w:rsidTr="00F5133A">
        <w:tc>
          <w:tcPr>
            <w:tcW w:w="567" w:type="dxa"/>
          </w:tcPr>
          <w:p w:rsidR="00ED3A91" w:rsidRPr="007A327C" w:rsidRDefault="004008F6" w:rsidP="00705A0F">
            <w:pPr>
              <w:tabs>
                <w:tab w:val="left" w:pos="1701"/>
              </w:tabs>
              <w:rPr>
                <w:b/>
                <w:snapToGrid w:val="0"/>
              </w:rPr>
            </w:pPr>
            <w:r>
              <w:rPr>
                <w:b/>
                <w:snapToGrid w:val="0"/>
              </w:rPr>
              <w:t>§ 8</w:t>
            </w:r>
          </w:p>
        </w:tc>
        <w:tc>
          <w:tcPr>
            <w:tcW w:w="6946" w:type="dxa"/>
            <w:gridSpan w:val="2"/>
          </w:tcPr>
          <w:p w:rsidR="00ED3A91" w:rsidRDefault="004008F6" w:rsidP="00705A0F">
            <w:pPr>
              <w:tabs>
                <w:tab w:val="left" w:pos="1701"/>
              </w:tabs>
              <w:rPr>
                <w:b/>
                <w:snapToGrid w:val="0"/>
              </w:rPr>
            </w:pPr>
            <w:r>
              <w:rPr>
                <w:b/>
                <w:snapToGrid w:val="0"/>
              </w:rPr>
              <w:t>Digitalisering av viseringsförfarandet</w:t>
            </w:r>
          </w:p>
          <w:p w:rsidR="004008F6" w:rsidRDefault="004008F6" w:rsidP="00705A0F">
            <w:pPr>
              <w:tabs>
                <w:tab w:val="left" w:pos="1701"/>
              </w:tabs>
              <w:rPr>
                <w:b/>
                <w:snapToGrid w:val="0"/>
              </w:rPr>
            </w:pPr>
          </w:p>
          <w:p w:rsidR="004008F6" w:rsidRDefault="004008F6" w:rsidP="004008F6">
            <w:pPr>
              <w:tabs>
                <w:tab w:val="left" w:pos="1701"/>
              </w:tabs>
              <w:rPr>
                <w:snapToGrid w:val="0"/>
              </w:rPr>
            </w:pPr>
            <w:r>
              <w:rPr>
                <w:snapToGrid w:val="0"/>
              </w:rPr>
              <w:t xml:space="preserve">Utskottet överlade med regeringen, statsrådet Anders </w:t>
            </w:r>
            <w:proofErr w:type="spellStart"/>
            <w:r>
              <w:rPr>
                <w:snapToGrid w:val="0"/>
              </w:rPr>
              <w:t>Ygeman</w:t>
            </w:r>
            <w:proofErr w:type="spellEnd"/>
            <w:r>
              <w:rPr>
                <w:snapToGrid w:val="0"/>
              </w:rPr>
              <w:t>, biträdd av medarbetare från Justitiedepartementet.</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 xml:space="preserve">Underlaget utgjordes av dels kommissionens förslag </w:t>
            </w:r>
            <w:r w:rsidRPr="004008F6">
              <w:rPr>
                <w:snapToGrid w:val="0"/>
              </w:rPr>
              <w:t>till förordning om ändring av Europaparlamentets och rådets förordningar (EG) nr 767/2008, (EG) nr 810/2009 och (EU) 2017/2226, rådets förordningar (EG) nr 1683/95, (EG) nr 333/2002, (EG) nr 693/2003 och (EG) nr 694/2003 och konventionen om tillämpning av Schengenavtalet vad gäller digitaliseringen av viseringsförfarandet</w:t>
            </w:r>
            <w:r>
              <w:rPr>
                <w:snapToGrid w:val="0"/>
              </w:rPr>
              <w:t xml:space="preserve">, </w:t>
            </w:r>
            <w:proofErr w:type="gramStart"/>
            <w:r>
              <w:rPr>
                <w:snapToGrid w:val="0"/>
              </w:rPr>
              <w:t>COM(</w:t>
            </w:r>
            <w:proofErr w:type="gramEnd"/>
            <w:r>
              <w:rPr>
                <w:snapToGrid w:val="0"/>
              </w:rPr>
              <w:t>2022) 658, dels regeringens faktapromemoria 2021/22:FPM:92.</w:t>
            </w:r>
          </w:p>
          <w:p w:rsidR="004008F6" w:rsidRDefault="004008F6" w:rsidP="004008F6">
            <w:pPr>
              <w:tabs>
                <w:tab w:val="left" w:pos="1701"/>
              </w:tabs>
              <w:rPr>
                <w:snapToGrid w:val="0"/>
              </w:rPr>
            </w:pPr>
          </w:p>
          <w:p w:rsidR="004008F6" w:rsidRDefault="004008F6" w:rsidP="004008F6">
            <w:pPr>
              <w:tabs>
                <w:tab w:val="left" w:pos="1701"/>
              </w:tabs>
              <w:rPr>
                <w:snapToGrid w:val="0"/>
              </w:rPr>
            </w:pPr>
            <w:r>
              <w:rPr>
                <w:snapToGrid w:val="0"/>
              </w:rPr>
              <w:t>Statsrådet redogjorde för regeringens ståndpunkt i enlighet med faktapromemorian</w:t>
            </w:r>
          </w:p>
          <w:p w:rsidR="004008F6" w:rsidRPr="004008F6" w:rsidRDefault="004008F6" w:rsidP="004008F6">
            <w:pPr>
              <w:tabs>
                <w:tab w:val="left" w:pos="1701"/>
              </w:tabs>
              <w:ind w:left="422"/>
              <w:rPr>
                <w:snapToGrid w:val="0"/>
              </w:rPr>
            </w:pPr>
            <w:r w:rsidRPr="004008F6">
              <w:rPr>
                <w:snapToGrid w:val="0"/>
              </w:rPr>
              <w:t>Regeringen ställer sig positiv till kommissionens förslag och delar</w:t>
            </w:r>
          </w:p>
          <w:p w:rsidR="004008F6" w:rsidRPr="004008F6" w:rsidRDefault="004008F6" w:rsidP="004008F6">
            <w:pPr>
              <w:tabs>
                <w:tab w:val="left" w:pos="1701"/>
              </w:tabs>
              <w:ind w:left="422"/>
              <w:rPr>
                <w:snapToGrid w:val="0"/>
              </w:rPr>
            </w:pPr>
            <w:r w:rsidRPr="004008F6">
              <w:rPr>
                <w:snapToGrid w:val="0"/>
              </w:rPr>
              <w:t>bedömningen av behovet av att utnyttja moderna hjälpmedel för att stärka</w:t>
            </w:r>
            <w:r>
              <w:rPr>
                <w:snapToGrid w:val="0"/>
              </w:rPr>
              <w:t xml:space="preserve"> </w:t>
            </w:r>
            <w:r w:rsidRPr="004008F6">
              <w:rPr>
                <w:snapToGrid w:val="0"/>
              </w:rPr>
              <w:t>viseringsförfarandet och möta nya migrations- och säkerhetsutmaningar. Det</w:t>
            </w:r>
            <w:r>
              <w:rPr>
                <w:snapToGrid w:val="0"/>
              </w:rPr>
              <w:t xml:space="preserve"> </w:t>
            </w:r>
            <w:r w:rsidRPr="004008F6">
              <w:rPr>
                <w:snapToGrid w:val="0"/>
              </w:rPr>
              <w:t>är också positivt att förslaget innebär förenklade förfaranden för resenärer</w:t>
            </w:r>
            <w:r>
              <w:rPr>
                <w:snapToGrid w:val="0"/>
              </w:rPr>
              <w:t xml:space="preserve"> </w:t>
            </w:r>
            <w:r w:rsidRPr="004008F6">
              <w:rPr>
                <w:snapToGrid w:val="0"/>
              </w:rPr>
              <w:t xml:space="preserve">och kan antas bidra till ökad rörlighet. Förslaget bör inte påverka </w:t>
            </w:r>
            <w:proofErr w:type="spellStart"/>
            <w:r w:rsidRPr="004008F6">
              <w:rPr>
                <w:snapToGrid w:val="0"/>
              </w:rPr>
              <w:t>eu-LISA:s</w:t>
            </w:r>
            <w:proofErr w:type="spellEnd"/>
            <w:r>
              <w:rPr>
                <w:snapToGrid w:val="0"/>
              </w:rPr>
              <w:t xml:space="preserve"> </w:t>
            </w:r>
            <w:r w:rsidRPr="004008F6">
              <w:rPr>
                <w:snapToGrid w:val="0"/>
              </w:rPr>
              <w:t>andra uppgifter negativt</w:t>
            </w:r>
          </w:p>
          <w:p w:rsidR="004008F6" w:rsidRDefault="004008F6" w:rsidP="00705A0F">
            <w:pPr>
              <w:tabs>
                <w:tab w:val="left" w:pos="1701"/>
              </w:tabs>
              <w:rPr>
                <w:b/>
                <w:snapToGrid w:val="0"/>
              </w:rPr>
            </w:pPr>
          </w:p>
          <w:p w:rsidR="004008F6" w:rsidRPr="004008F6" w:rsidRDefault="004008F6" w:rsidP="002862C6">
            <w:pPr>
              <w:tabs>
                <w:tab w:val="left" w:pos="1701"/>
              </w:tabs>
              <w:rPr>
                <w:b/>
                <w:snapToGrid w:val="0"/>
              </w:rPr>
            </w:pPr>
            <w:r>
              <w:rPr>
                <w:snapToGrid w:val="0"/>
              </w:rPr>
              <w:t>Ordföranden konstaterade att det fanns stöd för regeringens ståndpunkt.</w:t>
            </w:r>
          </w:p>
        </w:tc>
      </w:tr>
      <w:tr w:rsidR="002862C6" w:rsidRPr="007A327C" w:rsidTr="00F5133A">
        <w:tc>
          <w:tcPr>
            <w:tcW w:w="567" w:type="dxa"/>
          </w:tcPr>
          <w:p w:rsidR="002862C6" w:rsidRDefault="002862C6" w:rsidP="00705A0F">
            <w:pPr>
              <w:tabs>
                <w:tab w:val="left" w:pos="1701"/>
              </w:tabs>
              <w:rPr>
                <w:b/>
                <w:snapToGrid w:val="0"/>
              </w:rPr>
            </w:pPr>
          </w:p>
        </w:tc>
        <w:tc>
          <w:tcPr>
            <w:tcW w:w="6946" w:type="dxa"/>
            <w:gridSpan w:val="2"/>
          </w:tcPr>
          <w:p w:rsidR="002862C6" w:rsidRDefault="002862C6" w:rsidP="00705A0F">
            <w:pPr>
              <w:tabs>
                <w:tab w:val="left" w:pos="1701"/>
              </w:tabs>
              <w:rPr>
                <w:b/>
                <w:snapToGrid w:val="0"/>
              </w:rPr>
            </w:pPr>
          </w:p>
        </w:tc>
      </w:tr>
      <w:tr w:rsidR="00ED3A91" w:rsidRPr="007A327C" w:rsidTr="00F5133A">
        <w:tc>
          <w:tcPr>
            <w:tcW w:w="567" w:type="dxa"/>
          </w:tcPr>
          <w:p w:rsidR="00ED3A91" w:rsidRPr="007A327C" w:rsidRDefault="004008F6" w:rsidP="00705A0F">
            <w:pPr>
              <w:tabs>
                <w:tab w:val="left" w:pos="1701"/>
              </w:tabs>
              <w:rPr>
                <w:b/>
                <w:snapToGrid w:val="0"/>
              </w:rPr>
            </w:pPr>
            <w:r>
              <w:rPr>
                <w:b/>
                <w:snapToGrid w:val="0"/>
              </w:rPr>
              <w:t>§ 9</w:t>
            </w:r>
          </w:p>
        </w:tc>
        <w:tc>
          <w:tcPr>
            <w:tcW w:w="6946" w:type="dxa"/>
            <w:gridSpan w:val="2"/>
          </w:tcPr>
          <w:p w:rsidR="00ED3A91" w:rsidRDefault="004008F6" w:rsidP="00705A0F">
            <w:pPr>
              <w:tabs>
                <w:tab w:val="left" w:pos="1701"/>
              </w:tabs>
              <w:rPr>
                <w:b/>
                <w:snapToGrid w:val="0"/>
              </w:rPr>
            </w:pPr>
            <w:r>
              <w:rPr>
                <w:b/>
                <w:snapToGrid w:val="0"/>
              </w:rPr>
              <w:t>EU-frågor på det migrationspolitiska området</w:t>
            </w:r>
          </w:p>
          <w:p w:rsidR="004008F6" w:rsidRDefault="004008F6" w:rsidP="00705A0F">
            <w:pPr>
              <w:tabs>
                <w:tab w:val="left" w:pos="1701"/>
              </w:tabs>
              <w:rPr>
                <w:b/>
                <w:snapToGrid w:val="0"/>
              </w:rPr>
            </w:pPr>
          </w:p>
          <w:p w:rsidR="004008F6" w:rsidRPr="004008F6" w:rsidRDefault="004008F6" w:rsidP="00705A0F">
            <w:pPr>
              <w:tabs>
                <w:tab w:val="left" w:pos="1701"/>
              </w:tabs>
              <w:rPr>
                <w:snapToGrid w:val="0"/>
              </w:rPr>
            </w:pPr>
            <w:r>
              <w:rPr>
                <w:snapToGrid w:val="0"/>
              </w:rPr>
              <w:t xml:space="preserve">Statsrådet Anders </w:t>
            </w:r>
            <w:proofErr w:type="spellStart"/>
            <w:r>
              <w:rPr>
                <w:snapToGrid w:val="0"/>
              </w:rPr>
              <w:t>Ygeman</w:t>
            </w:r>
            <w:proofErr w:type="spellEnd"/>
            <w:r>
              <w:rPr>
                <w:snapToGrid w:val="0"/>
              </w:rPr>
              <w:t>, Justitiedepartementet, återrapporterade från RIF-rådets möte den 9–10 juni 2022.</w:t>
            </w:r>
          </w:p>
        </w:tc>
      </w:tr>
      <w:tr w:rsidR="00ED3A91" w:rsidRPr="007A327C" w:rsidTr="00F5133A">
        <w:tc>
          <w:tcPr>
            <w:tcW w:w="567" w:type="dxa"/>
          </w:tcPr>
          <w:p w:rsidR="00ED3A91" w:rsidRPr="007A327C" w:rsidRDefault="00ED3A91" w:rsidP="00705A0F">
            <w:pPr>
              <w:tabs>
                <w:tab w:val="left" w:pos="1701"/>
              </w:tabs>
              <w:rPr>
                <w:b/>
                <w:snapToGrid w:val="0"/>
              </w:rPr>
            </w:pPr>
          </w:p>
        </w:tc>
        <w:tc>
          <w:tcPr>
            <w:tcW w:w="6946" w:type="dxa"/>
            <w:gridSpan w:val="2"/>
          </w:tcPr>
          <w:p w:rsidR="00ED3A91" w:rsidRPr="004C59D1" w:rsidRDefault="00ED3A91" w:rsidP="00705A0F">
            <w:pPr>
              <w:tabs>
                <w:tab w:val="left" w:pos="1701"/>
              </w:tabs>
              <w:rPr>
                <w:snapToGrid w:val="0"/>
              </w:rPr>
            </w:pPr>
          </w:p>
        </w:tc>
      </w:tr>
      <w:tr w:rsidR="00787FCD" w:rsidRPr="007A327C" w:rsidTr="00F5133A">
        <w:tc>
          <w:tcPr>
            <w:tcW w:w="567" w:type="dxa"/>
          </w:tcPr>
          <w:p w:rsidR="00787FCD" w:rsidRDefault="00787FCD" w:rsidP="00787FCD">
            <w:pPr>
              <w:tabs>
                <w:tab w:val="left" w:pos="1701"/>
              </w:tabs>
              <w:rPr>
                <w:b/>
                <w:snapToGrid w:val="0"/>
              </w:rPr>
            </w:pPr>
            <w:bookmarkStart w:id="1" w:name="_GoBack" w:colFirst="1" w:colLast="1"/>
            <w:r>
              <w:rPr>
                <w:b/>
                <w:snapToGrid w:val="0"/>
              </w:rPr>
              <w:t xml:space="preserve">§ </w:t>
            </w:r>
            <w:r w:rsidR="004008F6">
              <w:rPr>
                <w:b/>
                <w:snapToGrid w:val="0"/>
              </w:rPr>
              <w:t>10</w:t>
            </w:r>
          </w:p>
        </w:tc>
        <w:tc>
          <w:tcPr>
            <w:tcW w:w="6946" w:type="dxa"/>
            <w:gridSpan w:val="2"/>
          </w:tcPr>
          <w:p w:rsidR="00787FCD" w:rsidRDefault="00041FD2" w:rsidP="00787FCD">
            <w:pPr>
              <w:tabs>
                <w:tab w:val="left" w:pos="1701"/>
              </w:tabs>
              <w:rPr>
                <w:b/>
                <w:snapToGrid w:val="0"/>
              </w:rPr>
            </w:pPr>
            <w:r>
              <w:rPr>
                <w:b/>
                <w:snapToGrid w:val="0"/>
              </w:rPr>
              <w:t>Viseringsfrihet för Kuwait och Qatar</w:t>
            </w:r>
          </w:p>
          <w:p w:rsidR="00787FCD" w:rsidRDefault="00787FCD" w:rsidP="00787FCD">
            <w:pPr>
              <w:tabs>
                <w:tab w:val="left" w:pos="1701"/>
              </w:tabs>
              <w:rPr>
                <w:b/>
                <w:snapToGrid w:val="0"/>
              </w:rPr>
            </w:pPr>
          </w:p>
          <w:p w:rsidR="00787FCD" w:rsidRDefault="00787FCD" w:rsidP="00787FCD">
            <w:pPr>
              <w:tabs>
                <w:tab w:val="left" w:pos="1701"/>
              </w:tabs>
              <w:rPr>
                <w:snapToGrid w:val="0"/>
              </w:rPr>
            </w:pPr>
            <w:r>
              <w:rPr>
                <w:snapToGrid w:val="0"/>
              </w:rPr>
              <w:t xml:space="preserve">Utskottet </w:t>
            </w:r>
            <w:r w:rsidR="00ED3A91">
              <w:rPr>
                <w:snapToGrid w:val="0"/>
              </w:rPr>
              <w:t>fortsatte</w:t>
            </w:r>
            <w:r>
              <w:rPr>
                <w:snapToGrid w:val="0"/>
              </w:rPr>
              <w:t xml:space="preserve"> subsidiaritetsprövning av </w:t>
            </w:r>
            <w:proofErr w:type="gramStart"/>
            <w:r>
              <w:rPr>
                <w:snapToGrid w:val="0"/>
              </w:rPr>
              <w:t>COM(</w:t>
            </w:r>
            <w:proofErr w:type="gramEnd"/>
            <w:r>
              <w:rPr>
                <w:snapToGrid w:val="0"/>
              </w:rPr>
              <w:t xml:space="preserve">2022) </w:t>
            </w:r>
            <w:r w:rsidR="00041FD2">
              <w:rPr>
                <w:snapToGrid w:val="0"/>
              </w:rPr>
              <w:t>189</w:t>
            </w:r>
            <w:r>
              <w:rPr>
                <w:snapToGrid w:val="0"/>
              </w:rPr>
              <w:t>.</w:t>
            </w:r>
          </w:p>
          <w:p w:rsidR="00787FCD" w:rsidRDefault="00787FCD" w:rsidP="00787FCD">
            <w:pPr>
              <w:tabs>
                <w:tab w:val="left" w:pos="1701"/>
              </w:tabs>
              <w:rPr>
                <w:snapToGrid w:val="0"/>
              </w:rPr>
            </w:pPr>
          </w:p>
          <w:p w:rsidR="00ED3A91" w:rsidRPr="004008F6" w:rsidRDefault="00ED3A91" w:rsidP="00ED3A91">
            <w:pPr>
              <w:tabs>
                <w:tab w:val="left" w:pos="1701"/>
              </w:tabs>
              <w:rPr>
                <w:snapToGrid w:val="0"/>
              </w:rPr>
            </w:pPr>
            <w:r w:rsidRPr="004008F6">
              <w:rPr>
                <w:snapToGrid w:val="0"/>
              </w:rPr>
              <w:t>Utskottet ansåg att förslaget inte strider mot subsidiaritetsprincipen.</w:t>
            </w:r>
          </w:p>
          <w:p w:rsidR="00ED3A91" w:rsidRPr="004008F6" w:rsidRDefault="00ED3A91" w:rsidP="00ED3A91">
            <w:pPr>
              <w:tabs>
                <w:tab w:val="left" w:pos="1701"/>
              </w:tabs>
              <w:rPr>
                <w:snapToGrid w:val="0"/>
              </w:rPr>
            </w:pPr>
          </w:p>
          <w:p w:rsidR="00787FCD" w:rsidRPr="00CC6718" w:rsidRDefault="00ED3A91" w:rsidP="002862C6">
            <w:pPr>
              <w:tabs>
                <w:tab w:val="left" w:pos="1701"/>
              </w:tabs>
              <w:rPr>
                <w:snapToGrid w:val="0"/>
              </w:rPr>
            </w:pPr>
            <w:r w:rsidRPr="004008F6">
              <w:rPr>
                <w:snapToGrid w:val="0"/>
              </w:rPr>
              <w:t>Denna paragraf förklarades omedelbart justerad.</w:t>
            </w:r>
          </w:p>
        </w:tc>
      </w:tr>
      <w:bookmarkEnd w:id="1"/>
      <w:tr w:rsidR="009B2236" w:rsidRPr="007A327C" w:rsidTr="00F5133A">
        <w:tc>
          <w:tcPr>
            <w:tcW w:w="567" w:type="dxa"/>
          </w:tcPr>
          <w:p w:rsidR="009B2236" w:rsidRDefault="009B2236" w:rsidP="00705A0F">
            <w:pPr>
              <w:tabs>
                <w:tab w:val="left" w:pos="1701"/>
              </w:tabs>
              <w:rPr>
                <w:b/>
                <w:snapToGrid w:val="0"/>
              </w:rPr>
            </w:pPr>
          </w:p>
        </w:tc>
        <w:tc>
          <w:tcPr>
            <w:tcW w:w="6946" w:type="dxa"/>
            <w:gridSpan w:val="2"/>
          </w:tcPr>
          <w:p w:rsidR="004008F6" w:rsidRDefault="004008F6" w:rsidP="00705A0F">
            <w:pPr>
              <w:tabs>
                <w:tab w:val="left" w:pos="1701"/>
              </w:tabs>
              <w:rPr>
                <w:b/>
                <w:snapToGrid w:val="0"/>
              </w:rPr>
            </w:pPr>
          </w:p>
        </w:tc>
      </w:tr>
      <w:tr w:rsidR="009B2236" w:rsidRPr="007A327C" w:rsidTr="00F5133A">
        <w:tc>
          <w:tcPr>
            <w:tcW w:w="567" w:type="dxa"/>
          </w:tcPr>
          <w:p w:rsidR="009B2236" w:rsidRDefault="009B2236" w:rsidP="009B2236">
            <w:pPr>
              <w:tabs>
                <w:tab w:val="left" w:pos="1701"/>
              </w:tabs>
              <w:rPr>
                <w:b/>
                <w:snapToGrid w:val="0"/>
              </w:rPr>
            </w:pPr>
            <w:r>
              <w:rPr>
                <w:b/>
                <w:snapToGrid w:val="0"/>
              </w:rPr>
              <w:t xml:space="preserve">§ </w:t>
            </w:r>
            <w:r w:rsidR="00F639FF">
              <w:rPr>
                <w:b/>
                <w:snapToGrid w:val="0"/>
              </w:rPr>
              <w:t>1</w:t>
            </w:r>
            <w:r w:rsidR="004008F6">
              <w:rPr>
                <w:b/>
                <w:snapToGrid w:val="0"/>
              </w:rPr>
              <w:t>1</w:t>
            </w:r>
          </w:p>
        </w:tc>
        <w:tc>
          <w:tcPr>
            <w:tcW w:w="6946" w:type="dxa"/>
            <w:gridSpan w:val="2"/>
          </w:tcPr>
          <w:p w:rsidR="009B2236" w:rsidRDefault="009B2236" w:rsidP="009B2236">
            <w:pPr>
              <w:tabs>
                <w:tab w:val="left" w:pos="1701"/>
              </w:tabs>
              <w:rPr>
                <w:b/>
                <w:snapToGrid w:val="0"/>
              </w:rPr>
            </w:pPr>
            <w:r>
              <w:rPr>
                <w:b/>
                <w:snapToGrid w:val="0"/>
              </w:rPr>
              <w:t>Nästa sammanträde</w:t>
            </w:r>
          </w:p>
          <w:p w:rsidR="009B2236" w:rsidRDefault="009B2236" w:rsidP="009B2236">
            <w:pPr>
              <w:tabs>
                <w:tab w:val="left" w:pos="1701"/>
              </w:tabs>
              <w:rPr>
                <w:b/>
                <w:snapToGrid w:val="0"/>
              </w:rPr>
            </w:pPr>
          </w:p>
          <w:p w:rsidR="009B2236" w:rsidRPr="00F06797" w:rsidRDefault="009B2236" w:rsidP="009B2236">
            <w:pPr>
              <w:tabs>
                <w:tab w:val="left" w:pos="1701"/>
              </w:tabs>
              <w:rPr>
                <w:snapToGrid w:val="0"/>
              </w:rPr>
            </w:pPr>
            <w:r w:rsidRPr="00872BD9">
              <w:rPr>
                <w:snapToGrid w:val="0"/>
              </w:rPr>
              <w:t>Utskottet beslutade att nästa sammanträde ska äga rum</w:t>
            </w:r>
            <w:r>
              <w:rPr>
                <w:snapToGrid w:val="0"/>
              </w:rPr>
              <w:t xml:space="preserve"> t</w:t>
            </w:r>
            <w:r w:rsidR="00ED3A91">
              <w:rPr>
                <w:snapToGrid w:val="0"/>
              </w:rPr>
              <w:t>ors</w:t>
            </w:r>
            <w:r>
              <w:rPr>
                <w:szCs w:val="24"/>
              </w:rPr>
              <w:t xml:space="preserve">dagen den </w:t>
            </w:r>
            <w:r w:rsidR="00041FD2">
              <w:rPr>
                <w:szCs w:val="24"/>
              </w:rPr>
              <w:t>1</w:t>
            </w:r>
            <w:r w:rsidR="00ED3A91">
              <w:rPr>
                <w:szCs w:val="24"/>
              </w:rPr>
              <w:t>6</w:t>
            </w:r>
            <w:r>
              <w:rPr>
                <w:szCs w:val="24"/>
              </w:rPr>
              <w:t xml:space="preserve"> juni 2022 kl. 1</w:t>
            </w:r>
            <w:r w:rsidR="00ED3A91">
              <w:rPr>
                <w:szCs w:val="24"/>
              </w:rPr>
              <w:t>0</w:t>
            </w:r>
            <w:r w:rsidRPr="00D75CC9">
              <w:rPr>
                <w:szCs w:val="24"/>
              </w:rPr>
              <w:t>.00.</w:t>
            </w:r>
          </w:p>
        </w:tc>
      </w:tr>
      <w:tr w:rsidR="00CC6718" w:rsidRPr="007A327C" w:rsidTr="00F5133A">
        <w:tc>
          <w:tcPr>
            <w:tcW w:w="567" w:type="dxa"/>
          </w:tcPr>
          <w:p w:rsidR="00CC6718" w:rsidRDefault="00CC6718" w:rsidP="00CC6718">
            <w:pPr>
              <w:tabs>
                <w:tab w:val="left" w:pos="1701"/>
              </w:tabs>
              <w:rPr>
                <w:b/>
                <w:snapToGrid w:val="0"/>
              </w:rPr>
            </w:pPr>
          </w:p>
        </w:tc>
        <w:tc>
          <w:tcPr>
            <w:tcW w:w="6946" w:type="dxa"/>
            <w:gridSpan w:val="2"/>
          </w:tcPr>
          <w:p w:rsidR="00CC6718" w:rsidRPr="00F06797" w:rsidRDefault="00CC6718" w:rsidP="00CC6718">
            <w:pPr>
              <w:tabs>
                <w:tab w:val="left" w:pos="1701"/>
              </w:tabs>
              <w:rPr>
                <w:snapToGrid w:val="0"/>
              </w:rPr>
            </w:pPr>
          </w:p>
        </w:tc>
      </w:tr>
      <w:tr w:rsidR="00CC6718" w:rsidRPr="007A327C" w:rsidTr="00F5133A">
        <w:tc>
          <w:tcPr>
            <w:tcW w:w="567" w:type="dxa"/>
          </w:tcPr>
          <w:p w:rsidR="00CC6718" w:rsidRPr="007A327C" w:rsidRDefault="00CC6718" w:rsidP="00CC6718">
            <w:pPr>
              <w:tabs>
                <w:tab w:val="left" w:pos="1701"/>
              </w:tabs>
              <w:rPr>
                <w:b/>
                <w:snapToGrid w:val="0"/>
              </w:rPr>
            </w:pPr>
          </w:p>
        </w:tc>
        <w:tc>
          <w:tcPr>
            <w:tcW w:w="6946" w:type="dxa"/>
            <w:gridSpan w:val="2"/>
          </w:tcPr>
          <w:p w:rsidR="00CC6718" w:rsidRPr="007A327C" w:rsidRDefault="00CC6718" w:rsidP="00CC6718">
            <w:pPr>
              <w:tabs>
                <w:tab w:val="left" w:pos="1701"/>
              </w:tabs>
              <w:rPr>
                <w:snapToGrid w:val="0"/>
              </w:rPr>
            </w:pPr>
          </w:p>
        </w:tc>
      </w:tr>
      <w:tr w:rsidR="00CC6718" w:rsidRPr="007A327C" w:rsidTr="00F5133A">
        <w:trPr>
          <w:gridAfter w:val="1"/>
          <w:wAfter w:w="357" w:type="dxa"/>
        </w:trPr>
        <w:tc>
          <w:tcPr>
            <w:tcW w:w="7156" w:type="dxa"/>
            <w:gridSpan w:val="2"/>
          </w:tcPr>
          <w:p w:rsidR="00CC6718" w:rsidRDefault="00CC6718" w:rsidP="00CC6718">
            <w:pPr>
              <w:tabs>
                <w:tab w:val="left" w:pos="1701"/>
              </w:tabs>
            </w:pPr>
          </w:p>
          <w:p w:rsidR="00CC6718" w:rsidRDefault="00CC6718" w:rsidP="00CC6718">
            <w:pPr>
              <w:tabs>
                <w:tab w:val="left" w:pos="1701"/>
              </w:tabs>
            </w:pPr>
          </w:p>
          <w:p w:rsidR="00CC6718" w:rsidRPr="007A327C" w:rsidRDefault="00CC6718" w:rsidP="00CC6718">
            <w:pPr>
              <w:tabs>
                <w:tab w:val="left" w:pos="1701"/>
              </w:tabs>
            </w:pPr>
            <w:r w:rsidRPr="007A327C">
              <w:t>Vid protokollet</w:t>
            </w:r>
          </w:p>
          <w:p w:rsidR="00CC6718" w:rsidRPr="007A327C" w:rsidRDefault="00CC6718" w:rsidP="00CC6718">
            <w:pPr>
              <w:tabs>
                <w:tab w:val="left" w:pos="1701"/>
              </w:tabs>
            </w:pPr>
          </w:p>
          <w:p w:rsidR="00CC6718" w:rsidRPr="007A327C" w:rsidRDefault="00CC6718" w:rsidP="00CC6718">
            <w:pPr>
              <w:tabs>
                <w:tab w:val="left" w:pos="1701"/>
              </w:tabs>
            </w:pPr>
          </w:p>
          <w:p w:rsidR="00CC6718" w:rsidRPr="007A327C" w:rsidRDefault="00CC6718" w:rsidP="00CC6718">
            <w:pPr>
              <w:tabs>
                <w:tab w:val="left" w:pos="1701"/>
              </w:tabs>
            </w:pPr>
          </w:p>
          <w:p w:rsidR="00CC6718" w:rsidRDefault="00CC6718" w:rsidP="00CC6718">
            <w:pPr>
              <w:tabs>
                <w:tab w:val="left" w:pos="1701"/>
              </w:tabs>
            </w:pPr>
            <w:r w:rsidRPr="007A327C">
              <w:t>Justeras</w:t>
            </w:r>
            <w:r>
              <w:t xml:space="preserve"> den </w:t>
            </w:r>
            <w:r w:rsidR="00041FD2">
              <w:t>1</w:t>
            </w:r>
            <w:r w:rsidR="002862C6">
              <w:t>6</w:t>
            </w:r>
            <w:r>
              <w:t xml:space="preserve"> juni 2022</w:t>
            </w:r>
          </w:p>
          <w:p w:rsidR="00CC6718" w:rsidRDefault="00CC6718" w:rsidP="00CC6718">
            <w:pPr>
              <w:tabs>
                <w:tab w:val="left" w:pos="1701"/>
              </w:tabs>
            </w:pPr>
          </w:p>
          <w:p w:rsidR="00CC6718" w:rsidRPr="00BA5D89" w:rsidRDefault="00CC6718" w:rsidP="00CC6718">
            <w:pPr>
              <w:tabs>
                <w:tab w:val="left" w:pos="1701"/>
              </w:tabs>
            </w:pPr>
          </w:p>
        </w:tc>
      </w:tr>
    </w:tbl>
    <w:p w:rsidR="004F680C" w:rsidRPr="007A327C" w:rsidRDefault="004F680C">
      <w:pPr>
        <w:tabs>
          <w:tab w:val="left" w:pos="1701"/>
        </w:tabs>
      </w:pPr>
    </w:p>
    <w:p w:rsidR="00EB3E50" w:rsidRDefault="00EB3E50" w:rsidP="00B74FAF">
      <w:pPr>
        <w:tabs>
          <w:tab w:val="left" w:pos="1701"/>
        </w:tabs>
        <w:sectPr w:rsidR="00EB3E50" w:rsidSect="00F639FF">
          <w:pgSz w:w="11906" w:h="16838" w:code="9"/>
          <w:pgMar w:top="709" w:right="1134" w:bottom="1701" w:left="2268" w:header="720" w:footer="720" w:gutter="0"/>
          <w:cols w:space="720"/>
        </w:sectPr>
      </w:pPr>
    </w:p>
    <w:tbl>
      <w:tblPr>
        <w:tblpPr w:leftFromText="141" w:rightFromText="141" w:vertAnchor="page" w:horzAnchor="margin" w:tblpXSpec="center" w:tblpY="727"/>
        <w:tblW w:w="1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426"/>
        <w:gridCol w:w="425"/>
        <w:gridCol w:w="425"/>
        <w:gridCol w:w="567"/>
        <w:gridCol w:w="567"/>
        <w:gridCol w:w="567"/>
        <w:gridCol w:w="302"/>
        <w:gridCol w:w="82"/>
        <w:gridCol w:w="329"/>
        <w:gridCol w:w="440"/>
        <w:gridCol w:w="123"/>
        <w:gridCol w:w="329"/>
        <w:gridCol w:w="567"/>
        <w:gridCol w:w="96"/>
        <w:gridCol w:w="329"/>
        <w:gridCol w:w="567"/>
        <w:gridCol w:w="238"/>
        <w:gridCol w:w="329"/>
        <w:gridCol w:w="380"/>
        <w:gridCol w:w="45"/>
        <w:gridCol w:w="115"/>
        <w:gridCol w:w="169"/>
        <w:gridCol w:w="115"/>
        <w:gridCol w:w="425"/>
        <w:gridCol w:w="425"/>
      </w:tblGrid>
      <w:tr w:rsidR="00870736" w:rsidRPr="002A1A33" w:rsidTr="005369D0">
        <w:trPr>
          <w:gridAfter w:val="6"/>
          <w:wAfter w:w="1294" w:type="dxa"/>
        </w:trPr>
        <w:tc>
          <w:tcPr>
            <w:tcW w:w="3402" w:type="dxa"/>
            <w:tcBorders>
              <w:top w:val="nil"/>
              <w:left w:val="nil"/>
              <w:bottom w:val="nil"/>
              <w:right w:val="nil"/>
            </w:tcBorders>
            <w:hideMark/>
          </w:tcPr>
          <w:p w:rsidR="00870736" w:rsidRPr="002A1A33" w:rsidRDefault="00870736" w:rsidP="00870736">
            <w:pPr>
              <w:tabs>
                <w:tab w:val="left" w:pos="1701"/>
              </w:tabs>
              <w:ind w:left="-66"/>
              <w:rPr>
                <w:sz w:val="23"/>
                <w:szCs w:val="23"/>
              </w:rPr>
            </w:pPr>
            <w:bookmarkStart w:id="2" w:name="_Hlk94786667"/>
            <w:r w:rsidRPr="002A1A33">
              <w:rPr>
                <w:sz w:val="23"/>
                <w:szCs w:val="23"/>
              </w:rPr>
              <w:lastRenderedPageBreak/>
              <w:br w:type="page"/>
              <w:t>SOCIALFÖRSÄKRINGS-UTSKOTTET</w:t>
            </w:r>
          </w:p>
        </w:tc>
        <w:tc>
          <w:tcPr>
            <w:tcW w:w="851" w:type="dxa"/>
            <w:gridSpan w:val="2"/>
            <w:tcBorders>
              <w:top w:val="nil"/>
              <w:left w:val="nil"/>
              <w:bottom w:val="nil"/>
              <w:right w:val="nil"/>
            </w:tcBorders>
          </w:tcPr>
          <w:p w:rsidR="00870736" w:rsidRPr="00F2328F" w:rsidRDefault="00870736" w:rsidP="00870736">
            <w:pPr>
              <w:tabs>
                <w:tab w:val="left" w:pos="1701"/>
              </w:tabs>
              <w:rPr>
                <w:sz w:val="22"/>
                <w:szCs w:val="22"/>
              </w:rPr>
            </w:pPr>
          </w:p>
        </w:tc>
        <w:tc>
          <w:tcPr>
            <w:tcW w:w="4394" w:type="dxa"/>
            <w:gridSpan w:val="12"/>
            <w:tcBorders>
              <w:top w:val="nil"/>
              <w:left w:val="nil"/>
              <w:bottom w:val="nil"/>
              <w:right w:val="nil"/>
            </w:tcBorders>
            <w:hideMark/>
          </w:tcPr>
          <w:p w:rsidR="00870736" w:rsidRPr="002A1A33" w:rsidRDefault="00870736" w:rsidP="00870736">
            <w:pPr>
              <w:tabs>
                <w:tab w:val="left" w:pos="1701"/>
              </w:tabs>
              <w:rPr>
                <w:sz w:val="23"/>
                <w:szCs w:val="23"/>
              </w:rPr>
            </w:pPr>
            <w:r w:rsidRPr="00F2328F">
              <w:rPr>
                <w:sz w:val="22"/>
                <w:szCs w:val="22"/>
              </w:rPr>
              <w:t>NÄRVAROFÖRTECKNING</w:t>
            </w:r>
            <w:r w:rsidRPr="002A1A33">
              <w:rPr>
                <w:sz w:val="23"/>
                <w:szCs w:val="23"/>
              </w:rPr>
              <w:t xml:space="preserve"> </w:t>
            </w:r>
          </w:p>
        </w:tc>
        <w:tc>
          <w:tcPr>
            <w:tcW w:w="1843" w:type="dxa"/>
            <w:gridSpan w:val="5"/>
            <w:tcBorders>
              <w:top w:val="nil"/>
              <w:left w:val="nil"/>
              <w:bottom w:val="nil"/>
              <w:right w:val="nil"/>
            </w:tcBorders>
          </w:tcPr>
          <w:p w:rsidR="00870736" w:rsidRPr="002A1A33" w:rsidRDefault="00870736" w:rsidP="00870736">
            <w:pPr>
              <w:tabs>
                <w:tab w:val="left" w:pos="1701"/>
              </w:tabs>
              <w:jc w:val="right"/>
              <w:rPr>
                <w:b/>
                <w:sz w:val="23"/>
                <w:szCs w:val="23"/>
              </w:rPr>
            </w:pPr>
            <w:r w:rsidRPr="002A1A33">
              <w:rPr>
                <w:b/>
                <w:sz w:val="23"/>
                <w:szCs w:val="23"/>
              </w:rPr>
              <w:t>Bilaga 1</w:t>
            </w:r>
          </w:p>
          <w:p w:rsidR="00870736" w:rsidRPr="002A1A33" w:rsidRDefault="00870736" w:rsidP="00870736">
            <w:pPr>
              <w:tabs>
                <w:tab w:val="left" w:pos="1701"/>
              </w:tabs>
              <w:jc w:val="right"/>
              <w:rPr>
                <w:sz w:val="23"/>
                <w:szCs w:val="23"/>
              </w:rPr>
            </w:pPr>
            <w:r w:rsidRPr="002A1A33">
              <w:rPr>
                <w:sz w:val="23"/>
                <w:szCs w:val="23"/>
              </w:rPr>
              <w:t>till protokoll</w:t>
            </w:r>
          </w:p>
          <w:p w:rsidR="00870736" w:rsidRPr="002A1A33" w:rsidRDefault="00870736" w:rsidP="00870736">
            <w:pPr>
              <w:tabs>
                <w:tab w:val="left" w:pos="1701"/>
              </w:tabs>
              <w:jc w:val="right"/>
              <w:rPr>
                <w:sz w:val="23"/>
                <w:szCs w:val="23"/>
              </w:rPr>
            </w:pPr>
            <w:r w:rsidRPr="002A1A33">
              <w:rPr>
                <w:sz w:val="23"/>
                <w:szCs w:val="23"/>
              </w:rPr>
              <w:t>20</w:t>
            </w:r>
            <w:r>
              <w:rPr>
                <w:sz w:val="23"/>
                <w:szCs w:val="23"/>
              </w:rPr>
              <w:t>21</w:t>
            </w:r>
            <w:r w:rsidRPr="002A1A33">
              <w:rPr>
                <w:sz w:val="23"/>
                <w:szCs w:val="23"/>
              </w:rPr>
              <w:t>/</w:t>
            </w:r>
            <w:r>
              <w:rPr>
                <w:sz w:val="23"/>
                <w:szCs w:val="23"/>
              </w:rPr>
              <w:t>22</w:t>
            </w:r>
            <w:r w:rsidRPr="002A1A33">
              <w:rPr>
                <w:sz w:val="23"/>
                <w:szCs w:val="23"/>
              </w:rPr>
              <w:t>:</w:t>
            </w:r>
            <w:r w:rsidR="00AC377C">
              <w:rPr>
                <w:sz w:val="23"/>
                <w:szCs w:val="23"/>
              </w:rPr>
              <w:t>4</w:t>
            </w:r>
            <w:r w:rsidR="00ED3A91">
              <w:rPr>
                <w:sz w:val="23"/>
                <w:szCs w:val="23"/>
              </w:rPr>
              <w:t>2</w:t>
            </w:r>
          </w:p>
        </w:tc>
      </w:tr>
      <w:tr w:rsidR="00870736" w:rsidRPr="002A1A33" w:rsidTr="002862C6">
        <w:trPr>
          <w:gridAfter w:val="6"/>
          <w:wAfter w:w="1294" w:type="dxa"/>
          <w:cantSplit/>
          <w:trHeight w:val="20"/>
        </w:trPr>
        <w:tc>
          <w:tcPr>
            <w:tcW w:w="34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85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9C0A5C">
              <w:rPr>
                <w:sz w:val="23"/>
                <w:szCs w:val="23"/>
              </w:rPr>
              <w:t>§</w:t>
            </w:r>
            <w:r>
              <w:rPr>
                <w:sz w:val="23"/>
                <w:szCs w:val="23"/>
              </w:rPr>
              <w:t xml:space="preserve"> </w:t>
            </w:r>
            <w:r w:rsidR="009C0A5C">
              <w:rPr>
                <w:sz w:val="23"/>
                <w:szCs w:val="23"/>
              </w:rPr>
              <w:t>1</w:t>
            </w:r>
          </w:p>
        </w:tc>
        <w:tc>
          <w:tcPr>
            <w:tcW w:w="99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AA4021">
              <w:rPr>
                <w:sz w:val="23"/>
                <w:szCs w:val="23"/>
              </w:rPr>
              <w:t xml:space="preserve">§ </w:t>
            </w:r>
            <w:r w:rsidR="002862C6">
              <w:rPr>
                <w:sz w:val="23"/>
                <w:szCs w:val="23"/>
              </w:rPr>
              <w:t>2</w:t>
            </w:r>
            <w:r w:rsidR="00AA4021">
              <w:rPr>
                <w:sz w:val="23"/>
                <w:szCs w:val="23"/>
              </w:rPr>
              <w:t>–</w:t>
            </w:r>
            <w:r w:rsidR="002862C6">
              <w:rPr>
                <w:sz w:val="23"/>
                <w:szCs w:val="23"/>
              </w:rPr>
              <w:t>9</w:t>
            </w:r>
          </w:p>
        </w:tc>
        <w:tc>
          <w:tcPr>
            <w:tcW w:w="113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2862C6">
              <w:rPr>
                <w:sz w:val="23"/>
                <w:szCs w:val="23"/>
              </w:rPr>
              <w:t>§ 10–11</w:t>
            </w:r>
          </w:p>
        </w:tc>
        <w:tc>
          <w:tcPr>
            <w:tcW w:w="3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5369D0">
              <w:rPr>
                <w:sz w:val="23"/>
                <w:szCs w:val="23"/>
              </w:rPr>
              <w:t xml:space="preserve"> </w:t>
            </w:r>
            <w:r w:rsidR="00D75CC9">
              <w:rPr>
                <w:sz w:val="23"/>
                <w:szCs w:val="23"/>
              </w:rPr>
              <w:t xml:space="preserve"> </w:t>
            </w:r>
          </w:p>
        </w:tc>
        <w:tc>
          <w:tcPr>
            <w:tcW w:w="892" w:type="dxa"/>
            <w:gridSpan w:val="3"/>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D75CC9">
              <w:rPr>
                <w:sz w:val="23"/>
                <w:szCs w:val="23"/>
              </w:rPr>
              <w:t xml:space="preserve"> </w:t>
            </w:r>
          </w:p>
        </w:tc>
        <w:tc>
          <w:tcPr>
            <w:tcW w:w="992" w:type="dxa"/>
            <w:gridSpan w:val="3"/>
            <w:tcBorders>
              <w:top w:val="single" w:sz="6" w:space="0" w:color="auto"/>
              <w:left w:val="single" w:sz="6" w:space="0" w:color="auto"/>
              <w:bottom w:val="single" w:sz="6" w:space="0" w:color="auto"/>
              <w:right w:val="single" w:sz="6" w:space="0" w:color="auto"/>
            </w:tcBorders>
          </w:tcPr>
          <w:p w:rsidR="00870736" w:rsidRPr="002A1A33" w:rsidRDefault="00AA4021"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1134" w:type="dxa"/>
            <w:gridSpan w:val="3"/>
            <w:tcBorders>
              <w:top w:val="single" w:sz="6" w:space="0" w:color="auto"/>
              <w:left w:val="single" w:sz="6" w:space="0" w:color="auto"/>
              <w:bottom w:val="single" w:sz="6" w:space="0" w:color="auto"/>
              <w:right w:val="single" w:sz="6" w:space="0" w:color="auto"/>
            </w:tcBorders>
          </w:tcPr>
          <w:p w:rsidR="00870736" w:rsidRPr="002A1A33" w:rsidRDefault="00AA4021"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709"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567"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02"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11" w:type="dxa"/>
            <w:gridSpan w:val="2"/>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40"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52" w:type="dxa"/>
            <w:gridSpan w:val="2"/>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567"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gridSpan w:val="2"/>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567"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567" w:type="dxa"/>
            <w:gridSpan w:val="2"/>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6"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hideMark/>
          </w:tcPr>
          <w:p w:rsidR="00870736" w:rsidRPr="002A1A33" w:rsidRDefault="00870736" w:rsidP="00870736">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6" w:type="dxa"/>
            <w:tcBorders>
              <w:top w:val="single" w:sz="6" w:space="0" w:color="auto"/>
              <w:left w:val="single" w:sz="6" w:space="0" w:color="auto"/>
              <w:bottom w:val="single" w:sz="6" w:space="0" w:color="auto"/>
              <w:right w:val="single" w:sz="6" w:space="0" w:color="auto"/>
            </w:tcBorders>
          </w:tcPr>
          <w:p w:rsidR="00870736" w:rsidRDefault="00787FCD"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5369D0"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5369D0" w:rsidRPr="00675BB1"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hideMark/>
          </w:tcPr>
          <w:p w:rsidR="005369D0" w:rsidRPr="002A1A33" w:rsidRDefault="005369D0" w:rsidP="005369D0">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hideMark/>
          </w:tcPr>
          <w:p w:rsidR="005369D0" w:rsidRPr="002A1A33" w:rsidRDefault="005369D0" w:rsidP="005369D0">
            <w:pPr>
              <w:rPr>
                <w:sz w:val="23"/>
                <w:szCs w:val="23"/>
                <w:lang w:val="en-US"/>
              </w:rPr>
            </w:pPr>
            <w:r w:rsidRPr="002A1A33">
              <w:rPr>
                <w:sz w:val="23"/>
                <w:szCs w:val="23"/>
                <w:lang w:val="en-US"/>
              </w:rPr>
              <w:t>Carina Ohlsson (S)</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02540F" w:rsidRDefault="005369D0" w:rsidP="005369D0">
            <w:pPr>
              <w:rPr>
                <w:sz w:val="23"/>
                <w:szCs w:val="23"/>
              </w:rPr>
            </w:pPr>
            <w:r w:rsidRPr="0002540F">
              <w:rPr>
                <w:sz w:val="23"/>
                <w:szCs w:val="23"/>
              </w:rPr>
              <w:t>Mattias Karlsson i Luleå (M)</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lang w:val="en-US"/>
              </w:rPr>
            </w:pPr>
            <w:r w:rsidRPr="00E20E52">
              <w:rPr>
                <w:sz w:val="23"/>
                <w:szCs w:val="23"/>
              </w:rPr>
              <w:t>Ludvig Aspling</w:t>
            </w:r>
            <w:r w:rsidRPr="00055868">
              <w:rPr>
                <w:sz w:val="22"/>
                <w:szCs w:val="22"/>
              </w:rPr>
              <w:t xml:space="preserve"> (SD)</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lang w:val="en-US"/>
              </w:rPr>
            </w:pPr>
            <w:r w:rsidRPr="002A1A33">
              <w:rPr>
                <w:sz w:val="23"/>
                <w:szCs w:val="23"/>
                <w:lang w:val="en-US"/>
              </w:rPr>
              <w:t>Teresa Carvalho (S)</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2862C6"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870736" w:rsidRPr="002A1A33" w:rsidRDefault="00870736" w:rsidP="00870736">
            <w:pPr>
              <w:rPr>
                <w:sz w:val="23"/>
                <w:szCs w:val="23"/>
                <w:lang w:val="en-US"/>
              </w:rPr>
            </w:pPr>
            <w:r w:rsidRPr="00DA26F4">
              <w:rPr>
                <w:sz w:val="23"/>
                <w:szCs w:val="23"/>
                <w:lang w:val="en-US"/>
              </w:rPr>
              <w:t>Martina Johansson (C)</w:t>
            </w:r>
          </w:p>
        </w:tc>
        <w:tc>
          <w:tcPr>
            <w:tcW w:w="426" w:type="dxa"/>
            <w:tcBorders>
              <w:top w:val="single" w:sz="6" w:space="0" w:color="auto"/>
              <w:left w:val="single" w:sz="6" w:space="0" w:color="auto"/>
              <w:bottom w:val="single" w:sz="6" w:space="0" w:color="auto"/>
              <w:right w:val="single" w:sz="6" w:space="0" w:color="auto"/>
            </w:tcBorders>
          </w:tcPr>
          <w:p w:rsidR="00870736" w:rsidRDefault="002862C6" w:rsidP="00870736">
            <w:r>
              <w:t>–</w:t>
            </w: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425" w:type="dxa"/>
            <w:tcBorders>
              <w:top w:val="single" w:sz="6" w:space="0" w:color="auto"/>
              <w:left w:val="single" w:sz="6" w:space="0" w:color="auto"/>
              <w:bottom w:val="single" w:sz="6" w:space="0" w:color="auto"/>
              <w:right w:val="single" w:sz="6" w:space="0" w:color="auto"/>
            </w:tcBorders>
          </w:tcPr>
          <w:p w:rsidR="00870736" w:rsidRDefault="002862C6" w:rsidP="00870736">
            <w:r>
              <w:t>–</w:t>
            </w: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870736" w:rsidRPr="002A1A33" w:rsidRDefault="00870736" w:rsidP="00870736">
            <w:pPr>
              <w:rPr>
                <w:sz w:val="23"/>
                <w:szCs w:val="23"/>
                <w:lang w:val="en-US"/>
              </w:rPr>
            </w:pPr>
            <w:r>
              <w:rPr>
                <w:sz w:val="23"/>
                <w:szCs w:val="23"/>
                <w:lang w:val="en-US"/>
              </w:rPr>
              <w:t>Ida Gabrielsson (V)</w:t>
            </w:r>
          </w:p>
        </w:tc>
        <w:tc>
          <w:tcPr>
            <w:tcW w:w="426" w:type="dxa"/>
            <w:tcBorders>
              <w:top w:val="single" w:sz="6" w:space="0" w:color="auto"/>
              <w:left w:val="single" w:sz="6" w:space="0" w:color="auto"/>
              <w:bottom w:val="single" w:sz="6" w:space="0" w:color="auto"/>
              <w:right w:val="single" w:sz="6" w:space="0" w:color="auto"/>
            </w:tcBorders>
          </w:tcPr>
          <w:p w:rsidR="00870736" w:rsidRPr="003F54B5" w:rsidRDefault="00AA4021" w:rsidP="00870736">
            <w:r>
              <w:t>–</w:t>
            </w:r>
          </w:p>
        </w:tc>
        <w:tc>
          <w:tcPr>
            <w:tcW w:w="425" w:type="dxa"/>
            <w:tcBorders>
              <w:top w:val="single" w:sz="6" w:space="0" w:color="auto"/>
              <w:left w:val="single" w:sz="6" w:space="0" w:color="auto"/>
              <w:bottom w:val="single" w:sz="6" w:space="0" w:color="auto"/>
              <w:right w:val="single" w:sz="6" w:space="0" w:color="auto"/>
            </w:tcBorders>
          </w:tcPr>
          <w:p w:rsidR="00870736" w:rsidRPr="003F54B5" w:rsidRDefault="00870736" w:rsidP="00870736"/>
        </w:tc>
        <w:tc>
          <w:tcPr>
            <w:tcW w:w="425" w:type="dxa"/>
            <w:tcBorders>
              <w:top w:val="single" w:sz="6" w:space="0" w:color="auto"/>
              <w:left w:val="single" w:sz="6" w:space="0" w:color="auto"/>
              <w:bottom w:val="single" w:sz="6" w:space="0" w:color="auto"/>
              <w:right w:val="single" w:sz="6" w:space="0" w:color="auto"/>
            </w:tcBorders>
          </w:tcPr>
          <w:p w:rsidR="00870736" w:rsidRDefault="00AA4021" w:rsidP="00870736">
            <w:r>
              <w:t>–</w:t>
            </w:r>
          </w:p>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302"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Default="00870736" w:rsidP="00870736"/>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lang w:val="en-US"/>
              </w:rPr>
            </w:pPr>
            <w:r w:rsidRPr="002A1A33">
              <w:rPr>
                <w:sz w:val="23"/>
                <w:szCs w:val="23"/>
                <w:lang w:val="en-US"/>
              </w:rPr>
              <w:t>Katarina Brännström (M)</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Default="005369D0" w:rsidP="005369D0"/>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lang w:val="en-US"/>
              </w:rPr>
            </w:pPr>
            <w:r w:rsidRPr="002A1A33">
              <w:rPr>
                <w:sz w:val="23"/>
                <w:szCs w:val="23"/>
                <w:lang w:val="en-US"/>
              </w:rPr>
              <w:t>Julia Kronlid (SD)</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lang w:val="en-US"/>
              </w:rPr>
            </w:pPr>
            <w:r w:rsidRPr="00A67973">
              <w:rPr>
                <w:sz w:val="23"/>
                <w:szCs w:val="23"/>
              </w:rPr>
              <w:t>Emilia Töyrä (S)</w:t>
            </w:r>
          </w:p>
        </w:tc>
        <w:tc>
          <w:tcPr>
            <w:tcW w:w="426" w:type="dxa"/>
            <w:tcBorders>
              <w:top w:val="single" w:sz="6" w:space="0" w:color="auto"/>
              <w:left w:val="single" w:sz="6" w:space="0" w:color="auto"/>
              <w:bottom w:val="single" w:sz="6" w:space="0" w:color="auto"/>
              <w:right w:val="single" w:sz="6" w:space="0" w:color="auto"/>
            </w:tcBorders>
          </w:tcPr>
          <w:p w:rsidR="005369D0" w:rsidRPr="003F54B5" w:rsidRDefault="002862C6" w:rsidP="005369D0">
            <w:r>
              <w:t>–</w:t>
            </w:r>
          </w:p>
        </w:tc>
        <w:tc>
          <w:tcPr>
            <w:tcW w:w="425" w:type="dxa"/>
            <w:tcBorders>
              <w:top w:val="single" w:sz="6" w:space="0" w:color="auto"/>
              <w:left w:val="single" w:sz="6" w:space="0" w:color="auto"/>
              <w:bottom w:val="single" w:sz="6" w:space="0" w:color="auto"/>
              <w:right w:val="single" w:sz="6" w:space="0" w:color="auto"/>
            </w:tcBorders>
          </w:tcPr>
          <w:p w:rsidR="005369D0" w:rsidRPr="003F54B5" w:rsidRDefault="005369D0" w:rsidP="005369D0"/>
        </w:tc>
        <w:tc>
          <w:tcPr>
            <w:tcW w:w="425" w:type="dxa"/>
            <w:tcBorders>
              <w:top w:val="single" w:sz="6" w:space="0" w:color="auto"/>
              <w:left w:val="single" w:sz="6" w:space="0" w:color="auto"/>
              <w:bottom w:val="single" w:sz="6" w:space="0" w:color="auto"/>
              <w:right w:val="single" w:sz="6" w:space="0" w:color="auto"/>
            </w:tcBorders>
          </w:tcPr>
          <w:p w:rsidR="005369D0" w:rsidRDefault="002862C6" w:rsidP="005369D0">
            <w:r>
              <w:t>–</w:t>
            </w:r>
          </w:p>
        </w:tc>
        <w:tc>
          <w:tcPr>
            <w:tcW w:w="567" w:type="dxa"/>
            <w:tcBorders>
              <w:top w:val="single" w:sz="6" w:space="0" w:color="auto"/>
              <w:left w:val="single" w:sz="6" w:space="0" w:color="auto"/>
              <w:bottom w:val="single" w:sz="6" w:space="0" w:color="auto"/>
              <w:right w:val="single" w:sz="6" w:space="0" w:color="auto"/>
            </w:tcBorders>
          </w:tcPr>
          <w:p w:rsidR="005369D0" w:rsidRDefault="005369D0" w:rsidP="005369D0"/>
        </w:tc>
        <w:tc>
          <w:tcPr>
            <w:tcW w:w="567" w:type="dxa"/>
            <w:tcBorders>
              <w:top w:val="single" w:sz="6" w:space="0" w:color="auto"/>
              <w:left w:val="single" w:sz="6" w:space="0" w:color="auto"/>
              <w:bottom w:val="single" w:sz="6" w:space="0" w:color="auto"/>
              <w:right w:val="single" w:sz="6" w:space="0" w:color="auto"/>
            </w:tcBorders>
          </w:tcPr>
          <w:p w:rsidR="005369D0" w:rsidRDefault="005369D0" w:rsidP="005369D0"/>
        </w:tc>
        <w:tc>
          <w:tcPr>
            <w:tcW w:w="567" w:type="dxa"/>
            <w:tcBorders>
              <w:top w:val="single" w:sz="6" w:space="0" w:color="auto"/>
              <w:left w:val="single" w:sz="6" w:space="0" w:color="auto"/>
              <w:bottom w:val="single" w:sz="6" w:space="0" w:color="auto"/>
              <w:right w:val="single" w:sz="6" w:space="0" w:color="auto"/>
            </w:tcBorders>
          </w:tcPr>
          <w:p w:rsidR="005369D0" w:rsidRDefault="005369D0" w:rsidP="005369D0"/>
        </w:tc>
        <w:tc>
          <w:tcPr>
            <w:tcW w:w="302" w:type="dxa"/>
            <w:tcBorders>
              <w:top w:val="single" w:sz="6" w:space="0" w:color="auto"/>
              <w:left w:val="single" w:sz="6" w:space="0" w:color="auto"/>
              <w:bottom w:val="single" w:sz="6" w:space="0" w:color="auto"/>
              <w:right w:val="single" w:sz="6" w:space="0" w:color="auto"/>
            </w:tcBorders>
          </w:tcPr>
          <w:p w:rsidR="005369D0" w:rsidRDefault="005369D0" w:rsidP="005369D0"/>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lang w:val="en-US"/>
              </w:rPr>
            </w:pPr>
            <w:r w:rsidRPr="002A1A33">
              <w:rPr>
                <w:sz w:val="23"/>
                <w:szCs w:val="23"/>
                <w:lang w:val="en-US"/>
              </w:rPr>
              <w:t>Hans Eklind (KD)</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75CC9"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D75CC9" w:rsidRPr="002A1A33" w:rsidRDefault="00D75CC9" w:rsidP="00D75CC9">
            <w:pPr>
              <w:rPr>
                <w:sz w:val="23"/>
                <w:szCs w:val="23"/>
                <w:lang w:val="en-US"/>
              </w:rPr>
            </w:pPr>
            <w:r w:rsidRPr="002A1A33">
              <w:rPr>
                <w:sz w:val="23"/>
                <w:szCs w:val="23"/>
                <w:lang w:val="en-US"/>
              </w:rPr>
              <w:t>Björn Petersson (S)</w:t>
            </w:r>
          </w:p>
        </w:tc>
        <w:tc>
          <w:tcPr>
            <w:tcW w:w="426" w:type="dxa"/>
            <w:tcBorders>
              <w:top w:val="single" w:sz="6" w:space="0" w:color="auto"/>
              <w:left w:val="single" w:sz="6" w:space="0" w:color="auto"/>
              <w:bottom w:val="single" w:sz="6" w:space="0" w:color="auto"/>
              <w:right w:val="single" w:sz="6" w:space="0" w:color="auto"/>
            </w:tcBorders>
          </w:tcPr>
          <w:p w:rsidR="00D75CC9" w:rsidRDefault="002862C6"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D75CC9"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D75CC9" w:rsidRPr="002A1A33" w:rsidRDefault="002862C6"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Default="00D75CC9" w:rsidP="00D75CC9"/>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870736" w:rsidRPr="002A1A33" w:rsidRDefault="00870736" w:rsidP="00870736">
            <w:pPr>
              <w:rPr>
                <w:sz w:val="23"/>
                <w:szCs w:val="23"/>
                <w:lang w:val="en-US"/>
              </w:rPr>
            </w:pPr>
            <w:r>
              <w:rPr>
                <w:sz w:val="23"/>
                <w:szCs w:val="23"/>
                <w:lang w:val="en-US"/>
              </w:rPr>
              <w:t>Bengt Eliasson (L)</w:t>
            </w:r>
          </w:p>
        </w:tc>
        <w:tc>
          <w:tcPr>
            <w:tcW w:w="426" w:type="dxa"/>
            <w:tcBorders>
              <w:top w:val="single" w:sz="6" w:space="0" w:color="auto"/>
              <w:left w:val="single" w:sz="6" w:space="0" w:color="auto"/>
              <w:bottom w:val="single" w:sz="6" w:space="0" w:color="auto"/>
              <w:right w:val="single" w:sz="6" w:space="0" w:color="auto"/>
            </w:tcBorders>
          </w:tcPr>
          <w:p w:rsidR="00870736" w:rsidRPr="003F54B5" w:rsidRDefault="002862C6" w:rsidP="00870736">
            <w:r>
              <w:t>–</w:t>
            </w:r>
          </w:p>
        </w:tc>
        <w:tc>
          <w:tcPr>
            <w:tcW w:w="425" w:type="dxa"/>
            <w:tcBorders>
              <w:top w:val="single" w:sz="6" w:space="0" w:color="auto"/>
              <w:left w:val="single" w:sz="6" w:space="0" w:color="auto"/>
              <w:bottom w:val="single" w:sz="6" w:space="0" w:color="auto"/>
              <w:right w:val="single" w:sz="6" w:space="0" w:color="auto"/>
            </w:tcBorders>
          </w:tcPr>
          <w:p w:rsidR="00870736" w:rsidRPr="003F54B5" w:rsidRDefault="00870736" w:rsidP="00870736"/>
        </w:tc>
        <w:tc>
          <w:tcPr>
            <w:tcW w:w="425" w:type="dxa"/>
            <w:tcBorders>
              <w:top w:val="single" w:sz="6" w:space="0" w:color="auto"/>
              <w:left w:val="single" w:sz="6" w:space="0" w:color="auto"/>
              <w:bottom w:val="single" w:sz="6" w:space="0" w:color="auto"/>
              <w:right w:val="single" w:sz="6" w:space="0" w:color="auto"/>
            </w:tcBorders>
          </w:tcPr>
          <w:p w:rsidR="00870736" w:rsidRDefault="002862C6" w:rsidP="00870736">
            <w:r>
              <w:t>–</w:t>
            </w:r>
          </w:p>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302"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rPr>
            </w:pPr>
            <w:r w:rsidRPr="00514B85">
              <w:rPr>
                <w:sz w:val="22"/>
                <w:szCs w:val="23"/>
              </w:rPr>
              <w:t>Jonas Andersson i Skellefteå (SD)</w:t>
            </w:r>
          </w:p>
        </w:tc>
        <w:tc>
          <w:tcPr>
            <w:tcW w:w="426"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5369D0"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5369D0" w:rsidRPr="002A1A33" w:rsidRDefault="005369D0" w:rsidP="005369D0">
            <w:pPr>
              <w:rPr>
                <w:sz w:val="23"/>
                <w:szCs w:val="23"/>
              </w:rPr>
            </w:pPr>
            <w:r w:rsidRPr="00A67973">
              <w:rPr>
                <w:sz w:val="23"/>
                <w:szCs w:val="23"/>
              </w:rPr>
              <w:t>Rasmus Ling (MP)</w:t>
            </w:r>
          </w:p>
        </w:tc>
        <w:tc>
          <w:tcPr>
            <w:tcW w:w="426" w:type="dxa"/>
            <w:tcBorders>
              <w:top w:val="single" w:sz="6" w:space="0" w:color="auto"/>
              <w:left w:val="single" w:sz="6" w:space="0" w:color="auto"/>
              <w:bottom w:val="single" w:sz="6" w:space="0" w:color="auto"/>
              <w:right w:val="single" w:sz="6" w:space="0" w:color="auto"/>
            </w:tcBorders>
          </w:tcPr>
          <w:p w:rsidR="005369D0" w:rsidRDefault="002862C6"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p>
        </w:tc>
        <w:tc>
          <w:tcPr>
            <w:tcW w:w="425" w:type="dxa"/>
            <w:tcBorders>
              <w:top w:val="single" w:sz="6" w:space="0" w:color="auto"/>
              <w:left w:val="single" w:sz="6" w:space="0" w:color="auto"/>
              <w:bottom w:val="single" w:sz="6" w:space="0" w:color="auto"/>
              <w:right w:val="single" w:sz="6" w:space="0" w:color="auto"/>
            </w:tcBorders>
          </w:tcPr>
          <w:p w:rsidR="005369D0"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5369D0" w:rsidRPr="002A1A33" w:rsidRDefault="005369D0" w:rsidP="005369D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vAlign w:val="bottom"/>
          </w:tcPr>
          <w:p w:rsidR="00870736" w:rsidRPr="002A1A33" w:rsidRDefault="00870736" w:rsidP="00870736">
            <w:pPr>
              <w:rPr>
                <w:sz w:val="23"/>
                <w:szCs w:val="23"/>
              </w:rPr>
            </w:pPr>
            <w:r w:rsidRPr="002A1A33">
              <w:rPr>
                <w:sz w:val="23"/>
                <w:szCs w:val="23"/>
              </w:rPr>
              <w:t>Arin Karapet (M)</w:t>
            </w:r>
          </w:p>
        </w:tc>
        <w:tc>
          <w:tcPr>
            <w:tcW w:w="426" w:type="dxa"/>
            <w:tcBorders>
              <w:top w:val="single" w:sz="6" w:space="0" w:color="auto"/>
              <w:left w:val="single" w:sz="6" w:space="0" w:color="auto"/>
              <w:bottom w:val="single" w:sz="6" w:space="0" w:color="auto"/>
              <w:right w:val="single" w:sz="6" w:space="0" w:color="auto"/>
            </w:tcBorders>
          </w:tcPr>
          <w:p w:rsidR="00870736" w:rsidRDefault="00787FCD"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AA4021"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hideMark/>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6"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2"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40"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2A1A33"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Mattias Vepsä (S)</w:t>
            </w:r>
          </w:p>
        </w:tc>
        <w:tc>
          <w:tcPr>
            <w:tcW w:w="426"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Ann-Sofie Alm (M)</w:t>
            </w:r>
          </w:p>
        </w:tc>
        <w:tc>
          <w:tcPr>
            <w:tcW w:w="426" w:type="dxa"/>
            <w:tcBorders>
              <w:top w:val="single" w:sz="6" w:space="0" w:color="auto"/>
              <w:left w:val="single" w:sz="6" w:space="0" w:color="auto"/>
              <w:bottom w:val="single" w:sz="6" w:space="0" w:color="auto"/>
              <w:right w:val="single" w:sz="6" w:space="0" w:color="auto"/>
            </w:tcBorders>
          </w:tcPr>
          <w:p w:rsidR="00870736"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5CC9"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rPr>
                <w:sz w:val="22"/>
                <w:szCs w:val="22"/>
              </w:rPr>
            </w:pPr>
            <w:r>
              <w:rPr>
                <w:sz w:val="22"/>
                <w:szCs w:val="22"/>
              </w:rPr>
              <w:t>Elsemarie Bjellqvist</w:t>
            </w:r>
            <w:r w:rsidRPr="00055868">
              <w:rPr>
                <w:sz w:val="22"/>
                <w:szCs w:val="22"/>
              </w:rPr>
              <w:t xml:space="preserve"> (S)</w:t>
            </w:r>
          </w:p>
        </w:tc>
        <w:tc>
          <w:tcPr>
            <w:tcW w:w="426" w:type="dxa"/>
            <w:tcBorders>
              <w:top w:val="single" w:sz="6" w:space="0" w:color="auto"/>
              <w:left w:val="single" w:sz="6" w:space="0" w:color="auto"/>
              <w:bottom w:val="single" w:sz="6" w:space="0" w:color="auto"/>
              <w:right w:val="single" w:sz="6" w:space="0" w:color="auto"/>
            </w:tcBorders>
          </w:tcPr>
          <w:p w:rsidR="00D75CC9" w:rsidRDefault="002862C6"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D75CC9"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D75CC9" w:rsidRPr="002A1A33" w:rsidRDefault="002862C6"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Default="00D75CC9" w:rsidP="00D75CC9"/>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Pr>
                <w:sz w:val="22"/>
                <w:szCs w:val="22"/>
              </w:rPr>
              <w:t>Vakant</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5CC9"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rPr>
                <w:sz w:val="22"/>
                <w:szCs w:val="22"/>
              </w:rPr>
            </w:pPr>
            <w:r w:rsidRPr="00055868">
              <w:rPr>
                <w:sz w:val="22"/>
                <w:szCs w:val="22"/>
              </w:rPr>
              <w:t>Jennie Åfeldt (SD)</w:t>
            </w:r>
          </w:p>
        </w:tc>
        <w:tc>
          <w:tcPr>
            <w:tcW w:w="426" w:type="dxa"/>
            <w:tcBorders>
              <w:top w:val="single" w:sz="6" w:space="0" w:color="auto"/>
              <w:left w:val="single" w:sz="6" w:space="0" w:color="auto"/>
              <w:bottom w:val="single" w:sz="6" w:space="0" w:color="auto"/>
              <w:right w:val="single" w:sz="6" w:space="0" w:color="auto"/>
            </w:tcBorders>
          </w:tcPr>
          <w:p w:rsidR="00D75CC9"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D75CC9"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Default="00D75CC9" w:rsidP="00D75CC9"/>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Paula Holmqvist (S)</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Jonny Cato (C)</w:t>
            </w:r>
          </w:p>
        </w:tc>
        <w:tc>
          <w:tcPr>
            <w:tcW w:w="426" w:type="dxa"/>
            <w:tcBorders>
              <w:top w:val="single" w:sz="6" w:space="0" w:color="auto"/>
              <w:left w:val="single" w:sz="6" w:space="0" w:color="auto"/>
              <w:bottom w:val="single" w:sz="6" w:space="0" w:color="auto"/>
              <w:right w:val="single" w:sz="6" w:space="0" w:color="auto"/>
            </w:tcBorders>
          </w:tcPr>
          <w:p w:rsidR="00870736"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AA4021"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5CC9"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rPr>
                <w:sz w:val="22"/>
                <w:szCs w:val="22"/>
              </w:rPr>
            </w:pPr>
            <w:r>
              <w:rPr>
                <w:sz w:val="22"/>
                <w:szCs w:val="22"/>
              </w:rPr>
              <w:t>Tony Haddou</w:t>
            </w:r>
            <w:r w:rsidRPr="00055868">
              <w:rPr>
                <w:sz w:val="22"/>
                <w:szCs w:val="22"/>
              </w:rPr>
              <w:t xml:space="preserve"> (V)</w:t>
            </w:r>
          </w:p>
        </w:tc>
        <w:tc>
          <w:tcPr>
            <w:tcW w:w="426" w:type="dxa"/>
            <w:tcBorders>
              <w:top w:val="single" w:sz="6" w:space="0" w:color="auto"/>
              <w:left w:val="single" w:sz="6" w:space="0" w:color="auto"/>
              <w:bottom w:val="single" w:sz="6" w:space="0" w:color="auto"/>
              <w:right w:val="single" w:sz="6" w:space="0" w:color="auto"/>
            </w:tcBorders>
          </w:tcPr>
          <w:p w:rsidR="00D75CC9" w:rsidRDefault="00AA4021"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D75CC9"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D75CC9" w:rsidRPr="002A1A33" w:rsidRDefault="00AA4021"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Default="00D75CC9" w:rsidP="00D75CC9"/>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2"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11"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40"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52" w:type="dxa"/>
            <w:gridSpan w:val="2"/>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67" w:type="dxa"/>
            <w:tcBorders>
              <w:top w:val="single" w:sz="6" w:space="0" w:color="auto"/>
              <w:left w:val="single" w:sz="6" w:space="0" w:color="auto"/>
              <w:bottom w:val="single" w:sz="6" w:space="0" w:color="auto"/>
              <w:right w:val="single" w:sz="6" w:space="0" w:color="auto"/>
            </w:tcBorders>
          </w:tcPr>
          <w:p w:rsidR="00D75CC9" w:rsidRPr="002A1A33"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Ellen Juntti (M)</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Åsa Karlsson (S)</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Pia Steensland (KD)</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Dag Larsson (S)</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75CC9"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rPr>
                <w:sz w:val="22"/>
                <w:szCs w:val="22"/>
              </w:rPr>
            </w:pPr>
            <w:r>
              <w:rPr>
                <w:sz w:val="22"/>
                <w:szCs w:val="22"/>
              </w:rPr>
              <w:t>Robert Hannah (L)</w:t>
            </w:r>
          </w:p>
        </w:tc>
        <w:tc>
          <w:tcPr>
            <w:tcW w:w="426" w:type="dxa"/>
            <w:tcBorders>
              <w:top w:val="single" w:sz="6" w:space="0" w:color="auto"/>
              <w:left w:val="single" w:sz="6" w:space="0" w:color="auto"/>
              <w:bottom w:val="single" w:sz="6" w:space="0" w:color="auto"/>
              <w:right w:val="single" w:sz="6" w:space="0" w:color="auto"/>
            </w:tcBorders>
          </w:tcPr>
          <w:p w:rsidR="00D75CC9" w:rsidRDefault="002862C6"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75CC9"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75CC9" w:rsidRPr="00055868" w:rsidRDefault="005369D0"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D75CC9" w:rsidRPr="00E0349D"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75CC9" w:rsidRPr="00E0349D"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D75CC9" w:rsidRPr="00055868" w:rsidRDefault="00D75CC9" w:rsidP="00D75CC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Lars Andersson (SD)</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Pr>
                <w:sz w:val="22"/>
                <w:szCs w:val="22"/>
              </w:rPr>
              <w:t>Martin Marmgren</w:t>
            </w:r>
            <w:r w:rsidRPr="00055868">
              <w:rPr>
                <w:sz w:val="22"/>
                <w:szCs w:val="22"/>
              </w:rPr>
              <w:t xml:space="preserve"> (MP)</w:t>
            </w:r>
          </w:p>
        </w:tc>
        <w:tc>
          <w:tcPr>
            <w:tcW w:w="426"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Default="00870736" w:rsidP="00870736"/>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Erik Ottoson (M)</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055868"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rPr>
                <w:sz w:val="22"/>
                <w:szCs w:val="22"/>
              </w:rPr>
            </w:pPr>
            <w:r w:rsidRPr="00055868">
              <w:rPr>
                <w:sz w:val="22"/>
                <w:szCs w:val="22"/>
              </w:rPr>
              <w:t>Clara Aranda (SD)</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775B0D"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2"/>
                <w:szCs w:val="22"/>
                <w:lang w:val="en-US"/>
              </w:rPr>
            </w:pPr>
            <w:r w:rsidRPr="00A67973">
              <w:rPr>
                <w:sz w:val="22"/>
                <w:szCs w:val="22"/>
                <w:lang w:val="en-US"/>
              </w:rPr>
              <w:t xml:space="preserve">Ann-Christine From Utterstedt </w:t>
            </w:r>
            <w:r w:rsidRPr="00A67973">
              <w:rPr>
                <w:sz w:val="20"/>
                <w:lang w:val="en-US"/>
              </w:rPr>
              <w:t>(SD)</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Pr>
                <w:sz w:val="23"/>
                <w:szCs w:val="23"/>
              </w:rPr>
              <w:t>Fredrik Malm</w:t>
            </w:r>
            <w:r w:rsidRPr="00A67973">
              <w:rPr>
                <w:sz w:val="23"/>
                <w:szCs w:val="23"/>
              </w:rPr>
              <w:t xml:space="preserve"> (L)</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Pr>
                <w:sz w:val="23"/>
                <w:szCs w:val="23"/>
              </w:rPr>
              <w:t>Barbro Westerholm (L)</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sidRPr="00DA26F4">
              <w:rPr>
                <w:sz w:val="23"/>
                <w:szCs w:val="23"/>
              </w:rPr>
              <w:t>Catarina Deremar (C)</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sidRPr="00A67973">
              <w:rPr>
                <w:sz w:val="23"/>
                <w:szCs w:val="23"/>
              </w:rPr>
              <w:t>Ciczie Weidby (V)</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sidRPr="00055868">
              <w:rPr>
                <w:sz w:val="23"/>
                <w:szCs w:val="23"/>
              </w:rPr>
              <w:t>Andreas Carlson (KD)</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sidRPr="00A67973">
              <w:rPr>
                <w:sz w:val="23"/>
                <w:szCs w:val="23"/>
              </w:rPr>
              <w:t>Sofia Damm (KD)</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Pr>
                <w:sz w:val="23"/>
                <w:szCs w:val="23"/>
              </w:rPr>
              <w:t>Vakant</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Pr>
                <w:sz w:val="23"/>
                <w:szCs w:val="23"/>
              </w:rPr>
              <w:t>Annika Hirvonen (MP)</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sidRPr="00A67973">
              <w:rPr>
                <w:sz w:val="23"/>
                <w:szCs w:val="23"/>
              </w:rPr>
              <w:t>Fredrik Lundh Sammeli (S)</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rPr>
            </w:pPr>
            <w:r>
              <w:rPr>
                <w:sz w:val="23"/>
                <w:szCs w:val="23"/>
              </w:rPr>
              <w:t>Vakant</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870736" w:rsidP="00870736">
            <w:pPr>
              <w:rPr>
                <w:sz w:val="23"/>
                <w:szCs w:val="23"/>
                <w:lang w:val="en-US"/>
              </w:rPr>
            </w:pPr>
            <w:r w:rsidRPr="00A67973">
              <w:rPr>
                <w:sz w:val="23"/>
                <w:szCs w:val="23"/>
                <w:lang w:val="en-US"/>
              </w:rPr>
              <w:t>Roza Güclü Hedin (S)</w:t>
            </w:r>
          </w:p>
        </w:tc>
        <w:tc>
          <w:tcPr>
            <w:tcW w:w="426"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870736" w:rsidRPr="00A67973" w:rsidRDefault="00787FCD" w:rsidP="00870736">
            <w:pPr>
              <w:rPr>
                <w:sz w:val="23"/>
                <w:szCs w:val="23"/>
                <w:lang w:val="en-US"/>
              </w:rPr>
            </w:pPr>
            <w:r>
              <w:rPr>
                <w:sz w:val="23"/>
                <w:szCs w:val="23"/>
                <w:lang w:val="en-US"/>
              </w:rPr>
              <w:t>Lennart Sacrédeus (KD)</w:t>
            </w:r>
          </w:p>
        </w:tc>
        <w:tc>
          <w:tcPr>
            <w:tcW w:w="426" w:type="dxa"/>
            <w:tcBorders>
              <w:top w:val="single" w:sz="6" w:space="0" w:color="auto"/>
              <w:left w:val="single" w:sz="6" w:space="0" w:color="auto"/>
              <w:bottom w:val="single" w:sz="6" w:space="0" w:color="auto"/>
              <w:right w:val="single" w:sz="6" w:space="0" w:color="auto"/>
            </w:tcBorders>
          </w:tcPr>
          <w:p w:rsidR="00870736" w:rsidRDefault="00787FCD"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70736" w:rsidRPr="00055868" w:rsidRDefault="005369D0"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870736" w:rsidRPr="00055868"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862C6" w:rsidRPr="002A1A33" w:rsidTr="002862C6">
        <w:trPr>
          <w:gridAfter w:val="3"/>
          <w:wAfter w:w="965" w:type="dxa"/>
        </w:trPr>
        <w:tc>
          <w:tcPr>
            <w:tcW w:w="3402" w:type="dxa"/>
            <w:tcBorders>
              <w:top w:val="single" w:sz="6" w:space="0" w:color="auto"/>
              <w:left w:val="single" w:sz="6" w:space="0" w:color="auto"/>
              <w:bottom w:val="single" w:sz="6" w:space="0" w:color="auto"/>
              <w:right w:val="single" w:sz="6" w:space="0" w:color="auto"/>
            </w:tcBorders>
          </w:tcPr>
          <w:p w:rsidR="002862C6" w:rsidRDefault="002862C6" w:rsidP="00870736">
            <w:pPr>
              <w:rPr>
                <w:sz w:val="23"/>
                <w:szCs w:val="23"/>
                <w:lang w:val="en-US"/>
              </w:rPr>
            </w:pPr>
            <w:r>
              <w:rPr>
                <w:sz w:val="23"/>
                <w:szCs w:val="23"/>
                <w:lang w:val="en-US"/>
              </w:rPr>
              <w:t>Sanne Lennström (S)</w:t>
            </w:r>
          </w:p>
        </w:tc>
        <w:tc>
          <w:tcPr>
            <w:tcW w:w="426" w:type="dxa"/>
            <w:tcBorders>
              <w:top w:val="single" w:sz="6" w:space="0" w:color="auto"/>
              <w:left w:val="single" w:sz="6" w:space="0" w:color="auto"/>
              <w:bottom w:val="single" w:sz="6" w:space="0" w:color="auto"/>
              <w:right w:val="single" w:sz="6" w:space="0" w:color="auto"/>
            </w:tcBorders>
          </w:tcPr>
          <w:p w:rsidR="002862C6"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2862C6"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2862C6"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567"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2"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11" w:type="dxa"/>
            <w:gridSpan w:val="2"/>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0"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2" w:type="dxa"/>
            <w:gridSpan w:val="2"/>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rsidR="002862C6" w:rsidRPr="00055868" w:rsidRDefault="002862C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70736" w:rsidRPr="005F118E" w:rsidTr="005369D0">
        <w:trPr>
          <w:trHeight w:hRule="exact" w:val="57"/>
        </w:trPr>
        <w:tc>
          <w:tcPr>
            <w:tcW w:w="3402" w:type="dxa"/>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6237" w:type="dxa"/>
            <w:gridSpan w:val="17"/>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160" w:type="dxa"/>
            <w:gridSpan w:val="2"/>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gridSpan w:val="2"/>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nil"/>
              <w:left w:val="nil"/>
              <w:bottom w:val="nil"/>
              <w:right w:val="nil"/>
            </w:tcBorders>
          </w:tcPr>
          <w:p w:rsidR="00870736" w:rsidRPr="00CF22E1"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870736" w:rsidRPr="004D30F5" w:rsidTr="005369D0">
        <w:trPr>
          <w:trHeight w:val="263"/>
        </w:trPr>
        <w:tc>
          <w:tcPr>
            <w:tcW w:w="3402" w:type="dxa"/>
            <w:tcBorders>
              <w:top w:val="nil"/>
              <w:left w:val="nil"/>
              <w:bottom w:val="nil"/>
              <w:right w:val="nil"/>
            </w:tcBorders>
            <w:hideMark/>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426" w:type="dxa"/>
            <w:tcBorders>
              <w:top w:val="nil"/>
              <w:left w:val="nil"/>
              <w:bottom w:val="nil"/>
              <w:right w:val="nil"/>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6237" w:type="dxa"/>
            <w:gridSpan w:val="17"/>
            <w:vMerge w:val="restart"/>
            <w:tcBorders>
              <w:top w:val="nil"/>
              <w:left w:val="nil"/>
              <w:bottom w:val="nil"/>
              <w:right w:val="nil"/>
            </w:tcBorders>
            <w:hideMark/>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c>
          <w:tcPr>
            <w:tcW w:w="160" w:type="dxa"/>
            <w:gridSpan w:val="2"/>
            <w:tcBorders>
              <w:top w:val="nil"/>
              <w:left w:val="nil"/>
              <w:bottom w:val="nil"/>
              <w:right w:val="nil"/>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gridSpan w:val="2"/>
            <w:tcBorders>
              <w:top w:val="nil"/>
              <w:left w:val="nil"/>
              <w:bottom w:val="nil"/>
              <w:right w:val="nil"/>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70736"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870736" w:rsidRPr="004D30F5" w:rsidTr="005369D0">
        <w:trPr>
          <w:trHeight w:val="170"/>
        </w:trPr>
        <w:tc>
          <w:tcPr>
            <w:tcW w:w="3402" w:type="dxa"/>
            <w:tcBorders>
              <w:top w:val="nil"/>
              <w:left w:val="nil"/>
              <w:bottom w:val="nil"/>
              <w:right w:val="nil"/>
            </w:tcBorders>
            <w:hideMark/>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426" w:type="dxa"/>
            <w:tcBorders>
              <w:top w:val="nil"/>
              <w:left w:val="nil"/>
              <w:bottom w:val="nil"/>
              <w:right w:val="nil"/>
            </w:tcBorders>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6237" w:type="dxa"/>
            <w:gridSpan w:val="17"/>
            <w:vMerge/>
            <w:tcBorders>
              <w:top w:val="nil"/>
              <w:left w:val="nil"/>
              <w:bottom w:val="nil"/>
              <w:right w:val="nil"/>
            </w:tcBorders>
            <w:hideMark/>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160" w:type="dxa"/>
            <w:gridSpan w:val="2"/>
            <w:tcBorders>
              <w:top w:val="nil"/>
              <w:left w:val="nil"/>
              <w:bottom w:val="nil"/>
              <w:right w:val="nil"/>
            </w:tcBorders>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284" w:type="dxa"/>
            <w:gridSpan w:val="2"/>
            <w:tcBorders>
              <w:top w:val="nil"/>
              <w:left w:val="nil"/>
              <w:bottom w:val="nil"/>
              <w:right w:val="nil"/>
            </w:tcBorders>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425" w:type="dxa"/>
            <w:tcBorders>
              <w:top w:val="nil"/>
              <w:left w:val="nil"/>
              <w:bottom w:val="nil"/>
              <w:right w:val="nil"/>
            </w:tcBorders>
          </w:tcPr>
          <w:p w:rsidR="00870736" w:rsidRPr="004D30F5" w:rsidRDefault="00870736" w:rsidP="0087073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bookmarkEnd w:id="2"/>
    </w:tbl>
    <w:p w:rsidR="00870736" w:rsidRDefault="00870736" w:rsidP="00870736">
      <w:pPr>
        <w:tabs>
          <w:tab w:val="left" w:pos="1701"/>
        </w:tabs>
        <w:rPr>
          <w:sz w:val="4"/>
          <w:szCs w:val="4"/>
        </w:rPr>
      </w:pPr>
    </w:p>
    <w:sectPr w:rsidR="00870736" w:rsidSect="000F388E">
      <w:pgSz w:w="11906" w:h="16838" w:code="9"/>
      <w:pgMar w:top="284" w:right="1134" w:bottom="238" w:left="2268" w:header="720"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69B" w:rsidRDefault="00C6569B" w:rsidP="00631795">
      <w:r>
        <w:separator/>
      </w:r>
    </w:p>
  </w:endnote>
  <w:endnote w:type="continuationSeparator" w:id="0">
    <w:p w:rsidR="00C6569B" w:rsidRDefault="00C6569B"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69B" w:rsidRDefault="00C6569B" w:rsidP="00631795">
      <w:r>
        <w:separator/>
      </w:r>
    </w:p>
  </w:footnote>
  <w:footnote w:type="continuationSeparator" w:id="0">
    <w:p w:rsidR="00C6569B" w:rsidRDefault="00C6569B"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02332"/>
    <w:rsid w:val="0001671D"/>
    <w:rsid w:val="0002540F"/>
    <w:rsid w:val="00030ABE"/>
    <w:rsid w:val="000400AD"/>
    <w:rsid w:val="00040691"/>
    <w:rsid w:val="000412EA"/>
    <w:rsid w:val="00041FD2"/>
    <w:rsid w:val="00053E76"/>
    <w:rsid w:val="00055868"/>
    <w:rsid w:val="000616DB"/>
    <w:rsid w:val="00064E0C"/>
    <w:rsid w:val="00065F76"/>
    <w:rsid w:val="00070EB6"/>
    <w:rsid w:val="00072F27"/>
    <w:rsid w:val="00073D71"/>
    <w:rsid w:val="00074A59"/>
    <w:rsid w:val="00081A95"/>
    <w:rsid w:val="00093BD4"/>
    <w:rsid w:val="000949AD"/>
    <w:rsid w:val="00095048"/>
    <w:rsid w:val="000A4818"/>
    <w:rsid w:val="000B24ED"/>
    <w:rsid w:val="000C6298"/>
    <w:rsid w:val="000C7234"/>
    <w:rsid w:val="000E161F"/>
    <w:rsid w:val="000E7D03"/>
    <w:rsid w:val="000F0AD5"/>
    <w:rsid w:val="000F184D"/>
    <w:rsid w:val="000F2A32"/>
    <w:rsid w:val="000F3254"/>
    <w:rsid w:val="000F388E"/>
    <w:rsid w:val="0010715F"/>
    <w:rsid w:val="00107E4B"/>
    <w:rsid w:val="00113970"/>
    <w:rsid w:val="001141DB"/>
    <w:rsid w:val="0011425F"/>
    <w:rsid w:val="0011654F"/>
    <w:rsid w:val="00120A12"/>
    <w:rsid w:val="001211A3"/>
    <w:rsid w:val="00142A52"/>
    <w:rsid w:val="001441C2"/>
    <w:rsid w:val="001531D2"/>
    <w:rsid w:val="001602E5"/>
    <w:rsid w:val="0016078E"/>
    <w:rsid w:val="00161AA6"/>
    <w:rsid w:val="00161DFE"/>
    <w:rsid w:val="00165630"/>
    <w:rsid w:val="00175463"/>
    <w:rsid w:val="0018036E"/>
    <w:rsid w:val="001817B7"/>
    <w:rsid w:val="0018189D"/>
    <w:rsid w:val="00183C0C"/>
    <w:rsid w:val="00195A71"/>
    <w:rsid w:val="001975C7"/>
    <w:rsid w:val="001A7020"/>
    <w:rsid w:val="001B29C0"/>
    <w:rsid w:val="001B59E4"/>
    <w:rsid w:val="001C39BB"/>
    <w:rsid w:val="001F54F3"/>
    <w:rsid w:val="00211AAB"/>
    <w:rsid w:val="0021671F"/>
    <w:rsid w:val="00217602"/>
    <w:rsid w:val="00217D45"/>
    <w:rsid w:val="00250C53"/>
    <w:rsid w:val="00251677"/>
    <w:rsid w:val="00253302"/>
    <w:rsid w:val="002544E0"/>
    <w:rsid w:val="00274599"/>
    <w:rsid w:val="00277F32"/>
    <w:rsid w:val="002862C6"/>
    <w:rsid w:val="002931F9"/>
    <w:rsid w:val="002A1A33"/>
    <w:rsid w:val="002A2FE6"/>
    <w:rsid w:val="002B1D59"/>
    <w:rsid w:val="002B4C7D"/>
    <w:rsid w:val="002B5FBD"/>
    <w:rsid w:val="002C16EE"/>
    <w:rsid w:val="002C5921"/>
    <w:rsid w:val="002D656B"/>
    <w:rsid w:val="0032031B"/>
    <w:rsid w:val="00320B36"/>
    <w:rsid w:val="003325A5"/>
    <w:rsid w:val="00333A92"/>
    <w:rsid w:val="00347A55"/>
    <w:rsid w:val="003547EE"/>
    <w:rsid w:val="003553E5"/>
    <w:rsid w:val="00376FF7"/>
    <w:rsid w:val="003771A0"/>
    <w:rsid w:val="0038193D"/>
    <w:rsid w:val="0038247D"/>
    <w:rsid w:val="003835F4"/>
    <w:rsid w:val="00390300"/>
    <w:rsid w:val="00392DA1"/>
    <w:rsid w:val="00394A7E"/>
    <w:rsid w:val="003952A4"/>
    <w:rsid w:val="0039591D"/>
    <w:rsid w:val="003A1983"/>
    <w:rsid w:val="003B1C87"/>
    <w:rsid w:val="003B40CE"/>
    <w:rsid w:val="003C26F9"/>
    <w:rsid w:val="003C4540"/>
    <w:rsid w:val="003D4E30"/>
    <w:rsid w:val="003D6B33"/>
    <w:rsid w:val="003D6C7D"/>
    <w:rsid w:val="003E4AA0"/>
    <w:rsid w:val="003F5A35"/>
    <w:rsid w:val="003F5BD7"/>
    <w:rsid w:val="004008F6"/>
    <w:rsid w:val="00403AC6"/>
    <w:rsid w:val="0040548D"/>
    <w:rsid w:val="00412271"/>
    <w:rsid w:val="00413959"/>
    <w:rsid w:val="00430167"/>
    <w:rsid w:val="00443DB4"/>
    <w:rsid w:val="00447BD0"/>
    <w:rsid w:val="00447EA2"/>
    <w:rsid w:val="00453974"/>
    <w:rsid w:val="004659A3"/>
    <w:rsid w:val="00474E2B"/>
    <w:rsid w:val="00484380"/>
    <w:rsid w:val="004926D7"/>
    <w:rsid w:val="004B2502"/>
    <w:rsid w:val="004C2F6C"/>
    <w:rsid w:val="004C3A95"/>
    <w:rsid w:val="004C59D1"/>
    <w:rsid w:val="004D30F5"/>
    <w:rsid w:val="004D6191"/>
    <w:rsid w:val="004D68CE"/>
    <w:rsid w:val="004D7405"/>
    <w:rsid w:val="004F1558"/>
    <w:rsid w:val="004F1B55"/>
    <w:rsid w:val="004F42DA"/>
    <w:rsid w:val="004F680C"/>
    <w:rsid w:val="00515A13"/>
    <w:rsid w:val="00525B49"/>
    <w:rsid w:val="0052609E"/>
    <w:rsid w:val="005347A1"/>
    <w:rsid w:val="005369D0"/>
    <w:rsid w:val="005377E4"/>
    <w:rsid w:val="00541DD9"/>
    <w:rsid w:val="0055237C"/>
    <w:rsid w:val="0055511D"/>
    <w:rsid w:val="005646A3"/>
    <w:rsid w:val="00564DBB"/>
    <w:rsid w:val="005714D8"/>
    <w:rsid w:val="0057395B"/>
    <w:rsid w:val="005778AA"/>
    <w:rsid w:val="0059053E"/>
    <w:rsid w:val="00592D6B"/>
    <w:rsid w:val="00596129"/>
    <w:rsid w:val="00597FFD"/>
    <w:rsid w:val="005A0889"/>
    <w:rsid w:val="005A37D9"/>
    <w:rsid w:val="005A60F4"/>
    <w:rsid w:val="005B6D13"/>
    <w:rsid w:val="005C3E25"/>
    <w:rsid w:val="005D721E"/>
    <w:rsid w:val="005E05DE"/>
    <w:rsid w:val="005E6B21"/>
    <w:rsid w:val="005F118E"/>
    <w:rsid w:val="005F59C8"/>
    <w:rsid w:val="005F7D3E"/>
    <w:rsid w:val="00606D38"/>
    <w:rsid w:val="006110D1"/>
    <w:rsid w:val="00616572"/>
    <w:rsid w:val="00622B68"/>
    <w:rsid w:val="00631795"/>
    <w:rsid w:val="006318FE"/>
    <w:rsid w:val="0063430B"/>
    <w:rsid w:val="00634851"/>
    <w:rsid w:val="00640310"/>
    <w:rsid w:val="00640C19"/>
    <w:rsid w:val="0064344C"/>
    <w:rsid w:val="00656DD9"/>
    <w:rsid w:val="00660A8A"/>
    <w:rsid w:val="0066153C"/>
    <w:rsid w:val="006652C5"/>
    <w:rsid w:val="00666E01"/>
    <w:rsid w:val="00670187"/>
    <w:rsid w:val="00670477"/>
    <w:rsid w:val="006723B9"/>
    <w:rsid w:val="00674B70"/>
    <w:rsid w:val="00675BB1"/>
    <w:rsid w:val="0068513C"/>
    <w:rsid w:val="00685998"/>
    <w:rsid w:val="0069442A"/>
    <w:rsid w:val="006A56E8"/>
    <w:rsid w:val="006C21FA"/>
    <w:rsid w:val="006C2E17"/>
    <w:rsid w:val="006D1030"/>
    <w:rsid w:val="006D7ACC"/>
    <w:rsid w:val="006E06A4"/>
    <w:rsid w:val="006E5E91"/>
    <w:rsid w:val="006E774B"/>
    <w:rsid w:val="006F1BA9"/>
    <w:rsid w:val="006F41EB"/>
    <w:rsid w:val="006F6C7A"/>
    <w:rsid w:val="007026FD"/>
    <w:rsid w:val="00703D16"/>
    <w:rsid w:val="00705A0F"/>
    <w:rsid w:val="00711ECD"/>
    <w:rsid w:val="00711F2E"/>
    <w:rsid w:val="00721DB8"/>
    <w:rsid w:val="00723C10"/>
    <w:rsid w:val="00723DD0"/>
    <w:rsid w:val="00726C3B"/>
    <w:rsid w:val="00727D8D"/>
    <w:rsid w:val="00737EC8"/>
    <w:rsid w:val="00746974"/>
    <w:rsid w:val="00746B20"/>
    <w:rsid w:val="007752DF"/>
    <w:rsid w:val="00775B0D"/>
    <w:rsid w:val="00777875"/>
    <w:rsid w:val="0078232D"/>
    <w:rsid w:val="007860EE"/>
    <w:rsid w:val="00786461"/>
    <w:rsid w:val="00787DED"/>
    <w:rsid w:val="00787FCD"/>
    <w:rsid w:val="00792B26"/>
    <w:rsid w:val="00797764"/>
    <w:rsid w:val="007A327C"/>
    <w:rsid w:val="007B02AD"/>
    <w:rsid w:val="007C2BDB"/>
    <w:rsid w:val="007D4053"/>
    <w:rsid w:val="00804F25"/>
    <w:rsid w:val="00815846"/>
    <w:rsid w:val="0081753E"/>
    <w:rsid w:val="00820B85"/>
    <w:rsid w:val="00822388"/>
    <w:rsid w:val="00827461"/>
    <w:rsid w:val="008357F3"/>
    <w:rsid w:val="00836A92"/>
    <w:rsid w:val="008434C1"/>
    <w:rsid w:val="008557FA"/>
    <w:rsid w:val="00855D4E"/>
    <w:rsid w:val="008571EA"/>
    <w:rsid w:val="00861DDD"/>
    <w:rsid w:val="00866874"/>
    <w:rsid w:val="00870736"/>
    <w:rsid w:val="00871230"/>
    <w:rsid w:val="00880177"/>
    <w:rsid w:val="008842C3"/>
    <w:rsid w:val="00894188"/>
    <w:rsid w:val="00894D40"/>
    <w:rsid w:val="008A2F12"/>
    <w:rsid w:val="008A4D93"/>
    <w:rsid w:val="008C2D0B"/>
    <w:rsid w:val="008D1752"/>
    <w:rsid w:val="008D4D41"/>
    <w:rsid w:val="008D7F81"/>
    <w:rsid w:val="008E35ED"/>
    <w:rsid w:val="008E3706"/>
    <w:rsid w:val="008F2514"/>
    <w:rsid w:val="008F4378"/>
    <w:rsid w:val="008F62F9"/>
    <w:rsid w:val="00901669"/>
    <w:rsid w:val="00912575"/>
    <w:rsid w:val="0091285D"/>
    <w:rsid w:val="00913943"/>
    <w:rsid w:val="00914DCE"/>
    <w:rsid w:val="00916134"/>
    <w:rsid w:val="00916634"/>
    <w:rsid w:val="00924503"/>
    <w:rsid w:val="00940F4E"/>
    <w:rsid w:val="00945734"/>
    <w:rsid w:val="00946978"/>
    <w:rsid w:val="00956594"/>
    <w:rsid w:val="00957BD5"/>
    <w:rsid w:val="0096372C"/>
    <w:rsid w:val="009647BD"/>
    <w:rsid w:val="00965E44"/>
    <w:rsid w:val="00970E18"/>
    <w:rsid w:val="00973D8B"/>
    <w:rsid w:val="00977046"/>
    <w:rsid w:val="009800E4"/>
    <w:rsid w:val="00993648"/>
    <w:rsid w:val="009966EE"/>
    <w:rsid w:val="009B2236"/>
    <w:rsid w:val="009B458E"/>
    <w:rsid w:val="009C0A5C"/>
    <w:rsid w:val="009D00A8"/>
    <w:rsid w:val="009D65FE"/>
    <w:rsid w:val="009E118F"/>
    <w:rsid w:val="009E1625"/>
    <w:rsid w:val="009E2980"/>
    <w:rsid w:val="009E6E0D"/>
    <w:rsid w:val="009F0117"/>
    <w:rsid w:val="009F22E3"/>
    <w:rsid w:val="00A02114"/>
    <w:rsid w:val="00A0486E"/>
    <w:rsid w:val="00A04A4A"/>
    <w:rsid w:val="00A05767"/>
    <w:rsid w:val="00A07505"/>
    <w:rsid w:val="00A10085"/>
    <w:rsid w:val="00A119D6"/>
    <w:rsid w:val="00A1778A"/>
    <w:rsid w:val="00A20FBD"/>
    <w:rsid w:val="00A21853"/>
    <w:rsid w:val="00A2414A"/>
    <w:rsid w:val="00A25245"/>
    <w:rsid w:val="00A51C20"/>
    <w:rsid w:val="00A5427F"/>
    <w:rsid w:val="00A55283"/>
    <w:rsid w:val="00A6200C"/>
    <w:rsid w:val="00A64BA0"/>
    <w:rsid w:val="00A67973"/>
    <w:rsid w:val="00A80683"/>
    <w:rsid w:val="00A827D2"/>
    <w:rsid w:val="00A84808"/>
    <w:rsid w:val="00A8639C"/>
    <w:rsid w:val="00A90F6F"/>
    <w:rsid w:val="00A91D77"/>
    <w:rsid w:val="00A9464F"/>
    <w:rsid w:val="00AA4021"/>
    <w:rsid w:val="00AA6A03"/>
    <w:rsid w:val="00AC0186"/>
    <w:rsid w:val="00AC377C"/>
    <w:rsid w:val="00AC3854"/>
    <w:rsid w:val="00AC5412"/>
    <w:rsid w:val="00AD5D00"/>
    <w:rsid w:val="00AF1C07"/>
    <w:rsid w:val="00AF38AF"/>
    <w:rsid w:val="00AF5570"/>
    <w:rsid w:val="00B0007A"/>
    <w:rsid w:val="00B30142"/>
    <w:rsid w:val="00B30FEC"/>
    <w:rsid w:val="00B31485"/>
    <w:rsid w:val="00B4488D"/>
    <w:rsid w:val="00B45316"/>
    <w:rsid w:val="00B46785"/>
    <w:rsid w:val="00B4796F"/>
    <w:rsid w:val="00B47C0F"/>
    <w:rsid w:val="00B62306"/>
    <w:rsid w:val="00B64FA1"/>
    <w:rsid w:val="00B671AD"/>
    <w:rsid w:val="00B74FAF"/>
    <w:rsid w:val="00B75E0D"/>
    <w:rsid w:val="00B8028A"/>
    <w:rsid w:val="00BA3D43"/>
    <w:rsid w:val="00BA5D89"/>
    <w:rsid w:val="00BA7C52"/>
    <w:rsid w:val="00BB778C"/>
    <w:rsid w:val="00BD037A"/>
    <w:rsid w:val="00BF51F1"/>
    <w:rsid w:val="00C0607C"/>
    <w:rsid w:val="00C12C24"/>
    <w:rsid w:val="00C13769"/>
    <w:rsid w:val="00C150F4"/>
    <w:rsid w:val="00C278FF"/>
    <w:rsid w:val="00C3011F"/>
    <w:rsid w:val="00C30522"/>
    <w:rsid w:val="00C33757"/>
    <w:rsid w:val="00C45E21"/>
    <w:rsid w:val="00C5528B"/>
    <w:rsid w:val="00C6569B"/>
    <w:rsid w:val="00C8075D"/>
    <w:rsid w:val="00C81302"/>
    <w:rsid w:val="00C8434B"/>
    <w:rsid w:val="00C850D4"/>
    <w:rsid w:val="00C94625"/>
    <w:rsid w:val="00C956C2"/>
    <w:rsid w:val="00C9784D"/>
    <w:rsid w:val="00CA31D0"/>
    <w:rsid w:val="00CA4971"/>
    <w:rsid w:val="00CA5BCE"/>
    <w:rsid w:val="00CA61A3"/>
    <w:rsid w:val="00CB0EC5"/>
    <w:rsid w:val="00CB2353"/>
    <w:rsid w:val="00CB4DAF"/>
    <w:rsid w:val="00CB5A24"/>
    <w:rsid w:val="00CC6718"/>
    <w:rsid w:val="00CC72FB"/>
    <w:rsid w:val="00CD3B87"/>
    <w:rsid w:val="00CE3987"/>
    <w:rsid w:val="00CE5992"/>
    <w:rsid w:val="00CF0780"/>
    <w:rsid w:val="00CF1161"/>
    <w:rsid w:val="00CF22E1"/>
    <w:rsid w:val="00D21B05"/>
    <w:rsid w:val="00D2771C"/>
    <w:rsid w:val="00D3187E"/>
    <w:rsid w:val="00D35FCE"/>
    <w:rsid w:val="00D360B4"/>
    <w:rsid w:val="00D409A3"/>
    <w:rsid w:val="00D54317"/>
    <w:rsid w:val="00D57CB4"/>
    <w:rsid w:val="00D6034B"/>
    <w:rsid w:val="00D626DE"/>
    <w:rsid w:val="00D65385"/>
    <w:rsid w:val="00D6627D"/>
    <w:rsid w:val="00D75CC9"/>
    <w:rsid w:val="00D90D9B"/>
    <w:rsid w:val="00D951CA"/>
    <w:rsid w:val="00D96BDF"/>
    <w:rsid w:val="00DA26F4"/>
    <w:rsid w:val="00DC42D6"/>
    <w:rsid w:val="00DC4350"/>
    <w:rsid w:val="00DC4D41"/>
    <w:rsid w:val="00DC596D"/>
    <w:rsid w:val="00DC5F0A"/>
    <w:rsid w:val="00DD0831"/>
    <w:rsid w:val="00DD270A"/>
    <w:rsid w:val="00DE1C47"/>
    <w:rsid w:val="00DE206C"/>
    <w:rsid w:val="00DE6176"/>
    <w:rsid w:val="00DF2C5A"/>
    <w:rsid w:val="00E0349D"/>
    <w:rsid w:val="00E201F2"/>
    <w:rsid w:val="00E20E52"/>
    <w:rsid w:val="00E24A87"/>
    <w:rsid w:val="00E27802"/>
    <w:rsid w:val="00E366B2"/>
    <w:rsid w:val="00E42441"/>
    <w:rsid w:val="00E53500"/>
    <w:rsid w:val="00E55E38"/>
    <w:rsid w:val="00E7686B"/>
    <w:rsid w:val="00E83F91"/>
    <w:rsid w:val="00E84D7F"/>
    <w:rsid w:val="00EB3E50"/>
    <w:rsid w:val="00EB5352"/>
    <w:rsid w:val="00EB6861"/>
    <w:rsid w:val="00EB713D"/>
    <w:rsid w:val="00EC23DC"/>
    <w:rsid w:val="00ED28CD"/>
    <w:rsid w:val="00ED3389"/>
    <w:rsid w:val="00ED3A91"/>
    <w:rsid w:val="00ED616C"/>
    <w:rsid w:val="00EE350D"/>
    <w:rsid w:val="00EE586D"/>
    <w:rsid w:val="00EF10E1"/>
    <w:rsid w:val="00F000A7"/>
    <w:rsid w:val="00F05C6B"/>
    <w:rsid w:val="00F06797"/>
    <w:rsid w:val="00F104F7"/>
    <w:rsid w:val="00F2328F"/>
    <w:rsid w:val="00F271A2"/>
    <w:rsid w:val="00F33B9D"/>
    <w:rsid w:val="00F357B8"/>
    <w:rsid w:val="00F50DEF"/>
    <w:rsid w:val="00F5133A"/>
    <w:rsid w:val="00F5400B"/>
    <w:rsid w:val="00F541FF"/>
    <w:rsid w:val="00F62502"/>
    <w:rsid w:val="00F639FF"/>
    <w:rsid w:val="00F7333E"/>
    <w:rsid w:val="00F82EC1"/>
    <w:rsid w:val="00FA0FF8"/>
    <w:rsid w:val="00FB1368"/>
    <w:rsid w:val="00FB2579"/>
    <w:rsid w:val="00FB34D6"/>
    <w:rsid w:val="00FB4303"/>
    <w:rsid w:val="00FB4CC6"/>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2C6"/>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 w:type="paragraph" w:customStyle="1" w:styleId="Default">
    <w:name w:val="Default"/>
    <w:rsid w:val="004C3A9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6631">
      <w:bodyDiv w:val="1"/>
      <w:marLeft w:val="0"/>
      <w:marRight w:val="0"/>
      <w:marTop w:val="0"/>
      <w:marBottom w:val="0"/>
      <w:divBdr>
        <w:top w:val="none" w:sz="0" w:space="0" w:color="auto"/>
        <w:left w:val="none" w:sz="0" w:space="0" w:color="auto"/>
        <w:bottom w:val="none" w:sz="0" w:space="0" w:color="auto"/>
        <w:right w:val="none" w:sz="0" w:space="0" w:color="auto"/>
      </w:divBdr>
    </w:div>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863985336">
      <w:bodyDiv w:val="1"/>
      <w:marLeft w:val="0"/>
      <w:marRight w:val="0"/>
      <w:marTop w:val="0"/>
      <w:marBottom w:val="0"/>
      <w:divBdr>
        <w:top w:val="none" w:sz="0" w:space="0" w:color="auto"/>
        <w:left w:val="none" w:sz="0" w:space="0" w:color="auto"/>
        <w:bottom w:val="none" w:sz="0" w:space="0" w:color="auto"/>
        <w:right w:val="none" w:sz="0" w:space="0" w:color="auto"/>
      </w:divBdr>
    </w:div>
    <w:div w:id="995955389">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227490609">
      <w:bodyDiv w:val="1"/>
      <w:marLeft w:val="0"/>
      <w:marRight w:val="0"/>
      <w:marTop w:val="0"/>
      <w:marBottom w:val="0"/>
      <w:divBdr>
        <w:top w:val="none" w:sz="0" w:space="0" w:color="auto"/>
        <w:left w:val="none" w:sz="0" w:space="0" w:color="auto"/>
        <w:bottom w:val="none" w:sz="0" w:space="0" w:color="auto"/>
        <w:right w:val="none" w:sz="0" w:space="0" w:color="auto"/>
      </w:divBdr>
    </w:div>
    <w:div w:id="1233346851">
      <w:bodyDiv w:val="1"/>
      <w:marLeft w:val="0"/>
      <w:marRight w:val="0"/>
      <w:marTop w:val="0"/>
      <w:marBottom w:val="0"/>
      <w:divBdr>
        <w:top w:val="none" w:sz="0" w:space="0" w:color="auto"/>
        <w:left w:val="none" w:sz="0" w:space="0" w:color="auto"/>
        <w:bottom w:val="none" w:sz="0" w:space="0" w:color="auto"/>
        <w:right w:val="none" w:sz="0" w:space="0" w:color="auto"/>
      </w:divBdr>
    </w:div>
    <w:div w:id="1328897006">
      <w:bodyDiv w:val="1"/>
      <w:marLeft w:val="0"/>
      <w:marRight w:val="0"/>
      <w:marTop w:val="0"/>
      <w:marBottom w:val="0"/>
      <w:divBdr>
        <w:top w:val="none" w:sz="0" w:space="0" w:color="auto"/>
        <w:left w:val="none" w:sz="0" w:space="0" w:color="auto"/>
        <w:bottom w:val="none" w:sz="0" w:space="0" w:color="auto"/>
        <w:right w:val="none" w:sz="0" w:space="0" w:color="auto"/>
      </w:divBdr>
    </w:div>
    <w:div w:id="1434128770">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632783224">
      <w:bodyDiv w:val="1"/>
      <w:marLeft w:val="0"/>
      <w:marRight w:val="0"/>
      <w:marTop w:val="0"/>
      <w:marBottom w:val="0"/>
      <w:divBdr>
        <w:top w:val="none" w:sz="0" w:space="0" w:color="auto"/>
        <w:left w:val="none" w:sz="0" w:space="0" w:color="auto"/>
        <w:bottom w:val="none" w:sz="0" w:space="0" w:color="auto"/>
        <w:right w:val="none" w:sz="0" w:space="0" w:color="auto"/>
      </w:divBdr>
    </w:div>
    <w:div w:id="1829203444">
      <w:bodyDiv w:val="1"/>
      <w:marLeft w:val="0"/>
      <w:marRight w:val="0"/>
      <w:marTop w:val="0"/>
      <w:marBottom w:val="0"/>
      <w:divBdr>
        <w:top w:val="none" w:sz="0" w:space="0" w:color="auto"/>
        <w:left w:val="none" w:sz="0" w:space="0" w:color="auto"/>
        <w:bottom w:val="none" w:sz="0" w:space="0" w:color="auto"/>
        <w:right w:val="none" w:sz="0" w:space="0" w:color="auto"/>
      </w:divBdr>
    </w:div>
    <w:div w:id="1922520375">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8A3B-EEBE-495D-8395-BAE6CD492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104</TotalTime>
  <Pages>7</Pages>
  <Words>1700</Words>
  <Characters>11769</Characters>
  <Application>Microsoft Office Word</Application>
  <DocSecurity>0</DocSecurity>
  <Lines>98</Lines>
  <Paragraphs>26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Johan Eriksson</cp:lastModifiedBy>
  <cp:revision>9</cp:revision>
  <cp:lastPrinted>2022-05-31T13:43:00Z</cp:lastPrinted>
  <dcterms:created xsi:type="dcterms:W3CDTF">2022-06-10T08:38:00Z</dcterms:created>
  <dcterms:modified xsi:type="dcterms:W3CDTF">2022-06-15T08:03:00Z</dcterms:modified>
</cp:coreProperties>
</file>