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05069E">
        <w:tblPrEx>
          <w:tblCellMar>
            <w:top w:w="0" w:type="dxa"/>
            <w:bottom w:w="0" w:type="dxa"/>
          </w:tblCellMar>
        </w:tblPrEx>
        <w:trPr>
          <w:cantSplit/>
          <w:trHeight w:hRule="exact" w:val="1260"/>
        </w:trPr>
        <w:tc>
          <w:tcPr>
            <w:tcW w:w="6024" w:type="dxa"/>
            <w:gridSpan w:val="2"/>
            <w:vMerge w:val="restart"/>
          </w:tcPr>
          <w:p w:rsidR="00D472BD" w:rsidRPr="0005069E" w:rsidRDefault="00D472BD">
            <w:pPr>
              <w:pStyle w:val="HuvudRubrik"/>
            </w:pPr>
            <w:bookmarkStart w:id="0" w:name="BetänkandeRubrik"/>
            <w:bookmarkEnd w:id="0"/>
            <w:r w:rsidRPr="0005069E">
              <w:t>Förslag till riksdagen</w:t>
            </w:r>
            <w:r w:rsidR="0005069E" w:rsidRPr="0005069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3156241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D472BD" w:rsidRPr="0005069E" w:rsidRDefault="00D472BD">
                                  <w:pPr>
                                    <w:pStyle w:val="Logo"/>
                                  </w:pPr>
                                  <w:r w:rsidRPr="0005069E">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628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D472BD" w:rsidRPr="0005069E" w:rsidRDefault="00D472BD">
                            <w:pPr>
                              <w:pStyle w:val="Logo"/>
                            </w:pPr>
                            <w:r w:rsidRPr="0005069E">
                              <w:object w:dxaOrig="840" w:dyaOrig="1545">
                                <v:shape id="_x0000_i1025" type="#_x0000_t75" style="width:90.45pt;height:77.15pt" fillcolor="window">
                                  <v:imagedata r:id="rId7" o:title="" cropright="-75835f"/>
                                </v:shape>
                                <o:OLEObject Type="Embed" ProgID="Word.Picture.8" ShapeID="_x0000_i1025" DrawAspect="Content" ObjectID="_1827346283" r:id="rId9"/>
                              </w:object>
                            </w:r>
                          </w:p>
                        </w:txbxContent>
                      </v:textbox>
                      <w10:wrap anchorx="page" anchory="page"/>
                    </v:shape>
                  </w:pict>
                </mc:Fallback>
              </mc:AlternateContent>
            </w:r>
          </w:p>
          <w:p w:rsidR="00D472BD" w:rsidRPr="0005069E" w:rsidRDefault="00D472BD">
            <w:pPr>
              <w:pStyle w:val="HuvudRubrikRad2"/>
            </w:pPr>
            <w:bookmarkStart w:id="17" w:name="BetänkandeNr"/>
            <w:bookmarkEnd w:id="17"/>
            <w:r w:rsidRPr="0005069E">
              <w:t>1999/2000:RR13</w:t>
            </w:r>
          </w:p>
          <w:p w:rsidR="00D472BD" w:rsidRPr="0005069E" w:rsidRDefault="00D472BD">
            <w:pPr>
              <w:pStyle w:val="BetnkandeRubrik"/>
            </w:pPr>
            <w:bookmarkStart w:id="18" w:name="Huvudrubrik"/>
            <w:bookmarkEnd w:id="18"/>
            <w:r w:rsidRPr="0005069E">
              <w:t>Riksdagens revisorers förslag angående arbets-linjens tillämpning för de äldre</w:t>
            </w:r>
          </w:p>
        </w:tc>
        <w:tc>
          <w:tcPr>
            <w:tcW w:w="1559" w:type="dxa"/>
            <w:tcBorders>
              <w:bottom w:val="nil"/>
            </w:tcBorders>
          </w:tcPr>
          <w:p w:rsidR="00D472BD" w:rsidRPr="0005069E" w:rsidRDefault="00D472BD">
            <w:pPr>
              <w:spacing w:before="0" w:line="230" w:lineRule="auto"/>
              <w:rPr>
                <w:sz w:val="24"/>
              </w:rPr>
            </w:pPr>
          </w:p>
        </w:tc>
      </w:tr>
      <w:tr w:rsidR="00000000" w:rsidRPr="0005069E">
        <w:tblPrEx>
          <w:tblCellMar>
            <w:top w:w="0" w:type="dxa"/>
            <w:bottom w:w="0" w:type="dxa"/>
          </w:tblCellMar>
        </w:tblPrEx>
        <w:trPr>
          <w:cantSplit/>
          <w:trHeight w:hRule="exact" w:val="240"/>
        </w:trPr>
        <w:tc>
          <w:tcPr>
            <w:tcW w:w="6024" w:type="dxa"/>
            <w:gridSpan w:val="2"/>
            <w:vMerge/>
            <w:tcBorders>
              <w:top w:val="nil"/>
              <w:bottom w:val="nil"/>
            </w:tcBorders>
          </w:tcPr>
          <w:p w:rsidR="00D472BD" w:rsidRPr="0005069E" w:rsidRDefault="00D472BD">
            <w:pPr>
              <w:spacing w:before="40" w:after="900" w:line="280" w:lineRule="exact"/>
              <w:jc w:val="left"/>
              <w:rPr>
                <w:sz w:val="28"/>
              </w:rPr>
            </w:pPr>
          </w:p>
        </w:tc>
        <w:tc>
          <w:tcPr>
            <w:tcW w:w="1559" w:type="dxa"/>
          </w:tcPr>
          <w:p w:rsidR="00D472BD" w:rsidRPr="0005069E" w:rsidRDefault="00D472BD">
            <w:pPr>
              <w:pStyle w:val="rtal"/>
            </w:pPr>
            <w:r w:rsidRPr="0005069E">
              <w:t>1999/2000</w:t>
            </w:r>
          </w:p>
        </w:tc>
      </w:tr>
      <w:tr w:rsidR="00000000" w:rsidRPr="0005069E">
        <w:tblPrEx>
          <w:tblCellMar>
            <w:top w:w="0" w:type="dxa"/>
            <w:bottom w:w="0" w:type="dxa"/>
          </w:tblCellMar>
        </w:tblPrEx>
        <w:trPr>
          <w:cantSplit/>
          <w:trHeight w:val="560"/>
        </w:trPr>
        <w:tc>
          <w:tcPr>
            <w:tcW w:w="6024" w:type="dxa"/>
            <w:gridSpan w:val="2"/>
            <w:vMerge/>
            <w:tcBorders>
              <w:top w:val="nil"/>
              <w:bottom w:val="single" w:sz="6" w:space="0" w:color="auto"/>
            </w:tcBorders>
          </w:tcPr>
          <w:p w:rsidR="00D472BD" w:rsidRPr="0005069E" w:rsidRDefault="00D472BD">
            <w:pPr>
              <w:spacing w:before="40" w:after="900" w:line="280" w:lineRule="exact"/>
              <w:jc w:val="left"/>
              <w:rPr>
                <w:sz w:val="28"/>
              </w:rPr>
            </w:pPr>
          </w:p>
        </w:tc>
        <w:tc>
          <w:tcPr>
            <w:tcW w:w="1559" w:type="dxa"/>
            <w:tcBorders>
              <w:bottom w:val="single" w:sz="6" w:space="0" w:color="auto"/>
            </w:tcBorders>
          </w:tcPr>
          <w:p w:rsidR="00D472BD" w:rsidRPr="0005069E" w:rsidRDefault="00D472BD">
            <w:pPr>
              <w:pStyle w:val="rtal"/>
            </w:pPr>
            <w:r w:rsidRPr="0005069E">
              <w:t>RR13</w:t>
            </w:r>
          </w:p>
        </w:tc>
      </w:tr>
      <w:tr w:rsidR="00000000" w:rsidRPr="0005069E">
        <w:tblPrEx>
          <w:tblCellMar>
            <w:top w:w="0" w:type="dxa"/>
            <w:bottom w:w="0" w:type="dxa"/>
          </w:tblCellMar>
        </w:tblPrEx>
        <w:trPr>
          <w:cantSplit/>
          <w:trHeight w:hRule="exact" w:val="660"/>
        </w:trPr>
        <w:tc>
          <w:tcPr>
            <w:tcW w:w="3012" w:type="dxa"/>
          </w:tcPr>
          <w:p w:rsidR="00D472BD" w:rsidRPr="0005069E" w:rsidRDefault="00D472BD">
            <w:pPr>
              <w:pStyle w:val="StatusSida1"/>
            </w:pPr>
            <w:r w:rsidRPr="0005069E">
              <w:t xml:space="preserve"> </w:t>
            </w:r>
          </w:p>
        </w:tc>
        <w:tc>
          <w:tcPr>
            <w:tcW w:w="3012" w:type="dxa"/>
          </w:tcPr>
          <w:p w:rsidR="00D472BD" w:rsidRPr="0005069E" w:rsidRDefault="00D472BD">
            <w:pPr>
              <w:pStyle w:val="UtskriftsdatumSida1"/>
              <w:rPr>
                <w:b/>
                <w:sz w:val="28"/>
              </w:rPr>
            </w:pPr>
          </w:p>
        </w:tc>
        <w:tc>
          <w:tcPr>
            <w:tcW w:w="1559" w:type="dxa"/>
          </w:tcPr>
          <w:p w:rsidR="00D472BD" w:rsidRPr="0005069E" w:rsidRDefault="00D472BD"/>
        </w:tc>
      </w:tr>
    </w:tbl>
    <w:p w:rsidR="00D472BD" w:rsidRPr="0005069E" w:rsidRDefault="00D472BD">
      <w:r w:rsidRPr="0005069E">
        <w:t>Riksdagens revisorer anmäler härmed sin granskning av arbetslinjens ti</w:t>
      </w:r>
      <w:r w:rsidRPr="0005069E">
        <w:t>l</w:t>
      </w:r>
      <w:r w:rsidRPr="0005069E">
        <w:t>lämpning för de äldre.</w:t>
      </w:r>
    </w:p>
    <w:p w:rsidR="00D472BD" w:rsidRPr="0005069E" w:rsidRDefault="00D472BD">
      <w:pPr>
        <w:pStyle w:val="Rubrik1"/>
      </w:pPr>
      <w:bookmarkStart w:id="19" w:name="_Toc485530791"/>
      <w:r w:rsidRPr="0005069E">
        <w:t>1 Revisorernas granskning</w:t>
      </w:r>
      <w:bookmarkEnd w:id="19"/>
    </w:p>
    <w:p w:rsidR="00D472BD" w:rsidRPr="0005069E" w:rsidRDefault="00D472BD">
      <w:bookmarkStart w:id="20" w:name="Textstart"/>
      <w:bookmarkEnd w:id="20"/>
      <w:r w:rsidRPr="0005069E">
        <w:t>I februari 1999 fattade Riksdagens revisorer på eget initiativ beslut om att granska hur arbetslinjen tillämpas för den äldre arbetskraften (</w:t>
      </w:r>
      <w:r w:rsidRPr="0005069E">
        <w:rPr>
          <w:i/>
        </w:rPr>
        <w:t>Arbetslinjen i praktiken</w:t>
      </w:r>
      <w:r w:rsidRPr="0005069E">
        <w:t>, först</w:t>
      </w:r>
      <w:r w:rsidRPr="0005069E">
        <w:t>u</w:t>
      </w:r>
      <w:r w:rsidRPr="0005069E">
        <w:t xml:space="preserve">die 1998/99:4). </w:t>
      </w:r>
    </w:p>
    <w:p w:rsidR="00D472BD" w:rsidRPr="0005069E" w:rsidRDefault="00D472BD">
      <w:pPr>
        <w:pStyle w:val="Normaltindrag"/>
      </w:pPr>
      <w:r w:rsidRPr="0005069E">
        <w:t>Arbetslinjen har sedan lång tid varit en grundläggande princip inom svensk arbetsmarknads- och socialpolitik. Inom arbetsmarknadspolitiken myntades begreppet ”arbetslinjen” av dåvarande Civildepartementet redan 1908. A</w:t>
      </w:r>
      <w:r w:rsidRPr="0005069E">
        <w:t>r</w:t>
      </w:r>
      <w:r w:rsidRPr="0005069E">
        <w:t>betslinjen innebär att perioder med kontantstöd ska begränsas till förmån för i första hand arbete och i andra hand aktiva åtgärder som förväntas leda till arbete. I regeringens proposition om rehabilitering och rehabiliteringsersät</w:t>
      </w:r>
      <w:r w:rsidRPr="0005069E">
        <w:t>t</w:t>
      </w:r>
      <w:r w:rsidRPr="0005069E">
        <w:t>ning (prop. 1990/91:141) betonas att införandet av ”rehabiliterings- och arbetslinjen inom socialförsäkringen är detsamma som att investera för framtiden”. Särskilt för de äldre åldersgrupperna har det dock tidvis gjorts vissa undantag, t.ex. utvidgningen av kriterierna för för</w:t>
      </w:r>
      <w:r w:rsidRPr="0005069E">
        <w:t>tidspensionering under 1970-talet. I flera länder har man framför allt under 1970- och 1980-talen uppmuntrat ett tidigare utträde från arbetsmarknaden för äldre. Under det senaste decenniet har såväl i Sverige som i många andra länder åtgärder vidtagits för att höja den faktiska pensionså</w:t>
      </w:r>
      <w:r w:rsidRPr="0005069E">
        <w:t>l</w:t>
      </w:r>
      <w:r w:rsidRPr="0005069E">
        <w:t xml:space="preserve">dern. </w:t>
      </w:r>
    </w:p>
    <w:p w:rsidR="00D472BD" w:rsidRPr="0005069E" w:rsidRDefault="00D472BD">
      <w:pPr>
        <w:pStyle w:val="Normaltindrag"/>
      </w:pPr>
      <w:r w:rsidRPr="0005069E">
        <w:t>Trots de åtgärder som vidtagits och den relativt gynnsamma ekonomiska utvecklingen har det blivit allt vanligare att lämna arbetskraften före den allmänna pensionsåldern. Syftet med revisorernas granskning var att k</w:t>
      </w:r>
      <w:r w:rsidRPr="0005069E">
        <w:t>largöra orsakerna bakom denna utveckling och hur den påverkats av statliga  rege</w:t>
      </w:r>
      <w:r w:rsidRPr="0005069E">
        <w:t>l</w:t>
      </w:r>
      <w:r w:rsidRPr="0005069E">
        <w:t>verk och åtgärdsprogram. Granskningen rörde i första hand arbetsmarknad</w:t>
      </w:r>
      <w:r w:rsidRPr="0005069E">
        <w:t>s</w:t>
      </w:r>
      <w:r w:rsidRPr="0005069E">
        <w:t>politiken, arbetsmarknadslagstiftningen, socialförsäkringen och studiestöd</w:t>
      </w:r>
      <w:r w:rsidRPr="0005069E">
        <w:t>s</w:t>
      </w:r>
      <w:r w:rsidRPr="0005069E">
        <w:t>systemet men uppmärksamhet ägnades även statens roll som arbet</w:t>
      </w:r>
      <w:r w:rsidRPr="0005069E">
        <w:t>s</w:t>
      </w:r>
      <w:r w:rsidRPr="0005069E">
        <w:t>givare.</w:t>
      </w:r>
    </w:p>
    <w:p w:rsidR="00D472BD" w:rsidRPr="0005069E" w:rsidRDefault="00D472BD">
      <w:pPr>
        <w:pStyle w:val="Normaltindrag"/>
      </w:pPr>
      <w:r w:rsidRPr="0005069E">
        <w:t>Revisorernas granskning, överväganden och förslag redovisades i rappo</w:t>
      </w:r>
      <w:r w:rsidRPr="0005069E">
        <w:t>r</w:t>
      </w:r>
      <w:r w:rsidRPr="0005069E">
        <w:t>ten 1999/2000:7, Arbetslinjens tillämpning för de äldre. Rapporten har r</w:t>
      </w:r>
      <w:r w:rsidRPr="0005069E">
        <w:t>e</w:t>
      </w:r>
      <w:r w:rsidRPr="0005069E">
        <w:t>mis</w:t>
      </w:r>
      <w:r w:rsidRPr="0005069E">
        <w:t>s</w:t>
      </w:r>
      <w:r w:rsidRPr="0005069E">
        <w:t>behandlats.</w:t>
      </w:r>
    </w:p>
    <w:p w:rsidR="00D472BD" w:rsidRPr="0005069E" w:rsidRDefault="00D472BD">
      <w:pPr>
        <w:pStyle w:val="Normaltindrag"/>
      </w:pPr>
    </w:p>
    <w:p w:rsidR="00D472BD" w:rsidRPr="0005069E" w:rsidRDefault="00D472BD">
      <w:pPr>
        <w:pStyle w:val="Rubrik2"/>
      </w:pPr>
      <w:bookmarkStart w:id="21" w:name="_Toc485530792"/>
      <w:r w:rsidRPr="0005069E">
        <w:lastRenderedPageBreak/>
        <w:t>1.1 Granskningens uppläggning</w:t>
      </w:r>
      <w:bookmarkEnd w:id="21"/>
    </w:p>
    <w:p w:rsidR="00D472BD" w:rsidRPr="0005069E" w:rsidRDefault="00D472BD">
      <w:pPr>
        <w:pStyle w:val="Rubrik3"/>
      </w:pPr>
      <w:r w:rsidRPr="0005069E">
        <w:t>Forskarrapporten</w:t>
      </w:r>
    </w:p>
    <w:p w:rsidR="00D472BD" w:rsidRPr="0005069E" w:rsidRDefault="00D472BD">
      <w:pPr>
        <w:pStyle w:val="Normaltindrag"/>
        <w:ind w:firstLine="0"/>
      </w:pPr>
      <w:r w:rsidRPr="0005069E">
        <w:t>För att få ett omfattande teoretiskt och empiriskt underlag för granskningen anlitade revisorerna två forskare på Institutet för social forskning, Stoc</w:t>
      </w:r>
      <w:r w:rsidRPr="0005069E">
        <w:t>k</w:t>
      </w:r>
      <w:r w:rsidRPr="0005069E">
        <w:t>holms universitet. De två forskarna, professor Eskil Wadensjö och fil.kand. Gabriella Sjögren, fick i uppdrag att gå igenom de regelverk och åtgärdspr</w:t>
      </w:r>
      <w:r w:rsidRPr="0005069E">
        <w:t>o</w:t>
      </w:r>
      <w:r w:rsidRPr="0005069E">
        <w:t xml:space="preserve">gram som påverkar eller avses påverka utbud och efterfrågan på arbetskraft för personer 55 år eller äldre. Särskild vikt skulle läggas vid de förändringar som skett och vid effekterna av nu existerande regelverk. </w:t>
      </w:r>
    </w:p>
    <w:p w:rsidR="00D472BD" w:rsidRPr="0005069E" w:rsidRDefault="00D472BD">
      <w:pPr>
        <w:pStyle w:val="Normaltindrag"/>
      </w:pPr>
      <w:r w:rsidRPr="0005069E">
        <w:t xml:space="preserve">Forskarna slutförde sitt uppdrag i december 1999 då rapporten </w:t>
      </w:r>
      <w:r w:rsidRPr="0005069E">
        <w:rPr>
          <w:i/>
        </w:rPr>
        <w:t xml:space="preserve">Arbetslinjen för äldre i praktiken </w:t>
      </w:r>
      <w:r w:rsidRPr="0005069E">
        <w:t>överlämnades</w:t>
      </w:r>
      <w:r w:rsidRPr="0005069E">
        <w:rPr>
          <w:i/>
        </w:rPr>
        <w:t xml:space="preserve"> </w:t>
      </w:r>
      <w:r w:rsidRPr="0005069E">
        <w:t>till Riksdagens revisorer. Den analys och de slutsatser som presenteras i rapporten är forskarnas egna och överen</w:t>
      </w:r>
      <w:r w:rsidRPr="0005069E">
        <w:t>s</w:t>
      </w:r>
      <w:r w:rsidRPr="0005069E">
        <w:t>stämmer inte nödvändigtvis med revisorernas bedömningar.</w:t>
      </w:r>
    </w:p>
    <w:p w:rsidR="00D472BD" w:rsidRPr="0005069E" w:rsidRDefault="00D472BD">
      <w:pPr>
        <w:pStyle w:val="Normaltindrag"/>
      </w:pPr>
      <w:r w:rsidRPr="0005069E">
        <w:t>I forskarrapporten analyseras tänkbara förklaringar till den minskande sy</w:t>
      </w:r>
      <w:r w:rsidRPr="0005069E">
        <w:t>s</w:t>
      </w:r>
      <w:r w:rsidRPr="0005069E">
        <w:t>selsättningen bland äldre personer. Dessutom analyseras de regelförändringar som antas ha haft betydelse för denna utvec</w:t>
      </w:r>
      <w:r w:rsidRPr="0005069E">
        <w:t>k</w:t>
      </w:r>
      <w:r w:rsidRPr="0005069E">
        <w:t>ling.</w:t>
      </w:r>
    </w:p>
    <w:p w:rsidR="00D472BD" w:rsidRPr="0005069E" w:rsidRDefault="00D472BD">
      <w:pPr>
        <w:pStyle w:val="Normaltindrag"/>
      </w:pPr>
    </w:p>
    <w:p w:rsidR="00D472BD" w:rsidRPr="0005069E" w:rsidRDefault="00D472BD">
      <w:pPr>
        <w:pStyle w:val="Normaltindrag"/>
        <w:ind w:firstLine="0"/>
        <w:rPr>
          <w:b/>
        </w:rPr>
      </w:pPr>
      <w:r w:rsidRPr="0005069E">
        <w:rPr>
          <w:b/>
        </w:rPr>
        <w:t xml:space="preserve">Tabell 1: </w:t>
      </w:r>
      <w:r w:rsidRPr="0005069E">
        <w:t>Utveckling av medianåldern vid utträde ur arbetskraften.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E" w:firstRow="1" w:lastRow="0" w:firstColumn="1" w:lastColumn="0" w:noHBand="0" w:noVBand="0"/>
      </w:tblPr>
      <w:tblGrid>
        <w:gridCol w:w="851"/>
        <w:gridCol w:w="1134"/>
        <w:gridCol w:w="992"/>
        <w:gridCol w:w="992"/>
        <w:gridCol w:w="1134"/>
        <w:gridCol w:w="851"/>
      </w:tblGrid>
      <w:tr w:rsidR="00000000" w:rsidRPr="0005069E">
        <w:tblPrEx>
          <w:tblCellMar>
            <w:top w:w="0" w:type="dxa"/>
            <w:bottom w:w="0" w:type="dxa"/>
          </w:tblCellMar>
        </w:tblPrEx>
        <w:trPr>
          <w:cantSplit/>
        </w:trPr>
        <w:tc>
          <w:tcPr>
            <w:tcW w:w="1985" w:type="dxa"/>
            <w:gridSpan w:val="2"/>
            <w:shd w:val="pct5" w:color="auto" w:fill="auto"/>
          </w:tcPr>
          <w:p w:rsidR="00D472BD" w:rsidRPr="0005069E" w:rsidRDefault="00D472BD">
            <w:pPr>
              <w:pStyle w:val="Normaltindrag"/>
              <w:spacing w:before="60" w:after="60" w:line="240" w:lineRule="auto"/>
              <w:ind w:firstLine="0"/>
              <w:jc w:val="center"/>
              <w:rPr>
                <w:b/>
              </w:rPr>
            </w:pPr>
          </w:p>
        </w:tc>
        <w:tc>
          <w:tcPr>
            <w:tcW w:w="992" w:type="dxa"/>
            <w:shd w:val="pct5" w:color="auto" w:fill="auto"/>
          </w:tcPr>
          <w:p w:rsidR="00D472BD" w:rsidRPr="0005069E" w:rsidRDefault="00D472BD">
            <w:pPr>
              <w:pStyle w:val="Normaltindrag"/>
              <w:spacing w:before="60" w:after="60" w:line="240" w:lineRule="auto"/>
              <w:ind w:firstLine="0"/>
              <w:jc w:val="center"/>
              <w:rPr>
                <w:b/>
              </w:rPr>
            </w:pPr>
            <w:r w:rsidRPr="0005069E">
              <w:rPr>
                <w:b/>
              </w:rPr>
              <w:t>Sver</w:t>
            </w:r>
            <w:r w:rsidRPr="0005069E">
              <w:rPr>
                <w:b/>
              </w:rPr>
              <w:t>i</w:t>
            </w:r>
            <w:r w:rsidRPr="0005069E">
              <w:rPr>
                <w:b/>
              </w:rPr>
              <w:t>ge</w:t>
            </w:r>
          </w:p>
        </w:tc>
        <w:tc>
          <w:tcPr>
            <w:tcW w:w="992" w:type="dxa"/>
            <w:shd w:val="pct5" w:color="auto" w:fill="auto"/>
          </w:tcPr>
          <w:p w:rsidR="00D472BD" w:rsidRPr="0005069E" w:rsidRDefault="00D472BD">
            <w:pPr>
              <w:pStyle w:val="Normaltindrag"/>
              <w:spacing w:before="60" w:after="60" w:line="240" w:lineRule="auto"/>
              <w:ind w:firstLine="0"/>
              <w:jc w:val="center"/>
              <w:rPr>
                <w:b/>
              </w:rPr>
            </w:pPr>
            <w:r w:rsidRPr="0005069E">
              <w:rPr>
                <w:b/>
              </w:rPr>
              <w:t>J</w:t>
            </w:r>
            <w:r w:rsidRPr="0005069E">
              <w:rPr>
                <w:b/>
              </w:rPr>
              <w:t>a</w:t>
            </w:r>
            <w:r w:rsidRPr="0005069E">
              <w:rPr>
                <w:b/>
              </w:rPr>
              <w:t>pan</w:t>
            </w:r>
          </w:p>
        </w:tc>
        <w:tc>
          <w:tcPr>
            <w:tcW w:w="1134" w:type="dxa"/>
            <w:shd w:val="pct5" w:color="auto" w:fill="auto"/>
          </w:tcPr>
          <w:p w:rsidR="00D472BD" w:rsidRPr="0005069E" w:rsidRDefault="00D472BD">
            <w:pPr>
              <w:pStyle w:val="Normaltindrag"/>
              <w:spacing w:before="60" w:after="60" w:line="240" w:lineRule="auto"/>
              <w:ind w:firstLine="0"/>
              <w:jc w:val="center"/>
              <w:rPr>
                <w:b/>
              </w:rPr>
            </w:pPr>
            <w:r w:rsidRPr="0005069E">
              <w:rPr>
                <w:b/>
              </w:rPr>
              <w:t>Tys</w:t>
            </w:r>
            <w:r w:rsidRPr="0005069E">
              <w:rPr>
                <w:b/>
              </w:rPr>
              <w:t>k</w:t>
            </w:r>
            <w:r w:rsidRPr="0005069E">
              <w:rPr>
                <w:b/>
              </w:rPr>
              <w:t>land</w:t>
            </w:r>
          </w:p>
        </w:tc>
        <w:tc>
          <w:tcPr>
            <w:tcW w:w="851" w:type="dxa"/>
            <w:shd w:val="pct5" w:color="auto" w:fill="auto"/>
          </w:tcPr>
          <w:p w:rsidR="00D472BD" w:rsidRPr="0005069E" w:rsidRDefault="00D472BD">
            <w:pPr>
              <w:pStyle w:val="Normaltindrag"/>
              <w:spacing w:before="60" w:after="60" w:line="240" w:lineRule="auto"/>
              <w:ind w:firstLine="0"/>
              <w:jc w:val="center"/>
              <w:rPr>
                <w:b/>
              </w:rPr>
            </w:pPr>
            <w:r w:rsidRPr="0005069E">
              <w:rPr>
                <w:b/>
              </w:rPr>
              <w:t>USA</w:t>
            </w:r>
          </w:p>
        </w:tc>
      </w:tr>
      <w:tr w:rsidR="00000000" w:rsidRPr="0005069E">
        <w:tblPrEx>
          <w:tblCellMar>
            <w:top w:w="0" w:type="dxa"/>
            <w:bottom w:w="0" w:type="dxa"/>
          </w:tblCellMar>
        </w:tblPrEx>
        <w:trPr>
          <w:cantSplit/>
        </w:trPr>
        <w:tc>
          <w:tcPr>
            <w:tcW w:w="851" w:type="dxa"/>
            <w:vMerge w:val="restart"/>
            <w:shd w:val="pct5" w:color="auto" w:fill="auto"/>
          </w:tcPr>
          <w:p w:rsidR="00D472BD" w:rsidRPr="0005069E" w:rsidRDefault="00D472BD">
            <w:pPr>
              <w:pStyle w:val="Normaltindrag"/>
              <w:spacing w:before="60" w:after="60" w:line="240" w:lineRule="auto"/>
              <w:ind w:firstLine="0"/>
              <w:rPr>
                <w:b/>
              </w:rPr>
            </w:pPr>
            <w:r w:rsidRPr="0005069E">
              <w:rPr>
                <w:b/>
              </w:rPr>
              <w:t>Män</w:t>
            </w:r>
          </w:p>
        </w:tc>
        <w:tc>
          <w:tcPr>
            <w:tcW w:w="1134" w:type="dxa"/>
          </w:tcPr>
          <w:p w:rsidR="00D472BD" w:rsidRPr="0005069E" w:rsidRDefault="00D472BD">
            <w:pPr>
              <w:pStyle w:val="Normaltindrag"/>
              <w:spacing w:before="60" w:after="60" w:line="240" w:lineRule="auto"/>
              <w:ind w:firstLine="0"/>
            </w:pPr>
            <w:r w:rsidRPr="0005069E">
              <w:t>1965</w:t>
            </w:r>
            <w:r w:rsidRPr="0005069E">
              <w:sym w:font="Symbol" w:char="F02D"/>
            </w:r>
            <w:r w:rsidRPr="0005069E">
              <w:t>70</w:t>
            </w:r>
          </w:p>
        </w:tc>
        <w:tc>
          <w:tcPr>
            <w:tcW w:w="992" w:type="dxa"/>
          </w:tcPr>
          <w:p w:rsidR="00D472BD" w:rsidRPr="0005069E" w:rsidRDefault="00D472BD">
            <w:pPr>
              <w:pStyle w:val="Normaltindrag"/>
              <w:spacing w:before="60" w:after="60" w:line="240" w:lineRule="auto"/>
              <w:ind w:firstLine="0"/>
              <w:jc w:val="center"/>
            </w:pPr>
            <w:r w:rsidRPr="0005069E">
              <w:t>65,9</w:t>
            </w:r>
          </w:p>
        </w:tc>
        <w:tc>
          <w:tcPr>
            <w:tcW w:w="992" w:type="dxa"/>
          </w:tcPr>
          <w:p w:rsidR="00D472BD" w:rsidRPr="0005069E" w:rsidRDefault="00D472BD">
            <w:pPr>
              <w:pStyle w:val="Normaltindrag"/>
              <w:spacing w:before="60" w:after="60" w:line="240" w:lineRule="auto"/>
              <w:ind w:firstLine="0"/>
              <w:jc w:val="center"/>
            </w:pPr>
            <w:r w:rsidRPr="0005069E">
              <w:t>67,1</w:t>
            </w:r>
          </w:p>
        </w:tc>
        <w:tc>
          <w:tcPr>
            <w:tcW w:w="1134" w:type="dxa"/>
          </w:tcPr>
          <w:p w:rsidR="00D472BD" w:rsidRPr="0005069E" w:rsidRDefault="00D472BD">
            <w:pPr>
              <w:pStyle w:val="Normaltindrag"/>
              <w:spacing w:before="60" w:after="60" w:line="240" w:lineRule="auto"/>
              <w:ind w:firstLine="0"/>
              <w:jc w:val="center"/>
            </w:pPr>
            <w:r w:rsidRPr="0005069E">
              <w:t>64,7</w:t>
            </w:r>
          </w:p>
        </w:tc>
        <w:tc>
          <w:tcPr>
            <w:tcW w:w="851" w:type="dxa"/>
          </w:tcPr>
          <w:p w:rsidR="00D472BD" w:rsidRPr="0005069E" w:rsidRDefault="00D472BD">
            <w:pPr>
              <w:pStyle w:val="Normaltindrag"/>
              <w:spacing w:before="60" w:after="60" w:line="240" w:lineRule="auto"/>
              <w:ind w:firstLine="0"/>
              <w:jc w:val="center"/>
            </w:pPr>
            <w:r w:rsidRPr="0005069E">
              <w:t>64,2</w:t>
            </w:r>
          </w:p>
        </w:tc>
      </w:tr>
      <w:tr w:rsidR="00000000" w:rsidRPr="0005069E">
        <w:tblPrEx>
          <w:tblCellMar>
            <w:top w:w="0" w:type="dxa"/>
            <w:bottom w:w="0" w:type="dxa"/>
          </w:tblCellMar>
        </w:tblPrEx>
        <w:trPr>
          <w:cantSplit/>
        </w:trPr>
        <w:tc>
          <w:tcPr>
            <w:tcW w:w="851" w:type="dxa"/>
            <w:vMerge/>
            <w:shd w:val="pct5" w:color="auto" w:fill="auto"/>
          </w:tcPr>
          <w:p w:rsidR="00D472BD" w:rsidRPr="0005069E" w:rsidRDefault="00D472BD">
            <w:pPr>
              <w:pStyle w:val="Normaltindrag"/>
              <w:spacing w:before="60" w:after="60" w:line="240" w:lineRule="auto"/>
              <w:ind w:firstLine="0"/>
            </w:pPr>
          </w:p>
        </w:tc>
        <w:tc>
          <w:tcPr>
            <w:tcW w:w="1134" w:type="dxa"/>
          </w:tcPr>
          <w:p w:rsidR="00D472BD" w:rsidRPr="0005069E" w:rsidRDefault="00D472BD">
            <w:pPr>
              <w:pStyle w:val="Normaltindrag"/>
              <w:spacing w:before="60" w:after="60" w:line="240" w:lineRule="auto"/>
              <w:ind w:firstLine="0"/>
            </w:pPr>
            <w:r w:rsidRPr="0005069E">
              <w:t>1990</w:t>
            </w:r>
            <w:r w:rsidRPr="0005069E">
              <w:sym w:font="Symbol" w:char="F02D"/>
            </w:r>
            <w:r w:rsidRPr="0005069E">
              <w:t>95</w:t>
            </w:r>
          </w:p>
        </w:tc>
        <w:tc>
          <w:tcPr>
            <w:tcW w:w="992" w:type="dxa"/>
          </w:tcPr>
          <w:p w:rsidR="00D472BD" w:rsidRPr="0005069E" w:rsidRDefault="00D472BD">
            <w:pPr>
              <w:pStyle w:val="Normaltindrag"/>
              <w:spacing w:before="60" w:after="60" w:line="240" w:lineRule="auto"/>
              <w:ind w:firstLine="0"/>
              <w:jc w:val="center"/>
            </w:pPr>
            <w:r w:rsidRPr="0005069E">
              <w:t>62,3</w:t>
            </w:r>
          </w:p>
        </w:tc>
        <w:tc>
          <w:tcPr>
            <w:tcW w:w="992" w:type="dxa"/>
          </w:tcPr>
          <w:p w:rsidR="00D472BD" w:rsidRPr="0005069E" w:rsidRDefault="00D472BD">
            <w:pPr>
              <w:pStyle w:val="Normaltindrag"/>
              <w:spacing w:before="60" w:after="60" w:line="240" w:lineRule="auto"/>
              <w:ind w:firstLine="0"/>
              <w:jc w:val="center"/>
            </w:pPr>
            <w:r w:rsidRPr="0005069E">
              <w:t>64,5</w:t>
            </w:r>
          </w:p>
        </w:tc>
        <w:tc>
          <w:tcPr>
            <w:tcW w:w="1134" w:type="dxa"/>
          </w:tcPr>
          <w:p w:rsidR="00D472BD" w:rsidRPr="0005069E" w:rsidRDefault="00D472BD">
            <w:pPr>
              <w:pStyle w:val="Normaltindrag"/>
              <w:spacing w:before="60" w:after="60" w:line="240" w:lineRule="auto"/>
              <w:ind w:firstLine="0"/>
              <w:jc w:val="center"/>
            </w:pPr>
            <w:r w:rsidRPr="0005069E">
              <w:t>60,4</w:t>
            </w:r>
          </w:p>
        </w:tc>
        <w:tc>
          <w:tcPr>
            <w:tcW w:w="851" w:type="dxa"/>
          </w:tcPr>
          <w:p w:rsidR="00D472BD" w:rsidRPr="0005069E" w:rsidRDefault="00D472BD">
            <w:pPr>
              <w:pStyle w:val="Normaltindrag"/>
              <w:spacing w:before="60" w:after="60" w:line="240" w:lineRule="auto"/>
              <w:ind w:firstLine="0"/>
              <w:jc w:val="center"/>
            </w:pPr>
            <w:r w:rsidRPr="0005069E">
              <w:t>62,1</w:t>
            </w:r>
          </w:p>
        </w:tc>
      </w:tr>
      <w:tr w:rsidR="00000000" w:rsidRPr="0005069E">
        <w:tblPrEx>
          <w:tblCellMar>
            <w:top w:w="0" w:type="dxa"/>
            <w:bottom w:w="0" w:type="dxa"/>
          </w:tblCellMar>
        </w:tblPrEx>
        <w:trPr>
          <w:cantSplit/>
        </w:trPr>
        <w:tc>
          <w:tcPr>
            <w:tcW w:w="851" w:type="dxa"/>
            <w:vMerge/>
            <w:shd w:val="pct5" w:color="auto" w:fill="auto"/>
          </w:tcPr>
          <w:p w:rsidR="00D472BD" w:rsidRPr="0005069E" w:rsidRDefault="00D472BD">
            <w:pPr>
              <w:pStyle w:val="Normaltindrag"/>
              <w:spacing w:before="60" w:after="60" w:line="240" w:lineRule="auto"/>
              <w:ind w:firstLine="0"/>
            </w:pPr>
          </w:p>
        </w:tc>
        <w:tc>
          <w:tcPr>
            <w:tcW w:w="1134" w:type="dxa"/>
          </w:tcPr>
          <w:p w:rsidR="00D472BD" w:rsidRPr="0005069E" w:rsidRDefault="00D472BD">
            <w:pPr>
              <w:pStyle w:val="Normaltindrag"/>
              <w:spacing w:before="60" w:after="60" w:line="240" w:lineRule="auto"/>
              <w:ind w:firstLine="0"/>
              <w:rPr>
                <w:i/>
              </w:rPr>
            </w:pPr>
            <w:r w:rsidRPr="0005069E">
              <w:rPr>
                <w:i/>
              </w:rPr>
              <w:t>Förän</w:t>
            </w:r>
            <w:r w:rsidRPr="0005069E">
              <w:rPr>
                <w:i/>
              </w:rPr>
              <w:t>d</w:t>
            </w:r>
            <w:r w:rsidRPr="0005069E">
              <w:rPr>
                <w:i/>
              </w:rPr>
              <w:t>ring</w:t>
            </w:r>
          </w:p>
        </w:tc>
        <w:tc>
          <w:tcPr>
            <w:tcW w:w="992" w:type="dxa"/>
          </w:tcPr>
          <w:p w:rsidR="00D472BD" w:rsidRPr="0005069E" w:rsidRDefault="00D472BD">
            <w:pPr>
              <w:pStyle w:val="Normaltindrag"/>
              <w:spacing w:before="60" w:after="60" w:line="240" w:lineRule="auto"/>
              <w:ind w:firstLine="0"/>
              <w:jc w:val="center"/>
            </w:pPr>
            <w:r w:rsidRPr="0005069E">
              <w:t>-3,6</w:t>
            </w:r>
          </w:p>
        </w:tc>
        <w:tc>
          <w:tcPr>
            <w:tcW w:w="992" w:type="dxa"/>
          </w:tcPr>
          <w:p w:rsidR="00D472BD" w:rsidRPr="0005069E" w:rsidRDefault="00D472BD">
            <w:pPr>
              <w:pStyle w:val="Normaltindrag"/>
              <w:spacing w:before="60" w:after="60" w:line="240" w:lineRule="auto"/>
              <w:ind w:firstLine="0"/>
              <w:jc w:val="center"/>
            </w:pPr>
            <w:r w:rsidRPr="0005069E">
              <w:t>-2,6</w:t>
            </w:r>
          </w:p>
        </w:tc>
        <w:tc>
          <w:tcPr>
            <w:tcW w:w="1134" w:type="dxa"/>
          </w:tcPr>
          <w:p w:rsidR="00D472BD" w:rsidRPr="0005069E" w:rsidRDefault="00D472BD">
            <w:pPr>
              <w:pStyle w:val="Normaltindrag"/>
              <w:spacing w:before="60" w:after="60" w:line="240" w:lineRule="auto"/>
              <w:ind w:firstLine="0"/>
              <w:jc w:val="center"/>
            </w:pPr>
            <w:r w:rsidRPr="0005069E">
              <w:t>-4,3</w:t>
            </w:r>
          </w:p>
        </w:tc>
        <w:tc>
          <w:tcPr>
            <w:tcW w:w="851" w:type="dxa"/>
          </w:tcPr>
          <w:p w:rsidR="00D472BD" w:rsidRPr="0005069E" w:rsidRDefault="00D472BD">
            <w:pPr>
              <w:pStyle w:val="Normaltindrag"/>
              <w:spacing w:before="60" w:after="60" w:line="240" w:lineRule="auto"/>
              <w:ind w:firstLine="0"/>
              <w:jc w:val="center"/>
            </w:pPr>
            <w:r w:rsidRPr="0005069E">
              <w:t>-2,1</w:t>
            </w:r>
          </w:p>
        </w:tc>
      </w:tr>
      <w:tr w:rsidR="00000000" w:rsidRPr="0005069E">
        <w:tblPrEx>
          <w:tblCellMar>
            <w:top w:w="0" w:type="dxa"/>
            <w:bottom w:w="0" w:type="dxa"/>
          </w:tblCellMar>
        </w:tblPrEx>
        <w:trPr>
          <w:cantSplit/>
        </w:trPr>
        <w:tc>
          <w:tcPr>
            <w:tcW w:w="851" w:type="dxa"/>
            <w:vMerge w:val="restart"/>
            <w:shd w:val="pct5" w:color="auto" w:fill="auto"/>
          </w:tcPr>
          <w:p w:rsidR="00D472BD" w:rsidRPr="0005069E" w:rsidRDefault="00D472BD">
            <w:pPr>
              <w:pStyle w:val="Normaltindrag"/>
              <w:spacing w:before="60" w:after="60" w:line="240" w:lineRule="auto"/>
              <w:ind w:firstLine="0"/>
              <w:rPr>
                <w:b/>
              </w:rPr>
            </w:pPr>
            <w:r w:rsidRPr="0005069E">
              <w:rPr>
                <w:b/>
              </w:rPr>
              <w:t>Kvinnor</w:t>
            </w:r>
          </w:p>
        </w:tc>
        <w:tc>
          <w:tcPr>
            <w:tcW w:w="1134" w:type="dxa"/>
          </w:tcPr>
          <w:p w:rsidR="00D472BD" w:rsidRPr="0005069E" w:rsidRDefault="00D472BD">
            <w:pPr>
              <w:pStyle w:val="Normaltindrag"/>
              <w:spacing w:before="60" w:after="60" w:line="240" w:lineRule="auto"/>
              <w:ind w:firstLine="0"/>
            </w:pPr>
            <w:r w:rsidRPr="0005069E">
              <w:t>1965</w:t>
            </w:r>
            <w:r w:rsidRPr="0005069E">
              <w:sym w:font="Symbol" w:char="F02D"/>
            </w:r>
            <w:r w:rsidRPr="0005069E">
              <w:t>70</w:t>
            </w:r>
          </w:p>
        </w:tc>
        <w:tc>
          <w:tcPr>
            <w:tcW w:w="992" w:type="dxa"/>
          </w:tcPr>
          <w:p w:rsidR="00D472BD" w:rsidRPr="0005069E" w:rsidRDefault="00D472BD">
            <w:pPr>
              <w:pStyle w:val="Normaltindrag"/>
              <w:spacing w:before="60" w:after="60" w:line="240" w:lineRule="auto"/>
              <w:ind w:firstLine="0"/>
              <w:jc w:val="center"/>
            </w:pPr>
            <w:r w:rsidRPr="0005069E">
              <w:t>65,0</w:t>
            </w:r>
          </w:p>
        </w:tc>
        <w:tc>
          <w:tcPr>
            <w:tcW w:w="992" w:type="dxa"/>
          </w:tcPr>
          <w:p w:rsidR="00D472BD" w:rsidRPr="0005069E" w:rsidRDefault="00D472BD">
            <w:pPr>
              <w:pStyle w:val="Normaltindrag"/>
              <w:spacing w:before="60" w:after="60" w:line="240" w:lineRule="auto"/>
              <w:ind w:firstLine="0"/>
              <w:jc w:val="center"/>
            </w:pPr>
            <w:r w:rsidRPr="0005069E">
              <w:t>63,8</w:t>
            </w:r>
          </w:p>
        </w:tc>
        <w:tc>
          <w:tcPr>
            <w:tcW w:w="1134" w:type="dxa"/>
          </w:tcPr>
          <w:p w:rsidR="00D472BD" w:rsidRPr="0005069E" w:rsidRDefault="00D472BD">
            <w:pPr>
              <w:pStyle w:val="Normaltindrag"/>
              <w:spacing w:before="60" w:after="60" w:line="240" w:lineRule="auto"/>
              <w:ind w:firstLine="0"/>
              <w:jc w:val="center"/>
            </w:pPr>
            <w:r w:rsidRPr="0005069E">
              <w:t>62,6</w:t>
            </w:r>
          </w:p>
        </w:tc>
        <w:tc>
          <w:tcPr>
            <w:tcW w:w="851" w:type="dxa"/>
          </w:tcPr>
          <w:p w:rsidR="00D472BD" w:rsidRPr="0005069E" w:rsidRDefault="00D472BD">
            <w:pPr>
              <w:pStyle w:val="Normaltindrag"/>
              <w:spacing w:before="60" w:after="60" w:line="240" w:lineRule="auto"/>
              <w:ind w:firstLine="0"/>
              <w:jc w:val="center"/>
            </w:pPr>
            <w:r w:rsidRPr="0005069E">
              <w:t>64,5</w:t>
            </w:r>
          </w:p>
        </w:tc>
      </w:tr>
      <w:tr w:rsidR="00000000" w:rsidRPr="0005069E">
        <w:tblPrEx>
          <w:tblCellMar>
            <w:top w:w="0" w:type="dxa"/>
            <w:bottom w:w="0" w:type="dxa"/>
          </w:tblCellMar>
        </w:tblPrEx>
        <w:trPr>
          <w:cantSplit/>
        </w:trPr>
        <w:tc>
          <w:tcPr>
            <w:tcW w:w="851" w:type="dxa"/>
            <w:vMerge/>
            <w:shd w:val="pct5" w:color="auto" w:fill="auto"/>
          </w:tcPr>
          <w:p w:rsidR="00D472BD" w:rsidRPr="0005069E" w:rsidRDefault="00D472BD">
            <w:pPr>
              <w:pStyle w:val="Normaltindrag"/>
              <w:spacing w:before="60" w:after="60" w:line="240" w:lineRule="auto"/>
              <w:ind w:firstLine="0"/>
            </w:pPr>
          </w:p>
        </w:tc>
        <w:tc>
          <w:tcPr>
            <w:tcW w:w="1134" w:type="dxa"/>
          </w:tcPr>
          <w:p w:rsidR="00D472BD" w:rsidRPr="0005069E" w:rsidRDefault="00D472BD">
            <w:pPr>
              <w:pStyle w:val="Normaltindrag"/>
              <w:spacing w:before="60" w:after="60" w:line="240" w:lineRule="auto"/>
              <w:ind w:firstLine="0"/>
            </w:pPr>
            <w:r w:rsidRPr="0005069E">
              <w:t>1990</w:t>
            </w:r>
            <w:r w:rsidRPr="0005069E">
              <w:sym w:font="Symbol" w:char="F02D"/>
            </w:r>
            <w:r w:rsidRPr="0005069E">
              <w:t>95</w:t>
            </w:r>
          </w:p>
        </w:tc>
        <w:tc>
          <w:tcPr>
            <w:tcW w:w="992" w:type="dxa"/>
          </w:tcPr>
          <w:p w:rsidR="00D472BD" w:rsidRPr="0005069E" w:rsidRDefault="00D472BD">
            <w:pPr>
              <w:pStyle w:val="Normaltindrag"/>
              <w:spacing w:before="60" w:after="60" w:line="240" w:lineRule="auto"/>
              <w:ind w:firstLine="0"/>
              <w:jc w:val="center"/>
            </w:pPr>
            <w:r w:rsidRPr="0005069E">
              <w:t>62,4</w:t>
            </w:r>
          </w:p>
        </w:tc>
        <w:tc>
          <w:tcPr>
            <w:tcW w:w="992" w:type="dxa"/>
          </w:tcPr>
          <w:p w:rsidR="00D472BD" w:rsidRPr="0005069E" w:rsidRDefault="00D472BD">
            <w:pPr>
              <w:pStyle w:val="Normaltindrag"/>
              <w:spacing w:before="60" w:after="60" w:line="240" w:lineRule="auto"/>
              <w:ind w:firstLine="0"/>
              <w:jc w:val="center"/>
            </w:pPr>
            <w:r w:rsidRPr="0005069E">
              <w:t>62,4</w:t>
            </w:r>
          </w:p>
        </w:tc>
        <w:tc>
          <w:tcPr>
            <w:tcW w:w="1134" w:type="dxa"/>
          </w:tcPr>
          <w:p w:rsidR="00D472BD" w:rsidRPr="0005069E" w:rsidRDefault="00D472BD">
            <w:pPr>
              <w:pStyle w:val="Normaltindrag"/>
              <w:spacing w:before="60" w:after="60" w:line="240" w:lineRule="auto"/>
              <w:ind w:firstLine="0"/>
              <w:jc w:val="center"/>
            </w:pPr>
            <w:r w:rsidRPr="0005069E">
              <w:t>59,7</w:t>
            </w:r>
          </w:p>
        </w:tc>
        <w:tc>
          <w:tcPr>
            <w:tcW w:w="851" w:type="dxa"/>
          </w:tcPr>
          <w:p w:rsidR="00D472BD" w:rsidRPr="0005069E" w:rsidRDefault="00D472BD">
            <w:pPr>
              <w:pStyle w:val="Normaltindrag"/>
              <w:spacing w:before="60" w:after="60" w:line="240" w:lineRule="auto"/>
              <w:ind w:firstLine="0"/>
              <w:jc w:val="center"/>
            </w:pPr>
            <w:r w:rsidRPr="0005069E">
              <w:t>62,6</w:t>
            </w:r>
          </w:p>
        </w:tc>
      </w:tr>
      <w:tr w:rsidR="00000000" w:rsidRPr="0005069E">
        <w:tblPrEx>
          <w:tblCellMar>
            <w:top w:w="0" w:type="dxa"/>
            <w:bottom w:w="0" w:type="dxa"/>
          </w:tblCellMar>
        </w:tblPrEx>
        <w:trPr>
          <w:cantSplit/>
        </w:trPr>
        <w:tc>
          <w:tcPr>
            <w:tcW w:w="851" w:type="dxa"/>
            <w:vMerge/>
            <w:shd w:val="pct5" w:color="auto" w:fill="auto"/>
          </w:tcPr>
          <w:p w:rsidR="00D472BD" w:rsidRPr="0005069E" w:rsidRDefault="00D472BD">
            <w:pPr>
              <w:pStyle w:val="Normaltindrag"/>
              <w:spacing w:before="60" w:after="60" w:line="240" w:lineRule="auto"/>
              <w:ind w:firstLine="0"/>
            </w:pPr>
          </w:p>
        </w:tc>
        <w:tc>
          <w:tcPr>
            <w:tcW w:w="1134" w:type="dxa"/>
          </w:tcPr>
          <w:p w:rsidR="00D472BD" w:rsidRPr="0005069E" w:rsidRDefault="00D472BD">
            <w:pPr>
              <w:pStyle w:val="Normaltindrag"/>
              <w:spacing w:before="60" w:after="60" w:line="240" w:lineRule="auto"/>
              <w:ind w:firstLine="0"/>
              <w:rPr>
                <w:i/>
              </w:rPr>
            </w:pPr>
            <w:r w:rsidRPr="0005069E">
              <w:rPr>
                <w:i/>
              </w:rPr>
              <w:t>Förän</w:t>
            </w:r>
            <w:r w:rsidRPr="0005069E">
              <w:rPr>
                <w:i/>
              </w:rPr>
              <w:t>d</w:t>
            </w:r>
            <w:r w:rsidRPr="0005069E">
              <w:rPr>
                <w:i/>
              </w:rPr>
              <w:t>ring</w:t>
            </w:r>
          </w:p>
        </w:tc>
        <w:tc>
          <w:tcPr>
            <w:tcW w:w="992" w:type="dxa"/>
          </w:tcPr>
          <w:p w:rsidR="00D472BD" w:rsidRPr="0005069E" w:rsidRDefault="00D472BD">
            <w:pPr>
              <w:pStyle w:val="Normaltindrag"/>
              <w:spacing w:before="60" w:after="60" w:line="240" w:lineRule="auto"/>
              <w:ind w:firstLine="0"/>
              <w:jc w:val="center"/>
            </w:pPr>
            <w:r w:rsidRPr="0005069E">
              <w:t>-2,6</w:t>
            </w:r>
          </w:p>
        </w:tc>
        <w:tc>
          <w:tcPr>
            <w:tcW w:w="992" w:type="dxa"/>
          </w:tcPr>
          <w:p w:rsidR="00D472BD" w:rsidRPr="0005069E" w:rsidRDefault="00D472BD">
            <w:pPr>
              <w:pStyle w:val="Normaltindrag"/>
              <w:spacing w:before="60" w:after="60" w:line="240" w:lineRule="auto"/>
              <w:ind w:firstLine="0"/>
              <w:jc w:val="center"/>
            </w:pPr>
            <w:r w:rsidRPr="0005069E">
              <w:t>-1,4</w:t>
            </w:r>
          </w:p>
        </w:tc>
        <w:tc>
          <w:tcPr>
            <w:tcW w:w="1134" w:type="dxa"/>
          </w:tcPr>
          <w:p w:rsidR="00D472BD" w:rsidRPr="0005069E" w:rsidRDefault="00D472BD">
            <w:pPr>
              <w:pStyle w:val="Normaltindrag"/>
              <w:spacing w:before="60" w:after="60" w:line="240" w:lineRule="auto"/>
              <w:ind w:firstLine="0"/>
              <w:jc w:val="center"/>
            </w:pPr>
            <w:r w:rsidRPr="0005069E">
              <w:t>-2,9</w:t>
            </w:r>
          </w:p>
        </w:tc>
        <w:tc>
          <w:tcPr>
            <w:tcW w:w="851" w:type="dxa"/>
          </w:tcPr>
          <w:p w:rsidR="00D472BD" w:rsidRPr="0005069E" w:rsidRDefault="00D472BD">
            <w:pPr>
              <w:pStyle w:val="Normaltindrag"/>
              <w:spacing w:before="60" w:after="60" w:line="240" w:lineRule="auto"/>
              <w:ind w:firstLine="0"/>
              <w:jc w:val="center"/>
            </w:pPr>
            <w:r w:rsidRPr="0005069E">
              <w:t>-1,9</w:t>
            </w:r>
          </w:p>
        </w:tc>
      </w:tr>
    </w:tbl>
    <w:p w:rsidR="00D472BD" w:rsidRPr="0005069E" w:rsidRDefault="00D472BD">
      <w:pPr>
        <w:pStyle w:val="Normaltindrag"/>
      </w:pPr>
    </w:p>
    <w:p w:rsidR="00D472BD" w:rsidRPr="0005069E" w:rsidRDefault="00D472BD">
      <w:r w:rsidRPr="0005069E">
        <w:t xml:space="preserve">Forskarna konstaterar att utvecklingen </w:t>
      </w:r>
      <w:r w:rsidRPr="0005069E">
        <w:rPr>
          <w:i/>
        </w:rPr>
        <w:t>inte</w:t>
      </w:r>
      <w:r w:rsidRPr="0005069E">
        <w:t xml:space="preserve"> kan förklaras av hälsoskäl, u</w:t>
      </w:r>
      <w:r w:rsidRPr="0005069E">
        <w:t>t</w:t>
      </w:r>
      <w:r w:rsidRPr="0005069E">
        <w:t>bildningsnivå eller individernas vilja att arbeta. För alla dessa variabler är skillnaderna mellan äldre och yngre för små för att förklara skillnaderna i förvärvsfrekvens. Än mindre bidrar de till att förklara den negativa utvec</w:t>
      </w:r>
      <w:r w:rsidRPr="0005069E">
        <w:t>k</w:t>
      </w:r>
      <w:r w:rsidRPr="0005069E">
        <w:t>lingen under 1990-talet.</w:t>
      </w:r>
    </w:p>
    <w:p w:rsidR="00D472BD" w:rsidRPr="0005069E" w:rsidRDefault="00D472BD">
      <w:pPr>
        <w:pStyle w:val="Normaltindrag"/>
      </w:pPr>
      <w:r w:rsidRPr="0005069E">
        <w:t>Huvuddelen av de regeländringar som genomförts inom socialförsäkring</w:t>
      </w:r>
      <w:r w:rsidRPr="0005069E">
        <w:t>s</w:t>
      </w:r>
      <w:r w:rsidRPr="0005069E">
        <w:t>området under 90-talet anses vara förenliga med arbetslinjen. Här kan nä</w:t>
      </w:r>
      <w:r w:rsidRPr="0005069E">
        <w:t>m</w:t>
      </w:r>
      <w:r w:rsidRPr="0005069E">
        <w:t>nas höjningen av gränsen för förtida uttag av pension från 60 till 61 år, r</w:t>
      </w:r>
      <w:r w:rsidRPr="0005069E">
        <w:t>e</w:t>
      </w:r>
      <w:r w:rsidRPr="0005069E">
        <w:t>striktivare regler för förtidspension och arbetsskadeförsäkring, sänkta ersät</w:t>
      </w:r>
      <w:r w:rsidRPr="0005069E">
        <w:t>t</w:t>
      </w:r>
      <w:r w:rsidRPr="0005069E">
        <w:t>ningsnivåer, samt ökat arbetsgivaransvar för statliga myndigheter som säger upp äldre arbetskraft. Samtidigt noterar forskarna att när ändringar i restriktiv riktning genomförts så har detta medfört att många skyndat sig att utnyttja de gamla reglerna innan de nya träder i kraft. Det</w:t>
      </w:r>
      <w:r w:rsidRPr="0005069E">
        <w:t>ta skedde bl.a. inom arbetssk</w:t>
      </w:r>
      <w:r w:rsidRPr="0005069E">
        <w:t>a</w:t>
      </w:r>
      <w:r w:rsidRPr="0005069E">
        <w:t xml:space="preserve">deförsäkringen och inom förtidspensioneringen när äldrereglerna togs bort. </w:t>
      </w:r>
    </w:p>
    <w:p w:rsidR="00D472BD" w:rsidRPr="0005069E" w:rsidRDefault="00D472BD">
      <w:pPr>
        <w:pStyle w:val="Normaltindrag"/>
      </w:pPr>
      <w:r w:rsidRPr="0005069E">
        <w:t>Dock ifrågasätts de försämrade villkoren för delpensionering och avska</w:t>
      </w:r>
      <w:r w:rsidRPr="0005069E">
        <w:t>f</w:t>
      </w:r>
      <w:r w:rsidRPr="0005069E">
        <w:t>fandet av delpensionssystemet. Forskarna noterar att andra länder i stället förbättrat villkoren för delpension för att göra det möjligt för äldre att stanna kvar på arbetsmarknaden fram till den ordinarie pensionså</w:t>
      </w:r>
      <w:r w:rsidRPr="0005069E">
        <w:t>l</w:t>
      </w:r>
      <w:r w:rsidRPr="0005069E">
        <w:t>dern.</w:t>
      </w:r>
    </w:p>
    <w:p w:rsidR="00D472BD" w:rsidRPr="0005069E" w:rsidRDefault="00D472BD">
      <w:pPr>
        <w:pStyle w:val="Normaltindrag"/>
      </w:pPr>
      <w:r w:rsidRPr="0005069E">
        <w:t>Arbetsmarknadspolitiken får sämre betyg av forskarna. Visserligen har kvalifikationskraven för arbetslöshetsersättning skärpts, ersättningsnivåerna sänkts och ersättningsperioden förkortats för vissa grupper, men samtidigt har åtgärder som strider mot arbetslinjen haft stor omfattning. Hä</w:t>
      </w:r>
      <w:r w:rsidRPr="0005069E">
        <w:t>r nämns den tillfälliga avgångsersättningen, generationsväxlingen och arbetslivsutvec</w:t>
      </w:r>
      <w:r w:rsidRPr="0005069E">
        <w:t>k</w:t>
      </w:r>
      <w:r w:rsidRPr="0005069E">
        <w:t>lingen (ALU).</w:t>
      </w:r>
    </w:p>
    <w:p w:rsidR="00D472BD" w:rsidRPr="0005069E" w:rsidRDefault="00D472BD">
      <w:pPr>
        <w:pStyle w:val="Normaltindrag"/>
      </w:pPr>
      <w:r w:rsidRPr="0005069E">
        <w:t>Staten som arbetsgivare anses inte ha följt arbetslinjen. Uppsägningar av äldre arbetstagare har tidvis varit omfattande. Forskarna räknar dock med att de förtida avgångarna kommer att minska kraftigt fr.o.m. år 2000 då de nya reglerna för myndigheternas kostnad</w:t>
      </w:r>
      <w:r w:rsidRPr="0005069E">
        <w:t>s</w:t>
      </w:r>
      <w:r w:rsidRPr="0005069E">
        <w:t xml:space="preserve">ansvar slagit igenom fullt ut. </w:t>
      </w:r>
    </w:p>
    <w:p w:rsidR="00D472BD" w:rsidRPr="0005069E" w:rsidRDefault="00D472BD">
      <w:pPr>
        <w:pStyle w:val="Normaltindrag"/>
      </w:pPr>
      <w:r w:rsidRPr="0005069E">
        <w:t>Utbildningspolitiken väger i jämförelse med ovannämnda politikområden relativt lätt för den äldre arbetskraften. Forskarna konstaterar att formella åldersgränser tagits bort vad gäller tillträde till högre utbildning. Samtidigt finns åldersgränser kvar inom studiestödssystemet. De äldres utbildningsnivå är relativt hög och och deltagandet i personalutbildning är i stort sett lika högt som för de yngre.</w:t>
      </w:r>
    </w:p>
    <w:p w:rsidR="00D472BD" w:rsidRPr="0005069E" w:rsidRDefault="00D472BD">
      <w:pPr>
        <w:pStyle w:val="Normaltindrag"/>
      </w:pPr>
      <w:r w:rsidRPr="0005069E">
        <w:t>Trots kritiken mot vissa åtgärder inom arbetsmarknadspolitikens område och ifrågasättandet av avskaffandet av delpensionssystemet anses tilläm</w:t>
      </w:r>
      <w:r w:rsidRPr="0005069E">
        <w:t>p</w:t>
      </w:r>
      <w:r w:rsidRPr="0005069E">
        <w:t>ningen</w:t>
      </w:r>
      <w:r w:rsidRPr="0005069E">
        <w:rPr>
          <w:b/>
        </w:rPr>
        <w:t xml:space="preserve"> </w:t>
      </w:r>
      <w:r w:rsidRPr="0005069E">
        <w:t>av regelverken ha varit ett större problem än dess utformning</w:t>
      </w:r>
      <w:r w:rsidRPr="0005069E">
        <w:rPr>
          <w:b/>
        </w:rPr>
        <w:t xml:space="preserve">. </w:t>
      </w:r>
      <w:r w:rsidRPr="0005069E">
        <w:t>Här lyfter forskarna fram ett antal observationer. Handläggare på arbetsförme</w:t>
      </w:r>
      <w:r w:rsidRPr="0005069E">
        <w:t>d</w:t>
      </w:r>
      <w:r w:rsidRPr="0005069E">
        <w:t>ling och försäkringskassa uppfattar det ofta som ”orealistiskt” att den äldre kan återgå i arbete och avstår därför från att föreslå aktiva insatser. När akt</w:t>
      </w:r>
      <w:r w:rsidRPr="0005069E">
        <w:t>i</w:t>
      </w:r>
      <w:r w:rsidRPr="0005069E">
        <w:t>va åtgärder sätts in är det vanligt att de syftar till att trygga försörjningen fram till pensionen snarare än till att öka chansen till arbete. Forskarna p</w:t>
      </w:r>
      <w:r w:rsidRPr="0005069E">
        <w:t>o</w:t>
      </w:r>
      <w:r w:rsidRPr="0005069E">
        <w:t>ängterar vidare att lokala intressen inte nödvän</w:t>
      </w:r>
      <w:r w:rsidRPr="0005069E">
        <w:t>digtvis sammanfaller med riksintresset och ser det därför som ett problem att beslut som rör användning av statliga medel fattas på lokal nivå.</w:t>
      </w:r>
    </w:p>
    <w:p w:rsidR="00D472BD" w:rsidRPr="0005069E" w:rsidRDefault="00D472BD">
      <w:pPr>
        <w:pStyle w:val="Normaltindrag"/>
      </w:pPr>
      <w:r w:rsidRPr="0005069E">
        <w:t>Ytterligare problem som betonas särskilt i rapporten är dels uppkomsten av nya former av tidig pensionering,</w:t>
      </w:r>
      <w:r w:rsidRPr="0005069E">
        <w:rPr>
          <w:b/>
        </w:rPr>
        <w:t xml:space="preserve"> </w:t>
      </w:r>
      <w:r w:rsidRPr="0005069E">
        <w:t>dels bristen på enhetlighet i de olika</w:t>
      </w:r>
      <w:r w:rsidRPr="0005069E">
        <w:rPr>
          <w:b/>
        </w:rPr>
        <w:t xml:space="preserve"> </w:t>
      </w:r>
      <w:r w:rsidRPr="0005069E">
        <w:t>ersät</w:t>
      </w:r>
      <w:r w:rsidRPr="0005069E">
        <w:t>t</w:t>
      </w:r>
      <w:r w:rsidRPr="0005069E">
        <w:t>ningssystemen. De nya formerna för förtida pension har det gemensamt att den som sagts upp i förtid uppbär arbetslöshetsersättning som en del av up</w:t>
      </w:r>
      <w:r w:rsidRPr="0005069E">
        <w:t>p</w:t>
      </w:r>
      <w:r w:rsidRPr="0005069E">
        <w:t>görelsen med arbetsgivaren. Bristen på enhetlighet i ersättningssystemen gör det svårt både för de berörda personerna och för handläggare på arbetsfö</w:t>
      </w:r>
      <w:r w:rsidRPr="0005069E">
        <w:t>r</w:t>
      </w:r>
      <w:r w:rsidRPr="0005069E">
        <w:t>medling och försäkringskassa att överblicka situationen. På vissa områden finns det regler för hur de statliga ersättningarna ska samordnas med a</w:t>
      </w:r>
      <w:r w:rsidRPr="0005069E">
        <w:t>v</w:t>
      </w:r>
      <w:r w:rsidRPr="0005069E">
        <w:t>talsenliga tillägg. På</w:t>
      </w:r>
      <w:r w:rsidRPr="0005069E">
        <w:t xml:space="preserve"> andra områden saknas sådana regler.</w:t>
      </w:r>
    </w:p>
    <w:p w:rsidR="00D472BD" w:rsidRPr="0005069E" w:rsidRDefault="00D472BD">
      <w:pPr>
        <w:pStyle w:val="Normaltindrag"/>
      </w:pPr>
    </w:p>
    <w:p w:rsidR="00D472BD" w:rsidRPr="0005069E" w:rsidRDefault="00D472BD">
      <w:pPr>
        <w:pStyle w:val="Rubrik3"/>
      </w:pPr>
      <w:r w:rsidRPr="0005069E">
        <w:t>Seminariet</w:t>
      </w:r>
    </w:p>
    <w:p w:rsidR="00D472BD" w:rsidRPr="0005069E" w:rsidRDefault="00D472BD">
      <w:pPr>
        <w:pStyle w:val="Normaltindrag"/>
        <w:ind w:firstLine="0"/>
      </w:pPr>
      <w:r w:rsidRPr="0005069E">
        <w:t>För att ytterligare bredda underlaget för Riksdagens revisorers granskning genomförde revisorernas tredje avdelning ett seminarium om arbetslinjen den 4 februari 2000. Förutom tredje avdelningens ledamöter deltog vid sem</w:t>
      </w:r>
      <w:r w:rsidRPr="0005069E">
        <w:t>i</w:t>
      </w:r>
      <w:r w:rsidRPr="0005069E">
        <w:t>nariet Mats Wadman, Näringsdepartementet; Inger Marklund, Riksförsä</w:t>
      </w:r>
      <w:r w:rsidRPr="0005069E">
        <w:t>k</w:t>
      </w:r>
      <w:r w:rsidRPr="0005069E">
        <w:t>ringsverket (RFV); Leif Tallskog, Arbetsmarknadsstyrelsen (AMS); Marg</w:t>
      </w:r>
      <w:r w:rsidRPr="0005069E">
        <w:t>a</w:t>
      </w:r>
      <w:r w:rsidRPr="0005069E">
        <w:t>reta Hammarberg och Ingrid Carlberg, Justitiedepartementet samt Susanne Ackum-Agell, Institutet för arbet</w:t>
      </w:r>
      <w:r w:rsidRPr="0005069E">
        <w:t>s</w:t>
      </w:r>
      <w:r w:rsidRPr="0005069E">
        <w:t>marknadspolitisk utvärdering (IFAU).</w:t>
      </w:r>
    </w:p>
    <w:p w:rsidR="00D472BD" w:rsidRPr="0005069E" w:rsidRDefault="00D472BD">
      <w:pPr>
        <w:pStyle w:val="Normaltindrag"/>
      </w:pPr>
      <w:r w:rsidRPr="0005069E">
        <w:t>Deltagarna granskade kritiskt de delar av rapporten som rör deras respekt</w:t>
      </w:r>
      <w:r w:rsidRPr="0005069E">
        <w:t>i</w:t>
      </w:r>
      <w:r w:rsidRPr="0005069E">
        <w:t>ve expertområden. De nyanserade och kompletterade den bild som present</w:t>
      </w:r>
      <w:r w:rsidRPr="0005069E">
        <w:t>e</w:t>
      </w:r>
      <w:r w:rsidRPr="0005069E">
        <w:t>rades i rapporten när så ansågs påkallat och informerade om det arbete som pågår inom deras verksamhetsområden.</w:t>
      </w:r>
    </w:p>
    <w:p w:rsidR="00D472BD" w:rsidRPr="0005069E" w:rsidRDefault="00D472BD">
      <w:pPr>
        <w:pStyle w:val="Normaltindrag"/>
      </w:pPr>
      <w:r w:rsidRPr="0005069E">
        <w:t>Seminariedeltagarnas samstämmiga bedömning var att forskarrapporten gav en korrekt och utförlig beskrivning av arbetslinjens tillämpning för den äldre arbetskraften. Det noterades också att forskarrapporten innehåller data  som inte presenterats tidigare och nya sammanställningar av information som kan utgöra en viktig utgångs</w:t>
      </w:r>
      <w:r w:rsidRPr="0005069E">
        <w:t>punkt för den fortsatta forskningen inom omr</w:t>
      </w:r>
      <w:r w:rsidRPr="0005069E">
        <w:t>å</w:t>
      </w:r>
      <w:r w:rsidRPr="0005069E">
        <w:t xml:space="preserve">det. </w:t>
      </w:r>
    </w:p>
    <w:p w:rsidR="00D472BD" w:rsidRPr="0005069E" w:rsidRDefault="00D472BD">
      <w:pPr>
        <w:pStyle w:val="Normaltindrag"/>
      </w:pPr>
      <w:r w:rsidRPr="0005069E">
        <w:t>Från flera håll efterlystes dock en djupare analys av hur de äldres arbet</w:t>
      </w:r>
      <w:r w:rsidRPr="0005069E">
        <w:t>s</w:t>
      </w:r>
      <w:r w:rsidRPr="0005069E">
        <w:t>kraftsdeltagande påverkats av förändringar i efterfrågan. Bl.a. hävdade några deltagare att de som kom att omfattas av den tillfälliga avgångsersättningen, vid rådande efterfrågeläge, i realiteten knappast kunde anses tillhöra arbet</w:t>
      </w:r>
      <w:r w:rsidRPr="0005069E">
        <w:t>s</w:t>
      </w:r>
      <w:r w:rsidRPr="0005069E">
        <w:t>kraften. På samma sätt borde äldreavgångarna inom staten, enligt represe</w:t>
      </w:r>
      <w:r w:rsidRPr="0005069E">
        <w:t>n</w:t>
      </w:r>
      <w:r w:rsidRPr="0005069E">
        <w:t>tanterna från Justitiedepartementet, ses mot bakgrund av att inte mindre än 160 statliga myndigheter avvecklades under 1990-talet. Även behovet av mera kunskap om arbetsgivarnas attityder till de äldre och</w:t>
      </w:r>
      <w:r w:rsidRPr="0005069E">
        <w:t xml:space="preserve"> om de faktorer som bestämmer människors arbetsutbud beton</w:t>
      </w:r>
      <w:r w:rsidRPr="0005069E">
        <w:t>a</w:t>
      </w:r>
      <w:r w:rsidRPr="0005069E">
        <w:t>des.</w:t>
      </w:r>
    </w:p>
    <w:p w:rsidR="00D472BD" w:rsidRPr="0005069E" w:rsidRDefault="00D472BD">
      <w:pPr>
        <w:pStyle w:val="Normaltindrag"/>
      </w:pPr>
      <w:r w:rsidRPr="0005069E">
        <w:t>Samtidigt poängterades behovet av långsiktighet med tydliga regler. Från IFAU betonades att arbetslinjen måste ligga fast som norm oavsett konjun</w:t>
      </w:r>
      <w:r w:rsidRPr="0005069E">
        <w:t>k</w:t>
      </w:r>
      <w:r w:rsidRPr="0005069E">
        <w:t>turläge för att inte ge upphov till förväntningar om policyförändringar när konjunkturen vänder. Såväl IFAU:s som AMS företrädare ifrågasatte det rimliga i att lokala beslutsfattare kan besluta om användningen av statliga medel. Beträffande delpensionssystemet nämnde RFV:s representant att ett av huvudskälen till att systemet avvecklades var att det inte utnyttjades så som ursprungligen var tänkt. Delpension var betydligt vanligare inom tjän</w:t>
      </w:r>
      <w:r w:rsidRPr="0005069E">
        <w:t>s</w:t>
      </w:r>
      <w:r w:rsidRPr="0005069E">
        <w:t xml:space="preserve">temannayrken än inom slitsamma och monotona arbeten. </w:t>
      </w:r>
    </w:p>
    <w:p w:rsidR="00D472BD" w:rsidRPr="0005069E" w:rsidRDefault="00D472BD">
      <w:pPr>
        <w:pStyle w:val="Normaltindrag"/>
      </w:pPr>
      <w:r w:rsidRPr="0005069E">
        <w:t>Det framgic</w:t>
      </w:r>
      <w:r w:rsidRPr="0005069E">
        <w:t>k av seminariet att de departement och myndigheter som fanns representerade var väl medvetna om problematiken kring de äldres arbet</w:t>
      </w:r>
      <w:r w:rsidRPr="0005069E">
        <w:t>s</w:t>
      </w:r>
      <w:r w:rsidRPr="0005069E">
        <w:t>kraftsdeltagande och arbetar för att finna lösningar på problemen.</w:t>
      </w:r>
    </w:p>
    <w:p w:rsidR="00D472BD" w:rsidRPr="0005069E" w:rsidRDefault="00D472BD">
      <w:pPr>
        <w:pStyle w:val="Normaltindrag"/>
      </w:pPr>
    </w:p>
    <w:p w:rsidR="00D472BD" w:rsidRPr="0005069E" w:rsidRDefault="00D472BD">
      <w:pPr>
        <w:pStyle w:val="Rubrik3"/>
      </w:pPr>
      <w:r w:rsidRPr="0005069E">
        <w:t>Övrig insamling och sammanställning av data</w:t>
      </w:r>
    </w:p>
    <w:p w:rsidR="00D472BD" w:rsidRPr="0005069E" w:rsidRDefault="00D472BD">
      <w:r w:rsidRPr="0005069E">
        <w:t>För att bättre kunna beskriva omfattningen av problemet med förtida pe</w:t>
      </w:r>
      <w:r w:rsidRPr="0005069E">
        <w:t>n</w:t>
      </w:r>
      <w:r w:rsidRPr="0005069E">
        <w:t xml:space="preserve">sionsavgångar (s.k. ”äldreavgångar”) gick Riksdagens revisorer i slutet av januari 2000 ut med en enkät till samtliga länsarbetsnämnder. I enkäten ombads länsarbetsnämnderna inkomma med uppgifter om det totala antalet sökande som avgått i samband med ”äldreavgångar” och som var inskrivna vid arbetsförmedlingen vid årsskiftet. De ombads även ange inom vilka avtalsområden ”äldreavgångarna” var vanligast och om de ökat eller minskat de senaste åren. Svar inkom från samtliga länsarbetsnämnder men några av dem </w:t>
      </w:r>
      <w:r w:rsidRPr="0005069E">
        <w:t>angav att det ej varit möjligt att beräkna antalet äldrea</w:t>
      </w:r>
      <w:r w:rsidRPr="0005069E">
        <w:t>v</w:t>
      </w:r>
      <w:r w:rsidRPr="0005069E">
        <w:t>gångar.</w:t>
      </w:r>
    </w:p>
    <w:p w:rsidR="00D472BD" w:rsidRPr="0005069E" w:rsidRDefault="00D472BD">
      <w:pPr>
        <w:pStyle w:val="Normaltindrag"/>
      </w:pPr>
      <w:r w:rsidRPr="0005069E">
        <w:t>Vidare genomfördes bl.a. ett antal intervjuer och sammanställningar av statistik för att få en bättre uppfattning om de problem som påtalats i forska</w:t>
      </w:r>
      <w:r w:rsidRPr="0005069E">
        <w:t>r</w:t>
      </w:r>
      <w:r w:rsidRPr="0005069E">
        <w:t>rapporten och ytterligare konkretisera hur stora skillnaderna i inkomst är mellan personer som befinner sig i olika ersättningssy</w:t>
      </w:r>
      <w:r w:rsidRPr="0005069E">
        <w:t>s</w:t>
      </w:r>
      <w:r w:rsidRPr="0005069E">
        <w:t>tem.</w:t>
      </w:r>
    </w:p>
    <w:p w:rsidR="00D472BD" w:rsidRPr="0005069E" w:rsidRDefault="00D472BD">
      <w:pPr>
        <w:pStyle w:val="Rubrik2"/>
      </w:pPr>
      <w:bookmarkStart w:id="22" w:name="_Toc485530793"/>
      <w:r w:rsidRPr="0005069E">
        <w:t>1.2 Rapportens innehåll</w:t>
      </w:r>
      <w:bookmarkEnd w:id="22"/>
    </w:p>
    <w:p w:rsidR="00D472BD" w:rsidRPr="0005069E" w:rsidRDefault="00D472BD">
      <w:r w:rsidRPr="0005069E">
        <w:t>Efter genomgången av forskarrapporten samt av det som framkommit vid seminariet och vid revisorernas eget utredningsarbete identifierades fyra problemområden där revisorerna ansåg att det fanns särskilt starka skäl att gå vidare. Dessa problemområden var det komplexa regelve</w:t>
      </w:r>
      <w:r w:rsidRPr="0005069E">
        <w:t>r</w:t>
      </w:r>
      <w:r w:rsidRPr="0005069E">
        <w:t>ket, tillämpnings-praxisen, staten som arbetsgivare samt ”äldreavgångarna”.  Efter en inleda</w:t>
      </w:r>
      <w:r w:rsidRPr="0005069E">
        <w:t>n</w:t>
      </w:r>
      <w:r w:rsidRPr="0005069E">
        <w:t>de diskussion om hur de äldres sysselsättningssituation påverkades av efte</w:t>
      </w:r>
      <w:r w:rsidRPr="0005069E">
        <w:t>r</w:t>
      </w:r>
      <w:r w:rsidRPr="0005069E">
        <w:t>frågekrisen i början av 1990-talet behandlades respektive problemområde kortfattat i var sitt avsnitt.</w:t>
      </w:r>
    </w:p>
    <w:p w:rsidR="00D472BD" w:rsidRPr="0005069E" w:rsidRDefault="00D472BD">
      <w:pPr>
        <w:pStyle w:val="Normaltindrag"/>
        <w:ind w:firstLine="0"/>
      </w:pPr>
    </w:p>
    <w:p w:rsidR="00D472BD" w:rsidRPr="0005069E" w:rsidRDefault="00D472BD">
      <w:pPr>
        <w:pStyle w:val="Rubrik3"/>
      </w:pPr>
      <w:r w:rsidRPr="0005069E">
        <w:t>Efterfrågekrisens inverkan på de äldres sysselsät</w:t>
      </w:r>
      <w:r w:rsidRPr="0005069E">
        <w:t>t</w:t>
      </w:r>
      <w:r w:rsidRPr="0005069E">
        <w:t>ning</w:t>
      </w:r>
    </w:p>
    <w:p w:rsidR="00D472BD" w:rsidRPr="0005069E" w:rsidRDefault="00D472BD">
      <w:r w:rsidRPr="0005069E">
        <w:t>Under de första åren av 1990-talet minskade efterfrågan på arbetskraft i snabb takt  och när efterfrågekrisen nådde sin kulmen 1994 hade antalet sysselsatta fallit med drygt en halv miljon. Alla åldersgrupper drabbades men de kraftigaste minskningarna noterades för de allra yngsta och de allra äldsta. Det är ännu för tidigt att dra säkra slutsatser om hur varaktiga effekterna av den dramatiska utvecklingen under första hälften av 1990-talet kommer att bli för de äldre på arbetsmarknaden. Några prelimi</w:t>
      </w:r>
      <w:r w:rsidRPr="0005069E">
        <w:t xml:space="preserve">nära iaktagelser kan dock göras. </w:t>
      </w:r>
    </w:p>
    <w:p w:rsidR="00D472BD" w:rsidRPr="0005069E" w:rsidRDefault="00D472BD">
      <w:pPr>
        <w:pStyle w:val="Normaltindrag"/>
        <w:ind w:firstLine="0"/>
      </w:pPr>
    </w:p>
    <w:p w:rsidR="00D472BD" w:rsidRPr="0005069E" w:rsidRDefault="00D472BD">
      <w:pPr>
        <w:pStyle w:val="Normaltindrag"/>
        <w:spacing w:line="240" w:lineRule="auto"/>
        <w:ind w:firstLine="0"/>
        <w:rPr>
          <w:b/>
        </w:rPr>
      </w:pPr>
      <w:r w:rsidRPr="0005069E">
        <w:rPr>
          <w:b/>
        </w:rPr>
        <w:t xml:space="preserve">Tabell 2: </w:t>
      </w:r>
      <w:r w:rsidRPr="0005069E">
        <w:t>Sysselsatta, enligt AKU, i procent av befolkningen, 55–59 och 60–64 år.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6"/>
        <w:gridCol w:w="1006"/>
        <w:gridCol w:w="1006"/>
        <w:gridCol w:w="1006"/>
        <w:gridCol w:w="1006"/>
        <w:gridCol w:w="1006"/>
      </w:tblGrid>
      <w:tr w:rsidR="00000000" w:rsidRPr="0005069E">
        <w:tblPrEx>
          <w:tblCellMar>
            <w:top w:w="0" w:type="dxa"/>
            <w:bottom w:w="0" w:type="dxa"/>
          </w:tblCellMar>
        </w:tblPrEx>
        <w:trPr>
          <w:cantSplit/>
          <w:trHeight w:val="70"/>
        </w:trPr>
        <w:tc>
          <w:tcPr>
            <w:tcW w:w="1942" w:type="dxa"/>
            <w:gridSpan w:val="2"/>
            <w:tcBorders>
              <w:top w:val="single" w:sz="4" w:space="0" w:color="auto"/>
              <w:left w:val="single" w:sz="4" w:space="0" w:color="auto"/>
              <w:bottom w:val="single" w:sz="4" w:space="0" w:color="auto"/>
              <w:right w:val="nil"/>
            </w:tcBorders>
            <w:shd w:val="pct5" w:color="auto" w:fill="auto"/>
          </w:tcPr>
          <w:p w:rsidR="00D472BD" w:rsidRPr="0005069E" w:rsidRDefault="00D472BD">
            <w:pPr>
              <w:pStyle w:val="Normaltindrag"/>
              <w:spacing w:before="60" w:after="60" w:line="240" w:lineRule="auto"/>
              <w:ind w:firstLine="0"/>
              <w:jc w:val="center"/>
              <w:rPr>
                <w:b/>
              </w:rPr>
            </w:pPr>
          </w:p>
        </w:tc>
        <w:tc>
          <w:tcPr>
            <w:tcW w:w="1006" w:type="dxa"/>
            <w:tcBorders>
              <w:left w:val="single" w:sz="4" w:space="0" w:color="auto"/>
            </w:tcBorders>
            <w:shd w:val="pct5" w:color="auto" w:fill="auto"/>
          </w:tcPr>
          <w:p w:rsidR="00D472BD" w:rsidRPr="0005069E" w:rsidRDefault="00D472BD">
            <w:pPr>
              <w:pStyle w:val="Normaltindrag"/>
              <w:spacing w:before="60" w:after="60" w:line="240" w:lineRule="auto"/>
              <w:ind w:firstLine="0"/>
              <w:jc w:val="center"/>
              <w:rPr>
                <w:b/>
              </w:rPr>
            </w:pPr>
            <w:r w:rsidRPr="0005069E">
              <w:rPr>
                <w:b/>
              </w:rPr>
              <w:t>1980</w:t>
            </w:r>
          </w:p>
        </w:tc>
        <w:tc>
          <w:tcPr>
            <w:tcW w:w="1006" w:type="dxa"/>
            <w:shd w:val="pct5" w:color="auto" w:fill="auto"/>
          </w:tcPr>
          <w:p w:rsidR="00D472BD" w:rsidRPr="0005069E" w:rsidRDefault="00D472BD">
            <w:pPr>
              <w:pStyle w:val="Normaltindrag"/>
              <w:spacing w:before="60" w:after="60" w:line="240" w:lineRule="auto"/>
              <w:ind w:firstLine="0"/>
              <w:jc w:val="center"/>
              <w:rPr>
                <w:b/>
              </w:rPr>
            </w:pPr>
            <w:r w:rsidRPr="0005069E">
              <w:rPr>
                <w:b/>
              </w:rPr>
              <w:t>1990</w:t>
            </w:r>
          </w:p>
        </w:tc>
        <w:tc>
          <w:tcPr>
            <w:tcW w:w="1006" w:type="dxa"/>
            <w:shd w:val="pct5" w:color="auto" w:fill="auto"/>
          </w:tcPr>
          <w:p w:rsidR="00D472BD" w:rsidRPr="0005069E" w:rsidRDefault="00D472BD">
            <w:pPr>
              <w:pStyle w:val="Normaltindrag"/>
              <w:spacing w:before="60" w:after="60" w:line="240" w:lineRule="auto"/>
              <w:ind w:firstLine="0"/>
              <w:jc w:val="center"/>
              <w:rPr>
                <w:b/>
              </w:rPr>
            </w:pPr>
            <w:r w:rsidRPr="0005069E">
              <w:rPr>
                <w:b/>
              </w:rPr>
              <w:t>1994</w:t>
            </w:r>
          </w:p>
        </w:tc>
        <w:tc>
          <w:tcPr>
            <w:tcW w:w="1006" w:type="dxa"/>
            <w:shd w:val="pct5" w:color="auto" w:fill="auto"/>
          </w:tcPr>
          <w:p w:rsidR="00D472BD" w:rsidRPr="0005069E" w:rsidRDefault="00D472BD">
            <w:pPr>
              <w:pStyle w:val="Normaltindrag"/>
              <w:spacing w:before="60" w:after="60" w:line="240" w:lineRule="auto"/>
              <w:ind w:firstLine="0"/>
              <w:jc w:val="center"/>
              <w:rPr>
                <w:b/>
              </w:rPr>
            </w:pPr>
            <w:r w:rsidRPr="0005069E">
              <w:rPr>
                <w:b/>
              </w:rPr>
              <w:t>1999</w:t>
            </w:r>
          </w:p>
        </w:tc>
      </w:tr>
      <w:tr w:rsidR="00000000" w:rsidRPr="0005069E">
        <w:tblPrEx>
          <w:tblCellMar>
            <w:top w:w="0" w:type="dxa"/>
            <w:bottom w:w="0" w:type="dxa"/>
          </w:tblCellMar>
        </w:tblPrEx>
        <w:trPr>
          <w:cantSplit/>
        </w:trPr>
        <w:tc>
          <w:tcPr>
            <w:tcW w:w="936" w:type="dxa"/>
            <w:vMerge w:val="restart"/>
            <w:tcBorders>
              <w:top w:val="nil"/>
            </w:tcBorders>
            <w:shd w:val="pct5" w:color="auto" w:fill="auto"/>
          </w:tcPr>
          <w:p w:rsidR="00D472BD" w:rsidRPr="0005069E" w:rsidRDefault="00D472BD">
            <w:pPr>
              <w:pStyle w:val="Normaltindrag"/>
              <w:spacing w:before="60" w:after="60" w:line="240" w:lineRule="auto"/>
              <w:ind w:firstLine="0"/>
              <w:jc w:val="left"/>
              <w:rPr>
                <w:b/>
              </w:rPr>
            </w:pPr>
            <w:r w:rsidRPr="0005069E">
              <w:rPr>
                <w:b/>
              </w:rPr>
              <w:t>Män</w:t>
            </w:r>
          </w:p>
        </w:tc>
        <w:tc>
          <w:tcPr>
            <w:tcW w:w="1006" w:type="dxa"/>
            <w:tcBorders>
              <w:top w:val="nil"/>
            </w:tcBorders>
            <w:shd w:val="pct5" w:color="auto" w:fill="auto"/>
          </w:tcPr>
          <w:p w:rsidR="00D472BD" w:rsidRPr="0005069E" w:rsidRDefault="00D472BD">
            <w:pPr>
              <w:pStyle w:val="Normaltindrag"/>
              <w:spacing w:before="60" w:after="60" w:line="240" w:lineRule="auto"/>
              <w:ind w:firstLine="0"/>
              <w:jc w:val="center"/>
              <w:rPr>
                <w:b/>
              </w:rPr>
            </w:pPr>
            <w:r w:rsidRPr="0005069E">
              <w:rPr>
                <w:b/>
              </w:rPr>
              <w:t>55-59 år</w:t>
            </w:r>
          </w:p>
        </w:tc>
        <w:tc>
          <w:tcPr>
            <w:tcW w:w="1006" w:type="dxa"/>
          </w:tcPr>
          <w:p w:rsidR="00D472BD" w:rsidRPr="0005069E" w:rsidRDefault="00D472BD">
            <w:pPr>
              <w:pStyle w:val="Normaltindrag"/>
              <w:spacing w:before="60" w:after="60" w:line="240" w:lineRule="auto"/>
              <w:ind w:firstLine="0"/>
              <w:jc w:val="center"/>
            </w:pPr>
            <w:r w:rsidRPr="0005069E">
              <w:t>86</w:t>
            </w:r>
          </w:p>
        </w:tc>
        <w:tc>
          <w:tcPr>
            <w:tcW w:w="1006" w:type="dxa"/>
          </w:tcPr>
          <w:p w:rsidR="00D472BD" w:rsidRPr="0005069E" w:rsidRDefault="00D472BD">
            <w:pPr>
              <w:pStyle w:val="Normaltindrag"/>
              <w:spacing w:before="60" w:after="60" w:line="240" w:lineRule="auto"/>
              <w:ind w:firstLine="0"/>
              <w:jc w:val="center"/>
            </w:pPr>
            <w:r w:rsidRPr="0005069E">
              <w:t>86</w:t>
            </w:r>
          </w:p>
        </w:tc>
        <w:tc>
          <w:tcPr>
            <w:tcW w:w="1006" w:type="dxa"/>
          </w:tcPr>
          <w:p w:rsidR="00D472BD" w:rsidRPr="0005069E" w:rsidRDefault="00D472BD">
            <w:pPr>
              <w:pStyle w:val="Normaltindrag"/>
              <w:spacing w:before="60" w:after="60" w:line="240" w:lineRule="auto"/>
              <w:ind w:firstLine="0"/>
              <w:jc w:val="center"/>
            </w:pPr>
            <w:r w:rsidRPr="0005069E">
              <w:t>76</w:t>
            </w:r>
          </w:p>
        </w:tc>
        <w:tc>
          <w:tcPr>
            <w:tcW w:w="1006" w:type="dxa"/>
          </w:tcPr>
          <w:p w:rsidR="00D472BD" w:rsidRPr="0005069E" w:rsidRDefault="00D472BD">
            <w:pPr>
              <w:pStyle w:val="Normaltindrag"/>
              <w:spacing w:before="60" w:after="60" w:line="240" w:lineRule="auto"/>
              <w:ind w:firstLine="0"/>
              <w:jc w:val="center"/>
            </w:pPr>
            <w:r w:rsidRPr="0005069E">
              <w:t>79</w:t>
            </w:r>
          </w:p>
        </w:tc>
      </w:tr>
      <w:tr w:rsidR="00000000" w:rsidRPr="0005069E">
        <w:tblPrEx>
          <w:tblCellMar>
            <w:top w:w="0" w:type="dxa"/>
            <w:bottom w:w="0" w:type="dxa"/>
          </w:tblCellMar>
        </w:tblPrEx>
        <w:trPr>
          <w:cantSplit/>
        </w:trPr>
        <w:tc>
          <w:tcPr>
            <w:tcW w:w="936" w:type="dxa"/>
            <w:vMerge/>
            <w:shd w:val="pct5" w:color="auto" w:fill="auto"/>
          </w:tcPr>
          <w:p w:rsidR="00D472BD" w:rsidRPr="0005069E" w:rsidRDefault="00D472BD">
            <w:pPr>
              <w:pStyle w:val="Normaltindrag"/>
              <w:spacing w:before="60" w:after="60" w:line="240" w:lineRule="auto"/>
              <w:ind w:firstLine="0"/>
              <w:jc w:val="left"/>
              <w:rPr>
                <w:b/>
              </w:rPr>
            </w:pPr>
          </w:p>
        </w:tc>
        <w:tc>
          <w:tcPr>
            <w:tcW w:w="1006" w:type="dxa"/>
            <w:shd w:val="pct5" w:color="auto" w:fill="auto"/>
          </w:tcPr>
          <w:p w:rsidR="00D472BD" w:rsidRPr="0005069E" w:rsidRDefault="00D472BD">
            <w:pPr>
              <w:pStyle w:val="Normaltindrag"/>
              <w:spacing w:before="60" w:after="60" w:line="240" w:lineRule="auto"/>
              <w:ind w:firstLine="0"/>
              <w:jc w:val="center"/>
              <w:rPr>
                <w:b/>
              </w:rPr>
            </w:pPr>
            <w:r w:rsidRPr="0005069E">
              <w:rPr>
                <w:b/>
              </w:rPr>
              <w:t>60-64 år</w:t>
            </w:r>
          </w:p>
        </w:tc>
        <w:tc>
          <w:tcPr>
            <w:tcW w:w="1006" w:type="dxa"/>
          </w:tcPr>
          <w:p w:rsidR="00D472BD" w:rsidRPr="0005069E" w:rsidRDefault="00D472BD">
            <w:pPr>
              <w:pStyle w:val="Normaltindrag"/>
              <w:spacing w:before="60" w:after="60" w:line="240" w:lineRule="auto"/>
              <w:ind w:firstLine="0"/>
              <w:jc w:val="center"/>
            </w:pPr>
            <w:r w:rsidRPr="0005069E">
              <w:t>68</w:t>
            </w:r>
          </w:p>
        </w:tc>
        <w:tc>
          <w:tcPr>
            <w:tcW w:w="1006" w:type="dxa"/>
          </w:tcPr>
          <w:p w:rsidR="00D472BD" w:rsidRPr="0005069E" w:rsidRDefault="00D472BD">
            <w:pPr>
              <w:pStyle w:val="Normaltindrag"/>
              <w:spacing w:before="60" w:after="60" w:line="240" w:lineRule="auto"/>
              <w:ind w:firstLine="0"/>
              <w:jc w:val="center"/>
            </w:pPr>
            <w:r w:rsidRPr="0005069E">
              <w:t>62</w:t>
            </w:r>
          </w:p>
        </w:tc>
        <w:tc>
          <w:tcPr>
            <w:tcW w:w="1006" w:type="dxa"/>
          </w:tcPr>
          <w:p w:rsidR="00D472BD" w:rsidRPr="0005069E" w:rsidRDefault="00D472BD">
            <w:pPr>
              <w:pStyle w:val="Normaltindrag"/>
              <w:spacing w:before="60" w:after="60" w:line="240" w:lineRule="auto"/>
              <w:ind w:firstLine="0"/>
              <w:jc w:val="center"/>
            </w:pPr>
            <w:r w:rsidRPr="0005069E">
              <w:t>51</w:t>
            </w:r>
          </w:p>
        </w:tc>
        <w:tc>
          <w:tcPr>
            <w:tcW w:w="1006" w:type="dxa"/>
          </w:tcPr>
          <w:p w:rsidR="00D472BD" w:rsidRPr="0005069E" w:rsidRDefault="00D472BD">
            <w:pPr>
              <w:pStyle w:val="Normaltindrag"/>
              <w:spacing w:before="60" w:after="60" w:line="240" w:lineRule="auto"/>
              <w:ind w:firstLine="0"/>
              <w:jc w:val="center"/>
            </w:pPr>
            <w:r w:rsidRPr="0005069E">
              <w:t>51</w:t>
            </w:r>
          </w:p>
        </w:tc>
      </w:tr>
      <w:tr w:rsidR="00000000" w:rsidRPr="0005069E">
        <w:tblPrEx>
          <w:tblCellMar>
            <w:top w:w="0" w:type="dxa"/>
            <w:bottom w:w="0" w:type="dxa"/>
          </w:tblCellMar>
        </w:tblPrEx>
        <w:trPr>
          <w:cantSplit/>
        </w:trPr>
        <w:tc>
          <w:tcPr>
            <w:tcW w:w="936" w:type="dxa"/>
            <w:vMerge w:val="restart"/>
            <w:shd w:val="pct5" w:color="auto" w:fill="auto"/>
          </w:tcPr>
          <w:p w:rsidR="00D472BD" w:rsidRPr="0005069E" w:rsidRDefault="00D472BD">
            <w:pPr>
              <w:pStyle w:val="Normaltindrag"/>
              <w:spacing w:before="60" w:after="60" w:line="240" w:lineRule="auto"/>
              <w:ind w:firstLine="0"/>
              <w:jc w:val="left"/>
              <w:rPr>
                <w:b/>
              </w:rPr>
            </w:pPr>
            <w:r w:rsidRPr="0005069E">
              <w:rPr>
                <w:b/>
              </w:rPr>
              <w:t>Kvinnor</w:t>
            </w:r>
          </w:p>
        </w:tc>
        <w:tc>
          <w:tcPr>
            <w:tcW w:w="1006" w:type="dxa"/>
            <w:shd w:val="pct5" w:color="auto" w:fill="auto"/>
          </w:tcPr>
          <w:p w:rsidR="00D472BD" w:rsidRPr="0005069E" w:rsidRDefault="00D472BD">
            <w:pPr>
              <w:pStyle w:val="Normaltindrag"/>
              <w:spacing w:before="60" w:after="60" w:line="240" w:lineRule="auto"/>
              <w:ind w:firstLine="0"/>
              <w:jc w:val="center"/>
              <w:rPr>
                <w:b/>
              </w:rPr>
            </w:pPr>
            <w:r w:rsidRPr="0005069E">
              <w:rPr>
                <w:b/>
              </w:rPr>
              <w:t>55-59 år</w:t>
            </w:r>
          </w:p>
        </w:tc>
        <w:tc>
          <w:tcPr>
            <w:tcW w:w="1006" w:type="dxa"/>
          </w:tcPr>
          <w:p w:rsidR="00D472BD" w:rsidRPr="0005069E" w:rsidRDefault="00D472BD">
            <w:pPr>
              <w:pStyle w:val="Normaltindrag"/>
              <w:spacing w:before="60" w:after="60" w:line="240" w:lineRule="auto"/>
              <w:ind w:firstLine="0"/>
              <w:jc w:val="center"/>
            </w:pPr>
            <w:r w:rsidRPr="0005069E">
              <w:t>68</w:t>
            </w:r>
          </w:p>
        </w:tc>
        <w:tc>
          <w:tcPr>
            <w:tcW w:w="1006" w:type="dxa"/>
          </w:tcPr>
          <w:p w:rsidR="00D472BD" w:rsidRPr="0005069E" w:rsidRDefault="00D472BD">
            <w:pPr>
              <w:pStyle w:val="Normaltindrag"/>
              <w:spacing w:before="60" w:after="60" w:line="240" w:lineRule="auto"/>
              <w:ind w:firstLine="0"/>
              <w:jc w:val="center"/>
            </w:pPr>
            <w:r w:rsidRPr="0005069E">
              <w:t>78</w:t>
            </w:r>
          </w:p>
        </w:tc>
        <w:tc>
          <w:tcPr>
            <w:tcW w:w="1006" w:type="dxa"/>
          </w:tcPr>
          <w:p w:rsidR="00D472BD" w:rsidRPr="0005069E" w:rsidRDefault="00D472BD">
            <w:pPr>
              <w:pStyle w:val="Normaltindrag"/>
              <w:spacing w:before="60" w:after="60" w:line="240" w:lineRule="auto"/>
              <w:ind w:firstLine="0"/>
              <w:jc w:val="center"/>
            </w:pPr>
            <w:r w:rsidRPr="0005069E">
              <w:t>75</w:t>
            </w:r>
          </w:p>
        </w:tc>
        <w:tc>
          <w:tcPr>
            <w:tcW w:w="1006" w:type="dxa"/>
          </w:tcPr>
          <w:p w:rsidR="00D472BD" w:rsidRPr="0005069E" w:rsidRDefault="00D472BD">
            <w:pPr>
              <w:pStyle w:val="Normaltindrag"/>
              <w:spacing w:before="60" w:after="60" w:line="240" w:lineRule="auto"/>
              <w:ind w:firstLine="0"/>
              <w:jc w:val="center"/>
            </w:pPr>
            <w:r w:rsidRPr="0005069E">
              <w:t>76</w:t>
            </w:r>
          </w:p>
        </w:tc>
      </w:tr>
      <w:tr w:rsidR="00000000" w:rsidRPr="0005069E">
        <w:tblPrEx>
          <w:tblCellMar>
            <w:top w:w="0" w:type="dxa"/>
            <w:bottom w:w="0" w:type="dxa"/>
          </w:tblCellMar>
        </w:tblPrEx>
        <w:trPr>
          <w:cantSplit/>
        </w:trPr>
        <w:tc>
          <w:tcPr>
            <w:tcW w:w="936" w:type="dxa"/>
            <w:vMerge/>
            <w:shd w:val="pct5" w:color="auto" w:fill="auto"/>
          </w:tcPr>
          <w:p w:rsidR="00D472BD" w:rsidRPr="0005069E" w:rsidRDefault="00D472BD">
            <w:pPr>
              <w:pStyle w:val="Normaltindrag"/>
              <w:spacing w:before="60" w:after="60" w:line="240" w:lineRule="auto"/>
              <w:ind w:firstLine="0"/>
              <w:jc w:val="left"/>
              <w:rPr>
                <w:b/>
              </w:rPr>
            </w:pPr>
          </w:p>
        </w:tc>
        <w:tc>
          <w:tcPr>
            <w:tcW w:w="1006" w:type="dxa"/>
            <w:shd w:val="pct5" w:color="auto" w:fill="auto"/>
          </w:tcPr>
          <w:p w:rsidR="00D472BD" w:rsidRPr="0005069E" w:rsidRDefault="00D472BD">
            <w:pPr>
              <w:pStyle w:val="Normaltindrag"/>
              <w:spacing w:before="60" w:after="60" w:line="240" w:lineRule="auto"/>
              <w:ind w:firstLine="0"/>
              <w:jc w:val="center"/>
              <w:rPr>
                <w:b/>
              </w:rPr>
            </w:pPr>
            <w:r w:rsidRPr="0005069E">
              <w:rPr>
                <w:b/>
              </w:rPr>
              <w:t>60-64 år</w:t>
            </w:r>
          </w:p>
        </w:tc>
        <w:tc>
          <w:tcPr>
            <w:tcW w:w="1006" w:type="dxa"/>
          </w:tcPr>
          <w:p w:rsidR="00D472BD" w:rsidRPr="0005069E" w:rsidRDefault="00D472BD">
            <w:pPr>
              <w:pStyle w:val="Normaltindrag"/>
              <w:spacing w:before="60" w:after="60" w:line="240" w:lineRule="auto"/>
              <w:ind w:firstLine="0"/>
              <w:jc w:val="center"/>
            </w:pPr>
            <w:r w:rsidRPr="0005069E">
              <w:t>40</w:t>
            </w:r>
          </w:p>
        </w:tc>
        <w:tc>
          <w:tcPr>
            <w:tcW w:w="1006" w:type="dxa"/>
          </w:tcPr>
          <w:p w:rsidR="00D472BD" w:rsidRPr="0005069E" w:rsidRDefault="00D472BD">
            <w:pPr>
              <w:pStyle w:val="Normaltindrag"/>
              <w:spacing w:before="60" w:after="60" w:line="240" w:lineRule="auto"/>
              <w:ind w:firstLine="0"/>
              <w:jc w:val="center"/>
            </w:pPr>
            <w:r w:rsidRPr="0005069E">
              <w:t>52</w:t>
            </w:r>
          </w:p>
        </w:tc>
        <w:tc>
          <w:tcPr>
            <w:tcW w:w="1006" w:type="dxa"/>
          </w:tcPr>
          <w:p w:rsidR="00D472BD" w:rsidRPr="0005069E" w:rsidRDefault="00D472BD">
            <w:pPr>
              <w:pStyle w:val="Normaltindrag"/>
              <w:spacing w:before="60" w:after="60" w:line="240" w:lineRule="auto"/>
              <w:ind w:firstLine="0"/>
              <w:jc w:val="center"/>
            </w:pPr>
            <w:r w:rsidRPr="0005069E">
              <w:t>43</w:t>
            </w:r>
          </w:p>
        </w:tc>
        <w:tc>
          <w:tcPr>
            <w:tcW w:w="1006" w:type="dxa"/>
          </w:tcPr>
          <w:p w:rsidR="00D472BD" w:rsidRPr="0005069E" w:rsidRDefault="00D472BD">
            <w:pPr>
              <w:pStyle w:val="Normaltindrag"/>
              <w:spacing w:before="60" w:after="60" w:line="240" w:lineRule="auto"/>
              <w:ind w:firstLine="0"/>
              <w:jc w:val="center"/>
            </w:pPr>
            <w:r w:rsidRPr="0005069E">
              <w:t>43</w:t>
            </w:r>
          </w:p>
        </w:tc>
      </w:tr>
      <w:tr w:rsidR="00000000" w:rsidRPr="0005069E">
        <w:tblPrEx>
          <w:tblCellMar>
            <w:top w:w="0" w:type="dxa"/>
            <w:bottom w:w="0" w:type="dxa"/>
          </w:tblCellMar>
        </w:tblPrEx>
        <w:trPr>
          <w:cantSplit/>
        </w:trPr>
        <w:tc>
          <w:tcPr>
            <w:tcW w:w="936" w:type="dxa"/>
            <w:vMerge w:val="restart"/>
            <w:shd w:val="pct5" w:color="auto" w:fill="auto"/>
          </w:tcPr>
          <w:p w:rsidR="00D472BD" w:rsidRPr="0005069E" w:rsidRDefault="00D472BD">
            <w:pPr>
              <w:pStyle w:val="Normaltindrag"/>
              <w:spacing w:before="60" w:after="60" w:line="240" w:lineRule="auto"/>
              <w:ind w:firstLine="0"/>
              <w:jc w:val="left"/>
              <w:rPr>
                <w:b/>
              </w:rPr>
            </w:pPr>
            <w:r w:rsidRPr="0005069E">
              <w:rPr>
                <w:b/>
              </w:rPr>
              <w:t>Samtliga</w:t>
            </w:r>
          </w:p>
        </w:tc>
        <w:tc>
          <w:tcPr>
            <w:tcW w:w="1006" w:type="dxa"/>
            <w:shd w:val="pct5" w:color="auto" w:fill="auto"/>
          </w:tcPr>
          <w:p w:rsidR="00D472BD" w:rsidRPr="0005069E" w:rsidRDefault="00D472BD">
            <w:pPr>
              <w:pStyle w:val="Normaltindrag"/>
              <w:spacing w:before="60" w:after="60" w:line="240" w:lineRule="auto"/>
              <w:ind w:firstLine="0"/>
              <w:jc w:val="center"/>
              <w:rPr>
                <w:b/>
              </w:rPr>
            </w:pPr>
            <w:r w:rsidRPr="0005069E">
              <w:rPr>
                <w:b/>
              </w:rPr>
              <w:t>55-59 år</w:t>
            </w:r>
          </w:p>
        </w:tc>
        <w:tc>
          <w:tcPr>
            <w:tcW w:w="1006" w:type="dxa"/>
          </w:tcPr>
          <w:p w:rsidR="00D472BD" w:rsidRPr="0005069E" w:rsidRDefault="00D472BD">
            <w:pPr>
              <w:pStyle w:val="Normaltindrag"/>
              <w:spacing w:before="60" w:after="60" w:line="240" w:lineRule="auto"/>
              <w:ind w:firstLine="0"/>
              <w:jc w:val="center"/>
            </w:pPr>
            <w:r w:rsidRPr="0005069E">
              <w:t>77</w:t>
            </w:r>
          </w:p>
        </w:tc>
        <w:tc>
          <w:tcPr>
            <w:tcW w:w="1006" w:type="dxa"/>
          </w:tcPr>
          <w:p w:rsidR="00D472BD" w:rsidRPr="0005069E" w:rsidRDefault="00D472BD">
            <w:pPr>
              <w:pStyle w:val="Normaltindrag"/>
              <w:spacing w:before="60" w:after="60" w:line="240" w:lineRule="auto"/>
              <w:ind w:firstLine="0"/>
              <w:jc w:val="center"/>
            </w:pPr>
            <w:r w:rsidRPr="0005069E">
              <w:t>82</w:t>
            </w:r>
          </w:p>
        </w:tc>
        <w:tc>
          <w:tcPr>
            <w:tcW w:w="1006" w:type="dxa"/>
          </w:tcPr>
          <w:p w:rsidR="00D472BD" w:rsidRPr="0005069E" w:rsidRDefault="00D472BD">
            <w:pPr>
              <w:pStyle w:val="Normaltindrag"/>
              <w:spacing w:before="60" w:after="60" w:line="240" w:lineRule="auto"/>
              <w:ind w:firstLine="0"/>
              <w:jc w:val="center"/>
            </w:pPr>
            <w:r w:rsidRPr="0005069E">
              <w:t>76</w:t>
            </w:r>
          </w:p>
        </w:tc>
        <w:tc>
          <w:tcPr>
            <w:tcW w:w="1006" w:type="dxa"/>
          </w:tcPr>
          <w:p w:rsidR="00D472BD" w:rsidRPr="0005069E" w:rsidRDefault="00D472BD">
            <w:pPr>
              <w:pStyle w:val="Normaltindrag"/>
              <w:spacing w:before="60" w:after="60" w:line="240" w:lineRule="auto"/>
              <w:ind w:firstLine="0"/>
              <w:jc w:val="center"/>
            </w:pPr>
            <w:r w:rsidRPr="0005069E">
              <w:t>78</w:t>
            </w:r>
          </w:p>
        </w:tc>
      </w:tr>
      <w:tr w:rsidR="00000000" w:rsidRPr="0005069E">
        <w:tblPrEx>
          <w:tblCellMar>
            <w:top w:w="0" w:type="dxa"/>
            <w:bottom w:w="0" w:type="dxa"/>
          </w:tblCellMar>
        </w:tblPrEx>
        <w:trPr>
          <w:cantSplit/>
        </w:trPr>
        <w:tc>
          <w:tcPr>
            <w:tcW w:w="936" w:type="dxa"/>
            <w:vMerge/>
            <w:shd w:val="pct5" w:color="auto" w:fill="auto"/>
          </w:tcPr>
          <w:p w:rsidR="00D472BD" w:rsidRPr="0005069E" w:rsidRDefault="00D472BD">
            <w:pPr>
              <w:pStyle w:val="Normaltindrag"/>
              <w:spacing w:before="60" w:after="60" w:line="240" w:lineRule="auto"/>
              <w:ind w:firstLine="0"/>
              <w:jc w:val="left"/>
              <w:rPr>
                <w:b/>
              </w:rPr>
            </w:pPr>
          </w:p>
        </w:tc>
        <w:tc>
          <w:tcPr>
            <w:tcW w:w="1006" w:type="dxa"/>
            <w:shd w:val="pct5" w:color="auto" w:fill="auto"/>
          </w:tcPr>
          <w:p w:rsidR="00D472BD" w:rsidRPr="0005069E" w:rsidRDefault="00D472BD">
            <w:pPr>
              <w:pStyle w:val="Normaltindrag"/>
              <w:spacing w:before="60" w:after="60" w:line="240" w:lineRule="auto"/>
              <w:ind w:firstLine="0"/>
              <w:jc w:val="center"/>
              <w:rPr>
                <w:b/>
              </w:rPr>
            </w:pPr>
            <w:r w:rsidRPr="0005069E">
              <w:rPr>
                <w:b/>
              </w:rPr>
              <w:t>60-64 år</w:t>
            </w:r>
          </w:p>
        </w:tc>
        <w:tc>
          <w:tcPr>
            <w:tcW w:w="1006" w:type="dxa"/>
          </w:tcPr>
          <w:p w:rsidR="00D472BD" w:rsidRPr="0005069E" w:rsidRDefault="00D472BD">
            <w:pPr>
              <w:pStyle w:val="Normaltindrag"/>
              <w:spacing w:before="60" w:after="60" w:line="240" w:lineRule="auto"/>
              <w:ind w:firstLine="0"/>
              <w:jc w:val="center"/>
            </w:pPr>
            <w:r w:rsidRPr="0005069E">
              <w:t>54</w:t>
            </w:r>
          </w:p>
        </w:tc>
        <w:tc>
          <w:tcPr>
            <w:tcW w:w="1006" w:type="dxa"/>
          </w:tcPr>
          <w:p w:rsidR="00D472BD" w:rsidRPr="0005069E" w:rsidRDefault="00D472BD">
            <w:pPr>
              <w:pStyle w:val="Normaltindrag"/>
              <w:spacing w:before="60" w:after="60" w:line="240" w:lineRule="auto"/>
              <w:ind w:firstLine="0"/>
              <w:jc w:val="center"/>
            </w:pPr>
            <w:r w:rsidRPr="0005069E">
              <w:t>57</w:t>
            </w:r>
          </w:p>
        </w:tc>
        <w:tc>
          <w:tcPr>
            <w:tcW w:w="1006" w:type="dxa"/>
          </w:tcPr>
          <w:p w:rsidR="00D472BD" w:rsidRPr="0005069E" w:rsidRDefault="00D472BD">
            <w:pPr>
              <w:pStyle w:val="Normaltindrag"/>
              <w:spacing w:before="60" w:after="60" w:line="240" w:lineRule="auto"/>
              <w:ind w:firstLine="0"/>
              <w:jc w:val="center"/>
            </w:pPr>
            <w:r w:rsidRPr="0005069E">
              <w:t>47</w:t>
            </w:r>
          </w:p>
        </w:tc>
        <w:tc>
          <w:tcPr>
            <w:tcW w:w="1006" w:type="dxa"/>
          </w:tcPr>
          <w:p w:rsidR="00D472BD" w:rsidRPr="0005069E" w:rsidRDefault="00D472BD">
            <w:pPr>
              <w:pStyle w:val="Normaltindrag"/>
              <w:spacing w:before="60" w:after="60" w:line="240" w:lineRule="auto"/>
              <w:ind w:firstLine="0"/>
              <w:jc w:val="center"/>
            </w:pPr>
            <w:r w:rsidRPr="0005069E">
              <w:t>47</w:t>
            </w:r>
          </w:p>
        </w:tc>
      </w:tr>
    </w:tbl>
    <w:p w:rsidR="00D472BD" w:rsidRPr="0005069E" w:rsidRDefault="00D472BD">
      <w:pPr>
        <w:pStyle w:val="Normaltindrag"/>
        <w:ind w:firstLine="0"/>
      </w:pPr>
    </w:p>
    <w:p w:rsidR="00D472BD" w:rsidRPr="0005069E" w:rsidRDefault="00D472BD">
      <w:r w:rsidRPr="0005069E">
        <w:t>För män i åldrarna 60–64 år har sysselsättningsgraden minskat trendmässigt sedan 1960-talet. Fram till 1994 minskade sysselsättningen mycket kraftigt och, trots en gynnsam åldersutveckling inom gruppen, ägde ingen återhäm</w:t>
      </w:r>
      <w:r w:rsidRPr="0005069E">
        <w:t>t</w:t>
      </w:r>
      <w:r w:rsidRPr="0005069E">
        <w:t>ning rum under de ”goda åren” i slutet av årtiondet. Sammantaget var ne</w:t>
      </w:r>
      <w:r w:rsidRPr="0005069E">
        <w:t>d</w:t>
      </w:r>
      <w:r w:rsidRPr="0005069E">
        <w:t>gången under 1990-talet dubbelt så snabb som under 1980-talet. För kvi</w:t>
      </w:r>
      <w:r w:rsidRPr="0005069E">
        <w:t>n</w:t>
      </w:r>
      <w:r w:rsidRPr="0005069E">
        <w:t>norna i samma åldrar var utvecklingen fram till 1990 helt annorlunda. Sy</w:t>
      </w:r>
      <w:r w:rsidRPr="0005069E">
        <w:t>s</w:t>
      </w:r>
      <w:r w:rsidRPr="0005069E">
        <w:t xml:space="preserve">selsättningsgraden steg snabbt, från mycket låga nivåer, under 1970- och 1980-talen. Under 1990-talet har dock sysselsättningen, i relativa tal, minskat lika snabbt som för de äldre männen. Inte heller de äldre kvinnorna fick del av den sysselsättningsökning som ägde rum under andra hälften av </w:t>
      </w:r>
      <w:r w:rsidRPr="0005069E">
        <w:t xml:space="preserve">1990-talet. Därmed förefaller den långsiktiga trenden mot ökad sysselsättning för de äldre kvinnorna ha brutits. </w:t>
      </w:r>
    </w:p>
    <w:p w:rsidR="00D472BD" w:rsidRPr="0005069E" w:rsidRDefault="00D472BD">
      <w:pPr>
        <w:pStyle w:val="Normaltindrag"/>
      </w:pPr>
      <w:r w:rsidRPr="0005069E">
        <w:t xml:space="preserve">En så stark nedgång i sysselsättningen som i början av 1990-talet riskerar att få ett genomslag även för den långsiktiga utvecklingen. Den uteblivna uppgången under andra hälften av 1990-talet antyder att en trendmässig förändring redan kan ha skett. I forskarrapporten ges ett antal exempel på hur arbetsmarknadspolitiken övergav arbetslinjen för de äldre inför trycket av en massarbetslöshet som </w:t>
      </w:r>
      <w:r w:rsidRPr="0005069E">
        <w:t>på kort sikt gjorde traditionella insatser i stort sett verkningslösa. Oavsett hur välmotiverade dessa avsteg från arbetslinjen må ha varit bedömde revisorerna, liksom IFAU:s företrädare vid seminariet, att de kan ha bidragit till att underminera arbetslinjens trovärdighet som norm. Om så skett  kan man inte utgå från att problemen går över av sig självt när konjunkturen förbättras. Forskarapportens intervjureferat illustrerar hur omfattande ifrågasättandet av arbetslinjen för de äldre alltjämt är bland l</w:t>
      </w:r>
      <w:r w:rsidRPr="0005069E">
        <w:t>o</w:t>
      </w:r>
      <w:r w:rsidRPr="0005069E">
        <w:t>k</w:t>
      </w:r>
      <w:r w:rsidRPr="0005069E">
        <w:t>ala handläggare och beslutsfattare. Än allvarligare är dock hur attityder och förväntningar på arbetsmarknaden kan ha påverkats. Att sluta arbeta några år före ordinarie pensionsålder har blivit något av en norm. Detta minskar sa</w:t>
      </w:r>
      <w:r w:rsidRPr="0005069E">
        <w:t>n</w:t>
      </w:r>
      <w:r w:rsidRPr="0005069E">
        <w:t>nolikt såväl arbetsgivarnas benägenhet att rekrytera äldre arbetskraft som de äldres intresse för kompetensutveckling och för att satsa på något nytt om de förl</w:t>
      </w:r>
      <w:r w:rsidRPr="0005069E">
        <w:t>o</w:t>
      </w:r>
      <w:r w:rsidRPr="0005069E">
        <w:t>rar sin anställning.</w:t>
      </w:r>
    </w:p>
    <w:p w:rsidR="00D472BD" w:rsidRPr="0005069E" w:rsidRDefault="00D472BD">
      <w:pPr>
        <w:pStyle w:val="Normaltindrag"/>
      </w:pPr>
      <w:r w:rsidRPr="0005069E">
        <w:t>Sysselsättningsminskningen för personer i åldrarna strax under 60 år var betydligt måttligare än för</w:t>
      </w:r>
      <w:r w:rsidRPr="0005069E">
        <w:t xml:space="preserve"> dem över 60 år och en klar återhämtning har des</w:t>
      </w:r>
      <w:r w:rsidRPr="0005069E">
        <w:t>s</w:t>
      </w:r>
      <w:r w:rsidRPr="0005069E">
        <w:t>utom skett under slutet av 1990-talet. Kvinnor i åldrarna 55 till 59 år för</w:t>
      </w:r>
      <w:r w:rsidRPr="0005069E">
        <w:t>e</w:t>
      </w:r>
      <w:r w:rsidRPr="0005069E">
        <w:t>faller ha klarat efterfrågekrisen bättre än någon annan grupp på arbetsmar</w:t>
      </w:r>
      <w:r w:rsidRPr="0005069E">
        <w:t>k</w:t>
      </w:r>
      <w:r w:rsidRPr="0005069E">
        <w:t>naden även om den långsiktiga trenden mot snabbt stigande sysselsättning</w:t>
      </w:r>
      <w:r w:rsidRPr="0005069E">
        <w:t>s</w:t>
      </w:r>
      <w:r w:rsidRPr="0005069E">
        <w:t xml:space="preserve">tal, åtminstone tillfälligt, stoppats upp. </w:t>
      </w:r>
    </w:p>
    <w:p w:rsidR="00D472BD" w:rsidRPr="0005069E" w:rsidRDefault="00D472BD">
      <w:pPr>
        <w:pStyle w:val="Normaltindrag"/>
      </w:pPr>
      <w:r w:rsidRPr="0005069E">
        <w:t>Revisorerna ifrågasatte dock om efterfrågekrisen i början av 1990-talet och de negativa förväntningar som denna kan ha bidragit till att skapa, räcker för att förklara den kraftigt minskade sysse</w:t>
      </w:r>
      <w:r w:rsidRPr="0005069E">
        <w:t>lsättningsgraden för personer över 60 år. En del av förklaringen står troligen att finna även i arbetslivets villkor och hur de påverkar den äldre arbetskraftens möjligheter att fortsätta arbeta tills de uppnår 65 års ålder. Avgörande för om trenden mot successivt allt lägre faktisk pensionsålder ska kunna brytas blir i så fall om arbetslivets villkor kan förändras på ett sådant sätt att människor kan och vill fortsätta arbeta  fram till den ordinarie pensionsåldern. Detta i sin tur förutsätter att arbet</w:t>
      </w:r>
      <w:r w:rsidRPr="0005069E">
        <w:t>s</w:t>
      </w:r>
      <w:r w:rsidRPr="0005069E">
        <w:t>up</w:t>
      </w:r>
      <w:r w:rsidRPr="0005069E">
        <w:t xml:space="preserve">pgifterna utformas så att den äldre arbetskraftens kompetens kan utvecklas och tas till vara. </w:t>
      </w:r>
    </w:p>
    <w:p w:rsidR="00D472BD" w:rsidRPr="0005069E" w:rsidRDefault="00D472BD">
      <w:pPr>
        <w:pStyle w:val="Normaltindrag"/>
      </w:pPr>
    </w:p>
    <w:p w:rsidR="00D472BD" w:rsidRPr="0005069E" w:rsidRDefault="00D472BD">
      <w:pPr>
        <w:pStyle w:val="Rubrik3"/>
      </w:pPr>
      <w:r w:rsidRPr="0005069E">
        <w:t>Det komplexa regelverket</w:t>
      </w:r>
    </w:p>
    <w:p w:rsidR="00D472BD" w:rsidRPr="0005069E" w:rsidRDefault="00D472BD">
      <w:r w:rsidRPr="0005069E">
        <w:t>I forskarrapporten konstateras att ersättningsnivåerna varierar mellan olika ersättningssystem och att samordning med avtalssystemen sker för vissa system men inte för andra. Det framgår också av rapporten att ersättning</w:t>
      </w:r>
      <w:r w:rsidRPr="0005069E">
        <w:t>s</w:t>
      </w:r>
      <w:r w:rsidRPr="0005069E">
        <w:t>systemen genomgått ett stort antal förändringar under 1990-talet. Sålunda har arbetslöshetsförsäkringen förändrats sex gånger sedan 1993 och kompens</w:t>
      </w:r>
      <w:r w:rsidRPr="0005069E">
        <w:t>a</w:t>
      </w:r>
      <w:r w:rsidRPr="0005069E">
        <w:t>tionsnivån vid sjukskrivning ändrats åtta gånger. Ett nytt pensionssystem har införts och nya pensionsavtal har slutits på arbetsmarknaden. Till detta kommer ändrade regler för förtidspension, förtida uttag, delpension, arbet</w:t>
      </w:r>
      <w:r w:rsidRPr="0005069E">
        <w:t>s</w:t>
      </w:r>
      <w:r w:rsidRPr="0005069E">
        <w:t>marknadspolitiska åtgärder, osv. Regeringen har aviserat ytterligare långtg</w:t>
      </w:r>
      <w:r w:rsidRPr="0005069E">
        <w:t>å</w:t>
      </w:r>
      <w:r w:rsidRPr="0005069E">
        <w:t>ende förändringar inom arbetsmarknadspolitikens område och b</w:t>
      </w:r>
      <w:r w:rsidRPr="0005069E">
        <w:t>l.a. taken i socialförsäkringssy</w:t>
      </w:r>
      <w:r w:rsidRPr="0005069E">
        <w:t>s</w:t>
      </w:r>
      <w:r w:rsidRPr="0005069E">
        <w:t>temen ifrågasätts från flera håll.</w:t>
      </w:r>
    </w:p>
    <w:p w:rsidR="00D472BD" w:rsidRPr="0005069E" w:rsidRDefault="00D472BD">
      <w:pPr>
        <w:pStyle w:val="Normaltindrag"/>
      </w:pPr>
      <w:r w:rsidRPr="0005069E">
        <w:t>Samtidigt ligger ersättningssystemens uppgifter och bakomliggande syften fast. Sjukpenningen kompenserar den enskilde för inkomstförlust på grund av tillfällig sjukdom. Arbetslöshetsersättningen kompenserar för det i</w:t>
      </w:r>
      <w:r w:rsidRPr="0005069E">
        <w:t>n</w:t>
      </w:r>
      <w:r w:rsidRPr="0005069E">
        <w:t>komstbortfall som förorsakats av arbetslöshet. I båda fallen ska samhällets insatser inriktas på att hjälpa den som är sjuk eller arbetslös att så snabbt som möjligt kunna börja arbeta igen samt på att säkerställa att villkoren för ko</w:t>
      </w:r>
      <w:r w:rsidRPr="0005069E">
        <w:t>n</w:t>
      </w:r>
      <w:r w:rsidRPr="0005069E">
        <w:t>tantstöd  från respektive ersättningssystem är uppfyllda. Den som av med</w:t>
      </w:r>
      <w:r w:rsidRPr="0005069E">
        <w:t>i</w:t>
      </w:r>
      <w:r w:rsidRPr="0005069E">
        <w:t>cinska skäl fått sin arbetsförmåga varaktigt nedsatt med minst en fjärdedel kan beviljas förtidspension efter prövning av försäkringskassan.</w:t>
      </w:r>
    </w:p>
    <w:p w:rsidR="00D472BD" w:rsidRPr="0005069E" w:rsidRDefault="00D472BD">
      <w:pPr>
        <w:pStyle w:val="Normaltindrag"/>
      </w:pPr>
      <w:r w:rsidRPr="0005069E">
        <w:t>Även om det grundläggande syftet ligger fast finns en risk att</w:t>
      </w:r>
      <w:r w:rsidRPr="0005069E">
        <w:t xml:space="preserve"> ideliga fö</w:t>
      </w:r>
      <w:r w:rsidRPr="0005069E">
        <w:t>r</w:t>
      </w:r>
      <w:r w:rsidRPr="0005069E">
        <w:t>ändringar i villkoren motverkar en effektiv professionell ärendehandläggning och gör det svårt för den enskilde att bevaka sina rättigheter. Dessa fråg</w:t>
      </w:r>
      <w:r w:rsidRPr="0005069E">
        <w:t>e</w:t>
      </w:r>
      <w:r w:rsidRPr="0005069E">
        <w:t>ställningar har redan tidigare uppmärksammats av Riksdagens revisorer i granskningen av kontrollen av socialförsä</w:t>
      </w:r>
      <w:r w:rsidRPr="0005069E">
        <w:t>k</w:t>
      </w:r>
      <w:r w:rsidRPr="0005069E">
        <w:t>ringen (1994/95:RR10).</w:t>
      </w:r>
    </w:p>
    <w:p w:rsidR="00D472BD" w:rsidRPr="0005069E" w:rsidRDefault="00D472BD">
      <w:pPr>
        <w:pStyle w:val="Normaltindrag"/>
      </w:pPr>
      <w:r w:rsidRPr="0005069E">
        <w:t>De olika ersättningsnivåerna inom olika ersättningssystem illustreras av nedanstående tabell som visar utfallet för en privatanställd arbetare med lång anställningstid och en månadsinkomst på 16 000 kr, som valt</w:t>
      </w:r>
      <w:r w:rsidRPr="0005069E">
        <w:t xml:space="preserve"> eller tvingats avstå från att arbeta fr.o.m. 61 års ålder. Beloppen inkluderar tillägg enligt centrala avtal och avser genomsnitt per månad fram till ålderspensionen vid 65 års ålder. Däremot ingår inte avgångsvederlag och andra ersättningar utöver de centrala avtalen. </w:t>
      </w:r>
    </w:p>
    <w:p w:rsidR="00D472BD" w:rsidRPr="0005069E" w:rsidRDefault="00D472BD">
      <w:pPr>
        <w:pStyle w:val="Normaltindrag"/>
      </w:pPr>
    </w:p>
    <w:p w:rsidR="00D472BD" w:rsidRPr="0005069E" w:rsidRDefault="00D472BD">
      <w:pPr>
        <w:pStyle w:val="Normaltindrag"/>
        <w:spacing w:line="240" w:lineRule="auto"/>
        <w:ind w:firstLine="0"/>
      </w:pPr>
      <w:r w:rsidRPr="0005069E">
        <w:rPr>
          <w:b/>
        </w:rPr>
        <w:t xml:space="preserve">Tabell 3: </w:t>
      </w:r>
      <w:r w:rsidRPr="0005069E">
        <w:t>Ersättning till en privatanställd arbetare med en lön på 16 000 kr/mån som slutar arbeta eller tar pension på deltid fr.o.m. 61 års ålder.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2"/>
        <w:gridCol w:w="768"/>
        <w:gridCol w:w="992"/>
        <w:gridCol w:w="826"/>
        <w:gridCol w:w="862"/>
        <w:gridCol w:w="862"/>
        <w:gridCol w:w="862"/>
      </w:tblGrid>
      <w:tr w:rsidR="00000000" w:rsidRPr="0005069E">
        <w:tblPrEx>
          <w:tblCellMar>
            <w:top w:w="0" w:type="dxa"/>
            <w:bottom w:w="0" w:type="dxa"/>
          </w:tblCellMar>
        </w:tblPrEx>
        <w:tc>
          <w:tcPr>
            <w:tcW w:w="792" w:type="dxa"/>
            <w:shd w:val="pct5" w:color="auto" w:fill="auto"/>
          </w:tcPr>
          <w:p w:rsidR="00D472BD" w:rsidRPr="0005069E" w:rsidRDefault="00D472BD">
            <w:pPr>
              <w:pStyle w:val="Normaltindrag"/>
              <w:spacing w:before="60" w:after="60" w:line="240" w:lineRule="auto"/>
              <w:ind w:firstLine="0"/>
              <w:jc w:val="left"/>
              <w:rPr>
                <w:b/>
              </w:rPr>
            </w:pPr>
          </w:p>
        </w:tc>
        <w:tc>
          <w:tcPr>
            <w:tcW w:w="768" w:type="dxa"/>
            <w:shd w:val="pct5" w:color="auto" w:fill="auto"/>
          </w:tcPr>
          <w:p w:rsidR="00D472BD" w:rsidRPr="0005069E" w:rsidRDefault="00D472BD">
            <w:pPr>
              <w:pStyle w:val="Normaltindrag"/>
              <w:spacing w:before="60" w:after="60" w:line="240" w:lineRule="auto"/>
              <w:ind w:firstLine="0"/>
              <w:jc w:val="left"/>
              <w:rPr>
                <w:b/>
              </w:rPr>
            </w:pPr>
            <w:r w:rsidRPr="0005069E">
              <w:rPr>
                <w:b/>
              </w:rPr>
              <w:t>Förtida uttag av pension</w:t>
            </w:r>
          </w:p>
        </w:tc>
        <w:tc>
          <w:tcPr>
            <w:tcW w:w="992" w:type="dxa"/>
            <w:shd w:val="pct5" w:color="auto" w:fill="auto"/>
          </w:tcPr>
          <w:p w:rsidR="00D472BD" w:rsidRPr="0005069E" w:rsidRDefault="00D472BD">
            <w:pPr>
              <w:pStyle w:val="Normaltindrag"/>
              <w:spacing w:before="60" w:after="60" w:line="240" w:lineRule="auto"/>
              <w:ind w:firstLine="0"/>
              <w:jc w:val="left"/>
              <w:rPr>
                <w:b/>
              </w:rPr>
            </w:pPr>
            <w:r w:rsidRPr="0005069E">
              <w:rPr>
                <w:b/>
              </w:rPr>
              <w:t>Halvt förtida uttag av pension</w:t>
            </w:r>
          </w:p>
        </w:tc>
        <w:tc>
          <w:tcPr>
            <w:tcW w:w="826" w:type="dxa"/>
            <w:shd w:val="pct5" w:color="auto" w:fill="auto"/>
          </w:tcPr>
          <w:p w:rsidR="00D472BD" w:rsidRPr="0005069E" w:rsidRDefault="00D472BD">
            <w:pPr>
              <w:pStyle w:val="Normaltindrag"/>
              <w:spacing w:before="60" w:after="60" w:line="240" w:lineRule="auto"/>
              <w:ind w:firstLine="0"/>
              <w:jc w:val="left"/>
              <w:rPr>
                <w:b/>
              </w:rPr>
            </w:pPr>
            <w:r w:rsidRPr="0005069E">
              <w:rPr>
                <w:b/>
              </w:rPr>
              <w:t xml:space="preserve">Slutar på egen begäran </w:t>
            </w:r>
          </w:p>
        </w:tc>
        <w:tc>
          <w:tcPr>
            <w:tcW w:w="862" w:type="dxa"/>
            <w:shd w:val="pct5" w:color="auto" w:fill="auto"/>
          </w:tcPr>
          <w:p w:rsidR="00D472BD" w:rsidRPr="0005069E" w:rsidRDefault="00D472BD">
            <w:pPr>
              <w:pStyle w:val="Normaltindrag"/>
              <w:spacing w:before="60" w:after="60" w:line="240" w:lineRule="auto"/>
              <w:ind w:firstLine="0"/>
              <w:jc w:val="left"/>
              <w:rPr>
                <w:b/>
              </w:rPr>
            </w:pPr>
            <w:r w:rsidRPr="0005069E">
              <w:rPr>
                <w:b/>
              </w:rPr>
              <w:t>Sju</w:t>
            </w:r>
            <w:r w:rsidRPr="0005069E">
              <w:rPr>
                <w:b/>
              </w:rPr>
              <w:t>k</w:t>
            </w:r>
            <w:r w:rsidRPr="0005069E">
              <w:rPr>
                <w:b/>
              </w:rPr>
              <w:t>penning</w:t>
            </w:r>
          </w:p>
        </w:tc>
        <w:tc>
          <w:tcPr>
            <w:tcW w:w="862" w:type="dxa"/>
            <w:shd w:val="pct5" w:color="auto" w:fill="auto"/>
          </w:tcPr>
          <w:p w:rsidR="00D472BD" w:rsidRPr="0005069E" w:rsidRDefault="00D472BD">
            <w:pPr>
              <w:pStyle w:val="Normaltindrag"/>
              <w:spacing w:before="60" w:after="60" w:line="240" w:lineRule="auto"/>
              <w:ind w:firstLine="0"/>
              <w:jc w:val="left"/>
              <w:rPr>
                <w:b/>
              </w:rPr>
            </w:pPr>
            <w:r w:rsidRPr="0005069E">
              <w:rPr>
                <w:b/>
              </w:rPr>
              <w:t>Förtid</w:t>
            </w:r>
            <w:r w:rsidRPr="0005069E">
              <w:rPr>
                <w:b/>
              </w:rPr>
              <w:t>s</w:t>
            </w:r>
            <w:r w:rsidRPr="0005069E">
              <w:rPr>
                <w:b/>
              </w:rPr>
              <w:t>pension</w:t>
            </w:r>
          </w:p>
        </w:tc>
        <w:tc>
          <w:tcPr>
            <w:tcW w:w="862" w:type="dxa"/>
            <w:shd w:val="pct5" w:color="auto" w:fill="auto"/>
          </w:tcPr>
          <w:p w:rsidR="00D472BD" w:rsidRPr="0005069E" w:rsidRDefault="00D472BD">
            <w:pPr>
              <w:pStyle w:val="Normaltindrag"/>
              <w:spacing w:before="60" w:after="60" w:line="240" w:lineRule="auto"/>
              <w:ind w:firstLine="0"/>
              <w:jc w:val="left"/>
              <w:rPr>
                <w:b/>
              </w:rPr>
            </w:pPr>
            <w:r w:rsidRPr="0005069E">
              <w:rPr>
                <w:b/>
              </w:rPr>
              <w:t>Arbet</w:t>
            </w:r>
            <w:r w:rsidRPr="0005069E">
              <w:rPr>
                <w:b/>
              </w:rPr>
              <w:t>s</w:t>
            </w:r>
            <w:r w:rsidRPr="0005069E">
              <w:rPr>
                <w:b/>
              </w:rPr>
              <w:t>lös, uppsagd av a</w:t>
            </w:r>
            <w:r w:rsidRPr="0005069E">
              <w:rPr>
                <w:b/>
              </w:rPr>
              <w:t>r</w:t>
            </w:r>
            <w:r w:rsidRPr="0005069E">
              <w:rPr>
                <w:b/>
              </w:rPr>
              <w:t>betsg</w:t>
            </w:r>
            <w:r w:rsidRPr="0005069E">
              <w:rPr>
                <w:b/>
              </w:rPr>
              <w:t>i</w:t>
            </w:r>
            <w:r w:rsidRPr="0005069E">
              <w:rPr>
                <w:b/>
              </w:rPr>
              <w:t>varen</w:t>
            </w:r>
          </w:p>
        </w:tc>
      </w:tr>
      <w:tr w:rsidR="00000000" w:rsidRPr="0005069E">
        <w:tblPrEx>
          <w:tblCellMar>
            <w:top w:w="0" w:type="dxa"/>
            <w:bottom w:w="0" w:type="dxa"/>
          </w:tblCellMar>
        </w:tblPrEx>
        <w:tc>
          <w:tcPr>
            <w:tcW w:w="792" w:type="dxa"/>
            <w:shd w:val="pct5" w:color="auto" w:fill="auto"/>
          </w:tcPr>
          <w:p w:rsidR="00D472BD" w:rsidRPr="0005069E" w:rsidRDefault="00D472BD">
            <w:pPr>
              <w:pStyle w:val="Normaltindrag"/>
              <w:spacing w:before="60" w:after="60" w:line="240" w:lineRule="auto"/>
              <w:ind w:firstLine="0"/>
              <w:rPr>
                <w:b/>
              </w:rPr>
            </w:pPr>
            <w:r w:rsidRPr="0005069E">
              <w:rPr>
                <w:b/>
              </w:rPr>
              <w:t>61 år</w:t>
            </w:r>
          </w:p>
        </w:tc>
        <w:tc>
          <w:tcPr>
            <w:tcW w:w="768" w:type="dxa"/>
          </w:tcPr>
          <w:p w:rsidR="00D472BD" w:rsidRPr="0005069E" w:rsidRDefault="00D472BD">
            <w:pPr>
              <w:pStyle w:val="Normaltindrag"/>
              <w:spacing w:before="60" w:after="60" w:line="240" w:lineRule="auto"/>
              <w:ind w:firstLine="0"/>
              <w:jc w:val="center"/>
            </w:pPr>
            <w:r w:rsidRPr="0005069E">
              <w:t>8 475</w:t>
            </w:r>
          </w:p>
        </w:tc>
        <w:tc>
          <w:tcPr>
            <w:tcW w:w="992" w:type="dxa"/>
          </w:tcPr>
          <w:p w:rsidR="00D472BD" w:rsidRPr="0005069E" w:rsidRDefault="00D472BD">
            <w:pPr>
              <w:pStyle w:val="Normaltindrag"/>
              <w:spacing w:before="60" w:after="60" w:line="240" w:lineRule="auto"/>
              <w:ind w:firstLine="0"/>
              <w:jc w:val="center"/>
            </w:pPr>
            <w:r w:rsidRPr="0005069E">
              <w:t>12 238</w:t>
            </w:r>
          </w:p>
        </w:tc>
        <w:tc>
          <w:tcPr>
            <w:tcW w:w="826" w:type="dxa"/>
          </w:tcPr>
          <w:p w:rsidR="00D472BD" w:rsidRPr="0005069E" w:rsidRDefault="00D472BD">
            <w:pPr>
              <w:pStyle w:val="Normaltindrag"/>
              <w:spacing w:before="60" w:after="60" w:line="240" w:lineRule="auto"/>
              <w:ind w:firstLine="0"/>
              <w:jc w:val="center"/>
            </w:pPr>
            <w:r w:rsidRPr="0005069E">
              <w:t>12 156</w:t>
            </w:r>
          </w:p>
        </w:tc>
        <w:tc>
          <w:tcPr>
            <w:tcW w:w="862" w:type="dxa"/>
          </w:tcPr>
          <w:p w:rsidR="00D472BD" w:rsidRPr="0005069E" w:rsidRDefault="00D472BD">
            <w:pPr>
              <w:pStyle w:val="Normaltindrag"/>
              <w:spacing w:before="60" w:after="60" w:line="240" w:lineRule="auto"/>
              <w:ind w:firstLine="0"/>
              <w:jc w:val="center"/>
            </w:pPr>
            <w:r w:rsidRPr="0005069E">
              <w:t>12 800</w:t>
            </w:r>
          </w:p>
        </w:tc>
        <w:tc>
          <w:tcPr>
            <w:tcW w:w="862" w:type="dxa"/>
          </w:tcPr>
          <w:p w:rsidR="00D472BD" w:rsidRPr="0005069E" w:rsidRDefault="00D472BD">
            <w:pPr>
              <w:pStyle w:val="Normaltindrag"/>
              <w:spacing w:before="60" w:after="60" w:line="240" w:lineRule="auto"/>
              <w:ind w:firstLine="0"/>
              <w:jc w:val="center"/>
            </w:pPr>
            <w:r w:rsidRPr="0005069E">
              <w:t>13 540</w:t>
            </w:r>
          </w:p>
        </w:tc>
        <w:tc>
          <w:tcPr>
            <w:tcW w:w="862" w:type="dxa"/>
          </w:tcPr>
          <w:p w:rsidR="00D472BD" w:rsidRPr="0005069E" w:rsidRDefault="00D472BD">
            <w:pPr>
              <w:pStyle w:val="Normaltindrag"/>
              <w:spacing w:before="60" w:after="60" w:line="240" w:lineRule="auto"/>
              <w:ind w:firstLine="0"/>
              <w:jc w:val="center"/>
            </w:pPr>
            <w:r w:rsidRPr="0005069E">
              <w:t>13 830</w:t>
            </w:r>
          </w:p>
        </w:tc>
      </w:tr>
      <w:tr w:rsidR="00000000" w:rsidRPr="0005069E">
        <w:tblPrEx>
          <w:tblCellMar>
            <w:top w:w="0" w:type="dxa"/>
            <w:bottom w:w="0" w:type="dxa"/>
          </w:tblCellMar>
        </w:tblPrEx>
        <w:tc>
          <w:tcPr>
            <w:tcW w:w="792" w:type="dxa"/>
            <w:shd w:val="pct5" w:color="auto" w:fill="auto"/>
          </w:tcPr>
          <w:p w:rsidR="00D472BD" w:rsidRPr="0005069E" w:rsidRDefault="00D472BD">
            <w:pPr>
              <w:pStyle w:val="Normaltindrag"/>
              <w:spacing w:before="60" w:after="60" w:line="240" w:lineRule="auto"/>
              <w:ind w:firstLine="0"/>
              <w:rPr>
                <w:b/>
              </w:rPr>
            </w:pPr>
            <w:r w:rsidRPr="0005069E">
              <w:rPr>
                <w:b/>
              </w:rPr>
              <w:t>Ålde</w:t>
            </w:r>
            <w:r w:rsidRPr="0005069E">
              <w:rPr>
                <w:b/>
              </w:rPr>
              <w:t>r</w:t>
            </w:r>
            <w:r w:rsidRPr="0005069E">
              <w:rPr>
                <w:b/>
              </w:rPr>
              <w:t>s-pe</w:t>
            </w:r>
            <w:r w:rsidRPr="0005069E">
              <w:rPr>
                <w:b/>
              </w:rPr>
              <w:t>n</w:t>
            </w:r>
            <w:r w:rsidRPr="0005069E">
              <w:rPr>
                <w:b/>
              </w:rPr>
              <w:t>sion</w:t>
            </w:r>
          </w:p>
        </w:tc>
        <w:tc>
          <w:tcPr>
            <w:tcW w:w="768" w:type="dxa"/>
          </w:tcPr>
          <w:p w:rsidR="00D472BD" w:rsidRPr="0005069E" w:rsidRDefault="00D472BD">
            <w:pPr>
              <w:pStyle w:val="Normaltindrag"/>
              <w:spacing w:before="60" w:after="60" w:line="240" w:lineRule="auto"/>
              <w:ind w:firstLine="0"/>
              <w:jc w:val="center"/>
            </w:pPr>
            <w:r w:rsidRPr="0005069E">
              <w:t>8 475</w:t>
            </w:r>
          </w:p>
        </w:tc>
        <w:tc>
          <w:tcPr>
            <w:tcW w:w="992" w:type="dxa"/>
          </w:tcPr>
          <w:p w:rsidR="00D472BD" w:rsidRPr="0005069E" w:rsidRDefault="00D472BD">
            <w:pPr>
              <w:pStyle w:val="Normaltindrag"/>
              <w:spacing w:before="60" w:after="60" w:line="240" w:lineRule="auto"/>
              <w:ind w:firstLine="0"/>
              <w:jc w:val="center"/>
            </w:pPr>
            <w:r w:rsidRPr="0005069E">
              <w:t>9 715</w:t>
            </w:r>
          </w:p>
        </w:tc>
        <w:tc>
          <w:tcPr>
            <w:tcW w:w="826" w:type="dxa"/>
          </w:tcPr>
          <w:p w:rsidR="00D472BD" w:rsidRPr="0005069E" w:rsidRDefault="00D472BD">
            <w:pPr>
              <w:pStyle w:val="Normaltindrag"/>
              <w:spacing w:before="60" w:after="60" w:line="240" w:lineRule="auto"/>
              <w:ind w:firstLine="0"/>
              <w:jc w:val="center"/>
            </w:pPr>
            <w:r w:rsidRPr="0005069E">
              <w:t>11 040</w:t>
            </w:r>
          </w:p>
        </w:tc>
        <w:tc>
          <w:tcPr>
            <w:tcW w:w="862" w:type="dxa"/>
          </w:tcPr>
          <w:p w:rsidR="00D472BD" w:rsidRPr="0005069E" w:rsidRDefault="00D472BD">
            <w:pPr>
              <w:pStyle w:val="Normaltindrag"/>
              <w:spacing w:before="60" w:after="60" w:line="240" w:lineRule="auto"/>
              <w:ind w:firstLine="0"/>
              <w:jc w:val="center"/>
            </w:pPr>
            <w:r w:rsidRPr="0005069E">
              <w:t>11 040</w:t>
            </w:r>
          </w:p>
        </w:tc>
        <w:tc>
          <w:tcPr>
            <w:tcW w:w="862" w:type="dxa"/>
          </w:tcPr>
          <w:p w:rsidR="00D472BD" w:rsidRPr="0005069E" w:rsidRDefault="00D472BD">
            <w:pPr>
              <w:pStyle w:val="Normaltindrag"/>
              <w:spacing w:before="60" w:after="60" w:line="240" w:lineRule="auto"/>
              <w:ind w:firstLine="0"/>
              <w:jc w:val="center"/>
            </w:pPr>
            <w:r w:rsidRPr="0005069E">
              <w:t>11 040</w:t>
            </w:r>
          </w:p>
        </w:tc>
        <w:tc>
          <w:tcPr>
            <w:tcW w:w="862" w:type="dxa"/>
          </w:tcPr>
          <w:p w:rsidR="00D472BD" w:rsidRPr="0005069E" w:rsidRDefault="00D472BD">
            <w:pPr>
              <w:pStyle w:val="Normaltindrag"/>
              <w:spacing w:before="60" w:after="60" w:line="240" w:lineRule="auto"/>
              <w:ind w:firstLine="0"/>
              <w:jc w:val="center"/>
            </w:pPr>
            <w:r w:rsidRPr="0005069E">
              <w:t>11 040</w:t>
            </w:r>
          </w:p>
        </w:tc>
      </w:tr>
    </w:tbl>
    <w:p w:rsidR="00D472BD" w:rsidRPr="0005069E" w:rsidRDefault="00D472BD">
      <w:pPr>
        <w:pStyle w:val="Normaltindrag"/>
      </w:pPr>
    </w:p>
    <w:p w:rsidR="00D472BD" w:rsidRPr="0005069E" w:rsidRDefault="00D472BD">
      <w:r w:rsidRPr="0005069E">
        <w:t>Av tabellen framgår att ersättningen varierar kraftigt beroende på orsaken till att en person slutat arbeta. Ersättningen varierar också beroende på tidigare inkomst och mellan olika avtalsområden. För statligt anställda och de flesta privatanställda ger förtidspensionering den högsta ersättningen. För anställda inom kommuner och landsting utgår den högsta ersättningen till dem som blivit uppsagda. Skillnaderna mellan de olika avgångsorsakerna är olika stora beroende på tidigare inkomst. Av tabellen framgår</w:t>
      </w:r>
      <w:r w:rsidRPr="0005069E">
        <w:t xml:space="preserve"> också att den framtida ålderspensionen reduceras kraftigt för dem som utnyttjar rätten att göra ett förtida pensionsuttag vid 61 års ålder.</w:t>
      </w:r>
    </w:p>
    <w:p w:rsidR="00D472BD" w:rsidRPr="0005069E" w:rsidRDefault="00D472BD">
      <w:pPr>
        <w:pStyle w:val="Normaltindrag"/>
      </w:pPr>
      <w:r w:rsidRPr="0005069E">
        <w:t>De stora skillnaderna ökar risken att många söker sig till de ersättning</w:t>
      </w:r>
      <w:r w:rsidRPr="0005069E">
        <w:t>s</w:t>
      </w:r>
      <w:r w:rsidRPr="0005069E">
        <w:t>system som ger högst inkomst. Om rågången mellan de olika ersättningssy</w:t>
      </w:r>
      <w:r w:rsidRPr="0005069E">
        <w:t>s</w:t>
      </w:r>
      <w:r w:rsidRPr="0005069E">
        <w:t>temen är oklar ökar möjligheterna att lyckas med detta. Därmed finns risk för missbruk och att systemen utsätts för stora påfrestningar. Att antalet beslut</w:t>
      </w:r>
      <w:r w:rsidRPr="0005069E">
        <w:t>s</w:t>
      </w:r>
      <w:r w:rsidRPr="0005069E">
        <w:t>fattare är stort och representerar såväl olika beslutsnivåer som ”beslutskulturer” understryker ytterligare behovet av samordning, renodlade ersättningssystem och tydliga gränsdragnin</w:t>
      </w:r>
      <w:r w:rsidRPr="0005069E">
        <w:t>g</w:t>
      </w:r>
      <w:r w:rsidRPr="0005069E">
        <w:t xml:space="preserve">ar dem emellan. </w:t>
      </w:r>
    </w:p>
    <w:p w:rsidR="00D472BD" w:rsidRPr="0005069E" w:rsidRDefault="00D472BD">
      <w:pPr>
        <w:pStyle w:val="Normaltindrag"/>
      </w:pPr>
      <w:r w:rsidRPr="0005069E">
        <w:t>Den missbruksrisk som påtalas oftast, inte minst i forskarrapporten, består av att</w:t>
      </w:r>
      <w:r w:rsidRPr="0005069E">
        <w:t xml:space="preserve"> personer som vill dra sig tillbaka från arbetslivet före 65 års ålder avstår från att begära förtida pensionsuttag och i stället söker sig till något av de andra systemen. Om personen i vårt exempel räknar med att leva till 80 års ålder skulle uppsägning från arbetsgivaren eller förtidspension ge nästan 750 000 kr mer i nominell framtida inkomst än alternativet att begära förtida uttag av ålderspensionen. Med så stora skillnader redan vid en inkomst på 16 000 kr/mån. ställs det stora krav på att ersättning</w:t>
      </w:r>
      <w:r w:rsidRPr="0005069E">
        <w:t>ssystemen inte kan nås av andra än dem de är avsedda för. Såväl i forskarrapporten som vid semin</w:t>
      </w:r>
      <w:r w:rsidRPr="0005069E">
        <w:t>a</w:t>
      </w:r>
      <w:r w:rsidRPr="0005069E">
        <w:t>riet identifierades ”uppsagd av arbetsgivaren” som det område där mis</w:t>
      </w:r>
      <w:r w:rsidRPr="0005069E">
        <w:t>s</w:t>
      </w:r>
      <w:r w:rsidRPr="0005069E">
        <w:t xml:space="preserve">bruksrisken är störst. Detta överensstämmer även med vad som framkom av svaren på revisorernas enkät till länsarbetsnämnderna. </w:t>
      </w:r>
    </w:p>
    <w:p w:rsidR="00D472BD" w:rsidRPr="0005069E" w:rsidRDefault="00D472BD">
      <w:pPr>
        <w:pStyle w:val="Sidfot"/>
        <w:tabs>
          <w:tab w:val="clear" w:pos="4703"/>
          <w:tab w:val="clear" w:pos="9406"/>
        </w:tabs>
        <w:spacing w:before="0"/>
      </w:pPr>
    </w:p>
    <w:p w:rsidR="00D472BD" w:rsidRPr="0005069E" w:rsidRDefault="00D472BD">
      <w:pPr>
        <w:pStyle w:val="Rubrik3"/>
      </w:pPr>
      <w:r w:rsidRPr="0005069E">
        <w:t>Tillämpningspraxis</w:t>
      </w:r>
    </w:p>
    <w:p w:rsidR="00D472BD" w:rsidRPr="0005069E" w:rsidRDefault="00D472BD">
      <w:r w:rsidRPr="0005069E">
        <w:t>Tillämpningen av de befintliga regelverken lämnar, enligt vad som sägs i forskarrapporten, mycket att önska. Bland annat möts den äldre arbetskraften ofta av negativa attityder från handläggare som tror att de varken kan eller vill återgå i arbete. Lokala beslutsfattare tenderar att sätta lokala intressen framför nationella mål och de som söker ersättning kan i alltför hög grad påverka utfallet. Kontrollfunktionen för att stävja missbruk är dåligt utbyggd och inte särskilt högt prioriterad. Liknande kritik</w:t>
      </w:r>
      <w:r w:rsidRPr="0005069E">
        <w:t xml:space="preserve"> har i olika sammanhang framförts bl.a. av Riksrevisionsverket, IFAU och i olika forska</w:t>
      </w:r>
      <w:r w:rsidRPr="0005069E">
        <w:t>r</w:t>
      </w:r>
      <w:r w:rsidRPr="0005069E">
        <w:t>rapporter.</w:t>
      </w:r>
    </w:p>
    <w:p w:rsidR="00D472BD" w:rsidRPr="0005069E" w:rsidRDefault="00D472BD">
      <w:pPr>
        <w:pStyle w:val="Normaltindrag"/>
      </w:pPr>
      <w:r w:rsidRPr="0005069E">
        <w:t>Riksdagens revisorer fann denna kritik särskilt oroande eftersom den by</w:t>
      </w:r>
      <w:r w:rsidRPr="0005069E">
        <w:t>g</w:t>
      </w:r>
      <w:r w:rsidRPr="0005069E">
        <w:t>ger på ett stort antal observationer och intervjuer utförda av oberoende iakt</w:t>
      </w:r>
      <w:r w:rsidRPr="0005069E">
        <w:t>a</w:t>
      </w:r>
      <w:r w:rsidRPr="0005069E">
        <w:t>gare. Samtidigt är det nödvändigt att analysera och söka förstå orsakerna bakom de brister som kunnat konstateras i tillämpningspraxis. Utan en sådan förståelse riskerar man att inkompetensförklara enskilda handläggare och skuldbelägga äldre som står utan arbete. En sådan utveckling skulle försvåra möjligheterna att nå fram till konstrukt</w:t>
      </w:r>
      <w:r w:rsidRPr="0005069E">
        <w:t>i</w:t>
      </w:r>
      <w:r w:rsidRPr="0005069E">
        <w:t>va lösningar.</w:t>
      </w:r>
    </w:p>
    <w:p w:rsidR="00D472BD" w:rsidRPr="0005069E" w:rsidRDefault="00D472BD">
      <w:pPr>
        <w:pStyle w:val="Normaltindrag"/>
      </w:pPr>
      <w:r w:rsidRPr="0005069E">
        <w:t>I den decentraliserade beslutsmodell som karakteriserar handläggningen av de s</w:t>
      </w:r>
      <w:r w:rsidRPr="0005069E">
        <w:t>töd som berörs i denna granskning är det viktigt att målen för verksa</w:t>
      </w:r>
      <w:r w:rsidRPr="0005069E">
        <w:t>m</w:t>
      </w:r>
      <w:r w:rsidRPr="0005069E">
        <w:t>heten är såväl tydligt formulerade som väl förankrade. Här ligger ett stort ansvar på de centrala myndigheterna. De signaler som går ut från central nivå har inte alltid varit tydliga och konsekventa. Här noterade revisorerna t.ex. att det var först efter ett uttryckligt direktiv från regeringen som Arbetsmar</w:t>
      </w:r>
      <w:r w:rsidRPr="0005069E">
        <w:t>k</w:t>
      </w:r>
      <w:r w:rsidRPr="0005069E">
        <w:t>nadsstyrelsen såg till att arbetsförmedlingen räknar in alla som uppbär a</w:t>
      </w:r>
      <w:r w:rsidRPr="0005069E">
        <w:t>r</w:t>
      </w:r>
      <w:r w:rsidRPr="0005069E">
        <w:t>betslöshetsersättning bland dem som står till arbetsmarkn</w:t>
      </w:r>
      <w:r w:rsidRPr="0005069E">
        <w:t>adens förf</w:t>
      </w:r>
      <w:r w:rsidRPr="0005069E">
        <w:t>o</w:t>
      </w:r>
      <w:r w:rsidRPr="0005069E">
        <w:t>gande.</w:t>
      </w:r>
    </w:p>
    <w:p w:rsidR="00D472BD" w:rsidRPr="0005069E" w:rsidRDefault="00D472BD">
      <w:pPr>
        <w:pStyle w:val="Normaltindrag"/>
      </w:pPr>
      <w:r w:rsidRPr="0005069E">
        <w:t>Det är först när arbetslinjen är väl förankrad som en nationell målsättning inom arbetsmarknads- och socialpolitiken som de negativa attityderna mot den äldre arbetskraften kan brytas ner. Av intervjuerna i forskarrapporten framgår alltför tydligt att många handläggare tycks vara av den uppfattnin</w:t>
      </w:r>
      <w:r w:rsidRPr="0005069E">
        <w:t>g</w:t>
      </w:r>
      <w:r w:rsidRPr="0005069E">
        <w:t>en att de gör såväl bygden som den äldre arbetslöse/sjukskrivne och ortens ungdomar en tjänst om de inte hävdar arbetslinjen. Arbetslinjen upplevs av många som orealistisk eller t.o.m. orimlig. I kontrast till denna uppfattning står Konjunkturinstitutets scenarier av den ekonomiska utvecklingen fram till år 2015 där den ekonomiska tillväxten hålls tillbaka av en långsam arbet</w:t>
      </w:r>
      <w:r w:rsidRPr="0005069E">
        <w:t>s</w:t>
      </w:r>
      <w:r w:rsidRPr="0005069E">
        <w:t>kraftsökning och där så gott som hela arbetskraftsökningen (98 %) faller på gru</w:t>
      </w:r>
      <w:r w:rsidRPr="0005069E">
        <w:t>p</w:t>
      </w:r>
      <w:r w:rsidRPr="0005069E">
        <w:t xml:space="preserve">pen över 55 år. </w:t>
      </w:r>
    </w:p>
    <w:p w:rsidR="00D472BD" w:rsidRPr="0005069E" w:rsidRDefault="00D472BD">
      <w:pPr>
        <w:pStyle w:val="Normaltindrag"/>
      </w:pPr>
      <w:r w:rsidRPr="0005069E">
        <w:t xml:space="preserve">De motsättningar mellan lokala och </w:t>
      </w:r>
      <w:r w:rsidRPr="0005069E">
        <w:t>nationella intressen som påtalats i forskarrapporten kan sannolikt till stor del förklaras av att de nationella m</w:t>
      </w:r>
      <w:r w:rsidRPr="0005069E">
        <w:t>å</w:t>
      </w:r>
      <w:r w:rsidRPr="0005069E">
        <w:t>len inte tydliggjorts och förankrats inom respektive myndigheter.  Om eve</w:t>
      </w:r>
      <w:r w:rsidRPr="0005069E">
        <w:t>n</w:t>
      </w:r>
      <w:r w:rsidRPr="0005069E">
        <w:t>tuella skillnader mellan lokala och nationella mål kunnat konfronteras inom ramen för en gemensam grundsyn rörande den övergripande utvecklingen skulle det varit lättare för lokala aktörer att definiera sina roller och lösa de problem som kan uppstå.</w:t>
      </w:r>
    </w:p>
    <w:p w:rsidR="00D472BD" w:rsidRPr="0005069E" w:rsidRDefault="00D472BD">
      <w:pPr>
        <w:pStyle w:val="Normaltindrag"/>
        <w:rPr>
          <w:b/>
        </w:rPr>
      </w:pPr>
    </w:p>
    <w:p w:rsidR="00D472BD" w:rsidRPr="0005069E" w:rsidRDefault="00D472BD">
      <w:pPr>
        <w:pStyle w:val="Rubrik3"/>
      </w:pPr>
      <w:r w:rsidRPr="0005069E">
        <w:t>Staten som arbetsgivare</w:t>
      </w:r>
    </w:p>
    <w:p w:rsidR="00D472BD" w:rsidRPr="0005069E" w:rsidRDefault="00D472BD">
      <w:r w:rsidRPr="0005069E">
        <w:t>En av slutsatserna i forskarrapporten är att ”staten som arbetsgivare kan knappast sägas ha följt arbetslinjen för sina äldre anställda”. Bland annat framgår att av statligt anställda år 1988 födda år 1934 fanns endast 30 % kvar i statlig tjänst tio år senare, dvs. ett år innan de skulle gå i ordinarie pension. Bakom denna utveckling låg dels den omfattande omstruktureringen av statlig verksamhet under 1990-talet, dels det faktum att de statliga my</w:t>
      </w:r>
      <w:r w:rsidRPr="0005069E">
        <w:t>n</w:t>
      </w:r>
      <w:r w:rsidRPr="0005069E">
        <w:t>digheterna kunnat genomföra denna omstrukturering i stort sett utan eget kostnad</w:t>
      </w:r>
      <w:r w:rsidRPr="0005069E">
        <w:t>s</w:t>
      </w:r>
      <w:r w:rsidRPr="0005069E">
        <w:t>ansvar.</w:t>
      </w:r>
    </w:p>
    <w:p w:rsidR="00D472BD" w:rsidRPr="0005069E" w:rsidRDefault="00D472BD">
      <w:pPr>
        <w:pStyle w:val="Sidfot"/>
        <w:tabs>
          <w:tab w:val="clear" w:pos="4703"/>
          <w:tab w:val="clear" w:pos="9406"/>
        </w:tabs>
        <w:spacing w:before="0"/>
      </w:pPr>
    </w:p>
    <w:p w:rsidR="00D472BD" w:rsidRPr="0005069E" w:rsidRDefault="00D472BD">
      <w:pPr>
        <w:pStyle w:val="Brdtext2"/>
        <w:spacing w:before="0" w:line="240" w:lineRule="auto"/>
      </w:pPr>
      <w:r w:rsidRPr="0005069E">
        <w:t xml:space="preserve">Tabell 4: </w:t>
      </w:r>
      <w:r w:rsidRPr="0005069E">
        <w:rPr>
          <w:b w:val="0"/>
        </w:rPr>
        <w:t>Statligt anställda 1998 som andel av antalet anställda 1988 fördelat på födelseår.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1134"/>
        <w:gridCol w:w="1338"/>
        <w:gridCol w:w="1509"/>
      </w:tblGrid>
      <w:tr w:rsidR="00000000" w:rsidRPr="0005069E">
        <w:tblPrEx>
          <w:tblCellMar>
            <w:top w:w="0" w:type="dxa"/>
            <w:bottom w:w="0" w:type="dxa"/>
          </w:tblCellMar>
        </w:tblPrEx>
        <w:tc>
          <w:tcPr>
            <w:tcW w:w="1985" w:type="dxa"/>
            <w:shd w:val="pct5" w:color="auto" w:fill="auto"/>
          </w:tcPr>
          <w:p w:rsidR="00D472BD" w:rsidRPr="0005069E" w:rsidRDefault="00D472BD">
            <w:pPr>
              <w:pStyle w:val="Normaltindrag"/>
              <w:spacing w:before="60" w:after="60" w:line="240" w:lineRule="auto"/>
              <w:ind w:firstLine="0"/>
              <w:jc w:val="center"/>
              <w:rPr>
                <w:b/>
              </w:rPr>
            </w:pPr>
            <w:r w:rsidRPr="0005069E">
              <w:rPr>
                <w:b/>
              </w:rPr>
              <w:t>Födelseår (ålder 1998)</w:t>
            </w:r>
          </w:p>
        </w:tc>
        <w:tc>
          <w:tcPr>
            <w:tcW w:w="1134" w:type="dxa"/>
            <w:shd w:val="pct5" w:color="auto" w:fill="auto"/>
          </w:tcPr>
          <w:p w:rsidR="00D472BD" w:rsidRPr="0005069E" w:rsidRDefault="00D472BD">
            <w:pPr>
              <w:pStyle w:val="Normaltindrag"/>
              <w:spacing w:before="60" w:after="60" w:line="240" w:lineRule="auto"/>
              <w:ind w:firstLine="0"/>
              <w:jc w:val="center"/>
              <w:rPr>
                <w:b/>
              </w:rPr>
            </w:pPr>
            <w:r w:rsidRPr="0005069E">
              <w:rPr>
                <w:b/>
              </w:rPr>
              <w:t>Män</w:t>
            </w:r>
          </w:p>
        </w:tc>
        <w:tc>
          <w:tcPr>
            <w:tcW w:w="1338" w:type="dxa"/>
            <w:shd w:val="pct5" w:color="auto" w:fill="auto"/>
          </w:tcPr>
          <w:p w:rsidR="00D472BD" w:rsidRPr="0005069E" w:rsidRDefault="00D472BD">
            <w:pPr>
              <w:pStyle w:val="Normaltindrag"/>
              <w:spacing w:before="60" w:after="60" w:line="240" w:lineRule="auto"/>
              <w:ind w:firstLine="0"/>
              <w:jc w:val="center"/>
              <w:rPr>
                <w:b/>
              </w:rPr>
            </w:pPr>
            <w:r w:rsidRPr="0005069E">
              <w:rPr>
                <w:b/>
              </w:rPr>
              <w:t>Kvinnor</w:t>
            </w:r>
          </w:p>
        </w:tc>
        <w:tc>
          <w:tcPr>
            <w:tcW w:w="1509" w:type="dxa"/>
            <w:shd w:val="pct5" w:color="auto" w:fill="auto"/>
          </w:tcPr>
          <w:p w:rsidR="00D472BD" w:rsidRPr="0005069E" w:rsidRDefault="00D472BD">
            <w:pPr>
              <w:pStyle w:val="Normaltindrag"/>
              <w:spacing w:before="60" w:after="60" w:line="240" w:lineRule="auto"/>
              <w:ind w:firstLine="0"/>
              <w:jc w:val="center"/>
              <w:rPr>
                <w:b/>
              </w:rPr>
            </w:pPr>
            <w:r w:rsidRPr="0005069E">
              <w:rPr>
                <w:b/>
              </w:rPr>
              <w:t>Samtliga</w:t>
            </w:r>
          </w:p>
        </w:tc>
      </w:tr>
      <w:tr w:rsidR="00000000" w:rsidRPr="0005069E">
        <w:tblPrEx>
          <w:tblCellMar>
            <w:top w:w="0" w:type="dxa"/>
            <w:bottom w:w="0" w:type="dxa"/>
          </w:tblCellMar>
        </w:tblPrEx>
        <w:tc>
          <w:tcPr>
            <w:tcW w:w="1985" w:type="dxa"/>
            <w:shd w:val="pct5" w:color="auto" w:fill="auto"/>
          </w:tcPr>
          <w:p w:rsidR="00D472BD" w:rsidRPr="0005069E" w:rsidRDefault="00D472BD">
            <w:pPr>
              <w:pStyle w:val="Normaltindrag"/>
              <w:spacing w:before="60" w:after="60" w:line="240" w:lineRule="auto"/>
              <w:ind w:firstLine="0"/>
              <w:jc w:val="center"/>
              <w:rPr>
                <w:b/>
              </w:rPr>
            </w:pPr>
            <w:r w:rsidRPr="0005069E">
              <w:rPr>
                <w:b/>
              </w:rPr>
              <w:t>1938 (60 år)</w:t>
            </w:r>
          </w:p>
        </w:tc>
        <w:tc>
          <w:tcPr>
            <w:tcW w:w="1134" w:type="dxa"/>
          </w:tcPr>
          <w:p w:rsidR="00D472BD" w:rsidRPr="0005069E" w:rsidRDefault="00D472BD">
            <w:pPr>
              <w:pStyle w:val="Normaltindrag"/>
              <w:spacing w:before="60" w:after="60" w:line="240" w:lineRule="auto"/>
              <w:ind w:firstLine="0"/>
              <w:jc w:val="center"/>
            </w:pPr>
            <w:r w:rsidRPr="0005069E">
              <w:t>54,3</w:t>
            </w:r>
          </w:p>
        </w:tc>
        <w:tc>
          <w:tcPr>
            <w:tcW w:w="1338" w:type="dxa"/>
          </w:tcPr>
          <w:p w:rsidR="00D472BD" w:rsidRPr="0005069E" w:rsidRDefault="00D472BD">
            <w:pPr>
              <w:pStyle w:val="Normaltindrag"/>
              <w:spacing w:before="60" w:after="60" w:line="240" w:lineRule="auto"/>
              <w:ind w:firstLine="0"/>
              <w:jc w:val="center"/>
            </w:pPr>
            <w:r w:rsidRPr="0005069E">
              <w:t>63,4</w:t>
            </w:r>
          </w:p>
        </w:tc>
        <w:tc>
          <w:tcPr>
            <w:tcW w:w="1509" w:type="dxa"/>
          </w:tcPr>
          <w:p w:rsidR="00D472BD" w:rsidRPr="0005069E" w:rsidRDefault="00D472BD">
            <w:pPr>
              <w:pStyle w:val="Normaltindrag"/>
              <w:spacing w:before="60" w:after="60" w:line="240" w:lineRule="auto"/>
              <w:ind w:firstLine="0"/>
              <w:jc w:val="center"/>
            </w:pPr>
            <w:r w:rsidRPr="0005069E">
              <w:t>57,8</w:t>
            </w:r>
          </w:p>
        </w:tc>
      </w:tr>
      <w:tr w:rsidR="00000000" w:rsidRPr="0005069E">
        <w:tblPrEx>
          <w:tblCellMar>
            <w:top w:w="0" w:type="dxa"/>
            <w:bottom w:w="0" w:type="dxa"/>
          </w:tblCellMar>
        </w:tblPrEx>
        <w:tc>
          <w:tcPr>
            <w:tcW w:w="1985" w:type="dxa"/>
            <w:shd w:val="pct5" w:color="auto" w:fill="auto"/>
          </w:tcPr>
          <w:p w:rsidR="00D472BD" w:rsidRPr="0005069E" w:rsidRDefault="00D472BD">
            <w:pPr>
              <w:pStyle w:val="Normaltindrag"/>
              <w:spacing w:before="60" w:after="60" w:line="240" w:lineRule="auto"/>
              <w:ind w:firstLine="0"/>
              <w:jc w:val="center"/>
              <w:rPr>
                <w:b/>
              </w:rPr>
            </w:pPr>
            <w:r w:rsidRPr="0005069E">
              <w:rPr>
                <w:b/>
              </w:rPr>
              <w:t>1937 (61 år)</w:t>
            </w:r>
          </w:p>
        </w:tc>
        <w:tc>
          <w:tcPr>
            <w:tcW w:w="1134" w:type="dxa"/>
          </w:tcPr>
          <w:p w:rsidR="00D472BD" w:rsidRPr="0005069E" w:rsidRDefault="00D472BD">
            <w:pPr>
              <w:pStyle w:val="Normaltindrag"/>
              <w:spacing w:before="60" w:after="60" w:line="240" w:lineRule="auto"/>
              <w:ind w:firstLine="0"/>
              <w:jc w:val="center"/>
            </w:pPr>
            <w:r w:rsidRPr="0005069E">
              <w:t>45,1</w:t>
            </w:r>
          </w:p>
        </w:tc>
        <w:tc>
          <w:tcPr>
            <w:tcW w:w="1338" w:type="dxa"/>
          </w:tcPr>
          <w:p w:rsidR="00D472BD" w:rsidRPr="0005069E" w:rsidRDefault="00D472BD">
            <w:pPr>
              <w:pStyle w:val="Normaltindrag"/>
              <w:spacing w:before="60" w:after="60" w:line="240" w:lineRule="auto"/>
              <w:ind w:firstLine="0"/>
              <w:jc w:val="center"/>
            </w:pPr>
            <w:r w:rsidRPr="0005069E">
              <w:t>53,2</w:t>
            </w:r>
          </w:p>
        </w:tc>
        <w:tc>
          <w:tcPr>
            <w:tcW w:w="1509" w:type="dxa"/>
          </w:tcPr>
          <w:p w:rsidR="00D472BD" w:rsidRPr="0005069E" w:rsidRDefault="00D472BD">
            <w:pPr>
              <w:pStyle w:val="Normaltindrag"/>
              <w:spacing w:before="60" w:after="60" w:line="240" w:lineRule="auto"/>
              <w:ind w:firstLine="0"/>
              <w:jc w:val="center"/>
            </w:pPr>
            <w:r w:rsidRPr="0005069E">
              <w:t>48,3</w:t>
            </w:r>
          </w:p>
        </w:tc>
      </w:tr>
      <w:tr w:rsidR="00000000" w:rsidRPr="0005069E">
        <w:tblPrEx>
          <w:tblCellMar>
            <w:top w:w="0" w:type="dxa"/>
            <w:bottom w:w="0" w:type="dxa"/>
          </w:tblCellMar>
        </w:tblPrEx>
        <w:tc>
          <w:tcPr>
            <w:tcW w:w="1985" w:type="dxa"/>
            <w:shd w:val="pct5" w:color="auto" w:fill="auto"/>
          </w:tcPr>
          <w:p w:rsidR="00D472BD" w:rsidRPr="0005069E" w:rsidRDefault="00D472BD">
            <w:pPr>
              <w:pStyle w:val="Normaltindrag"/>
              <w:spacing w:before="60" w:after="60" w:line="240" w:lineRule="auto"/>
              <w:ind w:firstLine="0"/>
              <w:jc w:val="center"/>
              <w:rPr>
                <w:b/>
              </w:rPr>
            </w:pPr>
            <w:r w:rsidRPr="0005069E">
              <w:rPr>
                <w:b/>
              </w:rPr>
              <w:t>1936 (62 år)</w:t>
            </w:r>
          </w:p>
        </w:tc>
        <w:tc>
          <w:tcPr>
            <w:tcW w:w="1134" w:type="dxa"/>
          </w:tcPr>
          <w:p w:rsidR="00D472BD" w:rsidRPr="0005069E" w:rsidRDefault="00D472BD">
            <w:pPr>
              <w:pStyle w:val="Normaltindrag"/>
              <w:spacing w:before="60" w:after="60" w:line="240" w:lineRule="auto"/>
              <w:ind w:firstLine="0"/>
              <w:jc w:val="center"/>
            </w:pPr>
            <w:r w:rsidRPr="0005069E">
              <w:t>39,7</w:t>
            </w:r>
          </w:p>
        </w:tc>
        <w:tc>
          <w:tcPr>
            <w:tcW w:w="1338" w:type="dxa"/>
          </w:tcPr>
          <w:p w:rsidR="00D472BD" w:rsidRPr="0005069E" w:rsidRDefault="00D472BD">
            <w:pPr>
              <w:pStyle w:val="Normaltindrag"/>
              <w:spacing w:before="60" w:after="60" w:line="240" w:lineRule="auto"/>
              <w:ind w:firstLine="0"/>
              <w:jc w:val="center"/>
            </w:pPr>
            <w:r w:rsidRPr="0005069E">
              <w:t>47,9</w:t>
            </w:r>
          </w:p>
        </w:tc>
        <w:tc>
          <w:tcPr>
            <w:tcW w:w="1509" w:type="dxa"/>
          </w:tcPr>
          <w:p w:rsidR="00D472BD" w:rsidRPr="0005069E" w:rsidRDefault="00D472BD">
            <w:pPr>
              <w:pStyle w:val="Normaltindrag"/>
              <w:spacing w:before="60" w:after="60" w:line="240" w:lineRule="auto"/>
              <w:ind w:firstLine="0"/>
              <w:jc w:val="center"/>
            </w:pPr>
            <w:r w:rsidRPr="0005069E">
              <w:t>42,8</w:t>
            </w:r>
          </w:p>
        </w:tc>
      </w:tr>
      <w:tr w:rsidR="00000000" w:rsidRPr="0005069E">
        <w:tblPrEx>
          <w:tblCellMar>
            <w:top w:w="0" w:type="dxa"/>
            <w:bottom w:w="0" w:type="dxa"/>
          </w:tblCellMar>
        </w:tblPrEx>
        <w:tc>
          <w:tcPr>
            <w:tcW w:w="1985" w:type="dxa"/>
            <w:shd w:val="pct5" w:color="auto" w:fill="auto"/>
          </w:tcPr>
          <w:p w:rsidR="00D472BD" w:rsidRPr="0005069E" w:rsidRDefault="00D472BD">
            <w:pPr>
              <w:pStyle w:val="Normaltindrag"/>
              <w:spacing w:before="60" w:after="60" w:line="240" w:lineRule="auto"/>
              <w:ind w:firstLine="0"/>
              <w:jc w:val="center"/>
              <w:rPr>
                <w:b/>
              </w:rPr>
            </w:pPr>
            <w:r w:rsidRPr="0005069E">
              <w:rPr>
                <w:b/>
              </w:rPr>
              <w:t>1935 (63 år)</w:t>
            </w:r>
          </w:p>
        </w:tc>
        <w:tc>
          <w:tcPr>
            <w:tcW w:w="1134" w:type="dxa"/>
          </w:tcPr>
          <w:p w:rsidR="00D472BD" w:rsidRPr="0005069E" w:rsidRDefault="00D472BD">
            <w:pPr>
              <w:pStyle w:val="Normaltindrag"/>
              <w:spacing w:before="60" w:after="60" w:line="240" w:lineRule="auto"/>
              <w:ind w:firstLine="0"/>
              <w:jc w:val="center"/>
            </w:pPr>
            <w:r w:rsidRPr="0005069E">
              <w:t>32,6</w:t>
            </w:r>
          </w:p>
        </w:tc>
        <w:tc>
          <w:tcPr>
            <w:tcW w:w="1338" w:type="dxa"/>
          </w:tcPr>
          <w:p w:rsidR="00D472BD" w:rsidRPr="0005069E" w:rsidRDefault="00D472BD">
            <w:pPr>
              <w:pStyle w:val="Normaltindrag"/>
              <w:spacing w:before="60" w:after="60" w:line="240" w:lineRule="auto"/>
              <w:ind w:firstLine="0"/>
              <w:jc w:val="center"/>
            </w:pPr>
            <w:r w:rsidRPr="0005069E">
              <w:t>38,9</w:t>
            </w:r>
          </w:p>
        </w:tc>
        <w:tc>
          <w:tcPr>
            <w:tcW w:w="1509" w:type="dxa"/>
          </w:tcPr>
          <w:p w:rsidR="00D472BD" w:rsidRPr="0005069E" w:rsidRDefault="00D472BD">
            <w:pPr>
              <w:pStyle w:val="Normaltindrag"/>
              <w:spacing w:before="60" w:after="60" w:line="240" w:lineRule="auto"/>
              <w:ind w:firstLine="0"/>
              <w:jc w:val="center"/>
            </w:pPr>
            <w:r w:rsidRPr="0005069E">
              <w:t>35,6</w:t>
            </w:r>
          </w:p>
        </w:tc>
      </w:tr>
      <w:tr w:rsidR="00000000" w:rsidRPr="0005069E">
        <w:tblPrEx>
          <w:tblCellMar>
            <w:top w:w="0" w:type="dxa"/>
            <w:bottom w:w="0" w:type="dxa"/>
          </w:tblCellMar>
        </w:tblPrEx>
        <w:tc>
          <w:tcPr>
            <w:tcW w:w="1985" w:type="dxa"/>
            <w:shd w:val="pct5" w:color="auto" w:fill="auto"/>
          </w:tcPr>
          <w:p w:rsidR="00D472BD" w:rsidRPr="0005069E" w:rsidRDefault="00D472BD">
            <w:pPr>
              <w:pStyle w:val="Normaltindrag"/>
              <w:spacing w:before="60" w:after="60" w:line="240" w:lineRule="auto"/>
              <w:ind w:firstLine="0"/>
              <w:jc w:val="center"/>
              <w:rPr>
                <w:b/>
              </w:rPr>
            </w:pPr>
            <w:r w:rsidRPr="0005069E">
              <w:rPr>
                <w:b/>
              </w:rPr>
              <w:t>1934 (64 år)</w:t>
            </w:r>
          </w:p>
        </w:tc>
        <w:tc>
          <w:tcPr>
            <w:tcW w:w="1134" w:type="dxa"/>
          </w:tcPr>
          <w:p w:rsidR="00D472BD" w:rsidRPr="0005069E" w:rsidRDefault="00D472BD">
            <w:pPr>
              <w:pStyle w:val="Normaltindrag"/>
              <w:spacing w:before="60" w:after="60" w:line="240" w:lineRule="auto"/>
              <w:ind w:firstLine="0"/>
              <w:jc w:val="center"/>
            </w:pPr>
            <w:r w:rsidRPr="0005069E">
              <w:t>27,5</w:t>
            </w:r>
          </w:p>
        </w:tc>
        <w:tc>
          <w:tcPr>
            <w:tcW w:w="1338" w:type="dxa"/>
          </w:tcPr>
          <w:p w:rsidR="00D472BD" w:rsidRPr="0005069E" w:rsidRDefault="00D472BD">
            <w:pPr>
              <w:pStyle w:val="Normaltindrag"/>
              <w:spacing w:before="60" w:after="60" w:line="240" w:lineRule="auto"/>
              <w:ind w:firstLine="0"/>
              <w:jc w:val="center"/>
            </w:pPr>
            <w:r w:rsidRPr="0005069E">
              <w:t>35,1</w:t>
            </w:r>
          </w:p>
        </w:tc>
        <w:tc>
          <w:tcPr>
            <w:tcW w:w="1509" w:type="dxa"/>
          </w:tcPr>
          <w:p w:rsidR="00D472BD" w:rsidRPr="0005069E" w:rsidRDefault="00D472BD">
            <w:pPr>
              <w:pStyle w:val="Normaltindrag"/>
              <w:spacing w:before="60" w:after="60" w:line="240" w:lineRule="auto"/>
              <w:ind w:firstLine="0"/>
              <w:jc w:val="center"/>
            </w:pPr>
            <w:r w:rsidRPr="0005069E">
              <w:t>30,3</w:t>
            </w:r>
          </w:p>
        </w:tc>
      </w:tr>
    </w:tbl>
    <w:p w:rsidR="00D472BD" w:rsidRPr="0005069E" w:rsidRDefault="00D472BD">
      <w:pPr>
        <w:pStyle w:val="Normaltindrag"/>
      </w:pPr>
    </w:p>
    <w:p w:rsidR="00D472BD" w:rsidRPr="0005069E" w:rsidRDefault="00D472BD">
      <w:r w:rsidRPr="0005069E">
        <w:t>Några av de faktorer som låg bakom kritiken i forskarrapporten är inte längre aktuella. Omstruktureringsarbetet inom statsförvaltningen har gått in i en något lugnare fas och varje myndighet bär nu det fulla kostnadsansvaret om de säger upp äldre personal. Frågor som rör den äldre arbetskraften ägnas nu särskild uppmärksamhet i det personalpolitiska arbetet inom Regeringskan</w:t>
      </w:r>
      <w:r w:rsidRPr="0005069E">
        <w:t>s</w:t>
      </w:r>
      <w:r w:rsidRPr="0005069E">
        <w:t>liet.</w:t>
      </w:r>
    </w:p>
    <w:p w:rsidR="00D472BD" w:rsidRPr="0005069E" w:rsidRDefault="00D472BD">
      <w:pPr>
        <w:pStyle w:val="Normaltindrag"/>
      </w:pPr>
      <w:r w:rsidRPr="0005069E">
        <w:t>Inom vissa statliga verksamhetsområden gäller alltjämt en lägre pension</w:t>
      </w:r>
      <w:r w:rsidRPr="0005069E">
        <w:t>s</w:t>
      </w:r>
      <w:r w:rsidRPr="0005069E">
        <w:t>ålder än 65 år. Några av dessa områden kan betraktas som specialfall (t.ex. officerare och flygledare), andra omfattas fortfarande av övergångsregler från tidigare avtal. Krav på lägre pensionsålder än 65 år har allt oftare rests inte bara inom det statliga området.</w:t>
      </w:r>
    </w:p>
    <w:p w:rsidR="00D472BD" w:rsidRPr="0005069E" w:rsidRDefault="00D472BD">
      <w:pPr>
        <w:pStyle w:val="Normaltindrag"/>
      </w:pPr>
    </w:p>
    <w:p w:rsidR="00D472BD" w:rsidRPr="0005069E" w:rsidRDefault="00D472BD">
      <w:pPr>
        <w:pStyle w:val="Rubrik3"/>
      </w:pPr>
      <w:r w:rsidRPr="0005069E">
        <w:t>”Äldreavgångarna”</w:t>
      </w:r>
    </w:p>
    <w:p w:rsidR="00D472BD" w:rsidRPr="0005069E" w:rsidRDefault="00D472BD">
      <w:bookmarkStart w:id="23" w:name="_Toc367677376"/>
      <w:r w:rsidRPr="0005069E">
        <w:t>Ett problem som uppmärksammas i forskarrapporten är nya former av tidig pensionering (s.k. äldreavgångar) som innebär att andra ersättningssystem, främst arbetslöshetsförsäkringen, utnyttjas fram till normal ålderspension eller avtalspensi</w:t>
      </w:r>
      <w:r w:rsidRPr="0005069E">
        <w:t>o</w:t>
      </w:r>
      <w:r w:rsidRPr="0005069E">
        <w:t xml:space="preserve">nering. </w:t>
      </w:r>
    </w:p>
    <w:p w:rsidR="00D472BD" w:rsidRPr="0005069E" w:rsidRDefault="00D472BD">
      <w:pPr>
        <w:pStyle w:val="Normaltindrag"/>
      </w:pPr>
      <w:r w:rsidRPr="0005069E">
        <w:t>Begreppet äldreavgångar används vanligen som beskrivning på persona</w:t>
      </w:r>
      <w:r w:rsidRPr="0005069E">
        <w:t>l</w:t>
      </w:r>
      <w:r w:rsidRPr="0005069E">
        <w:t>neddragningar där äldre arbetstagare avgår i förtid för att arbetsgivaren ska kunna behålla yngre personal. Som ett led i överenskommelsen ingår att den som sagts upp ska skriva in sig vid arbetsförmedlingen och uppbära a-kassa. Vanligtvis men inte alltid innebär det att fack och arbetsgivare kommer överens om att göra avsteg från turordningsreglerna. Ofta presenteras arbet</w:t>
      </w:r>
      <w:r w:rsidRPr="0005069E">
        <w:t>s</w:t>
      </w:r>
      <w:r w:rsidRPr="0005069E">
        <w:t>givarens bud som ett pensionserbjudande, där anställda över en viss ålder får välja mellan ”pension” eller att arbeta kvar.</w:t>
      </w:r>
    </w:p>
    <w:p w:rsidR="00D472BD" w:rsidRPr="0005069E" w:rsidRDefault="00D472BD">
      <w:pPr>
        <w:pStyle w:val="Normaltindrag"/>
      </w:pPr>
      <w:r w:rsidRPr="0005069E">
        <w:t>Utöver des</w:t>
      </w:r>
      <w:r w:rsidRPr="0005069E">
        <w:t>sa äldreavgångar finns det andra fall där ersättning från a-kassa utnyttjas för personer som dragit sig tillbaka från arbetslivet före den ordin</w:t>
      </w:r>
      <w:r w:rsidRPr="0005069E">
        <w:t>a</w:t>
      </w:r>
      <w:r w:rsidRPr="0005069E">
        <w:t>rie pensionsåldern. Här finns i huvudsak tre varianter. Personer som avgår med avtalspension före 65 år och som kan höja sin inkomst genom att toppa upp pensionen (max 65 % av tidigare lön) med a-kassa (max 80 % av tidig</w:t>
      </w:r>
      <w:r w:rsidRPr="0005069E">
        <w:t>a</w:t>
      </w:r>
      <w:r w:rsidRPr="0005069E">
        <w:t xml:space="preserve">re lön). Personer som avgått på egen begäran (”stämplat ut”) före 65 års ålder samt personer som beviljats pensionsersättning från staten men som </w:t>
      </w:r>
      <w:r w:rsidRPr="0005069E">
        <w:t>väljer a-kassa i stället för att få högre inkomst (s.k. vilande pensionsersättning). Ett specialfall är personer som inte har full pension och därför skrivit in sig vid arbetsförmedlingen för att få behålla sin sjukpenningklass utan att göra a</w:t>
      </w:r>
      <w:r w:rsidRPr="0005069E">
        <w:t>n</w:t>
      </w:r>
      <w:r w:rsidRPr="0005069E">
        <w:t>språk på a-kasseersättning. Det är också möjligt även för personer som gjort förtida uttag av pension att skriva in sig vid arbetsförmedlingen för att toppa upp i</w:t>
      </w:r>
      <w:r w:rsidRPr="0005069E">
        <w:t>n</w:t>
      </w:r>
      <w:r w:rsidRPr="0005069E">
        <w:t>komsten.</w:t>
      </w:r>
    </w:p>
    <w:p w:rsidR="00D472BD" w:rsidRPr="0005069E" w:rsidRDefault="00D472BD">
      <w:pPr>
        <w:pStyle w:val="Normaltindrag"/>
      </w:pPr>
      <w:r w:rsidRPr="0005069E">
        <w:t>Samtliga dessa grupper är arbetssökande och inskrivna vid arbetsförme</w:t>
      </w:r>
      <w:r w:rsidRPr="0005069E">
        <w:t>d</w:t>
      </w:r>
      <w:r w:rsidRPr="0005069E">
        <w:t>lingen. Arbetslöshetsförsäkringens arbetsvillkor och kraven på att stå till arbetsmarknadens förfogande gäller fullt ut även i de fall då personerna uppbär pension. Detta innebär att de är skyldiga att acceptera arbete eller åtgärd som anvisas av arbetsförmedling. De som inte uppfyller dessa villkor riskerar avstängning i maximalt 45 dagar.</w:t>
      </w:r>
    </w:p>
    <w:p w:rsidR="00D472BD" w:rsidRPr="0005069E" w:rsidRDefault="00D472BD">
      <w:pPr>
        <w:pStyle w:val="Normaltindrag"/>
      </w:pPr>
      <w:r w:rsidRPr="0005069E">
        <w:t>Enligt den enkät som Riksdagens revisorer tillställde samtliga länsarbet</w:t>
      </w:r>
      <w:r w:rsidRPr="0005069E">
        <w:t>s</w:t>
      </w:r>
      <w:r w:rsidRPr="0005069E">
        <w:t>nämnder uppskattas att av dem som fanns inskrivna vid arbetsförmedlingen vid årsskiftet 1999/2000 hade knappt 7 400 personer lämnat sin tidigare anställning i samband med äldreavgångar. Detta motsvarar drygt en fjärdedel av samtliga arbetslösa i åldersgruppen 60 till 64 år. Femton länsarbetsnäm</w:t>
      </w:r>
      <w:r w:rsidRPr="0005069E">
        <w:t>n</w:t>
      </w:r>
      <w:r w:rsidRPr="0005069E">
        <w:t>der inkom med svar fördelade på kön, ålder och sektor från alla eller en del av sina arbetsförmedlingar. Från dessa svar kan man utläsa (se tabell 5) att två tredjedelar av dem som blivit arbetslösa i samband med äl</w:t>
      </w:r>
      <w:r w:rsidRPr="0005069E">
        <w:t>dreavgångarna kommer från den privata sektorn och återstoden från den offentliga sektorn (främst kommuner och landsting). Av de förklaringar och kommentarer som bifogats svaren från länsarbetsnämnder och arbetsförmedlingar framgår att man inte klassificerat en person som en äldreavgång om man inte varit helt säker på sin sak. Uppskattningen innebär därför sannolikt en viss underskat</w:t>
      </w:r>
      <w:r w:rsidRPr="0005069E">
        <w:t>t</w:t>
      </w:r>
      <w:r w:rsidRPr="0005069E">
        <w:t xml:space="preserve">ning av det verkliga antalet. </w:t>
      </w:r>
    </w:p>
    <w:p w:rsidR="00D472BD" w:rsidRPr="0005069E" w:rsidRDefault="00D472BD">
      <w:pPr>
        <w:pStyle w:val="Normaltindrag"/>
      </w:pPr>
    </w:p>
    <w:p w:rsidR="00D472BD" w:rsidRPr="0005069E" w:rsidRDefault="00D472BD">
      <w:pPr>
        <w:pStyle w:val="Normaltindrag"/>
        <w:ind w:firstLine="0"/>
        <w:rPr>
          <w:b/>
        </w:rPr>
      </w:pPr>
      <w:r w:rsidRPr="0005069E">
        <w:rPr>
          <w:b/>
        </w:rPr>
        <w:t xml:space="preserve">Tabell 5: </w:t>
      </w:r>
      <w:r w:rsidRPr="0005069E">
        <w:t>Antal arbetssökande som avgått i samband med ”äldreavgångar”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6"/>
        <w:gridCol w:w="765"/>
        <w:gridCol w:w="993"/>
        <w:gridCol w:w="850"/>
        <w:gridCol w:w="992"/>
        <w:gridCol w:w="1276"/>
      </w:tblGrid>
      <w:tr w:rsidR="00000000" w:rsidRPr="0005069E">
        <w:tblPrEx>
          <w:tblCellMar>
            <w:top w:w="0" w:type="dxa"/>
            <w:bottom w:w="0" w:type="dxa"/>
          </w:tblCellMar>
        </w:tblPrEx>
        <w:trPr>
          <w:cantSplit/>
          <w:trHeight w:val="387"/>
        </w:trPr>
        <w:tc>
          <w:tcPr>
            <w:tcW w:w="936" w:type="dxa"/>
            <w:shd w:val="pct5" w:color="auto" w:fill="auto"/>
          </w:tcPr>
          <w:p w:rsidR="00D472BD" w:rsidRPr="0005069E" w:rsidRDefault="00D472BD">
            <w:pPr>
              <w:pStyle w:val="Normaltindrag"/>
              <w:spacing w:before="60" w:after="60" w:line="240" w:lineRule="auto"/>
              <w:ind w:firstLine="0"/>
              <w:jc w:val="center"/>
              <w:rPr>
                <w:b/>
              </w:rPr>
            </w:pPr>
          </w:p>
        </w:tc>
        <w:tc>
          <w:tcPr>
            <w:tcW w:w="1758" w:type="dxa"/>
            <w:gridSpan w:val="2"/>
            <w:shd w:val="pct5" w:color="auto" w:fill="auto"/>
          </w:tcPr>
          <w:p w:rsidR="00D472BD" w:rsidRPr="0005069E" w:rsidRDefault="00D472BD">
            <w:pPr>
              <w:pStyle w:val="Normaltindrag"/>
              <w:spacing w:before="60" w:after="60" w:line="240" w:lineRule="auto"/>
              <w:ind w:firstLine="0"/>
              <w:jc w:val="center"/>
              <w:rPr>
                <w:b/>
              </w:rPr>
            </w:pPr>
            <w:r w:rsidRPr="0005069E">
              <w:rPr>
                <w:b/>
              </w:rPr>
              <w:t>Från privat sektor</w:t>
            </w:r>
          </w:p>
        </w:tc>
        <w:tc>
          <w:tcPr>
            <w:tcW w:w="1842" w:type="dxa"/>
            <w:gridSpan w:val="2"/>
            <w:shd w:val="pct5" w:color="auto" w:fill="auto"/>
          </w:tcPr>
          <w:p w:rsidR="00D472BD" w:rsidRPr="0005069E" w:rsidRDefault="00D472BD">
            <w:pPr>
              <w:pStyle w:val="Normaltindrag"/>
              <w:spacing w:before="60" w:after="60" w:line="240" w:lineRule="auto"/>
              <w:ind w:firstLine="0"/>
              <w:jc w:val="center"/>
              <w:rPr>
                <w:b/>
              </w:rPr>
            </w:pPr>
            <w:r w:rsidRPr="0005069E">
              <w:rPr>
                <w:b/>
              </w:rPr>
              <w:t>Från offentlig sektor</w:t>
            </w:r>
          </w:p>
        </w:tc>
        <w:tc>
          <w:tcPr>
            <w:tcW w:w="1276" w:type="dxa"/>
            <w:vMerge w:val="restart"/>
            <w:shd w:val="pct5" w:color="auto" w:fill="auto"/>
          </w:tcPr>
          <w:p w:rsidR="00D472BD" w:rsidRPr="0005069E" w:rsidRDefault="00D472BD">
            <w:pPr>
              <w:pStyle w:val="Normaltindrag"/>
              <w:spacing w:before="60" w:after="60"/>
              <w:ind w:firstLine="0"/>
              <w:jc w:val="center"/>
              <w:rPr>
                <w:b/>
              </w:rPr>
            </w:pPr>
            <w:r w:rsidRPr="0005069E">
              <w:rPr>
                <w:b/>
              </w:rPr>
              <w:t>SAMTL</w:t>
            </w:r>
            <w:r w:rsidRPr="0005069E">
              <w:rPr>
                <w:b/>
              </w:rPr>
              <w:t>I</w:t>
            </w:r>
            <w:r w:rsidRPr="0005069E">
              <w:rPr>
                <w:b/>
              </w:rPr>
              <w:t>GA</w:t>
            </w:r>
          </w:p>
        </w:tc>
      </w:tr>
      <w:tr w:rsidR="00000000" w:rsidRPr="0005069E">
        <w:tblPrEx>
          <w:tblCellMar>
            <w:top w:w="0" w:type="dxa"/>
            <w:bottom w:w="0" w:type="dxa"/>
          </w:tblCellMar>
        </w:tblPrEx>
        <w:trPr>
          <w:cantSplit/>
        </w:trPr>
        <w:tc>
          <w:tcPr>
            <w:tcW w:w="936" w:type="dxa"/>
            <w:shd w:val="pct5" w:color="auto" w:fill="auto"/>
          </w:tcPr>
          <w:p w:rsidR="00D472BD" w:rsidRPr="0005069E" w:rsidRDefault="00D472BD">
            <w:pPr>
              <w:pStyle w:val="Normaltindrag"/>
              <w:spacing w:before="60" w:after="60" w:line="240" w:lineRule="auto"/>
              <w:ind w:firstLine="0"/>
              <w:jc w:val="center"/>
              <w:rPr>
                <w:b/>
              </w:rPr>
            </w:pPr>
            <w:r w:rsidRPr="0005069E">
              <w:rPr>
                <w:b/>
              </w:rPr>
              <w:t>Ålder</w:t>
            </w:r>
          </w:p>
        </w:tc>
        <w:tc>
          <w:tcPr>
            <w:tcW w:w="765" w:type="dxa"/>
            <w:shd w:val="pct5" w:color="auto" w:fill="auto"/>
          </w:tcPr>
          <w:p w:rsidR="00D472BD" w:rsidRPr="0005069E" w:rsidRDefault="00D472BD">
            <w:pPr>
              <w:pStyle w:val="Normaltindrag"/>
              <w:spacing w:before="60" w:after="60" w:line="240" w:lineRule="auto"/>
              <w:ind w:firstLine="0"/>
              <w:jc w:val="center"/>
              <w:rPr>
                <w:b/>
              </w:rPr>
            </w:pPr>
            <w:r w:rsidRPr="0005069E">
              <w:rPr>
                <w:b/>
              </w:rPr>
              <w:t>Män</w:t>
            </w:r>
          </w:p>
        </w:tc>
        <w:tc>
          <w:tcPr>
            <w:tcW w:w="993" w:type="dxa"/>
            <w:shd w:val="pct5" w:color="auto" w:fill="auto"/>
          </w:tcPr>
          <w:p w:rsidR="00D472BD" w:rsidRPr="0005069E" w:rsidRDefault="00D472BD">
            <w:pPr>
              <w:pStyle w:val="Normaltindrag"/>
              <w:spacing w:before="60" w:after="60" w:line="240" w:lineRule="auto"/>
              <w:ind w:firstLine="0"/>
              <w:jc w:val="center"/>
              <w:rPr>
                <w:b/>
              </w:rPr>
            </w:pPr>
            <w:r w:rsidRPr="0005069E">
              <w:rPr>
                <w:b/>
              </w:rPr>
              <w:t>Kvinnor</w:t>
            </w:r>
          </w:p>
        </w:tc>
        <w:tc>
          <w:tcPr>
            <w:tcW w:w="850" w:type="dxa"/>
            <w:shd w:val="pct5" w:color="auto" w:fill="auto"/>
          </w:tcPr>
          <w:p w:rsidR="00D472BD" w:rsidRPr="0005069E" w:rsidRDefault="00D472BD">
            <w:pPr>
              <w:pStyle w:val="Normaltindrag"/>
              <w:spacing w:before="60" w:after="60" w:line="240" w:lineRule="auto"/>
              <w:ind w:firstLine="0"/>
              <w:jc w:val="center"/>
              <w:rPr>
                <w:b/>
              </w:rPr>
            </w:pPr>
            <w:r w:rsidRPr="0005069E">
              <w:rPr>
                <w:b/>
              </w:rPr>
              <w:t>Män</w:t>
            </w:r>
          </w:p>
        </w:tc>
        <w:tc>
          <w:tcPr>
            <w:tcW w:w="992" w:type="dxa"/>
            <w:shd w:val="pct5" w:color="auto" w:fill="auto"/>
          </w:tcPr>
          <w:p w:rsidR="00D472BD" w:rsidRPr="0005069E" w:rsidRDefault="00D472BD">
            <w:pPr>
              <w:pStyle w:val="Normaltindrag"/>
              <w:spacing w:before="60" w:after="60" w:line="240" w:lineRule="auto"/>
              <w:ind w:firstLine="0"/>
              <w:jc w:val="center"/>
              <w:rPr>
                <w:b/>
              </w:rPr>
            </w:pPr>
            <w:r w:rsidRPr="0005069E">
              <w:rPr>
                <w:b/>
              </w:rPr>
              <w:t>Kvinnor</w:t>
            </w:r>
          </w:p>
        </w:tc>
        <w:tc>
          <w:tcPr>
            <w:tcW w:w="1276" w:type="dxa"/>
            <w:vMerge/>
            <w:shd w:val="pct5" w:color="auto" w:fill="auto"/>
          </w:tcPr>
          <w:p w:rsidR="00D472BD" w:rsidRPr="0005069E" w:rsidRDefault="00D472BD">
            <w:pPr>
              <w:pStyle w:val="Normaltindrag"/>
              <w:spacing w:before="60" w:after="60" w:line="240" w:lineRule="auto"/>
              <w:ind w:firstLine="0"/>
              <w:jc w:val="center"/>
              <w:rPr>
                <w:b/>
              </w:rPr>
            </w:pPr>
          </w:p>
        </w:tc>
      </w:tr>
      <w:tr w:rsidR="00000000" w:rsidRPr="0005069E">
        <w:tblPrEx>
          <w:tblCellMar>
            <w:top w:w="0" w:type="dxa"/>
            <w:bottom w:w="0" w:type="dxa"/>
          </w:tblCellMar>
        </w:tblPrEx>
        <w:tc>
          <w:tcPr>
            <w:tcW w:w="936" w:type="dxa"/>
            <w:shd w:val="pct5" w:color="auto" w:fill="auto"/>
          </w:tcPr>
          <w:p w:rsidR="00D472BD" w:rsidRPr="0005069E" w:rsidRDefault="00D472BD">
            <w:pPr>
              <w:pStyle w:val="Normaltindrag"/>
              <w:spacing w:before="60" w:after="60" w:line="240" w:lineRule="auto"/>
              <w:ind w:firstLine="0"/>
              <w:jc w:val="center"/>
              <w:rPr>
                <w:b/>
              </w:rPr>
            </w:pPr>
            <w:r w:rsidRPr="0005069E">
              <w:rPr>
                <w:b/>
              </w:rPr>
              <w:t>55-59 år</w:t>
            </w:r>
          </w:p>
        </w:tc>
        <w:tc>
          <w:tcPr>
            <w:tcW w:w="765" w:type="dxa"/>
          </w:tcPr>
          <w:p w:rsidR="00D472BD" w:rsidRPr="0005069E" w:rsidRDefault="00D472BD">
            <w:pPr>
              <w:pStyle w:val="Normaltindrag"/>
              <w:spacing w:before="60" w:after="60" w:line="240" w:lineRule="auto"/>
              <w:ind w:firstLine="0"/>
              <w:jc w:val="center"/>
            </w:pPr>
            <w:r w:rsidRPr="0005069E">
              <w:t>177</w:t>
            </w:r>
          </w:p>
        </w:tc>
        <w:tc>
          <w:tcPr>
            <w:tcW w:w="993" w:type="dxa"/>
          </w:tcPr>
          <w:p w:rsidR="00D472BD" w:rsidRPr="0005069E" w:rsidRDefault="00D472BD">
            <w:pPr>
              <w:pStyle w:val="Normaltindrag"/>
              <w:spacing w:before="60" w:after="60" w:line="240" w:lineRule="auto"/>
              <w:ind w:firstLine="0"/>
              <w:jc w:val="center"/>
            </w:pPr>
            <w:r w:rsidRPr="0005069E">
              <w:t>84</w:t>
            </w:r>
          </w:p>
        </w:tc>
        <w:tc>
          <w:tcPr>
            <w:tcW w:w="850" w:type="dxa"/>
          </w:tcPr>
          <w:p w:rsidR="00D472BD" w:rsidRPr="0005069E" w:rsidRDefault="00D472BD">
            <w:pPr>
              <w:pStyle w:val="Normaltindrag"/>
              <w:spacing w:before="60" w:after="60" w:line="240" w:lineRule="auto"/>
              <w:ind w:firstLine="0"/>
              <w:jc w:val="center"/>
            </w:pPr>
            <w:r w:rsidRPr="0005069E">
              <w:t>109</w:t>
            </w:r>
          </w:p>
        </w:tc>
        <w:tc>
          <w:tcPr>
            <w:tcW w:w="992" w:type="dxa"/>
          </w:tcPr>
          <w:p w:rsidR="00D472BD" w:rsidRPr="0005069E" w:rsidRDefault="00D472BD">
            <w:pPr>
              <w:pStyle w:val="Normaltindrag"/>
              <w:spacing w:before="60" w:after="60" w:line="240" w:lineRule="auto"/>
              <w:ind w:firstLine="0"/>
              <w:jc w:val="center"/>
            </w:pPr>
            <w:r w:rsidRPr="0005069E">
              <w:t>41</w:t>
            </w:r>
          </w:p>
        </w:tc>
        <w:tc>
          <w:tcPr>
            <w:tcW w:w="1276" w:type="dxa"/>
          </w:tcPr>
          <w:p w:rsidR="00D472BD" w:rsidRPr="0005069E" w:rsidRDefault="00D472BD">
            <w:pPr>
              <w:pStyle w:val="Normaltindrag"/>
              <w:spacing w:before="60" w:after="60" w:line="240" w:lineRule="auto"/>
              <w:ind w:firstLine="0"/>
              <w:jc w:val="center"/>
            </w:pPr>
            <w:r w:rsidRPr="0005069E">
              <w:t>411</w:t>
            </w:r>
          </w:p>
        </w:tc>
      </w:tr>
      <w:tr w:rsidR="00000000" w:rsidRPr="0005069E">
        <w:tblPrEx>
          <w:tblCellMar>
            <w:top w:w="0" w:type="dxa"/>
            <w:bottom w:w="0" w:type="dxa"/>
          </w:tblCellMar>
        </w:tblPrEx>
        <w:tc>
          <w:tcPr>
            <w:tcW w:w="936" w:type="dxa"/>
            <w:shd w:val="pct5" w:color="auto" w:fill="auto"/>
          </w:tcPr>
          <w:p w:rsidR="00D472BD" w:rsidRPr="0005069E" w:rsidRDefault="00D472BD">
            <w:pPr>
              <w:pStyle w:val="Normaltindrag"/>
              <w:spacing w:before="60" w:after="60" w:line="240" w:lineRule="auto"/>
              <w:ind w:firstLine="0"/>
              <w:jc w:val="center"/>
              <w:rPr>
                <w:b/>
              </w:rPr>
            </w:pPr>
            <w:r w:rsidRPr="0005069E">
              <w:rPr>
                <w:b/>
              </w:rPr>
              <w:t>60 år</w:t>
            </w:r>
          </w:p>
        </w:tc>
        <w:tc>
          <w:tcPr>
            <w:tcW w:w="765" w:type="dxa"/>
          </w:tcPr>
          <w:p w:rsidR="00D472BD" w:rsidRPr="0005069E" w:rsidRDefault="00D472BD">
            <w:pPr>
              <w:pStyle w:val="Normaltindrag"/>
              <w:spacing w:before="60" w:after="60" w:line="240" w:lineRule="auto"/>
              <w:ind w:firstLine="0"/>
              <w:jc w:val="center"/>
            </w:pPr>
            <w:r w:rsidRPr="0005069E">
              <w:t>194</w:t>
            </w:r>
          </w:p>
        </w:tc>
        <w:tc>
          <w:tcPr>
            <w:tcW w:w="993" w:type="dxa"/>
          </w:tcPr>
          <w:p w:rsidR="00D472BD" w:rsidRPr="0005069E" w:rsidRDefault="00D472BD">
            <w:pPr>
              <w:pStyle w:val="Normaltindrag"/>
              <w:spacing w:before="60" w:after="60" w:line="240" w:lineRule="auto"/>
              <w:ind w:firstLine="0"/>
              <w:jc w:val="center"/>
            </w:pPr>
            <w:r w:rsidRPr="0005069E">
              <w:t>52</w:t>
            </w:r>
          </w:p>
        </w:tc>
        <w:tc>
          <w:tcPr>
            <w:tcW w:w="850" w:type="dxa"/>
          </w:tcPr>
          <w:p w:rsidR="00D472BD" w:rsidRPr="0005069E" w:rsidRDefault="00D472BD">
            <w:pPr>
              <w:pStyle w:val="Normaltindrag"/>
              <w:spacing w:before="60" w:after="60" w:line="240" w:lineRule="auto"/>
              <w:ind w:firstLine="0"/>
              <w:jc w:val="center"/>
            </w:pPr>
            <w:r w:rsidRPr="0005069E">
              <w:t>54</w:t>
            </w:r>
          </w:p>
        </w:tc>
        <w:tc>
          <w:tcPr>
            <w:tcW w:w="992" w:type="dxa"/>
          </w:tcPr>
          <w:p w:rsidR="00D472BD" w:rsidRPr="0005069E" w:rsidRDefault="00D472BD">
            <w:pPr>
              <w:pStyle w:val="Normaltindrag"/>
              <w:spacing w:before="60" w:after="60" w:line="240" w:lineRule="auto"/>
              <w:ind w:firstLine="0"/>
              <w:jc w:val="center"/>
            </w:pPr>
            <w:r w:rsidRPr="0005069E">
              <w:t>74</w:t>
            </w:r>
          </w:p>
        </w:tc>
        <w:tc>
          <w:tcPr>
            <w:tcW w:w="1276" w:type="dxa"/>
          </w:tcPr>
          <w:p w:rsidR="00D472BD" w:rsidRPr="0005069E" w:rsidRDefault="00D472BD">
            <w:pPr>
              <w:pStyle w:val="Normaltindrag"/>
              <w:spacing w:before="60" w:after="60" w:line="240" w:lineRule="auto"/>
              <w:ind w:firstLine="0"/>
              <w:jc w:val="center"/>
            </w:pPr>
            <w:r w:rsidRPr="0005069E">
              <w:t>374</w:t>
            </w:r>
          </w:p>
        </w:tc>
      </w:tr>
      <w:tr w:rsidR="00000000" w:rsidRPr="0005069E">
        <w:tblPrEx>
          <w:tblCellMar>
            <w:top w:w="0" w:type="dxa"/>
            <w:bottom w:w="0" w:type="dxa"/>
          </w:tblCellMar>
        </w:tblPrEx>
        <w:tc>
          <w:tcPr>
            <w:tcW w:w="936" w:type="dxa"/>
            <w:shd w:val="pct5" w:color="auto" w:fill="auto"/>
          </w:tcPr>
          <w:p w:rsidR="00D472BD" w:rsidRPr="0005069E" w:rsidRDefault="00D472BD">
            <w:pPr>
              <w:pStyle w:val="Normaltindrag"/>
              <w:spacing w:before="60" w:after="60" w:line="240" w:lineRule="auto"/>
              <w:ind w:firstLine="0"/>
              <w:jc w:val="center"/>
              <w:rPr>
                <w:b/>
              </w:rPr>
            </w:pPr>
            <w:r w:rsidRPr="0005069E">
              <w:rPr>
                <w:b/>
              </w:rPr>
              <w:t>61 år</w:t>
            </w:r>
          </w:p>
        </w:tc>
        <w:tc>
          <w:tcPr>
            <w:tcW w:w="765" w:type="dxa"/>
          </w:tcPr>
          <w:p w:rsidR="00D472BD" w:rsidRPr="0005069E" w:rsidRDefault="00D472BD">
            <w:pPr>
              <w:pStyle w:val="Normaltindrag"/>
              <w:spacing w:before="60" w:after="60" w:line="240" w:lineRule="auto"/>
              <w:ind w:firstLine="0"/>
              <w:jc w:val="center"/>
            </w:pPr>
            <w:r w:rsidRPr="0005069E">
              <w:t>295</w:t>
            </w:r>
          </w:p>
        </w:tc>
        <w:tc>
          <w:tcPr>
            <w:tcW w:w="993" w:type="dxa"/>
          </w:tcPr>
          <w:p w:rsidR="00D472BD" w:rsidRPr="0005069E" w:rsidRDefault="00D472BD">
            <w:pPr>
              <w:pStyle w:val="Normaltindrag"/>
              <w:spacing w:before="60" w:after="60" w:line="240" w:lineRule="auto"/>
              <w:ind w:firstLine="0"/>
              <w:jc w:val="center"/>
            </w:pPr>
            <w:r w:rsidRPr="0005069E">
              <w:t>78</w:t>
            </w:r>
          </w:p>
        </w:tc>
        <w:tc>
          <w:tcPr>
            <w:tcW w:w="850" w:type="dxa"/>
          </w:tcPr>
          <w:p w:rsidR="00D472BD" w:rsidRPr="0005069E" w:rsidRDefault="00D472BD">
            <w:pPr>
              <w:pStyle w:val="Normaltindrag"/>
              <w:spacing w:before="60" w:after="60" w:line="240" w:lineRule="auto"/>
              <w:ind w:firstLine="0"/>
              <w:jc w:val="center"/>
            </w:pPr>
            <w:r w:rsidRPr="0005069E">
              <w:t>51</w:t>
            </w:r>
          </w:p>
        </w:tc>
        <w:tc>
          <w:tcPr>
            <w:tcW w:w="992" w:type="dxa"/>
          </w:tcPr>
          <w:p w:rsidR="00D472BD" w:rsidRPr="0005069E" w:rsidRDefault="00D472BD">
            <w:pPr>
              <w:pStyle w:val="Normaltindrag"/>
              <w:spacing w:before="60" w:after="60" w:line="240" w:lineRule="auto"/>
              <w:ind w:firstLine="0"/>
              <w:jc w:val="center"/>
            </w:pPr>
            <w:r w:rsidRPr="0005069E">
              <w:t>88</w:t>
            </w:r>
          </w:p>
        </w:tc>
        <w:tc>
          <w:tcPr>
            <w:tcW w:w="1276" w:type="dxa"/>
          </w:tcPr>
          <w:p w:rsidR="00D472BD" w:rsidRPr="0005069E" w:rsidRDefault="00D472BD">
            <w:pPr>
              <w:pStyle w:val="Normaltindrag"/>
              <w:spacing w:before="60" w:after="60" w:line="240" w:lineRule="auto"/>
              <w:ind w:firstLine="0"/>
              <w:jc w:val="center"/>
            </w:pPr>
            <w:r w:rsidRPr="0005069E">
              <w:t>512</w:t>
            </w:r>
          </w:p>
        </w:tc>
      </w:tr>
      <w:tr w:rsidR="00000000" w:rsidRPr="0005069E">
        <w:tblPrEx>
          <w:tblCellMar>
            <w:top w:w="0" w:type="dxa"/>
            <w:bottom w:w="0" w:type="dxa"/>
          </w:tblCellMar>
        </w:tblPrEx>
        <w:tc>
          <w:tcPr>
            <w:tcW w:w="936" w:type="dxa"/>
            <w:shd w:val="pct5" w:color="auto" w:fill="auto"/>
          </w:tcPr>
          <w:p w:rsidR="00D472BD" w:rsidRPr="0005069E" w:rsidRDefault="00D472BD">
            <w:pPr>
              <w:pStyle w:val="Normaltindrag"/>
              <w:spacing w:before="60" w:after="60" w:line="240" w:lineRule="auto"/>
              <w:ind w:firstLine="0"/>
              <w:jc w:val="center"/>
              <w:rPr>
                <w:b/>
              </w:rPr>
            </w:pPr>
            <w:r w:rsidRPr="0005069E">
              <w:rPr>
                <w:b/>
              </w:rPr>
              <w:t>62 år</w:t>
            </w:r>
          </w:p>
        </w:tc>
        <w:tc>
          <w:tcPr>
            <w:tcW w:w="765" w:type="dxa"/>
          </w:tcPr>
          <w:p w:rsidR="00D472BD" w:rsidRPr="0005069E" w:rsidRDefault="00D472BD">
            <w:pPr>
              <w:pStyle w:val="Normaltindrag"/>
              <w:spacing w:before="60" w:after="60" w:line="240" w:lineRule="auto"/>
              <w:ind w:firstLine="0"/>
              <w:jc w:val="center"/>
            </w:pPr>
            <w:r w:rsidRPr="0005069E">
              <w:t>394</w:t>
            </w:r>
          </w:p>
        </w:tc>
        <w:tc>
          <w:tcPr>
            <w:tcW w:w="993" w:type="dxa"/>
          </w:tcPr>
          <w:p w:rsidR="00D472BD" w:rsidRPr="0005069E" w:rsidRDefault="00D472BD">
            <w:pPr>
              <w:pStyle w:val="Normaltindrag"/>
              <w:spacing w:before="60" w:after="60" w:line="240" w:lineRule="auto"/>
              <w:ind w:firstLine="0"/>
              <w:jc w:val="center"/>
            </w:pPr>
            <w:r w:rsidRPr="0005069E">
              <w:t>134</w:t>
            </w:r>
          </w:p>
        </w:tc>
        <w:tc>
          <w:tcPr>
            <w:tcW w:w="850" w:type="dxa"/>
          </w:tcPr>
          <w:p w:rsidR="00D472BD" w:rsidRPr="0005069E" w:rsidRDefault="00D472BD">
            <w:pPr>
              <w:pStyle w:val="Normaltindrag"/>
              <w:spacing w:before="60" w:after="60" w:line="240" w:lineRule="auto"/>
              <w:ind w:firstLine="0"/>
              <w:jc w:val="center"/>
            </w:pPr>
            <w:r w:rsidRPr="0005069E">
              <w:t>40</w:t>
            </w:r>
          </w:p>
        </w:tc>
        <w:tc>
          <w:tcPr>
            <w:tcW w:w="992" w:type="dxa"/>
          </w:tcPr>
          <w:p w:rsidR="00D472BD" w:rsidRPr="0005069E" w:rsidRDefault="00D472BD">
            <w:pPr>
              <w:pStyle w:val="Normaltindrag"/>
              <w:spacing w:before="60" w:after="60" w:line="240" w:lineRule="auto"/>
              <w:ind w:firstLine="0"/>
              <w:jc w:val="center"/>
            </w:pPr>
            <w:r w:rsidRPr="0005069E">
              <w:t>129</w:t>
            </w:r>
          </w:p>
        </w:tc>
        <w:tc>
          <w:tcPr>
            <w:tcW w:w="1276" w:type="dxa"/>
          </w:tcPr>
          <w:p w:rsidR="00D472BD" w:rsidRPr="0005069E" w:rsidRDefault="00D472BD">
            <w:pPr>
              <w:pStyle w:val="Normaltindrag"/>
              <w:spacing w:before="60" w:after="60" w:line="240" w:lineRule="auto"/>
              <w:ind w:firstLine="0"/>
              <w:jc w:val="center"/>
            </w:pPr>
            <w:r w:rsidRPr="0005069E">
              <w:t>697</w:t>
            </w:r>
          </w:p>
        </w:tc>
      </w:tr>
      <w:tr w:rsidR="00000000" w:rsidRPr="0005069E">
        <w:tblPrEx>
          <w:tblCellMar>
            <w:top w:w="0" w:type="dxa"/>
            <w:bottom w:w="0" w:type="dxa"/>
          </w:tblCellMar>
        </w:tblPrEx>
        <w:tc>
          <w:tcPr>
            <w:tcW w:w="936" w:type="dxa"/>
            <w:shd w:val="pct5" w:color="auto" w:fill="auto"/>
          </w:tcPr>
          <w:p w:rsidR="00D472BD" w:rsidRPr="0005069E" w:rsidRDefault="00D472BD">
            <w:pPr>
              <w:pStyle w:val="Normaltindrag"/>
              <w:spacing w:before="60" w:after="60" w:line="240" w:lineRule="auto"/>
              <w:ind w:firstLine="0"/>
              <w:jc w:val="center"/>
              <w:rPr>
                <w:b/>
              </w:rPr>
            </w:pPr>
            <w:r w:rsidRPr="0005069E">
              <w:rPr>
                <w:b/>
              </w:rPr>
              <w:t>63 år</w:t>
            </w:r>
          </w:p>
        </w:tc>
        <w:tc>
          <w:tcPr>
            <w:tcW w:w="765" w:type="dxa"/>
          </w:tcPr>
          <w:p w:rsidR="00D472BD" w:rsidRPr="0005069E" w:rsidRDefault="00D472BD">
            <w:pPr>
              <w:pStyle w:val="Normaltindrag"/>
              <w:spacing w:before="60" w:after="60" w:line="240" w:lineRule="auto"/>
              <w:ind w:firstLine="0"/>
              <w:jc w:val="center"/>
            </w:pPr>
            <w:r w:rsidRPr="0005069E">
              <w:t>415</w:t>
            </w:r>
          </w:p>
        </w:tc>
        <w:tc>
          <w:tcPr>
            <w:tcW w:w="993" w:type="dxa"/>
          </w:tcPr>
          <w:p w:rsidR="00D472BD" w:rsidRPr="0005069E" w:rsidRDefault="00D472BD">
            <w:pPr>
              <w:pStyle w:val="Normaltindrag"/>
              <w:spacing w:before="60" w:after="60" w:line="240" w:lineRule="auto"/>
              <w:ind w:firstLine="0"/>
              <w:jc w:val="center"/>
            </w:pPr>
            <w:r w:rsidRPr="0005069E">
              <w:t>126</w:t>
            </w:r>
          </w:p>
        </w:tc>
        <w:tc>
          <w:tcPr>
            <w:tcW w:w="850" w:type="dxa"/>
          </w:tcPr>
          <w:p w:rsidR="00D472BD" w:rsidRPr="0005069E" w:rsidRDefault="00D472BD">
            <w:pPr>
              <w:pStyle w:val="Normaltindrag"/>
              <w:spacing w:before="60" w:after="60" w:line="240" w:lineRule="auto"/>
              <w:ind w:firstLine="0"/>
              <w:jc w:val="center"/>
            </w:pPr>
            <w:r w:rsidRPr="0005069E">
              <w:t>52</w:t>
            </w:r>
          </w:p>
        </w:tc>
        <w:tc>
          <w:tcPr>
            <w:tcW w:w="992" w:type="dxa"/>
          </w:tcPr>
          <w:p w:rsidR="00D472BD" w:rsidRPr="0005069E" w:rsidRDefault="00D472BD">
            <w:pPr>
              <w:pStyle w:val="Normaltindrag"/>
              <w:spacing w:before="60" w:after="60" w:line="240" w:lineRule="auto"/>
              <w:ind w:firstLine="0"/>
              <w:jc w:val="center"/>
            </w:pPr>
            <w:r w:rsidRPr="0005069E">
              <w:t>219</w:t>
            </w:r>
          </w:p>
        </w:tc>
        <w:tc>
          <w:tcPr>
            <w:tcW w:w="1276" w:type="dxa"/>
          </w:tcPr>
          <w:p w:rsidR="00D472BD" w:rsidRPr="0005069E" w:rsidRDefault="00D472BD">
            <w:pPr>
              <w:pStyle w:val="Normaltindrag"/>
              <w:spacing w:before="60" w:after="60" w:line="240" w:lineRule="auto"/>
              <w:ind w:firstLine="0"/>
              <w:jc w:val="center"/>
            </w:pPr>
            <w:r w:rsidRPr="0005069E">
              <w:t>812</w:t>
            </w:r>
          </w:p>
        </w:tc>
      </w:tr>
      <w:tr w:rsidR="00000000" w:rsidRPr="0005069E">
        <w:tblPrEx>
          <w:tblCellMar>
            <w:top w:w="0" w:type="dxa"/>
            <w:bottom w:w="0" w:type="dxa"/>
          </w:tblCellMar>
        </w:tblPrEx>
        <w:tc>
          <w:tcPr>
            <w:tcW w:w="936" w:type="dxa"/>
            <w:shd w:val="pct5" w:color="auto" w:fill="auto"/>
          </w:tcPr>
          <w:p w:rsidR="00D472BD" w:rsidRPr="0005069E" w:rsidRDefault="00D472BD">
            <w:pPr>
              <w:pStyle w:val="Normaltindrag"/>
              <w:spacing w:before="60" w:after="60" w:line="240" w:lineRule="auto"/>
              <w:ind w:firstLine="0"/>
              <w:jc w:val="center"/>
              <w:rPr>
                <w:b/>
              </w:rPr>
            </w:pPr>
            <w:r w:rsidRPr="0005069E">
              <w:rPr>
                <w:b/>
              </w:rPr>
              <w:t>64 år</w:t>
            </w:r>
          </w:p>
        </w:tc>
        <w:tc>
          <w:tcPr>
            <w:tcW w:w="765" w:type="dxa"/>
          </w:tcPr>
          <w:p w:rsidR="00D472BD" w:rsidRPr="0005069E" w:rsidRDefault="00D472BD">
            <w:pPr>
              <w:pStyle w:val="Normaltindrag"/>
              <w:spacing w:before="60" w:after="60" w:line="240" w:lineRule="auto"/>
              <w:ind w:firstLine="0"/>
              <w:jc w:val="center"/>
            </w:pPr>
            <w:r w:rsidRPr="0005069E">
              <w:t>429</w:t>
            </w:r>
          </w:p>
        </w:tc>
        <w:tc>
          <w:tcPr>
            <w:tcW w:w="993" w:type="dxa"/>
          </w:tcPr>
          <w:p w:rsidR="00D472BD" w:rsidRPr="0005069E" w:rsidRDefault="00D472BD">
            <w:pPr>
              <w:pStyle w:val="Normaltindrag"/>
              <w:spacing w:before="60" w:after="60" w:line="240" w:lineRule="auto"/>
              <w:ind w:firstLine="0"/>
              <w:jc w:val="center"/>
            </w:pPr>
            <w:r w:rsidRPr="0005069E">
              <w:t>168</w:t>
            </w:r>
          </w:p>
        </w:tc>
        <w:tc>
          <w:tcPr>
            <w:tcW w:w="850" w:type="dxa"/>
          </w:tcPr>
          <w:p w:rsidR="00D472BD" w:rsidRPr="0005069E" w:rsidRDefault="00D472BD">
            <w:pPr>
              <w:pStyle w:val="Normaltindrag"/>
              <w:spacing w:before="60" w:after="60" w:line="240" w:lineRule="auto"/>
              <w:ind w:firstLine="0"/>
              <w:jc w:val="center"/>
            </w:pPr>
            <w:r w:rsidRPr="0005069E">
              <w:t>69</w:t>
            </w:r>
          </w:p>
        </w:tc>
        <w:tc>
          <w:tcPr>
            <w:tcW w:w="992" w:type="dxa"/>
          </w:tcPr>
          <w:p w:rsidR="00D472BD" w:rsidRPr="0005069E" w:rsidRDefault="00D472BD">
            <w:pPr>
              <w:pStyle w:val="Normaltindrag"/>
              <w:spacing w:before="60" w:after="60" w:line="240" w:lineRule="auto"/>
              <w:ind w:firstLine="0"/>
              <w:jc w:val="center"/>
            </w:pPr>
            <w:r w:rsidRPr="0005069E">
              <w:t>322</w:t>
            </w:r>
          </w:p>
        </w:tc>
        <w:tc>
          <w:tcPr>
            <w:tcW w:w="1276" w:type="dxa"/>
          </w:tcPr>
          <w:p w:rsidR="00D472BD" w:rsidRPr="0005069E" w:rsidRDefault="00D472BD">
            <w:pPr>
              <w:pStyle w:val="Normaltindrag"/>
              <w:spacing w:before="60" w:after="60" w:line="240" w:lineRule="auto"/>
              <w:ind w:firstLine="0"/>
              <w:jc w:val="center"/>
            </w:pPr>
            <w:r w:rsidRPr="0005069E">
              <w:t>968</w:t>
            </w:r>
          </w:p>
        </w:tc>
      </w:tr>
      <w:tr w:rsidR="00000000" w:rsidRPr="0005069E">
        <w:tblPrEx>
          <w:tblCellMar>
            <w:top w:w="0" w:type="dxa"/>
            <w:bottom w:w="0" w:type="dxa"/>
          </w:tblCellMar>
        </w:tblPrEx>
        <w:tc>
          <w:tcPr>
            <w:tcW w:w="936" w:type="dxa"/>
            <w:shd w:val="pct5" w:color="auto" w:fill="auto"/>
          </w:tcPr>
          <w:p w:rsidR="00D472BD" w:rsidRPr="0005069E" w:rsidRDefault="00D472BD">
            <w:pPr>
              <w:pStyle w:val="Normaltindrag"/>
              <w:spacing w:before="60" w:after="60" w:line="240" w:lineRule="auto"/>
              <w:ind w:firstLine="0"/>
              <w:jc w:val="center"/>
              <w:rPr>
                <w:b/>
              </w:rPr>
            </w:pPr>
            <w:r w:rsidRPr="0005069E">
              <w:rPr>
                <w:b/>
              </w:rPr>
              <w:t>TOTALT</w:t>
            </w:r>
          </w:p>
        </w:tc>
        <w:tc>
          <w:tcPr>
            <w:tcW w:w="765" w:type="dxa"/>
          </w:tcPr>
          <w:p w:rsidR="00D472BD" w:rsidRPr="0005069E" w:rsidRDefault="00D472BD">
            <w:pPr>
              <w:pStyle w:val="Normaltindrag"/>
              <w:spacing w:before="60" w:after="60" w:line="240" w:lineRule="auto"/>
              <w:ind w:firstLine="0"/>
              <w:jc w:val="center"/>
            </w:pPr>
            <w:r w:rsidRPr="0005069E">
              <w:t>1 904</w:t>
            </w:r>
          </w:p>
        </w:tc>
        <w:tc>
          <w:tcPr>
            <w:tcW w:w="993" w:type="dxa"/>
          </w:tcPr>
          <w:p w:rsidR="00D472BD" w:rsidRPr="0005069E" w:rsidRDefault="00D472BD">
            <w:pPr>
              <w:pStyle w:val="Normaltindrag"/>
              <w:spacing w:before="60" w:after="60" w:line="240" w:lineRule="auto"/>
              <w:ind w:firstLine="0"/>
              <w:jc w:val="center"/>
            </w:pPr>
            <w:r w:rsidRPr="0005069E">
              <w:t>642</w:t>
            </w:r>
          </w:p>
        </w:tc>
        <w:tc>
          <w:tcPr>
            <w:tcW w:w="850" w:type="dxa"/>
          </w:tcPr>
          <w:p w:rsidR="00D472BD" w:rsidRPr="0005069E" w:rsidRDefault="00D472BD">
            <w:pPr>
              <w:pStyle w:val="Normaltindrag"/>
              <w:spacing w:before="60" w:after="60" w:line="240" w:lineRule="auto"/>
              <w:ind w:firstLine="0"/>
              <w:jc w:val="center"/>
            </w:pPr>
            <w:r w:rsidRPr="0005069E">
              <w:t>375</w:t>
            </w:r>
          </w:p>
        </w:tc>
        <w:tc>
          <w:tcPr>
            <w:tcW w:w="992" w:type="dxa"/>
          </w:tcPr>
          <w:p w:rsidR="00D472BD" w:rsidRPr="0005069E" w:rsidRDefault="00D472BD">
            <w:pPr>
              <w:pStyle w:val="Normaltindrag"/>
              <w:spacing w:before="60" w:after="60" w:line="240" w:lineRule="auto"/>
              <w:ind w:firstLine="0"/>
              <w:jc w:val="center"/>
            </w:pPr>
            <w:r w:rsidRPr="0005069E">
              <w:t>873</w:t>
            </w:r>
          </w:p>
        </w:tc>
        <w:tc>
          <w:tcPr>
            <w:tcW w:w="1276" w:type="dxa"/>
          </w:tcPr>
          <w:p w:rsidR="00D472BD" w:rsidRPr="0005069E" w:rsidRDefault="00D472BD">
            <w:pPr>
              <w:pStyle w:val="Normaltindrag"/>
              <w:spacing w:before="60" w:after="60" w:line="240" w:lineRule="auto"/>
              <w:ind w:firstLine="0"/>
              <w:jc w:val="center"/>
            </w:pPr>
            <w:r w:rsidRPr="0005069E">
              <w:t>3 794</w:t>
            </w:r>
          </w:p>
        </w:tc>
      </w:tr>
    </w:tbl>
    <w:p w:rsidR="00D472BD" w:rsidRPr="0005069E" w:rsidRDefault="00D472BD">
      <w:pPr>
        <w:pStyle w:val="Normaltindrag"/>
      </w:pPr>
    </w:p>
    <w:p w:rsidR="00D472BD" w:rsidRPr="0005069E" w:rsidRDefault="00D472BD">
      <w:r w:rsidRPr="0005069E">
        <w:t>Ungefär hälften av länsarbetsnämnderna bedömer att äldreavgångarna ökat under senare år, övriga noterar oförändrade eller minskande antal. Av ko</w:t>
      </w:r>
      <w:r w:rsidRPr="0005069E">
        <w:t>m</w:t>
      </w:r>
      <w:r w:rsidRPr="0005069E">
        <w:t>mentarerna framgår att äldreavgångarna upplevs som ett mycket besvärande problem på många orter. Några kontor har bifogat exempel på avtal där a</w:t>
      </w:r>
      <w:r w:rsidRPr="0005069E">
        <w:t>r</w:t>
      </w:r>
      <w:r w:rsidRPr="0005069E">
        <w:t>betsgivaren och den lokala fackklubben skriftligen undertecknat avtalsvillkor som bl.a. inkluderar 450 dagars a-kassa. Att arbetsförmedlarna upplever äldreavgångarna som betungande illustreras av att de flesta utnyttjat möjl</w:t>
      </w:r>
      <w:r w:rsidRPr="0005069E">
        <w:t>i</w:t>
      </w:r>
      <w:r w:rsidRPr="0005069E">
        <w:t>geten att komma med förslag på hur man ska komma till rätta med probl</w:t>
      </w:r>
      <w:r w:rsidRPr="0005069E">
        <w:t>e</w:t>
      </w:r>
      <w:r w:rsidRPr="0005069E">
        <w:t>men. Lösningsförslagen varierar dock kraftigt mellan kontoren. Bland de</w:t>
      </w:r>
      <w:r w:rsidRPr="0005069E">
        <w:t xml:space="preserve"> förslag som återkommer flera gånger kan nämnas lagstiftning, information, förtidspension av arbetsmarknadsskäl, förbud mot denna typ av förhan</w:t>
      </w:r>
      <w:r w:rsidRPr="0005069E">
        <w:t>d</w:t>
      </w:r>
      <w:r w:rsidRPr="0005069E">
        <w:t>lingslösningar, låt arbetsgivaren betala pensionslösningen, avtal om äldrea</w:t>
      </w:r>
      <w:r w:rsidRPr="0005069E">
        <w:t>v</w:t>
      </w:r>
      <w:r w:rsidRPr="0005069E">
        <w:t>gångar bör inte få slutas på lokal nivå, avtalen bör godkännas av AMS, tid</w:t>
      </w:r>
      <w:r w:rsidRPr="0005069E">
        <w:t>i</w:t>
      </w:r>
      <w:r w:rsidRPr="0005069E">
        <w:t>gare information till länsarbetsnämnden och stopp för möjligheten för pers</w:t>
      </w:r>
      <w:r w:rsidRPr="0005069E">
        <w:t>o</w:t>
      </w:r>
      <w:r w:rsidRPr="0005069E">
        <w:t>ner som uppbär pension att fyllnadsmarkera. Spridningen mellan dessa helt olika förslag kan ses som ett uttryck för den uppgivenhet många arbe</w:t>
      </w:r>
      <w:r w:rsidRPr="0005069E">
        <w:t>tsfö</w:t>
      </w:r>
      <w:r w:rsidRPr="0005069E">
        <w:t>r</w:t>
      </w:r>
      <w:r w:rsidRPr="0005069E">
        <w:t>medlare känner inför denna problematik och som en illustration av avsakn</w:t>
      </w:r>
      <w:r w:rsidRPr="0005069E">
        <w:t>a</w:t>
      </w:r>
      <w:r w:rsidRPr="0005069E">
        <w:t>den av en samlad strategi för Arbetsmarknadsverkets hantering av äldrea</w:t>
      </w:r>
      <w:r w:rsidRPr="0005069E">
        <w:t>v</w:t>
      </w:r>
      <w:r w:rsidRPr="0005069E">
        <w:t>gångarna. Av kontakterna med arbetsförmedlingen under granskningens gång har det framkommit att även de äldre som inte lämnat sitt arbete i sa</w:t>
      </w:r>
      <w:r w:rsidRPr="0005069E">
        <w:t>m</w:t>
      </w:r>
      <w:r w:rsidRPr="0005069E">
        <w:t>band med en ”pensionslösning” i stor utsträckning kommit att uppleva a</w:t>
      </w:r>
      <w:r w:rsidRPr="0005069E">
        <w:t>r</w:t>
      </w:r>
      <w:r w:rsidRPr="0005069E">
        <w:t xml:space="preserve">betslösheten som en övergång fram till pension och upphört att aktivt söka arbete.  </w:t>
      </w:r>
    </w:p>
    <w:p w:rsidR="00D472BD" w:rsidRPr="0005069E" w:rsidRDefault="00D472BD">
      <w:pPr>
        <w:pStyle w:val="Normaltindrag"/>
        <w:rPr>
          <w:b/>
          <w:i/>
        </w:rPr>
      </w:pPr>
      <w:r w:rsidRPr="0005069E">
        <w:t>I efterhand är det omöjligt att fastställa i vilken utsträcknin</w:t>
      </w:r>
      <w:r w:rsidRPr="0005069E">
        <w:t>g de som o</w:t>
      </w:r>
      <w:r w:rsidRPr="0005069E">
        <w:t>m</w:t>
      </w:r>
      <w:r w:rsidRPr="0005069E">
        <w:t>fattats av äldreavgångarna ville avgå i förtid eller om de helst velat arbeta kvar. Även om de själva valt att acceptera arbetsgivarens ”erbjudande” kan det ju inte uteslutas att de gjort detta på grund av det tryck de känt från a</w:t>
      </w:r>
      <w:r w:rsidRPr="0005069E">
        <w:t>r</w:t>
      </w:r>
      <w:r w:rsidRPr="0005069E">
        <w:t>betsgivaren, facket och de yngre koll</w:t>
      </w:r>
      <w:r w:rsidRPr="0005069E">
        <w:t>e</w:t>
      </w:r>
      <w:r w:rsidRPr="0005069E">
        <w:t xml:space="preserve">gerna. </w:t>
      </w:r>
    </w:p>
    <w:p w:rsidR="00D472BD" w:rsidRPr="0005069E" w:rsidRDefault="00D472BD">
      <w:pPr>
        <w:pStyle w:val="Normaltindrag"/>
      </w:pPr>
      <w:r w:rsidRPr="0005069E">
        <w:t>Samstämmiga uppgifter från personal på olika nivåer inom Arbetsmar</w:t>
      </w:r>
      <w:r w:rsidRPr="0005069E">
        <w:t>k</w:t>
      </w:r>
      <w:r w:rsidRPr="0005069E">
        <w:t>nadsverket tyder på att dessa personer inte vill ha något nytt arbete. Så gott som alla har ju slutat sin tidigare anställning frivilligt för att få ”pension”  och de har skrivit in sig vid arbetsförmedlingen enbart för att öka sina i</w:t>
      </w:r>
      <w:r w:rsidRPr="0005069E">
        <w:t>n</w:t>
      </w:r>
      <w:r w:rsidRPr="0005069E">
        <w:t>komster</w:t>
      </w:r>
      <w:r w:rsidRPr="0005069E">
        <w:rPr>
          <w:b/>
          <w:i/>
        </w:rPr>
        <w:t>.</w:t>
      </w:r>
    </w:p>
    <w:p w:rsidR="00D472BD" w:rsidRPr="0005069E" w:rsidRDefault="00D472BD">
      <w:pPr>
        <w:pStyle w:val="Normaltindrag"/>
      </w:pPr>
      <w:r w:rsidRPr="0005069E">
        <w:t>En försiktig uppskattning av statens direkta kostnader för äldreavgångarna hamnar på knappt en miljard kronor per år i form av utbetald arbetslöshetse</w:t>
      </w:r>
      <w:r w:rsidRPr="0005069E">
        <w:t>r</w:t>
      </w:r>
      <w:r w:rsidRPr="0005069E">
        <w:t>sättning (7 400 personer med drygt 500 kronor i dagersättning). Det finns dock myc</w:t>
      </w:r>
      <w:r w:rsidRPr="0005069E">
        <w:t>k</w:t>
      </w:r>
      <w:r w:rsidRPr="0005069E">
        <w:t>et som tyder på att detta kan vara en underskattning.</w:t>
      </w:r>
    </w:p>
    <w:p w:rsidR="00D472BD" w:rsidRPr="0005069E" w:rsidRDefault="00D472BD">
      <w:pPr>
        <w:pStyle w:val="Normaltindrag"/>
      </w:pPr>
      <w:r w:rsidRPr="0005069E">
        <w:t>Att äldre avgångarna blivit en så populär lösning beror på att de erbjuder den som lämnar sin anställning mycket förmånliga pensionsvillkor samtidigt som de avtalsslutande parterna, facket och arbetsgivaren, inte själva behöver stå för några kostnader. För att överenskommelsen ska bli möjlig måste dock ytterligare ett villkor uppfyllas, nämligen att alla parter känner sig</w:t>
      </w:r>
      <w:r w:rsidRPr="0005069E">
        <w:t xml:space="preserve"> säkra på att arbetsförmedlingen kommer att acceptera ”pensionslösningen” och inte tvinga ut den uppsagde i arbete eller andra aktiviteter. Arbetsförmedlingens uppgivenhet inför äldreavgångsproblematiken, såsom den framstått under revisorernas granskning, tyder på att dessa förväntningar vanligtvis infrias.</w:t>
      </w:r>
      <w:bookmarkEnd w:id="23"/>
    </w:p>
    <w:p w:rsidR="00D472BD" w:rsidRPr="0005069E" w:rsidRDefault="00D472BD">
      <w:pPr>
        <w:pStyle w:val="Rubrik1"/>
      </w:pPr>
      <w:bookmarkStart w:id="24" w:name="_Toc485530794"/>
      <w:r w:rsidRPr="0005069E">
        <w:t>2 Revisorernas överväganden och förslag samt remissinstansernas synpunkter</w:t>
      </w:r>
      <w:bookmarkEnd w:id="24"/>
    </w:p>
    <w:p w:rsidR="00D472BD" w:rsidRPr="0005069E" w:rsidRDefault="00D472BD">
      <w:r w:rsidRPr="0005069E">
        <w:t>Band andra Långtidsutredningen och Konjunkturinstitutet räknar i sina framtidsbedömningar med att den gynnsamma ekonomiska utvecklingen i Sverige inom det närmaste årtiondet kommer att dämpas på grund av en tilltagande brist på arbetskraft. Denna bedömning görs trots att man förutspår en ökning av arbetskraftsdeltagandet för de äldre åldersgrupperna. Oförän</w:t>
      </w:r>
      <w:r w:rsidRPr="0005069E">
        <w:t>d</w:t>
      </w:r>
      <w:r w:rsidRPr="0005069E">
        <w:t>rat låga eller fortsatt sjunkande sysselsättningstal för de äldre på arbetsmar</w:t>
      </w:r>
      <w:r w:rsidRPr="0005069E">
        <w:t>k</w:t>
      </w:r>
      <w:r w:rsidRPr="0005069E">
        <w:t>naden skulle därför förvärra arbetskraftsbristen och ytterligare dämpa den ekonomiska tillväxten. Möjligheterna att hävda arbetslinjen som ledstjärna för den svenska arbetsmarknads- och socialpolitikens insatser för de äldre ko</w:t>
      </w:r>
      <w:r w:rsidRPr="0005069E">
        <w:t>m</w:t>
      </w:r>
      <w:r w:rsidRPr="0005069E">
        <w:t>mer därför att spela en viktig roll för den ekonomiska utvecklingen.</w:t>
      </w:r>
    </w:p>
    <w:p w:rsidR="00D472BD" w:rsidRPr="0005069E" w:rsidRDefault="00D472BD">
      <w:pPr>
        <w:pStyle w:val="Normaltindrag"/>
      </w:pPr>
      <w:r w:rsidRPr="0005069E">
        <w:t>För att trenden mot successivt allt lägre faktisk pensionsålder ska kunna brytas måste arbetslivets villkor ändras på ett sådant sätt a</w:t>
      </w:r>
      <w:r w:rsidRPr="0005069E">
        <w:t>tt människor kan och vill fortsätta arbeta fram till den ordinarie pensionsåldern. En förutsät</w:t>
      </w:r>
      <w:r w:rsidRPr="0005069E">
        <w:t>t</w:t>
      </w:r>
      <w:r w:rsidRPr="0005069E">
        <w:t>ning för detta är att arbetsuppgifterna utformas på ett sådant sätt att den äldre arbetskraftens kompetens kan utvecklas och tas till vara. Ansvaret för att detta ska komma till stånd ligger i första hand hos arbetsmarknadens parter, men även utformning och tillämpning av statliga regelverk måste vara såd</w:t>
      </w:r>
      <w:r w:rsidRPr="0005069E">
        <w:t>a</w:t>
      </w:r>
      <w:r w:rsidRPr="0005069E">
        <w:t>na att de främjar en positiv utveckling. Revisorerna vill i detta sammanhang understryka vikten av forskning s</w:t>
      </w:r>
      <w:r w:rsidRPr="0005069E">
        <w:t>om bidrar till att öka kunskapen om de faktorer som påverkar människors arbetsutbud och arbetsgivarnas benäge</w:t>
      </w:r>
      <w:r w:rsidRPr="0005069E">
        <w:t>n</w:t>
      </w:r>
      <w:r w:rsidRPr="0005069E">
        <w:t>het att anställa äldre arbetskraft.</w:t>
      </w:r>
    </w:p>
    <w:p w:rsidR="00D472BD" w:rsidRPr="0005069E" w:rsidRDefault="00D472BD">
      <w:pPr>
        <w:pStyle w:val="Normaltindrag"/>
      </w:pPr>
      <w:r w:rsidRPr="0005069E">
        <w:t>Riksdagens revisorers granskning av arbetslinjen för äldre begränsades till att belysa hur äldre personer, som av någon anledning hamnat utanför a</w:t>
      </w:r>
      <w:r w:rsidRPr="0005069E">
        <w:t>r</w:t>
      </w:r>
      <w:r w:rsidRPr="0005069E">
        <w:t>betsmarknaden, kommer i åtnjutande av statliga ersättningar och blir bemötta av statliga myndigheter. Av granskningen framkom att arbetslinjen inte drivits på ett konsekvent sätt för denna grupp. Alltför ofta tycks de statliga ersättningarna ha använts för att trygga individens försörjning fram till ord</w:t>
      </w:r>
      <w:r w:rsidRPr="0005069E">
        <w:t>i</w:t>
      </w:r>
      <w:r w:rsidRPr="0005069E">
        <w:t>narie pension snarare än som ett omställningsbidrag inför en återgång till arbetsl</w:t>
      </w:r>
      <w:r w:rsidRPr="0005069E">
        <w:t>i</w:t>
      </w:r>
      <w:r w:rsidRPr="0005069E">
        <w:t>vet.</w:t>
      </w:r>
    </w:p>
    <w:p w:rsidR="00D472BD" w:rsidRPr="0005069E" w:rsidRDefault="00D472BD">
      <w:pPr>
        <w:pStyle w:val="Normaltindrag"/>
      </w:pPr>
    </w:p>
    <w:p w:rsidR="00D472BD" w:rsidRPr="0005069E" w:rsidRDefault="00D472BD">
      <w:pPr>
        <w:pStyle w:val="Rubrik3"/>
      </w:pPr>
      <w:r w:rsidRPr="0005069E">
        <w:t>Remissinstansernas allmänna synpunkter</w:t>
      </w:r>
    </w:p>
    <w:p w:rsidR="00D472BD" w:rsidRPr="0005069E" w:rsidRDefault="00D472BD">
      <w:pPr>
        <w:pStyle w:val="Normaltindrag"/>
        <w:ind w:firstLine="0"/>
      </w:pPr>
      <w:r w:rsidRPr="0005069E">
        <w:t>Remissinstanserna instämmer i att möjligheterna att hävda arbetslinjen för de äldre har stor betydelse för att trygga tillgången på arbetskraft och därmed för den ekonomiska utvecklingen. Liksom revisorerna betonar flera av dem att detta kan bli möjligt endast om arbetslivets villkor är sådana att männ</w:t>
      </w:r>
      <w:r w:rsidRPr="0005069E">
        <w:t>i</w:t>
      </w:r>
      <w:r w:rsidRPr="0005069E">
        <w:t xml:space="preserve">skor kan och vill arbeta fram till ordinarie pensionsålder. Vad gäller dessa frågor finns inga avvikande synpunkter. Däremot tar några remissinstanser upp ytterligare aspekter. Sålunda betonar </w:t>
      </w:r>
      <w:r w:rsidRPr="0005069E">
        <w:rPr>
          <w:i/>
        </w:rPr>
        <w:t>LO</w:t>
      </w:r>
      <w:r w:rsidRPr="0005069E">
        <w:t xml:space="preserve"> och </w:t>
      </w:r>
      <w:r w:rsidRPr="0005069E">
        <w:rPr>
          <w:i/>
        </w:rPr>
        <w:t xml:space="preserve">TCO </w:t>
      </w:r>
      <w:r w:rsidRPr="0005069E">
        <w:t>möjligheterna</w:t>
      </w:r>
      <w:r w:rsidRPr="0005069E">
        <w:rPr>
          <w:i/>
        </w:rPr>
        <w:t xml:space="preserve"> </w:t>
      </w:r>
      <w:r w:rsidRPr="0005069E">
        <w:t>att</w:t>
      </w:r>
      <w:r w:rsidRPr="0005069E">
        <w:rPr>
          <w:i/>
        </w:rPr>
        <w:t xml:space="preserve"> </w:t>
      </w:r>
      <w:r w:rsidRPr="0005069E">
        <w:t>gå ned i arbetstid som en vanlig förutsättning för att kunna stanna kvar i arbet</w:t>
      </w:r>
      <w:r w:rsidRPr="0005069E">
        <w:t>s</w:t>
      </w:r>
      <w:r w:rsidRPr="0005069E">
        <w:t xml:space="preserve">livet. </w:t>
      </w:r>
      <w:r w:rsidRPr="0005069E">
        <w:rPr>
          <w:i/>
        </w:rPr>
        <w:t>SAF</w:t>
      </w:r>
      <w:r w:rsidRPr="0005069E">
        <w:t xml:space="preserve"> anser att problemet främst ligger i den dåliga matchningen mellan sökande och platser, som den överreglerade arbetsmarknaden gett upphov till. </w:t>
      </w:r>
      <w:r w:rsidRPr="0005069E">
        <w:rPr>
          <w:i/>
        </w:rPr>
        <w:t>Arbetsmarknadsstyrelsen</w:t>
      </w:r>
      <w:r w:rsidRPr="0005069E">
        <w:t xml:space="preserve"> nämner att en viss förbättring</w:t>
      </w:r>
      <w:r w:rsidRPr="0005069E">
        <w:t xml:space="preserve"> av de äldres sysselsättningssituation inträffat mellan mars 1999 och mars 2000.</w:t>
      </w:r>
    </w:p>
    <w:p w:rsidR="00D472BD" w:rsidRPr="0005069E" w:rsidRDefault="00D472BD">
      <w:pPr>
        <w:pStyle w:val="Normaltindrag"/>
        <w:ind w:firstLine="0"/>
      </w:pPr>
    </w:p>
    <w:p w:rsidR="00D472BD" w:rsidRPr="0005069E" w:rsidRDefault="00D472BD">
      <w:pPr>
        <w:pStyle w:val="Rubrik3"/>
      </w:pPr>
      <w:r w:rsidRPr="0005069E">
        <w:t>Revisorerna</w:t>
      </w:r>
    </w:p>
    <w:p w:rsidR="00D472BD" w:rsidRPr="0005069E" w:rsidRDefault="00D472BD">
      <w:pPr>
        <w:pStyle w:val="Normaltindrag"/>
        <w:ind w:firstLine="0"/>
        <w:rPr>
          <w:b/>
        </w:rPr>
      </w:pPr>
      <w:r w:rsidRPr="0005069E">
        <w:t>Det råder stor enighet kring det angelägna i att bryta trenden mot successivt allt lägre faktisk pensionsålder. Frågan har stor betydelse för Sveriges ek</w:t>
      </w:r>
      <w:r w:rsidRPr="0005069E">
        <w:t>o</w:t>
      </w:r>
      <w:r w:rsidRPr="0005069E">
        <w:t>nomiska utveckling och människors framtida försörjning. Problemet handlar inte bara om ekonomi utan även om rätten till en dräglig arbetssituation där de äldres kompetens kan utvecklas och tas till vara. Lösningen av problemet ska inte i huvudsak sökas inom statliga regelverk eller ersättningsnivåer utan i de villkor som reglerar deltagandet i arbetslivet. Det är naturligtvis angel</w:t>
      </w:r>
      <w:r w:rsidRPr="0005069E">
        <w:t>ä</w:t>
      </w:r>
      <w:r w:rsidRPr="0005069E">
        <w:t>get att statliga regelverk utformas så att de främjar en positiv utveckling men huvudansvaret ligger på arbetsmarknadens parte</w:t>
      </w:r>
      <w:r w:rsidRPr="0005069E">
        <w:t>r. Enligt revisorernas mening är det önskvärt med mera forskning som kan öka kunskapen om de faktorer som påverkar äldre människors arbetsutbud och arbetsgivarnas benägenhet att anställa äldre arbet</w:t>
      </w:r>
      <w:r w:rsidRPr="0005069E">
        <w:t>s</w:t>
      </w:r>
      <w:r w:rsidRPr="0005069E">
        <w:t>kraft.</w:t>
      </w:r>
    </w:p>
    <w:p w:rsidR="00D472BD" w:rsidRPr="0005069E" w:rsidRDefault="00D472BD">
      <w:pPr>
        <w:pStyle w:val="Rubrik2"/>
      </w:pPr>
      <w:bookmarkStart w:id="25" w:name="_Toc485530795"/>
      <w:r w:rsidRPr="0005069E">
        <w:t>2.1 Regelverken behöver bli tydligare</w:t>
      </w:r>
      <w:bookmarkEnd w:id="25"/>
    </w:p>
    <w:p w:rsidR="00D472BD" w:rsidRPr="0005069E" w:rsidRDefault="00D472BD">
      <w:pPr>
        <w:pStyle w:val="Rubrik3"/>
      </w:pPr>
      <w:r w:rsidRPr="0005069E">
        <w:t>Rapporten</w:t>
      </w:r>
    </w:p>
    <w:p w:rsidR="00D472BD" w:rsidRPr="0005069E" w:rsidRDefault="00D472BD">
      <w:r w:rsidRPr="0005069E">
        <w:t>Utan att ta ställning till innehållet i de regelförändringar som genomförts under senare år understryker revisorerna vikten av långsiktighet i utfor</w:t>
      </w:r>
      <w:r w:rsidRPr="0005069E">
        <w:t>m</w:t>
      </w:r>
      <w:r w:rsidRPr="0005069E">
        <w:t>ningen av de system som reglerar ersättningen till personer som av olika skäl inte kan eller önskar arbeta fram till ordinarie pensionsålder. Eftersom rege</w:t>
      </w:r>
      <w:r w:rsidRPr="0005069E">
        <w:t>l</w:t>
      </w:r>
      <w:r w:rsidRPr="0005069E">
        <w:t>verken ständigt förändras har det uppstått en situation som är komplex och mycket svår att överblicka. Därmed försvåras samarbetet mellan myndigh</w:t>
      </w:r>
      <w:r w:rsidRPr="0005069E">
        <w:t>e</w:t>
      </w:r>
      <w:r w:rsidRPr="0005069E">
        <w:t>terna och det har blivit svårt att tillämpa enhetliga kriterier. Revisorerna betonar vikten av att en samordning sker mellan socialförsäkringen, arbet</w:t>
      </w:r>
      <w:r w:rsidRPr="0005069E">
        <w:t>s</w:t>
      </w:r>
      <w:r w:rsidRPr="0005069E">
        <w:t xml:space="preserve">löshetsförsäkringen och avtalen på arbetsmarknaden så att </w:t>
      </w:r>
      <w:r w:rsidRPr="0005069E">
        <w:t>skillnaderna i ersättningsnivå mellan personer som står utanför arbetsmarknaden avspeglar de olika ersättningssystemens syften och prioriteringar. Eftersom systemen i någon mening måste förbli relativt komplexa för att kunna differentiera mellan de skilda behov av stöd som förekommer är behovet av tydlighet och långsiktighet i regelutfor</w:t>
      </w:r>
      <w:r w:rsidRPr="0005069E">
        <w:t>m</w:t>
      </w:r>
      <w:r w:rsidRPr="0005069E">
        <w:t>ningen särskilt viktig.</w:t>
      </w:r>
    </w:p>
    <w:p w:rsidR="00D472BD" w:rsidRPr="0005069E" w:rsidRDefault="00D472BD">
      <w:pPr>
        <w:pStyle w:val="Normaltindrag"/>
      </w:pPr>
      <w:r w:rsidRPr="0005069E">
        <w:t>Oklara avgränsningar i kombination med olika ersättningsnivåer riskerar att försätta den enskilde i en situation där tid och kraft ägnas åt att förs</w:t>
      </w:r>
      <w:r w:rsidRPr="0005069E">
        <w:t>öka hitta det system som ger den högsta ersättningen. Därmed ökar risken för missbruk som i sin tur kan leda till att påfrestningarna på administrationen av ersättningarna ökar. För att undvika detta bör de olika ersättningssystemen renodlas och möjligheterna att röra sig mellan systemen eller kombinera ersättningar från olika system begränsas. Det är inte rimligt att personer som uppbär pension (avtalspension eller förtida uttag av ålderspensionen) kan komplettera pensionen med ersättning från arbetslöshet</w:t>
      </w:r>
      <w:r w:rsidRPr="0005069E">
        <w:t>sförsäkringen. Rev</w:t>
      </w:r>
      <w:r w:rsidRPr="0005069E">
        <w:t>i</w:t>
      </w:r>
      <w:r w:rsidRPr="0005069E">
        <w:t xml:space="preserve">sorerna pekar på att endast ett fåtal av dem som på detta sätt kombinerar pension och a-kassa har tvingats gå i pension före 65 års ålder och att det i alla händelser ankommer på arbetsmarknadens parter att i förhandlingar komma överens om nivåerna i avtalspensionen. </w:t>
      </w:r>
    </w:p>
    <w:p w:rsidR="00D472BD" w:rsidRPr="0005069E" w:rsidRDefault="00D472BD">
      <w:pPr>
        <w:pStyle w:val="Normaltindrag"/>
      </w:pPr>
      <w:r w:rsidRPr="0005069E">
        <w:t>Allt flera arbetslösa har sjukpenninggrundande inkomster som ligger över taket för arbetslöshetsförsäkringens maximinivå. Detta innebär att deras inkomster ökar om de blir sjuka. Skillnaden i ersättningsnivå kan uppgå till ö</w:t>
      </w:r>
      <w:r w:rsidRPr="0005069E">
        <w:t>ver 5000 kr i månaden. Med så stora inkomstskillnader ställs naturligtvis stora krav på kontrollen av hur de arbetslösa utnyttjar sjukförsäkringen. I dagsläget är detta sannolikt inte något större problem eftersom det stora flertalet av de arbetslösa torde ha sjukpenninggrundande inkomster under 190 000 kr/år. I takt med att inkomsterna stiger riskerar dock problemet att växa. Detta problem har betonats även av RFV som i sitt yttrande över ra</w:t>
      </w:r>
      <w:r w:rsidRPr="0005069E">
        <w:t>p</w:t>
      </w:r>
      <w:r w:rsidRPr="0005069E">
        <w:t xml:space="preserve">porten </w:t>
      </w:r>
      <w:r w:rsidRPr="0005069E">
        <w:rPr>
          <w:i/>
        </w:rPr>
        <w:t xml:space="preserve">Kontrakt för arbete </w:t>
      </w:r>
      <w:r w:rsidRPr="0005069E">
        <w:t xml:space="preserve">(Ds 1999:58) framhåller att ”en högre </w:t>
      </w:r>
      <w:r w:rsidRPr="0005069E">
        <w:t>ersättning vid sjukdom skapar en risk för den enskilde att definiera sig som sjuk i stället för arbetssökande (...). Det finns också en risk att den enskildes motivation för att kunna stå till arbetsmarknadens förfogande undergrävs.” Revisorerna anser att det kan finnas skäl att analysera villkoren för ersättningarna från arbetslöshets- och sjukförsäkringarna i syfte att underlätta tillämpningen av a</w:t>
      </w:r>
      <w:r w:rsidRPr="0005069E">
        <w:t>r</w:t>
      </w:r>
      <w:r w:rsidRPr="0005069E">
        <w:t>betslinjen.</w:t>
      </w:r>
    </w:p>
    <w:p w:rsidR="00D472BD" w:rsidRPr="0005069E" w:rsidRDefault="00D472BD">
      <w:pPr>
        <w:pStyle w:val="Normaltindrag"/>
      </w:pPr>
    </w:p>
    <w:p w:rsidR="00D472BD" w:rsidRPr="0005069E" w:rsidRDefault="00D472BD">
      <w:pPr>
        <w:pStyle w:val="Rubrik3"/>
      </w:pPr>
      <w:r w:rsidRPr="0005069E">
        <w:t>Remissinstanserna</w:t>
      </w:r>
    </w:p>
    <w:p w:rsidR="00D472BD" w:rsidRPr="0005069E" w:rsidRDefault="00D472BD">
      <w:r w:rsidRPr="0005069E">
        <w:t xml:space="preserve">Revisorernas åsikt att ersättningssystemen bör vara mera renodlade, tydliga och långsiktiga får ett brett stöd bland remissinstanserna. </w:t>
      </w:r>
      <w:r w:rsidRPr="0005069E">
        <w:rPr>
          <w:i/>
        </w:rPr>
        <w:t xml:space="preserve">LO </w:t>
      </w:r>
      <w:r w:rsidRPr="0005069E">
        <w:t>ställer sig dock tveksamma till förslaget att minska möjligheterna att kombinera olika ersät</w:t>
      </w:r>
      <w:r w:rsidRPr="0005069E">
        <w:t>t</w:t>
      </w:r>
      <w:r w:rsidRPr="0005069E">
        <w:t xml:space="preserve">ningssystem med hänvisning till att det i realiteten handlar om att pensionen inte går att leva på. </w:t>
      </w:r>
      <w:r w:rsidRPr="0005069E">
        <w:rPr>
          <w:i/>
        </w:rPr>
        <w:t xml:space="preserve">SAF </w:t>
      </w:r>
      <w:r w:rsidRPr="0005069E">
        <w:t>betonar att det i första hand behövs regelförenklin</w:t>
      </w:r>
      <w:r w:rsidRPr="0005069E">
        <w:t>g</w:t>
      </w:r>
      <w:r w:rsidRPr="0005069E">
        <w:t xml:space="preserve">ar och undanröjande av hinder för att gå från arbetslöshet till arbete. </w:t>
      </w:r>
      <w:r w:rsidRPr="0005069E">
        <w:rPr>
          <w:i/>
        </w:rPr>
        <w:t>SACO</w:t>
      </w:r>
      <w:r w:rsidRPr="0005069E">
        <w:t xml:space="preserve"> anser att socialförsäkringarna behöver göras mer försäkringsmässiga. </w:t>
      </w:r>
    </w:p>
    <w:p w:rsidR="00D472BD" w:rsidRPr="0005069E" w:rsidRDefault="00D472BD">
      <w:pPr>
        <w:pStyle w:val="Normaltindrag"/>
      </w:pPr>
      <w:r w:rsidRPr="0005069E">
        <w:t>Flera remissinstanser berör även samordningen mellan olika ersättning</w:t>
      </w:r>
      <w:r w:rsidRPr="0005069E">
        <w:t>s</w:t>
      </w:r>
      <w:r w:rsidRPr="0005069E">
        <w:t xml:space="preserve">system. </w:t>
      </w:r>
      <w:r w:rsidRPr="0005069E">
        <w:rPr>
          <w:i/>
        </w:rPr>
        <w:t xml:space="preserve">Kommunförbundet </w:t>
      </w:r>
      <w:r w:rsidRPr="0005069E">
        <w:t>anser, liksom revisorerna, att bestämmelserna måste utformas, och i praktiken hanteras, på ett sätt som främjar arbetslinjens ti</w:t>
      </w:r>
      <w:r w:rsidRPr="0005069E">
        <w:t>l</w:t>
      </w:r>
      <w:r w:rsidRPr="0005069E">
        <w:t xml:space="preserve">lämpning för de äldre. </w:t>
      </w:r>
    </w:p>
    <w:p w:rsidR="00D472BD" w:rsidRPr="0005069E" w:rsidRDefault="00D472BD">
      <w:pPr>
        <w:pStyle w:val="Normaltindrag"/>
        <w:ind w:firstLine="0"/>
      </w:pPr>
    </w:p>
    <w:p w:rsidR="00D472BD" w:rsidRPr="0005069E" w:rsidRDefault="00D472BD">
      <w:pPr>
        <w:pStyle w:val="Rubrik3"/>
      </w:pPr>
      <w:r w:rsidRPr="0005069E">
        <w:t>Revisorerna</w:t>
      </w:r>
    </w:p>
    <w:p w:rsidR="00D472BD" w:rsidRPr="0005069E" w:rsidRDefault="00D472BD">
      <w:pPr>
        <w:pStyle w:val="Normaltindrag"/>
        <w:ind w:firstLine="0"/>
      </w:pPr>
      <w:r w:rsidRPr="0005069E">
        <w:t>Arbetslinjen måste stå i fokus vid översyner och förändringar av de statliga ersättningssystemen. Revisorerna anser att ansvarsfördelning och ärend</w:t>
      </w:r>
      <w:r w:rsidRPr="0005069E">
        <w:t>e</w:t>
      </w:r>
      <w:r w:rsidRPr="0005069E">
        <w:t>strömmar mellan olika ersättningssystem, liksom kombinationer av olika ersättningar bör kartläggas och effekterna på arbetslinjen analyseras. Det kan inte vara arbetslöshetsförsäkringens uppgift att kompensera personer, som frivilligt avgår före ordinarie pensionsålder, för att pensionen inte ger til</w:t>
      </w:r>
      <w:r w:rsidRPr="0005069E">
        <w:t>l</w:t>
      </w:r>
      <w:r w:rsidRPr="0005069E">
        <w:t>räcklig försör</w:t>
      </w:r>
      <w:r w:rsidRPr="0005069E">
        <w:t>j</w:t>
      </w:r>
      <w:r w:rsidRPr="0005069E">
        <w:t>ning.</w:t>
      </w:r>
    </w:p>
    <w:p w:rsidR="00D472BD" w:rsidRPr="0005069E" w:rsidRDefault="00D472BD">
      <w:pPr>
        <w:pStyle w:val="Normaltindrag"/>
      </w:pPr>
      <w:r w:rsidRPr="0005069E">
        <w:t>Riksdagens revisorer föreslår att</w:t>
      </w:r>
    </w:p>
    <w:p w:rsidR="00D472BD" w:rsidRPr="0005069E" w:rsidRDefault="00D472BD">
      <w:pPr>
        <w:pStyle w:val="Normaltindrag"/>
        <w:numPr>
          <w:ilvl w:val="0"/>
          <w:numId w:val="8"/>
        </w:numPr>
        <w:tabs>
          <w:tab w:val="clear" w:pos="1670"/>
          <w:tab w:val="num" w:pos="284"/>
        </w:tabs>
        <w:spacing w:before="120"/>
        <w:ind w:left="284" w:hanging="284"/>
      </w:pPr>
      <w:r w:rsidRPr="0005069E">
        <w:t>regeringen redovisar hur vanligt det är att arbetslöshetsersättning komb</w:t>
      </w:r>
      <w:r w:rsidRPr="0005069E">
        <w:t>i</w:t>
      </w:r>
      <w:r w:rsidRPr="0005069E">
        <w:t>neras med andra ersättningar och hur vanligt det är att arbetslösa rör sig mellan olika ersättningssystem samt redovisar de åtgärder som vidtagits mot ba</w:t>
      </w:r>
      <w:r w:rsidRPr="0005069E">
        <w:t>k</w:t>
      </w:r>
      <w:r w:rsidRPr="0005069E">
        <w:t>grund av revisorernas påpekanden.</w:t>
      </w:r>
    </w:p>
    <w:p w:rsidR="00D472BD" w:rsidRPr="0005069E" w:rsidRDefault="00D472BD">
      <w:pPr>
        <w:pStyle w:val="Rubrik2"/>
      </w:pPr>
      <w:bookmarkStart w:id="26" w:name="_Toc485530796"/>
      <w:r w:rsidRPr="0005069E">
        <w:t>2.2 Tillämpningen av regelverken behöver förbättras</w:t>
      </w:r>
      <w:bookmarkEnd w:id="26"/>
    </w:p>
    <w:p w:rsidR="00D472BD" w:rsidRPr="0005069E" w:rsidRDefault="00D472BD">
      <w:pPr>
        <w:pStyle w:val="Rubrik3"/>
      </w:pPr>
      <w:r w:rsidRPr="0005069E">
        <w:t>Rapporten</w:t>
      </w:r>
    </w:p>
    <w:p w:rsidR="00D472BD" w:rsidRPr="0005069E" w:rsidRDefault="00D472BD">
      <w:r w:rsidRPr="0005069E">
        <w:t>Granskningen har visat att den praktiska tillämpningen av arbetslinjen har stora brister. Orsaken till detta står, enligt revisorerna, bl.a. att finna i det komplexa regelverket och de många regeländringarna som lett till en situ</w:t>
      </w:r>
      <w:r w:rsidRPr="0005069E">
        <w:t>a</w:t>
      </w:r>
      <w:r w:rsidRPr="0005069E">
        <w:t>tion som är nästan omöjlig att överblicka och svårigheter att tillämpa enhetl</w:t>
      </w:r>
      <w:r w:rsidRPr="0005069E">
        <w:t>i</w:t>
      </w:r>
      <w:r w:rsidRPr="0005069E">
        <w:t>ga kriterier. Samtidigt medför oklara gränser mellan ersättningssystemen och skillnader i ersättningsnivå att administrationen kan utsättas för ytterligare påfrestningar om ersättningstagarna söker kombinera ersättningar från olika system eller röra sig mellan systemen för att öka sina i</w:t>
      </w:r>
      <w:r w:rsidRPr="0005069E">
        <w:t>n</w:t>
      </w:r>
      <w:r w:rsidRPr="0005069E">
        <w:t xml:space="preserve">komster. </w:t>
      </w:r>
    </w:p>
    <w:p w:rsidR="00D472BD" w:rsidRPr="0005069E" w:rsidRDefault="00D472BD">
      <w:pPr>
        <w:pStyle w:val="Normaltindrag"/>
      </w:pPr>
      <w:r w:rsidRPr="0005069E">
        <w:t>För att uppnå en effektivare tillämpning av arbetslinjen är det således nö</w:t>
      </w:r>
      <w:r w:rsidRPr="0005069E">
        <w:t>d</w:t>
      </w:r>
      <w:r w:rsidRPr="0005069E">
        <w:t>vändigt att se över regelverken. Men detta är, enligt revisorernas uppfattning, inte tillräckligt. Det åvilar de centrala myndigheterna såväl Arbetsmarknad</w:t>
      </w:r>
      <w:r w:rsidRPr="0005069E">
        <w:t>s</w:t>
      </w:r>
      <w:r w:rsidRPr="0005069E">
        <w:t>styrelsen (AMS) som Riksförsäkringsverket (RFV) att förklara reglernas syften och innebörd för sin personal samt utfärda tillräckligt utförliga i</w:t>
      </w:r>
      <w:r w:rsidRPr="0005069E">
        <w:t>n</w:t>
      </w:r>
      <w:r w:rsidRPr="0005069E">
        <w:t>struktioner för att trygga en effektiv ärendehantering. Arbetsmarknadsstyre</w:t>
      </w:r>
      <w:r w:rsidRPr="0005069E">
        <w:t>l</w:t>
      </w:r>
      <w:r w:rsidRPr="0005069E">
        <w:t>sen har, enligt revisorernas iaktagelser, inte på ett tillfredsställande sätt lyc</w:t>
      </w:r>
      <w:r w:rsidRPr="0005069E">
        <w:t>k</w:t>
      </w:r>
      <w:r w:rsidRPr="0005069E">
        <w:t>ats förankra arbetslinjen som en ledstjärna för arb</w:t>
      </w:r>
      <w:r w:rsidRPr="0005069E">
        <w:t>etsförmedlingens insatser för äldre arbetslösa. Myndigheterna, såväl Arbetsmarknadsverket som Rik</w:t>
      </w:r>
      <w:r w:rsidRPr="0005069E">
        <w:t>s</w:t>
      </w:r>
      <w:r w:rsidRPr="0005069E">
        <w:t>försäkringsverket, måste bl.a. på ett tydligt sätt markera att även om äldre ofta har små chanser att snabbt återgå till reguljärt arbete kan detta aldrig accept</w:t>
      </w:r>
      <w:r w:rsidRPr="0005069E">
        <w:t>e</w:t>
      </w:r>
      <w:r w:rsidRPr="0005069E">
        <w:t>ras som ett skäl för att vänta med eller helt avstå från aktiva insatser.</w:t>
      </w:r>
    </w:p>
    <w:p w:rsidR="00D472BD" w:rsidRPr="0005069E" w:rsidRDefault="00D472BD">
      <w:pPr>
        <w:pStyle w:val="Normaltindrag"/>
      </w:pPr>
      <w:r w:rsidRPr="0005069E">
        <w:t>Den information som kommit fram under granskningen understryker b</w:t>
      </w:r>
      <w:r w:rsidRPr="0005069E">
        <w:t>e</w:t>
      </w:r>
      <w:r w:rsidRPr="0005069E">
        <w:t>hovet av väl fungerande internkontroll- och uppföljningsrutiner för att skärpa upp tillämpningspraxis. Enbart ekonomiredovisning och analyser av ver</w:t>
      </w:r>
      <w:r w:rsidRPr="0005069E">
        <w:t>k</w:t>
      </w:r>
      <w:r w:rsidRPr="0005069E">
        <w:t>samhetsstatistik är, enligt revisorernas mening, inte tillräckligt. Även han</w:t>
      </w:r>
      <w:r w:rsidRPr="0005069E">
        <w:t>d</w:t>
      </w:r>
      <w:r w:rsidRPr="0005069E">
        <w:t>lingsplaner, beslutsunderlag, prognoser o.dyl. bör följas upp. Ansvaret för att utveckla sådana rutiner bör i första hand ligga på respektive myndi</w:t>
      </w:r>
      <w:r w:rsidRPr="0005069E">
        <w:t>g</w:t>
      </w:r>
      <w:r w:rsidRPr="0005069E">
        <w:t>het.</w:t>
      </w:r>
    </w:p>
    <w:p w:rsidR="00D472BD" w:rsidRPr="0005069E" w:rsidRDefault="00D472BD">
      <w:pPr>
        <w:pStyle w:val="Rubrik3"/>
      </w:pPr>
      <w:r w:rsidRPr="0005069E">
        <w:t>Remissinstanserna</w:t>
      </w:r>
    </w:p>
    <w:p w:rsidR="00D472BD" w:rsidRPr="0005069E" w:rsidRDefault="00D472BD">
      <w:r w:rsidRPr="0005069E">
        <w:t>Även om ingen av remissinstanserna i sak har några invändningar mot rev</w:t>
      </w:r>
      <w:r w:rsidRPr="0005069E">
        <w:t>i</w:t>
      </w:r>
      <w:r w:rsidRPr="0005069E">
        <w:t xml:space="preserve">sorernas förslag rörande förklaring av reglernas syften, tillräckligt utförliga instruktioner och väl fungerande internkontroll, är några remissinstanser mycket kritiska i sina yttranden. </w:t>
      </w:r>
      <w:r w:rsidRPr="0005069E">
        <w:rPr>
          <w:i/>
        </w:rPr>
        <w:t>LO</w:t>
      </w:r>
      <w:r w:rsidRPr="0005069E">
        <w:t xml:space="preserve"> anser inte det finns något fog för påst</w:t>
      </w:r>
      <w:r w:rsidRPr="0005069E">
        <w:t>å</w:t>
      </w:r>
      <w:r w:rsidRPr="0005069E">
        <w:t xml:space="preserve">endet att de statliga ersättningarna ofta används för att trygga individens försörjning fram till ordinarie pension. Samtidigt förespråkar man dock ett nytt arbetssätt för äldre arbetslösa. </w:t>
      </w:r>
      <w:r w:rsidRPr="0005069E">
        <w:rPr>
          <w:i/>
        </w:rPr>
        <w:t xml:space="preserve">SAF </w:t>
      </w:r>
      <w:r w:rsidRPr="0005069E">
        <w:t>menar att revisorernas förslag inte kan genomföras därför att regelverken är otidsenl</w:t>
      </w:r>
      <w:r w:rsidRPr="0005069E">
        <w:t>i</w:t>
      </w:r>
      <w:r w:rsidRPr="0005069E">
        <w:t xml:space="preserve">ga. </w:t>
      </w:r>
    </w:p>
    <w:p w:rsidR="00D472BD" w:rsidRPr="0005069E" w:rsidRDefault="00D472BD">
      <w:pPr>
        <w:pStyle w:val="Normaltindrag"/>
      </w:pPr>
      <w:r w:rsidRPr="0005069E">
        <w:rPr>
          <w:i/>
        </w:rPr>
        <w:t>Arbetsmarknadsstyrelsen</w:t>
      </w:r>
      <w:r w:rsidRPr="0005069E">
        <w:t xml:space="preserve"> redovisar i sitt remissvar hur man redan tagit de initiativ som revisorerna efterlyser i rapporten och hänvisar till aktivitetsg</w:t>
      </w:r>
      <w:r w:rsidRPr="0005069E">
        <w:t>a</w:t>
      </w:r>
      <w:r w:rsidRPr="0005069E">
        <w:t xml:space="preserve">rantin som en lämplig insats för äldre arbetslösa. Även </w:t>
      </w:r>
      <w:r w:rsidRPr="0005069E">
        <w:rPr>
          <w:i/>
        </w:rPr>
        <w:t>Kommunförbundet</w:t>
      </w:r>
      <w:r w:rsidRPr="0005069E">
        <w:t xml:space="preserve"> fäster stora förhoppningar till aktivitetsgarantin, men betonar samtidigt att de aktiva insatserna bara kan bli effektiva om de föregås av genomarbetade realistiska handlingsplaner.</w:t>
      </w:r>
    </w:p>
    <w:p w:rsidR="00D472BD" w:rsidRPr="0005069E" w:rsidRDefault="00D472BD">
      <w:pPr>
        <w:pStyle w:val="Normaltindrag"/>
      </w:pPr>
    </w:p>
    <w:p w:rsidR="00D472BD" w:rsidRPr="0005069E" w:rsidRDefault="00D472BD">
      <w:pPr>
        <w:pStyle w:val="Rubrik3"/>
      </w:pPr>
      <w:r w:rsidRPr="0005069E">
        <w:t>Revisorerna</w:t>
      </w:r>
    </w:p>
    <w:p w:rsidR="00D472BD" w:rsidRPr="0005069E" w:rsidRDefault="00D472BD">
      <w:r w:rsidRPr="0005069E">
        <w:t>Revisorerna finner det positivt att AMS redan vidtagit åtgärder för att föran</w:t>
      </w:r>
      <w:r w:rsidRPr="0005069E">
        <w:t>k</w:t>
      </w:r>
      <w:r w:rsidRPr="0005069E">
        <w:t>ra arbetslinjen för de äldre inom arbetsförmedlingsverksamheten. Det är angeläget att dessa åtgärder följs upp och att man försäkrar sig om att de får avsett genomslag i det praktiska arbetet. Revisorerna anser också att det är viktigt att realistiska handlingsplaner upprättas och läggs till grund för de aktiva insa</w:t>
      </w:r>
      <w:r w:rsidRPr="0005069E">
        <w:t>t</w:t>
      </w:r>
      <w:r w:rsidRPr="0005069E">
        <w:t xml:space="preserve">serna. </w:t>
      </w:r>
    </w:p>
    <w:p w:rsidR="00D472BD" w:rsidRPr="0005069E" w:rsidRDefault="00D472BD">
      <w:pPr>
        <w:pStyle w:val="Normaltindrag"/>
      </w:pPr>
      <w:r w:rsidRPr="0005069E">
        <w:t>Riksdagens revisorer föreslår att</w:t>
      </w:r>
    </w:p>
    <w:p w:rsidR="00D472BD" w:rsidRPr="0005069E" w:rsidRDefault="00D472BD">
      <w:pPr>
        <w:pStyle w:val="Normaltindrag"/>
        <w:numPr>
          <w:ilvl w:val="0"/>
          <w:numId w:val="9"/>
        </w:numPr>
        <w:tabs>
          <w:tab w:val="clear" w:pos="1670"/>
          <w:tab w:val="num" w:pos="284"/>
        </w:tabs>
        <w:spacing w:before="120"/>
        <w:ind w:left="284" w:hanging="284"/>
      </w:pPr>
      <w:r w:rsidRPr="0005069E">
        <w:t xml:space="preserve">regeringen följer upp och redovisar de åtgärder AMS och RFV vidtagit för att förbättra tillämpningen av regelverken för de äldre. </w:t>
      </w:r>
    </w:p>
    <w:p w:rsidR="00D472BD" w:rsidRPr="0005069E" w:rsidRDefault="00D472BD">
      <w:pPr>
        <w:pStyle w:val="Rubrik2"/>
      </w:pPr>
      <w:bookmarkStart w:id="27" w:name="_Toc485530797"/>
      <w:r w:rsidRPr="0005069E">
        <w:t>2.3 Staten bör föregå med gott exempel</w:t>
      </w:r>
      <w:bookmarkEnd w:id="27"/>
    </w:p>
    <w:p w:rsidR="00D472BD" w:rsidRPr="0005069E" w:rsidRDefault="00D472BD">
      <w:pPr>
        <w:pStyle w:val="Rubrik3"/>
      </w:pPr>
      <w:r w:rsidRPr="0005069E">
        <w:t>Rapporten</w:t>
      </w:r>
    </w:p>
    <w:p w:rsidR="00D472BD" w:rsidRPr="0005069E" w:rsidRDefault="00D472BD">
      <w:r w:rsidRPr="0005069E">
        <w:t>Revisorerna ser det som önskvärt att staten söker agera som ett föredöme vad gäller att hålla kvar personalen i arbete fram till den ordinarie pensionså</w:t>
      </w:r>
      <w:r w:rsidRPr="0005069E">
        <w:t>l</w:t>
      </w:r>
      <w:r w:rsidRPr="0005069E">
        <w:t>dern. Det bör kunna förväntas att staten som arbetsgivare beaktar statsfina</w:t>
      </w:r>
      <w:r w:rsidRPr="0005069E">
        <w:t>n</w:t>
      </w:r>
      <w:r w:rsidRPr="0005069E">
        <w:t>siella och samhällsekonomiska aspekter vid utformningen av sin personalp</w:t>
      </w:r>
      <w:r w:rsidRPr="0005069E">
        <w:t>o</w:t>
      </w:r>
      <w:r w:rsidRPr="0005069E">
        <w:t>litik. Möjligheterna att anpassa arbetsuppgifterna till de äldres förutsättningar bör vara minst lika goda inom staten som hos andra arbetsg</w:t>
      </w:r>
      <w:r w:rsidRPr="0005069E">
        <w:t>i</w:t>
      </w:r>
      <w:r w:rsidRPr="0005069E">
        <w:t xml:space="preserve">vare. </w:t>
      </w:r>
    </w:p>
    <w:p w:rsidR="00D472BD" w:rsidRPr="0005069E" w:rsidRDefault="00D472BD">
      <w:pPr>
        <w:pStyle w:val="Normaltindrag"/>
      </w:pPr>
      <w:r w:rsidRPr="0005069E">
        <w:t>I de fall krav reses på sänkt pensionsålder är det angeläget att staten som arbetsgivare på ett tydligt sätt markerar att en överenskommelse om sänkt pensionsålder inte bara måste finansieras fullt ut inom ramen fö</w:t>
      </w:r>
      <w:r w:rsidRPr="0005069E">
        <w:t>r de avtal som sluts mellan parterna, utan också ska ses som en sista utväg efter att alla andra vägar prövats. Detta innebär att parterna, om de är överens om att de anställda inte kan fullgöra sina uppgifter fram till ordinarie pensionsålder, ska söka en lösning på de problem som förorsakat denna situation. Alternativ till lägre pensionsålder kan vara ändrad arbetsorganisation, bättre omplac</w:t>
      </w:r>
      <w:r w:rsidRPr="0005069E">
        <w:t>e</w:t>
      </w:r>
      <w:r w:rsidRPr="0005069E">
        <w:t>ringsmöjligheter, kortare arbetstid, längre vilopauser, annan förläggning av arbetst</w:t>
      </w:r>
      <w:r w:rsidRPr="0005069E">
        <w:t>i</w:t>
      </w:r>
      <w:r w:rsidRPr="0005069E">
        <w:t xml:space="preserve">den, osv. </w:t>
      </w:r>
    </w:p>
    <w:p w:rsidR="00D472BD" w:rsidRPr="0005069E" w:rsidRDefault="00D472BD">
      <w:pPr>
        <w:pStyle w:val="Normaltindrag"/>
      </w:pPr>
      <w:r w:rsidRPr="0005069E">
        <w:t>För de statligt ans</w:t>
      </w:r>
      <w:r w:rsidRPr="0005069E">
        <w:t>tällda som alltjämt omfattas av övergångsregler som b</w:t>
      </w:r>
      <w:r w:rsidRPr="0005069E">
        <w:t>e</w:t>
      </w:r>
      <w:r w:rsidRPr="0005069E">
        <w:t xml:space="preserve">rättigar dem att avgå med pension före 65 års ålder ser revisorerna det som angeläget att arbetsgivaren eftersträvar lösningar som motiverar dem att fortsätta till 65-årsdagen.  </w:t>
      </w:r>
    </w:p>
    <w:p w:rsidR="00D472BD" w:rsidRPr="0005069E" w:rsidRDefault="00D472BD">
      <w:pPr>
        <w:pStyle w:val="Normaltindrag"/>
      </w:pPr>
    </w:p>
    <w:p w:rsidR="00D472BD" w:rsidRPr="0005069E" w:rsidRDefault="00D472BD">
      <w:pPr>
        <w:pStyle w:val="Rubrik3"/>
      </w:pPr>
      <w:r w:rsidRPr="0005069E">
        <w:t>Remissinstanserna</w:t>
      </w:r>
    </w:p>
    <w:p w:rsidR="00D472BD" w:rsidRPr="0005069E" w:rsidRDefault="00D472BD">
      <w:r w:rsidRPr="0005069E">
        <w:rPr>
          <w:i/>
        </w:rPr>
        <w:t>Arbetsgivarverket</w:t>
      </w:r>
      <w:r w:rsidRPr="0005069E">
        <w:t xml:space="preserve"> delar inte revisorernas uppfattning att staten bör agera som ett föredöme vad gäller att hålla personalen kvar till ordinarie pensionsålder och beakta statsfinansiella och samhällsekonomiska aspekter vid utfor</w:t>
      </w:r>
      <w:r w:rsidRPr="0005069E">
        <w:t>m</w:t>
      </w:r>
      <w:r w:rsidRPr="0005069E">
        <w:t>ningen av sin personalpolitik. Detta anses strida mot grundtanken att de statliga arbetsgivarna ska kunna konkurrera om arbetskraften på lika villkor. De fackliga organisationer som i huvudsak är verksamma inom den offentl</w:t>
      </w:r>
      <w:r w:rsidRPr="0005069E">
        <w:t>i</w:t>
      </w:r>
      <w:r w:rsidRPr="0005069E">
        <w:t xml:space="preserve">ga sektorn, </w:t>
      </w:r>
      <w:r w:rsidRPr="0005069E">
        <w:rPr>
          <w:i/>
        </w:rPr>
        <w:t>TCO</w:t>
      </w:r>
      <w:r w:rsidRPr="0005069E">
        <w:t xml:space="preserve"> och </w:t>
      </w:r>
      <w:r w:rsidRPr="0005069E">
        <w:rPr>
          <w:i/>
        </w:rPr>
        <w:t>SACO</w:t>
      </w:r>
      <w:r w:rsidRPr="0005069E">
        <w:t>, delar dock revisorernas åsikt i denna fråga.</w:t>
      </w:r>
    </w:p>
    <w:p w:rsidR="00D472BD" w:rsidRPr="0005069E" w:rsidRDefault="00D472BD">
      <w:pPr>
        <w:pStyle w:val="Normaltindrag"/>
      </w:pPr>
    </w:p>
    <w:p w:rsidR="00D472BD" w:rsidRPr="0005069E" w:rsidRDefault="00D472BD">
      <w:pPr>
        <w:pStyle w:val="Rubrik3"/>
      </w:pPr>
      <w:r w:rsidRPr="0005069E">
        <w:t>Revisorerna</w:t>
      </w:r>
    </w:p>
    <w:p w:rsidR="00D472BD" w:rsidRPr="0005069E" w:rsidRDefault="00D472BD">
      <w:r w:rsidRPr="0005069E">
        <w:t>Beträffande Arbetsgivarverkets invändningar vill revisorerna klargöra att det inte är den enskilda myndigheten som avses i rapporten utan staten, som enligt revisorerna bör basera riktlinjerna för sin personalpolitik bland annat på statsfinansiella och samhällsekonomiska bedömningar. Vad det handlar om här är att utforma regler och förhållningssätt som kan vara vägledande för det personalpolitiska arbetet inom myndigheterna. Som exempel på en åtgärd som beaktade statsfinansiella och samhällsekonomiska effe</w:t>
      </w:r>
      <w:r w:rsidRPr="0005069E">
        <w:t>kter samt</w:t>
      </w:r>
      <w:r w:rsidRPr="0005069E">
        <w:t>i</w:t>
      </w:r>
      <w:r w:rsidRPr="0005069E">
        <w:t>digt som den främjade arbetslinjen vill revisorerna nämna den förändring i trygghetsavtalet som innebär att myndigheterna fr.o.m. 1999 har det fulla kostnadsansvaret för sina förtida pensioneringar. Revisorerna anser också att staten som arbetsgivare har en viktig roll att spela för att påverka negativa attityder mot äldre arbetskraft.</w:t>
      </w:r>
    </w:p>
    <w:p w:rsidR="00D472BD" w:rsidRPr="0005069E" w:rsidRDefault="00D472BD">
      <w:pPr>
        <w:pStyle w:val="Normaltindrag"/>
      </w:pPr>
      <w:r w:rsidRPr="0005069E">
        <w:t>Revisorerna har nyligen inlett en granskning av statens personalpolitik och kommer därför att återkomma till denna fråga i annat sa</w:t>
      </w:r>
      <w:r w:rsidRPr="0005069E">
        <w:t>m</w:t>
      </w:r>
      <w:r w:rsidRPr="0005069E">
        <w:t>manhang.</w:t>
      </w:r>
    </w:p>
    <w:p w:rsidR="00D472BD" w:rsidRPr="0005069E" w:rsidRDefault="00D472BD">
      <w:pPr>
        <w:pStyle w:val="Rubrik2"/>
        <w:rPr>
          <w:sz w:val="19"/>
        </w:rPr>
      </w:pPr>
      <w:bookmarkStart w:id="28" w:name="_Toc485530798"/>
      <w:r w:rsidRPr="0005069E">
        <w:t>2.4 ”Äldreavgångarna” måste stoppas</w:t>
      </w:r>
      <w:bookmarkEnd w:id="28"/>
    </w:p>
    <w:p w:rsidR="00D472BD" w:rsidRPr="0005069E" w:rsidRDefault="00D472BD">
      <w:pPr>
        <w:pStyle w:val="Rubrik3"/>
      </w:pPr>
      <w:r w:rsidRPr="0005069E">
        <w:t>Rapporten</w:t>
      </w:r>
    </w:p>
    <w:p w:rsidR="00D472BD" w:rsidRPr="0005069E" w:rsidRDefault="00D472BD">
      <w:r w:rsidRPr="0005069E">
        <w:t>Revisorerna ser ingen anledning att ifrågasätta riktigheten i den bedömning som görs av Arbetsmarknadsverkets personal vad gäller äldreavgångarnas omfattning och de berörda personernas ovilja att aktivt söka nytt arbete. Revisorerna vill dock understryka att det i gruppen kan finnas personer som avgick för att de kände sig tvingade (trots de rättigheter de formellt hade enligt främjandelagen) och som inget hellre vill än att nu på nytt återgå i arbete. Andra kan visserligen ha avgått frivilligt men därefte</w:t>
      </w:r>
      <w:r w:rsidRPr="0005069E">
        <w:t>r ångrat sig och vilja börja arbeta igen. Utgångspunkten i bemötandet av varje enskild arbet</w:t>
      </w:r>
      <w:r w:rsidRPr="0005069E">
        <w:t>s</w:t>
      </w:r>
      <w:r w:rsidRPr="0005069E">
        <w:t>sökande måste därför vara att personen oavsett bakgrund vill hitta ett nytt arbete så snart som möjligt. Revisorerna betonar svårigheterna för en person att återgå i arbete efter att ha lämnat sin anställning i 60-års åldern och att risken för varaktig utslagning från arbetsmarknaden ökar ju längre arbetslö</w:t>
      </w:r>
      <w:r w:rsidRPr="0005069E">
        <w:t>s</w:t>
      </w:r>
      <w:r w:rsidRPr="0005069E">
        <w:t xml:space="preserve">heten varar. Arbetsförmedlingens insatser för denna grupp måste därför sättas in på ett mycket tidigt stadium </w:t>
      </w:r>
      <w:r w:rsidRPr="0005069E">
        <w:t>och utformas på ett kraftfullt och pr</w:t>
      </w:r>
      <w:r w:rsidRPr="0005069E">
        <w:t>o</w:t>
      </w:r>
      <w:r w:rsidRPr="0005069E">
        <w:t>fessi</w:t>
      </w:r>
      <w:r w:rsidRPr="0005069E">
        <w:t>o</w:t>
      </w:r>
      <w:r w:rsidRPr="0005069E">
        <w:t xml:space="preserve">nellt sätt. </w:t>
      </w:r>
    </w:p>
    <w:p w:rsidR="00D472BD" w:rsidRPr="0005069E" w:rsidRDefault="00D472BD">
      <w:pPr>
        <w:pStyle w:val="Normaltindrag"/>
      </w:pPr>
      <w:r w:rsidRPr="0005069E">
        <w:t>Omfattningen av äldreavgångarna och risken att den negativa inställningen till aktivt arbetssökande sprider sig till andra äldre arbetslösa gör att åtgärder för att komma till rätta med problemet bör vidtas omgående. I april 1999 slog AMS i en skrivelse till samtliga länsarbetsnämnder fast att ”Den enda åtgärd, som egentligen finns att tillgå, är att Arbetsförmedlingen tydligt visar att den som uppbär arbetslöshetsersättning aldrig är ’skyddad’ från s</w:t>
      </w:r>
      <w:r w:rsidRPr="0005069E">
        <w:t>kyldigheten att ta ett arbete eller acceptera en anvisning till ett arbetsmarknadspolitiskt pr</w:t>
      </w:r>
      <w:r w:rsidRPr="0005069E">
        <w:t>o</w:t>
      </w:r>
      <w:r w:rsidRPr="0005069E">
        <w:t>gram.” Revisorerna delar AMS uppfattning och vill liksom AMS understryka att för att detta ska lyckas ”behöver de enskilda arbetsförmedlarna (...) ett aktivt och entydigt stöd från alla berörda i detta arbete”. Revisorerna ko</w:t>
      </w:r>
      <w:r w:rsidRPr="0005069E">
        <w:t>n</w:t>
      </w:r>
      <w:r w:rsidRPr="0005069E">
        <w:t>staterar dock att denna skrivelse ej tycks ha fått avsedd effekt. Antalet a</w:t>
      </w:r>
      <w:r w:rsidRPr="0005069E">
        <w:t>r</w:t>
      </w:r>
      <w:r w:rsidRPr="0005069E">
        <w:t>betslösa som lämnat sin anställning i samband med äldreavgångar uppskatt</w:t>
      </w:r>
      <w:r w:rsidRPr="0005069E">
        <w:t>a</w:t>
      </w:r>
      <w:r w:rsidRPr="0005069E">
        <w:t>des vid årsskiftet till nästan 7 400 och e</w:t>
      </w:r>
      <w:r w:rsidRPr="0005069E">
        <w:t>ndast en minoritet av länsarbet</w:t>
      </w:r>
      <w:r w:rsidRPr="0005069E">
        <w:t>s</w:t>
      </w:r>
      <w:r w:rsidRPr="0005069E">
        <w:t>nämnderna bedömer att äldreavgångarna avtar. När länsarbetsnämnder och arbetsförmedlingar, i revisorernas enkät, gavs möjlighet att komma med förslag till hur problemet kan lösas var det i stort sett ingen som helt instä</w:t>
      </w:r>
      <w:r w:rsidRPr="0005069E">
        <w:t>m</w:t>
      </w:r>
      <w:r w:rsidRPr="0005069E">
        <w:t>de med budskapet i AMS skrivelse.</w:t>
      </w:r>
    </w:p>
    <w:p w:rsidR="00D472BD" w:rsidRPr="0005069E" w:rsidRDefault="00D472BD">
      <w:pPr>
        <w:pStyle w:val="Normaltindrag"/>
      </w:pPr>
      <w:r w:rsidRPr="0005069E">
        <w:t>Arbetsförmedlingens insatser för att aktivera äldre arbetslösa måste därför intensifieras för att uppnå målet i skrivelsen från AMS. Utgångspunkten bör, enligt Riksdagens revisorer, vara att så snabbt som möjligt erbjuda alla</w:t>
      </w:r>
      <w:r w:rsidRPr="0005069E">
        <w:t xml:space="preserve"> äldre arbetslösa aktiviteter på heltid med syfte att åstadkomma en återgång till den reguljära arbetsmarknaden. Det ankommer på AMS att tillse att handling</w:t>
      </w:r>
      <w:r w:rsidRPr="0005069E">
        <w:t>s</w:t>
      </w:r>
      <w:r w:rsidRPr="0005069E">
        <w:t>planer upprättas och att det av dessa planer framgår när och hur de äldre arbetslösa kommer att aktiveras. Den av regeringen nyligen introducerade aktivitetsgarantin för långtidsinskrivna bör, enligt revisorernas mening, ku</w:t>
      </w:r>
      <w:r w:rsidRPr="0005069E">
        <w:t>n</w:t>
      </w:r>
      <w:r w:rsidRPr="0005069E">
        <w:t xml:space="preserve">na utgöra ett verksamt instrument för att aktivera äldre arbetslösa även om dessa inte uppvisar långa inskrivningstider.  </w:t>
      </w:r>
    </w:p>
    <w:p w:rsidR="00D472BD" w:rsidRPr="0005069E" w:rsidRDefault="00D472BD">
      <w:pPr>
        <w:pStyle w:val="Normaltindrag"/>
      </w:pPr>
      <w:r w:rsidRPr="0005069E">
        <w:t xml:space="preserve">Avtalen </w:t>
      </w:r>
      <w:r w:rsidRPr="0005069E">
        <w:t>om äldreavgångar innebär att parterna övervältrar kostnadsansv</w:t>
      </w:r>
      <w:r w:rsidRPr="0005069E">
        <w:t>a</w:t>
      </w:r>
      <w:r w:rsidRPr="0005069E">
        <w:t>ret för sina pensionsöverenskommelser på statliga ersättningssystem som tillkommit för helt andra syften. Revisorerna ser det som orimligt att denna typ av avtal kan fattas på lokal nivå utan att parterna själva tar ansvar för de kostnader som uppstår. Revisorerna anser vidare att det ankommer på länsa</w:t>
      </w:r>
      <w:r w:rsidRPr="0005069E">
        <w:t>r</w:t>
      </w:r>
      <w:r w:rsidRPr="0005069E">
        <w:t>betsnämnderna att försäkra sig om att alla som berörs av denna typ av avtal är medvetna om vilka villkor som gäller för erhållande av arbetslöshe</w:t>
      </w:r>
      <w:r w:rsidRPr="0005069E">
        <w:t>tse</w:t>
      </w:r>
      <w:r w:rsidRPr="0005069E">
        <w:t>r</w:t>
      </w:r>
      <w:r w:rsidRPr="0005069E">
        <w:t>sättning. Enligt revisorernas mening ankommer det på arbetsförmedlingen att, i de fall man misstänker att arbetslöshetsersättningen utnyttjas som pe</w:t>
      </w:r>
      <w:r w:rsidRPr="0005069E">
        <w:t>n</w:t>
      </w:r>
      <w:r w:rsidRPr="0005069E">
        <w:t>sionsersättning, vidta de åtgärder som krävs för att hävda arbetslinjen och stävja detta mis</w:t>
      </w:r>
      <w:r w:rsidRPr="0005069E">
        <w:t>s</w:t>
      </w:r>
      <w:r w:rsidRPr="0005069E">
        <w:t>bruk.</w:t>
      </w:r>
    </w:p>
    <w:p w:rsidR="00D472BD" w:rsidRPr="0005069E" w:rsidRDefault="00D472BD">
      <w:pPr>
        <w:pStyle w:val="Normaltindrag"/>
      </w:pPr>
    </w:p>
    <w:p w:rsidR="00D472BD" w:rsidRPr="0005069E" w:rsidRDefault="00D472BD">
      <w:pPr>
        <w:pStyle w:val="Rubrik3"/>
      </w:pPr>
      <w:r w:rsidRPr="0005069E">
        <w:t>Remissinstanserna</w:t>
      </w:r>
    </w:p>
    <w:p w:rsidR="00D472BD" w:rsidRPr="0005069E" w:rsidRDefault="00D472BD">
      <w:r w:rsidRPr="0005069E">
        <w:t>Remissinstanserna instämmer i att alla som uppbär arbetslöshetsersättning måste stå till arbetsmarknadens förfogande och att det ankommer på arbet</w:t>
      </w:r>
      <w:r w:rsidRPr="0005069E">
        <w:t>s</w:t>
      </w:r>
      <w:r w:rsidRPr="0005069E">
        <w:t>förmedlingen att beivra missbruk om sådant förekommer. Flera remissinsta</w:t>
      </w:r>
      <w:r w:rsidRPr="0005069E">
        <w:t>n</w:t>
      </w:r>
      <w:r w:rsidRPr="0005069E">
        <w:t>ser betonar dock att arbetslinjen inte får innebära att äldre arbetslösa tvingas in i åtgärder enbart i kontrollsyfte. Även här anförs att det är positiva åtgä</w:t>
      </w:r>
      <w:r w:rsidRPr="0005069E">
        <w:t>r</w:t>
      </w:r>
      <w:r w:rsidRPr="0005069E">
        <w:t xml:space="preserve">der som gör det möjligt att arbeta kvar som är mest angelägna. </w:t>
      </w:r>
    </w:p>
    <w:p w:rsidR="00D472BD" w:rsidRPr="0005069E" w:rsidRDefault="00D472BD">
      <w:pPr>
        <w:pStyle w:val="Normaltindrag"/>
      </w:pPr>
      <w:r w:rsidRPr="0005069E">
        <w:t>Revisorernas uppfattning att arbetsförmedlingens insatser för de äldre a</w:t>
      </w:r>
      <w:r w:rsidRPr="0005069E">
        <w:t>r</w:t>
      </w:r>
      <w:r w:rsidRPr="0005069E">
        <w:t xml:space="preserve">betslösa måste sättas in tidigt samt utformas kraftfullt och professionellt får stöd hos remissinstanserna. Däremot anser bl.a. </w:t>
      </w:r>
      <w:r w:rsidRPr="0005069E">
        <w:rPr>
          <w:i/>
        </w:rPr>
        <w:t>SAF</w:t>
      </w:r>
      <w:r w:rsidRPr="0005069E">
        <w:t xml:space="preserve"> och </w:t>
      </w:r>
      <w:r w:rsidRPr="0005069E">
        <w:rPr>
          <w:i/>
        </w:rPr>
        <w:t>Kommunförbundet</w:t>
      </w:r>
      <w:r w:rsidRPr="0005069E">
        <w:t xml:space="preserve"> att förtida pensioner i det enskilda fallet ibland kan vara bästa sättet att lösa ett övertalighetsproblem.</w:t>
      </w:r>
    </w:p>
    <w:p w:rsidR="00D472BD" w:rsidRPr="0005069E" w:rsidRDefault="00D472BD">
      <w:pPr>
        <w:pStyle w:val="Normaltindrag"/>
      </w:pPr>
      <w:r w:rsidRPr="0005069E">
        <w:t>Parternas ansvar och informationen om de villkor som gäller för att få a</w:t>
      </w:r>
      <w:r w:rsidRPr="0005069E">
        <w:t>r</w:t>
      </w:r>
      <w:r w:rsidRPr="0005069E">
        <w:t xml:space="preserve">betslöshetsersättning tas upp av </w:t>
      </w:r>
      <w:r w:rsidRPr="0005069E">
        <w:rPr>
          <w:i/>
        </w:rPr>
        <w:t xml:space="preserve">Landstingsförbundet, LO, TCO </w:t>
      </w:r>
      <w:r w:rsidRPr="0005069E">
        <w:t xml:space="preserve">och </w:t>
      </w:r>
      <w:r w:rsidRPr="0005069E">
        <w:rPr>
          <w:i/>
        </w:rPr>
        <w:t>SAF.</w:t>
      </w:r>
      <w:r w:rsidRPr="0005069E">
        <w:t xml:space="preserve"> Samtliga understryker att de insatser som görs inte får innebära inblandning i de förhandlingar som sker mellan de lokala parterna eller att länsarbet</w:t>
      </w:r>
      <w:r w:rsidRPr="0005069E">
        <w:t>s</w:t>
      </w:r>
      <w:r w:rsidRPr="0005069E">
        <w:t>nämndens ansvar läggs på någon annan.</w:t>
      </w:r>
    </w:p>
    <w:p w:rsidR="00D472BD" w:rsidRPr="0005069E" w:rsidRDefault="00D472BD">
      <w:pPr>
        <w:pStyle w:val="Normaltindrag"/>
      </w:pPr>
      <w:r w:rsidRPr="0005069E">
        <w:rPr>
          <w:i/>
        </w:rPr>
        <w:t>Arbetsmarknadsstyrelsen</w:t>
      </w:r>
      <w:r w:rsidRPr="0005069E">
        <w:t xml:space="preserve"> betonar vikten av samverkan med parterna för att komma till rätta med problemet och beskriver i sitt remissvar de åtgärder man hittills vidtagit eller avser att vidta. Bland annat har man kontaktat vissa fackförbund för att diskutera möjligheterna att begränsa äldreavgångarna och engagerat ledamöterna i Arbetsmarknadsverkets partssammansatta styrelser och nämnder i frågan. </w:t>
      </w:r>
    </w:p>
    <w:p w:rsidR="00D472BD" w:rsidRPr="0005069E" w:rsidRDefault="00D472BD">
      <w:pPr>
        <w:pStyle w:val="Normaltindrag"/>
      </w:pPr>
    </w:p>
    <w:p w:rsidR="00D472BD" w:rsidRPr="0005069E" w:rsidRDefault="00D472BD">
      <w:pPr>
        <w:pStyle w:val="Rubrik3"/>
      </w:pPr>
      <w:r w:rsidRPr="0005069E">
        <w:t>Revisorerna</w:t>
      </w:r>
    </w:p>
    <w:p w:rsidR="00D472BD" w:rsidRPr="0005069E" w:rsidRDefault="00D472BD">
      <w:r w:rsidRPr="0005069E">
        <w:t>Den enkät revisorerna tillställde samtliga länsarbetsnämnder angående ant</w:t>
      </w:r>
      <w:r w:rsidRPr="0005069E">
        <w:t>a</w:t>
      </w:r>
      <w:r w:rsidRPr="0005069E">
        <w:t>let äldreavgångar rönte stort intresse från lokalpressen och bidrog också till att uppmärksamma problemet inom arbetsförmedlingen. Enligt uppgifter i ett flertal lokaltidningar har antalet äldreavgångar minskat eller upphört helt på flera orter. Detta intryck bekräftas också från länsarbetsnämndshåll. Det är också tillfredsställande att AMS har vidtagit ytterligare åtgärder för att komma till rätta med problemet. Även regeringen har i sin sysselsättning</w:t>
      </w:r>
      <w:r w:rsidRPr="0005069E">
        <w:t>s</w:t>
      </w:r>
      <w:r w:rsidRPr="0005069E">
        <w:t>politiska proposition, liksom revisorerna och bl.a. A</w:t>
      </w:r>
      <w:r w:rsidRPr="0005069E">
        <w:t>MS, pekat på aktivitet</w:t>
      </w:r>
      <w:r w:rsidRPr="0005069E">
        <w:t>s</w:t>
      </w:r>
      <w:r w:rsidRPr="0005069E">
        <w:t>garantin som en möjlig åtgärd för att hjälpa de äldre arbetslösa tillbaka till arbete. Revisorerna vill slutligen, i likhet med flera remissinstanser, unde</w:t>
      </w:r>
      <w:r w:rsidRPr="0005069E">
        <w:t>r</w:t>
      </w:r>
      <w:r w:rsidRPr="0005069E">
        <w:t>stryka vikten av att alla de insatser som görs för att aktivera de äldre arbet</w:t>
      </w:r>
      <w:r w:rsidRPr="0005069E">
        <w:t>s</w:t>
      </w:r>
      <w:r w:rsidRPr="0005069E">
        <w:t>sökande bygger på realistiska handlingsplaner som syftar till arbete på den reguljära arbetsmarknaden och tar hänsyn till den svåra situation den äldre arbetslöse ofta befinner sig i.</w:t>
      </w:r>
    </w:p>
    <w:p w:rsidR="00D472BD" w:rsidRPr="0005069E" w:rsidRDefault="00D472BD">
      <w:pPr>
        <w:pStyle w:val="Normaltindrag"/>
      </w:pPr>
      <w:r w:rsidRPr="0005069E">
        <w:t>Revisorerna föreslår att</w:t>
      </w:r>
    </w:p>
    <w:p w:rsidR="00D472BD" w:rsidRPr="0005069E" w:rsidRDefault="00D472BD">
      <w:pPr>
        <w:pStyle w:val="hembetr"/>
        <w:numPr>
          <w:ilvl w:val="0"/>
          <w:numId w:val="10"/>
        </w:numPr>
        <w:tabs>
          <w:tab w:val="clear" w:pos="1670"/>
          <w:tab w:val="num" w:pos="284"/>
        </w:tabs>
        <w:spacing w:before="120"/>
        <w:ind w:left="284" w:hanging="284"/>
      </w:pPr>
      <w:r w:rsidRPr="0005069E">
        <w:t>regeringen redovisar de åtgärder som vidtagits för att stoppa äldrea</w:t>
      </w:r>
      <w:r w:rsidRPr="0005069E">
        <w:t>v</w:t>
      </w:r>
      <w:r w:rsidRPr="0005069E">
        <w:t>gångarna, vilka insatser som satts in för de personer som befinner sig i denna grupp och vilka lösningar man därvid åstadkommit.</w:t>
      </w:r>
    </w:p>
    <w:p w:rsidR="00D472BD" w:rsidRPr="0005069E" w:rsidRDefault="00D472BD">
      <w:pPr>
        <w:pStyle w:val="Rubrik2"/>
      </w:pPr>
      <w:bookmarkStart w:id="29" w:name="_Toc483216687"/>
      <w:bookmarkStart w:id="30" w:name="_Toc485530799"/>
      <w:r w:rsidRPr="0005069E">
        <w:t>3 Revisorernas förslag</w:t>
      </w:r>
      <w:bookmarkEnd w:id="29"/>
      <w:bookmarkEnd w:id="30"/>
    </w:p>
    <w:p w:rsidR="00D472BD" w:rsidRPr="0005069E" w:rsidRDefault="00D472BD">
      <w:r w:rsidRPr="0005069E">
        <w:t>Riksdagens revisorer föreslår</w:t>
      </w:r>
    </w:p>
    <w:p w:rsidR="00D472BD" w:rsidRPr="0005069E" w:rsidRDefault="00D472BD">
      <w:r w:rsidRPr="0005069E">
        <w:t>1. att riksdagen ger regeringen till känna vad revisorerna i avsnitt 2.1 anfört om att regeringen redovisar hur vanligt det är att arbetslöshetsersättning kombineras med andra ersättningar och hur vanligt det är att arbetslösa rör sig mellan olika ersättningssystem samt redovisar de åtgärder som vidtagits mot bakgrund av revisorernas påp</w:t>
      </w:r>
      <w:r w:rsidRPr="0005069E">
        <w:t>e</w:t>
      </w:r>
      <w:r w:rsidRPr="0005069E">
        <w:t>kanden</w:t>
      </w:r>
    </w:p>
    <w:p w:rsidR="00D472BD" w:rsidRPr="0005069E" w:rsidRDefault="00D472BD">
      <w:r w:rsidRPr="0005069E">
        <w:t>2. att riksdagen ger regeringen till känna vad revisorerna i avsnitt 2.2 anfört om att regeringen följer upp och redovisar de åtgärder AMS och RFV vidt</w:t>
      </w:r>
      <w:r w:rsidRPr="0005069E">
        <w:t>a</w:t>
      </w:r>
      <w:r w:rsidRPr="0005069E">
        <w:t>git för att förbättra tillämpningen av regelverken för de äldre</w:t>
      </w:r>
    </w:p>
    <w:p w:rsidR="00D472BD" w:rsidRPr="0005069E" w:rsidRDefault="00D472BD">
      <w:r w:rsidRPr="0005069E">
        <w:t>3. att riksdagen ger regeringen till känna vad revisorerna i avsnitt 2.4 anfört om att regeringen redovisar de åtgärder som vidtagits för att stoppa äldrea</w:t>
      </w:r>
      <w:r w:rsidRPr="0005069E">
        <w:t>v</w:t>
      </w:r>
      <w:r w:rsidRPr="0005069E">
        <w:t>gångarna, vilka insatser som satts in för de personer som befinner sig i denna grupp och vilka lösningar man därvid åsta</w:t>
      </w:r>
      <w:r w:rsidRPr="0005069E">
        <w:t>d</w:t>
      </w:r>
      <w:r w:rsidRPr="0005069E">
        <w:t>kommit.</w:t>
      </w:r>
    </w:p>
    <w:p w:rsidR="00D472BD" w:rsidRPr="0005069E" w:rsidRDefault="00D472BD">
      <w:pPr>
        <w:pStyle w:val="Normaltindrag"/>
      </w:pPr>
      <w:bookmarkStart w:id="31" w:name="Nästa_Hpunkt"/>
      <w:bookmarkEnd w:id="31"/>
    </w:p>
    <w:p w:rsidR="00D472BD" w:rsidRPr="0005069E" w:rsidRDefault="00D472BD">
      <w:bookmarkStart w:id="32" w:name="RRDeltagare"/>
      <w:bookmarkEnd w:id="32"/>
      <w:r w:rsidRPr="0005069E">
        <w:t>Detta ärende har avgjorts av revisorerna i plenum. I beslutet har deltagit revisorerna Ingemar Josefsson (s), Anders G Högmark (m), Per Rosengren (v), Anita Jönsson (s), Kenneth Lantz (kd), Margit Gennser (m), Hans Ste</w:t>
      </w:r>
      <w:r w:rsidRPr="0005069E">
        <w:t>n</w:t>
      </w:r>
      <w:r w:rsidRPr="0005069E">
        <w:t>berg (s), Karl-Gösta Svenson (m), Marie Engström (v), Björn Kaaling (s), Ulla Wester (s) och Ann-Kristine Johansson (s).</w:t>
      </w:r>
    </w:p>
    <w:p w:rsidR="00D472BD" w:rsidRPr="0005069E" w:rsidRDefault="00D472BD">
      <w:r w:rsidRPr="0005069E">
        <w:t>Vid ärendets slutliga handläggning har vidare närvarit kanslichefen Åke Dahlberg, utredningschefen Margaretha Stålfors och revisionsdirektören Allan Read (för</w:t>
      </w:r>
      <w:r w:rsidRPr="0005069E">
        <w:t>e</w:t>
      </w:r>
      <w:r w:rsidRPr="0005069E">
        <w:t>dragande).</w:t>
      </w:r>
    </w:p>
    <w:p w:rsidR="00D472BD" w:rsidRPr="0005069E" w:rsidRDefault="00D472BD">
      <w:pPr>
        <w:pStyle w:val="Stockholm"/>
      </w:pPr>
      <w:r w:rsidRPr="0005069E">
        <w:t>Stockholm den 14 juni 2000</w:t>
      </w:r>
    </w:p>
    <w:p w:rsidR="00D472BD" w:rsidRPr="0005069E" w:rsidRDefault="00D472BD">
      <w:pPr>
        <w:pStyle w:val="Vgnar"/>
      </w:pPr>
      <w:r w:rsidRPr="0005069E">
        <w:t>På Riksdagens revisorers vägnar</w:t>
      </w:r>
    </w:p>
    <w:p w:rsidR="00D472BD" w:rsidRPr="0005069E" w:rsidRDefault="00D472BD">
      <w:pPr>
        <w:pStyle w:val="Odefinierat"/>
      </w:pPr>
    </w:p>
    <w:p w:rsidR="00D472BD" w:rsidRPr="0005069E" w:rsidRDefault="00D472BD">
      <w:pPr>
        <w:pStyle w:val="Normaltindrag"/>
      </w:pPr>
    </w:p>
    <w:p w:rsidR="00D472BD" w:rsidRPr="0005069E" w:rsidRDefault="00D472BD">
      <w:pPr>
        <w:rPr>
          <w:i/>
          <w:sz w:val="20"/>
        </w:rPr>
      </w:pPr>
      <w:r w:rsidRPr="0005069E">
        <w:rPr>
          <w:i/>
          <w:sz w:val="20"/>
        </w:rPr>
        <w:t>Ingemar Josefsson</w:t>
      </w:r>
    </w:p>
    <w:p w:rsidR="00D472BD" w:rsidRPr="0005069E" w:rsidRDefault="00D472BD">
      <w:pPr>
        <w:pStyle w:val="Normaltindrag"/>
        <w:rPr>
          <w:i/>
          <w:sz w:val="20"/>
        </w:rPr>
      </w:pPr>
    </w:p>
    <w:p w:rsidR="00D472BD" w:rsidRPr="0005069E" w:rsidRDefault="00D472BD">
      <w:pPr>
        <w:pStyle w:val="Normaltindrag"/>
        <w:rPr>
          <w:i/>
          <w:sz w:val="20"/>
        </w:rPr>
      </w:pPr>
    </w:p>
    <w:p w:rsidR="00D472BD" w:rsidRPr="0005069E" w:rsidRDefault="00D472BD">
      <w:pPr>
        <w:pStyle w:val="Normaltindrag"/>
        <w:rPr>
          <w:i/>
          <w:sz w:val="20"/>
        </w:rPr>
      </w:pPr>
      <w:r w:rsidRPr="0005069E">
        <w:rPr>
          <w:i/>
          <w:sz w:val="20"/>
        </w:rPr>
        <w:tab/>
      </w:r>
      <w:r w:rsidRPr="0005069E">
        <w:rPr>
          <w:i/>
          <w:sz w:val="20"/>
        </w:rPr>
        <w:tab/>
      </w:r>
      <w:r w:rsidRPr="0005069E">
        <w:rPr>
          <w:i/>
          <w:sz w:val="20"/>
        </w:rPr>
        <w:tab/>
        <w:t>Allan Read</w:t>
      </w:r>
    </w:p>
    <w:p w:rsidR="00D472BD" w:rsidRPr="0005069E" w:rsidRDefault="00D472BD">
      <w:pPr>
        <w:pStyle w:val="Rubrik1"/>
        <w:rPr>
          <w:sz w:val="24"/>
        </w:rPr>
      </w:pPr>
      <w:r w:rsidRPr="0005069E">
        <w:br w:type="page"/>
      </w:r>
      <w:bookmarkStart w:id="33" w:name="Ordförande"/>
      <w:bookmarkStart w:id="34" w:name="_Toc483216690"/>
      <w:bookmarkStart w:id="35" w:name="_Toc485530800"/>
      <w:bookmarkEnd w:id="33"/>
      <w:r w:rsidRPr="0005069E">
        <w:t>4 Sammanfattning av remissyttranden</w:t>
      </w:r>
      <w:bookmarkEnd w:id="34"/>
      <w:bookmarkEnd w:id="35"/>
    </w:p>
    <w:p w:rsidR="00D472BD" w:rsidRPr="0005069E" w:rsidRDefault="00D472BD">
      <w:pPr>
        <w:rPr>
          <w:sz w:val="24"/>
        </w:rPr>
      </w:pPr>
      <w:r w:rsidRPr="0005069E">
        <w:rPr>
          <w:sz w:val="24"/>
        </w:rPr>
        <w:t>Följande remissinstanser har yttrat sig:</w:t>
      </w:r>
    </w:p>
    <w:p w:rsidR="00D472BD" w:rsidRPr="0005069E" w:rsidRDefault="00D472BD">
      <w:pPr>
        <w:pStyle w:val="Normaltindrag"/>
      </w:pPr>
    </w:p>
    <w:p w:rsidR="00D472BD" w:rsidRPr="0005069E" w:rsidRDefault="00D472BD">
      <w:pPr>
        <w:pStyle w:val="Normaltindrag"/>
        <w:ind w:firstLine="0"/>
      </w:pPr>
      <w:r w:rsidRPr="0005069E">
        <w:t>Näringsdepartementet, Arbetsgivarverket, Arbetsmarknadsstyrelsen, Rik</w:t>
      </w:r>
      <w:r w:rsidRPr="0005069E">
        <w:t>s</w:t>
      </w:r>
      <w:r w:rsidRPr="0005069E">
        <w:t>försäkringsverket, Trygghetsrådet, Kommunförbundet, Landstingsförbundet, LO, TCO, SACO, Psykologförbundet, SAF och Forum 50+. Institutet för arbetsmarknadspolitisk utvärdering har meddelat att de inte har några sy</w:t>
      </w:r>
      <w:r w:rsidRPr="0005069E">
        <w:t>n</w:t>
      </w:r>
      <w:r w:rsidRPr="0005069E">
        <w:t>punkter avseende rapporten, och Justitiedepartementet har avstått från att yttra sig.</w:t>
      </w:r>
    </w:p>
    <w:p w:rsidR="00D472BD" w:rsidRPr="0005069E" w:rsidRDefault="00D472BD">
      <w:pPr>
        <w:pStyle w:val="Normaltindrag"/>
        <w:ind w:firstLine="0"/>
      </w:pPr>
    </w:p>
    <w:p w:rsidR="00D472BD" w:rsidRPr="0005069E" w:rsidRDefault="00D472BD">
      <w:pPr>
        <w:pStyle w:val="Normaltindrag"/>
        <w:ind w:firstLine="0"/>
      </w:pPr>
      <w:r w:rsidRPr="0005069E">
        <w:rPr>
          <w:sz w:val="24"/>
        </w:rPr>
        <w:t>Allmänna synpunkter</w:t>
      </w:r>
    </w:p>
    <w:p w:rsidR="00D472BD" w:rsidRPr="0005069E" w:rsidRDefault="00D472BD">
      <w:pPr>
        <w:pStyle w:val="Normaltindrag"/>
        <w:ind w:firstLine="0"/>
      </w:pPr>
    </w:p>
    <w:p w:rsidR="00D472BD" w:rsidRPr="0005069E" w:rsidRDefault="00D472BD">
      <w:pPr>
        <w:pStyle w:val="Normaltindrag"/>
        <w:ind w:firstLine="0"/>
      </w:pPr>
      <w:r w:rsidRPr="0005069E">
        <w:rPr>
          <w:i/>
        </w:rPr>
        <w:t>Näringsdepartementet</w:t>
      </w:r>
      <w:r w:rsidRPr="0005069E">
        <w:t xml:space="preserve"> instämmer i huvudsak i revisorernas förslag, men anser samtidigt att forskarrapporten inte ger en rättvis beskrivning av den arbetsmarknadspolitik som bedrevs under 1990-talet. Departementet menar att forskarna, vid sin kritik av arbetslivsutvecklingen (ALU) och den tillfäll</w:t>
      </w:r>
      <w:r w:rsidRPr="0005069E">
        <w:t>i</w:t>
      </w:r>
      <w:r w:rsidRPr="0005069E">
        <w:t>ga avgångsersättningen (TAE), borde ha beaktat den mycket höga arbetslö</w:t>
      </w:r>
      <w:r w:rsidRPr="0005069E">
        <w:t>s</w:t>
      </w:r>
      <w:r w:rsidRPr="0005069E">
        <w:t>heten. ALU bidrog, enligt departementet, till att många arbetslösa lyckades behålla sin anknytning till arbetsmarknaden och TAE gjorde att arbetsfö</w:t>
      </w:r>
      <w:r w:rsidRPr="0005069E">
        <w:t>r</w:t>
      </w:r>
      <w:r w:rsidRPr="0005069E">
        <w:t>medlingen kunde</w:t>
      </w:r>
      <w:r w:rsidRPr="0005069E">
        <w:t xml:space="preserve"> inrikta sina resurser på personer som var aktivt arbetss</w:t>
      </w:r>
      <w:r w:rsidRPr="0005069E">
        <w:t>ö</w:t>
      </w:r>
      <w:r w:rsidRPr="0005069E">
        <w:t>kande. Att sysselsättningsökningen i slutet av 1990-talet kunnat ske utan inflationsdrivande effekter tyder, enligt departementet, på att arbetsmar</w:t>
      </w:r>
      <w:r w:rsidRPr="0005069E">
        <w:t>k</w:t>
      </w:r>
      <w:r w:rsidRPr="0005069E">
        <w:t xml:space="preserve">nadspolitiken i flera avseenden varit framgångsrik. </w:t>
      </w:r>
    </w:p>
    <w:p w:rsidR="00D472BD" w:rsidRPr="0005069E" w:rsidRDefault="00D472BD">
      <w:pPr>
        <w:pStyle w:val="Normaltindrag"/>
      </w:pPr>
      <w:r w:rsidRPr="0005069E">
        <w:rPr>
          <w:i/>
        </w:rPr>
        <w:t xml:space="preserve">Arbetsgivarverket, Arbetsmarknadsstyrelsen, Kommunförbundet, TCO </w:t>
      </w:r>
      <w:r w:rsidRPr="0005069E">
        <w:t xml:space="preserve">och </w:t>
      </w:r>
      <w:r w:rsidRPr="0005069E">
        <w:rPr>
          <w:i/>
        </w:rPr>
        <w:t>SACO</w:t>
      </w:r>
      <w:r w:rsidRPr="0005069E">
        <w:t xml:space="preserve"> instämmer i att möjligheterna att hävda arbetslinjen för de äldre spelar en viktig roll för att undvika att den gynnsamma ekonomiska utvecklingen dämpas av en förvärrad arbetskraftsbrist. </w:t>
      </w:r>
      <w:r w:rsidRPr="0005069E">
        <w:rPr>
          <w:i/>
        </w:rPr>
        <w:t xml:space="preserve">Arbetsgivarverket </w:t>
      </w:r>
      <w:r w:rsidRPr="0005069E">
        <w:t xml:space="preserve">betonar vidare att detta i lika hög grad gäller för den statliga sektorn som för andra delar av den offentliga sektorn och det privata näringslivet. </w:t>
      </w:r>
      <w:r w:rsidRPr="0005069E">
        <w:rPr>
          <w:i/>
        </w:rPr>
        <w:t xml:space="preserve">Arbetsmarknadsstyrelsen </w:t>
      </w:r>
      <w:r w:rsidRPr="0005069E">
        <w:t>nämner att sysselsättningssituationen förbättrats för åldersgruppen 60–64 år under första kvartalet i år och att den nedåtgå</w:t>
      </w:r>
      <w:r w:rsidRPr="0005069E">
        <w:t xml:space="preserve">ende trenden för den äldsta gruppens sysselsättning därmed förhoppningsvis brutits. </w:t>
      </w:r>
      <w:r w:rsidRPr="0005069E">
        <w:rPr>
          <w:i/>
        </w:rPr>
        <w:t>Svenska Kommu</w:t>
      </w:r>
      <w:r w:rsidRPr="0005069E">
        <w:rPr>
          <w:i/>
        </w:rPr>
        <w:t>n</w:t>
      </w:r>
      <w:r w:rsidRPr="0005069E">
        <w:rPr>
          <w:i/>
        </w:rPr>
        <w:t>förbundet</w:t>
      </w:r>
      <w:r w:rsidRPr="0005069E">
        <w:t xml:space="preserve"> anför att brist på arbetskraft kommer att försvåra för kommunerna att göra de stora rekryteringar till främst skolan, vården och omsorgen som kommer att krävas bl.a. till följd av pensionsavgångar och ökad efterfrågan. </w:t>
      </w:r>
      <w:r w:rsidRPr="0005069E">
        <w:rPr>
          <w:i/>
        </w:rPr>
        <w:t xml:space="preserve">TCO </w:t>
      </w:r>
      <w:r w:rsidRPr="0005069E">
        <w:t>anser att det, även om arbetslinjen ska prägla åtgärderna inom området, kan vara rimligt att undersöka effekten av och möjligheten till pensionslö</w:t>
      </w:r>
      <w:r w:rsidRPr="0005069E">
        <w:t>s</w:t>
      </w:r>
      <w:r w:rsidRPr="0005069E">
        <w:t xml:space="preserve">ningar även av arbetsmarknadsskäl </w:t>
      </w:r>
      <w:r w:rsidRPr="0005069E">
        <w:t>för vissa grupper.</w:t>
      </w:r>
    </w:p>
    <w:p w:rsidR="00D472BD" w:rsidRPr="0005069E" w:rsidRDefault="00D472BD">
      <w:pPr>
        <w:pStyle w:val="Normaltindrag"/>
      </w:pPr>
      <w:r w:rsidRPr="0005069E">
        <w:rPr>
          <w:i/>
        </w:rPr>
        <w:t>Riksförsäkringsverket, Kommunförbundet, Landstingsförbundet, TCO</w:t>
      </w:r>
      <w:r w:rsidRPr="0005069E">
        <w:t xml:space="preserve"> och </w:t>
      </w:r>
      <w:r w:rsidRPr="0005069E">
        <w:rPr>
          <w:i/>
        </w:rPr>
        <w:t xml:space="preserve">Psykologförbundet </w:t>
      </w:r>
      <w:r w:rsidRPr="0005069E">
        <w:t xml:space="preserve">framhåller, liksom revisorerna, vikten av att arbetslivets villkor förändras så att människor kan och vill arbeta fram till den ordinarie pensionsåldern. </w:t>
      </w:r>
      <w:r w:rsidRPr="0005069E">
        <w:rPr>
          <w:i/>
        </w:rPr>
        <w:t>Riksförsäkringsverket</w:t>
      </w:r>
      <w:r w:rsidRPr="0005069E">
        <w:t xml:space="preserve"> anser också att det är nödvändigt med ökad forskning på området och understryker vikten av ett genderperspektiv eftersom kvinnor och män ofta har olika arbetsvillkor. </w:t>
      </w:r>
      <w:r w:rsidRPr="0005069E">
        <w:rPr>
          <w:i/>
        </w:rPr>
        <w:t>Kommunförbundet</w:t>
      </w:r>
      <w:r w:rsidRPr="0005069E">
        <w:t xml:space="preserve"> anser att arbetsmarknadens parter ska ha möjlighet att utforma de villkor för arbetslivet som krävs för att bryta utvecklingen mot</w:t>
      </w:r>
      <w:r w:rsidRPr="0005069E">
        <w:t xml:space="preserve"> fallande sysselsät</w:t>
      </w:r>
      <w:r w:rsidRPr="0005069E">
        <w:t>t</w:t>
      </w:r>
      <w:r w:rsidRPr="0005069E">
        <w:t xml:space="preserve">ningstal för de äldre, men betonar samtidigt att detta förutsätter att man har stöd i de statliga regelverk och åtgärdsprogram som rör arbetslivet. </w:t>
      </w:r>
      <w:r w:rsidRPr="0005069E">
        <w:rPr>
          <w:i/>
        </w:rPr>
        <w:t>TCO</w:t>
      </w:r>
      <w:r w:rsidRPr="0005069E">
        <w:t xml:space="preserve"> betonar att stressen i arbetslivet måste minska och arbetsmiljön förbättras samt att de ”undernärda” organisationernas ställning som förebild måste brytas. </w:t>
      </w:r>
      <w:r w:rsidRPr="0005069E">
        <w:rPr>
          <w:i/>
        </w:rPr>
        <w:t xml:space="preserve">TCO </w:t>
      </w:r>
      <w:r w:rsidRPr="0005069E">
        <w:t>argumenterar även för återinförandet av en reell möjlighet till delpension.</w:t>
      </w:r>
      <w:r w:rsidRPr="0005069E">
        <w:rPr>
          <w:i/>
        </w:rPr>
        <w:t xml:space="preserve"> Psykologförbundet</w:t>
      </w:r>
      <w:r w:rsidRPr="0005069E">
        <w:t xml:space="preserve"> understryker vikten av att arbetsplatsen a</w:t>
      </w:r>
      <w:r w:rsidRPr="0005069E">
        <w:t>n</w:t>
      </w:r>
      <w:r w:rsidRPr="0005069E">
        <w:t>passas till individen med hänsyn till stiga</w:t>
      </w:r>
      <w:r w:rsidRPr="0005069E">
        <w:t>nde ålder och att goda kontakter med företagshälsovård och andra samarbetsparter ger arbetsgivaren möjli</w:t>
      </w:r>
      <w:r w:rsidRPr="0005069E">
        <w:t>g</w:t>
      </w:r>
      <w:r w:rsidRPr="0005069E">
        <w:t>het att laborera med anställnings- och pensionsvillkoren för individens bästa.</w:t>
      </w:r>
    </w:p>
    <w:p w:rsidR="00D472BD" w:rsidRPr="0005069E" w:rsidRDefault="00D472BD">
      <w:pPr>
        <w:pStyle w:val="Normaltindrag"/>
      </w:pPr>
      <w:r w:rsidRPr="0005069E">
        <w:rPr>
          <w:i/>
        </w:rPr>
        <w:t>LO</w:t>
      </w:r>
      <w:r w:rsidRPr="0005069E">
        <w:t xml:space="preserve"> menar att revisorerna fokuserar på ett angeläget problem och betonar att frågan handlar om mer än regeltillämpning. Man anser vidare att en mö</w:t>
      </w:r>
      <w:r w:rsidRPr="0005069E">
        <w:t>j</w:t>
      </w:r>
      <w:r w:rsidRPr="0005069E">
        <w:t xml:space="preserve">lighet att gå ner i arbetstid ofta är en förutsättning för att äldre ska kunna stanna kvar i arbetslivet. Enligt </w:t>
      </w:r>
      <w:r w:rsidRPr="0005069E">
        <w:rPr>
          <w:i/>
        </w:rPr>
        <w:t xml:space="preserve">LO </w:t>
      </w:r>
      <w:r w:rsidRPr="0005069E">
        <w:t>har arbetslöshetsförsäkringarna fått ta konsekvenserna av bristerna i socialförsäkringarna när sjukförsäkringen urholkats, möjligheten till delpension försvunnit och reglerna för förtidspe</w:t>
      </w:r>
      <w:r w:rsidRPr="0005069E">
        <w:t>n</w:t>
      </w:r>
      <w:r w:rsidRPr="0005069E">
        <w:t>sion förän</w:t>
      </w:r>
      <w:r w:rsidRPr="0005069E">
        <w:t>d</w:t>
      </w:r>
      <w:r w:rsidRPr="0005069E">
        <w:t xml:space="preserve">rats. </w:t>
      </w:r>
    </w:p>
    <w:p w:rsidR="00D472BD" w:rsidRPr="0005069E" w:rsidRDefault="00D472BD">
      <w:pPr>
        <w:pStyle w:val="Normaltindrag"/>
      </w:pPr>
      <w:r w:rsidRPr="0005069E">
        <w:rPr>
          <w:i/>
        </w:rPr>
        <w:t>SAF</w:t>
      </w:r>
      <w:r w:rsidRPr="0005069E">
        <w:t xml:space="preserve">  anser att merparten av revisorernas förslag är omöjliga att genomf</w:t>
      </w:r>
      <w:r w:rsidRPr="0005069E">
        <w:t>ö</w:t>
      </w:r>
      <w:r w:rsidRPr="0005069E">
        <w:t>ra, att delvis missuppfattade fakta läggs samman i en ofullständig analys och att det därtill saknas en helhetsbedömning av frågan. Merparten av de fö</w:t>
      </w:r>
      <w:r w:rsidRPr="0005069E">
        <w:t>r</w:t>
      </w:r>
      <w:r w:rsidRPr="0005069E">
        <w:t xml:space="preserve">hållanden som beskrivs i rapporten hör, enligt </w:t>
      </w:r>
      <w:r w:rsidRPr="0005069E">
        <w:rPr>
          <w:i/>
        </w:rPr>
        <w:t>SAF</w:t>
      </w:r>
      <w:r w:rsidRPr="0005069E">
        <w:t>, samman med 90-talets extrema situation på arbetsmarknaden som gav upphov till en arbetsmar</w:t>
      </w:r>
      <w:r w:rsidRPr="0005069E">
        <w:t>k</w:t>
      </w:r>
      <w:r w:rsidRPr="0005069E">
        <w:t xml:space="preserve">nadspolitik som motverkade arbetslinjen. </w:t>
      </w:r>
      <w:r w:rsidRPr="0005069E">
        <w:rPr>
          <w:i/>
        </w:rPr>
        <w:t>SAF</w:t>
      </w:r>
      <w:r w:rsidRPr="0005069E">
        <w:t xml:space="preserve"> ser inte förtida pensionsa</w:t>
      </w:r>
      <w:r w:rsidRPr="0005069E">
        <w:t>v</w:t>
      </w:r>
      <w:r w:rsidRPr="0005069E">
        <w:t>gångar i sig som ett problem för företagens kompetensförsörjning utan menar a</w:t>
      </w:r>
      <w:r w:rsidRPr="0005069E">
        <w:t>tt den överreglerade arbetsmarknaden ger upphov till en dålig matchning mellan företagens behov, de arbetssökandes kompetens, individuella föru</w:t>
      </w:r>
      <w:r w:rsidRPr="0005069E">
        <w:t>t</w:t>
      </w:r>
      <w:r w:rsidRPr="0005069E">
        <w:t xml:space="preserve">sättningar och ersättningsnivåer. </w:t>
      </w:r>
    </w:p>
    <w:p w:rsidR="00D472BD" w:rsidRPr="0005069E" w:rsidRDefault="00D472BD">
      <w:pPr>
        <w:pStyle w:val="Normaltindrag"/>
      </w:pPr>
      <w:r w:rsidRPr="0005069E">
        <w:rPr>
          <w:i/>
        </w:rPr>
        <w:t xml:space="preserve">Forum 50+ </w:t>
      </w:r>
      <w:r w:rsidRPr="0005069E">
        <w:t>tillstyrker revisorernas överväganden och betonar den betyde</w:t>
      </w:r>
      <w:r w:rsidRPr="0005069E">
        <w:t>l</w:t>
      </w:r>
      <w:r w:rsidRPr="0005069E">
        <w:t>se samhällets attityder till de äldre har för de äldres status på arbetsmarkn</w:t>
      </w:r>
      <w:r w:rsidRPr="0005069E">
        <w:t>a</w:t>
      </w:r>
      <w:r w:rsidRPr="0005069E">
        <w:t xml:space="preserve">den. Det behövs, enligt föreningen, en kartläggning av de faktiska hindren i lagstiftningen på arbetsmarknaden för att skilja faktiska hinder från myter. Vidare anförs att åldersgränserna inom studiestödssystemet hindrar de äldre från att komplettera sin utbildning. </w:t>
      </w:r>
      <w:r w:rsidRPr="0005069E">
        <w:rPr>
          <w:i/>
        </w:rPr>
        <w:t xml:space="preserve">Forum 50+ </w:t>
      </w:r>
      <w:r w:rsidRPr="0005069E">
        <w:t>anser att om arbetslösa över 50 år kunde få läsa vid universitet och högskolor skulle detta förb</w:t>
      </w:r>
      <w:r w:rsidRPr="0005069E">
        <w:t xml:space="preserve">ättra de äldres möjligheter  till nya kunskaper. </w:t>
      </w:r>
    </w:p>
    <w:p w:rsidR="00D472BD" w:rsidRPr="0005069E" w:rsidRDefault="00D472BD">
      <w:pPr>
        <w:pStyle w:val="Normaltindrag"/>
        <w:ind w:firstLine="0"/>
        <w:rPr>
          <w:sz w:val="24"/>
        </w:rPr>
      </w:pPr>
    </w:p>
    <w:p w:rsidR="00D472BD" w:rsidRPr="0005069E" w:rsidRDefault="00D472BD">
      <w:pPr>
        <w:pStyle w:val="Normaltindrag"/>
        <w:ind w:firstLine="0"/>
      </w:pPr>
      <w:r w:rsidRPr="0005069E">
        <w:rPr>
          <w:sz w:val="24"/>
        </w:rPr>
        <w:t>Det komplexa regelverket</w:t>
      </w:r>
    </w:p>
    <w:p w:rsidR="00D472BD" w:rsidRPr="0005069E" w:rsidRDefault="00D472BD">
      <w:pPr>
        <w:pStyle w:val="Normaltindrag"/>
        <w:ind w:firstLine="0"/>
      </w:pPr>
    </w:p>
    <w:p w:rsidR="00D472BD" w:rsidRPr="0005069E" w:rsidRDefault="00D472BD">
      <w:pPr>
        <w:pStyle w:val="Normaltindrag"/>
        <w:ind w:firstLine="0"/>
      </w:pPr>
      <w:r w:rsidRPr="0005069E">
        <w:rPr>
          <w:i/>
        </w:rPr>
        <w:t>Riksförsäkringsverket</w:t>
      </w:r>
      <w:r w:rsidRPr="0005069E">
        <w:t xml:space="preserve"> pläderar, liksom revisorerna, för mera renodlade och långsiktiga ersättningssystem. Strävan bör, enligt verket, vara tydliga grä</w:t>
      </w:r>
      <w:r w:rsidRPr="0005069E">
        <w:t>n</w:t>
      </w:r>
      <w:r w:rsidRPr="0005069E">
        <w:t xml:space="preserve">ser, satta så att ingen individ ska behöva bollas mellan olika system och ingen ansvarig ska kunna rymma från sitt ansvar. Även </w:t>
      </w:r>
      <w:r w:rsidRPr="0005069E">
        <w:rPr>
          <w:i/>
        </w:rPr>
        <w:t>Landstingsförbundet</w:t>
      </w:r>
      <w:r w:rsidRPr="0005069E">
        <w:t xml:space="preserve"> instämmer i att regelverken behöver bli tydligare och ej konjunkturberoende. </w:t>
      </w:r>
      <w:r w:rsidRPr="0005069E">
        <w:rPr>
          <w:i/>
        </w:rPr>
        <w:t>SACO</w:t>
      </w:r>
      <w:r w:rsidRPr="0005069E">
        <w:t xml:space="preserve"> delar revisorernas uppfattning att ersättningarna bör renodlas och att möjligheten att röra sig mellan systemen eller kombinera olika ersättningar bör b</w:t>
      </w:r>
      <w:r w:rsidRPr="0005069E">
        <w:t xml:space="preserve">egränsas. Enligt </w:t>
      </w:r>
      <w:r w:rsidRPr="0005069E">
        <w:rPr>
          <w:i/>
        </w:rPr>
        <w:t>SACO</w:t>
      </w:r>
      <w:r w:rsidRPr="0005069E">
        <w:t xml:space="preserve"> bör försäkringarna vara allmänna och obligat</w:t>
      </w:r>
      <w:r w:rsidRPr="0005069E">
        <w:t>o</w:t>
      </w:r>
      <w:r w:rsidRPr="0005069E">
        <w:t xml:space="preserve">riska, dessutom måste socialförsäkringarna göras mer försäkringsmässiga med gemensamma avgifts- och förmånsgrundande inkomster. Det kan också finnas skäl att överväga en sammanslagning av arbetslöshetsförsäkringen och sjukförsäkringen. </w:t>
      </w:r>
    </w:p>
    <w:p w:rsidR="00D472BD" w:rsidRPr="0005069E" w:rsidRDefault="00D472BD">
      <w:pPr>
        <w:pStyle w:val="Normaltindrag"/>
      </w:pPr>
      <w:r w:rsidRPr="0005069E">
        <w:rPr>
          <w:i/>
        </w:rPr>
        <w:t xml:space="preserve">SACO </w:t>
      </w:r>
      <w:r w:rsidRPr="0005069E">
        <w:t>uttrycker också oro över att allt fler arbetslösa har sjukpennin</w:t>
      </w:r>
      <w:r w:rsidRPr="0005069E">
        <w:t>g</w:t>
      </w:r>
      <w:r w:rsidRPr="0005069E">
        <w:t xml:space="preserve">grundande inkomster som ligger över taket för arbetslöshetsförsäkringens maximinivå. </w:t>
      </w:r>
      <w:r w:rsidRPr="0005069E">
        <w:rPr>
          <w:i/>
        </w:rPr>
        <w:t>TCO</w:t>
      </w:r>
      <w:r w:rsidRPr="0005069E">
        <w:t xml:space="preserve"> pekar på de problem som kan uppstå t.ex. för långtidssju</w:t>
      </w:r>
      <w:r w:rsidRPr="0005069E">
        <w:t>k</w:t>
      </w:r>
      <w:r w:rsidRPr="0005069E">
        <w:t xml:space="preserve">skrivna som blir friska och övergår till den lägre arbetslöshetsersättningen. Enligt </w:t>
      </w:r>
      <w:r w:rsidRPr="0005069E">
        <w:rPr>
          <w:i/>
        </w:rPr>
        <w:t xml:space="preserve">TCO </w:t>
      </w:r>
      <w:r w:rsidRPr="0005069E">
        <w:t>bör taket för arbetslöshetsförsäkringen höjas till samma nivå som i sjukförsäkringen.</w:t>
      </w:r>
    </w:p>
    <w:p w:rsidR="00D472BD" w:rsidRPr="0005069E" w:rsidRDefault="00D472BD">
      <w:pPr>
        <w:pStyle w:val="Normaltindrag"/>
      </w:pPr>
      <w:r w:rsidRPr="0005069E">
        <w:rPr>
          <w:i/>
        </w:rPr>
        <w:t xml:space="preserve">Kommunförbundet </w:t>
      </w:r>
      <w:r w:rsidRPr="0005069E">
        <w:t>anser att bestämmelserna inom arbetsmarknadspolit</w:t>
      </w:r>
      <w:r w:rsidRPr="0005069E">
        <w:t>i</w:t>
      </w:r>
      <w:r w:rsidRPr="0005069E">
        <w:t>ken, arbetsmarknadslagstiftningen, socialförsäkringen samt studiestödssy</w:t>
      </w:r>
      <w:r w:rsidRPr="0005069E">
        <w:t>s</w:t>
      </w:r>
      <w:r w:rsidRPr="0005069E">
        <w:t>temet måste utformas, och i praktiken hanteras, på ett sätt som främjar a</w:t>
      </w:r>
      <w:r w:rsidRPr="0005069E">
        <w:t>r</w:t>
      </w:r>
      <w:r w:rsidRPr="0005069E">
        <w:t>betslinjens tillämpning för de äldre.</w:t>
      </w:r>
    </w:p>
    <w:p w:rsidR="00D472BD" w:rsidRPr="0005069E" w:rsidRDefault="00D472BD">
      <w:pPr>
        <w:pStyle w:val="Normaltindrag"/>
        <w:rPr>
          <w:i/>
        </w:rPr>
      </w:pPr>
      <w:r w:rsidRPr="0005069E">
        <w:t xml:space="preserve">Beträffande kombination av pension och a-kassa anför </w:t>
      </w:r>
      <w:r w:rsidRPr="0005069E">
        <w:rPr>
          <w:i/>
        </w:rPr>
        <w:t xml:space="preserve">LO </w:t>
      </w:r>
      <w:r w:rsidRPr="0005069E">
        <w:t>att</w:t>
      </w:r>
      <w:r w:rsidRPr="0005069E">
        <w:rPr>
          <w:i/>
        </w:rPr>
        <w:t xml:space="preserve"> </w:t>
      </w:r>
      <w:r w:rsidRPr="0005069E">
        <w:t>det i realit</w:t>
      </w:r>
      <w:r w:rsidRPr="0005069E">
        <w:t>e</w:t>
      </w:r>
      <w:r w:rsidRPr="0005069E">
        <w:t xml:space="preserve">ten handlar om att pensionen inte räcker att leva på och att man då anmäler sig som sökande vid arbetsförmedlingen. Problemet anses inte vara själva ersättningssystemet utan snarare att arbetsförmedlingen måste ställa krav på de arbetssökande att de ska stå till arbetsmarknadens förfogande. </w:t>
      </w:r>
    </w:p>
    <w:p w:rsidR="00D472BD" w:rsidRPr="0005069E" w:rsidRDefault="00D472BD">
      <w:pPr>
        <w:pStyle w:val="Normaltindrag"/>
      </w:pPr>
      <w:r w:rsidRPr="0005069E">
        <w:rPr>
          <w:i/>
        </w:rPr>
        <w:t>SAF</w:t>
      </w:r>
      <w:r w:rsidRPr="0005069E">
        <w:t xml:space="preserve"> noterar revisorernas kritik mot de ideliga förändringarna i ersättning</w:t>
      </w:r>
      <w:r w:rsidRPr="0005069E">
        <w:t>s</w:t>
      </w:r>
      <w:r w:rsidRPr="0005069E">
        <w:t>systemen och hänvisar till att man länge efterfrågat färre och enklare regler som är möjliga att hantera för företagen. Vidare pekar man på behovet av regelförenklingar och rivande av onödiga hinder för att göra det lättare för den enskilde att gå från arbetslöshet till försörjning genom eget arbete.</w:t>
      </w:r>
    </w:p>
    <w:p w:rsidR="00D472BD" w:rsidRPr="0005069E" w:rsidRDefault="00D472BD">
      <w:pPr>
        <w:pStyle w:val="Normaltindrag"/>
        <w:ind w:firstLine="0"/>
        <w:rPr>
          <w:sz w:val="24"/>
        </w:rPr>
      </w:pPr>
    </w:p>
    <w:p w:rsidR="00D472BD" w:rsidRPr="0005069E" w:rsidRDefault="00D472BD">
      <w:pPr>
        <w:pStyle w:val="Normaltindrag"/>
        <w:ind w:firstLine="0"/>
        <w:rPr>
          <w:sz w:val="24"/>
        </w:rPr>
      </w:pPr>
      <w:r w:rsidRPr="0005069E">
        <w:rPr>
          <w:sz w:val="24"/>
        </w:rPr>
        <w:t>Tillämpningspraxis</w:t>
      </w:r>
    </w:p>
    <w:p w:rsidR="00D472BD" w:rsidRPr="0005069E" w:rsidRDefault="00D472BD">
      <w:pPr>
        <w:pStyle w:val="Normaltindrag"/>
        <w:ind w:firstLine="0"/>
      </w:pPr>
    </w:p>
    <w:p w:rsidR="00D472BD" w:rsidRPr="0005069E" w:rsidRDefault="00D472BD">
      <w:pPr>
        <w:pStyle w:val="Normaltindrag"/>
        <w:ind w:firstLine="0"/>
      </w:pPr>
      <w:r w:rsidRPr="0005069E">
        <w:rPr>
          <w:i/>
        </w:rPr>
        <w:t xml:space="preserve">Arbetsmarknadsstyrelsen (AMS) </w:t>
      </w:r>
      <w:r w:rsidRPr="0005069E">
        <w:t xml:space="preserve">instämmer i att insatser behöver sättas in på ett tidigt stadium för äldre arbetssökande. Därför bör, enligt </w:t>
      </w:r>
      <w:r w:rsidRPr="0005069E">
        <w:rPr>
          <w:i/>
        </w:rPr>
        <w:t>AMS</w:t>
      </w:r>
      <w:r w:rsidRPr="0005069E">
        <w:t xml:space="preserve">, äldre sökande kunna anvisas till aktivitetsgarantin utan att ha gått utan arbete en längre tid. </w:t>
      </w:r>
      <w:r w:rsidRPr="0005069E">
        <w:rPr>
          <w:i/>
        </w:rPr>
        <w:t>AMS</w:t>
      </w:r>
      <w:r w:rsidRPr="0005069E">
        <w:t xml:space="preserve"> kommer att verka för att äldres arbetskraftsutbud tas till vara och anser att frågan om de äldres arbetsmarknad och behovet av förme</w:t>
      </w:r>
      <w:r w:rsidRPr="0005069E">
        <w:t>d</w:t>
      </w:r>
      <w:r w:rsidRPr="0005069E">
        <w:t>lingsinsatser bör tas upp i arbetsförmedlingsnämnderna för att få stöd från parterna på lokal nivå.</w:t>
      </w:r>
    </w:p>
    <w:p w:rsidR="00D472BD" w:rsidRPr="0005069E" w:rsidRDefault="00D472BD">
      <w:pPr>
        <w:pStyle w:val="Normaltindrag"/>
      </w:pPr>
      <w:r w:rsidRPr="0005069E">
        <w:t xml:space="preserve">Även </w:t>
      </w:r>
      <w:r w:rsidRPr="0005069E">
        <w:rPr>
          <w:i/>
        </w:rPr>
        <w:t xml:space="preserve">Kommunförbundet </w:t>
      </w:r>
      <w:r w:rsidRPr="0005069E">
        <w:t>tror att aktivitetsgarantin kommer att vara en lämplig insats för äldre arbetslösa, men betonar samtidigt att en förutsättning för att arbetsförmedlingens resurser ska kunna användas effektivt är att de aktiva insatserna föregås av genomarbetade realistiska handlingsplaner.</w:t>
      </w:r>
    </w:p>
    <w:p w:rsidR="00D472BD" w:rsidRPr="0005069E" w:rsidRDefault="00D472BD">
      <w:pPr>
        <w:pStyle w:val="Normaltindrag"/>
      </w:pPr>
      <w:r w:rsidRPr="0005069E">
        <w:rPr>
          <w:i/>
        </w:rPr>
        <w:t xml:space="preserve">LO </w:t>
      </w:r>
      <w:r w:rsidRPr="0005069E">
        <w:t>ifrågasätter underlaget för revisorernas bedömning att de statliga e</w:t>
      </w:r>
      <w:r w:rsidRPr="0005069E">
        <w:t>r</w:t>
      </w:r>
      <w:r w:rsidRPr="0005069E">
        <w:t xml:space="preserve">sättningarna alltför ofta använts för att trygga individernas försörjning fram till ordinarie pension. Samtidigt anför man att det inte är rimligt att den som är 60 år och fullt arbetsför ska gå på a-kassa fram till pension. Det behövs, enligt </w:t>
      </w:r>
      <w:r w:rsidRPr="0005069E">
        <w:rPr>
          <w:i/>
        </w:rPr>
        <w:t>LO,</w:t>
      </w:r>
      <w:r w:rsidRPr="0005069E">
        <w:t xml:space="preserve"> ett nytt arbetssätt för äldre arbetslösa som är mer långsiktigt, mer individanpassat, nätverksorienterat och byggt på en kombination av olika åtgärder.</w:t>
      </w:r>
    </w:p>
    <w:p w:rsidR="00D472BD" w:rsidRPr="0005069E" w:rsidRDefault="00D472BD">
      <w:pPr>
        <w:pStyle w:val="Normaltindrag"/>
      </w:pPr>
      <w:r w:rsidRPr="0005069E">
        <w:rPr>
          <w:i/>
        </w:rPr>
        <w:t xml:space="preserve">SAF </w:t>
      </w:r>
      <w:r w:rsidRPr="0005069E">
        <w:t>anser att revisorerna låser sig till en bokstavlig och orealistisk ti</w:t>
      </w:r>
      <w:r w:rsidRPr="0005069E">
        <w:t>l</w:t>
      </w:r>
      <w:r w:rsidRPr="0005069E">
        <w:t xml:space="preserve">lämpning av redan otidsenliga regelverk och att förslagen därför inte kan genomföras. Enligt </w:t>
      </w:r>
      <w:r w:rsidRPr="0005069E">
        <w:rPr>
          <w:i/>
        </w:rPr>
        <w:t>SAF</w:t>
      </w:r>
      <w:r w:rsidRPr="0005069E">
        <w:t xml:space="preserve"> ska arbetsförmedlingen åläggas att följa arbetslinjen för alla åldersgrupper, a-kassorna ska ges redskap för att stävja missbruk och samhället ges kontroll över kostnaderna för försäkringen genom att AMS och a-kassorna åläggs ett kostnadsansvar för denna.</w:t>
      </w:r>
    </w:p>
    <w:p w:rsidR="00D472BD" w:rsidRPr="0005069E" w:rsidRDefault="00D472BD">
      <w:pPr>
        <w:pStyle w:val="Normaltindrag"/>
        <w:ind w:firstLine="0"/>
        <w:rPr>
          <w:sz w:val="24"/>
        </w:rPr>
      </w:pPr>
    </w:p>
    <w:p w:rsidR="00D472BD" w:rsidRPr="0005069E" w:rsidRDefault="00D472BD">
      <w:pPr>
        <w:pStyle w:val="Normaltindrag"/>
        <w:ind w:firstLine="0"/>
      </w:pPr>
      <w:r w:rsidRPr="0005069E">
        <w:rPr>
          <w:sz w:val="24"/>
        </w:rPr>
        <w:t>Staten som arbetsgivare</w:t>
      </w:r>
    </w:p>
    <w:p w:rsidR="00D472BD" w:rsidRPr="0005069E" w:rsidRDefault="00D472BD">
      <w:pPr>
        <w:pStyle w:val="Normaltindrag"/>
        <w:ind w:firstLine="0"/>
      </w:pPr>
    </w:p>
    <w:p w:rsidR="00D472BD" w:rsidRPr="0005069E" w:rsidRDefault="00D472BD">
      <w:pPr>
        <w:pStyle w:val="Normaltindrag"/>
        <w:ind w:firstLine="0"/>
      </w:pPr>
      <w:r w:rsidRPr="0005069E">
        <w:rPr>
          <w:i/>
        </w:rPr>
        <w:t xml:space="preserve">Arbetsgivarverket </w:t>
      </w:r>
      <w:r w:rsidRPr="0005069E">
        <w:t>delar inte revisorernas uppfattning att staten bör agera som föredöme vad gäller att hålla kvar personalen i arbete fram till den ordinarie pensionsåldern och beakta statsfinansiella och samhällsekonomiska aspekter vid utformningen av sin personalpolitik. Enligt verkets mening är detta en felaktig syn som strider mot grundtanken att de statliga arbetsgivarna ska kunna konkurrera om arbetskraften på samma villkor som andra arbetsgiv</w:t>
      </w:r>
      <w:r w:rsidRPr="0005069E">
        <w:t>a</w:t>
      </w:r>
      <w:r w:rsidRPr="0005069E">
        <w:t>re. Beträffande arbetstagarnas intresse att arbeta fram till 65-årsdagen pek</w:t>
      </w:r>
      <w:r w:rsidRPr="0005069E">
        <w:t xml:space="preserve">ar </w:t>
      </w:r>
      <w:r w:rsidRPr="0005069E">
        <w:rPr>
          <w:i/>
        </w:rPr>
        <w:t>Arbetsgivarverket</w:t>
      </w:r>
      <w:r w:rsidRPr="0005069E">
        <w:t xml:space="preserve"> på de ekonomiska incitament som ligger i pensionsavtalets konstruktion. Beträffande arbetslivets villkor hänvisar man till att parterna på den statliga sidan startat ett projekt angående de äldres arbetsmiljö.</w:t>
      </w:r>
    </w:p>
    <w:p w:rsidR="00D472BD" w:rsidRPr="0005069E" w:rsidRDefault="00D472BD">
      <w:pPr>
        <w:pStyle w:val="Normaltindrag"/>
      </w:pPr>
      <w:r w:rsidRPr="0005069E">
        <w:rPr>
          <w:i/>
        </w:rPr>
        <w:t>Riksförsäkringsverket</w:t>
      </w:r>
      <w:r w:rsidRPr="0005069E">
        <w:t xml:space="preserve"> noterar att revisorerna avser att påbörja en studie av staten som arbetsgivare och anser att denna studie skulle behöva komplett</w:t>
      </w:r>
      <w:r w:rsidRPr="0005069E">
        <w:t>e</w:t>
      </w:r>
      <w:r w:rsidRPr="0005069E">
        <w:t>ras med motsvarande analyser av kommuner, landsting och privata arbetsg</w:t>
      </w:r>
      <w:r w:rsidRPr="0005069E">
        <w:t>i</w:t>
      </w:r>
      <w:r w:rsidRPr="0005069E">
        <w:t>vare.</w:t>
      </w:r>
    </w:p>
    <w:p w:rsidR="00D472BD" w:rsidRPr="0005069E" w:rsidRDefault="00D472BD">
      <w:pPr>
        <w:pStyle w:val="Normaltindrag"/>
      </w:pPr>
      <w:r w:rsidRPr="0005069E">
        <w:rPr>
          <w:i/>
        </w:rPr>
        <w:t>TCO</w:t>
      </w:r>
      <w:r w:rsidRPr="0005069E">
        <w:t xml:space="preserve"> delar synen att staten som arbetsgivare borde gå före med att utforma bra villkor för den äldre arbetskraften och hänvisar till en nyligen genomförd undersökning från Statstjänstemannaförbundet som visar att det fortfarande finns stora arbetsmiljöproblem inom den statliga sektorn.</w:t>
      </w:r>
    </w:p>
    <w:p w:rsidR="00D472BD" w:rsidRPr="0005069E" w:rsidRDefault="00D472BD">
      <w:pPr>
        <w:pStyle w:val="Normaltindrag"/>
      </w:pPr>
      <w:r w:rsidRPr="0005069E">
        <w:rPr>
          <w:i/>
        </w:rPr>
        <w:t xml:space="preserve">SACO </w:t>
      </w:r>
      <w:r w:rsidRPr="0005069E">
        <w:t xml:space="preserve">instämmer i att staten bör agera som ett föredöme och betonar att i de fall då staten anser det angeläget att sänka pensionsåldern är det viktigt att åtgärden finansieras fullt ut och ses som en sista utväg efter att alla andra vägar prövats. </w:t>
      </w:r>
      <w:r w:rsidRPr="0005069E">
        <w:rPr>
          <w:i/>
        </w:rPr>
        <w:t>SACO</w:t>
      </w:r>
      <w:r w:rsidRPr="0005069E">
        <w:t xml:space="preserve"> argumenterar också för införande av premieutjämnande regler i det statliga pensionsavtalet för att undvika att pensionskostnaden blir orimligt stor för arbetsgivare som nyanställer äldre arbetskraft. Vidare anser man att individen själv bör kunna anpassa tidpunkte</w:t>
      </w:r>
      <w:r w:rsidRPr="0005069E">
        <w:t>n för sin pensionering mellan 60 och 70 år.</w:t>
      </w:r>
    </w:p>
    <w:p w:rsidR="00D472BD" w:rsidRPr="0005069E" w:rsidRDefault="00D472BD">
      <w:pPr>
        <w:pStyle w:val="Normaltindrag"/>
        <w:ind w:firstLine="0"/>
      </w:pPr>
    </w:p>
    <w:p w:rsidR="00D472BD" w:rsidRPr="0005069E" w:rsidRDefault="00D472BD">
      <w:pPr>
        <w:pStyle w:val="Normaltindrag"/>
        <w:ind w:firstLine="0"/>
      </w:pPr>
      <w:r w:rsidRPr="0005069E">
        <w:rPr>
          <w:sz w:val="24"/>
        </w:rPr>
        <w:t>”Äldreavgångarna”</w:t>
      </w:r>
    </w:p>
    <w:p w:rsidR="00D472BD" w:rsidRPr="0005069E" w:rsidRDefault="00D472BD">
      <w:pPr>
        <w:pStyle w:val="Normaltindrag"/>
        <w:ind w:firstLine="0"/>
      </w:pPr>
    </w:p>
    <w:p w:rsidR="00D472BD" w:rsidRPr="0005069E" w:rsidRDefault="00D472BD">
      <w:pPr>
        <w:pStyle w:val="Normaltindrag"/>
        <w:ind w:firstLine="0"/>
        <w:rPr>
          <w:i/>
        </w:rPr>
      </w:pPr>
      <w:r w:rsidRPr="0005069E">
        <w:rPr>
          <w:i/>
        </w:rPr>
        <w:t>Arbetsmarknadsstyrelsen (AMS)</w:t>
      </w:r>
      <w:r w:rsidRPr="0005069E">
        <w:t xml:space="preserve"> ser liksom revisorerna allvarligt på avtal mellan arbetsgivare och fackklubbar om äldreavgångar där arbetslöshetse</w:t>
      </w:r>
      <w:r w:rsidRPr="0005069E">
        <w:t>r</w:t>
      </w:r>
      <w:r w:rsidRPr="0005069E">
        <w:t xml:space="preserve">sättning ingår och finner att denna typ av avtal inte är acceptabla. Samtliga parter i </w:t>
      </w:r>
      <w:r w:rsidRPr="0005069E">
        <w:rPr>
          <w:i/>
        </w:rPr>
        <w:t>AMS</w:t>
      </w:r>
      <w:r w:rsidRPr="0005069E">
        <w:t xml:space="preserve"> styrelse och rådgivande nämnd står bakom denna uppfattning. </w:t>
      </w:r>
      <w:r w:rsidRPr="0005069E">
        <w:rPr>
          <w:i/>
        </w:rPr>
        <w:t>AMS</w:t>
      </w:r>
      <w:r w:rsidRPr="0005069E">
        <w:t xml:space="preserve"> bedömer att det inte räcker med att arbetsförmedlingen agerar i denna fråga, samverkan krävs också med parterna på arbetsmarknaden. </w:t>
      </w:r>
      <w:r w:rsidRPr="0005069E">
        <w:rPr>
          <w:i/>
        </w:rPr>
        <w:t xml:space="preserve">AMS </w:t>
      </w:r>
      <w:r w:rsidRPr="0005069E">
        <w:t>har därför kontaktat vissa fackförbund för att diskutera möjligheterna att begrä</w:t>
      </w:r>
      <w:r w:rsidRPr="0005069E">
        <w:t>n</w:t>
      </w:r>
      <w:r w:rsidRPr="0005069E">
        <w:t xml:space="preserve">sa äldreavgångarna. </w:t>
      </w:r>
      <w:r w:rsidRPr="0005069E">
        <w:rPr>
          <w:i/>
        </w:rPr>
        <w:t>AMS</w:t>
      </w:r>
      <w:r w:rsidRPr="0005069E">
        <w:t xml:space="preserve"> </w:t>
      </w:r>
      <w:r w:rsidRPr="0005069E">
        <w:t>kommer också att uppmana länsarbetsnämnderna att i arbetsförmedlingsnämnderna belysa frågan om äldreavgångarna och informera om de regler som gäller för äldre som slutar sitt arbete och skriver in sig på arbet</w:t>
      </w:r>
      <w:r w:rsidRPr="0005069E">
        <w:t>s</w:t>
      </w:r>
      <w:r w:rsidRPr="0005069E">
        <w:t>förmedlingen som arbetslösa.</w:t>
      </w:r>
    </w:p>
    <w:p w:rsidR="00D472BD" w:rsidRPr="0005069E" w:rsidRDefault="00D472BD">
      <w:pPr>
        <w:pStyle w:val="Normaltindrag"/>
      </w:pPr>
      <w:r w:rsidRPr="0005069E">
        <w:rPr>
          <w:i/>
        </w:rPr>
        <w:t>Trygghetsrådet</w:t>
      </w:r>
      <w:r w:rsidRPr="0005069E">
        <w:t xml:space="preserve"> menar att den tid en arbetssökande uppbär a-kassa bör han eller hon vara reellt och inte endast formellt arbetssökande. Dock måste det finnas realism och humanitet när arbetslinjen hävdas i relation till de äldre. Enligt </w:t>
      </w:r>
      <w:r w:rsidRPr="0005069E">
        <w:rPr>
          <w:i/>
        </w:rPr>
        <w:t>Trygghetsrådet</w:t>
      </w:r>
      <w:r w:rsidRPr="0005069E">
        <w:t xml:space="preserve"> är det endast om den arbetsmarknadspolitiska åtgärden verkligen kan förväntas leda till reguljärt arbete som den äldre bör kunna tvingas delta. Samtidigt betonar man att oavsett vilka ansträngningar som görs av arbetsförmedlingen så kan arbetslinjen inte förverkligas om före</w:t>
      </w:r>
      <w:r w:rsidRPr="0005069E">
        <w:t>tagen fortsätter sin föryngringslinje.</w:t>
      </w:r>
    </w:p>
    <w:p w:rsidR="00D472BD" w:rsidRPr="0005069E" w:rsidRDefault="00D472BD">
      <w:pPr>
        <w:pStyle w:val="Normaltindrag"/>
      </w:pPr>
      <w:r w:rsidRPr="0005069E">
        <w:rPr>
          <w:i/>
        </w:rPr>
        <w:t>Kommunförbundet</w:t>
      </w:r>
      <w:r w:rsidRPr="0005069E">
        <w:t xml:space="preserve"> bedömer att antalet tidiga pensioner i kommunerna minskat under senare år bl.a. i samband med att flertalet kommuner gått från en situation där man varit tvungen att minska personalstyrkan till en situation med växande rekryteringsbehov. Förbundet anser också att garantipensioner i vissa fall kan vara en bra metod att lösa övertalighetsproblem och att det finns anledning för andra än arbetsgivaren och den anställde att reagera e</w:t>
      </w:r>
      <w:r w:rsidRPr="0005069E">
        <w:t>n</w:t>
      </w:r>
      <w:r w:rsidRPr="0005069E">
        <w:t>dast om den förtida pensioneringen förbättras genom att staten går in med arbe</w:t>
      </w:r>
      <w:r w:rsidRPr="0005069E">
        <w:t>tslö</w:t>
      </w:r>
      <w:r w:rsidRPr="0005069E">
        <w:t>s</w:t>
      </w:r>
      <w:r w:rsidRPr="0005069E">
        <w:t>hetsersättning.</w:t>
      </w:r>
    </w:p>
    <w:p w:rsidR="00D472BD" w:rsidRPr="0005069E" w:rsidRDefault="00D472BD">
      <w:pPr>
        <w:pStyle w:val="Normaltindrag"/>
      </w:pPr>
      <w:r w:rsidRPr="0005069E">
        <w:rPr>
          <w:i/>
        </w:rPr>
        <w:t>Landstingsförbundet</w:t>
      </w:r>
      <w:r w:rsidRPr="0005069E">
        <w:t xml:space="preserve"> betonar vikten av att arbeta med åtgärder som stim</w:t>
      </w:r>
      <w:r w:rsidRPr="0005069E">
        <w:t>u</w:t>
      </w:r>
      <w:r w:rsidRPr="0005069E">
        <w:t>lerar arbetskraften och underlättar för den anställde att stanna kvar i arbetsl</w:t>
      </w:r>
      <w:r w:rsidRPr="0005069E">
        <w:t>i</w:t>
      </w:r>
      <w:r w:rsidRPr="0005069E">
        <w:t>vet fram till pensioneringen. Avsteg från turordningsreglerna bör, enligt förbu</w:t>
      </w:r>
      <w:r w:rsidRPr="0005069E">
        <w:t>n</w:t>
      </w:r>
      <w:r w:rsidRPr="0005069E">
        <w:t>det, hanteras av parterna själva utifrån tydliga regelverk.</w:t>
      </w:r>
    </w:p>
    <w:p w:rsidR="00D472BD" w:rsidRPr="0005069E" w:rsidRDefault="00D472BD">
      <w:pPr>
        <w:pStyle w:val="Normaltindrag"/>
      </w:pPr>
      <w:r w:rsidRPr="0005069E">
        <w:rPr>
          <w:i/>
        </w:rPr>
        <w:t>LO</w:t>
      </w:r>
      <w:r w:rsidRPr="0005069E">
        <w:t xml:space="preserve"> understryker den vikt lagen om anställningsskydd har för att motverka åldersdiskriminering och menar att de i annat sammanhang föreslagna up</w:t>
      </w:r>
      <w:r w:rsidRPr="0005069E">
        <w:t>p</w:t>
      </w:r>
      <w:r w:rsidRPr="0005069E">
        <w:t>luckringarna av turordningsreglerna kommer att motverka en ökad sysse</w:t>
      </w:r>
      <w:r w:rsidRPr="0005069E">
        <w:t>l</w:t>
      </w:r>
      <w:r w:rsidRPr="0005069E">
        <w:t xml:space="preserve">sättning bland de äldre. </w:t>
      </w:r>
      <w:r w:rsidRPr="0005069E">
        <w:rPr>
          <w:i/>
        </w:rPr>
        <w:t>LO</w:t>
      </w:r>
      <w:r w:rsidRPr="0005069E">
        <w:t xml:space="preserve"> betonar också att det är ett gemensamt ansvar för fack och arbetsförmedling att informera om a-kasseregler i allmänhet.</w:t>
      </w:r>
    </w:p>
    <w:p w:rsidR="00D472BD" w:rsidRPr="0005069E" w:rsidRDefault="00D472BD">
      <w:pPr>
        <w:pStyle w:val="Normaltindrag"/>
      </w:pPr>
      <w:r w:rsidRPr="0005069E">
        <w:rPr>
          <w:i/>
        </w:rPr>
        <w:t xml:space="preserve">TCO </w:t>
      </w:r>
      <w:r w:rsidRPr="0005069E">
        <w:t>anför att det är naturligt att stävja missbruk av arbetslöshetsersät</w:t>
      </w:r>
      <w:r w:rsidRPr="0005069E">
        <w:t>t</w:t>
      </w:r>
      <w:r w:rsidRPr="0005069E">
        <w:t>ningen. Man anser dock att de lokala parternas rätt att teckna kollektivavtal inte får begränsas genom inblandning från myndigheter eller centrala organ</w:t>
      </w:r>
      <w:r w:rsidRPr="0005069E">
        <w:t>i</w:t>
      </w:r>
      <w:r w:rsidRPr="0005069E">
        <w:t xml:space="preserve">sationer. Ansvaret för att motverka missbruk bör, enligt </w:t>
      </w:r>
      <w:r w:rsidRPr="0005069E">
        <w:rPr>
          <w:i/>
        </w:rPr>
        <w:t>TCO</w:t>
      </w:r>
      <w:r w:rsidRPr="0005069E">
        <w:t>, i första hand ligga på arbetsgivaren. Här kan man mer generellt tänka sig ett system li</w:t>
      </w:r>
      <w:r w:rsidRPr="0005069E">
        <w:t>k</w:t>
      </w:r>
      <w:r w:rsidRPr="0005069E">
        <w:t xml:space="preserve">nande det på den statliga sidan där arbetsgivaren tvingas betala en riskpremie vid uppsägning av äldre arbetskraft. </w:t>
      </w:r>
      <w:r w:rsidRPr="0005069E">
        <w:rPr>
          <w:i/>
        </w:rPr>
        <w:t xml:space="preserve">TCO </w:t>
      </w:r>
      <w:r w:rsidRPr="0005069E">
        <w:t>anser också att prob</w:t>
      </w:r>
      <w:r w:rsidRPr="0005069E">
        <w:t xml:space="preserve">lemet kan komma att minska vid införandet av den s.k. aktivitetsgarantin. </w:t>
      </w:r>
    </w:p>
    <w:p w:rsidR="00D472BD" w:rsidRPr="0005069E" w:rsidRDefault="00D472BD">
      <w:pPr>
        <w:pStyle w:val="Normaltindrag"/>
      </w:pPr>
      <w:r w:rsidRPr="0005069E">
        <w:rPr>
          <w:i/>
        </w:rPr>
        <w:t>SACO</w:t>
      </w:r>
      <w:r w:rsidRPr="0005069E">
        <w:t xml:space="preserve"> anser att omfattningen av äldreavgångarna och risken att den neg</w:t>
      </w:r>
      <w:r w:rsidRPr="0005069E">
        <w:t>a</w:t>
      </w:r>
      <w:r w:rsidRPr="0005069E">
        <w:t>tiva inställningen till aktivt arbetssökande sprider sig till andra äldre arbet</w:t>
      </w:r>
      <w:r w:rsidRPr="0005069E">
        <w:t>s</w:t>
      </w:r>
      <w:r w:rsidRPr="0005069E">
        <w:t>lösa, gör att åtgärder för att komma till rätta med problemet bör vidtas omg</w:t>
      </w:r>
      <w:r w:rsidRPr="0005069E">
        <w:t>å</w:t>
      </w:r>
      <w:r w:rsidRPr="0005069E">
        <w:t>ende. Enligt</w:t>
      </w:r>
      <w:r w:rsidRPr="0005069E">
        <w:rPr>
          <w:i/>
        </w:rPr>
        <w:t xml:space="preserve"> SACO</w:t>
      </w:r>
      <w:r w:rsidRPr="0005069E">
        <w:t xml:space="preserve"> ankommer det på arbetsförmedlingen att, i de fall man misstänker att arbetslöshetsersättningen utnyttjas som pensionsersättning, vidta de åtgärder som krävs för att hävda arbetslinjen och stävja detta mis</w:t>
      </w:r>
      <w:r w:rsidRPr="0005069E">
        <w:t>s</w:t>
      </w:r>
      <w:r w:rsidRPr="0005069E">
        <w:t>bruk.</w:t>
      </w:r>
    </w:p>
    <w:p w:rsidR="00D472BD" w:rsidRPr="0005069E" w:rsidRDefault="00D472BD">
      <w:pPr>
        <w:pStyle w:val="Normaltindrag"/>
      </w:pPr>
      <w:r w:rsidRPr="0005069E">
        <w:rPr>
          <w:i/>
        </w:rPr>
        <w:t>SAF</w:t>
      </w:r>
      <w:r w:rsidRPr="0005069E">
        <w:t xml:space="preserve"> instämmer i att missbruk av allmänna medel inte kan accepteras, men betonar att misstankar om missbruk ska hanteras i det enskilda fallet. </w:t>
      </w:r>
      <w:r w:rsidRPr="0005069E">
        <w:rPr>
          <w:i/>
        </w:rPr>
        <w:t>SAF</w:t>
      </w:r>
      <w:r w:rsidRPr="0005069E">
        <w:t xml:space="preserve"> anser att tillsynen av arbetslöshetsförsäkringens tillämpning åligger AMS, inte arbetsgivaren eller de fackliga organisationerna. Det effektivaste sättet att åtgärda förekommande missbruk och samtidigt hålla nere kostnaderna för arbetslöshetsförsäkringen är, enligt </w:t>
      </w:r>
      <w:r w:rsidRPr="0005069E">
        <w:rPr>
          <w:i/>
        </w:rPr>
        <w:t>SAF</w:t>
      </w:r>
      <w:r w:rsidRPr="0005069E">
        <w:t xml:space="preserve">, att AMS och a-kassorna åläggs ett kostnadsansvar för denna. Det är vidare, enligt </w:t>
      </w:r>
      <w:r w:rsidRPr="0005069E">
        <w:rPr>
          <w:i/>
        </w:rPr>
        <w:t>SAF</w:t>
      </w:r>
      <w:r w:rsidRPr="0005069E">
        <w:t>, först i de</w:t>
      </w:r>
      <w:r w:rsidRPr="0005069E">
        <w:t>t enskilda fallet som det går att bedöma det försvarbara i äldreavgångarna och de förluster som kan uppstå för företaget, samhället och individen.</w:t>
      </w:r>
    </w:p>
    <w:p w:rsidR="00D472BD" w:rsidRPr="0005069E" w:rsidRDefault="00D472BD">
      <w:pPr>
        <w:pStyle w:val="Normaltindrag"/>
        <w:sectPr w:rsidR="00000000" w:rsidRPr="0005069E">
          <w:headerReference w:type="default" r:id="rId10"/>
          <w:footerReference w:type="default" r:id="rId11"/>
          <w:pgSz w:w="11906" w:h="16838" w:code="9"/>
          <w:pgMar w:top="567" w:right="4876" w:bottom="4508" w:left="1134" w:header="227" w:footer="227" w:gutter="0"/>
          <w:cols w:space="720"/>
        </w:sectPr>
      </w:pPr>
    </w:p>
    <w:p w:rsidR="00D472BD" w:rsidRPr="0005069E" w:rsidRDefault="00D472BD">
      <w:pPr>
        <w:pStyle w:val="Innehll"/>
        <w:outlineLvl w:val="1"/>
      </w:pPr>
      <w:r w:rsidRPr="0005069E">
        <w:t>Innehållsförteckning</w:t>
      </w:r>
    </w:p>
    <w:p w:rsidR="00D472BD" w:rsidRPr="0005069E" w:rsidRDefault="00D472BD">
      <w:pPr>
        <w:pStyle w:val="Innehll1"/>
        <w:tabs>
          <w:tab w:val="right" w:leader="dot" w:pos="5886"/>
        </w:tabs>
      </w:pPr>
      <w:r w:rsidRPr="0005069E">
        <w:t>1 Revisorernas granskning</w:t>
      </w:r>
      <w:r w:rsidRPr="0005069E">
        <w:tab/>
        <w:t>1</w:t>
      </w:r>
    </w:p>
    <w:p w:rsidR="00D472BD" w:rsidRPr="0005069E" w:rsidRDefault="00D472BD">
      <w:pPr>
        <w:pStyle w:val="Innehll2"/>
        <w:tabs>
          <w:tab w:val="right" w:leader="dot" w:pos="5886"/>
        </w:tabs>
      </w:pPr>
      <w:r w:rsidRPr="0005069E">
        <w:t>1.1 Granskningens uppläggning</w:t>
      </w:r>
      <w:r w:rsidRPr="0005069E">
        <w:tab/>
        <w:t>2</w:t>
      </w:r>
    </w:p>
    <w:p w:rsidR="00D472BD" w:rsidRPr="0005069E" w:rsidRDefault="00D472BD">
      <w:pPr>
        <w:pStyle w:val="Innehll2"/>
        <w:tabs>
          <w:tab w:val="right" w:leader="dot" w:pos="5886"/>
        </w:tabs>
      </w:pPr>
      <w:r w:rsidRPr="0005069E">
        <w:t>1.2 Rapportens innehåll</w:t>
      </w:r>
      <w:r w:rsidRPr="0005069E">
        <w:tab/>
        <w:t>5</w:t>
      </w:r>
    </w:p>
    <w:p w:rsidR="00D472BD" w:rsidRPr="0005069E" w:rsidRDefault="00D472BD">
      <w:pPr>
        <w:pStyle w:val="Innehll1"/>
        <w:tabs>
          <w:tab w:val="right" w:leader="dot" w:pos="5886"/>
        </w:tabs>
      </w:pPr>
      <w:r w:rsidRPr="0005069E">
        <w:t>2 Revisorernas överväganden och förslag samt remissinstansernas synpunkter</w:t>
      </w:r>
      <w:r w:rsidRPr="0005069E">
        <w:tab/>
        <w:t>12</w:t>
      </w:r>
    </w:p>
    <w:p w:rsidR="00D472BD" w:rsidRPr="0005069E" w:rsidRDefault="00D472BD">
      <w:pPr>
        <w:pStyle w:val="Innehll2"/>
        <w:tabs>
          <w:tab w:val="right" w:leader="dot" w:pos="5886"/>
        </w:tabs>
      </w:pPr>
      <w:r w:rsidRPr="0005069E">
        <w:t>2.1 Regelverken behöver bli tydligare</w:t>
      </w:r>
      <w:r w:rsidRPr="0005069E">
        <w:tab/>
        <w:t>13</w:t>
      </w:r>
    </w:p>
    <w:p w:rsidR="00D472BD" w:rsidRPr="0005069E" w:rsidRDefault="00D472BD">
      <w:pPr>
        <w:pStyle w:val="Innehll2"/>
        <w:tabs>
          <w:tab w:val="right" w:leader="dot" w:pos="5886"/>
        </w:tabs>
      </w:pPr>
      <w:r w:rsidRPr="0005069E">
        <w:t>2.2 Tillämpningen av regelverken behöver förbättras</w:t>
      </w:r>
      <w:r w:rsidRPr="0005069E">
        <w:tab/>
        <w:t>15</w:t>
      </w:r>
    </w:p>
    <w:p w:rsidR="00D472BD" w:rsidRPr="0005069E" w:rsidRDefault="00D472BD">
      <w:pPr>
        <w:pStyle w:val="Innehll2"/>
        <w:tabs>
          <w:tab w:val="right" w:leader="dot" w:pos="5886"/>
        </w:tabs>
      </w:pPr>
      <w:r w:rsidRPr="0005069E">
        <w:t>2.3 Staten bör föregå med gott exempel</w:t>
      </w:r>
      <w:r w:rsidRPr="0005069E">
        <w:tab/>
        <w:t>16</w:t>
      </w:r>
    </w:p>
    <w:p w:rsidR="00D472BD" w:rsidRPr="0005069E" w:rsidRDefault="00D472BD">
      <w:pPr>
        <w:pStyle w:val="Innehll2"/>
        <w:tabs>
          <w:tab w:val="right" w:leader="dot" w:pos="5886"/>
        </w:tabs>
      </w:pPr>
      <w:r w:rsidRPr="0005069E">
        <w:t>2.4 ”Äldreavgångarna” måste stoppas</w:t>
      </w:r>
      <w:r w:rsidRPr="0005069E">
        <w:tab/>
        <w:t>17</w:t>
      </w:r>
    </w:p>
    <w:p w:rsidR="00D472BD" w:rsidRPr="0005069E" w:rsidRDefault="00D472BD">
      <w:pPr>
        <w:pStyle w:val="Innehll2"/>
        <w:tabs>
          <w:tab w:val="right" w:leader="dot" w:pos="5886"/>
        </w:tabs>
      </w:pPr>
      <w:r w:rsidRPr="0005069E">
        <w:t>3 Revisorernas förslag</w:t>
      </w:r>
      <w:r w:rsidRPr="0005069E">
        <w:tab/>
        <w:t>20</w:t>
      </w:r>
    </w:p>
    <w:p w:rsidR="00D472BD" w:rsidRPr="0005069E" w:rsidRDefault="00D472BD">
      <w:pPr>
        <w:pStyle w:val="Innehll1"/>
        <w:tabs>
          <w:tab w:val="right" w:leader="dot" w:pos="5886"/>
        </w:tabs>
      </w:pPr>
      <w:r w:rsidRPr="0005069E">
        <w:t>4 Sammanfattning av remissyttranden</w:t>
      </w:r>
      <w:r w:rsidRPr="0005069E">
        <w:tab/>
        <w:t>21</w:t>
      </w:r>
    </w:p>
    <w:p w:rsidR="00D472BD" w:rsidRPr="0005069E" w:rsidRDefault="00D472BD"/>
    <w:p w:rsidR="00D472BD" w:rsidRPr="0005069E" w:rsidRDefault="00D472BD">
      <w:pPr>
        <w:pStyle w:val="Tryckort"/>
        <w:framePr w:wrap="around"/>
      </w:pPr>
      <w:r w:rsidRPr="0005069E">
        <w:t>Elanders Gotab, Stockholm  2000</w:t>
      </w:r>
    </w:p>
    <w:sectPr w:rsidR="00D472BD" w:rsidRPr="0005069E">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72BD" w:rsidRPr="0005069E" w:rsidRDefault="00D472BD">
      <w:pPr>
        <w:spacing w:before="0" w:line="240" w:lineRule="auto"/>
      </w:pPr>
      <w:r w:rsidRPr="0005069E">
        <w:separator/>
      </w:r>
    </w:p>
  </w:endnote>
  <w:endnote w:type="continuationSeparator" w:id="0">
    <w:p w:rsidR="00D472BD" w:rsidRPr="0005069E" w:rsidRDefault="00D472BD">
      <w:pPr>
        <w:spacing w:before="0" w:line="240" w:lineRule="auto"/>
      </w:pPr>
      <w:r w:rsidRPr="000506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2BD" w:rsidRPr="0005069E" w:rsidRDefault="00D472BD">
    <w:pPr>
      <w:pStyle w:val="SidfotH"/>
      <w:framePr w:wrap="around"/>
    </w:pPr>
    <w:r w:rsidRPr="0005069E">
      <w:fldChar w:fldCharType="begin" w:fldLock="1"/>
    </w:r>
    <w:r w:rsidRPr="0005069E">
      <w:instrText xml:space="preserve"> P</w:instrText>
    </w:r>
    <w:r w:rsidRPr="0005069E">
      <w:instrText>A</w:instrText>
    </w:r>
    <w:r w:rsidRPr="0005069E">
      <w:instrText xml:space="preserve">GE </w:instrText>
    </w:r>
    <w:r w:rsidRPr="0005069E">
      <w:fldChar w:fldCharType="separate"/>
    </w:r>
    <w:r w:rsidRPr="0005069E">
      <w:t>1</w:t>
    </w:r>
    <w:r w:rsidRPr="0005069E">
      <w:fldChar w:fldCharType="end"/>
    </w:r>
  </w:p>
  <w:p w:rsidR="00D472BD" w:rsidRPr="0005069E" w:rsidRDefault="00D472B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2BD" w:rsidRPr="0005069E" w:rsidRDefault="00D472BD">
    <w:pPr>
      <w:pStyle w:val="SidfotH"/>
      <w:framePr w:wrap="around"/>
    </w:pPr>
    <w:r w:rsidRPr="0005069E">
      <w:fldChar w:fldCharType="begin" w:fldLock="1"/>
    </w:r>
    <w:r w:rsidRPr="0005069E">
      <w:instrText xml:space="preserve"> P</w:instrText>
    </w:r>
    <w:r w:rsidRPr="0005069E">
      <w:instrText>A</w:instrText>
    </w:r>
    <w:r w:rsidRPr="0005069E">
      <w:instrText xml:space="preserve">GE </w:instrText>
    </w:r>
    <w:r w:rsidRPr="0005069E">
      <w:fldChar w:fldCharType="separate"/>
    </w:r>
    <w:r w:rsidRPr="0005069E">
      <w:t>26</w:t>
    </w:r>
    <w:r w:rsidRPr="0005069E">
      <w:fldChar w:fldCharType="end"/>
    </w:r>
  </w:p>
  <w:p w:rsidR="00D472BD" w:rsidRPr="0005069E" w:rsidRDefault="00D472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72BD" w:rsidRPr="0005069E" w:rsidRDefault="00D472BD">
      <w:pPr>
        <w:pStyle w:val="Sidfot"/>
      </w:pPr>
    </w:p>
  </w:footnote>
  <w:footnote w:type="continuationSeparator" w:id="0">
    <w:p w:rsidR="00D472BD" w:rsidRPr="0005069E" w:rsidRDefault="00D472BD">
      <w:pPr>
        <w:spacing w:before="0" w:line="240" w:lineRule="auto"/>
      </w:pPr>
      <w:r w:rsidRPr="000506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2BD" w:rsidRPr="0005069E" w:rsidRDefault="00D472BD">
    <w:pPr>
      <w:pStyle w:val="SidhuvudKant"/>
      <w:framePr w:w="1758" w:h="2744" w:hRule="exact" w:wrap="around" w:vAnchor="page" w:hAnchor="page" w:x="7372" w:y="568" w:anchorLock="0"/>
    </w:pPr>
    <w:r w:rsidRPr="0005069E">
      <w:t>1999/2000:RR13</w:t>
    </w:r>
  </w:p>
  <w:p w:rsidR="00D472BD" w:rsidRPr="0005069E" w:rsidRDefault="00D472BD">
    <w:pPr>
      <w:pStyle w:val="SidhuvudKantBilaga"/>
      <w:framePr w:w="1758" w:h="2744" w:hRule="exact" w:wrap="around" w:vAnchor="page" w:hAnchor="page" w:x="7372" w:y="568" w:anchorLock="0"/>
    </w:pPr>
  </w:p>
  <w:p w:rsidR="00D472BD" w:rsidRPr="0005069E" w:rsidRDefault="00D472BD">
    <w:pPr>
      <w:pStyle w:val="SidhuvudKant"/>
      <w:framePr w:w="1758" w:h="2744" w:hRule="exact" w:wrap="around" w:vAnchor="page" w:hAnchor="page" w:x="7372" w:y="568" w:anchorLock="0"/>
    </w:pPr>
    <w:r w:rsidRPr="0005069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2BD" w:rsidRPr="0005069E" w:rsidRDefault="00D472BD">
    <w:pPr>
      <w:pStyle w:val="SidhuvudKant"/>
      <w:framePr w:w="1758" w:h="2744" w:hRule="exact" w:wrap="around" w:vAnchor="page" w:hAnchor="page" w:x="7372" w:y="568" w:anchorLock="0"/>
    </w:pPr>
    <w:r w:rsidRPr="0005069E">
      <w:t>1999/2000:RR13</w:t>
    </w:r>
  </w:p>
  <w:p w:rsidR="00D472BD" w:rsidRPr="0005069E" w:rsidRDefault="00D472BD">
    <w:pPr>
      <w:pStyle w:val="SidhuvudKantBilaga"/>
      <w:framePr w:w="1758" w:h="2744" w:hRule="exact" w:wrap="around" w:vAnchor="page" w:hAnchor="page" w:x="7372" w:y="568" w:anchorLock="0"/>
    </w:pPr>
  </w:p>
  <w:p w:rsidR="00D472BD" w:rsidRPr="0005069E" w:rsidRDefault="00D472BD">
    <w:pPr>
      <w:pStyle w:val="SidhuvudKant"/>
      <w:framePr w:w="1758" w:h="2744" w:hRule="exact" w:wrap="around" w:vAnchor="page" w:hAnchor="page" w:x="7372" w:y="568" w:anchorLock="0"/>
    </w:pPr>
    <w:r w:rsidRPr="0005069E">
      <w:t xml:space="preserve"> </w:t>
    </w:r>
  </w:p>
  <w:p w:rsidR="00D472BD" w:rsidRPr="0005069E" w:rsidRDefault="00D472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6D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37E75"/>
    <w:multiLevelType w:val="singleLevel"/>
    <w:tmpl w:val="3DB49322"/>
    <w:lvl w:ilvl="0">
      <w:start w:val="2"/>
      <w:numFmt w:val="bullet"/>
      <w:lvlText w:val="–"/>
      <w:lvlJc w:val="left"/>
      <w:pPr>
        <w:tabs>
          <w:tab w:val="num" w:pos="1670"/>
        </w:tabs>
        <w:ind w:left="1670" w:hanging="360"/>
      </w:pPr>
      <w:rPr>
        <w:rFonts w:ascii="Times New Roman" w:hAnsi="Times New Roman" w:hint="default"/>
      </w:rPr>
    </w:lvl>
  </w:abstractNum>
  <w:abstractNum w:abstractNumId="2" w15:restartNumberingAfterBreak="0">
    <w:nsid w:val="2527748D"/>
    <w:multiLevelType w:val="singleLevel"/>
    <w:tmpl w:val="3DB49322"/>
    <w:lvl w:ilvl="0">
      <w:start w:val="2"/>
      <w:numFmt w:val="bullet"/>
      <w:lvlText w:val="–"/>
      <w:lvlJc w:val="left"/>
      <w:pPr>
        <w:tabs>
          <w:tab w:val="num" w:pos="1670"/>
        </w:tabs>
        <w:ind w:left="1670" w:hanging="360"/>
      </w:pPr>
      <w:rPr>
        <w:rFonts w:ascii="Times New Roman" w:hAnsi="Times New Roman" w:hint="default"/>
      </w:rPr>
    </w:lvl>
  </w:abstractNum>
  <w:abstractNum w:abstractNumId="3" w15:restartNumberingAfterBreak="0">
    <w:nsid w:val="27EA7D89"/>
    <w:multiLevelType w:val="singleLevel"/>
    <w:tmpl w:val="3DB49322"/>
    <w:lvl w:ilvl="0">
      <w:start w:val="2"/>
      <w:numFmt w:val="bullet"/>
      <w:lvlText w:val="–"/>
      <w:lvlJc w:val="left"/>
      <w:pPr>
        <w:tabs>
          <w:tab w:val="num" w:pos="1670"/>
        </w:tabs>
        <w:ind w:left="1670" w:hanging="360"/>
      </w:pPr>
      <w:rPr>
        <w:rFonts w:ascii="Times New Roman" w:hAnsi="Times New Roman" w:hint="default"/>
      </w:rPr>
    </w:lvl>
  </w:abstractNum>
  <w:abstractNum w:abstractNumId="4" w15:restartNumberingAfterBreak="0">
    <w:nsid w:val="29DE54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F24246C"/>
    <w:multiLevelType w:val="singleLevel"/>
    <w:tmpl w:val="041D000F"/>
    <w:lvl w:ilvl="0">
      <w:start w:val="1"/>
      <w:numFmt w:val="decimal"/>
      <w:lvlText w:val="%1."/>
      <w:lvlJc w:val="left"/>
      <w:pPr>
        <w:tabs>
          <w:tab w:val="num" w:pos="360"/>
        </w:tabs>
        <w:ind w:left="360" w:hanging="360"/>
      </w:pPr>
      <w:rPr>
        <w:rFonts w:hint="default"/>
      </w:rPr>
    </w:lvl>
  </w:abstractNum>
  <w:abstractNum w:abstractNumId="6" w15:restartNumberingAfterBreak="0">
    <w:nsid w:val="5A232CB1"/>
    <w:multiLevelType w:val="singleLevel"/>
    <w:tmpl w:val="C542EA04"/>
    <w:lvl w:ilvl="0">
      <w:start w:val="1"/>
      <w:numFmt w:val="bullet"/>
      <w:lvlText w:val="-"/>
      <w:lvlJc w:val="left"/>
      <w:pPr>
        <w:tabs>
          <w:tab w:val="num" w:pos="360"/>
        </w:tabs>
        <w:ind w:left="360" w:hanging="360"/>
      </w:pPr>
      <w:rPr>
        <w:rFonts w:hint="default"/>
      </w:rPr>
    </w:lvl>
  </w:abstractNum>
  <w:abstractNum w:abstractNumId="7" w15:restartNumberingAfterBreak="0">
    <w:nsid w:val="6DE9471B"/>
    <w:multiLevelType w:val="singleLevel"/>
    <w:tmpl w:val="354E3928"/>
    <w:lvl w:ilvl="0">
      <w:start w:val="2"/>
      <w:numFmt w:val="bullet"/>
      <w:lvlText w:val="-"/>
      <w:lvlJc w:val="left"/>
      <w:pPr>
        <w:tabs>
          <w:tab w:val="num" w:pos="1670"/>
        </w:tabs>
        <w:ind w:left="1670" w:hanging="360"/>
      </w:pPr>
      <w:rPr>
        <w:rFonts w:hint="default"/>
      </w:rPr>
    </w:lvl>
  </w:abstractNum>
  <w:abstractNum w:abstractNumId="8" w15:restartNumberingAfterBreak="0">
    <w:nsid w:val="6ED47984"/>
    <w:multiLevelType w:val="singleLevel"/>
    <w:tmpl w:val="354E3928"/>
    <w:lvl w:ilvl="0">
      <w:start w:val="2"/>
      <w:numFmt w:val="bullet"/>
      <w:lvlText w:val="-"/>
      <w:lvlJc w:val="left"/>
      <w:pPr>
        <w:tabs>
          <w:tab w:val="num" w:pos="1670"/>
        </w:tabs>
        <w:ind w:left="1670" w:hanging="360"/>
      </w:pPr>
      <w:rPr>
        <w:rFonts w:hint="default"/>
      </w:rPr>
    </w:lvl>
  </w:abstractNum>
  <w:abstractNum w:abstractNumId="9" w15:restartNumberingAfterBreak="0">
    <w:nsid w:val="7FA119EC"/>
    <w:multiLevelType w:val="singleLevel"/>
    <w:tmpl w:val="354E3928"/>
    <w:lvl w:ilvl="0">
      <w:start w:val="2"/>
      <w:numFmt w:val="bullet"/>
      <w:lvlText w:val="-"/>
      <w:lvlJc w:val="left"/>
      <w:pPr>
        <w:tabs>
          <w:tab w:val="num" w:pos="1670"/>
        </w:tabs>
        <w:ind w:left="1670" w:hanging="360"/>
      </w:pPr>
      <w:rPr>
        <w:rFonts w:hint="default"/>
      </w:rPr>
    </w:lvl>
  </w:abstractNum>
  <w:num w:numId="1" w16cid:durableId="1553617927">
    <w:abstractNumId w:val="4"/>
  </w:num>
  <w:num w:numId="2" w16cid:durableId="1516964272">
    <w:abstractNumId w:val="0"/>
  </w:num>
  <w:num w:numId="3" w16cid:durableId="1252397527">
    <w:abstractNumId w:val="6"/>
  </w:num>
  <w:num w:numId="4" w16cid:durableId="170145746">
    <w:abstractNumId w:val="5"/>
  </w:num>
  <w:num w:numId="5" w16cid:durableId="879515500">
    <w:abstractNumId w:val="7"/>
  </w:num>
  <w:num w:numId="6" w16cid:durableId="56168252">
    <w:abstractNumId w:val="8"/>
  </w:num>
  <w:num w:numId="7" w16cid:durableId="549264675">
    <w:abstractNumId w:val="9"/>
  </w:num>
  <w:num w:numId="8" w16cid:durableId="2008245781">
    <w:abstractNumId w:val="1"/>
  </w:num>
  <w:num w:numId="9" w16cid:durableId="2130390048">
    <w:abstractNumId w:val="2"/>
  </w:num>
  <w:num w:numId="10" w16cid:durableId="226232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revisorers"/>
    <w:docVar w:name="Skapår" w:val="9900"/>
  </w:docVars>
  <w:rsids>
    <w:rsidRoot w:val="0011036C"/>
    <w:rsid w:val="0005069E"/>
    <w:rsid w:val="0011036C"/>
    <w:rsid w:val="00D472B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37E64B-5845-47C4-AB26-83AD7886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autoRedefine/>
    <w:qFormat/>
    <w:pPr>
      <w:spacing w:before="240" w:after="120" w:line="256" w:lineRule="exact"/>
      <w:outlineLvl w:val="1"/>
    </w:pPr>
    <w:rPr>
      <w:sz w:val="23"/>
    </w:rPr>
  </w:style>
  <w:style w:type="paragraph" w:styleId="Rubrik3">
    <w:name w:val="heading 3"/>
    <w:basedOn w:val="Rubrik1"/>
    <w:next w:val="Normal"/>
    <w:autoRedefine/>
    <w:qFormat/>
    <w:pPr>
      <w:spacing w:before="120" w:after="120"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spacing w:before="313"/>
      <w:outlineLvl w:val="6"/>
    </w:pPr>
    <w:rPr>
      <w:b/>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spacing w:before="120" w:after="120"/>
      <w:jc w:val="left"/>
    </w:pPr>
    <w:rPr>
      <w:b/>
      <w:caps/>
      <w:sz w:val="20"/>
    </w:rPr>
  </w:style>
  <w:style w:type="paragraph" w:styleId="Innehll2">
    <w:name w:val="toc 2"/>
    <w:basedOn w:val="Innehll1"/>
    <w:autoRedefine/>
    <w:semiHidden/>
    <w:pPr>
      <w:spacing w:before="0" w:after="0"/>
      <w:ind w:left="190"/>
    </w:pPr>
    <w:rPr>
      <w:b w:val="0"/>
      <w:caps w:val="0"/>
      <w:smallCaps/>
    </w:rPr>
  </w:style>
  <w:style w:type="paragraph" w:styleId="Innehll3">
    <w:name w:val="toc 3"/>
    <w:basedOn w:val="Innehll1"/>
    <w:autoRedefine/>
    <w:semiHidden/>
    <w:pPr>
      <w:spacing w:before="0" w:after="0"/>
      <w:ind w:left="380"/>
    </w:pPr>
    <w:rPr>
      <w:b w:val="0"/>
      <w:i/>
      <w:caps w:val="0"/>
    </w:rPr>
  </w:style>
  <w:style w:type="paragraph" w:styleId="Innehll4">
    <w:name w:val="toc 4"/>
    <w:basedOn w:val="Innehll1"/>
    <w:autoRedefine/>
    <w:semiHidden/>
    <w:pPr>
      <w:spacing w:before="0" w:after="0"/>
      <w:ind w:left="570"/>
    </w:pPr>
    <w:rPr>
      <w:b w:val="0"/>
      <w:caps w:val="0"/>
      <w:sz w:val="18"/>
    </w:rPr>
  </w:style>
  <w:style w:type="paragraph" w:styleId="Innehll5">
    <w:name w:val="toc 5"/>
    <w:basedOn w:val="Innehll4"/>
    <w:next w:val="Normal"/>
    <w:autoRedefine/>
    <w:semiHidden/>
    <w:pPr>
      <w:ind w:left="760"/>
    </w:pPr>
  </w:style>
  <w:style w:type="paragraph" w:styleId="Innehll6">
    <w:name w:val="toc 6"/>
    <w:basedOn w:val="Innehll5"/>
    <w:next w:val="Normal"/>
    <w:autoRedefine/>
    <w:semiHidden/>
    <w:pPr>
      <w:ind w:left="950"/>
    </w:pPr>
  </w:style>
  <w:style w:type="paragraph" w:styleId="Innehll7">
    <w:name w:val="toc 7"/>
    <w:basedOn w:val="Innehll6"/>
    <w:next w:val="Normal"/>
    <w:autoRedefine/>
    <w:semiHidden/>
    <w:pPr>
      <w:ind w:left="1140"/>
    </w:pPr>
  </w:style>
  <w:style w:type="paragraph" w:styleId="Innehll8">
    <w:name w:val="toc 8"/>
    <w:basedOn w:val="Innehll7"/>
    <w:next w:val="Normal"/>
    <w:autoRedefine/>
    <w:semiHidden/>
    <w:pPr>
      <w:ind w:left="1330"/>
    </w:pPr>
  </w:style>
  <w:style w:type="paragraph" w:styleId="Innehll9">
    <w:name w:val="toc 9"/>
    <w:basedOn w:val="Normal"/>
    <w:next w:val="Normal"/>
    <w:autoRedefine/>
    <w:semiHidden/>
    <w:pPr>
      <w:spacing w:before="0"/>
      <w:ind w:left="1520"/>
      <w:jc w:val="left"/>
    </w:pPr>
    <w:rPr>
      <w:sz w:val="18"/>
    </w:r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2">
    <w:name w:val="Body Text 2"/>
    <w:basedOn w:val="Normal"/>
    <w:semiHidden/>
    <w:rPr>
      <w:b/>
    </w:rPr>
  </w:style>
  <w:style w:type="paragraph" w:styleId="Brdtextmedindrag2">
    <w:name w:val="Body Text Indent 2"/>
    <w:basedOn w:val="Normal"/>
    <w:semiHidden/>
    <w:pPr>
      <w:spacing w:before="0"/>
      <w:ind w:firstLine="17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9914</Words>
  <Characters>61471</Characters>
  <Application>Microsoft Office Word</Application>
  <DocSecurity>4</DocSecurity>
  <Lines>1280</Lines>
  <Paragraphs>415</Paragraphs>
  <ScaleCrop>false</ScaleCrop>
  <HeadingPairs>
    <vt:vector size="4" baseType="variant">
      <vt:variant>
        <vt:lpstr>Title</vt:lpstr>
      </vt:variant>
      <vt:variant>
        <vt:i4>1</vt:i4>
      </vt:variant>
      <vt:variant>
        <vt:lpstr>Rubriker</vt:lpstr>
      </vt:variant>
      <vt:variant>
        <vt:i4>33</vt:i4>
      </vt:variant>
    </vt:vector>
  </HeadingPairs>
  <TitlesOfParts>
    <vt:vector size="34" baseType="lpstr">
      <vt:lpstr>Förslag till riksdagen</vt:lpstr>
      <vt:lpstr>1 Revisorernas granskning</vt:lpstr>
      <vt:lpstr>    1.1 Granskningens uppläggning</vt:lpstr>
      <vt:lpstr>        Forskarrapporten</vt:lpstr>
      <vt:lpstr>        Seminariet</vt:lpstr>
      <vt:lpstr>        Övrig insamling och sammanställning av data</vt:lpstr>
      <vt:lpstr>    1.2 Rapportens innehåll</vt:lpstr>
      <vt:lpstr>        Efterfrågekrisens inverkan på de äldres sysselsättning</vt:lpstr>
      <vt:lpstr>        Det komplexa regelverket</vt:lpstr>
      <vt:lpstr>        Tillämpningspraxis</vt:lpstr>
      <vt:lpstr>        Staten som arbetsgivare</vt:lpstr>
      <vt:lpstr>        ”Äldreavgångarna”</vt:lpstr>
      <vt:lpstr>2 Revisorernas överväganden och förslag samt remissinstansernas synpunkter</vt:lpstr>
      <vt:lpstr>        Remissinstansernas allmänna synpunkter</vt:lpstr>
      <vt:lpstr>        Revisorerna</vt:lpstr>
      <vt:lpstr>    2.1 Regelverken behöver bli tydligare</vt:lpstr>
      <vt:lpstr>        Rapporten</vt:lpstr>
      <vt:lpstr>        Remissinstanserna</vt:lpstr>
      <vt:lpstr>        Revisorerna</vt:lpstr>
      <vt:lpstr>    2.2 Tillämpningen av regelverken behöver förbättras</vt:lpstr>
      <vt:lpstr>        Rapporten</vt:lpstr>
      <vt:lpstr>        Remissinstanserna</vt:lpstr>
      <vt:lpstr>        Revisorerna</vt:lpstr>
      <vt:lpstr>    2.3 Staten bör föregå med gott exempel</vt:lpstr>
      <vt:lpstr>        Rapporten</vt:lpstr>
      <vt:lpstr>        Remissinstanserna</vt:lpstr>
      <vt:lpstr>        Revisorerna</vt:lpstr>
      <vt:lpstr>    2.4 ”Äldreavgångarna” måste stoppas</vt:lpstr>
      <vt:lpstr>        Rapporten</vt:lpstr>
      <vt:lpstr>        Remissinstanserna</vt:lpstr>
      <vt:lpstr>        Revisorerna</vt:lpstr>
      <vt:lpstr>    3 Revisorernas förslag</vt:lpstr>
      <vt:lpstr>4 Sammanfattning av remissyttranden</vt:lpstr>
      <vt:lpstr>    Innehållsförteckning</vt:lpstr>
    </vt:vector>
  </TitlesOfParts>
  <Company>Riksdagen</Company>
  <LinksUpToDate>false</LinksUpToDate>
  <CharactersWithSpaces>70970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2000-06-20T08:36:00Z</cp:lastPrinted>
  <dcterms:created xsi:type="dcterms:W3CDTF">2025-12-15T22:10:00Z</dcterms:created>
  <dcterms:modified xsi:type="dcterms:W3CDTF">2025-12-15T22:10:00Z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RR</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vt:lpwstr>
  </property>
  <property fmtid="{D5CDD505-2E9C-101B-9397-08002B2CF9AE}" pid="7" name="Numrering">
    <vt:lpwstr>NotUpdated</vt:lpwstr>
  </property>
</Properties>
</file>