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92C3B79" w14:textId="77777777" w:rsidTr="00350D82">
        <w:tc>
          <w:tcPr>
            <w:tcW w:w="2268" w:type="dxa"/>
          </w:tcPr>
          <w:p w14:paraId="00702B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A480D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350D82" w14:paraId="50763495" w14:textId="77777777" w:rsidTr="00350D82">
        <w:tc>
          <w:tcPr>
            <w:tcW w:w="5267" w:type="dxa"/>
            <w:gridSpan w:val="3"/>
          </w:tcPr>
          <w:p w14:paraId="60F274C3" w14:textId="77777777" w:rsidR="00350D82" w:rsidRDefault="00350D82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14:paraId="20457753" w14:textId="77777777" w:rsidTr="00350D82">
        <w:tc>
          <w:tcPr>
            <w:tcW w:w="3402" w:type="dxa"/>
            <w:gridSpan w:val="2"/>
          </w:tcPr>
          <w:p w14:paraId="61CC06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B225C8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DECBAEA" w14:textId="77777777" w:rsidTr="00350D82">
        <w:tc>
          <w:tcPr>
            <w:tcW w:w="2268" w:type="dxa"/>
          </w:tcPr>
          <w:p w14:paraId="23FF666C" w14:textId="3E0C35DE" w:rsidR="006E4E11" w:rsidRDefault="003B08D3" w:rsidP="003B08D3">
            <w:pPr>
              <w:framePr w:w="5035" w:h="1644" w:wrap="notBeside" w:vAnchor="page" w:hAnchor="page" w:x="6573" w:y="721"/>
            </w:pPr>
            <w:r>
              <w:t>2014-11-21</w:t>
            </w:r>
          </w:p>
        </w:tc>
        <w:tc>
          <w:tcPr>
            <w:tcW w:w="2999" w:type="dxa"/>
            <w:gridSpan w:val="2"/>
          </w:tcPr>
          <w:p w14:paraId="18090AB7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63DFA66" w14:textId="77777777" w:rsidTr="00350D82">
        <w:tc>
          <w:tcPr>
            <w:tcW w:w="2268" w:type="dxa"/>
          </w:tcPr>
          <w:p w14:paraId="6DCB71D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DAD5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23B4982" w14:textId="77777777">
        <w:trPr>
          <w:trHeight w:val="284"/>
        </w:trPr>
        <w:tc>
          <w:tcPr>
            <w:tcW w:w="4911" w:type="dxa"/>
          </w:tcPr>
          <w:p w14:paraId="22BC05E8" w14:textId="77777777" w:rsidR="006E4E11" w:rsidRDefault="00350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5C960A19" w14:textId="77777777">
        <w:trPr>
          <w:trHeight w:val="284"/>
        </w:trPr>
        <w:tc>
          <w:tcPr>
            <w:tcW w:w="4911" w:type="dxa"/>
          </w:tcPr>
          <w:p w14:paraId="577FCAD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8892CC5" w14:textId="77777777">
        <w:trPr>
          <w:trHeight w:val="284"/>
        </w:trPr>
        <w:tc>
          <w:tcPr>
            <w:tcW w:w="4911" w:type="dxa"/>
          </w:tcPr>
          <w:p w14:paraId="030E596C" w14:textId="77777777" w:rsidR="006E4E11" w:rsidRDefault="00350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Grundlagsenheten</w:t>
            </w:r>
          </w:p>
        </w:tc>
      </w:tr>
      <w:tr w:rsidR="006E4E11" w14:paraId="62545BBD" w14:textId="77777777">
        <w:trPr>
          <w:trHeight w:val="284"/>
        </w:trPr>
        <w:tc>
          <w:tcPr>
            <w:tcW w:w="4911" w:type="dxa"/>
          </w:tcPr>
          <w:p w14:paraId="218765A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63B2CD7" w14:textId="77777777">
        <w:trPr>
          <w:trHeight w:val="284"/>
        </w:trPr>
        <w:tc>
          <w:tcPr>
            <w:tcW w:w="4911" w:type="dxa"/>
          </w:tcPr>
          <w:p w14:paraId="59503CD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1808D4" w14:textId="77777777">
        <w:trPr>
          <w:trHeight w:val="284"/>
        </w:trPr>
        <w:tc>
          <w:tcPr>
            <w:tcW w:w="4911" w:type="dxa"/>
          </w:tcPr>
          <w:p w14:paraId="573436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CC28B5" w14:textId="77777777">
        <w:trPr>
          <w:trHeight w:val="284"/>
        </w:trPr>
        <w:tc>
          <w:tcPr>
            <w:tcW w:w="4911" w:type="dxa"/>
          </w:tcPr>
          <w:p w14:paraId="7A1766B5" w14:textId="775A1659" w:rsidR="006E4E11" w:rsidRDefault="00EA3FB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  <w:noProof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1846E5" wp14:editId="09398B7E">
                      <wp:simplePos x="0" y="0"/>
                      <wp:positionH relativeFrom="column">
                        <wp:posOffset>4522470</wp:posOffset>
                      </wp:positionH>
                      <wp:positionV relativeFrom="paragraph">
                        <wp:posOffset>-2485390</wp:posOffset>
                      </wp:positionV>
                      <wp:extent cx="1746504" cy="640080"/>
                      <wp:effectExtent l="0" t="0" r="0" b="7620"/>
                      <wp:wrapNone/>
                      <wp:docPr id="2" name="Textru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6504" cy="640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prstClr val="black"/>
                                    </a:solidFill>
                                  </a14:hiddenLine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7A498" w14:textId="7FA906C2" w:rsidR="00EA3FBD" w:rsidRPr="00EA3FBD" w:rsidRDefault="00EA3FBD">
                                  <w:pPr>
                                    <w:rPr>
                                      <w:rFonts w:ascii="Times New Roman" w:hAnsi="Times New Roman"/>
                                    </w:rPr>
                                  </w:pPr>
                                  <w:bookmarkStart w:id="0" w:name="_GoBack"/>
                                  <w:r w:rsidRPr="00EA3FBD">
                                    <w:rPr>
                                      <w:rFonts w:ascii="Times New Roman" w:hAnsi="Times New Roman"/>
                                    </w:rPr>
                                    <w:t xml:space="preserve">RIF, </w:t>
                                  </w:r>
                                  <w:proofErr w:type="spellStart"/>
                                  <w:r w:rsidRPr="00EA3FBD">
                                    <w:rPr>
                                      <w:rFonts w:ascii="Times New Roman" w:hAnsi="Times New Roman"/>
                                    </w:rPr>
                                    <w:t>dp</w:t>
                                  </w:r>
                                  <w:proofErr w:type="spellEnd"/>
                                  <w:r w:rsidRPr="00EA3FBD">
                                    <w:rPr>
                                      <w:rFonts w:ascii="Times New Roman" w:hAnsi="Times New Roman"/>
                                    </w:rPr>
                                    <w:t>. 3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1846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356.1pt;margin-top:-195.7pt;width:137.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" filled="f" stroked="f" strokeweight=".5pt">
                      <v:fill o:detectmouseclick="t"/>
                      <v:textbox>
                        <w:txbxContent>
                          <w:p w14:paraId="2EC7A498" w14:textId="7FA906C2" w:rsidR="00EA3FBD" w:rsidRPr="00EA3FBD" w:rsidRDefault="00EA3FBD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bookmarkStart w:id="1" w:name="_GoBack"/>
                            <w:r w:rsidRPr="00EA3FBD">
                              <w:rPr>
                                <w:rFonts w:ascii="Times New Roman" w:hAnsi="Times New Roman"/>
                              </w:rPr>
                              <w:t xml:space="preserve">RIF, </w:t>
                            </w:r>
                            <w:proofErr w:type="spellStart"/>
                            <w:r w:rsidRPr="00EA3FBD">
                              <w:rPr>
                                <w:rFonts w:ascii="Times New Roman" w:hAnsi="Times New Roman"/>
                              </w:rPr>
                              <w:t>dp</w:t>
                            </w:r>
                            <w:proofErr w:type="spellEnd"/>
                            <w:r w:rsidRPr="00EA3FBD">
                              <w:rPr>
                                <w:rFonts w:ascii="Times New Roman" w:hAnsi="Times New Roman"/>
                              </w:rPr>
                              <w:t>. 3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4E11" w14:paraId="7D9F6ED5" w14:textId="77777777">
        <w:trPr>
          <w:trHeight w:val="284"/>
        </w:trPr>
        <w:tc>
          <w:tcPr>
            <w:tcW w:w="4911" w:type="dxa"/>
          </w:tcPr>
          <w:p w14:paraId="2942AA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3B3CFC" w14:textId="77777777">
        <w:trPr>
          <w:trHeight w:val="284"/>
        </w:trPr>
        <w:tc>
          <w:tcPr>
            <w:tcW w:w="4911" w:type="dxa"/>
          </w:tcPr>
          <w:p w14:paraId="686BE4F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9F48F2" w14:textId="77777777" w:rsidR="006E4E11" w:rsidRPr="00350D82" w:rsidRDefault="006E4E11">
      <w:pPr>
        <w:framePr w:w="4400" w:h="2523" w:wrap="notBeside" w:vAnchor="page" w:hAnchor="page" w:x="6453" w:y="2445"/>
        <w:ind w:left="142"/>
        <w:rPr>
          <w:b/>
        </w:rPr>
      </w:pPr>
    </w:p>
    <w:p w14:paraId="26BE24A3" w14:textId="77777777" w:rsidR="00350D82" w:rsidRDefault="00350D82">
      <w:pPr>
        <w:pStyle w:val="RKrubrik"/>
        <w:pBdr>
          <w:bottom w:val="single" w:sz="6" w:space="1" w:color="auto"/>
        </w:pBdr>
      </w:pPr>
      <w:bookmarkStart w:id="2" w:name="bRubrik"/>
      <w:bookmarkEnd w:id="2"/>
      <w:r>
        <w:t>Rådets möte för rättsliga och inrikes frågor (RIF) den 4–5 december 2014</w:t>
      </w:r>
    </w:p>
    <w:p w14:paraId="679047F2" w14:textId="77777777" w:rsidR="00350D82" w:rsidRDefault="00350D82">
      <w:pPr>
        <w:pStyle w:val="RKnormal"/>
      </w:pPr>
    </w:p>
    <w:p w14:paraId="2524FABD" w14:textId="13C1A018" w:rsidR="00350D82" w:rsidRDefault="00FA4ACB">
      <w:pPr>
        <w:pStyle w:val="RKnormal"/>
      </w:pPr>
      <w:r>
        <w:t>Dagordningspunkt 3.</w:t>
      </w:r>
    </w:p>
    <w:p w14:paraId="16B3E6C0" w14:textId="77777777" w:rsidR="00350D82" w:rsidRDefault="00350D82">
      <w:pPr>
        <w:pStyle w:val="RKnormal"/>
      </w:pPr>
    </w:p>
    <w:p w14:paraId="1056DA64" w14:textId="77777777" w:rsidR="009F406E" w:rsidRDefault="00350D82" w:rsidP="00350D82">
      <w:pPr>
        <w:pStyle w:val="RKnormal"/>
      </w:pPr>
      <w:r>
        <w:t>Rubrik: Förslag till Europaparlamentets och rådets förordning om skydd för enskilda personer med avseende på behandling av personuppgifter och om det fria flödet av sådana uppgifter (allmän uppgiftsskydds</w:t>
      </w:r>
      <w:r w:rsidR="00FA4ACB">
        <w:softHyphen/>
        <w:t xml:space="preserve">förordning) </w:t>
      </w:r>
    </w:p>
    <w:p w14:paraId="3DF5C130" w14:textId="557FD402" w:rsidR="009F406E" w:rsidRDefault="00FA4ACB" w:rsidP="00350D82">
      <w:pPr>
        <w:pStyle w:val="RKnormal"/>
      </w:pPr>
      <w:r>
        <w:t xml:space="preserve">– Partiell allmän inriktning </w:t>
      </w:r>
    </w:p>
    <w:p w14:paraId="0EA80F2C" w14:textId="1070E14C" w:rsidR="00350D82" w:rsidRDefault="009F406E" w:rsidP="009F406E">
      <w:pPr>
        <w:pStyle w:val="RKnormal"/>
      </w:pPr>
      <w:r>
        <w:t>– R</w:t>
      </w:r>
      <w:r w:rsidR="00DF19C6">
        <w:t xml:space="preserve">iktlinjedebatt </w:t>
      </w:r>
    </w:p>
    <w:p w14:paraId="7C2CC62C" w14:textId="77777777" w:rsidR="009F406E" w:rsidRPr="00B34C1F" w:rsidRDefault="009F406E" w:rsidP="00350D82">
      <w:pPr>
        <w:pStyle w:val="RKnormal"/>
      </w:pPr>
    </w:p>
    <w:p w14:paraId="605AC008" w14:textId="77777777" w:rsidR="00350D82" w:rsidRDefault="00350D82">
      <w:pPr>
        <w:pStyle w:val="RKnormal"/>
      </w:pPr>
    </w:p>
    <w:p w14:paraId="1485E3D3" w14:textId="0A6167F3" w:rsidR="00350D82" w:rsidRDefault="00350D82">
      <w:pPr>
        <w:pStyle w:val="RKnormal"/>
      </w:pPr>
      <w:r>
        <w:t xml:space="preserve">Dokument: </w:t>
      </w:r>
      <w:r w:rsidR="007248B7">
        <w:t>det har ännu inte presenterats något dokument för behandlingen i rådet</w:t>
      </w:r>
    </w:p>
    <w:p w14:paraId="6F81E539" w14:textId="77777777" w:rsidR="00350D82" w:rsidRDefault="00350D82">
      <w:pPr>
        <w:pStyle w:val="RKnormal"/>
      </w:pPr>
    </w:p>
    <w:p w14:paraId="6543B829" w14:textId="77777777" w:rsidR="00350D82" w:rsidRDefault="00350D82" w:rsidP="00350D82">
      <w:pPr>
        <w:pStyle w:val="RKnormal"/>
      </w:pPr>
      <w:r>
        <w:t>Tidigare dokument:</w:t>
      </w:r>
      <w:r w:rsidRPr="00350D82">
        <w:t xml:space="preserve"> </w:t>
      </w:r>
    </w:p>
    <w:p w14:paraId="71FCF1DB" w14:textId="77777777" w:rsidR="00350D82" w:rsidRPr="00E13D6E" w:rsidRDefault="00350D82" w:rsidP="00350D82">
      <w:pPr>
        <w:pStyle w:val="RKnormal"/>
      </w:pPr>
      <w:proofErr w:type="gramStart"/>
      <w:r>
        <w:t>-</w:t>
      </w:r>
      <w:proofErr w:type="gramEnd"/>
      <w:r>
        <w:t xml:space="preserve"> KOM (2012) </w:t>
      </w:r>
      <w:r w:rsidRPr="00E13D6E">
        <w:t>11 slutlig</w:t>
      </w:r>
      <w:r>
        <w:t xml:space="preserve"> </w:t>
      </w:r>
      <w:r w:rsidRPr="00E13D6E">
        <w:t>Förslag till Europaparlamentets och rådets förordning om skydd för enskilda personer med avseende på behandling av personuppgifter och om det fria flödet av sådana uppgifter</w:t>
      </w:r>
    </w:p>
    <w:p w14:paraId="0FD74D28" w14:textId="77777777" w:rsidR="00350D82" w:rsidRDefault="00350D82" w:rsidP="00350D82">
      <w:pPr>
        <w:pStyle w:val="RKnormal"/>
      </w:pPr>
      <w:proofErr w:type="gramStart"/>
      <w:r>
        <w:t>-</w:t>
      </w:r>
      <w:proofErr w:type="gramEnd"/>
      <w:r>
        <w:t xml:space="preserve"> Faktapromemoria </w:t>
      </w:r>
      <w:r w:rsidRPr="00E13D6E">
        <w:t>2011/12:FPM117</w:t>
      </w:r>
    </w:p>
    <w:p w14:paraId="51B7AEE7" w14:textId="77777777" w:rsidR="00350D82" w:rsidRDefault="00350D82">
      <w:pPr>
        <w:pStyle w:val="RKnormal"/>
      </w:pPr>
    </w:p>
    <w:p w14:paraId="0EBDB6AD" w14:textId="77777777" w:rsidR="00350D82" w:rsidRDefault="00350D82" w:rsidP="00350D82">
      <w:pPr>
        <w:pStyle w:val="RKnormal"/>
      </w:pPr>
      <w:r>
        <w:t xml:space="preserve">Tidigare behandlad vid samråd med EU-nämnden: 2012-10-19, 2012-11-30, 2013-03-01, 2013-05-31, 2013-10-04, 2013-11-29, 2014-02-28, </w:t>
      </w:r>
      <w:r w:rsidR="001E72E7">
        <w:t>2014-05-30 och 2014-10-03</w:t>
      </w:r>
    </w:p>
    <w:p w14:paraId="1F15CDC3" w14:textId="77777777" w:rsidR="00350D82" w:rsidRDefault="00350D82" w:rsidP="00350D82">
      <w:pPr>
        <w:pStyle w:val="RKnormal"/>
      </w:pPr>
    </w:p>
    <w:p w14:paraId="1B0BAE47" w14:textId="70E8F290" w:rsidR="007248B7" w:rsidRDefault="00350D82" w:rsidP="00350D82">
      <w:pPr>
        <w:pStyle w:val="RKnormal"/>
      </w:pPr>
      <w:r>
        <w:t xml:space="preserve">Tidigare behandlad vid </w:t>
      </w:r>
      <w:r w:rsidR="007248B7">
        <w:t xml:space="preserve">överläggning med eller information till </w:t>
      </w:r>
      <w:r w:rsidR="00053832">
        <w:t>konstitutionsutskottet och vid information till justitieutskottet</w:t>
      </w:r>
      <w:r w:rsidR="007248B7">
        <w:t>:</w:t>
      </w:r>
    </w:p>
    <w:p w14:paraId="1784DD16" w14:textId="77777777" w:rsidR="007248B7" w:rsidRDefault="007248B7" w:rsidP="00350D82">
      <w:pPr>
        <w:pStyle w:val="RKnormal"/>
      </w:pPr>
    </w:p>
    <w:p w14:paraId="22836D2F" w14:textId="78F3576E" w:rsidR="00350D82" w:rsidRDefault="007248B7" w:rsidP="00350D82">
      <w:pPr>
        <w:pStyle w:val="RKnormal"/>
      </w:pPr>
      <w:proofErr w:type="gramStart"/>
      <w:r>
        <w:t>-</w:t>
      </w:r>
      <w:proofErr w:type="gramEnd"/>
      <w:r>
        <w:t xml:space="preserve"> </w:t>
      </w:r>
      <w:r w:rsidR="00350D82">
        <w:t>konstitutionsutskottet: 2012-02-16, 2012-03-20, 2012-11-20, 2013-01-22, 2013-05-28 och 2013-10-03</w:t>
      </w:r>
      <w:r w:rsidR="00350D82">
        <w:br/>
      </w:r>
      <w:r w:rsidR="00350D82">
        <w:br/>
      </w:r>
      <w:r>
        <w:t xml:space="preserve">- </w:t>
      </w:r>
      <w:r w:rsidR="00350D82">
        <w:t>justitieutskottet: 2013-05-30, 2013-10-03</w:t>
      </w:r>
      <w:r w:rsidR="001E72E7">
        <w:t>,</w:t>
      </w:r>
      <w:r w:rsidR="00350D82">
        <w:t xml:space="preserve"> 2014-02-27</w:t>
      </w:r>
      <w:r w:rsidR="001E72E7">
        <w:t xml:space="preserve"> och 2014-05-27</w:t>
      </w:r>
    </w:p>
    <w:p w14:paraId="27007885" w14:textId="77777777" w:rsidR="00350D82" w:rsidRDefault="00350D82">
      <w:pPr>
        <w:pStyle w:val="RKrubrik"/>
      </w:pPr>
      <w:r>
        <w:lastRenderedPageBreak/>
        <w:t>Bakgrund</w:t>
      </w:r>
    </w:p>
    <w:p w14:paraId="581C54FD" w14:textId="1142CAAF" w:rsidR="00350D82" w:rsidRDefault="00350D82" w:rsidP="00350D82">
      <w:pPr>
        <w:pStyle w:val="RKnormal"/>
      </w:pPr>
      <w:r w:rsidRPr="00E13D6E">
        <w:t>Den viktigaste EU-rättsakten på dataskyddsområdet</w:t>
      </w:r>
      <w:r>
        <w:t xml:space="preserve"> är det s.k. </w:t>
      </w:r>
      <w:r w:rsidRPr="00E13D6E">
        <w:t>data</w:t>
      </w:r>
      <w:r w:rsidRPr="00E13D6E">
        <w:softHyphen/>
        <w:t>skydds</w:t>
      </w:r>
      <w:r>
        <w:softHyphen/>
      </w:r>
      <w:r w:rsidRPr="00E13D6E">
        <w:t>direktivet</w:t>
      </w:r>
      <w:r>
        <w:t xml:space="preserve"> som</w:t>
      </w:r>
      <w:r w:rsidRPr="00E13D6E">
        <w:t xml:space="preserve"> antog</w:t>
      </w:r>
      <w:r>
        <w:t>s 1995. Direktivet</w:t>
      </w:r>
      <w:r w:rsidR="007248B7">
        <w:t>s</w:t>
      </w:r>
      <w:r>
        <w:t xml:space="preserve"> syfte</w:t>
      </w:r>
      <w:r w:rsidRPr="00E13D6E">
        <w:t xml:space="preserve"> </w:t>
      </w:r>
      <w:r>
        <w:t xml:space="preserve">är dels </w:t>
      </w:r>
      <w:r w:rsidRPr="00E13D6E">
        <w:t>att skydda fysiska personers grund</w:t>
      </w:r>
      <w:r w:rsidRPr="00E13D6E">
        <w:softHyphen/>
        <w:t>läggande fri- och rättigheter i sam</w:t>
      </w:r>
      <w:r>
        <w:softHyphen/>
      </w:r>
      <w:r w:rsidRPr="00E13D6E">
        <w:t>band me</w:t>
      </w:r>
      <w:r>
        <w:t xml:space="preserve">d behandling av personuppgifter, dels </w:t>
      </w:r>
      <w:r w:rsidRPr="00E13D6E">
        <w:t>att underlätta ett fritt flöde av personuppgift</w:t>
      </w:r>
      <w:r w:rsidRPr="00E13D6E">
        <w:softHyphen/>
        <w:t>er mellan medlemsstaterna. Dataskyddsdirektivet har i svensk rätt genom</w:t>
      </w:r>
      <w:r>
        <w:softHyphen/>
      </w:r>
      <w:r w:rsidRPr="00E13D6E">
        <w:t>förts genom personuppgifts</w:t>
      </w:r>
      <w:r w:rsidRPr="00E13D6E">
        <w:softHyphen/>
        <w:t>lagen och ett antal särreglering</w:t>
      </w:r>
      <w:r>
        <w:t>ar i förhållande till denna lag, t.ex. patientdatalagen och kustbevakningsdatalagen.</w:t>
      </w:r>
    </w:p>
    <w:p w14:paraId="51F56379" w14:textId="77777777" w:rsidR="00350D82" w:rsidRDefault="00350D82" w:rsidP="00350D82">
      <w:pPr>
        <w:pStyle w:val="RKnormal"/>
      </w:pPr>
    </w:p>
    <w:p w14:paraId="4DF5F292" w14:textId="6EA1EBFF" w:rsidR="00350D82" w:rsidRDefault="00350D82" w:rsidP="00350D82">
      <w:pPr>
        <w:pStyle w:val="RKnormal"/>
      </w:pPr>
      <w:r w:rsidRPr="00E13D6E">
        <w:t xml:space="preserve">Den 25 januari 2012 presenterade kommissionen </w:t>
      </w:r>
      <w:r>
        <w:t>ett</w:t>
      </w:r>
      <w:r w:rsidRPr="00E13D6E">
        <w:t xml:space="preserve"> förslag till en genomgripande reform av EU:s regler om skydd för personuppgifter. Förslaget innebär bl.a. att dataskyd</w:t>
      </w:r>
      <w:r>
        <w:t>dsdirektivet ska ersättas av en allmän</w:t>
      </w:r>
      <w:r w:rsidRPr="00E13D6E">
        <w:t xml:space="preserve"> dataskyddsförordning. </w:t>
      </w:r>
      <w:r w:rsidRPr="000B450F">
        <w:t>Förslaget till förordning har därefter förhandlats i behörig rådsarbetsgrupp</w:t>
      </w:r>
      <w:r>
        <w:t>.</w:t>
      </w:r>
      <w:r>
        <w:br/>
      </w:r>
      <w:r>
        <w:br/>
        <w:t xml:space="preserve">Förslaget behandlades vid RIF-råden i december 2012 och januari och </w:t>
      </w:r>
      <w:r w:rsidRPr="00C359E0">
        <w:t xml:space="preserve">mars </w:t>
      </w:r>
      <w:r>
        <w:t>2013</w:t>
      </w:r>
      <w:r w:rsidR="0054111D">
        <w:t xml:space="preserve"> varvid r</w:t>
      </w:r>
      <w:r>
        <w:t>ådet uttalade sitt stöd för att införa en riskbaserad ansats i regleringen samt för att skapa flexibilitet för den offentliga sektorn. Ministrarna har också gett stöd till en utvidgning av det s.k. hushållsundantaget.</w:t>
      </w:r>
    </w:p>
    <w:p w14:paraId="6F67AE2B" w14:textId="77777777" w:rsidR="00350D82" w:rsidRDefault="00350D82" w:rsidP="00350D82">
      <w:pPr>
        <w:pStyle w:val="RKnormal"/>
      </w:pPr>
    </w:p>
    <w:p w14:paraId="77918D5F" w14:textId="4F610F36" w:rsidR="00350D82" w:rsidRPr="002B725C" w:rsidRDefault="00350D82" w:rsidP="00350D82">
      <w:pPr>
        <w:pStyle w:val="RKnormal"/>
      </w:pPr>
      <w:r>
        <w:t>Vid RIF-rådet i juni 2013 diskuterades vissa nyckelfrågor som ordförandeskapet identifierat efter de</w:t>
      </w:r>
      <w:r w:rsidRPr="007E6FEA">
        <w:t>n första läsningen av förordningen</w:t>
      </w:r>
      <w:r>
        <w:t xml:space="preserve">. Inför rådsmötet arbetade ordförandeskapet även om stora delar av förslaget, bl.a. för att </w:t>
      </w:r>
      <w:r w:rsidRPr="002B725C">
        <w:t xml:space="preserve">införa en mer riskbaserad ansats </w:t>
      </w:r>
      <w:r>
        <w:t xml:space="preserve">och för att skapa flexibilitet för </w:t>
      </w:r>
      <w:r w:rsidRPr="002B725C">
        <w:t>den offentliga sektorn i regleringen</w:t>
      </w:r>
      <w:r>
        <w:t xml:space="preserve">. Dessutom införde ordförandeskapet efter förslag från bl.a. Sverige en särskild artikel om tillgång till allmänna handlingar. </w:t>
      </w:r>
    </w:p>
    <w:p w14:paraId="25E968FA" w14:textId="77777777" w:rsidR="00350D82" w:rsidRDefault="00350D82" w:rsidP="00350D82"/>
    <w:p w14:paraId="066D1537" w14:textId="336ADBB2" w:rsidR="00350D82" w:rsidRDefault="00350D82" w:rsidP="00350D82">
      <w:r>
        <w:t>Vid RIF-rådet i juli 2013 diskuterades den s.k. mekanismen för enhetlighet, dvs. den del av regleringen som syftar till att säkerställa e</w:t>
      </w:r>
      <w:r w:rsidRPr="00AC7944">
        <w:t>n konsekvent och enhetlig tillämpning av dataskyddsreglerna inom EU</w:t>
      </w:r>
      <w:r>
        <w:t xml:space="preserve">. </w:t>
      </w:r>
      <w:r>
        <w:br/>
      </w:r>
      <w:r>
        <w:br/>
        <w:t xml:space="preserve">Vid RIF-rådet i oktober 2013 hölls en orienteringsdebatt kring regleringen om behörig tillsynsmyndighet vid gränsöverskridande ärenden. </w:t>
      </w:r>
    </w:p>
    <w:p w14:paraId="21D3A304" w14:textId="77777777" w:rsidR="00350D82" w:rsidRDefault="00350D82" w:rsidP="00350D82"/>
    <w:p w14:paraId="4F21A798" w14:textId="7C0B83E3" w:rsidR="00350D82" w:rsidRDefault="00350D82" w:rsidP="00350D82">
      <w:r>
        <w:t>Vid RIF</w:t>
      </w:r>
      <w:r w:rsidR="0054111D">
        <w:t xml:space="preserve">-rådet i december 2013 diskuterades </w:t>
      </w:r>
      <w:r w:rsidRPr="00647B65">
        <w:t>mekanismen</w:t>
      </w:r>
      <w:r w:rsidR="0054111D">
        <w:t xml:space="preserve"> för enhetlighet på nytt</w:t>
      </w:r>
      <w:r w:rsidRPr="00647B65">
        <w:t>.</w:t>
      </w:r>
      <w:r>
        <w:t xml:space="preserve"> </w:t>
      </w:r>
    </w:p>
    <w:p w14:paraId="59275593" w14:textId="77777777" w:rsidR="00350D82" w:rsidRDefault="00350D82" w:rsidP="00350D82"/>
    <w:p w14:paraId="550ABCB2" w14:textId="1D47E947" w:rsidR="00350D82" w:rsidRDefault="00350D82" w:rsidP="00350D82">
      <w:r>
        <w:t xml:space="preserve">Vid RIF-rådet i mars 2014 hölls en riktlinjedebatt </w:t>
      </w:r>
      <w:r w:rsidR="0054111D">
        <w:t xml:space="preserve">bl.a. </w:t>
      </w:r>
      <w:r>
        <w:t xml:space="preserve">om förordningens territoriella tillämpningsområde och bestämmelserna om överföring av personuppgifter till tredjeland. </w:t>
      </w:r>
    </w:p>
    <w:p w14:paraId="17F5DFC5" w14:textId="77777777" w:rsidR="00350D82" w:rsidRDefault="00350D82" w:rsidP="00350D82"/>
    <w:p w14:paraId="4D5D2B43" w14:textId="5F401727" w:rsidR="00DF19C6" w:rsidRDefault="00DF19C6" w:rsidP="00DF19C6">
      <w:pPr>
        <w:pStyle w:val="RKnormal"/>
      </w:pPr>
      <w:r>
        <w:t>Vid RIF-rådet i juni 2014 träffades en överenskommelse om partiell allmän inriktning när det gäller förordningens kapitel V, som innehåller bestämmelser om överföring av personuppgifter till länder och inter</w:t>
      </w:r>
      <w:r>
        <w:softHyphen/>
        <w:t xml:space="preserve">nationella organisationer utanför EU och EES. </w:t>
      </w:r>
    </w:p>
    <w:p w14:paraId="0A517924" w14:textId="77777777" w:rsidR="00DF19C6" w:rsidRDefault="00DF19C6" w:rsidP="00DF19C6">
      <w:pPr>
        <w:pStyle w:val="RKnormal"/>
      </w:pPr>
    </w:p>
    <w:p w14:paraId="72A11EB6" w14:textId="1BB1570B" w:rsidR="00DF19C6" w:rsidRDefault="00DF19C6" w:rsidP="00DF19C6">
      <w:pPr>
        <w:pStyle w:val="RKnormal"/>
      </w:pPr>
      <w:r>
        <w:lastRenderedPageBreak/>
        <w:t xml:space="preserve">Vid RIF-rådet i oktober 2014 träffades en överenskommelse om partiell allmän inriktning när det gäller kapitel IV, som främst innehåller bestämmelser om de personuppgiftsansvarigas skyldigheter. </w:t>
      </w:r>
    </w:p>
    <w:p w14:paraId="2A2414A5" w14:textId="77777777" w:rsidR="00DF19C6" w:rsidRDefault="00DF19C6" w:rsidP="00DF19C6">
      <w:pPr>
        <w:pStyle w:val="RKnormal"/>
        <w:rPr>
          <w:i/>
        </w:rPr>
      </w:pPr>
    </w:p>
    <w:p w14:paraId="389D3144" w14:textId="1106BC03" w:rsidR="00995026" w:rsidRDefault="00995026" w:rsidP="00995026">
      <w:pPr>
        <w:pStyle w:val="RKnormal"/>
      </w:pPr>
      <w:r>
        <w:t>Som förbehåll för de partiella allmänna inriktningarna har gällt att inget är överenskommet förrän allt är över</w:t>
      </w:r>
      <w:r>
        <w:softHyphen/>
        <w:t>ens</w:t>
      </w:r>
      <w:r>
        <w:softHyphen/>
        <w:t>kommet, att överenskommelsen inte binder förhandlingarna till några horisontella frågor och att beslutet inte ger ordförandeskapet mandat att inleda triologer med Europaparlamentet.</w:t>
      </w:r>
    </w:p>
    <w:p w14:paraId="0177D9B8" w14:textId="77777777" w:rsidR="00995026" w:rsidRDefault="00995026" w:rsidP="00350D82">
      <w:pPr>
        <w:pStyle w:val="RKnormal"/>
      </w:pPr>
    </w:p>
    <w:p w14:paraId="4E9639A5" w14:textId="42D18A34" w:rsidR="00350D82" w:rsidRDefault="00350D82" w:rsidP="00350D82">
      <w:pPr>
        <w:pStyle w:val="RKnormal"/>
      </w:pPr>
      <w:r>
        <w:t xml:space="preserve">Vid nu aktuellt rådsmöte är avsikten att nå en </w:t>
      </w:r>
      <w:r w:rsidR="0054111D">
        <w:t xml:space="preserve">överenskommelse om </w:t>
      </w:r>
      <w:r>
        <w:t xml:space="preserve">partiell allmän inriktning </w:t>
      </w:r>
      <w:r w:rsidR="0054111D">
        <w:t xml:space="preserve">rörande </w:t>
      </w:r>
      <w:r w:rsidR="00DF19C6">
        <w:t>artiklarna 1(2)a, 6(3) och 21</w:t>
      </w:r>
      <w:r w:rsidR="006D5EE6">
        <w:t xml:space="preserve"> </w:t>
      </w:r>
      <w:r w:rsidR="0054111D">
        <w:t xml:space="preserve">och hela </w:t>
      </w:r>
      <w:r w:rsidR="006D5EE6">
        <w:t>kapitel 9</w:t>
      </w:r>
      <w:r w:rsidR="00DF19C6">
        <w:t xml:space="preserve">. De aktuella bestämmelserna reglerar hur förordnings regelverk förhåller sig till den offentliga sektorn och vilket utrymme </w:t>
      </w:r>
      <w:r w:rsidR="007248B7">
        <w:t xml:space="preserve">medlemsstaterna </w:t>
      </w:r>
      <w:r w:rsidR="00DF19C6">
        <w:t xml:space="preserve">ska ha att i vissa situationer och vid viss personuppgiftsbehandling anta specifika, och även i vissa fall avvikande, bestämmelser i förhållande till förordningens regelverk.  Vidare är avsikten att hålla en riktlinjedebatt om ytterligare någon bestämmelse/fråga i förordningen, oklart i nuläget om vad. </w:t>
      </w:r>
    </w:p>
    <w:p w14:paraId="742E47CE" w14:textId="77777777" w:rsidR="00350D82" w:rsidRDefault="00350D82">
      <w:pPr>
        <w:pStyle w:val="RKrubrik"/>
      </w:pPr>
      <w:r>
        <w:t>Rättslig grund och beslutsförfarande</w:t>
      </w:r>
    </w:p>
    <w:p w14:paraId="2E859403" w14:textId="060445E5" w:rsidR="00350D82" w:rsidRDefault="00350D82">
      <w:pPr>
        <w:pStyle w:val="RKnormal"/>
      </w:pPr>
      <w:r w:rsidRPr="00231C4B">
        <w:t xml:space="preserve">Den rättsliga grunden för förslaget är artikel 16 </w:t>
      </w:r>
      <w:r w:rsidR="007248B7">
        <w:t>i Fördraget om Europeiska unionens funktionssätt (</w:t>
      </w:r>
      <w:r>
        <w:t>FEUF</w:t>
      </w:r>
      <w:r w:rsidR="007248B7">
        <w:t>)</w:t>
      </w:r>
      <w:r w:rsidRPr="00231C4B">
        <w:t>. Beslut fattas genom det ordinarie beslutsförfarandet, vilket betyder att det krävs kvalificerad majoritet i rådet samt enighet med Europaparlamentet för att anta den föreslagna förordningen.</w:t>
      </w:r>
    </w:p>
    <w:p w14:paraId="18980B5B" w14:textId="36B93A6F" w:rsidR="00F856FF" w:rsidRPr="00F856FF" w:rsidRDefault="00350D82" w:rsidP="00F856FF">
      <w:pPr>
        <w:pStyle w:val="RKrubrik"/>
        <w:rPr>
          <w:iCs/>
        </w:rPr>
      </w:pPr>
      <w:r w:rsidRPr="00350D82">
        <w:rPr>
          <w:iCs/>
        </w:rPr>
        <w:t>Svensk ståndpunkt</w:t>
      </w:r>
    </w:p>
    <w:p w14:paraId="4667CD9E" w14:textId="64750961" w:rsidR="00F856FF" w:rsidRDefault="003B08D3" w:rsidP="003F4377">
      <w:pPr>
        <w:pStyle w:val="RKnormal"/>
      </w:pPr>
      <w:r>
        <w:t>Regeringen</w:t>
      </w:r>
      <w:r w:rsidR="00F856FF">
        <w:t xml:space="preserve"> ser mycket positivt på det förslag till reglering i </w:t>
      </w:r>
      <w:r w:rsidR="00F856FF" w:rsidRPr="00F856FF">
        <w:rPr>
          <w:u w:val="single"/>
        </w:rPr>
        <w:t>artikel 1(2)a och 6(3)</w:t>
      </w:r>
      <w:r w:rsidR="00F856FF">
        <w:t xml:space="preserve"> som rådet arbetat fram.</w:t>
      </w:r>
    </w:p>
    <w:p w14:paraId="1A5641B9" w14:textId="77777777" w:rsidR="00F856FF" w:rsidRDefault="00F856FF" w:rsidP="003F4377">
      <w:pPr>
        <w:pStyle w:val="RKnormal"/>
      </w:pPr>
    </w:p>
    <w:p w14:paraId="0C871C5A" w14:textId="508387F3" w:rsidR="003F4377" w:rsidRDefault="003F4377" w:rsidP="003F4377">
      <w:pPr>
        <w:pStyle w:val="RKnormal"/>
      </w:pPr>
      <w:r>
        <w:t xml:space="preserve">Sveriges grundinställning i förhandlingarna om en ny dataskydds-reglering har från början varit att det är av yttersta vikt att </w:t>
      </w:r>
      <w:r w:rsidR="007248B7">
        <w:t xml:space="preserve">medlemsstaterna </w:t>
      </w:r>
      <w:r>
        <w:t>i så stor utsträckning som möjligt ges behörighet att i na</w:t>
      </w:r>
      <w:r w:rsidRPr="000E4203">
        <w:t>tionell lagstift</w:t>
      </w:r>
      <w:r>
        <w:t>ning r</w:t>
      </w:r>
      <w:r w:rsidRPr="000E4203">
        <w:t>eglera myndigheterna</w:t>
      </w:r>
      <w:r>
        <w:t xml:space="preserve">s, och andra organ som utför myndighetsutövning, behandling av personuppgifter. </w:t>
      </w:r>
      <w:r w:rsidRPr="000E4203">
        <w:t>Detta är en av flera omständigheter som motiverat S</w:t>
      </w:r>
      <w:r w:rsidR="007248B7">
        <w:t>verige</w:t>
      </w:r>
      <w:r w:rsidRPr="000E4203">
        <w:t xml:space="preserve"> att driva linjen att den aktuella rättsakten </w:t>
      </w:r>
      <w:r>
        <w:t>ska ges</w:t>
      </w:r>
      <w:r w:rsidRPr="000E4203">
        <w:t xml:space="preserve"> formen av ett direktiv i stället för en förordning. </w:t>
      </w:r>
    </w:p>
    <w:p w14:paraId="36576025" w14:textId="77777777" w:rsidR="003F4377" w:rsidRDefault="003F4377" w:rsidP="003F4377">
      <w:pPr>
        <w:pStyle w:val="RKnormal"/>
      </w:pPr>
    </w:p>
    <w:p w14:paraId="51103D2E" w14:textId="6FD59C21" w:rsidR="003F4377" w:rsidRDefault="003F4377" w:rsidP="003F4377">
      <w:pPr>
        <w:pStyle w:val="RKnormal"/>
      </w:pPr>
      <w:r>
        <w:t xml:space="preserve">Det förslag som nu arbetats fram i artikel 1(2)a ger </w:t>
      </w:r>
      <w:r w:rsidR="007248B7">
        <w:t xml:space="preserve">medlemsstaterna </w:t>
      </w:r>
      <w:r>
        <w:t xml:space="preserve">stor flexibilitet att i nationell lagstiftning inneha, och anta, specifika bestämmelser för registeransvariga och registerförare i den offentliga verksamheten. Bestämmelsen träffar både myndigheter och privata subjekt som utövar myndighetsutövning. Den ger vidare </w:t>
      </w:r>
      <w:r w:rsidR="007248B7">
        <w:t xml:space="preserve">medlemsstaterna </w:t>
      </w:r>
      <w:r>
        <w:t xml:space="preserve">rätt att ha specifika bestämmelser vid behandling av personuppgifter som </w:t>
      </w:r>
      <w:r w:rsidRPr="00944A2E">
        <w:t xml:space="preserve">sker för att uppfylla rättsliga förpliktelser eller när </w:t>
      </w:r>
      <w:r>
        <w:t>behandlingen</w:t>
      </w:r>
      <w:r w:rsidRPr="00944A2E">
        <w:t xml:space="preserve"> utförs för att fullgöra en uppgift av allmänt </w:t>
      </w:r>
      <w:r>
        <w:t xml:space="preserve">intresse. I den framarbetade artikel 6(3) ges exempel på vilken typ av specifika bestämmelser </w:t>
      </w:r>
      <w:r w:rsidR="007248B7">
        <w:t xml:space="preserve">medlemsstaterna </w:t>
      </w:r>
      <w:r>
        <w:t xml:space="preserve">kan anta inom ramen för den s.k. minimiharmoniseringsbestämmelsen i artikel 1(2)a för den offentliga verksamheten. </w:t>
      </w:r>
    </w:p>
    <w:p w14:paraId="7707DEC8" w14:textId="77777777" w:rsidR="003F4377" w:rsidRDefault="003F4377" w:rsidP="003F4377">
      <w:pPr>
        <w:pStyle w:val="RKnormal"/>
      </w:pPr>
    </w:p>
    <w:p w14:paraId="791E9AB0" w14:textId="01968D7C" w:rsidR="003F4377" w:rsidRDefault="003F4377" w:rsidP="003F4377">
      <w:pPr>
        <w:pStyle w:val="RKnormal"/>
      </w:pPr>
      <w:r>
        <w:lastRenderedPageBreak/>
        <w:t xml:space="preserve">Som en ytterligare ansats att utöka </w:t>
      </w:r>
      <w:r w:rsidR="007248B7">
        <w:t xml:space="preserve">medlemsstaterna </w:t>
      </w:r>
      <w:r>
        <w:t xml:space="preserve">rätt att anta särskilda bestämmelser i nationell rätt ger det nu framarbetade förslaget till </w:t>
      </w:r>
      <w:r w:rsidRPr="00F856FF">
        <w:rPr>
          <w:u w:val="single"/>
        </w:rPr>
        <w:t xml:space="preserve">artikel 21 </w:t>
      </w:r>
      <w:r w:rsidRPr="00EB0D15">
        <w:t xml:space="preserve">medlemsstaterna möjlighet att begränsa vissa rättigheter och skyldigheter </w:t>
      </w:r>
      <w:r>
        <w:t xml:space="preserve">i förordningen </w:t>
      </w:r>
      <w:r w:rsidRPr="00EB0D15">
        <w:t>genom nationell lagstiftning</w:t>
      </w:r>
      <w:r>
        <w:t>. Detta under förutsättning</w:t>
      </w:r>
      <w:r w:rsidRPr="00EB0D15">
        <w:t xml:space="preserve"> att dessa begränsningar utgör en nödvändig och proportionell åtgärd i ett demokratiskt samhälle för att skydda </w:t>
      </w:r>
    </w:p>
    <w:p w14:paraId="26213A51" w14:textId="77777777" w:rsidR="003F4377" w:rsidRDefault="003F4377" w:rsidP="003F4377">
      <w:pPr>
        <w:pStyle w:val="RKnormal"/>
        <w:numPr>
          <w:ilvl w:val="0"/>
          <w:numId w:val="1"/>
        </w:numPr>
      </w:pPr>
      <w:r w:rsidRPr="00EB0D15">
        <w:t xml:space="preserve">ett </w:t>
      </w:r>
      <w:r>
        <w:t>viktigt</w:t>
      </w:r>
      <w:r w:rsidRPr="00EB0D15">
        <w:t xml:space="preserve"> allmän</w:t>
      </w:r>
      <w:r>
        <w:t>t</w:t>
      </w:r>
      <w:r w:rsidRPr="00EB0D15">
        <w:t xml:space="preserve"> intresse</w:t>
      </w:r>
      <w:r>
        <w:t xml:space="preserve"> (t.ex. den nationella säkerheten), </w:t>
      </w:r>
    </w:p>
    <w:p w14:paraId="63C6E9F3" w14:textId="77777777" w:rsidR="003F4377" w:rsidRDefault="003F4377" w:rsidP="003F4377">
      <w:pPr>
        <w:pStyle w:val="RKnormal"/>
        <w:numPr>
          <w:ilvl w:val="0"/>
          <w:numId w:val="1"/>
        </w:numPr>
      </w:pPr>
      <w:r>
        <w:t>den registrerade, eller</w:t>
      </w:r>
    </w:p>
    <w:p w14:paraId="6109F5C7" w14:textId="77777777" w:rsidR="003F4377" w:rsidRDefault="003F4377" w:rsidP="003F4377">
      <w:pPr>
        <w:pStyle w:val="RKnormal"/>
        <w:numPr>
          <w:ilvl w:val="0"/>
          <w:numId w:val="1"/>
        </w:numPr>
      </w:pPr>
      <w:proofErr w:type="gramStart"/>
      <w:r w:rsidRPr="00EB0D15">
        <w:t xml:space="preserve">rättigheter och friheter </w:t>
      </w:r>
      <w:r>
        <w:t xml:space="preserve">som tillkommer </w:t>
      </w:r>
      <w:r w:rsidRPr="00EB0D15">
        <w:t>andra</w:t>
      </w:r>
      <w:r>
        <w:t xml:space="preserve"> enskilda</w:t>
      </w:r>
      <w:r w:rsidRPr="00EB0D15">
        <w:t>.</w:t>
      </w:r>
      <w:proofErr w:type="gramEnd"/>
    </w:p>
    <w:p w14:paraId="5626BFB7" w14:textId="77777777" w:rsidR="003F4377" w:rsidRDefault="003F4377" w:rsidP="003F4377">
      <w:pPr>
        <w:pStyle w:val="RKnormal"/>
      </w:pPr>
    </w:p>
    <w:p w14:paraId="2795A2F4" w14:textId="6D809481" w:rsidR="003F4377" w:rsidRDefault="003B08D3" w:rsidP="003F4377">
      <w:pPr>
        <w:pStyle w:val="RKnormal"/>
      </w:pPr>
      <w:r>
        <w:t>Regeringen</w:t>
      </w:r>
      <w:r w:rsidR="003F4377" w:rsidRPr="00D03337">
        <w:t xml:space="preserve"> ser </w:t>
      </w:r>
      <w:r w:rsidR="003F4377">
        <w:t>sammantaget mycket</w:t>
      </w:r>
      <w:r w:rsidR="003F4377" w:rsidRPr="00D03337">
        <w:t xml:space="preserve"> positivt på de</w:t>
      </w:r>
      <w:r w:rsidR="003F4377">
        <w:t xml:space="preserve">t utrymme som </w:t>
      </w:r>
      <w:r w:rsidR="007248B7">
        <w:t xml:space="preserve">medlemsstaterna </w:t>
      </w:r>
      <w:r w:rsidR="003F4377">
        <w:t xml:space="preserve">ges i </w:t>
      </w:r>
      <w:r w:rsidR="003F4377" w:rsidRPr="00D03337">
        <w:t xml:space="preserve">de föreslagna regleringarna i artikel 1(2) a, 6 (3) och 21 </w:t>
      </w:r>
      <w:r w:rsidR="003F4377">
        <w:t>att anta, inte bara specifika, utan i vissa fall även avvikande nationella bestämmelser i förhållande till förordningen</w:t>
      </w:r>
      <w:r w:rsidR="003A4579">
        <w:t xml:space="preserve"> när det gäller den offentliga sektorn</w:t>
      </w:r>
      <w:r w:rsidR="003F4377">
        <w:t xml:space="preserve">. </w:t>
      </w:r>
    </w:p>
    <w:p w14:paraId="32992B74" w14:textId="77777777" w:rsidR="003F4377" w:rsidRDefault="003F4377" w:rsidP="003F4377">
      <w:pPr>
        <w:pStyle w:val="RKnormal"/>
      </w:pPr>
    </w:p>
    <w:p w14:paraId="51EDADB8" w14:textId="18F44C0D" w:rsidR="00E64249" w:rsidRDefault="00F856FF" w:rsidP="00E64249">
      <w:pPr>
        <w:pStyle w:val="RKnormal"/>
      </w:pPr>
      <w:r>
        <w:t xml:space="preserve">I kapitel 9, som även det är föremål för beslut om en partiell allmän inriktning av rådet, finns vissa särskilda regler om att </w:t>
      </w:r>
      <w:r w:rsidR="007248B7">
        <w:t>medlemsstaterna</w:t>
      </w:r>
      <w:r>
        <w:t>, t.ex. av hänsyn till yttrandefriheten och offentlighetsprincipen, i vissa fall ska få göra undantag för förordningens regelverk. Det är av yttersta vikt att värna om yttrandefriheten och att det i förordningen tas tillräcklig hänsyn till den svenska offentlighetsprincipen.</w:t>
      </w:r>
      <w:r w:rsidR="006D5EE6">
        <w:t xml:space="preserve"> </w:t>
      </w:r>
      <w:r w:rsidR="003B08D3">
        <w:t>Regeringen</w:t>
      </w:r>
      <w:r w:rsidR="006D5EE6">
        <w:t xml:space="preserve"> ser </w:t>
      </w:r>
      <w:r w:rsidR="0054111D">
        <w:t xml:space="preserve">positivt på att förordningen ger tydligt stöd för offentlighetsprincipen och att regleringen om yttrandefriheten i någon mån utvidgas i förhållande till vad som gäller i dag. Förhandlingar pågår alltjämt i fråga om den närmare utformningen av denna reglering. För </w:t>
      </w:r>
      <w:r w:rsidR="003B08D3">
        <w:t>regeringen</w:t>
      </w:r>
      <w:r w:rsidR="0054111D">
        <w:t xml:space="preserve"> är det </w:t>
      </w:r>
      <w:r w:rsidR="007248B7">
        <w:t xml:space="preserve">viktigt </w:t>
      </w:r>
      <w:r w:rsidR="0054111D">
        <w:t xml:space="preserve">att regleringen inte kommer i konflikt med våra grundlagar. </w:t>
      </w:r>
    </w:p>
    <w:p w14:paraId="2DEA2F50" w14:textId="2A249AFA" w:rsidR="007248B7" w:rsidRDefault="007248B7" w:rsidP="00E64249">
      <w:pPr>
        <w:pStyle w:val="RKnormal"/>
      </w:pPr>
    </w:p>
    <w:p w14:paraId="176AC4AF" w14:textId="3E891732" w:rsidR="007248B7" w:rsidRDefault="007248B7" w:rsidP="007248B7">
      <w:pPr>
        <w:pStyle w:val="RKnormal"/>
      </w:pPr>
      <w:r>
        <w:t xml:space="preserve">I kapitel 9 finns även bestämmelser som reglerar möjligheten för </w:t>
      </w:r>
      <w:r w:rsidR="003A46AF">
        <w:t xml:space="preserve">medlemsstaterna </w:t>
      </w:r>
      <w:r>
        <w:t xml:space="preserve">att göra undantag från vissa av förordningens regler vid behandling av personuppgifter i anställningsförhållanden och för arkivändamål och statistiska, vetenskapliga och historiska ändamål. </w:t>
      </w:r>
      <w:r w:rsidR="003B08D3">
        <w:t>Regeringen</w:t>
      </w:r>
      <w:r>
        <w:t xml:space="preserve"> ser positivt på </w:t>
      </w:r>
      <w:r w:rsidR="00D440DA">
        <w:t xml:space="preserve">hur denna reglering har utformats i förslaget. </w:t>
      </w:r>
      <w:r w:rsidR="000B24BD">
        <w:t>F</w:t>
      </w:r>
      <w:r>
        <w:t xml:space="preserve">ör </w:t>
      </w:r>
      <w:r w:rsidR="003B08D3">
        <w:t>regeringen</w:t>
      </w:r>
      <w:r>
        <w:t xml:space="preserve"> </w:t>
      </w:r>
      <w:r w:rsidR="000B24BD">
        <w:t xml:space="preserve">är det viktigt </w:t>
      </w:r>
      <w:r>
        <w:t xml:space="preserve">att </w:t>
      </w:r>
      <w:r w:rsidRPr="00F82279">
        <w:t xml:space="preserve">det </w:t>
      </w:r>
      <w:r w:rsidR="000B24BD">
        <w:t xml:space="preserve">blir tydligt att vi inom ramen för reglering får förutsättningar att i utökad utsträckning bedriva viktig och relevant registerbaserad forskning. </w:t>
      </w:r>
      <w:r>
        <w:t>Det är ocks</w:t>
      </w:r>
      <w:r w:rsidR="003B08D3">
        <w:t xml:space="preserve">å viktigt </w:t>
      </w:r>
      <w:r>
        <w:t xml:space="preserve">att det finns ett utrymme för </w:t>
      </w:r>
      <w:r w:rsidR="00D440DA">
        <w:t xml:space="preserve">nationell reglering </w:t>
      </w:r>
      <w:r>
        <w:t xml:space="preserve">för behandling av personuppgifter för </w:t>
      </w:r>
      <w:r w:rsidRPr="00F069D6">
        <w:t>arkivändamål och för statistiska, vetenskapliga och historiska ändamål</w:t>
      </w:r>
      <w:r>
        <w:t>.</w:t>
      </w:r>
    </w:p>
    <w:p w14:paraId="6E81AC12" w14:textId="77777777" w:rsidR="00350D82" w:rsidRDefault="00350D82" w:rsidP="00350D82">
      <w:pPr>
        <w:pStyle w:val="RKrubrik"/>
      </w:pPr>
      <w:r>
        <w:t>Europaparlamentets inställning</w:t>
      </w:r>
    </w:p>
    <w:p w14:paraId="7FB320A7" w14:textId="77777777" w:rsidR="00350D82" w:rsidRPr="00C11EE4" w:rsidRDefault="00350D82" w:rsidP="00350D82">
      <w:pPr>
        <w:pStyle w:val="RKnormal"/>
        <w:rPr>
          <w:i/>
        </w:rPr>
      </w:pPr>
      <w:r>
        <w:t>I Europaparlamentet behandlas dataskyddsförordningen i LIBE-</w:t>
      </w:r>
      <w:r w:rsidRPr="002A3415">
        <w:t>utskottet.</w:t>
      </w:r>
      <w:r w:rsidRPr="00C11EE4">
        <w:rPr>
          <w:i/>
        </w:rPr>
        <w:t xml:space="preserve"> </w:t>
      </w:r>
      <w:r w:rsidRPr="002A3415">
        <w:t>Rapportören, Jan Philipp Albrecht, lade fram ett förslag till betänkande i december 2012</w:t>
      </w:r>
      <w:r>
        <w:t xml:space="preserve"> och d</w:t>
      </w:r>
      <w:r w:rsidRPr="00AB3F0D">
        <w:t>en 22 oktober 2013</w:t>
      </w:r>
      <w:r>
        <w:t xml:space="preserve"> röstade LIBE fram ett förslag.</w:t>
      </w:r>
      <w:r w:rsidRPr="00AB3F0D">
        <w:t xml:space="preserve"> </w:t>
      </w:r>
      <w:r>
        <w:t>Den 12 mars 2014 antog Europarlamentet sin resolution till lagstiftingen (första läsning).</w:t>
      </w:r>
    </w:p>
    <w:p w14:paraId="15F89916" w14:textId="77777777" w:rsidR="00350D82" w:rsidRPr="00E13D6E" w:rsidRDefault="00350D82" w:rsidP="00350D82">
      <w:pPr>
        <w:pStyle w:val="RKrubrik"/>
        <w:rPr>
          <w:iCs/>
        </w:rPr>
      </w:pPr>
      <w:r w:rsidRPr="00E13D6E">
        <w:rPr>
          <w:iCs/>
        </w:rPr>
        <w:lastRenderedPageBreak/>
        <w:t>Förslaget</w:t>
      </w:r>
    </w:p>
    <w:p w14:paraId="7D15A28D" w14:textId="77777777" w:rsidR="00350D82" w:rsidRDefault="00350D82" w:rsidP="00350D82">
      <w:pPr>
        <w:pStyle w:val="RKnormal"/>
      </w:pPr>
      <w:r w:rsidRPr="00231C4B">
        <w:t>Det huvudsakliga syftet med kommissionens förslag till dataskydds</w:t>
      </w:r>
      <w:r w:rsidRPr="00231C4B">
        <w:softHyphen/>
        <w:t>förordning är att ytterligare harmonisera och effektivisera skyddet av person</w:t>
      </w:r>
      <w:r w:rsidRPr="00231C4B">
        <w:softHyphen/>
        <w:t>uppgifter i syfte att förbättra den inre marknadens funktion och öka enskildas kontroll över sina personuppgifter. I och med att regleringen ges formen av en förordning kommer den att bli direkt tillämplig i alla medlemsstater när den trätt i kraft. Om förslaget genomförs kommer förordningen således inte att ersätta bara data</w:t>
      </w:r>
      <w:r>
        <w:softHyphen/>
      </w:r>
      <w:r w:rsidRPr="00231C4B">
        <w:t>skydds</w:t>
      </w:r>
      <w:r w:rsidRPr="00231C4B">
        <w:softHyphen/>
        <w:t xml:space="preserve">direktivet utan även personuppgiftslagen. Förslaget till förordning lämnar dock ett visst utrymme för </w:t>
      </w:r>
      <w:r>
        <w:t>nationell reglering. Exempelvis är det möjligt att i nationell rätt fastställa vad som är ett allmänt intresse som kan ge rätt att behandla personuppgifter samt att under vissa förutsättningar införa undantag från bestämmelserna i förord</w:t>
      </w:r>
      <w:r>
        <w:softHyphen/>
        <w:t xml:space="preserve">ningen. Vidare är det möjligt att införa viss nationell reglering inom </w:t>
      </w:r>
      <w:r w:rsidRPr="00231C4B">
        <w:t xml:space="preserve">vissa </w:t>
      </w:r>
      <w:r>
        <w:t xml:space="preserve">i förordningen utpekade områden, </w:t>
      </w:r>
      <w:r w:rsidRPr="00231C4B">
        <w:t>t.ex. arbets</w:t>
      </w:r>
      <w:r>
        <w:softHyphen/>
      </w:r>
      <w:r w:rsidRPr="00231C4B">
        <w:t>marknadsområdet</w:t>
      </w:r>
      <w:r>
        <w:t xml:space="preserve">. </w:t>
      </w:r>
      <w:r w:rsidRPr="00231C4B">
        <w:t>Kommissionen framhåller att förslaget kommer att undanröja den fragmentariska dataskydds</w:t>
      </w:r>
      <w:r w:rsidRPr="00231C4B">
        <w:softHyphen/>
        <w:t>reglering som nu finns inom EU. Enligt kommissionen kommer detta att både förenkla för företagen och stärka den enskildes rätt till skydd för sina personuppgifter.</w:t>
      </w:r>
    </w:p>
    <w:p w14:paraId="4209F8F4" w14:textId="77777777" w:rsidR="00350D82" w:rsidRPr="00231C4B" w:rsidRDefault="00350D82" w:rsidP="00350D82">
      <w:pPr>
        <w:pStyle w:val="RKnormal"/>
      </w:pPr>
    </w:p>
    <w:p w14:paraId="13A07A8A" w14:textId="77777777" w:rsidR="00350D82" w:rsidRDefault="00350D82" w:rsidP="00350D82">
      <w:pPr>
        <w:pStyle w:val="RKnormal"/>
      </w:pPr>
      <w:r w:rsidRPr="00231C4B">
        <w:t>Förslaget till förordning baseras till stor del på den struktur och reglering som finns i det nu gällande dataskydds</w:t>
      </w:r>
      <w:r w:rsidRPr="00231C4B">
        <w:softHyphen/>
        <w:t>direktivet. Förordningen innehåller dock även en rad nyheter jämfört med dataskyddsdirektivet</w:t>
      </w:r>
      <w:r>
        <w:t>. För en mer utförlig beskrivning av förslaget hänvisas till fakta</w:t>
      </w:r>
      <w:r>
        <w:softHyphen/>
        <w:t>promemorian.</w:t>
      </w:r>
    </w:p>
    <w:p w14:paraId="0E89C811" w14:textId="77777777" w:rsidR="00350D82" w:rsidRPr="00E13D6E" w:rsidRDefault="00350D82" w:rsidP="00350D82">
      <w:pPr>
        <w:pStyle w:val="RKrubrik"/>
        <w:rPr>
          <w:iCs/>
        </w:rPr>
      </w:pPr>
      <w:r w:rsidRPr="00E13D6E">
        <w:rPr>
          <w:iCs/>
        </w:rPr>
        <w:t>Gällande svenska regler och förslagets effekter på dessa</w:t>
      </w:r>
    </w:p>
    <w:p w14:paraId="56CCF609" w14:textId="77777777" w:rsidR="00350D82" w:rsidRDefault="00350D82" w:rsidP="00350D82">
      <w:pPr>
        <w:pStyle w:val="RKnormal"/>
      </w:pPr>
      <w:r>
        <w:t>Dataskyddsdirektivet har i svensk rätt genomförts dels genom person</w:t>
      </w:r>
      <w:r>
        <w:softHyphen/>
        <w:t>upp</w:t>
      </w:r>
      <w:r>
        <w:softHyphen/>
        <w:t>giftslagen, dels genom ett stort antal författningar som innehåller sär</w:t>
      </w:r>
      <w:r>
        <w:softHyphen/>
        <w:t xml:space="preserve">regleringar om behandling av personuppgifter för olika myndigheter och sektorer. </w:t>
      </w:r>
    </w:p>
    <w:p w14:paraId="1007AA83" w14:textId="77777777" w:rsidR="00350D82" w:rsidRDefault="00350D82" w:rsidP="00350D82">
      <w:pPr>
        <w:pStyle w:val="RKnormal"/>
      </w:pPr>
    </w:p>
    <w:p w14:paraId="11252501" w14:textId="78964EEE" w:rsidR="00350D82" w:rsidRDefault="00350D82" w:rsidP="00350D82">
      <w:pPr>
        <w:pStyle w:val="RKnormal"/>
      </w:pPr>
      <w:r>
        <w:t>Kommissionens förslag innebär att dataskyddsdirektivet ska ersättas av en allmän dataskyddsförordning. Eftersom förordningen kommer att bli direkt tillämplig i medlemsstaterna kommer den, om förslaget genom</w:t>
      </w:r>
      <w:r>
        <w:softHyphen/>
        <w:t xml:space="preserve">förs, att ersätta personuppgiftslagen. </w:t>
      </w:r>
    </w:p>
    <w:p w14:paraId="590960CB" w14:textId="77777777" w:rsidR="00350D82" w:rsidRDefault="00350D82" w:rsidP="00350D82">
      <w:pPr>
        <w:pStyle w:val="RKrubrik"/>
      </w:pPr>
      <w:r>
        <w:t>Ekonomiska konsekvenser</w:t>
      </w:r>
    </w:p>
    <w:p w14:paraId="127D6858" w14:textId="107D2278" w:rsidR="006E4E11" w:rsidRDefault="00350D82">
      <w:pPr>
        <w:pStyle w:val="RKnormal"/>
      </w:pPr>
      <w:r>
        <w:t>I dagsläget är det inte möjligt att närmare bedöma vilka budgetära eller samhällsekonomiska konsekvenser ett genomförande av förslaget kommer att få för företag och privatpersoner i Sverige och för svensk offentlig förvaltning. Det bör dock kunna förutsättas att eventuella budgetära konsekvenser inom EU ska kunna finansieras genom omfördelningar inom befintliga budgetramar.</w:t>
      </w:r>
    </w:p>
    <w:sectPr w:rsidR="006E4E1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286ED2" w14:textId="77777777" w:rsidR="00350D82" w:rsidRDefault="00350D82">
      <w:r>
        <w:separator/>
      </w:r>
    </w:p>
  </w:endnote>
  <w:endnote w:type="continuationSeparator" w:id="0">
    <w:p w14:paraId="7A14CBA9" w14:textId="77777777" w:rsidR="00350D82" w:rsidRDefault="0035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8B5A2" w14:textId="77777777" w:rsidR="00350D82" w:rsidRDefault="00350D82">
      <w:r>
        <w:separator/>
      </w:r>
    </w:p>
  </w:footnote>
  <w:footnote w:type="continuationSeparator" w:id="0">
    <w:p w14:paraId="493C9483" w14:textId="77777777" w:rsidR="00350D82" w:rsidRDefault="00350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F88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5134">
      <w:rPr>
        <w:rStyle w:val="Sidnummer"/>
        <w:noProof/>
      </w:rPr>
      <w:t>6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FEF6C11" w14:textId="77777777">
      <w:trPr>
        <w:cantSplit/>
      </w:trPr>
      <w:tc>
        <w:tcPr>
          <w:tcW w:w="3119" w:type="dxa"/>
        </w:tcPr>
        <w:p w14:paraId="70816C5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269FB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4CA4CC1" w14:textId="77777777" w:rsidR="00E80146" w:rsidRDefault="00E80146">
          <w:pPr>
            <w:pStyle w:val="Sidhuvud"/>
            <w:ind w:right="360"/>
          </w:pPr>
        </w:p>
      </w:tc>
    </w:tr>
  </w:tbl>
  <w:p w14:paraId="4F11ADD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BDF09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5134">
      <w:rPr>
        <w:rStyle w:val="Sidnummer"/>
        <w:noProof/>
      </w:rPr>
      <w:t>5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BE5FD7" w14:textId="77777777">
      <w:trPr>
        <w:cantSplit/>
      </w:trPr>
      <w:tc>
        <w:tcPr>
          <w:tcW w:w="3119" w:type="dxa"/>
        </w:tcPr>
        <w:p w14:paraId="58C46F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FA6C8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22E52A" w14:textId="77777777" w:rsidR="00E80146" w:rsidRDefault="00E80146">
          <w:pPr>
            <w:pStyle w:val="Sidhuvud"/>
            <w:ind w:right="360"/>
          </w:pPr>
        </w:p>
      </w:tc>
    </w:tr>
  </w:tbl>
  <w:p w14:paraId="3F6F94F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528E1" w14:textId="6E4ACF76" w:rsidR="00350D82" w:rsidRDefault="001E72E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EFBED6" wp14:editId="379BC7C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2E345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9A46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786910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07733E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2182C"/>
    <w:multiLevelType w:val="hybridMultilevel"/>
    <w:tmpl w:val="97FC3BD2"/>
    <w:lvl w:ilvl="0" w:tplc="2868A604">
      <w:numFmt w:val="bullet"/>
      <w:lvlText w:val="–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459FB"/>
    <w:multiLevelType w:val="hybridMultilevel"/>
    <w:tmpl w:val="B3EA8472"/>
    <w:lvl w:ilvl="0" w:tplc="AD2C1E5A">
      <w:start w:val="2"/>
      <w:numFmt w:val="bullet"/>
      <w:lvlText w:val="-"/>
      <w:lvlJc w:val="left"/>
      <w:pPr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partement" w:val="Justitiedepartementet"/>
    <w:docVar w:name="Regering" w:val="N"/>
  </w:docVars>
  <w:rsids>
    <w:rsidRoot w:val="00350D82"/>
    <w:rsid w:val="00053832"/>
    <w:rsid w:val="000B24BD"/>
    <w:rsid w:val="00150384"/>
    <w:rsid w:val="00160901"/>
    <w:rsid w:val="001805B7"/>
    <w:rsid w:val="001C5AF0"/>
    <w:rsid w:val="001E72E7"/>
    <w:rsid w:val="00350D82"/>
    <w:rsid w:val="00367B1C"/>
    <w:rsid w:val="003A4579"/>
    <w:rsid w:val="003A46AF"/>
    <w:rsid w:val="003B08D3"/>
    <w:rsid w:val="003F4377"/>
    <w:rsid w:val="00495134"/>
    <w:rsid w:val="004A328D"/>
    <w:rsid w:val="0054111D"/>
    <w:rsid w:val="0058762B"/>
    <w:rsid w:val="00600A61"/>
    <w:rsid w:val="00656B4F"/>
    <w:rsid w:val="006D5EE6"/>
    <w:rsid w:val="006E4E11"/>
    <w:rsid w:val="007242A3"/>
    <w:rsid w:val="007248B7"/>
    <w:rsid w:val="007A6855"/>
    <w:rsid w:val="0092027A"/>
    <w:rsid w:val="00955E31"/>
    <w:rsid w:val="00992E72"/>
    <w:rsid w:val="00995026"/>
    <w:rsid w:val="009F406E"/>
    <w:rsid w:val="00AF26D1"/>
    <w:rsid w:val="00C22AFC"/>
    <w:rsid w:val="00D133D7"/>
    <w:rsid w:val="00D440DA"/>
    <w:rsid w:val="00DD1733"/>
    <w:rsid w:val="00DF19C6"/>
    <w:rsid w:val="00E64249"/>
    <w:rsid w:val="00E73B05"/>
    <w:rsid w:val="00E80146"/>
    <w:rsid w:val="00E904D0"/>
    <w:rsid w:val="00EA3FBD"/>
    <w:rsid w:val="00EC25F9"/>
    <w:rsid w:val="00ED583F"/>
    <w:rsid w:val="00F856FF"/>
    <w:rsid w:val="00FA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9E3053"/>
  <w15:docId w15:val="{6BA2A56A-858A-44C3-8CAE-1D7700F3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4A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4AC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32C9E506A07C54F976DA4F70564747D" ma:contentTypeVersion="12" ma:contentTypeDescription="Skapa ett nytt dokument." ma:contentTypeScope="" ma:versionID="13d330e644196b2ad40d390acbcfde70">
  <xsd:schema xmlns:xsd="http://www.w3.org/2001/XMLSchema" xmlns:xs="http://www.w3.org/2001/XMLSchema" xmlns:p="http://schemas.microsoft.com/office/2006/metadata/properties" xmlns:ns2="ae7d44cc-993d-4c0e-9780-c4ecd094065b" xmlns:ns3="338f2a83-5282-45d1-8af4-7e742a6566e3" targetNamespace="http://schemas.microsoft.com/office/2006/metadata/properties" ma:root="true" ma:fieldsID="040e0721a4bd89687a7db8bc1c3a89ba" ns2:_="" ns3:_="">
    <xsd:import namespace="ae7d44cc-993d-4c0e-9780-c4ecd094065b"/>
    <xsd:import namespace="338f2a83-5282-45d1-8af4-7e742a656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d44cc-993d-4c0e-9780-c4ecd09406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c69c543-5a3f-4542-82fb-7e9b1f67e418}" ma:internalName="TaxCatchAll" ma:showField="CatchAllData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c69c543-5a3f-4542-82fb-7e9b1f67e418}" ma:internalName="TaxCatchAllLabel" ma:readOnly="true" ma:showField="CatchAllDataLabel" ma:web="ae7d44cc-993d-4c0e-9780-c4ecd0940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8f2a83-5282-45d1-8af4-7e742a656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ae7d44cc-993d-4c0e-9780-c4ecd094065b" xsi:nil="true"/>
    <TaxCatchAll xmlns="ae7d44cc-993d-4c0e-9780-c4ecd094065b"/>
    <Nyckelord xmlns="ae7d44cc-993d-4c0e-9780-c4ecd094065b" xsi:nil="true"/>
    <k46d94c0acf84ab9a79866a9d8b1905f xmlns="ae7d44cc-993d-4c0e-9780-c4ecd094065b">
      <Terms xmlns="http://schemas.microsoft.com/office/infopath/2007/PartnerControls"/>
    </k46d94c0acf84ab9a79866a9d8b1905f>
    <_dlc_DocId xmlns="ae7d44cc-993d-4c0e-9780-c4ecd094065b">F5J5VW6DSRJ4-5-15320</_dlc_DocId>
    <_dlc_DocIdUrl xmlns="ae7d44cc-993d-4c0e-9780-c4ecd094065b">
      <Url>http://rkdhs-ju/enhet/eu/_layouts/DocIdRedir.aspx?ID=F5J5VW6DSRJ4-5-15320</Url>
      <Description>F5J5VW6DSRJ4-5-15320</Description>
    </_dlc_DocIdUrl>
    <RKOrdnaCheckInComment xmlns="338f2a83-5282-45d1-8af4-7e742a6566e3" xsi:nil="true"/>
    <RKOrdnaClass xmlns="338f2a83-5282-45d1-8af4-7e742a6566e3" xsi:nil="true"/>
    <Sekretess xmlns="ae7d44cc-993d-4c0e-9780-c4ecd094065b" xsi:nil="true"/>
    <c9cd366cc722410295b9eacffbd73909 xmlns="ae7d44cc-993d-4c0e-9780-c4ecd094065b">
      <Terms xmlns="http://schemas.microsoft.com/office/infopath/2007/PartnerControls"/>
    </c9cd366cc722410295b9eacffbd73909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25F5C-EE38-41BB-95C1-36D466759A0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33477C2-3497-4209-9D19-8C7AB8C2B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d44cc-993d-4c0e-9780-c4ecd094065b"/>
    <ds:schemaRef ds:uri="338f2a83-5282-45d1-8af4-7e742a656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9E8619-F9A7-4D81-BB66-49CB51E3A8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B61E0A-4115-4C4D-905A-C3444E60EFCE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DF66B3A-8361-482F-9689-6B6A8B289E71}">
  <ds:schemaRefs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38f2a83-5282-45d1-8af4-7e742a6566e3"/>
    <ds:schemaRef ds:uri="ae7d44cc-993d-4c0e-9780-c4ecd094065b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79FB2F7E-4DF1-4910-AC7F-20B3345F4CC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2AF77DAD-BB8C-440B-9BCB-E1E60F99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1527</Words>
  <Characters>10125</Characters>
  <Application>Microsoft Office Word</Application>
  <DocSecurity>4</DocSecurity>
  <Lines>316</Lines>
  <Paragraphs>102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Säfsten</dc:creator>
  <cp:lastModifiedBy>Johan Eriksson</cp:lastModifiedBy>
  <cp:revision>2</cp:revision>
  <cp:lastPrinted>2014-11-24T16:14:00Z</cp:lastPrinted>
  <dcterms:created xsi:type="dcterms:W3CDTF">2014-11-24T16:15:00Z</dcterms:created>
  <dcterms:modified xsi:type="dcterms:W3CDTF">2014-11-24T16:15:00Z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2;0;0;205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0x01010053E1D612BA3F4E21AA250ECD751942B300D32C9E506A07C54F976DA4F70564747D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f3506e0e-f0f2-4378-9983-624587d5452d</vt:lpwstr>
  </property>
</Properties>
</file>