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A22A9" w:rsidRPr="00640D9F" w:rsidRDefault="00CA22A9" w:rsidP="00CA22A9">
      <w:pPr>
        <w:pStyle w:val="RubrikInnehllsf"/>
      </w:pPr>
      <w:bookmarkStart w:id="0" w:name="_Toc115798670"/>
      <w:r w:rsidRPr="00640D9F">
        <w:t>Innehållsförteckning</w:t>
      </w:r>
      <w:bookmarkEnd w:id="0"/>
    </w:p>
    <w:p w:rsidR="00A66B53" w:rsidRPr="00640D9F" w:rsidRDefault="00CA22A9">
      <w:pPr>
        <w:pStyle w:val="Innehll1"/>
        <w:rPr>
          <w:szCs w:val="24"/>
        </w:rPr>
      </w:pPr>
      <w:r w:rsidRPr="00640D9F">
        <w:fldChar w:fldCharType="begin" w:fldLock="1"/>
      </w:r>
      <w:r w:rsidRPr="00640D9F">
        <w:instrText xml:space="preserve"> TOC \o "1-3" \t "HEMSTL_RUBRIK" </w:instrText>
      </w:r>
      <w:r w:rsidRPr="00640D9F">
        <w:fldChar w:fldCharType="separate"/>
      </w:r>
      <w:r w:rsidR="00A66B53" w:rsidRPr="00640D9F">
        <w:t>Innehållsförteckning</w:t>
      </w:r>
      <w:r w:rsidR="00A66B53" w:rsidRPr="00640D9F">
        <w:tab/>
      </w:r>
      <w:r w:rsidR="00A66B53" w:rsidRPr="00640D9F">
        <w:fldChar w:fldCharType="begin" w:fldLock="1"/>
      </w:r>
      <w:r w:rsidR="00A66B53" w:rsidRPr="00640D9F">
        <w:instrText xml:space="preserve"> PAGEREF _Toc115798670 \h </w:instrText>
      </w:r>
      <w:r w:rsidR="00A66B53" w:rsidRPr="00640D9F">
        <w:fldChar w:fldCharType="separate"/>
      </w:r>
      <w:r w:rsidR="005B00E0" w:rsidRPr="00640D9F">
        <w:t>1</w:t>
      </w:r>
      <w:r w:rsidR="00A66B53" w:rsidRPr="00640D9F">
        <w:fldChar w:fldCharType="end"/>
      </w:r>
    </w:p>
    <w:p w:rsidR="00A66B53" w:rsidRPr="00640D9F" w:rsidRDefault="00A66B53">
      <w:pPr>
        <w:pStyle w:val="Innehll1"/>
        <w:rPr>
          <w:szCs w:val="24"/>
        </w:rPr>
      </w:pPr>
      <w:r w:rsidRPr="00640D9F">
        <w:t>Förslag till riksdagsbeslut</w:t>
      </w:r>
      <w:r w:rsidRPr="00640D9F">
        <w:tab/>
      </w:r>
      <w:r w:rsidRPr="00640D9F">
        <w:fldChar w:fldCharType="begin" w:fldLock="1"/>
      </w:r>
      <w:r w:rsidRPr="00640D9F">
        <w:instrText xml:space="preserve"> PAGEREF _Toc115798671 \h </w:instrText>
      </w:r>
      <w:r w:rsidRPr="00640D9F">
        <w:fldChar w:fldCharType="separate"/>
      </w:r>
      <w:r w:rsidR="005B00E0" w:rsidRPr="00640D9F">
        <w:t>2</w:t>
      </w:r>
      <w:r w:rsidRPr="00640D9F">
        <w:fldChar w:fldCharType="end"/>
      </w:r>
    </w:p>
    <w:p w:rsidR="00A66B53" w:rsidRPr="00640D9F" w:rsidRDefault="00A66B53">
      <w:pPr>
        <w:pStyle w:val="Innehll1"/>
        <w:rPr>
          <w:szCs w:val="24"/>
        </w:rPr>
      </w:pPr>
      <w:r w:rsidRPr="00640D9F">
        <w:t>Rättssystemet och etiken</w:t>
      </w:r>
      <w:r w:rsidRPr="00640D9F">
        <w:tab/>
      </w:r>
      <w:r w:rsidRPr="00640D9F">
        <w:fldChar w:fldCharType="begin" w:fldLock="1"/>
      </w:r>
      <w:r w:rsidRPr="00640D9F">
        <w:instrText xml:space="preserve"> PAGEREF _Toc115798672 \h </w:instrText>
      </w:r>
      <w:r w:rsidRPr="00640D9F">
        <w:fldChar w:fldCharType="separate"/>
      </w:r>
      <w:r w:rsidR="005B00E0" w:rsidRPr="00640D9F">
        <w:t>2</w:t>
      </w:r>
      <w:r w:rsidRPr="00640D9F">
        <w:fldChar w:fldCharType="end"/>
      </w:r>
    </w:p>
    <w:p w:rsidR="00A66B53" w:rsidRPr="00640D9F" w:rsidRDefault="00A66B53">
      <w:pPr>
        <w:pStyle w:val="Innehll1"/>
        <w:rPr>
          <w:szCs w:val="24"/>
        </w:rPr>
      </w:pPr>
      <w:r w:rsidRPr="00640D9F">
        <w:t>Gemenskapsetiken har en grundläggande betydelse för rätten</w:t>
      </w:r>
      <w:r w:rsidRPr="00640D9F">
        <w:tab/>
      </w:r>
      <w:r w:rsidRPr="00640D9F">
        <w:fldChar w:fldCharType="begin" w:fldLock="1"/>
      </w:r>
      <w:r w:rsidRPr="00640D9F">
        <w:instrText xml:space="preserve"> PAGEREF _Toc115798673 \h </w:instrText>
      </w:r>
      <w:r w:rsidRPr="00640D9F">
        <w:fldChar w:fldCharType="separate"/>
      </w:r>
      <w:r w:rsidR="005B00E0" w:rsidRPr="00640D9F">
        <w:t>2</w:t>
      </w:r>
      <w:r w:rsidRPr="00640D9F">
        <w:fldChar w:fldCharType="end"/>
      </w:r>
    </w:p>
    <w:p w:rsidR="00A66B53" w:rsidRPr="00640D9F" w:rsidRDefault="00A66B53">
      <w:pPr>
        <w:pStyle w:val="Innehll1"/>
        <w:rPr>
          <w:szCs w:val="24"/>
        </w:rPr>
      </w:pPr>
      <w:r w:rsidRPr="00640D9F">
        <w:t>Lagprövningsrätten och författningsdomstol</w:t>
      </w:r>
      <w:r w:rsidRPr="00640D9F">
        <w:tab/>
      </w:r>
      <w:r w:rsidRPr="00640D9F">
        <w:fldChar w:fldCharType="begin" w:fldLock="1"/>
      </w:r>
      <w:r w:rsidRPr="00640D9F">
        <w:instrText xml:space="preserve"> PAGEREF _Toc115798674 \h </w:instrText>
      </w:r>
      <w:r w:rsidRPr="00640D9F">
        <w:fldChar w:fldCharType="separate"/>
      </w:r>
      <w:r w:rsidR="005B00E0" w:rsidRPr="00640D9F">
        <w:t>3</w:t>
      </w:r>
      <w:r w:rsidRPr="00640D9F">
        <w:fldChar w:fldCharType="end"/>
      </w:r>
    </w:p>
    <w:p w:rsidR="00A66B53" w:rsidRPr="00640D9F" w:rsidRDefault="00A66B53">
      <w:pPr>
        <w:pStyle w:val="Innehll1"/>
        <w:rPr>
          <w:szCs w:val="24"/>
        </w:rPr>
      </w:pPr>
      <w:r w:rsidRPr="00640D9F">
        <w:t>Folkomröstningsinstitutet</w:t>
      </w:r>
      <w:r w:rsidRPr="00640D9F">
        <w:tab/>
      </w:r>
      <w:r w:rsidRPr="00640D9F">
        <w:fldChar w:fldCharType="begin" w:fldLock="1"/>
      </w:r>
      <w:r w:rsidRPr="00640D9F">
        <w:instrText xml:space="preserve"> PAGEREF _Toc115798675 \h </w:instrText>
      </w:r>
      <w:r w:rsidRPr="00640D9F">
        <w:fldChar w:fldCharType="separate"/>
      </w:r>
      <w:r w:rsidR="005B00E0" w:rsidRPr="00640D9F">
        <w:t>3</w:t>
      </w:r>
      <w:r w:rsidRPr="00640D9F">
        <w:fldChar w:fldCharType="end"/>
      </w:r>
    </w:p>
    <w:p w:rsidR="00A66B53" w:rsidRPr="00640D9F" w:rsidRDefault="00104E2A">
      <w:pPr>
        <w:pStyle w:val="Innehll1"/>
        <w:rPr>
          <w:szCs w:val="24"/>
        </w:rPr>
      </w:pPr>
      <w:r w:rsidRPr="00640D9F">
        <w:t>Icke</w:t>
      </w:r>
      <w:r w:rsidR="00A66B53" w:rsidRPr="00640D9F">
        <w:t xml:space="preserve"> styckevis och delt</w:t>
      </w:r>
      <w:r w:rsidR="00A66B53" w:rsidRPr="00640D9F">
        <w:tab/>
      </w:r>
      <w:r w:rsidR="00A66B53" w:rsidRPr="00640D9F">
        <w:fldChar w:fldCharType="begin" w:fldLock="1"/>
      </w:r>
      <w:r w:rsidR="00A66B53" w:rsidRPr="00640D9F">
        <w:instrText xml:space="preserve"> PAGEREF _Toc115798676 \h </w:instrText>
      </w:r>
      <w:r w:rsidR="00A66B53" w:rsidRPr="00640D9F">
        <w:fldChar w:fldCharType="separate"/>
      </w:r>
      <w:r w:rsidR="005B00E0" w:rsidRPr="00640D9F">
        <w:t>4</w:t>
      </w:r>
      <w:r w:rsidR="00A66B53" w:rsidRPr="00640D9F">
        <w:fldChar w:fldCharType="end"/>
      </w:r>
    </w:p>
    <w:p w:rsidR="00A66B53" w:rsidRPr="00640D9F" w:rsidRDefault="00A66B53">
      <w:pPr>
        <w:pStyle w:val="Innehll1"/>
        <w:rPr>
          <w:szCs w:val="24"/>
        </w:rPr>
      </w:pPr>
      <w:r w:rsidRPr="00640D9F">
        <w:t>Fri- och rättigheter, subsidiaritetsprincipen, diskrimineringsskydd samt kriminella organisationer</w:t>
      </w:r>
      <w:r w:rsidRPr="00640D9F">
        <w:tab/>
      </w:r>
      <w:r w:rsidRPr="00640D9F">
        <w:fldChar w:fldCharType="begin" w:fldLock="1"/>
      </w:r>
      <w:r w:rsidRPr="00640D9F">
        <w:instrText xml:space="preserve"> PAGEREF _Toc115798677 \h </w:instrText>
      </w:r>
      <w:r w:rsidRPr="00640D9F">
        <w:fldChar w:fldCharType="separate"/>
      </w:r>
      <w:r w:rsidR="005B00E0" w:rsidRPr="00640D9F">
        <w:t>4</w:t>
      </w:r>
      <w:r w:rsidRPr="00640D9F">
        <w:fldChar w:fldCharType="end"/>
      </w:r>
    </w:p>
    <w:p w:rsidR="00A66B53" w:rsidRPr="00640D9F" w:rsidRDefault="00A66B53">
      <w:pPr>
        <w:pStyle w:val="Innehll1"/>
        <w:rPr>
          <w:szCs w:val="24"/>
        </w:rPr>
      </w:pPr>
      <w:r w:rsidRPr="00640D9F">
        <w:t>Valsystemet</w:t>
      </w:r>
      <w:r w:rsidRPr="00640D9F">
        <w:tab/>
      </w:r>
      <w:r w:rsidRPr="00640D9F">
        <w:fldChar w:fldCharType="begin" w:fldLock="1"/>
      </w:r>
      <w:r w:rsidRPr="00640D9F">
        <w:instrText xml:space="preserve"> PAGEREF _Toc115798678 \h </w:instrText>
      </w:r>
      <w:r w:rsidRPr="00640D9F">
        <w:fldChar w:fldCharType="separate"/>
      </w:r>
      <w:r w:rsidR="005B00E0" w:rsidRPr="00640D9F">
        <w:t>5</w:t>
      </w:r>
      <w:r w:rsidRPr="00640D9F">
        <w:fldChar w:fldCharType="end"/>
      </w:r>
    </w:p>
    <w:p w:rsidR="00A66B53" w:rsidRPr="00640D9F" w:rsidRDefault="00A66B53">
      <w:pPr>
        <w:pStyle w:val="Innehll1"/>
        <w:rPr>
          <w:szCs w:val="24"/>
        </w:rPr>
      </w:pPr>
      <w:r w:rsidRPr="00640D9F">
        <w:t>En kommunalordning precis som riksdagsordningen</w:t>
      </w:r>
      <w:r w:rsidRPr="00640D9F">
        <w:tab/>
      </w:r>
      <w:r w:rsidRPr="00640D9F">
        <w:fldChar w:fldCharType="begin" w:fldLock="1"/>
      </w:r>
      <w:r w:rsidRPr="00640D9F">
        <w:instrText xml:space="preserve"> PAGEREF _Toc115798679 \h </w:instrText>
      </w:r>
      <w:r w:rsidRPr="00640D9F">
        <w:fldChar w:fldCharType="separate"/>
      </w:r>
      <w:r w:rsidR="005B00E0" w:rsidRPr="00640D9F">
        <w:t>6</w:t>
      </w:r>
      <w:r w:rsidRPr="00640D9F">
        <w:fldChar w:fldCharType="end"/>
      </w:r>
    </w:p>
    <w:p w:rsidR="00CC2DF6" w:rsidRPr="00640D9F" w:rsidRDefault="00CA22A9" w:rsidP="0005722B">
      <w:pPr>
        <w:pStyle w:val="Hemstlrubrik"/>
        <w:pageBreakBefore/>
        <w:spacing w:before="0"/>
      </w:pPr>
      <w:r w:rsidRPr="00640D9F">
        <w:lastRenderedPageBreak/>
        <w:fldChar w:fldCharType="end"/>
      </w:r>
      <w:bookmarkStart w:id="1" w:name="_Toc115798671"/>
      <w:r w:rsidR="00CC2DF6" w:rsidRPr="00640D9F">
        <w:t>Förslag till riksdagsbeslut</w:t>
      </w:r>
      <w:bookmarkEnd w:id="1"/>
    </w:p>
    <w:p w:rsidR="00E82A7F" w:rsidRPr="00640D9F" w:rsidRDefault="00E82A7F" w:rsidP="00E82A7F">
      <w:pPr>
        <w:pStyle w:val="Hemstlatt"/>
      </w:pPr>
      <w:bookmarkStart w:id="2" w:name="_Toc115798672"/>
      <w:r w:rsidRPr="00640D9F">
        <w:t xml:space="preserve">Riksdagen tillkännager för regeringen som sin mening vad i motionen anförs om att regeringen genom tilläggsdirektiv till </w:t>
      </w:r>
      <w:r w:rsidR="0096159C" w:rsidRPr="00640D9F">
        <w:t>Grundlagsutrednin</w:t>
      </w:r>
      <w:r w:rsidR="0096159C" w:rsidRPr="00640D9F">
        <w:t>g</w:t>
      </w:r>
      <w:r w:rsidR="0096159C" w:rsidRPr="00640D9F">
        <w:t xml:space="preserve">en </w:t>
      </w:r>
      <w:r w:rsidRPr="00640D9F">
        <w:t>genomför en utredning med syfte att fastställa en tydlig kommunal kompetens i grundlagen, t.ex. genom en hänvisning till en särskild ko</w:t>
      </w:r>
      <w:r w:rsidRPr="00640D9F">
        <w:t>m</w:t>
      </w:r>
      <w:r w:rsidRPr="00640D9F">
        <w:t>munalordning likartad riksdagsordningen.</w:t>
      </w:r>
    </w:p>
    <w:p w:rsidR="00CC2DF6" w:rsidRPr="00640D9F" w:rsidRDefault="00CC2DF6" w:rsidP="00CC2DF6">
      <w:pPr>
        <w:pStyle w:val="Rubrik1"/>
      </w:pPr>
      <w:r w:rsidRPr="00640D9F">
        <w:t>Rättssystemet och etiken</w:t>
      </w:r>
      <w:bookmarkEnd w:id="2"/>
    </w:p>
    <w:p w:rsidR="00CC2DF6" w:rsidRPr="00640D9F" w:rsidRDefault="00CC2DF6" w:rsidP="00CC2DF6">
      <w:r w:rsidRPr="00640D9F">
        <w:t xml:space="preserve">Rätten är ett undersystem i ett samhälle. Ett rättssystem bygger på principer som i grunden är uttryck för en etisk hållning. En värdeneutral rättsstat är en omöjlighet. Ett samhälles grundvärden är förankrade i gemenskapen och bestäms av kulturarvet. Rätten ska alltså inte vara en samling löst ihoprafsade lagar utan ska utgöra en sammanhängande enhet. </w:t>
      </w:r>
    </w:p>
    <w:p w:rsidR="00CC2DF6" w:rsidRPr="00640D9F" w:rsidRDefault="00CC2DF6" w:rsidP="00CC2DF6">
      <w:pPr>
        <w:pStyle w:val="Normaltindrag"/>
      </w:pPr>
      <w:r w:rsidRPr="00640D9F">
        <w:t>Lagstiftningen ska med andra ord vara koherent. I ett rättssamhälle har l</w:t>
      </w:r>
      <w:r w:rsidRPr="00640D9F">
        <w:t>a</w:t>
      </w:r>
      <w:r w:rsidRPr="00640D9F">
        <w:t xml:space="preserve">garna och lagstiftningen en inre systematik och ett sammanhang. Det finns en rättens helhet. Rätten är alltså inte ett partipolitiskt instrument utan ska ses utifrån detta helhetsperspektiv. Etiska och juridiska normer och värden bör knytas till den historiskt utvecklade enigheten inom vår kulturkrets. </w:t>
      </w:r>
    </w:p>
    <w:p w:rsidR="00CC2DF6" w:rsidRPr="00640D9F" w:rsidRDefault="00CC2DF6" w:rsidP="00CC2DF6">
      <w:pPr>
        <w:pStyle w:val="Rubrik1"/>
      </w:pPr>
      <w:bookmarkStart w:id="3" w:name="_Toc115798673"/>
      <w:r w:rsidRPr="00640D9F">
        <w:t>Gemenskapsetiken har en grundläggande betydelse för rätten</w:t>
      </w:r>
      <w:bookmarkEnd w:id="3"/>
    </w:p>
    <w:p w:rsidR="00CC2DF6" w:rsidRPr="00640D9F" w:rsidRDefault="00CC2DF6" w:rsidP="00CC2DF6">
      <w:r w:rsidRPr="00640D9F">
        <w:t>Rättens legitimitet är inte bara knuten till sättet för beslutsfattande utan även till medborgarnas sociala medvetenhet, värdeskalor och värderingar. Legit</w:t>
      </w:r>
      <w:r w:rsidRPr="00640D9F">
        <w:t>i</w:t>
      </w:r>
      <w:r w:rsidRPr="00640D9F">
        <w:t>miteten är etisk till sin natur. Den legitima rättsstaten måste visa respekt för de grundläggande mänskliga fri- och rättigheterna. Dit hör bland annat att state</w:t>
      </w:r>
      <w:r w:rsidR="00104E2A" w:rsidRPr="00640D9F">
        <w:t>n ska respektera varje människa</w:t>
      </w:r>
      <w:r w:rsidRPr="00640D9F">
        <w:t>s integritet oberoende av religion, ålder, ras, hudfärg, kön, språk, sexuell identitet, genetiska särdrag, börd, ekonomisk eller social ställning, funktionshinder, etnisk eller politisk tillhörighet.</w:t>
      </w:r>
    </w:p>
    <w:p w:rsidR="00CC2DF6" w:rsidRPr="00640D9F" w:rsidRDefault="00CC2DF6" w:rsidP="00CC2DF6">
      <w:pPr>
        <w:pStyle w:val="Normaltindrag"/>
      </w:pPr>
      <w:r w:rsidRPr="00640D9F">
        <w:t>Rättsordningens grundläggande mål är att skapa en samlevnad i fred me</w:t>
      </w:r>
      <w:r w:rsidRPr="00640D9F">
        <w:t>l</w:t>
      </w:r>
      <w:r w:rsidRPr="00640D9F">
        <w:t>lan människor och att medverka till att upprätthålla de grundläggande värd</w:t>
      </w:r>
      <w:r w:rsidRPr="00640D9F">
        <w:t>e</w:t>
      </w:r>
      <w:r w:rsidRPr="00640D9F">
        <w:t>na. Inte bara rättsreglerna utan även deras tillämpning måste vara etiskt go</w:t>
      </w:r>
      <w:r w:rsidRPr="00640D9F">
        <w:t>d</w:t>
      </w:r>
      <w:r w:rsidRPr="00640D9F">
        <w:t>tagbar.</w:t>
      </w:r>
    </w:p>
    <w:p w:rsidR="00CC2DF6" w:rsidRPr="00640D9F" w:rsidRDefault="00CC2DF6" w:rsidP="00CC2DF6">
      <w:pPr>
        <w:pStyle w:val="Normaltindrag"/>
      </w:pPr>
      <w:r w:rsidRPr="00640D9F">
        <w:t>Rättssystemet måste präglas av både förutsebarhet och rättvisa. Föruts</w:t>
      </w:r>
      <w:r w:rsidRPr="00640D9F">
        <w:t>e</w:t>
      </w:r>
      <w:r w:rsidRPr="00640D9F">
        <w:t>barheten ska skydda den enskilde mot godtycklig maktutövning. Rättskipning och myndighetsutövning ska alltså vara rimligt förutsebara med stöd av lagen och med hänsyn till etiska värden. En medborgare ska åtnjuta rättsskydd både mot enskilda och mot staten.</w:t>
      </w:r>
    </w:p>
    <w:p w:rsidR="00CC2DF6" w:rsidRPr="00640D9F" w:rsidRDefault="00CC2DF6" w:rsidP="00CC2DF6">
      <w:pPr>
        <w:pStyle w:val="Normaltindrag"/>
      </w:pPr>
      <w:r w:rsidRPr="00640D9F">
        <w:t>Grundläggande kriterier för en fungerande rättsstat är mänskliga fri- och rättigheter, maktdelning, förvaltningens lagenlighet, rättsskydd genom oa</w:t>
      </w:r>
      <w:r w:rsidRPr="00640D9F">
        <w:t>v</w:t>
      </w:r>
      <w:r w:rsidRPr="00640D9F">
        <w:t>hängiga domstolar och den statliga maktutövningens förutsebarhet. Rättsor</w:t>
      </w:r>
      <w:r w:rsidRPr="00640D9F">
        <w:t>d</w:t>
      </w:r>
      <w:r w:rsidRPr="00640D9F">
        <w:t xml:space="preserve">ningen måste därför präglas av rättslikhet, rättssäkerhet, rättstrygghet, rättstillgänglighet och öppenhet. Grundlagarna </w:t>
      </w:r>
      <w:r w:rsidR="00104E2A" w:rsidRPr="00640D9F">
        <w:t>–</w:t>
      </w:r>
      <w:r w:rsidRPr="00640D9F">
        <w:t xml:space="preserve"> författningen </w:t>
      </w:r>
      <w:r w:rsidR="00104E2A" w:rsidRPr="00640D9F">
        <w:t>–</w:t>
      </w:r>
      <w:r w:rsidRPr="00640D9F">
        <w:t xml:space="preserve"> utgör det ramverk som ska klargöra villkoren bland annat för hela rättssystemet. </w:t>
      </w:r>
    </w:p>
    <w:p w:rsidR="00CC2DF6" w:rsidRPr="00640D9F" w:rsidRDefault="00CC2DF6" w:rsidP="00CC2DF6">
      <w:pPr>
        <w:pStyle w:val="Normaltindrag"/>
      </w:pPr>
      <w:r w:rsidRPr="00640D9F">
        <w:t>Grundlagarna, framför</w:t>
      </w:r>
      <w:r w:rsidR="00104E2A" w:rsidRPr="00640D9F">
        <w:t xml:space="preserve"> </w:t>
      </w:r>
      <w:r w:rsidRPr="00640D9F">
        <w:t>allt regeringsformen, utgör alltså den grundlägga</w:t>
      </w:r>
      <w:r w:rsidRPr="00640D9F">
        <w:t>n</w:t>
      </w:r>
      <w:r w:rsidRPr="00640D9F">
        <w:t xml:space="preserve">de rättsnormen. Därför är det centralt att denna rättsnorm är djupt förankrad i den kulturtradition som i sina grunddrag omfattas av svenska folket. </w:t>
      </w:r>
    </w:p>
    <w:p w:rsidR="00CC2DF6" w:rsidRPr="00640D9F" w:rsidRDefault="00CC2DF6" w:rsidP="00CC2DF6">
      <w:pPr>
        <w:pStyle w:val="Normaltindrag"/>
      </w:pPr>
      <w:r w:rsidRPr="00640D9F">
        <w:t>Den nuvarande författningen utgår i hög grad från ett rättspositivistiskt b</w:t>
      </w:r>
      <w:r w:rsidRPr="00640D9F">
        <w:t>e</w:t>
      </w:r>
      <w:r w:rsidRPr="00640D9F">
        <w:t>traktelsesätt, där rätten definieras operationellt, det vill säga rätt är det som lagstiftarna kallar rätt. Men som klargjorts ovan ingår rätten som ett unders</w:t>
      </w:r>
      <w:r w:rsidRPr="00640D9F">
        <w:t>y</w:t>
      </w:r>
      <w:r w:rsidRPr="00640D9F">
        <w:t xml:space="preserve">stem i ett samhälle, där de grundläggande värdena </w:t>
      </w:r>
      <w:r w:rsidR="00104E2A" w:rsidRPr="00640D9F">
        <w:t>–</w:t>
      </w:r>
      <w:r w:rsidRPr="00640D9F">
        <w:t xml:space="preserve"> etiken </w:t>
      </w:r>
      <w:r w:rsidR="00104E2A" w:rsidRPr="00640D9F">
        <w:t>–</w:t>
      </w:r>
      <w:r w:rsidRPr="00640D9F">
        <w:t xml:space="preserve"> utgör ett sa</w:t>
      </w:r>
      <w:r w:rsidRPr="00640D9F">
        <w:t>m</w:t>
      </w:r>
      <w:r w:rsidRPr="00640D9F">
        <w:t>manhållande band. Rättsnormen ska</w:t>
      </w:r>
      <w:r w:rsidR="00104E2A" w:rsidRPr="00640D9F">
        <w:t>ll</w:t>
      </w:r>
      <w:r w:rsidRPr="00640D9F">
        <w:t xml:space="preserve"> därför ta sin utgångspunkt i det som är etiskt godtagbart. Den ska alltså förankras i den svenska och västerländska kulturtraditionen.</w:t>
      </w:r>
    </w:p>
    <w:p w:rsidR="00CC2DF6" w:rsidRPr="00640D9F" w:rsidRDefault="00CC2DF6" w:rsidP="00CC2DF6">
      <w:pPr>
        <w:pStyle w:val="Rubrik1"/>
      </w:pPr>
      <w:bookmarkStart w:id="4" w:name="_Toc115798674"/>
      <w:r w:rsidRPr="00640D9F">
        <w:t>Lagprövningsrätten och författningsdomstol</w:t>
      </w:r>
      <w:bookmarkEnd w:id="4"/>
    </w:p>
    <w:p w:rsidR="00CC2DF6" w:rsidRPr="00640D9F" w:rsidRDefault="00CC2DF6" w:rsidP="00CC2DF6">
      <w:r w:rsidRPr="00640D9F">
        <w:t>En god demokratisk utveckling måste bygga på en klar maktdelning. Detta synsätt överensstämmer med den realistiska människosyn som säger att alla människor är ofullkomliga. Det måste alltså finnas klara korrektiv mot mak</w:t>
      </w:r>
      <w:r w:rsidRPr="00640D9F">
        <w:t>t</w:t>
      </w:r>
      <w:r w:rsidRPr="00640D9F">
        <w:t xml:space="preserve">missbruk och maktkoncentration. </w:t>
      </w:r>
    </w:p>
    <w:p w:rsidR="00CC2DF6" w:rsidRPr="00640D9F" w:rsidRDefault="00CC2DF6" w:rsidP="00CC2DF6">
      <w:pPr>
        <w:pStyle w:val="Normaltindrag"/>
      </w:pPr>
      <w:r w:rsidRPr="00640D9F">
        <w:t>Det finns i</w:t>
      </w:r>
      <w:r w:rsidR="004E17E4" w:rsidRPr="00640D9F">
        <w:t xml:space="preserve"> </w:t>
      </w:r>
      <w:r w:rsidRPr="00640D9F">
        <w:t xml:space="preserve">dag en lagprövningsrätt inom Europeiska </w:t>
      </w:r>
      <w:r w:rsidR="004E17E4" w:rsidRPr="00640D9F">
        <w:t>u</w:t>
      </w:r>
      <w:r w:rsidRPr="00640D9F">
        <w:t>nionen. EG-domstolen har rätt att pröva om nationell lagstiftning strider mot gemensk</w:t>
      </w:r>
      <w:r w:rsidRPr="00640D9F">
        <w:t>a</w:t>
      </w:r>
      <w:r w:rsidRPr="00640D9F">
        <w:t>pernas fördrag. Sverige har accepterat denna lagprövningsrätt. I Sverige må</w:t>
      </w:r>
      <w:r w:rsidRPr="00640D9F">
        <w:t>s</w:t>
      </w:r>
      <w:r w:rsidRPr="00640D9F">
        <w:t>te dock ett fel vara uppenbart i strid med grundlagen för att lagprövningsrä</w:t>
      </w:r>
      <w:r w:rsidRPr="00640D9F">
        <w:t>t</w:t>
      </w:r>
      <w:r w:rsidRPr="00640D9F">
        <w:t>ten ska kunna användas. Detta rekvisit har i praktiken förvandlat lagprö</w:t>
      </w:r>
      <w:r w:rsidRPr="00640D9F">
        <w:t>v</w:t>
      </w:r>
      <w:r w:rsidRPr="00640D9F">
        <w:t xml:space="preserve">ningsrätten till en papperstiger. </w:t>
      </w:r>
    </w:p>
    <w:p w:rsidR="00CC2DF6" w:rsidRPr="00640D9F" w:rsidRDefault="00CC2DF6" w:rsidP="00CC2DF6">
      <w:pPr>
        <w:pStyle w:val="Normaltindrag"/>
      </w:pPr>
      <w:r w:rsidRPr="00640D9F">
        <w:t>Maktdelningsfrågorna tenderar att alltmer hamna i centrum för den förfat</w:t>
      </w:r>
      <w:r w:rsidRPr="00640D9F">
        <w:t>t</w:t>
      </w:r>
      <w:r w:rsidRPr="00640D9F">
        <w:t>ningspolitiska debatten. Det finns därför goda skäl att genomföra en noggrann utredning kring lagprövningsrättens ställning i Sverige. Det har också riksd</w:t>
      </w:r>
      <w:r w:rsidRPr="00640D9F">
        <w:t>a</w:t>
      </w:r>
      <w:r w:rsidRPr="00640D9F">
        <w:t>gen, bl. a. till följd av ett kristdemokratiskt initiativ, gett regeringen till</w:t>
      </w:r>
      <w:r w:rsidR="004E17E4" w:rsidRPr="00640D9F">
        <w:t xml:space="preserve"> känna, och frågan utreds nu av G</w:t>
      </w:r>
      <w:r w:rsidRPr="00640D9F">
        <w:t>rundlagsutredningen. I uppdraget ingår också att analysera vi</w:t>
      </w:r>
      <w:r w:rsidR="004E17E4" w:rsidRPr="00640D9F">
        <w:t>lket eller vilka organ som ska</w:t>
      </w:r>
      <w:r w:rsidRPr="00640D9F">
        <w:t xml:space="preserve"> hantera en utvidgad lagprövning</w:t>
      </w:r>
      <w:r w:rsidRPr="00640D9F">
        <w:t>s</w:t>
      </w:r>
      <w:r w:rsidRPr="00640D9F">
        <w:t>rätt. Kristdemokraterna hävdar av olika skäl att en sä</w:t>
      </w:r>
      <w:r w:rsidR="004E17E4" w:rsidRPr="00640D9F">
        <w:t>rskild författningsdo</w:t>
      </w:r>
      <w:r w:rsidR="004E17E4" w:rsidRPr="00640D9F">
        <w:t>m</w:t>
      </w:r>
      <w:r w:rsidR="004E17E4" w:rsidRPr="00640D9F">
        <w:t>stol ska</w:t>
      </w:r>
      <w:r w:rsidRPr="00640D9F">
        <w:t xml:space="preserve"> ha denna kompetens.</w:t>
      </w:r>
    </w:p>
    <w:p w:rsidR="00CC2DF6" w:rsidRPr="00640D9F" w:rsidRDefault="00CC2DF6" w:rsidP="00CC2DF6">
      <w:pPr>
        <w:pStyle w:val="Rubrik1"/>
      </w:pPr>
      <w:bookmarkStart w:id="5" w:name="_Toc115798675"/>
      <w:r w:rsidRPr="00640D9F">
        <w:t>Folkomröstningsinstitutet</w:t>
      </w:r>
      <w:bookmarkEnd w:id="5"/>
    </w:p>
    <w:p w:rsidR="00CC2DF6" w:rsidRPr="00640D9F" w:rsidRDefault="00CC2DF6" w:rsidP="00CC2DF6">
      <w:r w:rsidRPr="00640D9F">
        <w:t>Folkomröstningsinstitutet har av och till varit under debatt utifrån hur det politiska systemet hanterat resultaten från de rådgivande folkomröstningarna. Det har under senare år utretts av särskild utredare, men sedan inte följts upp av regeringen. Det är i en så pass viktig författningsfråga rimligt att den b</w:t>
      </w:r>
      <w:r w:rsidRPr="00640D9F">
        <w:t>e</w:t>
      </w:r>
      <w:r w:rsidRPr="00640D9F">
        <w:t>reds i en parlamentarisk utredning, som då har möjlighet att arbeta utifrån det material som den särskilde utredaren tog fram. Behovet av en sådan parl</w:t>
      </w:r>
      <w:r w:rsidRPr="00640D9F">
        <w:t>a</w:t>
      </w:r>
      <w:r w:rsidRPr="00640D9F">
        <w:t>mentarisk utredning kring folkomröstningsinstit</w:t>
      </w:r>
      <w:r w:rsidR="004E17E4" w:rsidRPr="00640D9F">
        <w:t>utet har framförts i krav från K</w:t>
      </w:r>
      <w:r w:rsidRPr="00640D9F">
        <w:t>ristdemokraterna</w:t>
      </w:r>
      <w:r w:rsidR="004E17E4" w:rsidRPr="00640D9F">
        <w:t>,</w:t>
      </w:r>
      <w:r w:rsidRPr="00640D9F">
        <w:t xml:space="preserve"> och riksdagen har bl.a. därför begärt en sådan utred</w:t>
      </w:r>
      <w:r w:rsidR="004E17E4" w:rsidRPr="00640D9F">
        <w:t>ning i frågan. Den hanteras av G</w:t>
      </w:r>
      <w:r w:rsidRPr="00640D9F">
        <w:t>rundlagsutredningen.</w:t>
      </w:r>
    </w:p>
    <w:p w:rsidR="00CC2DF6" w:rsidRPr="00640D9F" w:rsidRDefault="00CC2DF6" w:rsidP="00CC2DF6">
      <w:pPr>
        <w:pStyle w:val="Rubrik1"/>
      </w:pPr>
      <w:bookmarkStart w:id="6" w:name="_Toc115798676"/>
      <w:r w:rsidRPr="00640D9F">
        <w:t>I</w:t>
      </w:r>
      <w:r w:rsidR="004E17E4" w:rsidRPr="00640D9F">
        <w:t>cke</w:t>
      </w:r>
      <w:r w:rsidRPr="00640D9F">
        <w:t xml:space="preserve"> styckevis och delt</w:t>
      </w:r>
      <w:bookmarkEnd w:id="6"/>
    </w:p>
    <w:p w:rsidR="00CC2DF6" w:rsidRPr="00640D9F" w:rsidRDefault="00CC2DF6" w:rsidP="00CC2DF6">
      <w:r w:rsidRPr="00640D9F">
        <w:t xml:space="preserve">Efter huvudbeslutet för 1974 års regeringsform har ett antal justeringar av grundlagen gjorts. Ofta görs författningsutredningar under en kort period </w:t>
      </w:r>
      <w:r w:rsidR="004E17E4" w:rsidRPr="00640D9F">
        <w:t>–</w:t>
      </w:r>
      <w:r w:rsidRPr="00640D9F">
        <w:t xml:space="preserve"> inom en mandatperiod </w:t>
      </w:r>
      <w:r w:rsidR="004E17E4" w:rsidRPr="00640D9F">
        <w:t>–</w:t>
      </w:r>
      <w:r w:rsidR="001162A2" w:rsidRPr="00640D9F">
        <w:t xml:space="preserve"> </w:t>
      </w:r>
      <w:r w:rsidRPr="00640D9F">
        <w:t>inom begränsade områden.</w:t>
      </w:r>
    </w:p>
    <w:p w:rsidR="00CC2DF6" w:rsidRPr="00640D9F" w:rsidRDefault="00CC2DF6" w:rsidP="00CC2DF6">
      <w:pPr>
        <w:pStyle w:val="Normaltindrag"/>
      </w:pPr>
      <w:r w:rsidRPr="00640D9F">
        <w:t>Efter ett val funderar ofta regeringen något år på om det behövs förän</w:t>
      </w:r>
      <w:r w:rsidRPr="00640D9F">
        <w:t>d</w:t>
      </w:r>
      <w:r w:rsidRPr="00640D9F">
        <w:t xml:space="preserve">ringar av grundlagen, </w:t>
      </w:r>
      <w:r w:rsidR="004E17E4" w:rsidRPr="00640D9F">
        <w:t xml:space="preserve">och </w:t>
      </w:r>
      <w:r w:rsidRPr="00640D9F">
        <w:t xml:space="preserve">så småningom tillsätts en utredning som har mycket begränsad tid att arbeta på, kanske ett eller ett och ett halvt år. På så sätt blir grundlagsfrågorna behandlade </w:t>
      </w:r>
      <w:r w:rsidR="0005722B" w:rsidRPr="00640D9F">
        <w:t>”</w:t>
      </w:r>
      <w:r w:rsidRPr="00640D9F">
        <w:t>styckevis och delt</w:t>
      </w:r>
      <w:r w:rsidR="0005722B" w:rsidRPr="00640D9F">
        <w:t>”</w:t>
      </w:r>
      <w:r w:rsidRPr="00640D9F">
        <w:t>. Det ständigt begränsade tidsperspektivet är ett bekymmer i vårt författningsarbete. Helheten och sa</w:t>
      </w:r>
      <w:r w:rsidRPr="00640D9F">
        <w:t>m</w:t>
      </w:r>
      <w:r w:rsidRPr="00640D9F">
        <w:t>manhanget riskerar att gå förlorad</w:t>
      </w:r>
      <w:r w:rsidR="004E17E4" w:rsidRPr="00640D9F">
        <w:t>e</w:t>
      </w:r>
      <w:r w:rsidRPr="00640D9F">
        <w:t xml:space="preserve">. Det är bl. a. av den anledningen som vi hösten 1998 lade fram en motion </w:t>
      </w:r>
      <w:r w:rsidR="004E17E4" w:rsidRPr="00640D9F">
        <w:t>som innebär en totalrevidering</w:t>
      </w:r>
      <w:r w:rsidRPr="00640D9F">
        <w:t xml:space="preserve"> av grundl</w:t>
      </w:r>
      <w:r w:rsidRPr="00640D9F">
        <w:t>a</w:t>
      </w:r>
      <w:r w:rsidRPr="00640D9F">
        <w:t>gen sett ur ett rättsnormsperspektiv.</w:t>
      </w:r>
    </w:p>
    <w:p w:rsidR="00CC2DF6" w:rsidRPr="00640D9F" w:rsidRDefault="00CC2DF6" w:rsidP="00CC2DF6">
      <w:pPr>
        <w:pStyle w:val="Normaltindrag"/>
      </w:pPr>
      <w:r w:rsidRPr="00640D9F">
        <w:t>En sådan översyn går inte på något år, kanske får man räkna med att de</w:t>
      </w:r>
      <w:r w:rsidR="0005722B" w:rsidRPr="00640D9F">
        <w:t>n</w:t>
      </w:r>
      <w:r w:rsidRPr="00640D9F">
        <w:t xml:space="preserve"> tar 5</w:t>
      </w:r>
      <w:r w:rsidR="004E17E4" w:rsidRPr="00640D9F">
        <w:t>–7 år. Det är K</w:t>
      </w:r>
      <w:r w:rsidRPr="00640D9F">
        <w:t xml:space="preserve">ristdemokraternas uppfattning att det är dags att lämna det korta perspektivet och jobba med de här frågorna på lite sikt </w:t>
      </w:r>
      <w:r w:rsidR="004E17E4" w:rsidRPr="00640D9F">
        <w:t>–</w:t>
      </w:r>
      <w:r w:rsidRPr="00640D9F">
        <w:t xml:space="preserve"> just för helh</w:t>
      </w:r>
      <w:r w:rsidRPr="00640D9F">
        <w:t>e</w:t>
      </w:r>
      <w:r w:rsidRPr="00640D9F">
        <w:t>ten och sammanhanget.</w:t>
      </w:r>
    </w:p>
    <w:p w:rsidR="00CC2DF6" w:rsidRPr="00640D9F" w:rsidRDefault="00CC2DF6" w:rsidP="00CC2DF6">
      <w:pPr>
        <w:pStyle w:val="Normaltindrag"/>
        <w:rPr>
          <w:b/>
        </w:rPr>
      </w:pPr>
      <w:r w:rsidRPr="00640D9F">
        <w:t>Regeringen har nu efter ett antal år efter kristdemokratiska krav på översyn av regeringsformen tillgodose</w:t>
      </w:r>
      <w:r w:rsidR="004E17E4" w:rsidRPr="00640D9F">
        <w:t>tt detta genom tillsättning av G</w:t>
      </w:r>
      <w:r w:rsidRPr="00640D9F">
        <w:t>rundlagsutre</w:t>
      </w:r>
      <w:r w:rsidRPr="00640D9F">
        <w:t>d</w:t>
      </w:r>
      <w:r w:rsidRPr="00640D9F">
        <w:t>ningen. Av direktiven framgår att ett antal frågeställningar som belysts ovan skall bli föremål för detta utredande. Av den anledningen läggs inga yrkande</w:t>
      </w:r>
      <w:r w:rsidR="004E17E4" w:rsidRPr="00640D9F">
        <w:t>n</w:t>
      </w:r>
      <w:r w:rsidRPr="00640D9F">
        <w:t xml:space="preserve"> på dessa områden</w:t>
      </w:r>
      <w:r w:rsidR="004E17E4" w:rsidRPr="00640D9F">
        <w:t xml:space="preserve"> fram</w:t>
      </w:r>
      <w:r w:rsidRPr="00640D9F">
        <w:t xml:space="preserve">. </w:t>
      </w:r>
    </w:p>
    <w:p w:rsidR="00CC2DF6" w:rsidRPr="00640D9F" w:rsidRDefault="00CC2DF6" w:rsidP="00CC2DF6">
      <w:pPr>
        <w:pStyle w:val="Rubrik1"/>
      </w:pPr>
      <w:bookmarkStart w:id="7" w:name="_Toc115798677"/>
      <w:r w:rsidRPr="00640D9F">
        <w:t>Fri- och rättigheter, subsidiaritetsprincipen, diskrimineringsskydd samt kriminella organisationer</w:t>
      </w:r>
      <w:bookmarkEnd w:id="7"/>
    </w:p>
    <w:p w:rsidR="00CC2DF6" w:rsidRPr="00640D9F" w:rsidRDefault="00CC2DF6" w:rsidP="00CC2DF6">
      <w:r w:rsidRPr="00640D9F">
        <w:t>Vi har i en särskild m</w:t>
      </w:r>
      <w:r w:rsidR="004E17E4" w:rsidRPr="00640D9F">
        <w:t>otion krävt att regeringen ger G</w:t>
      </w:r>
      <w:r w:rsidRPr="00640D9F">
        <w:t>rundlagsutredningen tilläggsdirektiv om ett vidgat skydd för de mänskliga fri- och rättigheterna. Av annan motion framgår också vår inställning att deltagande i och/eller stöd till kriminella organisationer bör kriminaliseras. Frågan om grundlagsfästning av subsidiaritetsprincipen väcks i separat motion. Även motion om ett faktiskt diskrimineringsskydd i regeringsformen lämnas.</w:t>
      </w:r>
    </w:p>
    <w:p w:rsidR="00CC2DF6" w:rsidRPr="00640D9F" w:rsidRDefault="00CC2DF6" w:rsidP="00CC2DF6">
      <w:pPr>
        <w:pStyle w:val="Rubrik1"/>
      </w:pPr>
      <w:bookmarkStart w:id="8" w:name="_Toc115798678"/>
      <w:r w:rsidRPr="00640D9F">
        <w:t>Valsystemet</w:t>
      </w:r>
      <w:bookmarkEnd w:id="8"/>
    </w:p>
    <w:p w:rsidR="00CC2DF6" w:rsidRPr="00640D9F" w:rsidRDefault="00CC2DF6" w:rsidP="00CC2DF6">
      <w:r w:rsidRPr="00640D9F">
        <w:t>Sverige har under lång tid utvecklat en demokratisk tradition. Varje demokr</w:t>
      </w:r>
      <w:r w:rsidRPr="00640D9F">
        <w:t>a</w:t>
      </w:r>
      <w:r w:rsidRPr="00640D9F">
        <w:t>ti riskerar dock att fastna i olika former. Varje maktstruktur tycks ha en inn</w:t>
      </w:r>
      <w:r w:rsidRPr="00640D9F">
        <w:t>e</w:t>
      </w:r>
      <w:r w:rsidRPr="00640D9F">
        <w:t>boende tendens att söka konservera den egna strukturen. Även i Sverige har sådana tendenser utvecklat sig. En levande demokrati förutsätter en politisk öppenhet och en förmåga att låta nya opinioner bland folket ta sig nya uttryck. Rent historiskt har det varit så att nya grupper som vuxit fram har inneburit en vitaliserad demokrati. Det är därför viktigt att debatten och initiativen kring vår författning hålls levande. Valsystemet är en viktig komponent i en god författning.</w:t>
      </w:r>
    </w:p>
    <w:p w:rsidR="00CC2DF6" w:rsidRPr="00640D9F" w:rsidRDefault="00CC2DF6" w:rsidP="00CC2DF6">
      <w:pPr>
        <w:pStyle w:val="Normaltindrag"/>
      </w:pPr>
      <w:r w:rsidRPr="00640D9F">
        <w:t>Personvalsinslaget med möjligheten för väljaren att sätta ett enda kryss på en valsedel har nu prövats i några val. Erfarenheten är inte odelat positiv. Det nuvarande systemet ger inte möjlighet för väljaren att ge en mer sammansatt bild av sina preferenser. Det ger också utrymme för mer slutna grupper att använda systemet eftersom det i övrigt fått en bristfällig anslutning. En intre</w:t>
      </w:r>
      <w:r w:rsidRPr="00640D9F">
        <w:t>s</w:t>
      </w:r>
      <w:r w:rsidRPr="00640D9F">
        <w:t>sant möjlighet att vidga personvalet är att ge väljaren möjlighet att på vals</w:t>
      </w:r>
      <w:r w:rsidRPr="00640D9F">
        <w:t>e</w:t>
      </w:r>
      <w:r w:rsidRPr="00640D9F">
        <w:t>deln även ge uttryck för sina andra- och tredjehandspreferenser.</w:t>
      </w:r>
    </w:p>
    <w:p w:rsidR="00CC2DF6" w:rsidRPr="00640D9F" w:rsidRDefault="00CC2DF6" w:rsidP="00CC2DF6">
      <w:pPr>
        <w:pStyle w:val="Normaltindrag"/>
      </w:pPr>
      <w:r w:rsidRPr="00640D9F">
        <w:t>Man kan ha förståelse för att valsystemet inte alltför mycket skall up</w:t>
      </w:r>
      <w:r w:rsidRPr="00640D9F">
        <w:t>p</w:t>
      </w:r>
      <w:r w:rsidRPr="00640D9F">
        <w:t>muntra till partibildningar utifrån opportunistiska vindar, men samtidigt är det viktigt att valsystemet heller inte diskriminerar nya politiska rörelser genom helt orimliga tröskeleffekter. Det måste finnas dynamik och möjlighet till vitalisering i det demokratiska systemet.</w:t>
      </w:r>
    </w:p>
    <w:p w:rsidR="00CC2DF6" w:rsidRPr="00640D9F" w:rsidRDefault="00CC2DF6" w:rsidP="00CC2DF6">
      <w:pPr>
        <w:pStyle w:val="Normaltindrag"/>
      </w:pPr>
      <w:r w:rsidRPr="00640D9F">
        <w:t>Det finns självklart olika tekniska lösningar för att göra det svenska vals</w:t>
      </w:r>
      <w:r w:rsidRPr="00640D9F">
        <w:t>y</w:t>
      </w:r>
      <w:r w:rsidRPr="00640D9F">
        <w:t>stemet mer representativt för väljaropinionen. I debatten framställs gärna en handlingsduglig riksdag som motpol till en vitaliserad demokrati öppen för nya politiska opinioner. Men det behöver inte vara motstridiga krav om man avstår från en absolut millimeterrättvisa när det gäller riksproportionaliteten. Och det har man ju redan gjort genom nuvarande system. Om en absolut millimeterrättvisa skulle gälla skulle ju de mandat som inte fördelas till part</w:t>
      </w:r>
      <w:r w:rsidRPr="00640D9F">
        <w:t>i</w:t>
      </w:r>
      <w:r w:rsidRPr="00640D9F">
        <w:t>beteckningar under fyra procent egentligen vara obesatta i riksdagen. Redan nu förekommer alltså en viss överrepresentation för partierna i riksdagen.</w:t>
      </w:r>
    </w:p>
    <w:p w:rsidR="00CC2DF6" w:rsidRPr="00640D9F" w:rsidRDefault="00CC2DF6" w:rsidP="00CC2DF6">
      <w:pPr>
        <w:pStyle w:val="Normaltindrag"/>
      </w:pPr>
      <w:r w:rsidRPr="00640D9F">
        <w:t>Systemet med fyraprocentsspärren vid fördelning av mandaten bör avvec</w:t>
      </w:r>
      <w:r w:rsidRPr="00640D9F">
        <w:t>k</w:t>
      </w:r>
      <w:r w:rsidRPr="00640D9F">
        <w:t>las. Det bör också påpekas att man skulle slippa alltför kraftiga marginale</w:t>
      </w:r>
      <w:r w:rsidRPr="00640D9F">
        <w:t>f</w:t>
      </w:r>
      <w:r w:rsidRPr="00640D9F">
        <w:t>fekter i mandatfördelningen om nuvarande riksspärr på fyra procent ersattes med en intrappningsskala.  För partier är det ju viktigare att ha någon repr</w:t>
      </w:r>
      <w:r w:rsidRPr="00640D9F">
        <w:t>e</w:t>
      </w:r>
      <w:r w:rsidRPr="00640D9F">
        <w:t>sentation i parlamentet än att stå utanför helt i ett system med kraftig initia</w:t>
      </w:r>
      <w:r w:rsidRPr="00640D9F">
        <w:t>l</w:t>
      </w:r>
      <w:r w:rsidRPr="00640D9F">
        <w:t>spärr.</w:t>
      </w:r>
    </w:p>
    <w:p w:rsidR="00CC2DF6" w:rsidRPr="00640D9F" w:rsidRDefault="00CC2DF6" w:rsidP="00CC2DF6">
      <w:pPr>
        <w:pStyle w:val="Normaltindrag"/>
      </w:pPr>
      <w:r w:rsidRPr="00640D9F">
        <w:t>Det är sant att små partigrupper i sig får svårt att greppa hela riksdagsarb</w:t>
      </w:r>
      <w:r w:rsidRPr="00640D9F">
        <w:t>e</w:t>
      </w:r>
      <w:r w:rsidRPr="00640D9F">
        <w:t>tet och utskotten kan knappast ha högre ledamotstal än 17. Men det bör inte vara ett avgörande skäl mot en differentierad representation; även ett parti som erhållit ett lokalt mandat genom att passera 12-procentspärren i valkrets har ju rätt till representation trots att man inte kan få utskottsrepresentation.</w:t>
      </w:r>
    </w:p>
    <w:p w:rsidR="00CC2DF6" w:rsidRPr="00640D9F" w:rsidRDefault="00CC2DF6" w:rsidP="00CC2DF6">
      <w:pPr>
        <w:pStyle w:val="Normaltindrag"/>
      </w:pPr>
      <w:r w:rsidRPr="00640D9F">
        <w:t>En intrappningsskala i ett valsystem kan möjligen vara svår att konstruera men är fullt möjlig. Men även andra lösningar bör kunna övervägas för att göra valsystemet smidigare och leda till en ökning av demokratins intensitet och effektivitet. Kompromissen från 1960-talet, vars gru</w:t>
      </w:r>
      <w:r w:rsidR="004E17E4" w:rsidRPr="00640D9F">
        <w:t>ndläggande syfte var att hålla Vänsterpartiet innanför och K</w:t>
      </w:r>
      <w:r w:rsidRPr="00640D9F">
        <w:t>ristdemokraterna utanför riksdagen är i</w:t>
      </w:r>
      <w:r w:rsidR="0005722B" w:rsidRPr="00640D9F">
        <w:t xml:space="preserve"> </w:t>
      </w:r>
      <w:r w:rsidRPr="00640D9F">
        <w:t>dag obsolet.</w:t>
      </w:r>
    </w:p>
    <w:p w:rsidR="00CC2DF6" w:rsidRPr="00640D9F" w:rsidRDefault="00CC2DF6" w:rsidP="00CC2DF6">
      <w:pPr>
        <w:pStyle w:val="Normaltindrag"/>
      </w:pPr>
      <w:r w:rsidRPr="00640D9F">
        <w:t>Nuvarande system i de större kommunerna inbjuder gärna till manipulation med valkretsindelningar och/eller antalet mandat i kommunfullmäktige. Ett alternativ till den nuvarande situationen är att införa utjämningsmandat i valkretsindelade kommuner. Ett annat sätt är en förändring av kommunernas möjligheter att indela i valkretsar. Begränsningar i det nuvarande systemet kan övervägas.</w:t>
      </w:r>
    </w:p>
    <w:p w:rsidR="00CC2DF6" w:rsidRPr="00640D9F" w:rsidRDefault="00CC2DF6" w:rsidP="00CC2DF6">
      <w:pPr>
        <w:pStyle w:val="Normaltindrag"/>
      </w:pPr>
      <w:r w:rsidRPr="00640D9F">
        <w:t>Ansvarskommittén utreder hela samhällsorganisationen, bl.a. frågan om den regionala indelningen och självstyrelse</w:t>
      </w:r>
      <w:r w:rsidR="004E17E4" w:rsidRPr="00640D9F">
        <w:t>n. Här skall bara fastslås att K</w:t>
      </w:r>
      <w:r w:rsidRPr="00640D9F">
        <w:t>ris</w:t>
      </w:r>
      <w:r w:rsidRPr="00640D9F">
        <w:t>t</w:t>
      </w:r>
      <w:r w:rsidRPr="00640D9F">
        <w:t xml:space="preserve">demokraterna för den regionala nivån förespråkar direkta val. Ordningen med de regionala samverkansorganen som nu finns och som bygger på indirekta val av dessa organ är enligt vår bedömning en </w:t>
      </w:r>
      <w:r w:rsidR="00E82A7F" w:rsidRPr="00640D9F">
        <w:t>otillräcklig</w:t>
      </w:r>
      <w:r w:rsidRPr="00640D9F">
        <w:t xml:space="preserve"> lösning. </w:t>
      </w:r>
    </w:p>
    <w:p w:rsidR="00CC2DF6" w:rsidRPr="00640D9F" w:rsidRDefault="00CC2DF6" w:rsidP="00CC2DF6">
      <w:pPr>
        <w:pStyle w:val="Normaltindrag"/>
      </w:pPr>
      <w:r w:rsidRPr="00640D9F">
        <w:t>Kristdemokraterna anser att rösträtten bör vara kopplad till myndighetså</w:t>
      </w:r>
      <w:r w:rsidRPr="00640D9F">
        <w:t>l</w:t>
      </w:r>
      <w:r w:rsidRPr="00640D9F">
        <w:t>dern. Sedan 1974 får alla som senast valdagen fyllt 18 år rösta. Kristdemokr</w:t>
      </w:r>
      <w:r w:rsidRPr="00640D9F">
        <w:t>a</w:t>
      </w:r>
      <w:r w:rsidRPr="00640D9F">
        <w:t>terna tycker att sambandet mellan rösträttsålder och myndighetsålder ska finnas kvar. Det innebär också ett samband mellan rättigheter och skyldigh</w:t>
      </w:r>
      <w:r w:rsidRPr="00640D9F">
        <w:t>e</w:t>
      </w:r>
      <w:r w:rsidRPr="00640D9F">
        <w:t>ter. Den dagen man förvärvar nya rättigheter, förvärvar man samtidigt nya skyldigheter. Detta är bra.</w:t>
      </w:r>
    </w:p>
    <w:p w:rsidR="00CC2DF6" w:rsidRPr="00640D9F" w:rsidRDefault="00CC2DF6" w:rsidP="00CC2DF6">
      <w:pPr>
        <w:pStyle w:val="Normaltindrag"/>
      </w:pPr>
      <w:r w:rsidRPr="00640D9F">
        <w:t>Det är dock rimligt att tänka sig att de ungdomar som fyller 18 år samma år som val hålls skulle kunna få ett undantag från den annars fasta principen. Ungdomar som är födda samma år har i regel samma möjligheter att ta del av undervisning om konstitution, om politiska ideologier och partiväsende. N</w:t>
      </w:r>
      <w:r w:rsidRPr="00640D9F">
        <w:t>å</w:t>
      </w:r>
      <w:r w:rsidRPr="00640D9F">
        <w:t>gon åtskillnad kunskapsmässigt finns således inte mellan de på året tidigt respektive sent födda. Anledningen till detta undantag är att konsekvenserna för några få ungdomar, de som fyller år efter tredje söndagen i september det år det är valår, blir att de tvingas vänta till 21 års ålder innan de får rösta i de allmänna valen till riksdag, landsting och kommuner. I och med att mandatp</w:t>
      </w:r>
      <w:r w:rsidRPr="00640D9F">
        <w:t>e</w:t>
      </w:r>
      <w:r w:rsidRPr="00640D9F">
        <w:t>rioderna återgått till att bli fyraåriga blev också medelåldern för först</w:t>
      </w:r>
      <w:r w:rsidRPr="00640D9F">
        <w:t>a</w:t>
      </w:r>
      <w:r w:rsidRPr="00640D9F">
        <w:t>gångsväljaren högre.</w:t>
      </w:r>
    </w:p>
    <w:p w:rsidR="00CC2DF6" w:rsidRPr="00640D9F" w:rsidRDefault="00CC2DF6" w:rsidP="00CC2DF6">
      <w:pPr>
        <w:pStyle w:val="Normaltindrag"/>
      </w:pPr>
      <w:r w:rsidRPr="00640D9F">
        <w:t>Kristdemokraterna har tillsammans med en riksdagsmajoritet förordat en utredning om möjlighet till kommunala extraval och om initiativrätt vid kommunala folkomröstningar.</w:t>
      </w:r>
    </w:p>
    <w:p w:rsidR="00CC2DF6" w:rsidRPr="00640D9F" w:rsidRDefault="004E17E4" w:rsidP="00CC2DF6">
      <w:pPr>
        <w:pStyle w:val="Normaltindrag"/>
      </w:pPr>
      <w:r w:rsidRPr="00640D9F">
        <w:t>Genom G</w:t>
      </w:r>
      <w:r w:rsidR="00CC2DF6" w:rsidRPr="00640D9F">
        <w:t>rundlagsutredningen kommer valsystemet att bli föremål för u</w:t>
      </w:r>
      <w:r w:rsidR="00CC2DF6" w:rsidRPr="00640D9F">
        <w:t>t</w:t>
      </w:r>
      <w:r w:rsidR="00CC2DF6" w:rsidRPr="00640D9F">
        <w:t>redning</w:t>
      </w:r>
      <w:r w:rsidRPr="00640D9F">
        <w:t>,</w:t>
      </w:r>
      <w:r w:rsidR="00CC2DF6" w:rsidRPr="00640D9F">
        <w:t xml:space="preserve"> och i Ansvarskommittén analyseras bland annat den regionala nivån varför några yrkanden inte läggs</w:t>
      </w:r>
      <w:r w:rsidRPr="00640D9F">
        <w:t xml:space="preserve"> fram</w:t>
      </w:r>
      <w:r w:rsidR="00CC2DF6" w:rsidRPr="00640D9F">
        <w:t xml:space="preserve"> i denna del. </w:t>
      </w:r>
    </w:p>
    <w:p w:rsidR="00CC2DF6" w:rsidRPr="00640D9F" w:rsidRDefault="00CC2DF6" w:rsidP="00CC2DF6">
      <w:pPr>
        <w:pStyle w:val="Rubrik1"/>
      </w:pPr>
      <w:bookmarkStart w:id="9" w:name="_Toc115798679"/>
      <w:r w:rsidRPr="00640D9F">
        <w:t>En kommunalordning precis som riksdagsordningen</w:t>
      </w:r>
      <w:bookmarkEnd w:id="9"/>
    </w:p>
    <w:p w:rsidR="00CC2DF6" w:rsidRPr="00640D9F" w:rsidRDefault="00CC2DF6" w:rsidP="00CC2DF6">
      <w:r w:rsidRPr="00640D9F">
        <w:t>Enligt 1862 års kommunalförordningar inrättades de svenska kommunerna som ett slags lokala offentliga förvaltningsorgan i den nationella samhällso</w:t>
      </w:r>
      <w:r w:rsidRPr="00640D9F">
        <w:t>r</w:t>
      </w:r>
      <w:r w:rsidRPr="00640D9F">
        <w:t>ganismen. Det fastslogs särskilt att kommunerna inte hade någon statsrättsligt genuin juridisk kompetens som självstyrande politiska enheter. De fick sin kompetens genom delegering från staten och verkade under statens suverän</w:t>
      </w:r>
      <w:r w:rsidRPr="00640D9F">
        <w:t>i</w:t>
      </w:r>
      <w:r w:rsidRPr="00640D9F">
        <w:t>tet. Och så är det fortfarande.</w:t>
      </w:r>
    </w:p>
    <w:p w:rsidR="00CC2DF6" w:rsidRPr="00640D9F" w:rsidRDefault="00CC2DF6" w:rsidP="00CC2DF6">
      <w:pPr>
        <w:pStyle w:val="Normaltindrag"/>
      </w:pPr>
      <w:r w:rsidRPr="00640D9F">
        <w:t>De grundläggande bestämmelserna om den kommunala självstyrelsen åte</w:t>
      </w:r>
      <w:r w:rsidRPr="00640D9F">
        <w:t>r</w:t>
      </w:r>
      <w:r w:rsidRPr="00640D9F">
        <w:t>finns i regeringsformen 1</w:t>
      </w:r>
      <w:r w:rsidR="0005722B" w:rsidRPr="00640D9F">
        <w:t xml:space="preserve"> </w:t>
      </w:r>
      <w:r w:rsidR="004E17E4" w:rsidRPr="00640D9F">
        <w:t xml:space="preserve">kap. 1 </w:t>
      </w:r>
      <w:r w:rsidRPr="00640D9F">
        <w:t xml:space="preserve">och </w:t>
      </w:r>
      <w:r w:rsidR="004E17E4" w:rsidRPr="00640D9F">
        <w:t xml:space="preserve">7 </w:t>
      </w:r>
      <w:r w:rsidR="0005722B" w:rsidRPr="00640D9F">
        <w:t>§</w:t>
      </w:r>
      <w:r w:rsidR="004E17E4" w:rsidRPr="00640D9F">
        <w:t>§</w:t>
      </w:r>
      <w:r w:rsidRPr="00640D9F">
        <w:t>. Dess portalparagraf säger att det svenska folkstyret förverkligas genom bl.a. kommunal självstyrelse. I 7</w:t>
      </w:r>
      <w:r w:rsidR="0005722B" w:rsidRPr="00640D9F">
        <w:t> </w:t>
      </w:r>
      <w:r w:rsidRPr="00640D9F">
        <w:t xml:space="preserve">§ konstateras dels att </w:t>
      </w:r>
      <w:r w:rsidR="0005722B" w:rsidRPr="00640D9F">
        <w:t>”</w:t>
      </w:r>
      <w:r w:rsidR="00C646B3" w:rsidRPr="00640D9F">
        <w:t>b</w:t>
      </w:r>
      <w:r w:rsidRPr="00640D9F">
        <w:t>eslutanderätten i kommunerna utövas av valda försa</w:t>
      </w:r>
      <w:r w:rsidRPr="00640D9F">
        <w:t>m</w:t>
      </w:r>
      <w:r w:rsidRPr="00640D9F">
        <w:t>lingar</w:t>
      </w:r>
      <w:r w:rsidR="0005722B" w:rsidRPr="00640D9F">
        <w:t>”</w:t>
      </w:r>
      <w:r w:rsidRPr="00640D9F">
        <w:t xml:space="preserve">, dels att </w:t>
      </w:r>
      <w:r w:rsidR="0005722B" w:rsidRPr="00640D9F">
        <w:t>”</w:t>
      </w:r>
      <w:r w:rsidR="004E17E4" w:rsidRPr="00640D9F">
        <w:t>k</w:t>
      </w:r>
      <w:r w:rsidRPr="00640D9F">
        <w:t>ommunerna får taga ut skatt</w:t>
      </w:r>
      <w:r w:rsidR="004E17E4" w:rsidRPr="00640D9F">
        <w:t xml:space="preserve"> för skötseln av sina up</w:t>
      </w:r>
      <w:r w:rsidR="004E17E4" w:rsidRPr="00640D9F">
        <w:t>p</w:t>
      </w:r>
      <w:r w:rsidR="004E17E4" w:rsidRPr="00640D9F">
        <w:t>gifter</w:t>
      </w:r>
      <w:r w:rsidR="0005722B" w:rsidRPr="00640D9F">
        <w:t>”</w:t>
      </w:r>
      <w:r w:rsidRPr="00640D9F">
        <w:t>.</w:t>
      </w:r>
    </w:p>
    <w:p w:rsidR="00CC2DF6" w:rsidRPr="00640D9F" w:rsidRDefault="00CC2DF6" w:rsidP="00CC2DF6">
      <w:pPr>
        <w:pStyle w:val="Normaltindrag"/>
      </w:pPr>
      <w:r w:rsidRPr="00640D9F">
        <w:t>Grundlagen pekar ut den kommunala självstyrelsen som ett medel att fö</w:t>
      </w:r>
      <w:r w:rsidRPr="00640D9F">
        <w:t>r</w:t>
      </w:r>
      <w:r w:rsidRPr="00640D9F">
        <w:t>verkliga demokratin. Inom vissa ramar finns det en betydande frihet för kommunerna. I</w:t>
      </w:r>
      <w:r w:rsidR="004E17E4" w:rsidRPr="00640D9F">
        <w:t xml:space="preserve"> </w:t>
      </w:r>
      <w:r w:rsidRPr="00640D9F">
        <w:t xml:space="preserve">dag kan kommuner fatta beslut. Men finner regeringen och riksdagsmajoriteten dem obekväma eller felaktiga står det regeringen och riksdagsmajoriteten fritt </w:t>
      </w:r>
      <w:r w:rsidR="00C646B3" w:rsidRPr="00640D9F">
        <w:t>–</w:t>
      </w:r>
      <w:r w:rsidRPr="00640D9F">
        <w:t xml:space="preserve"> i rättslig mening </w:t>
      </w:r>
      <w:r w:rsidR="00C646B3" w:rsidRPr="00640D9F">
        <w:t>–</w:t>
      </w:r>
      <w:r w:rsidRPr="00640D9F">
        <w:t xml:space="preserve"> att intervenera i den kommunala beslutskompetensen och inskränka beslutanderätten i olika avseenden. Det finns ett antal moderna exempel på detta, till exempel akutsjukhus och b</w:t>
      </w:r>
      <w:r w:rsidRPr="00640D9F">
        <w:t>o</w:t>
      </w:r>
      <w:r w:rsidRPr="00640D9F">
        <w:t>stadsförsörjning.</w:t>
      </w:r>
    </w:p>
    <w:p w:rsidR="00CC2DF6" w:rsidRPr="00640D9F" w:rsidRDefault="00CC2DF6" w:rsidP="00CC2DF6">
      <w:pPr>
        <w:pStyle w:val="Normaltindrag"/>
      </w:pPr>
      <w:r w:rsidRPr="00640D9F">
        <w:t>I praktiken har alltså den kommunala styrelsen fungerat som en del av den statliga förvaltningsorganisationen även om det inom vissa ramar finns en betydande frihet för kommunerna. I författningspolitisk mening är det dock inte fråga om en självstyrelse.</w:t>
      </w:r>
    </w:p>
    <w:p w:rsidR="00CC2DF6" w:rsidRPr="00640D9F" w:rsidRDefault="00CC2DF6" w:rsidP="00CC2DF6">
      <w:pPr>
        <w:pStyle w:val="Normaltindrag"/>
      </w:pPr>
      <w:r w:rsidRPr="00640D9F">
        <w:t>Dessutom har regering och riksdag genom lagstiftningen tydligt beskurit kommunernas handlingsfrihet genom olika rättighetslagstiftningar. I prakt</w:t>
      </w:r>
      <w:r w:rsidRPr="00640D9F">
        <w:t>i</w:t>
      </w:r>
      <w:r w:rsidRPr="00640D9F">
        <w:t>ken har man anvisat bestämda lösningar</w:t>
      </w:r>
      <w:r w:rsidR="00C646B3" w:rsidRPr="00640D9F">
        <w:t>,</w:t>
      </w:r>
      <w:r w:rsidRPr="00640D9F">
        <w:t xml:space="preserve"> t.ex. på barnomsorgsbehovet</w:t>
      </w:r>
      <w:r w:rsidR="00C646B3" w:rsidRPr="00640D9F">
        <w:t>,</w:t>
      </w:r>
      <w:r w:rsidRPr="00640D9F">
        <w:t xml:space="preserve"> utan att ge någon generell rätt för kommunerna att hantera ens sina egna medel på det sätt de önskar inom ramen för likställighetsprincipen. </w:t>
      </w:r>
    </w:p>
    <w:p w:rsidR="00CC2DF6" w:rsidRPr="00640D9F" w:rsidRDefault="00CC2DF6" w:rsidP="00CC2DF6">
      <w:pPr>
        <w:pStyle w:val="Normaltindrag"/>
      </w:pPr>
      <w:r w:rsidRPr="00640D9F">
        <w:t xml:space="preserve">I förarbetena till den nuvarande kommunallagen hette det bl.a.: </w:t>
      </w:r>
      <w:r w:rsidR="0005722B" w:rsidRPr="00640D9F">
        <w:t>”</w:t>
      </w:r>
      <w:r w:rsidRPr="00640D9F">
        <w:t>Graden av självstyrelse avgörs ytterst av formerna för samverkan mellan staten och den kommunala sektorn.</w:t>
      </w:r>
      <w:r w:rsidR="0005722B" w:rsidRPr="00640D9F">
        <w:t>”</w:t>
      </w:r>
      <w:r w:rsidRPr="00640D9F">
        <w:t xml:space="preserve"> I ljuset av de senaste årens ingripanden från regeringens och riksdagens sida kan man knappast tala om samverkan. Besluten har tagits genom diktat från den ena parten.</w:t>
      </w:r>
    </w:p>
    <w:p w:rsidR="00CC2DF6" w:rsidRPr="00640D9F" w:rsidRDefault="00CC2DF6" w:rsidP="00CC2DF6">
      <w:pPr>
        <w:pStyle w:val="Normaltindrag"/>
      </w:pPr>
      <w:r w:rsidRPr="00640D9F">
        <w:t xml:space="preserve">I en utredning (SOU 1996:129) som ännu inte lett till något heter det: </w:t>
      </w:r>
      <w:r w:rsidR="0005722B" w:rsidRPr="00640D9F">
        <w:t>”</w:t>
      </w:r>
      <w:r w:rsidRPr="00640D9F">
        <w:t>För folkstyrelsen representerar den kommunala självstyrelsen grundläggande värden. Den skall därför ha en reell innebörd och väga mycket tungt i relation till de motstående intressen som kan finnas.</w:t>
      </w:r>
      <w:r w:rsidR="0005722B" w:rsidRPr="00640D9F">
        <w:t>”</w:t>
      </w:r>
    </w:p>
    <w:p w:rsidR="00CC2DF6" w:rsidRPr="00640D9F" w:rsidRDefault="00C646B3" w:rsidP="00CC2DF6">
      <w:pPr>
        <w:pStyle w:val="Normaltindrag"/>
      </w:pPr>
      <w:r w:rsidRPr="00640D9F">
        <w:t>På våren 1999 konstaterade Lagrådet om förslaget om k</w:t>
      </w:r>
      <w:r w:rsidR="00CC2DF6" w:rsidRPr="00640D9F">
        <w:t>ommunala b</w:t>
      </w:r>
      <w:r w:rsidR="00CC2DF6" w:rsidRPr="00640D9F">
        <w:t>o</w:t>
      </w:r>
      <w:r w:rsidR="00CC2DF6" w:rsidRPr="00640D9F">
        <w:t xml:space="preserve">stadsföretag: </w:t>
      </w:r>
      <w:r w:rsidR="0005722B" w:rsidRPr="00640D9F">
        <w:t>”</w:t>
      </w:r>
      <w:r w:rsidR="00CC2DF6" w:rsidRPr="00640D9F">
        <w:t>Någon innebörd måste dock den kommunala självstyrelsen ha.</w:t>
      </w:r>
      <w:r w:rsidR="0005722B" w:rsidRPr="00640D9F">
        <w:t>”</w:t>
      </w:r>
      <w:r w:rsidR="00CC2DF6" w:rsidRPr="00640D9F">
        <w:t xml:space="preserve"> Lagrådet beklagade att regeringsformen trots erfarenheter av nära 25 års ti</w:t>
      </w:r>
      <w:r w:rsidR="00CC2DF6" w:rsidRPr="00640D9F">
        <w:t>l</w:t>
      </w:r>
      <w:r w:rsidR="00CC2DF6" w:rsidRPr="00640D9F">
        <w:t xml:space="preserve">lämpning fortfarande inte ger fylligare riktlinjer för förhållandet mellan stat och kommun eller med andra ord för den kommunala självstyrelsens reella innebörd. </w:t>
      </w:r>
    </w:p>
    <w:p w:rsidR="00CC2DF6" w:rsidRPr="00640D9F" w:rsidRDefault="00CC2DF6" w:rsidP="00CC2DF6">
      <w:pPr>
        <w:pStyle w:val="Normaltindrag"/>
      </w:pPr>
      <w:r w:rsidRPr="00640D9F">
        <w:t xml:space="preserve">I konstaterandet om </w:t>
      </w:r>
      <w:r w:rsidR="0005722B" w:rsidRPr="00640D9F">
        <w:t>”</w:t>
      </w:r>
      <w:r w:rsidRPr="00640D9F">
        <w:t>någon innebörd</w:t>
      </w:r>
      <w:r w:rsidR="0005722B" w:rsidRPr="00640D9F">
        <w:t>”</w:t>
      </w:r>
      <w:r w:rsidR="00C646B3" w:rsidRPr="00640D9F">
        <w:t xml:space="preserve"> från L</w:t>
      </w:r>
      <w:r w:rsidRPr="00640D9F">
        <w:t>agrådet kan uttydas en viss cynism eller ironi. Lagrådet citerar för övrigt sig självt på den här punkten i ett yttrande om det tidigare förslaget om akutsjukhus. Frågan är central: Vad bör egentligen ligga i orden reell innebörd?</w:t>
      </w:r>
    </w:p>
    <w:p w:rsidR="00CC2DF6" w:rsidRPr="00640D9F" w:rsidRDefault="00CC2DF6" w:rsidP="00CC2DF6">
      <w:pPr>
        <w:pStyle w:val="Normaltindrag"/>
      </w:pPr>
      <w:r w:rsidRPr="00640D9F">
        <w:t xml:space="preserve">Lagrådet är i sitt svar om akutsjukhusen inne på bärande principer om hur man skall hantera kompetensen: </w:t>
      </w:r>
      <w:r w:rsidR="0005722B" w:rsidRPr="00640D9F">
        <w:t>”</w:t>
      </w:r>
      <w:r w:rsidRPr="00640D9F">
        <w:t>Tanken skulle vara att om olika möjligheter finns att nå samma mål skall riksdagen av hänsyn till principen om den ko</w:t>
      </w:r>
      <w:r w:rsidRPr="00640D9F">
        <w:t>m</w:t>
      </w:r>
      <w:r w:rsidRPr="00640D9F">
        <w:t>munala självstyrelsen välja den som lägger minst band på kommunernas självbestämmanderätt.</w:t>
      </w:r>
      <w:r w:rsidR="0005722B" w:rsidRPr="00640D9F">
        <w:t>”</w:t>
      </w:r>
      <w:r w:rsidRPr="00640D9F">
        <w:t xml:space="preserve"> Regeringen har inte under senare år tagit den typen av principiella hänsyn, de politiska delmålen avgörs genom </w:t>
      </w:r>
      <w:r w:rsidR="0005722B" w:rsidRPr="00640D9F">
        <w:t>”</w:t>
      </w:r>
      <w:r w:rsidRPr="00640D9F">
        <w:t>akutsnitt</w:t>
      </w:r>
      <w:r w:rsidR="0005722B" w:rsidRPr="00640D9F">
        <w:t xml:space="preserve">” </w:t>
      </w:r>
      <w:r w:rsidRPr="00640D9F">
        <w:t>utan hä</w:t>
      </w:r>
      <w:r w:rsidRPr="00640D9F">
        <w:t>n</w:t>
      </w:r>
      <w:r w:rsidRPr="00640D9F">
        <w:t xml:space="preserve">syn till </w:t>
      </w:r>
      <w:r w:rsidR="0005722B" w:rsidRPr="00640D9F">
        <w:t>”</w:t>
      </w:r>
      <w:r w:rsidRPr="00640D9F">
        <w:t>patientens autonomi</w:t>
      </w:r>
      <w:r w:rsidR="0005722B" w:rsidRPr="00640D9F">
        <w:t>”</w:t>
      </w:r>
      <w:r w:rsidRPr="00640D9F">
        <w:t xml:space="preserve"> som helhet. </w:t>
      </w:r>
    </w:p>
    <w:p w:rsidR="00CC2DF6" w:rsidRPr="00640D9F" w:rsidRDefault="00CC2DF6" w:rsidP="00CC2DF6">
      <w:pPr>
        <w:pStyle w:val="Normaltindrag"/>
      </w:pPr>
      <w:r w:rsidRPr="00640D9F">
        <w:t>Kristdemokraterna har i andra sammanhang påpekat att subsidiaritetspri</w:t>
      </w:r>
      <w:r w:rsidRPr="00640D9F">
        <w:t>n</w:t>
      </w:r>
      <w:r w:rsidRPr="00640D9F">
        <w:t xml:space="preserve">cipen bör bli vägledande även för nationella förhållanden. Som bekant är den en del av Europeiska </w:t>
      </w:r>
      <w:r w:rsidR="00C646B3" w:rsidRPr="00640D9F">
        <w:t>u</w:t>
      </w:r>
      <w:r w:rsidRPr="00640D9F">
        <w:t>nionens rättskapacitet. Subsidiaritetsprincipen har följande innehåll: Det en gemenskap på ett ändamålsenligt sätt kan sköta skall den också få sköta. De överordnade gemenskaperna (t.ex. staten) har en sky</w:t>
      </w:r>
      <w:r w:rsidRPr="00640D9F">
        <w:t>l</w:t>
      </w:r>
      <w:r w:rsidRPr="00640D9F">
        <w:t>dighet att stödja där så behövs och detta stöd måste respektera de enskilda människornas rättigheter och gemenskapernas eget kompetensområde.</w:t>
      </w:r>
    </w:p>
    <w:p w:rsidR="00CC2DF6" w:rsidRPr="00640D9F" w:rsidRDefault="00CC2DF6" w:rsidP="00CC2DF6">
      <w:pPr>
        <w:pStyle w:val="Normaltindrag"/>
      </w:pPr>
      <w:r w:rsidRPr="00640D9F">
        <w:t>Om subsidiaritetsprincipen appliceras på synen på kommunal självstyrelse kan man konstatera att det i så fall behövs en utökad respekt från statsmaktens sida för</w:t>
      </w:r>
      <w:r w:rsidR="00C646B3" w:rsidRPr="00640D9F">
        <w:t xml:space="preserve"> den kommunala gemenskapens egna</w:t>
      </w:r>
      <w:r w:rsidRPr="00640D9F">
        <w:t xml:space="preserve"> kompetensområde.</w:t>
      </w:r>
    </w:p>
    <w:p w:rsidR="00CC2DF6" w:rsidRPr="00640D9F" w:rsidRDefault="00CC2DF6" w:rsidP="00CC2DF6">
      <w:pPr>
        <w:pStyle w:val="Normaltindrag"/>
      </w:pPr>
      <w:r w:rsidRPr="00640D9F">
        <w:t>De nuvarande förhållandena är inte acceptabla. Om man vill ha en reell kommunal självstyrelse måste det till en kraftfull rättslig kompetens för kommunerna att utöva den. Då krävs dessutom också en reell lagprövning</w:t>
      </w:r>
      <w:r w:rsidRPr="00640D9F">
        <w:t>s</w:t>
      </w:r>
      <w:r w:rsidRPr="00640D9F">
        <w:t xml:space="preserve">rätt som kommunerna kan använda för att hävda sin suveränitet. </w:t>
      </w:r>
    </w:p>
    <w:p w:rsidR="00CC2DF6" w:rsidRPr="00640D9F" w:rsidRDefault="00CC2DF6" w:rsidP="00CC2DF6">
      <w:pPr>
        <w:pStyle w:val="Normaltindrag"/>
      </w:pPr>
      <w:r w:rsidRPr="00640D9F">
        <w:t>Man kan tänka sig att fastställa den kommunala kompetensen i grundlagen. Det kan möjligen vara svårt att i en sådan lagstiftning få en tillräcklig spän</w:t>
      </w:r>
      <w:r w:rsidRPr="00640D9F">
        <w:t>n</w:t>
      </w:r>
      <w:r w:rsidRPr="00640D9F">
        <w:t>vidd. Regeringsformen är ju inte en detaljlagstiftning. Men frågeställningen skulle kunna lösas genom att man skapar en särskild lagstiftning för den kommunala kompetensen lik den som riksdagsordningen anger. I regering</w:t>
      </w:r>
      <w:r w:rsidRPr="00640D9F">
        <w:t>s</w:t>
      </w:r>
      <w:r w:rsidRPr="00640D9F">
        <w:t>formen 8</w:t>
      </w:r>
      <w:r w:rsidR="00C646B3" w:rsidRPr="00640D9F">
        <w:t xml:space="preserve"> kap. 16 §</w:t>
      </w:r>
      <w:r w:rsidRPr="00640D9F">
        <w:t xml:space="preserve"> anges att beslut om riksdagsordningen kan fastställas på samma sätt som grundlag eller genom ett majoritetskrav på tre fjärdedelar vid ett och samma beslutstillfälle. Detta gäller huvudbestämmelse i riksdagsor</w:t>
      </w:r>
      <w:r w:rsidRPr="00640D9F">
        <w:t>d</w:t>
      </w:r>
      <w:r w:rsidRPr="00640D9F">
        <w:t>ningen, medan tilläggsbestämmelser beslutas med enkel majoritet.</w:t>
      </w:r>
    </w:p>
    <w:p w:rsidR="00CC2DF6" w:rsidRPr="00640D9F" w:rsidRDefault="00CC2DF6" w:rsidP="00CC2DF6">
      <w:pPr>
        <w:pStyle w:val="Normaltindrag"/>
      </w:pPr>
      <w:r w:rsidRPr="00640D9F">
        <w:t xml:space="preserve">I en </w:t>
      </w:r>
      <w:r w:rsidR="0005722B" w:rsidRPr="00640D9F">
        <w:t>”</w:t>
      </w:r>
      <w:r w:rsidRPr="00640D9F">
        <w:t>kommunalordning</w:t>
      </w:r>
      <w:r w:rsidR="0005722B" w:rsidRPr="00640D9F">
        <w:t>”</w:t>
      </w:r>
      <w:r w:rsidRPr="00640D9F">
        <w:t xml:space="preserve"> skulle man i huvudbestämmelserna kunna klart fastslå den kommunala beslutskompetensen. Denna skulle bara, genom skri</w:t>
      </w:r>
      <w:r w:rsidRPr="00640D9F">
        <w:t>v</w:t>
      </w:r>
      <w:r w:rsidRPr="00640D9F">
        <w:t>ningar i regeringsformen, kunna ändras som grundlag eller vid ett beslutstil</w:t>
      </w:r>
      <w:r w:rsidRPr="00640D9F">
        <w:t>l</w:t>
      </w:r>
      <w:r w:rsidRPr="00640D9F">
        <w:t>fälle i riksdagen med tre fjärdedelars majoritet. I tilläggsbestämmelserna skulle man kunna med enkel majoritet besluta om vissa praktiska följdb</w:t>
      </w:r>
      <w:r w:rsidRPr="00640D9F">
        <w:t>e</w:t>
      </w:r>
      <w:r w:rsidRPr="00640D9F">
        <w:t>stämmelser.</w:t>
      </w:r>
    </w:p>
    <w:p w:rsidR="00CC2DF6" w:rsidRPr="00640D9F" w:rsidRDefault="00CC2DF6" w:rsidP="00CC2DF6">
      <w:pPr>
        <w:pStyle w:val="Normaltindrag"/>
      </w:pPr>
      <w:r w:rsidRPr="00640D9F">
        <w:t>En kommunalordning av samma dignitet som riksdagsordningen bör utr</w:t>
      </w:r>
      <w:r w:rsidRPr="00640D9F">
        <w:t>e</w:t>
      </w:r>
      <w:r w:rsidRPr="00640D9F">
        <w:rPr>
          <w:spacing w:val="-2"/>
          <w:szCs w:val="19"/>
        </w:rPr>
        <w:t>das. Den typen av lösning skulle dessutom utöver sina kompetensavgränsande effekter kunna bidra till att stärka intresset för det lokala demokratiska arb</w:t>
      </w:r>
      <w:r w:rsidRPr="00640D9F">
        <w:rPr>
          <w:spacing w:val="-2"/>
          <w:szCs w:val="19"/>
        </w:rPr>
        <w:t>e</w:t>
      </w:r>
      <w:r w:rsidRPr="00640D9F">
        <w:rPr>
          <w:spacing w:val="-2"/>
          <w:szCs w:val="19"/>
        </w:rPr>
        <w:t xml:space="preserve">tet. </w:t>
      </w:r>
    </w:p>
    <w:p w:rsidR="00CC2DF6" w:rsidRPr="00640D9F" w:rsidRDefault="00C646B3" w:rsidP="00CC2DF6">
      <w:pPr>
        <w:pStyle w:val="Normaltindrag"/>
        <w:rPr>
          <w:color w:val="000000"/>
        </w:rPr>
      </w:pPr>
      <w:r w:rsidRPr="00640D9F">
        <w:rPr>
          <w:color w:val="000000"/>
        </w:rPr>
        <w:t>I direktiven till G</w:t>
      </w:r>
      <w:r w:rsidR="00CC2DF6" w:rsidRPr="00640D9F">
        <w:rPr>
          <w:color w:val="000000"/>
        </w:rPr>
        <w:t xml:space="preserve">rundlagsutredningen skriver regeringen: </w:t>
      </w:r>
      <w:r w:rsidR="0005722B" w:rsidRPr="00640D9F">
        <w:rPr>
          <w:color w:val="000000"/>
        </w:rPr>
        <w:t>”</w:t>
      </w:r>
      <w:r w:rsidR="00CC2DF6" w:rsidRPr="00640D9F">
        <w:rPr>
          <w:color w:val="000000"/>
        </w:rPr>
        <w:t>När det gäller kommunala frågor innefattande regionfrågor, kompetensfördelningsfrågor och kommunalt självstyre, kan konstateras att de i stort faller inom det up</w:t>
      </w:r>
      <w:r w:rsidR="00CC2DF6" w:rsidRPr="00640D9F">
        <w:rPr>
          <w:color w:val="000000"/>
        </w:rPr>
        <w:t>p</w:t>
      </w:r>
      <w:r w:rsidR="00CC2DF6" w:rsidRPr="00640D9F">
        <w:rPr>
          <w:color w:val="000000"/>
        </w:rPr>
        <w:t>drag som Ansvarskommittén har. I Ansvarskommitténs uppdrag ingår också att bedöma behovet av förändringar i uppgifts- och ansvarsfördelningen me</w:t>
      </w:r>
      <w:r w:rsidR="00CC2DF6" w:rsidRPr="00640D9F">
        <w:rPr>
          <w:color w:val="000000"/>
        </w:rPr>
        <w:t>l</w:t>
      </w:r>
      <w:r w:rsidR="00CC2DF6" w:rsidRPr="00640D9F">
        <w:rPr>
          <w:color w:val="000000"/>
        </w:rPr>
        <w:t>lan de statliga och kommunala nivåerna. I den utsträckning Ansvarskommi</w:t>
      </w:r>
      <w:r w:rsidR="00CC2DF6" w:rsidRPr="00640D9F">
        <w:rPr>
          <w:color w:val="000000"/>
        </w:rPr>
        <w:t>t</w:t>
      </w:r>
      <w:r w:rsidR="00CC2DF6" w:rsidRPr="00640D9F">
        <w:rPr>
          <w:color w:val="000000"/>
        </w:rPr>
        <w:t>téns arbete kan komma att förutsätta ändringar i regeringsformen eller i andra författningar av konstitutionell natur bör dessa emellertid hanteras inom r</w:t>
      </w:r>
      <w:r w:rsidR="00CC2DF6" w:rsidRPr="00640D9F">
        <w:rPr>
          <w:color w:val="000000"/>
        </w:rPr>
        <w:t>a</w:t>
      </w:r>
      <w:r w:rsidR="00CC2DF6" w:rsidRPr="00640D9F">
        <w:rPr>
          <w:color w:val="000000"/>
        </w:rPr>
        <w:t>men för denna författningsöversyn. Regeringen avser i sådant fall att genom tilläggsdirektiv komplettera kommitténs uppdrag.</w:t>
      </w:r>
      <w:r w:rsidR="0005722B" w:rsidRPr="00640D9F">
        <w:rPr>
          <w:color w:val="000000"/>
        </w:rPr>
        <w:t>”</w:t>
      </w:r>
    </w:p>
    <w:p w:rsidR="00DB2EFD" w:rsidRPr="00640D9F" w:rsidRDefault="00C646B3" w:rsidP="00CC2DF6">
      <w:pPr>
        <w:pStyle w:val="Normaltindrag"/>
      </w:pPr>
      <w:r w:rsidRPr="00640D9F">
        <w:t>Enligt K</w:t>
      </w:r>
      <w:r w:rsidR="00CC2DF6" w:rsidRPr="00640D9F">
        <w:t>ristdemokraternas bedömning är det ett alltför skönsmässigt res</w:t>
      </w:r>
      <w:r w:rsidR="00CC2DF6" w:rsidRPr="00640D9F">
        <w:t>o</w:t>
      </w:r>
      <w:r w:rsidR="00CC2DF6" w:rsidRPr="00640D9F">
        <w:t>nerande. Oavsett om det hos Ansvarskommitté</w:t>
      </w:r>
      <w:r w:rsidRPr="00640D9F">
        <w:t>ns majoritet finns önskemål om G</w:t>
      </w:r>
      <w:r w:rsidR="00CC2DF6" w:rsidRPr="00640D9F">
        <w:t>rundlagsförändringar eller inte bör frågan utredas. Dessutom kommer grundlagsutredningen att hamna i tidsnöd om den skall utreda dessa grun</w:t>
      </w:r>
      <w:r w:rsidR="00CC2DF6" w:rsidRPr="00640D9F">
        <w:t>d</w:t>
      </w:r>
      <w:r w:rsidR="00CC2DF6" w:rsidRPr="00640D9F">
        <w:t>lagsfrågor efter det att Ansvarskommittén lämnat sitt slutbetänkande. Riksd</w:t>
      </w:r>
      <w:r w:rsidR="00CC2DF6" w:rsidRPr="00640D9F">
        <w:t>a</w:t>
      </w:r>
      <w:r w:rsidR="00CC2DF6" w:rsidRPr="00640D9F">
        <w:t>gen bör redan nu ge ett tillkännagivande om tilläggsdirektiv</w:t>
      </w:r>
      <w:r w:rsidRPr="00640D9F">
        <w:t xml:space="preserve"> till G</w:t>
      </w:r>
      <w:r w:rsidR="00E82A7F" w:rsidRPr="00640D9F">
        <w:t>rundlagsu</w:t>
      </w:r>
      <w:r w:rsidR="00E82A7F" w:rsidRPr="00640D9F">
        <w:t>t</w:t>
      </w:r>
      <w:r w:rsidR="00E82A7F" w:rsidRPr="00640D9F">
        <w:t xml:space="preserve">redningen </w:t>
      </w:r>
      <w:r w:rsidR="00CC2DF6" w:rsidRPr="00640D9F">
        <w:t>i enlighet med vad som i motionen anförs om grundlagsfäst ko</w:t>
      </w:r>
      <w:r w:rsidR="00CC2DF6" w:rsidRPr="00640D9F">
        <w:t>m</w:t>
      </w:r>
      <w:r w:rsidR="00CC2DF6" w:rsidRPr="00640D9F">
        <w:t>munal kompetens.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C646B3" w:rsidRPr="00640D9F">
        <w:tblPrEx>
          <w:tblCellMar>
            <w:top w:w="0" w:type="dxa"/>
            <w:bottom w:w="0" w:type="dxa"/>
          </w:tblCellMar>
        </w:tblPrEx>
        <w:trPr>
          <w:cantSplit/>
        </w:trPr>
        <w:tc>
          <w:tcPr>
            <w:tcW w:w="3046" w:type="dxa"/>
          </w:tcPr>
          <w:p w:rsidR="00C646B3" w:rsidRPr="00640D9F" w:rsidRDefault="00C646B3" w:rsidP="00C646B3">
            <w:pPr>
              <w:pStyle w:val="UnderskriftDatum"/>
              <w:spacing w:before="240"/>
            </w:pPr>
            <w:r w:rsidRPr="00640D9F">
              <w:t>Stockholm den 4 oktober 2005</w:t>
            </w:r>
          </w:p>
        </w:tc>
        <w:tc>
          <w:tcPr>
            <w:tcW w:w="3047" w:type="dxa"/>
          </w:tcPr>
          <w:p w:rsidR="00C646B3" w:rsidRPr="00640D9F" w:rsidRDefault="00C646B3" w:rsidP="00C646B3">
            <w:pPr>
              <w:pStyle w:val="Underskrifter"/>
              <w:spacing w:before="240"/>
            </w:pPr>
          </w:p>
        </w:tc>
      </w:tr>
      <w:tr w:rsidR="00C646B3" w:rsidRPr="00640D9F">
        <w:tblPrEx>
          <w:tblCellMar>
            <w:top w:w="0" w:type="dxa"/>
            <w:bottom w:w="0" w:type="dxa"/>
          </w:tblCellMar>
        </w:tblPrEx>
        <w:trPr>
          <w:cantSplit/>
        </w:trPr>
        <w:tc>
          <w:tcPr>
            <w:tcW w:w="3046" w:type="dxa"/>
          </w:tcPr>
          <w:p w:rsidR="00C646B3" w:rsidRPr="00640D9F" w:rsidRDefault="00C646B3" w:rsidP="00C646B3">
            <w:pPr>
              <w:pStyle w:val="Underskrifter"/>
            </w:pPr>
            <w:r w:rsidRPr="00640D9F">
              <w:t>Ingvar Svensson (kd)</w:t>
            </w:r>
          </w:p>
        </w:tc>
        <w:tc>
          <w:tcPr>
            <w:tcW w:w="3047" w:type="dxa"/>
          </w:tcPr>
          <w:p w:rsidR="00C646B3" w:rsidRPr="00640D9F" w:rsidRDefault="00C646B3" w:rsidP="00C646B3">
            <w:pPr>
              <w:pStyle w:val="Underskrifter"/>
            </w:pPr>
          </w:p>
        </w:tc>
      </w:tr>
      <w:tr w:rsidR="00C646B3" w:rsidRPr="00640D9F">
        <w:tblPrEx>
          <w:tblCellMar>
            <w:top w:w="0" w:type="dxa"/>
            <w:bottom w:w="0" w:type="dxa"/>
          </w:tblCellMar>
        </w:tblPrEx>
        <w:trPr>
          <w:cantSplit/>
        </w:trPr>
        <w:tc>
          <w:tcPr>
            <w:tcW w:w="3046" w:type="dxa"/>
          </w:tcPr>
          <w:p w:rsidR="00C646B3" w:rsidRPr="00640D9F" w:rsidRDefault="00C646B3" w:rsidP="00C646B3">
            <w:pPr>
              <w:pStyle w:val="Underskrifter"/>
            </w:pPr>
            <w:r w:rsidRPr="00640D9F">
              <w:t>Helena Höij (kd)</w:t>
            </w:r>
          </w:p>
        </w:tc>
        <w:tc>
          <w:tcPr>
            <w:tcW w:w="3047" w:type="dxa"/>
          </w:tcPr>
          <w:p w:rsidR="00C646B3" w:rsidRPr="00640D9F" w:rsidRDefault="00C646B3" w:rsidP="00C646B3">
            <w:pPr>
              <w:pStyle w:val="Underskrifter"/>
            </w:pPr>
            <w:r w:rsidRPr="00640D9F">
              <w:t>Peter Althin (kd)</w:t>
            </w:r>
          </w:p>
        </w:tc>
      </w:tr>
      <w:tr w:rsidR="00C646B3" w:rsidRPr="00640D9F">
        <w:tblPrEx>
          <w:tblCellMar>
            <w:top w:w="0" w:type="dxa"/>
            <w:bottom w:w="0" w:type="dxa"/>
          </w:tblCellMar>
        </w:tblPrEx>
        <w:trPr>
          <w:cantSplit/>
        </w:trPr>
        <w:tc>
          <w:tcPr>
            <w:tcW w:w="3046" w:type="dxa"/>
          </w:tcPr>
          <w:p w:rsidR="00C646B3" w:rsidRPr="00640D9F" w:rsidRDefault="00C646B3" w:rsidP="00C646B3">
            <w:pPr>
              <w:pStyle w:val="Underskrifter"/>
            </w:pPr>
            <w:r w:rsidRPr="00640D9F">
              <w:t>Olle Sandahl (kd)</w:t>
            </w:r>
          </w:p>
        </w:tc>
        <w:tc>
          <w:tcPr>
            <w:tcW w:w="3047" w:type="dxa"/>
          </w:tcPr>
          <w:p w:rsidR="00C646B3" w:rsidRPr="00640D9F" w:rsidRDefault="00C646B3" w:rsidP="00C646B3">
            <w:pPr>
              <w:pStyle w:val="Underskrifter"/>
            </w:pPr>
            <w:r w:rsidRPr="00640D9F">
              <w:t>Yvonne Andersson (kd)</w:t>
            </w:r>
          </w:p>
        </w:tc>
      </w:tr>
      <w:tr w:rsidR="00C646B3" w:rsidRPr="00640D9F">
        <w:tblPrEx>
          <w:tblCellMar>
            <w:top w:w="0" w:type="dxa"/>
            <w:bottom w:w="0" w:type="dxa"/>
          </w:tblCellMar>
        </w:tblPrEx>
        <w:trPr>
          <w:cantSplit/>
        </w:trPr>
        <w:tc>
          <w:tcPr>
            <w:tcW w:w="3046" w:type="dxa"/>
          </w:tcPr>
          <w:p w:rsidR="00C646B3" w:rsidRPr="00640D9F" w:rsidRDefault="00C646B3" w:rsidP="00C646B3">
            <w:pPr>
              <w:pStyle w:val="Underskrifter"/>
            </w:pPr>
            <w:r w:rsidRPr="00640D9F">
              <w:t>Ingemar Vänerlöv (kd)</w:t>
            </w:r>
          </w:p>
        </w:tc>
        <w:tc>
          <w:tcPr>
            <w:tcW w:w="3047" w:type="dxa"/>
          </w:tcPr>
          <w:p w:rsidR="00C646B3" w:rsidRPr="00640D9F" w:rsidRDefault="00C646B3" w:rsidP="00C646B3">
            <w:pPr>
              <w:pStyle w:val="Underskrifter"/>
            </w:pPr>
            <w:r w:rsidRPr="00640D9F">
              <w:t>Tuve Skånberg (kd)</w:t>
            </w:r>
          </w:p>
        </w:tc>
      </w:tr>
    </w:tbl>
    <w:p w:rsidR="00E84F25" w:rsidRPr="00640D9F" w:rsidRDefault="00E84F25" w:rsidP="00C646B3">
      <w:pPr>
        <w:pStyle w:val="Normaltindrag"/>
      </w:pPr>
    </w:p>
    <w:sectPr w:rsidR="00E84F25" w:rsidRPr="00640D9F" w:rsidSect="00C646B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C53DA" w:rsidRPr="00640D9F" w:rsidRDefault="000C53DA">
      <w:r w:rsidRPr="00640D9F">
        <w:separator/>
      </w:r>
    </w:p>
  </w:endnote>
  <w:endnote w:type="continuationSeparator" w:id="0">
    <w:p w:rsidR="000C53DA" w:rsidRPr="00640D9F" w:rsidRDefault="000C53DA">
      <w:r w:rsidRPr="00640D9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2A2" w:rsidRPr="00640D9F" w:rsidRDefault="00640D9F" w:rsidP="00C646B3">
    <w:pPr>
      <w:pStyle w:val="Sidfot"/>
    </w:pPr>
    <w:r w:rsidRPr="00640D9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889664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2A2" w:rsidRDefault="001162A2">
                          <w:pPr>
                            <w:pStyle w:val="NormalS5sidnrV"/>
                          </w:pPr>
                          <w:r>
                            <w:fldChar w:fldCharType="begin"/>
                          </w:r>
                          <w:r>
                            <w:instrText xml:space="preserve"> PAGE *\charformat</w:instrText>
                          </w:r>
                          <w:r>
                            <w:fldChar w:fldCharType="separate"/>
                          </w:r>
                          <w:r w:rsidR="005B00E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62A2" w:rsidRDefault="001162A2">
                    <w:pPr>
                      <w:pStyle w:val="NormalS5sidnrV"/>
                    </w:pPr>
                    <w:r>
                      <w:fldChar w:fldCharType="begin"/>
                    </w:r>
                    <w:r>
                      <w:instrText xml:space="preserve"> PAGE *\charformat</w:instrText>
                    </w:r>
                    <w:r>
                      <w:fldChar w:fldCharType="separate"/>
                    </w:r>
                    <w:r w:rsidR="005B00E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2A2" w:rsidRPr="00640D9F" w:rsidRDefault="00640D9F" w:rsidP="00C646B3">
    <w:pPr>
      <w:pStyle w:val="Sidfot"/>
    </w:pPr>
    <w:r w:rsidRPr="00640D9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199077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2A2" w:rsidRDefault="001162A2">
                          <w:pPr>
                            <w:pStyle w:val="NormalS5sidnrH"/>
                            <w:ind w:right="0"/>
                          </w:pPr>
                          <w:r>
                            <w:fldChar w:fldCharType="begin"/>
                          </w:r>
                          <w:r>
                            <w:instrText xml:space="preserve"> PAGE *\charformat</w:instrText>
                          </w:r>
                          <w:r>
                            <w:fldChar w:fldCharType="separate"/>
                          </w:r>
                          <w:r w:rsidR="005B00E0">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62A2" w:rsidRDefault="001162A2">
                    <w:pPr>
                      <w:pStyle w:val="NormalS5sidnrH"/>
                      <w:ind w:right="0"/>
                    </w:pPr>
                    <w:r>
                      <w:fldChar w:fldCharType="begin"/>
                    </w:r>
                    <w:r>
                      <w:instrText xml:space="preserve"> PAGE *\charformat</w:instrText>
                    </w:r>
                    <w:r>
                      <w:fldChar w:fldCharType="separate"/>
                    </w:r>
                    <w:r w:rsidR="005B00E0">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2A2" w:rsidRPr="00640D9F" w:rsidRDefault="00640D9F" w:rsidP="00C646B3">
    <w:pPr>
      <w:pStyle w:val="Sidfot"/>
    </w:pPr>
    <w:r w:rsidRPr="00640D9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29829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2A2" w:rsidRDefault="001162A2">
                          <w:pPr>
                            <w:pStyle w:val="NormalS5sidnrH"/>
                            <w:ind w:right="0"/>
                          </w:pPr>
                          <w:r>
                            <w:fldChar w:fldCharType="begin"/>
                          </w:r>
                          <w:r>
                            <w:instrText xml:space="preserve"> PAGE *\charformat</w:instrText>
                          </w:r>
                          <w:r>
                            <w:fldChar w:fldCharType="separate"/>
                          </w:r>
                          <w:r w:rsidR="005B00E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62A2" w:rsidRDefault="001162A2">
                    <w:pPr>
                      <w:pStyle w:val="NormalS5sidnrH"/>
                      <w:ind w:right="0"/>
                    </w:pPr>
                    <w:r>
                      <w:fldChar w:fldCharType="begin"/>
                    </w:r>
                    <w:r>
                      <w:instrText xml:space="preserve"> PAGE *\charformat</w:instrText>
                    </w:r>
                    <w:r>
                      <w:fldChar w:fldCharType="separate"/>
                    </w:r>
                    <w:r w:rsidR="005B00E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C53DA" w:rsidRPr="00640D9F" w:rsidRDefault="000C53DA">
      <w:r w:rsidRPr="00640D9F">
        <w:separator/>
      </w:r>
    </w:p>
  </w:footnote>
  <w:footnote w:type="continuationSeparator" w:id="0">
    <w:p w:rsidR="000C53DA" w:rsidRPr="00640D9F" w:rsidRDefault="000C53DA">
      <w:r w:rsidRPr="00640D9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2A2" w:rsidRPr="00640D9F" w:rsidRDefault="00640D9F" w:rsidP="00C646B3">
    <w:pPr>
      <w:pStyle w:val="Sidhuvud"/>
    </w:pPr>
    <w:r w:rsidRPr="00640D9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981401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2A2" w:rsidRDefault="001162A2">
                          <w:pPr>
                            <w:pStyle w:val="KantRubrikS5V"/>
                          </w:pPr>
                          <w:r>
                            <w:fldChar w:fldCharType="begin"/>
                          </w:r>
                          <w:r>
                            <w:instrText xml:space="preserve"> DOCPROPERTY "YearUser" *\charformat </w:instrText>
                          </w:r>
                          <w:r>
                            <w:fldChar w:fldCharType="separate"/>
                          </w:r>
                          <w:r w:rsidR="005B00E0">
                            <w:t>2005/06</w:t>
                          </w:r>
                          <w:r>
                            <w:fldChar w:fldCharType="end"/>
                          </w:r>
                          <w:r>
                            <w:t>:</w:t>
                          </w:r>
                          <w:r>
                            <w:fldChar w:fldCharType="begin"/>
                          </w:r>
                          <w:r>
                            <w:instrText xml:space="preserve"> DOCPROPERTY "Motionsnummer" *\charformat </w:instrText>
                          </w:r>
                          <w:r>
                            <w:fldChar w:fldCharType="separate"/>
                          </w:r>
                          <w:r w:rsidR="005B00E0">
                            <w:t>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62A2" w:rsidRDefault="001162A2">
                    <w:pPr>
                      <w:pStyle w:val="KantRubrikS5V"/>
                    </w:pPr>
                    <w:r>
                      <w:fldChar w:fldCharType="begin"/>
                    </w:r>
                    <w:r>
                      <w:instrText xml:space="preserve"> DOCPROPERTY "YearUser" *\charformat </w:instrText>
                    </w:r>
                    <w:r>
                      <w:fldChar w:fldCharType="separate"/>
                    </w:r>
                    <w:r w:rsidR="005B00E0">
                      <w:t>2005/06</w:t>
                    </w:r>
                    <w:r>
                      <w:fldChar w:fldCharType="end"/>
                    </w:r>
                    <w:r>
                      <w:t>:</w:t>
                    </w:r>
                    <w:r>
                      <w:fldChar w:fldCharType="begin"/>
                    </w:r>
                    <w:r>
                      <w:instrText xml:space="preserve"> DOCPROPERTY "Motionsnummer" *\charformat </w:instrText>
                    </w:r>
                    <w:r>
                      <w:fldChar w:fldCharType="separate"/>
                    </w:r>
                    <w:r w:rsidR="005B00E0">
                      <w:t>K390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2A2" w:rsidRPr="00640D9F" w:rsidRDefault="00640D9F" w:rsidP="00C646B3">
    <w:pPr>
      <w:pStyle w:val="Sidhuvud"/>
    </w:pPr>
    <w:r w:rsidRPr="00640D9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99191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62A2" w:rsidRDefault="001162A2">
                          <w:pPr>
                            <w:pStyle w:val="KantRubrikS5H"/>
                            <w:ind w:right="0"/>
                          </w:pPr>
                          <w:r>
                            <w:fldChar w:fldCharType="begin"/>
                          </w:r>
                          <w:r>
                            <w:instrText xml:space="preserve"> DOCPROPERTY "YearUser" *\charformat </w:instrText>
                          </w:r>
                          <w:r>
                            <w:fldChar w:fldCharType="separate"/>
                          </w:r>
                          <w:r w:rsidR="005B00E0">
                            <w:t>2005/06</w:t>
                          </w:r>
                          <w:r>
                            <w:fldChar w:fldCharType="end"/>
                          </w:r>
                          <w:r>
                            <w:t>:</w:t>
                          </w:r>
                          <w:r>
                            <w:fldChar w:fldCharType="begin"/>
                          </w:r>
                          <w:r>
                            <w:instrText xml:space="preserve"> DOCPROPERTY "Motionsnummer" *\charformat </w:instrText>
                          </w:r>
                          <w:r>
                            <w:fldChar w:fldCharType="separate"/>
                          </w:r>
                          <w:r w:rsidR="005B00E0">
                            <w:t>K390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62A2" w:rsidRDefault="001162A2">
                    <w:pPr>
                      <w:pStyle w:val="KantRubrikS5H"/>
                      <w:ind w:right="0"/>
                    </w:pPr>
                    <w:r>
                      <w:fldChar w:fldCharType="begin"/>
                    </w:r>
                    <w:r>
                      <w:instrText xml:space="preserve"> DOCPROPERTY "YearUser" *\charformat </w:instrText>
                    </w:r>
                    <w:r>
                      <w:fldChar w:fldCharType="separate"/>
                    </w:r>
                    <w:r w:rsidR="005B00E0">
                      <w:t>2005/06</w:t>
                    </w:r>
                    <w:r>
                      <w:fldChar w:fldCharType="end"/>
                    </w:r>
                    <w:r>
                      <w:t>:</w:t>
                    </w:r>
                    <w:r>
                      <w:fldChar w:fldCharType="begin"/>
                    </w:r>
                    <w:r>
                      <w:instrText xml:space="preserve"> DOCPROPERTY "Motionsnummer" *\charformat </w:instrText>
                    </w:r>
                    <w:r>
                      <w:fldChar w:fldCharType="separate"/>
                    </w:r>
                    <w:r w:rsidR="005B00E0">
                      <w:t>K390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62A2" w:rsidRPr="00640D9F" w:rsidRDefault="001162A2">
    <w:pPr>
      <w:pStyle w:val="FSHNormal"/>
      <w:tabs>
        <w:tab w:val="right" w:pos="5840"/>
      </w:tabs>
    </w:pPr>
    <w:r w:rsidRPr="00640D9F">
      <w:br/>
    </w:r>
    <w:r w:rsidRPr="00640D9F">
      <w:fldChar w:fldCharType="begin" w:fldLock="1"/>
    </w:r>
    <w:r w:rsidRPr="00640D9F">
      <w:instrText xml:space="preserve"> DOCPROPERTY</w:instrText>
    </w:r>
    <w:r w:rsidRPr="00640D9F">
      <w:rPr>
        <w:sz w:val="18"/>
      </w:rPr>
      <w:instrText xml:space="preserve"> "YearUser" *\charformat </w:instrText>
    </w:r>
    <w:r w:rsidRPr="00640D9F">
      <w:fldChar w:fldCharType="separate"/>
    </w:r>
    <w:r w:rsidR="005B00E0" w:rsidRPr="00640D9F">
      <w:t>2005/06</w:t>
    </w:r>
    <w:r w:rsidRPr="00640D9F">
      <w:fldChar w:fldCharType="end"/>
    </w:r>
    <w:r w:rsidRPr="00640D9F">
      <w:t xml:space="preserve"> </w:t>
    </w:r>
    <w:r w:rsidRPr="00640D9F">
      <w:tab/>
      <w:t xml:space="preserve">mnr: </w:t>
    </w:r>
    <w:r w:rsidRPr="00640D9F">
      <w:fldChar w:fldCharType="begin" w:fldLock="1"/>
    </w:r>
    <w:r w:rsidRPr="00640D9F">
      <w:instrText xml:space="preserve"> DOCPROPERTY</w:instrText>
    </w:r>
    <w:r w:rsidRPr="00640D9F">
      <w:rPr>
        <w:sz w:val="18"/>
      </w:rPr>
      <w:instrText xml:space="preserve"> "Motionsnummer" *\charformat </w:instrText>
    </w:r>
    <w:r w:rsidRPr="00640D9F">
      <w:fldChar w:fldCharType="separate"/>
    </w:r>
    <w:r w:rsidR="005B00E0" w:rsidRPr="00640D9F">
      <w:t>K390</w:t>
    </w:r>
    <w:r w:rsidRPr="00640D9F">
      <w:fldChar w:fldCharType="end"/>
    </w:r>
    <w:r w:rsidRPr="00640D9F">
      <w:br/>
    </w:r>
    <w:r w:rsidRPr="00640D9F">
      <w:fldChar w:fldCharType="begin" w:fldLock="1"/>
    </w:r>
    <w:r w:rsidRPr="00640D9F">
      <w:instrText xml:space="preserve"> DOCPROPERTY</w:instrText>
    </w:r>
    <w:r w:rsidRPr="00640D9F">
      <w:rPr>
        <w:sz w:val="18"/>
      </w:rPr>
      <w:instrText xml:space="preserve"> "Samling" *\charformat </w:instrText>
    </w:r>
    <w:r w:rsidRPr="00640D9F">
      <w:fldChar w:fldCharType="end"/>
    </w:r>
    <w:r w:rsidRPr="00640D9F">
      <w:tab/>
      <w:t xml:space="preserve">pnr: </w:t>
    </w:r>
    <w:r w:rsidRPr="00640D9F">
      <w:fldChar w:fldCharType="begin" w:fldLock="1"/>
    </w:r>
    <w:r w:rsidRPr="00640D9F">
      <w:instrText xml:space="preserve"> DOCPROPERTY</w:instrText>
    </w:r>
    <w:r w:rsidRPr="00640D9F">
      <w:rPr>
        <w:sz w:val="18"/>
      </w:rPr>
      <w:instrText xml:space="preserve"> "Partinummer" *\charformat </w:instrText>
    </w:r>
    <w:r w:rsidRPr="00640D9F">
      <w:fldChar w:fldCharType="separate"/>
    </w:r>
    <w:r w:rsidR="005B00E0" w:rsidRPr="00640D9F">
      <w:t>kd429</w:t>
    </w:r>
    <w:r w:rsidRPr="00640D9F">
      <w:fldChar w:fldCharType="end"/>
    </w:r>
  </w:p>
  <w:p w:rsidR="001162A2" w:rsidRPr="00640D9F" w:rsidRDefault="001162A2">
    <w:pPr>
      <w:pStyle w:val="FSHRub1"/>
    </w:pPr>
    <w:r w:rsidRPr="00640D9F">
      <w:t>Motion till riksdagen</w:t>
    </w:r>
    <w:r w:rsidRPr="00640D9F">
      <w:br/>
    </w:r>
    <w:r w:rsidRPr="00640D9F">
      <w:fldChar w:fldCharType="begin" w:fldLock="1"/>
    </w:r>
    <w:r w:rsidRPr="00640D9F">
      <w:instrText xml:space="preserve"> DOCPROPERTY "YearUser" *\charformat </w:instrText>
    </w:r>
    <w:r w:rsidRPr="00640D9F">
      <w:fldChar w:fldCharType="separate"/>
    </w:r>
    <w:r w:rsidR="005B00E0" w:rsidRPr="00640D9F">
      <w:t>2005/06</w:t>
    </w:r>
    <w:r w:rsidRPr="00640D9F">
      <w:fldChar w:fldCharType="end"/>
    </w:r>
    <w:r w:rsidRPr="00640D9F">
      <w:t>:</w:t>
    </w:r>
    <w:r w:rsidRPr="00640D9F">
      <w:fldChar w:fldCharType="begin" w:fldLock="1"/>
    </w:r>
    <w:r w:rsidRPr="00640D9F">
      <w:instrText xml:space="preserve"> DOCPROPERTY "Motionsnummer" *\charformat </w:instrText>
    </w:r>
    <w:r w:rsidRPr="00640D9F">
      <w:fldChar w:fldCharType="separate"/>
    </w:r>
    <w:r w:rsidR="005B00E0" w:rsidRPr="00640D9F">
      <w:t>K390</w:t>
    </w:r>
    <w:r w:rsidRPr="00640D9F">
      <w:fldChar w:fldCharType="end"/>
    </w:r>
  </w:p>
  <w:p w:rsidR="001162A2" w:rsidRPr="00640D9F" w:rsidRDefault="001162A2">
    <w:pPr>
      <w:pStyle w:val="FSHNormalS5"/>
    </w:pPr>
    <w:r w:rsidRPr="00640D9F">
      <w:fldChar w:fldCharType="begin" w:fldLock="1"/>
    </w:r>
    <w:r w:rsidRPr="00640D9F">
      <w:instrText xml:space="preserve"> DOCPROPERTY "MotionarText" *\charformat </w:instrText>
    </w:r>
    <w:r w:rsidRPr="00640D9F">
      <w:fldChar w:fldCharType="separate"/>
    </w:r>
    <w:r w:rsidR="005B00E0" w:rsidRPr="00640D9F">
      <w:t>av Ingvar Svensson m.fl. (kd)</w:t>
    </w:r>
    <w:r w:rsidRPr="00640D9F">
      <w:fldChar w:fldCharType="end"/>
    </w:r>
    <w:r w:rsidRPr="00640D9F">
      <w:br/>
    </w:r>
    <w:r w:rsidRPr="00640D9F">
      <w:fldChar w:fldCharType="begin" w:fldLock="1"/>
    </w:r>
    <w:r w:rsidRPr="00640D9F">
      <w:instrText xml:space="preserve"> DOCPROPERTY "SvarFrasKort" *\charformat </w:instrText>
    </w:r>
    <w:r w:rsidRPr="00640D9F">
      <w:fldChar w:fldCharType="end"/>
    </w:r>
  </w:p>
  <w:p w:rsidR="001162A2" w:rsidRPr="00640D9F" w:rsidRDefault="001162A2">
    <w:pPr>
      <w:pStyle w:val="FSHTitel"/>
    </w:pPr>
    <w:r w:rsidRPr="00640D9F">
      <w:fldChar w:fldCharType="begin" w:fldLock="1"/>
    </w:r>
    <w:r w:rsidRPr="00640D9F">
      <w:instrText xml:space="preserve"> DOCPROPERTY</w:instrText>
    </w:r>
    <w:r w:rsidRPr="00640D9F">
      <w:rPr>
        <w:sz w:val="18"/>
      </w:rPr>
      <w:instrText xml:space="preserve"> "RubrikSvar" *\charformat </w:instrText>
    </w:r>
    <w:r w:rsidRPr="00640D9F">
      <w:fldChar w:fldCharType="separate"/>
    </w:r>
    <w:r w:rsidR="005B00E0" w:rsidRPr="00640D9F">
      <w:t>Grundlagsfäst kommunal kompetens och andra grundlagsfrågor</w:t>
    </w:r>
    <w:r w:rsidRPr="00640D9F">
      <w:fldChar w:fldCharType="end"/>
    </w:r>
  </w:p>
  <w:p w:rsidR="001162A2" w:rsidRPr="00640D9F" w:rsidRDefault="001162A2" w:rsidP="00C646B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31FC4254"/>
    <w:multiLevelType w:val="hybridMultilevel"/>
    <w:tmpl w:val="A6C8F028"/>
    <w:lvl w:ilvl="0" w:tplc="1BD8874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191265712">
    <w:abstractNumId w:val="14"/>
  </w:num>
  <w:num w:numId="2" w16cid:durableId="1082218856">
    <w:abstractNumId w:val="10"/>
  </w:num>
  <w:num w:numId="3" w16cid:durableId="718894844">
    <w:abstractNumId w:val="11"/>
  </w:num>
  <w:num w:numId="4" w16cid:durableId="1905870489">
    <w:abstractNumId w:val="13"/>
  </w:num>
  <w:num w:numId="5" w16cid:durableId="554393291">
    <w:abstractNumId w:val="8"/>
  </w:num>
  <w:num w:numId="6" w16cid:durableId="1400446141">
    <w:abstractNumId w:val="3"/>
  </w:num>
  <w:num w:numId="7" w16cid:durableId="901676835">
    <w:abstractNumId w:val="2"/>
  </w:num>
  <w:num w:numId="8" w16cid:durableId="896892477">
    <w:abstractNumId w:val="1"/>
  </w:num>
  <w:num w:numId="9" w16cid:durableId="948196192">
    <w:abstractNumId w:val="0"/>
  </w:num>
  <w:num w:numId="10" w16cid:durableId="1049888602">
    <w:abstractNumId w:val="9"/>
  </w:num>
  <w:num w:numId="11" w16cid:durableId="958142059">
    <w:abstractNumId w:val="7"/>
  </w:num>
  <w:num w:numId="12" w16cid:durableId="733892815">
    <w:abstractNumId w:val="6"/>
  </w:num>
  <w:num w:numId="13" w16cid:durableId="1290741352">
    <w:abstractNumId w:val="5"/>
  </w:num>
  <w:num w:numId="14" w16cid:durableId="386223773">
    <w:abstractNumId w:val="4"/>
  </w:num>
  <w:num w:numId="15" w16cid:durableId="679041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7"/>
  </w:docVars>
  <w:rsids>
    <w:rsidRoot w:val="00CA22A9"/>
    <w:rsid w:val="0004381F"/>
    <w:rsid w:val="0005722B"/>
    <w:rsid w:val="00064BC3"/>
    <w:rsid w:val="00066775"/>
    <w:rsid w:val="00072FB9"/>
    <w:rsid w:val="000C53DA"/>
    <w:rsid w:val="00100531"/>
    <w:rsid w:val="00104E2A"/>
    <w:rsid w:val="001162A2"/>
    <w:rsid w:val="00201DFB"/>
    <w:rsid w:val="00204A63"/>
    <w:rsid w:val="00212FF1"/>
    <w:rsid w:val="00230193"/>
    <w:rsid w:val="0025068A"/>
    <w:rsid w:val="002818D3"/>
    <w:rsid w:val="002D11A8"/>
    <w:rsid w:val="004404C5"/>
    <w:rsid w:val="00445271"/>
    <w:rsid w:val="004A0504"/>
    <w:rsid w:val="004E17E4"/>
    <w:rsid w:val="004E38D9"/>
    <w:rsid w:val="005B00E0"/>
    <w:rsid w:val="005B145B"/>
    <w:rsid w:val="00640D9F"/>
    <w:rsid w:val="006B1E9B"/>
    <w:rsid w:val="00740D6D"/>
    <w:rsid w:val="00750048"/>
    <w:rsid w:val="00794149"/>
    <w:rsid w:val="007B67A7"/>
    <w:rsid w:val="007C6092"/>
    <w:rsid w:val="0096159C"/>
    <w:rsid w:val="009A3F49"/>
    <w:rsid w:val="00A053C6"/>
    <w:rsid w:val="00A45875"/>
    <w:rsid w:val="00A66B53"/>
    <w:rsid w:val="00AF6733"/>
    <w:rsid w:val="00B13BF0"/>
    <w:rsid w:val="00C1285C"/>
    <w:rsid w:val="00C27B7D"/>
    <w:rsid w:val="00C646B3"/>
    <w:rsid w:val="00CA22A9"/>
    <w:rsid w:val="00CC2DF6"/>
    <w:rsid w:val="00CF7A43"/>
    <w:rsid w:val="00D1174F"/>
    <w:rsid w:val="00DA09E8"/>
    <w:rsid w:val="00DB2EFD"/>
    <w:rsid w:val="00DC6C70"/>
    <w:rsid w:val="00E22893"/>
    <w:rsid w:val="00E360DE"/>
    <w:rsid w:val="00E75D28"/>
    <w:rsid w:val="00E82A7F"/>
    <w:rsid w:val="00E84F25"/>
    <w:rsid w:val="00F325AF"/>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EAAFF22-B784-440A-96E0-96E3D6F2A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04E2A"/>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96159C"/>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2935</Words>
  <Characters>18229</Characters>
  <Application>Microsoft Office Word</Application>
  <DocSecurity>4</DocSecurity>
  <Lines>331</Lines>
  <Paragraphs>90</Paragraphs>
  <ScaleCrop>false</ScaleCrop>
  <HeadingPairs>
    <vt:vector size="2" baseType="variant">
      <vt:variant>
        <vt:lpstr>Rubrik</vt:lpstr>
      </vt:variant>
      <vt:variant>
        <vt:i4>1</vt:i4>
      </vt:variant>
    </vt:vector>
  </HeadingPairs>
  <TitlesOfParts>
    <vt:vector size="1" baseType="lpstr">
      <vt:lpstr>K390</vt:lpstr>
    </vt:vector>
  </TitlesOfParts>
  <Company>Riksdagen</Company>
  <LinksUpToDate>false</LinksUpToDate>
  <CharactersWithSpaces>21074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K390</dc:title>
  <dc:subject>K390</dc:subject>
  <dc:creator>Riksdagen</dc:creator>
  <cp:keywords>Riksdagen</cp:keywords>
  <dc:description/>
  <cp:lastModifiedBy>Lars Brink</cp:lastModifiedBy>
  <cp:revision>2</cp:revision>
  <cp:lastPrinted>2006-01-16T14:59:00Z</cp:lastPrinted>
  <dcterms:created xsi:type="dcterms:W3CDTF">2025-12-16T19:40:00Z</dcterms:created>
  <dcterms:modified xsi:type="dcterms:W3CDTF">2025-12-16T19:40:00Z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mot2000_423_2005-10-17</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TF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Grundlagsfäst kommunal kompetens och andra grundlagsfrågor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Grundlagsfäst kommunal kompetens och andra grundlagsfrågor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kd429</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Ingvar Svensson m.fl. (kd)</vt:lpwstr>
  </property>
  <property fmtid="{D5CDD505-2E9C-101B-9397-08002B2CF9AE}" pid="26" name="MotionarLista">
    <vt:lpwstr>Svensson, Ingvar (kd)\Höij, Helena (kd)\Althin, Peter (kd)\Sandahl, Olle (kd)\Andersson, Yvonne (kd)\Vänerlöv, Ingemar (kd)\Skånberg, Tuve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Ingvar Svensson (kd), Helena Höij (kd), Peter Althin (kd), Olle Sandahl (kd), Yvonne Andersson (kd), Ingemar Vänerlöv (kd), Tuve Skånberg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K390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tove.fridman@riksdagen.se</vt:lpwstr>
  </property>
  <property fmtid="{D5CDD505-2E9C-101B-9397-08002B2CF9AE}" pid="45" name="ReservUID">
    <vt:lpwstr>birgitta lundblad</vt:lpwstr>
  </property>
  <property fmtid="{D5CDD505-2E9C-101B-9397-08002B2CF9AE}" pid="46" name="MotionID">
    <vt:lpwstr>20052006000001070100000004290075</vt:lpwstr>
  </property>
  <property fmtid="{D5CDD505-2E9C-101B-9397-08002B2CF9AE}" pid="47" name="datum">
    <vt:lpwstr>051004</vt:lpwstr>
  </property>
  <property fmtid="{D5CDD505-2E9C-101B-9397-08002B2CF9AE}" pid="48" name="avsändar-e-post">
    <vt:lpwstr>tove.fridman@riksdagen.se</vt:lpwstr>
  </property>
  <property fmtid="{D5CDD505-2E9C-101B-9397-08002B2CF9AE}" pid="49" name="id">
    <vt:lpwstr>20052006000001070100000004290075</vt:lpwstr>
  </property>
  <property fmtid="{D5CDD505-2E9C-101B-9397-08002B2CF9AE}" pid="50" name="nummer">
    <vt:lpwstr>390</vt:lpwstr>
  </property>
  <property fmtid="{D5CDD505-2E9C-101B-9397-08002B2CF9AE}" pid="51" name="utskottsbeteckning">
    <vt:lpwstr>K</vt:lpwstr>
  </property>
</Properties>
</file>