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650A" w:rsidR="00CC650A" w:rsidP="00CC650A" w:rsidRDefault="00CC650A" w14:paraId="5CE0011E" w14:textId="262DD273">
      <w:pPr>
        <w:pStyle w:val="Rubrik1"/>
      </w:pPr>
      <w:r w:rsidRPr="00CC650A">
        <w:t>Sammanfattning</w:t>
      </w:r>
    </w:p>
    <w:p w:rsidR="009A6E2E" w:rsidP="005649CC" w:rsidRDefault="00972861" w14:paraId="1455A0B1" w14:textId="632DC8BF">
      <w:pPr>
        <w:pStyle w:val="Normalutanindragellerluft"/>
      </w:pPr>
      <w:r w:rsidRPr="005649CC">
        <w:t>Att motverka skatteflykt och aggressiv skatteplanering är centralt. Skatteverket bör få ett särskilt uppdrag att stärka arbetet med att bekämpa skattefusk och anpassa sig till delningsekonomins framväxt. Vi ökar därför anslaget till myndigheten med totalt 40 miljoner kronor 2018. Tullverket står nu inför förändrade förutsättningar för sitt uppdrag. Tullverkets mångfacetterade verksamhet rymmer för samhället viktiga insatser varav gränsskyddet är det främsta. Inom ramen för uppdraget att upprätthålla gränsskyddet omfattas förutom kontroll av våra gränsövergångar även all administration kring handeln som ska flyta friktionsfritt så att konkurrensneutraliteten upprätthålls för vårt näringsliv. Sverige har en höjd säkerhetsnivå, och omvärldssituationen är förändrad och försämrad. Det ställs idag högre krav på Tullverket. Vi ökar därför anslaget till myndigheten med totalt 150 miljoner kronor 2018.</w:t>
      </w:r>
    </w:p>
    <w:sdt>
      <w:sdtPr>
        <w:alias w:val="CC_Boilerplate_4"/>
        <w:tag w:val="CC_Boilerplate_4"/>
        <w:id w:val="-1644581176"/>
        <w:lock w:val="sdtLocked"/>
        <w:placeholder>
          <w:docPart w:val="F9EA8CD9AD744513AE05D2BC90737CB9"/>
        </w:placeholder>
        <w15:appearance w15:val="hidden"/>
        <w:text/>
      </w:sdtPr>
      <w:sdtEndPr/>
      <w:sdtContent>
        <w:p w:rsidRPr="009B062B" w:rsidR="00AF30DD" w:rsidP="009B062B" w:rsidRDefault="00AF30DD" w14:paraId="1455A0B2" w14:textId="77777777">
          <w:pPr>
            <w:pStyle w:val="RubrikFrslagTIllRiksdagsbeslut"/>
          </w:pPr>
          <w:r w:rsidRPr="009B062B">
            <w:t>Förslag till riksdagsbeslut</w:t>
          </w:r>
        </w:p>
      </w:sdtContent>
    </w:sdt>
    <w:sdt>
      <w:sdtPr>
        <w:alias w:val="Yrkande 1"/>
        <w:tag w:val="47df2971-f964-4089-820e-1085819f0325"/>
        <w:id w:val="-52856060"/>
        <w:lock w:val="sdtLocked"/>
      </w:sdtPr>
      <w:sdtEndPr/>
      <w:sdtContent>
        <w:p w:rsidR="00220EB9" w:rsidRDefault="002C334E" w14:paraId="1455A0B3" w14:textId="77777777">
          <w:pPr>
            <w:pStyle w:val="Frslagstext"/>
          </w:pPr>
          <w:r>
            <w:t>Riksdagen anvisar anslagen för 2018 inom utgiftsområde 3 Skatt, tull och exekution enligt förslaget i tabell 1 i motionen.</w:t>
          </w:r>
        </w:p>
      </w:sdtContent>
    </w:sdt>
    <w:sdt>
      <w:sdtPr>
        <w:alias w:val="Yrkande 2"/>
        <w:tag w:val="ec04fb8c-c3a8-4ebb-8bbf-fe54d70904df"/>
        <w:id w:val="-1540509131"/>
        <w:lock w:val="sdtLocked"/>
      </w:sdtPr>
      <w:sdtEndPr/>
      <w:sdtContent>
        <w:p w:rsidR="00220EB9" w:rsidRDefault="002C334E" w14:paraId="1455A0B4" w14:textId="77777777">
          <w:pPr>
            <w:pStyle w:val="Frslagstext"/>
          </w:pPr>
          <w:r>
            <w:t>Riksdagen ställer sig bakom det som anförs i motionen om att ge Skatteverket ett särskilt uppdrag att stärka arbetet med att bekämpa skattefusk och tillkännager detta för regeringen.</w:t>
          </w:r>
        </w:p>
      </w:sdtContent>
    </w:sdt>
    <w:sdt>
      <w:sdtPr>
        <w:alias w:val="Yrkande 3"/>
        <w:tag w:val="12736843-5705-4fd8-bfda-d8b6567889d1"/>
        <w:id w:val="45112855"/>
        <w:lock w:val="sdtLocked"/>
      </w:sdtPr>
      <w:sdtEndPr/>
      <w:sdtContent>
        <w:p w:rsidR="00220EB9" w:rsidRDefault="002C334E" w14:paraId="1455A0B5" w14:textId="77777777">
          <w:pPr>
            <w:pStyle w:val="Frslagstext"/>
          </w:pPr>
          <w:r>
            <w:t>Riksdagen ställer sig bakom det som anförs i motionen om ökade resurser till Tullverket för att upprätthålla gränsskyddet och tillkännager detta för regeringen.</w:t>
          </w:r>
        </w:p>
      </w:sdtContent>
    </w:sdt>
    <w:p w:rsidR="009A6E2E" w:rsidP="009A6E2E" w:rsidRDefault="008A6F52" w14:paraId="1011CCE6" w14:textId="76322DE2">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MotionsStart" w:id="0"/>
      <w:bookmarkEnd w:id="0"/>
      <w:r>
        <w:br w:type="page"/>
      </w:r>
    </w:p>
    <w:p w:rsidRPr="005649CC" w:rsidR="00114242" w:rsidP="005649CC" w:rsidRDefault="00114242" w14:paraId="1455A0B9" w14:textId="7EF17491">
      <w:pPr>
        <w:pStyle w:val="Rubrik1"/>
      </w:pPr>
      <w:r w:rsidRPr="005649CC">
        <w:lastRenderedPageBreak/>
        <w:t>Anslagsanvisning</w:t>
      </w:r>
    </w:p>
    <w:p w:rsidRPr="005649CC" w:rsidR="00114242" w:rsidP="004572D6" w:rsidRDefault="00114242" w14:paraId="1455A0BA" w14:textId="01601271">
      <w:pPr>
        <w:pStyle w:val="Tabellrubrik"/>
        <w:spacing w:after="150"/>
      </w:pPr>
      <w:r w:rsidRPr="005649CC">
        <w:t>T</w:t>
      </w:r>
      <w:r w:rsidRPr="005649CC" w:rsidR="005649CC">
        <w:t>abell 1</w:t>
      </w:r>
      <w:r w:rsidRPr="005649CC">
        <w:t xml:space="preserve"> Moderaternas förslag till anslag för 2018 uttryckt som differens gentemot regeringe</w:t>
      </w:r>
      <w:r w:rsidR="001F67E2">
        <w:t>ns förslag</w:t>
      </w:r>
    </w:p>
    <w:tbl>
      <w:tblPr>
        <w:tblW w:w="8505" w:type="dxa"/>
        <w:tblLayout w:type="fixed"/>
        <w:tblCellMar>
          <w:left w:w="70" w:type="dxa"/>
          <w:right w:w="70" w:type="dxa"/>
        </w:tblCellMar>
        <w:tblLook w:val="04A0" w:firstRow="1" w:lastRow="0" w:firstColumn="1" w:lastColumn="0" w:noHBand="0" w:noVBand="1"/>
      </w:tblPr>
      <w:tblGrid>
        <w:gridCol w:w="687"/>
        <w:gridCol w:w="4547"/>
        <w:gridCol w:w="1491"/>
        <w:gridCol w:w="1780"/>
      </w:tblGrid>
      <w:tr w:rsidRPr="00117D75" w:rsidR="00114242" w:rsidTr="0081715A" w14:paraId="1455A0BF" w14:textId="77777777">
        <w:trPr>
          <w:trHeight w:val="255"/>
        </w:trPr>
        <w:tc>
          <w:tcPr>
            <w:tcW w:w="8771" w:type="dxa"/>
            <w:gridSpan w:val="4"/>
            <w:tcBorders>
              <w:top w:val="nil"/>
              <w:left w:val="nil"/>
              <w:bottom w:val="nil"/>
              <w:right w:val="nil"/>
            </w:tcBorders>
            <w:shd w:val="clear" w:color="auto" w:fill="auto"/>
            <w:noWrap/>
            <w:hideMark/>
          </w:tcPr>
          <w:p w:rsidRPr="00117D75" w:rsidR="00114242" w:rsidP="0081715A" w:rsidRDefault="001F67E2" w14:paraId="1455A0BE" w14:textId="2D25B8FD">
            <w:pPr>
              <w:tabs>
                <w:tab w:val="clear" w:pos="284"/>
              </w:tabs>
              <w:ind w:firstLine="0"/>
              <w:jc w:val="center"/>
              <w:rPr>
                <w:sz w:val="23"/>
                <w:szCs w:val="23"/>
              </w:rPr>
            </w:pPr>
            <w:r w:rsidRPr="00117D75">
              <w:rPr>
                <w:sz w:val="23"/>
                <w:szCs w:val="23"/>
              </w:rPr>
              <w:t>Anslagsförslag 2018 för utgiftsområde 3 Skatt, tull och exekution</w:t>
            </w:r>
          </w:p>
        </w:tc>
      </w:tr>
      <w:tr w:rsidRPr="00B60494" w:rsidR="00114242" w:rsidTr="001F67E2" w14:paraId="1455A0C1" w14:textId="77777777">
        <w:trPr>
          <w:trHeight w:val="255"/>
        </w:trPr>
        <w:tc>
          <w:tcPr>
            <w:tcW w:w="8771" w:type="dxa"/>
            <w:gridSpan w:val="4"/>
            <w:tcBorders>
              <w:top w:val="nil"/>
              <w:left w:val="nil"/>
              <w:bottom w:val="single" w:color="auto" w:sz="4" w:space="0"/>
              <w:right w:val="nil"/>
            </w:tcBorders>
            <w:shd w:val="clear" w:color="auto" w:fill="auto"/>
            <w:noWrap/>
            <w:hideMark/>
          </w:tcPr>
          <w:p w:rsidRPr="00B60494" w:rsidR="00114242" w:rsidP="001F67E2" w:rsidRDefault="00114242" w14:paraId="1455A0C0" w14:textId="77777777">
            <w:pPr>
              <w:tabs>
                <w:tab w:val="clear" w:pos="284"/>
              </w:tabs>
              <w:ind w:firstLine="0"/>
              <w:rPr>
                <w:i/>
                <w:iCs/>
                <w:sz w:val="20"/>
                <w:szCs w:val="20"/>
              </w:rPr>
            </w:pPr>
            <w:r w:rsidRPr="00B60494">
              <w:rPr>
                <w:i/>
                <w:iCs/>
                <w:sz w:val="20"/>
                <w:szCs w:val="20"/>
              </w:rPr>
              <w:t>Tusental kronor</w:t>
            </w:r>
          </w:p>
        </w:tc>
      </w:tr>
      <w:tr w:rsidRPr="00B60494" w:rsidR="00114242" w:rsidTr="001F67E2" w14:paraId="1455A0C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60494" w:rsidR="00114242" w:rsidP="001F67E2" w:rsidRDefault="00114242" w14:paraId="1455A0C2" w14:textId="77777777">
            <w:pPr>
              <w:tabs>
                <w:tab w:val="clear" w:pos="284"/>
              </w:tabs>
              <w:ind w:firstLine="0"/>
              <w:rPr>
                <w:b/>
                <w:bCs/>
                <w:sz w:val="20"/>
                <w:szCs w:val="20"/>
              </w:rPr>
            </w:pPr>
            <w:r w:rsidRPr="00B60494">
              <w:rPr>
                <w:b/>
                <w:bCs/>
                <w:sz w:val="20"/>
                <w:szCs w:val="20"/>
              </w:rPr>
              <w:t>Ramanslag</w:t>
            </w:r>
          </w:p>
        </w:tc>
        <w:tc>
          <w:tcPr>
            <w:tcW w:w="1536" w:type="dxa"/>
            <w:tcBorders>
              <w:top w:val="nil"/>
              <w:left w:val="nil"/>
              <w:bottom w:val="single" w:color="auto" w:sz="4" w:space="0"/>
              <w:right w:val="nil"/>
            </w:tcBorders>
            <w:shd w:val="clear" w:color="auto" w:fill="auto"/>
            <w:hideMark/>
          </w:tcPr>
          <w:p w:rsidRPr="00B60494" w:rsidR="00114242" w:rsidP="001F67E2" w:rsidRDefault="00114242" w14:paraId="1455A0C3" w14:textId="77777777">
            <w:pPr>
              <w:tabs>
                <w:tab w:val="clear" w:pos="284"/>
              </w:tabs>
              <w:ind w:firstLine="0"/>
              <w:jc w:val="right"/>
              <w:rPr>
                <w:b/>
                <w:bCs/>
                <w:sz w:val="20"/>
                <w:szCs w:val="20"/>
              </w:rPr>
            </w:pPr>
            <w:r w:rsidRPr="00B60494">
              <w:rPr>
                <w:b/>
                <w:bCs/>
                <w:sz w:val="20"/>
                <w:szCs w:val="20"/>
              </w:rPr>
              <w:t>Regeringens förslag</w:t>
            </w:r>
          </w:p>
        </w:tc>
        <w:tc>
          <w:tcPr>
            <w:tcW w:w="1835" w:type="dxa"/>
            <w:tcBorders>
              <w:top w:val="nil"/>
              <w:left w:val="nil"/>
              <w:bottom w:val="single" w:color="auto" w:sz="4" w:space="0"/>
              <w:right w:val="nil"/>
            </w:tcBorders>
            <w:shd w:val="clear" w:color="auto" w:fill="auto"/>
            <w:hideMark/>
          </w:tcPr>
          <w:p w:rsidRPr="00B60494" w:rsidR="00114242" w:rsidP="001F67E2" w:rsidRDefault="00114242" w14:paraId="1455A0C4" w14:textId="77777777">
            <w:pPr>
              <w:tabs>
                <w:tab w:val="clear" w:pos="284"/>
              </w:tabs>
              <w:ind w:firstLine="0"/>
              <w:jc w:val="right"/>
              <w:rPr>
                <w:b/>
                <w:bCs/>
                <w:sz w:val="20"/>
                <w:szCs w:val="20"/>
              </w:rPr>
            </w:pPr>
            <w:r w:rsidRPr="00B60494">
              <w:rPr>
                <w:b/>
                <w:bCs/>
                <w:sz w:val="20"/>
                <w:szCs w:val="20"/>
              </w:rPr>
              <w:t>Avvikelse från regeringen (M)</w:t>
            </w:r>
          </w:p>
        </w:tc>
      </w:tr>
      <w:tr w:rsidRPr="00B60494" w:rsidR="00114242" w:rsidTr="001F67E2" w14:paraId="1455A0CA" w14:textId="77777777">
        <w:trPr>
          <w:trHeight w:val="255"/>
        </w:trPr>
        <w:tc>
          <w:tcPr>
            <w:tcW w:w="705" w:type="dxa"/>
            <w:tcBorders>
              <w:top w:val="nil"/>
              <w:left w:val="nil"/>
              <w:bottom w:val="nil"/>
              <w:right w:val="nil"/>
            </w:tcBorders>
            <w:shd w:val="clear" w:color="auto" w:fill="auto"/>
            <w:hideMark/>
          </w:tcPr>
          <w:p w:rsidRPr="00B60494" w:rsidR="00114242" w:rsidP="001F67E2" w:rsidRDefault="00114242" w14:paraId="1455A0C6" w14:textId="77777777">
            <w:pPr>
              <w:tabs>
                <w:tab w:val="clear" w:pos="284"/>
              </w:tabs>
              <w:spacing w:before="80" w:line="240" w:lineRule="exact"/>
              <w:ind w:firstLine="0"/>
              <w:rPr>
                <w:sz w:val="20"/>
                <w:szCs w:val="20"/>
              </w:rPr>
            </w:pPr>
            <w:r w:rsidRPr="00B60494">
              <w:rPr>
                <w:sz w:val="20"/>
                <w:szCs w:val="20"/>
              </w:rPr>
              <w:t>1:1</w:t>
            </w:r>
          </w:p>
        </w:tc>
        <w:tc>
          <w:tcPr>
            <w:tcW w:w="4695" w:type="dxa"/>
            <w:tcBorders>
              <w:top w:val="nil"/>
              <w:left w:val="nil"/>
              <w:bottom w:val="nil"/>
              <w:right w:val="nil"/>
            </w:tcBorders>
            <w:shd w:val="clear" w:color="auto" w:fill="auto"/>
            <w:hideMark/>
          </w:tcPr>
          <w:p w:rsidRPr="00B60494" w:rsidR="00114242" w:rsidP="001F67E2" w:rsidRDefault="00114242" w14:paraId="1455A0C7" w14:textId="77777777">
            <w:pPr>
              <w:tabs>
                <w:tab w:val="clear" w:pos="284"/>
              </w:tabs>
              <w:spacing w:before="80" w:line="240" w:lineRule="exact"/>
              <w:ind w:firstLine="0"/>
              <w:rPr>
                <w:sz w:val="20"/>
                <w:szCs w:val="20"/>
              </w:rPr>
            </w:pPr>
            <w:r w:rsidRPr="00B60494">
              <w:rPr>
                <w:sz w:val="20"/>
                <w:szCs w:val="20"/>
              </w:rPr>
              <w:t>Skatteverket</w:t>
            </w:r>
          </w:p>
        </w:tc>
        <w:tc>
          <w:tcPr>
            <w:tcW w:w="1536" w:type="dxa"/>
            <w:tcBorders>
              <w:top w:val="nil"/>
              <w:left w:val="nil"/>
              <w:bottom w:val="nil"/>
              <w:right w:val="nil"/>
            </w:tcBorders>
            <w:shd w:val="clear" w:color="auto" w:fill="auto"/>
            <w:hideMark/>
          </w:tcPr>
          <w:p w:rsidRPr="00B60494" w:rsidR="00114242" w:rsidP="001F67E2" w:rsidRDefault="00114242" w14:paraId="1455A0C8" w14:textId="0A31400C">
            <w:pPr>
              <w:tabs>
                <w:tab w:val="clear" w:pos="284"/>
              </w:tabs>
              <w:spacing w:before="80" w:line="240" w:lineRule="exact"/>
              <w:ind w:firstLine="0"/>
              <w:jc w:val="right"/>
              <w:rPr>
                <w:sz w:val="20"/>
                <w:szCs w:val="20"/>
              </w:rPr>
            </w:pPr>
            <w:r w:rsidRPr="00B60494">
              <w:rPr>
                <w:sz w:val="20"/>
                <w:szCs w:val="20"/>
              </w:rPr>
              <w:t>7</w:t>
            </w:r>
            <w:r w:rsidR="001F67E2">
              <w:rPr>
                <w:sz w:val="20"/>
                <w:szCs w:val="20"/>
              </w:rPr>
              <w:t> </w:t>
            </w:r>
            <w:r w:rsidRPr="00B60494">
              <w:rPr>
                <w:sz w:val="20"/>
                <w:szCs w:val="20"/>
              </w:rPr>
              <w:t>590</w:t>
            </w:r>
            <w:r w:rsidR="001F67E2">
              <w:rPr>
                <w:sz w:val="20"/>
                <w:szCs w:val="20"/>
              </w:rPr>
              <w:t> </w:t>
            </w:r>
            <w:r w:rsidRPr="00B60494">
              <w:rPr>
                <w:sz w:val="20"/>
                <w:szCs w:val="20"/>
              </w:rPr>
              <w:t>735</w:t>
            </w:r>
          </w:p>
        </w:tc>
        <w:tc>
          <w:tcPr>
            <w:tcW w:w="1835" w:type="dxa"/>
            <w:tcBorders>
              <w:top w:val="nil"/>
              <w:left w:val="nil"/>
              <w:bottom w:val="nil"/>
              <w:right w:val="nil"/>
            </w:tcBorders>
            <w:shd w:val="clear" w:color="auto" w:fill="auto"/>
            <w:hideMark/>
          </w:tcPr>
          <w:p w:rsidRPr="00B60494" w:rsidR="00114242" w:rsidP="001F67E2" w:rsidRDefault="00114242" w14:paraId="1455A0C9" w14:textId="4BBE9C14">
            <w:pPr>
              <w:tabs>
                <w:tab w:val="clear" w:pos="284"/>
              </w:tabs>
              <w:spacing w:before="80" w:line="240" w:lineRule="exact"/>
              <w:ind w:firstLine="0"/>
              <w:jc w:val="right"/>
              <w:rPr>
                <w:sz w:val="20"/>
                <w:szCs w:val="20"/>
              </w:rPr>
            </w:pPr>
            <w:r w:rsidRPr="00B60494">
              <w:rPr>
                <w:sz w:val="20"/>
                <w:szCs w:val="20"/>
              </w:rPr>
              <w:t>+10</w:t>
            </w:r>
            <w:r w:rsidR="001F67E2">
              <w:rPr>
                <w:sz w:val="20"/>
                <w:szCs w:val="20"/>
              </w:rPr>
              <w:t> </w:t>
            </w:r>
            <w:r w:rsidRPr="00B60494">
              <w:rPr>
                <w:sz w:val="20"/>
                <w:szCs w:val="20"/>
              </w:rPr>
              <w:t>000</w:t>
            </w:r>
          </w:p>
        </w:tc>
      </w:tr>
      <w:tr w:rsidRPr="00B60494" w:rsidR="00114242" w:rsidTr="001F67E2" w14:paraId="1455A0CF" w14:textId="77777777">
        <w:trPr>
          <w:trHeight w:val="255"/>
        </w:trPr>
        <w:tc>
          <w:tcPr>
            <w:tcW w:w="705" w:type="dxa"/>
            <w:tcBorders>
              <w:top w:val="nil"/>
              <w:left w:val="nil"/>
              <w:bottom w:val="nil"/>
              <w:right w:val="nil"/>
            </w:tcBorders>
            <w:shd w:val="clear" w:color="auto" w:fill="auto"/>
            <w:hideMark/>
          </w:tcPr>
          <w:p w:rsidRPr="00B60494" w:rsidR="00114242" w:rsidP="001F67E2" w:rsidRDefault="00114242" w14:paraId="1455A0CB" w14:textId="77777777">
            <w:pPr>
              <w:tabs>
                <w:tab w:val="clear" w:pos="284"/>
              </w:tabs>
              <w:spacing w:before="80" w:line="240" w:lineRule="exact"/>
              <w:ind w:firstLine="0"/>
              <w:rPr>
                <w:sz w:val="20"/>
                <w:szCs w:val="20"/>
              </w:rPr>
            </w:pPr>
            <w:r w:rsidRPr="00B60494">
              <w:rPr>
                <w:sz w:val="20"/>
                <w:szCs w:val="20"/>
              </w:rPr>
              <w:t>1:2</w:t>
            </w:r>
          </w:p>
        </w:tc>
        <w:tc>
          <w:tcPr>
            <w:tcW w:w="4695" w:type="dxa"/>
            <w:tcBorders>
              <w:top w:val="nil"/>
              <w:left w:val="nil"/>
              <w:bottom w:val="nil"/>
              <w:right w:val="nil"/>
            </w:tcBorders>
            <w:shd w:val="clear" w:color="auto" w:fill="auto"/>
            <w:hideMark/>
          </w:tcPr>
          <w:p w:rsidRPr="00B60494" w:rsidR="00114242" w:rsidP="001F67E2" w:rsidRDefault="00114242" w14:paraId="1455A0CC" w14:textId="77777777">
            <w:pPr>
              <w:tabs>
                <w:tab w:val="clear" w:pos="284"/>
              </w:tabs>
              <w:spacing w:before="80" w:line="240" w:lineRule="exact"/>
              <w:ind w:firstLine="0"/>
              <w:rPr>
                <w:sz w:val="20"/>
                <w:szCs w:val="20"/>
              </w:rPr>
            </w:pPr>
            <w:r w:rsidRPr="00B60494">
              <w:rPr>
                <w:sz w:val="20"/>
                <w:szCs w:val="20"/>
              </w:rPr>
              <w:t>Tullverket</w:t>
            </w:r>
          </w:p>
        </w:tc>
        <w:tc>
          <w:tcPr>
            <w:tcW w:w="1536" w:type="dxa"/>
            <w:tcBorders>
              <w:top w:val="nil"/>
              <w:left w:val="nil"/>
              <w:bottom w:val="nil"/>
              <w:right w:val="nil"/>
            </w:tcBorders>
            <w:shd w:val="clear" w:color="auto" w:fill="auto"/>
            <w:hideMark/>
          </w:tcPr>
          <w:p w:rsidRPr="00B60494" w:rsidR="00114242" w:rsidP="001F67E2" w:rsidRDefault="00114242" w14:paraId="1455A0CD" w14:textId="49264A17">
            <w:pPr>
              <w:tabs>
                <w:tab w:val="clear" w:pos="284"/>
              </w:tabs>
              <w:spacing w:before="80" w:line="240" w:lineRule="exact"/>
              <w:ind w:firstLine="0"/>
              <w:jc w:val="right"/>
              <w:rPr>
                <w:sz w:val="20"/>
                <w:szCs w:val="20"/>
              </w:rPr>
            </w:pPr>
            <w:r w:rsidRPr="00B60494">
              <w:rPr>
                <w:sz w:val="20"/>
                <w:szCs w:val="20"/>
              </w:rPr>
              <w:t>1</w:t>
            </w:r>
            <w:r w:rsidR="001F67E2">
              <w:rPr>
                <w:sz w:val="20"/>
                <w:szCs w:val="20"/>
              </w:rPr>
              <w:t> </w:t>
            </w:r>
            <w:r w:rsidRPr="00B60494">
              <w:rPr>
                <w:sz w:val="20"/>
                <w:szCs w:val="20"/>
              </w:rPr>
              <w:t>862</w:t>
            </w:r>
            <w:r w:rsidR="001F67E2">
              <w:rPr>
                <w:sz w:val="20"/>
                <w:szCs w:val="20"/>
              </w:rPr>
              <w:t> </w:t>
            </w:r>
            <w:r w:rsidRPr="00B60494">
              <w:rPr>
                <w:sz w:val="20"/>
                <w:szCs w:val="20"/>
              </w:rPr>
              <w:t>074</w:t>
            </w:r>
          </w:p>
        </w:tc>
        <w:tc>
          <w:tcPr>
            <w:tcW w:w="1835" w:type="dxa"/>
            <w:tcBorders>
              <w:top w:val="nil"/>
              <w:left w:val="nil"/>
              <w:bottom w:val="nil"/>
              <w:right w:val="nil"/>
            </w:tcBorders>
            <w:shd w:val="clear" w:color="auto" w:fill="auto"/>
            <w:hideMark/>
          </w:tcPr>
          <w:p w:rsidRPr="00B60494" w:rsidR="00114242" w:rsidP="001F67E2" w:rsidRDefault="00114242" w14:paraId="1455A0CE" w14:textId="7EEA0DED">
            <w:pPr>
              <w:tabs>
                <w:tab w:val="clear" w:pos="284"/>
              </w:tabs>
              <w:spacing w:before="80" w:line="240" w:lineRule="exact"/>
              <w:ind w:firstLine="0"/>
              <w:jc w:val="right"/>
              <w:rPr>
                <w:sz w:val="20"/>
                <w:szCs w:val="20"/>
              </w:rPr>
            </w:pPr>
            <w:r w:rsidRPr="00B60494">
              <w:rPr>
                <w:sz w:val="20"/>
                <w:szCs w:val="20"/>
              </w:rPr>
              <w:t>+35</w:t>
            </w:r>
            <w:r w:rsidR="001F67E2">
              <w:rPr>
                <w:sz w:val="20"/>
                <w:szCs w:val="20"/>
              </w:rPr>
              <w:t> </w:t>
            </w:r>
            <w:r w:rsidRPr="00B60494">
              <w:rPr>
                <w:sz w:val="20"/>
                <w:szCs w:val="20"/>
              </w:rPr>
              <w:t>000</w:t>
            </w:r>
          </w:p>
        </w:tc>
      </w:tr>
      <w:tr w:rsidRPr="00B60494" w:rsidR="00114242" w:rsidTr="00B7041C" w14:paraId="1455A0D4" w14:textId="77777777">
        <w:trPr>
          <w:trHeight w:val="255"/>
        </w:trPr>
        <w:tc>
          <w:tcPr>
            <w:tcW w:w="705" w:type="dxa"/>
            <w:tcBorders>
              <w:top w:val="nil"/>
              <w:left w:val="nil"/>
              <w:right w:val="nil"/>
            </w:tcBorders>
            <w:shd w:val="clear" w:color="auto" w:fill="auto"/>
            <w:hideMark/>
          </w:tcPr>
          <w:p w:rsidRPr="00B60494" w:rsidR="00114242" w:rsidP="001F67E2" w:rsidRDefault="00114242" w14:paraId="1455A0D0" w14:textId="77777777">
            <w:pPr>
              <w:tabs>
                <w:tab w:val="clear" w:pos="284"/>
              </w:tabs>
              <w:spacing w:before="80" w:line="240" w:lineRule="exact"/>
              <w:ind w:firstLine="0"/>
              <w:rPr>
                <w:sz w:val="20"/>
                <w:szCs w:val="20"/>
              </w:rPr>
            </w:pPr>
            <w:r w:rsidRPr="00B60494">
              <w:rPr>
                <w:sz w:val="20"/>
                <w:szCs w:val="20"/>
              </w:rPr>
              <w:t>1:3</w:t>
            </w:r>
          </w:p>
        </w:tc>
        <w:tc>
          <w:tcPr>
            <w:tcW w:w="4695" w:type="dxa"/>
            <w:tcBorders>
              <w:top w:val="nil"/>
              <w:left w:val="nil"/>
              <w:right w:val="nil"/>
            </w:tcBorders>
            <w:shd w:val="clear" w:color="auto" w:fill="auto"/>
            <w:hideMark/>
          </w:tcPr>
          <w:p w:rsidRPr="00B60494" w:rsidR="00114242" w:rsidP="001F67E2" w:rsidRDefault="00114242" w14:paraId="1455A0D1" w14:textId="77777777">
            <w:pPr>
              <w:tabs>
                <w:tab w:val="clear" w:pos="284"/>
              </w:tabs>
              <w:spacing w:before="80" w:line="240" w:lineRule="exact"/>
              <w:ind w:firstLine="0"/>
              <w:rPr>
                <w:sz w:val="20"/>
                <w:szCs w:val="20"/>
              </w:rPr>
            </w:pPr>
            <w:r w:rsidRPr="00B60494">
              <w:rPr>
                <w:sz w:val="20"/>
                <w:szCs w:val="20"/>
              </w:rPr>
              <w:t>Kronofogdemyndigheten</w:t>
            </w:r>
          </w:p>
        </w:tc>
        <w:tc>
          <w:tcPr>
            <w:tcW w:w="1536" w:type="dxa"/>
            <w:tcBorders>
              <w:top w:val="nil"/>
              <w:left w:val="nil"/>
              <w:right w:val="nil"/>
            </w:tcBorders>
            <w:shd w:val="clear" w:color="auto" w:fill="auto"/>
            <w:hideMark/>
          </w:tcPr>
          <w:p w:rsidRPr="00B60494" w:rsidR="00114242" w:rsidP="001F67E2" w:rsidRDefault="00114242" w14:paraId="1455A0D2" w14:textId="6997B680">
            <w:pPr>
              <w:tabs>
                <w:tab w:val="clear" w:pos="284"/>
              </w:tabs>
              <w:spacing w:before="80" w:line="240" w:lineRule="exact"/>
              <w:ind w:firstLine="0"/>
              <w:jc w:val="right"/>
              <w:rPr>
                <w:sz w:val="20"/>
                <w:szCs w:val="20"/>
              </w:rPr>
            </w:pPr>
            <w:r w:rsidRPr="00B60494">
              <w:rPr>
                <w:sz w:val="20"/>
                <w:szCs w:val="20"/>
              </w:rPr>
              <w:t>1</w:t>
            </w:r>
            <w:r w:rsidR="001F67E2">
              <w:rPr>
                <w:sz w:val="20"/>
                <w:szCs w:val="20"/>
              </w:rPr>
              <w:t> </w:t>
            </w:r>
            <w:r w:rsidRPr="00B60494">
              <w:rPr>
                <w:sz w:val="20"/>
                <w:szCs w:val="20"/>
              </w:rPr>
              <w:t>946</w:t>
            </w:r>
            <w:r w:rsidR="001F67E2">
              <w:rPr>
                <w:sz w:val="20"/>
                <w:szCs w:val="20"/>
              </w:rPr>
              <w:t> </w:t>
            </w:r>
            <w:r w:rsidRPr="00B60494">
              <w:rPr>
                <w:sz w:val="20"/>
                <w:szCs w:val="20"/>
              </w:rPr>
              <w:t>575</w:t>
            </w:r>
          </w:p>
        </w:tc>
        <w:tc>
          <w:tcPr>
            <w:tcW w:w="1835" w:type="dxa"/>
            <w:tcBorders>
              <w:top w:val="nil"/>
              <w:left w:val="nil"/>
              <w:right w:val="nil"/>
            </w:tcBorders>
            <w:shd w:val="clear" w:color="auto" w:fill="auto"/>
            <w:hideMark/>
          </w:tcPr>
          <w:p w:rsidRPr="00B60494" w:rsidR="00114242" w:rsidP="001F67E2" w:rsidRDefault="00114242" w14:paraId="1455A0D3" w14:textId="77777777">
            <w:pPr>
              <w:tabs>
                <w:tab w:val="clear" w:pos="284"/>
              </w:tabs>
              <w:spacing w:before="80" w:line="240" w:lineRule="exact"/>
              <w:ind w:firstLine="0"/>
              <w:jc w:val="right"/>
              <w:rPr>
                <w:sz w:val="20"/>
                <w:szCs w:val="20"/>
              </w:rPr>
            </w:pPr>
          </w:p>
        </w:tc>
      </w:tr>
      <w:tr w:rsidRPr="00B60494" w:rsidR="00114242" w:rsidTr="00B7041C" w14:paraId="1455A0D9" w14:textId="77777777">
        <w:trPr>
          <w:trHeight w:val="255"/>
        </w:trPr>
        <w:tc>
          <w:tcPr>
            <w:tcW w:w="705" w:type="dxa"/>
            <w:tcBorders>
              <w:left w:val="nil"/>
              <w:bottom w:val="single" w:color="auto" w:sz="4" w:space="0"/>
              <w:right w:val="nil"/>
            </w:tcBorders>
            <w:shd w:val="clear" w:color="auto" w:fill="auto"/>
            <w:hideMark/>
          </w:tcPr>
          <w:p w:rsidRPr="00B60494" w:rsidR="00114242" w:rsidP="001F67E2" w:rsidRDefault="00114242" w14:paraId="1455A0D5" w14:textId="77777777">
            <w:pPr>
              <w:tabs>
                <w:tab w:val="clear" w:pos="284"/>
              </w:tabs>
              <w:spacing w:before="80" w:line="240" w:lineRule="exact"/>
              <w:ind w:firstLine="0"/>
              <w:jc w:val="right"/>
              <w:rPr>
                <w:sz w:val="20"/>
                <w:szCs w:val="20"/>
              </w:rPr>
            </w:pPr>
          </w:p>
        </w:tc>
        <w:tc>
          <w:tcPr>
            <w:tcW w:w="4695" w:type="dxa"/>
            <w:tcBorders>
              <w:left w:val="nil"/>
              <w:bottom w:val="single" w:color="auto" w:sz="4" w:space="0"/>
              <w:right w:val="nil"/>
            </w:tcBorders>
            <w:shd w:val="clear" w:color="auto" w:fill="auto"/>
            <w:hideMark/>
          </w:tcPr>
          <w:p w:rsidRPr="00B60494" w:rsidR="00114242" w:rsidP="001F67E2" w:rsidRDefault="00114242" w14:paraId="1455A0D6" w14:textId="77777777">
            <w:pPr>
              <w:tabs>
                <w:tab w:val="clear" w:pos="284"/>
              </w:tabs>
              <w:spacing w:before="80" w:line="240" w:lineRule="exact"/>
              <w:ind w:firstLine="0"/>
              <w:rPr>
                <w:b/>
                <w:bCs/>
                <w:sz w:val="20"/>
                <w:szCs w:val="20"/>
              </w:rPr>
            </w:pPr>
            <w:r w:rsidRPr="00B60494">
              <w:rPr>
                <w:b/>
                <w:bCs/>
                <w:sz w:val="20"/>
                <w:szCs w:val="20"/>
              </w:rPr>
              <w:t>Summa</w:t>
            </w:r>
          </w:p>
        </w:tc>
        <w:tc>
          <w:tcPr>
            <w:tcW w:w="1536" w:type="dxa"/>
            <w:tcBorders>
              <w:left w:val="nil"/>
              <w:bottom w:val="single" w:color="auto" w:sz="4" w:space="0"/>
              <w:right w:val="nil"/>
            </w:tcBorders>
            <w:shd w:val="clear" w:color="auto" w:fill="auto"/>
            <w:hideMark/>
          </w:tcPr>
          <w:p w:rsidRPr="00B60494" w:rsidR="00114242" w:rsidP="001F67E2" w:rsidRDefault="001F67E2" w14:paraId="1455A0D7" w14:textId="2607D2E8">
            <w:pPr>
              <w:tabs>
                <w:tab w:val="clear" w:pos="284"/>
              </w:tabs>
              <w:spacing w:before="80" w:line="240" w:lineRule="exact"/>
              <w:ind w:firstLine="0"/>
              <w:jc w:val="right"/>
              <w:rPr>
                <w:b/>
                <w:bCs/>
                <w:sz w:val="20"/>
                <w:szCs w:val="20"/>
              </w:rPr>
            </w:pPr>
            <w:r>
              <w:rPr>
                <w:b/>
                <w:bCs/>
                <w:sz w:val="20"/>
                <w:szCs w:val="20"/>
              </w:rPr>
              <w:t>11 </w:t>
            </w:r>
            <w:r w:rsidRPr="00B60494" w:rsidR="00114242">
              <w:rPr>
                <w:b/>
                <w:bCs/>
                <w:sz w:val="20"/>
                <w:szCs w:val="20"/>
              </w:rPr>
              <w:t>399</w:t>
            </w:r>
            <w:r>
              <w:rPr>
                <w:b/>
                <w:bCs/>
                <w:sz w:val="20"/>
                <w:szCs w:val="20"/>
              </w:rPr>
              <w:t> </w:t>
            </w:r>
            <w:r w:rsidRPr="00B60494" w:rsidR="00114242">
              <w:rPr>
                <w:b/>
                <w:bCs/>
                <w:sz w:val="20"/>
                <w:szCs w:val="20"/>
              </w:rPr>
              <w:t>384</w:t>
            </w:r>
          </w:p>
        </w:tc>
        <w:tc>
          <w:tcPr>
            <w:tcW w:w="1835" w:type="dxa"/>
            <w:tcBorders>
              <w:left w:val="nil"/>
              <w:bottom w:val="single" w:color="auto" w:sz="4" w:space="0"/>
              <w:right w:val="nil"/>
            </w:tcBorders>
            <w:shd w:val="clear" w:color="auto" w:fill="auto"/>
            <w:hideMark/>
          </w:tcPr>
          <w:p w:rsidRPr="00B60494" w:rsidR="00114242" w:rsidP="001F67E2" w:rsidRDefault="00114242" w14:paraId="1455A0D8" w14:textId="3F31D52E">
            <w:pPr>
              <w:tabs>
                <w:tab w:val="clear" w:pos="284"/>
              </w:tabs>
              <w:spacing w:before="80" w:line="240" w:lineRule="exact"/>
              <w:ind w:firstLine="0"/>
              <w:jc w:val="right"/>
              <w:rPr>
                <w:b/>
                <w:bCs/>
                <w:sz w:val="20"/>
                <w:szCs w:val="20"/>
              </w:rPr>
            </w:pPr>
            <w:r w:rsidRPr="00B60494">
              <w:rPr>
                <w:b/>
                <w:bCs/>
                <w:sz w:val="20"/>
                <w:szCs w:val="20"/>
              </w:rPr>
              <w:t>+45</w:t>
            </w:r>
            <w:r w:rsidR="001F67E2">
              <w:rPr>
                <w:b/>
                <w:bCs/>
                <w:sz w:val="20"/>
                <w:szCs w:val="20"/>
              </w:rPr>
              <w:t> </w:t>
            </w:r>
            <w:r w:rsidRPr="00B60494">
              <w:rPr>
                <w:b/>
                <w:bCs/>
                <w:sz w:val="20"/>
                <w:szCs w:val="20"/>
              </w:rPr>
              <w:t>000</w:t>
            </w:r>
          </w:p>
        </w:tc>
      </w:tr>
    </w:tbl>
    <w:p w:rsidRPr="0081715A" w:rsidR="00114242" w:rsidP="0081715A" w:rsidRDefault="00114242" w14:paraId="1455A0DA" w14:textId="77777777">
      <w:pPr>
        <w:pStyle w:val="Rubrik2"/>
      </w:pPr>
      <w:r w:rsidRPr="0081715A">
        <w:t>Politikens inriktning</w:t>
      </w:r>
    </w:p>
    <w:p w:rsidRPr="00667D09" w:rsidR="00114242" w:rsidP="001C31D7" w:rsidRDefault="00114242" w14:paraId="1455A0DB" w14:textId="77777777">
      <w:pPr>
        <w:pStyle w:val="Rubrik3"/>
        <w:spacing w:before="125"/>
      </w:pPr>
      <w:r w:rsidRPr="00667D09">
        <w:t>Inledning</w:t>
      </w:r>
    </w:p>
    <w:p w:rsidRPr="009C104E" w:rsidR="00114242" w:rsidP="009C104E" w:rsidRDefault="00114242" w14:paraId="1455A0DC" w14:textId="1283CABA">
      <w:pPr>
        <w:pStyle w:val="Normalutanindragellerluft"/>
      </w:pPr>
      <w:r w:rsidRPr="009C104E">
        <w:t xml:space="preserve">Tullverket har larmat om sin ansträngda situation. Utan extra tillskott kommer en redan begränsad verksamhet att behöva bantas. Myndigheten uttrycker själv att det skulle vara förödande. Redan i dag saknas tillräcklig bemanning vid gränsövergångar, i synnerhet nattetid. Regeringen tar inte Tullverkets varningssignaler på allvar och ökar anslaget till </w:t>
      </w:r>
      <w:bookmarkStart w:name="_GoBack" w:id="1"/>
      <w:bookmarkEnd w:id="1"/>
      <w:r w:rsidRPr="009C104E">
        <w:t>Tullverket med 168 miljoner kronor mindre 2018</w:t>
      </w:r>
      <w:r w:rsidRPr="009C104E" w:rsidR="001C31D7">
        <w:t>–</w:t>
      </w:r>
      <w:r w:rsidRPr="009C104E">
        <w:t xml:space="preserve">2020 än vad Tullverket begär för att upprätthålla gränsskyddet. Vi måste ta vårt gränsskydd på allvar för att säkra Sveriges handel och näringslivets konkurrensneutralitet, men även för att säkerställa brottsbekämpningen vid våra gränser som till exempel smuggling av narkotika och vapen. Anslaget till Tullverket behöver därför ökas så att Tullverket får de resurser </w:t>
      </w:r>
      <w:r w:rsidRPr="009C104E" w:rsidR="00250F68">
        <w:t xml:space="preserve">de </w:t>
      </w:r>
      <w:r w:rsidRPr="009C104E">
        <w:t xml:space="preserve">begär för att upprätthålla gränsskyddet. </w:t>
      </w:r>
    </w:p>
    <w:p w:rsidRPr="009C104E" w:rsidR="009C104E" w:rsidP="009C104E" w:rsidRDefault="00114242" w14:paraId="404E781B" w14:textId="77777777">
      <w:r w:rsidRPr="009C104E">
        <w:t xml:space="preserve">I Sverige ska man göra rätt för sig. De som utnyttjar systemen för fusk och missbruk tar sig rätten att leva på andras bekostnad. Det gäller både de som inte betalar skatt som de ska och de som tar emot bidrag som de inte har rätt till. Fusk och missbruk kan aldrig accepteras. Regeringens insatser mot skattefusk är otillräckliga och fokuserar på åtgärder som inte kommer att få någon eller mycket begränsad effekt. Moderaterna vill stärka Skatteverkets arbete med att bekämpa skattefusk. Ett prioriterat uppdrag för Skatteverket är att identifiera nya länder som används för skatteflykt. </w:t>
      </w:r>
    </w:p>
    <w:p w:rsidRPr="009C104E" w:rsidR="00114242" w:rsidP="009C104E" w:rsidRDefault="00114242" w14:paraId="1455A0DE" w14:textId="217DC6BA">
      <w:pPr>
        <w:pStyle w:val="Rubrik3"/>
      </w:pPr>
      <w:r w:rsidRPr="009C104E">
        <w:t xml:space="preserve">Anslag 1:1 </w:t>
      </w:r>
    </w:p>
    <w:p w:rsidRPr="009C104E" w:rsidR="00114242" w:rsidP="009C104E" w:rsidRDefault="00114242" w14:paraId="1455A0DF" w14:textId="0F90EBB8">
      <w:pPr>
        <w:pStyle w:val="Normalutanindragellerluft"/>
      </w:pPr>
      <w:r w:rsidRPr="009C104E">
        <w:t xml:space="preserve">Vi föreslår ökat anslag till Skatteverket enligt ovan för att stärka </w:t>
      </w:r>
      <w:r w:rsidRPr="009C104E" w:rsidR="009C104E">
        <w:t>legitim</w:t>
      </w:r>
      <w:r w:rsidR="009C104E">
        <w:t>iteten</w:t>
      </w:r>
      <w:r w:rsidRPr="009C104E">
        <w:t xml:space="preserve"> i skattesystemet och försvåra att pengar göms undan utomlands. Sveriges internationella skatteavtal blir kontinuerligt fler och ökar nettoinflödet av kapital från de länder med vilka Sverige har avtal. Men skatteflykten riskerar att hitta nya vägar varför Skatteverket bör få i uppdrag att arbeta för att identifiera eventuella nya länder som utnyttjas för skatteflykt. Den snabbt växande delningsekonomin förändrar och utmanar våra traditionella föreställningar om hur framtidens skattesystem ska utformas. Vidare bör därför ingå i uppdraget att Skatteverket ska förbättra it-stöd och ad</w:t>
      </w:r>
      <w:r w:rsidRPr="009C104E">
        <w:lastRenderedPageBreak/>
        <w:t xml:space="preserve">ministrativt stöd för köpare och säljare inom delningsekonomin, för att förenkla administrationen samt säkerställa att skatteinbetalning sker på ett korrekt sätt. Vi ökar därför anslaget till myndigheten med totalt 40 miljoner kronor 2018. </w:t>
      </w:r>
    </w:p>
    <w:p w:rsidRPr="009C104E" w:rsidR="00114242" w:rsidP="009C104E" w:rsidRDefault="00114242" w14:paraId="1455A0E0" w14:textId="77777777">
      <w:pPr>
        <w:pStyle w:val="Rubrik3"/>
      </w:pPr>
      <w:r w:rsidRPr="009C104E">
        <w:t>Anslag 1:2</w:t>
      </w:r>
    </w:p>
    <w:p w:rsidRPr="009C104E" w:rsidR="00114242" w:rsidP="009C104E" w:rsidRDefault="00114242" w14:paraId="1455A0E1" w14:textId="47AD5326">
      <w:pPr>
        <w:pStyle w:val="Normalutanindragellerluft"/>
      </w:pPr>
      <w:r w:rsidRPr="009C104E">
        <w:t>Vi föreslår ökat anslag till Tullverket enligt ovan för att Tullverket ska kunna upprätthålla gränsskyddet. Tullverkets mångfacetterade verksamhet rymmer för samhället viktiga insatser</w:t>
      </w:r>
      <w:r w:rsidR="009C104E">
        <w:t>,</w:t>
      </w:r>
      <w:r w:rsidRPr="009C104E">
        <w:t xml:space="preserve"> och många delar av Tullverkets uppdrag har aktualiserats av omvärldssituationen</w:t>
      </w:r>
      <w:r w:rsidR="009C104E">
        <w:t>,</w:t>
      </w:r>
      <w:r w:rsidRPr="009C104E">
        <w:t xml:space="preserve"> och det ställs i dagsläget högre krav på Tullverket. Tullverkets verksamhet är avgörande för att handel ska flyta friktionsfritt och konkurrensneutraliteten upprätthållas för vårt näringsliv. En av Sveriges viktigaste handelspartners är Storbritannien. Landets beslut att lämna EU ställer krav på Tullverket att förbereda den förändring som det innebär för svensk handel. Tullverket är därutöver den myndighet som ska implementera Europeiska </w:t>
      </w:r>
      <w:r w:rsidR="00F670F6">
        <w:t>u</w:t>
      </w:r>
      <w:r w:rsidRPr="009C104E">
        <w:t>nionens nya tullkodex i Sverige. Parallellt med verksamhet för handel och konkurrensneutralitet ska Tullverket leva upp till medborgarnas förväntningar på att gränsskyddet upprätthålls för att bidra till ett tryggt samhälle. Myndigheten står inför förändrade förutsättningar för sitt uppdrag. Den traditionella smugglingen av narkotika, vapen, alkohol och tobak fortsätter samtidigt som nya områden tillkommer såsom punktskatter, terrorism, civilt försvar och förändrade satsningar inom samverkan mot den organiserade brottsligheten. Tullverket bör få i uppdrag att tillsammans med Kronofogdemyndigheten och Polismyndigheten löpande samverka och genomföra gemensamma kontroller för att komma åt finansiering av terrorism. Samtidigt bör Tullverket agera samordnat med Polismyndigheten i brottsbekämpande verksamhet kopplat till gränsbevakningen. Sammantaget behöver Tullverket ytterligare resurser för att kunna utföra sitt uppdrag att upprätthålla och stärka gränsskyddet. Vi ökar därför anslaget till myndigheten med totalt 150 miljoner kronor 2018 samt 200 miljoner kronor 2019 och 2020. Det är 39 miljoner mer än Tullverket begär för 2018 och totalt 175 miljoner kronor mer än regeringen 2018</w:t>
      </w:r>
      <w:r w:rsidR="00787293">
        <w:t>–</w:t>
      </w:r>
      <w:r w:rsidRPr="009C104E">
        <w:t>2020.</w:t>
      </w:r>
    </w:p>
    <w:p w:rsidR="00652B73" w:rsidP="00B53D64" w:rsidRDefault="00652B73" w14:paraId="1455A0E2" w14:textId="77777777">
      <w:pPr>
        <w:pStyle w:val="Normalutanindragellerluft"/>
      </w:pPr>
    </w:p>
    <w:sdt>
      <w:sdtPr>
        <w:alias w:val="CC_Underskrifter"/>
        <w:tag w:val="CC_Underskrifter"/>
        <w:id w:val="583496634"/>
        <w:lock w:val="sdtContentLocked"/>
        <w:placeholder>
          <w:docPart w:val="F0B2CD77D6454261A9F1C2462E00433A"/>
        </w:placeholder>
        <w15:appearance w15:val="hidden"/>
      </w:sdtPr>
      <w:sdtEndPr/>
      <w:sdtContent>
        <w:p w:rsidR="004801AC" w:rsidP="004C078B" w:rsidRDefault="00CC650A" w14:paraId="1455A0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927B13" w:rsidRDefault="00927B13" w14:paraId="1455A0ED" w14:textId="77777777"/>
    <w:sectPr w:rsidR="00927B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A0EF" w14:textId="77777777" w:rsidR="00114242" w:rsidRDefault="00114242" w:rsidP="000C1CAD">
      <w:pPr>
        <w:spacing w:line="240" w:lineRule="auto"/>
      </w:pPr>
      <w:r>
        <w:separator/>
      </w:r>
    </w:p>
  </w:endnote>
  <w:endnote w:type="continuationSeparator" w:id="0">
    <w:p w14:paraId="1455A0F0" w14:textId="77777777" w:rsidR="00114242" w:rsidRDefault="00114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A0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A0F6" w14:textId="06C5DB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650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5A0ED" w14:textId="77777777" w:rsidR="00114242" w:rsidRDefault="00114242" w:rsidP="000C1CAD">
      <w:pPr>
        <w:spacing w:line="240" w:lineRule="auto"/>
      </w:pPr>
      <w:r>
        <w:separator/>
      </w:r>
    </w:p>
  </w:footnote>
  <w:footnote w:type="continuationSeparator" w:id="0">
    <w:p w14:paraId="1455A0EE" w14:textId="77777777" w:rsidR="00114242" w:rsidRDefault="001142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55A0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5A100" wp14:anchorId="1455A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650A" w14:paraId="1455A101" w14:textId="77777777">
                          <w:pPr>
                            <w:jc w:val="right"/>
                          </w:pPr>
                          <w:sdt>
                            <w:sdtPr>
                              <w:alias w:val="CC_Noformat_Partikod"/>
                              <w:tag w:val="CC_Noformat_Partikod"/>
                              <w:id w:val="-53464382"/>
                              <w:text/>
                            </w:sdtPr>
                            <w:sdtEndPr/>
                            <w:sdtContent>
                              <w:r w:rsidR="00114242">
                                <w:t>M</w:t>
                              </w:r>
                            </w:sdtContent>
                          </w:sdt>
                          <w:sdt>
                            <w:sdtPr>
                              <w:alias w:val="CC_Noformat_Partinummer"/>
                              <w:tag w:val="CC_Noformat_Partinummer"/>
                              <w:id w:val="-1709555926"/>
                              <w:placeholder>
                                <w:docPart w:val="505CC9BEDE334BD1A4B3A21A03DDF3F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55A0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73A9" w14:paraId="1455A101" w14:textId="77777777">
                    <w:pPr>
                      <w:jc w:val="right"/>
                    </w:pPr>
                    <w:sdt>
                      <w:sdtPr>
                        <w:alias w:val="CC_Noformat_Partikod"/>
                        <w:tag w:val="CC_Noformat_Partikod"/>
                        <w:id w:val="-53464382"/>
                        <w:text/>
                      </w:sdtPr>
                      <w:sdtEndPr/>
                      <w:sdtContent>
                        <w:r w:rsidR="00114242">
                          <w:t>M</w:t>
                        </w:r>
                      </w:sdtContent>
                    </w:sdt>
                    <w:sdt>
                      <w:sdtPr>
                        <w:alias w:val="CC_Noformat_Partinummer"/>
                        <w:tag w:val="CC_Noformat_Partinummer"/>
                        <w:id w:val="-1709555926"/>
                        <w:placeholder>
                          <w:docPart w:val="505CC9BEDE334BD1A4B3A21A03DDF3F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455A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650A" w14:paraId="1455A0F3" w14:textId="77777777">
    <w:pPr>
      <w:jc w:val="right"/>
    </w:pPr>
    <w:sdt>
      <w:sdtPr>
        <w:alias w:val="CC_Noformat_Partikod"/>
        <w:tag w:val="CC_Noformat_Partikod"/>
        <w:id w:val="559911109"/>
        <w:placeholder>
          <w:docPart w:val="363A9B6A1E13461B9C7FA6908DBA1402"/>
        </w:placeholder>
        <w:text/>
      </w:sdtPr>
      <w:sdtEndPr/>
      <w:sdtContent>
        <w:r w:rsidR="00114242">
          <w:t>M</w:t>
        </w:r>
      </w:sdtContent>
    </w:sdt>
    <w:sdt>
      <w:sdtPr>
        <w:alias w:val="CC_Noformat_Partinummer"/>
        <w:tag w:val="CC_Noformat_Partinummer"/>
        <w:id w:val="1197820850"/>
        <w:placeholder>
          <w:docPart w:val="9D1E35CDECE84DF79794860301CDA253"/>
        </w:placeholder>
        <w:showingPlcHdr/>
        <w:text/>
      </w:sdtPr>
      <w:sdtEndPr/>
      <w:sdtContent>
        <w:r w:rsidR="004F35FE">
          <w:t xml:space="preserve"> </w:t>
        </w:r>
      </w:sdtContent>
    </w:sdt>
  </w:p>
  <w:p w:rsidR="004F35FE" w:rsidP="00776B74" w:rsidRDefault="004F35FE" w14:paraId="1455A0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650A" w14:paraId="1455A0F7" w14:textId="77777777">
    <w:pPr>
      <w:jc w:val="right"/>
    </w:pPr>
    <w:sdt>
      <w:sdtPr>
        <w:alias w:val="CC_Noformat_Partikod"/>
        <w:tag w:val="CC_Noformat_Partikod"/>
        <w:id w:val="1471015553"/>
        <w:text/>
      </w:sdtPr>
      <w:sdtEndPr/>
      <w:sdtContent>
        <w:r w:rsidR="00114242">
          <w:t>M</w:t>
        </w:r>
      </w:sdtContent>
    </w:sdt>
    <w:sdt>
      <w:sdtPr>
        <w:alias w:val="CC_Noformat_Partinummer"/>
        <w:tag w:val="CC_Noformat_Partinummer"/>
        <w:id w:val="-2014525982"/>
        <w:placeholder>
          <w:docPart w:val="A053DE8DAEBF41FE9848E6D62385FB75"/>
        </w:placeholder>
        <w:showingPlcHdr/>
        <w:text/>
      </w:sdtPr>
      <w:sdtEndPr/>
      <w:sdtContent>
        <w:r w:rsidR="004F35FE">
          <w:t xml:space="preserve"> </w:t>
        </w:r>
      </w:sdtContent>
    </w:sdt>
  </w:p>
  <w:p w:rsidR="004F35FE" w:rsidP="00A314CF" w:rsidRDefault="00CC650A" w14:paraId="1455A0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C650A" w14:paraId="1455A0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650A" w14:paraId="1455A0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50A303952A44D8B8B60612845372DB5"/>
        </w:placeholder>
        <w:showingPlcHdr/>
        <w15:appearance w15:val="hidden"/>
        <w:text/>
      </w:sdtPr>
      <w:sdtEndPr>
        <w:rPr>
          <w:rStyle w:val="Rubrik1Char"/>
          <w:rFonts w:asciiTheme="majorHAnsi" w:hAnsiTheme="majorHAnsi"/>
          <w:sz w:val="38"/>
        </w:rPr>
      </w:sdtEndPr>
      <w:sdtContent>
        <w:r>
          <w:t>:3840</w:t>
        </w:r>
      </w:sdtContent>
    </w:sdt>
  </w:p>
  <w:p w:rsidR="004F35FE" w:rsidP="00E03A3D" w:rsidRDefault="00CC650A" w14:paraId="1455A0FB"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114242" w14:paraId="1455A0FC"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455A0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556885"/>
    <w:multiLevelType w:val="hybridMultilevel"/>
    <w:tmpl w:val="A90CA7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232"/>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242"/>
    <w:rsid w:val="00114C71"/>
    <w:rsid w:val="00114CAC"/>
    <w:rsid w:val="001152A4"/>
    <w:rsid w:val="001153D8"/>
    <w:rsid w:val="00115783"/>
    <w:rsid w:val="00116172"/>
    <w:rsid w:val="00116EED"/>
    <w:rsid w:val="00117500"/>
    <w:rsid w:val="00117D7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1D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7E2"/>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EB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F68"/>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9D2"/>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34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2D6"/>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8B"/>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9CC"/>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3"/>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15A"/>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6F5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B13"/>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861"/>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E2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04E"/>
    <w:rsid w:val="009C1667"/>
    <w:rsid w:val="009C186D"/>
    <w:rsid w:val="009C313E"/>
    <w:rsid w:val="009C340B"/>
    <w:rsid w:val="009C418E"/>
    <w:rsid w:val="009C44BD"/>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41C"/>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50A"/>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45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0F6"/>
    <w:rsid w:val="00F70E2B"/>
    <w:rsid w:val="00F7702C"/>
    <w:rsid w:val="00F77A2D"/>
    <w:rsid w:val="00F77C89"/>
    <w:rsid w:val="00F80EE2"/>
    <w:rsid w:val="00F80FD0"/>
    <w:rsid w:val="00F83BAB"/>
    <w:rsid w:val="00F841E1"/>
    <w:rsid w:val="00F84A98"/>
    <w:rsid w:val="00F8590E"/>
    <w:rsid w:val="00F85F2A"/>
    <w:rsid w:val="00F87AAF"/>
    <w:rsid w:val="00F87C8C"/>
    <w:rsid w:val="00F903F2"/>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3A9"/>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F2B"/>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55A0B1"/>
  <w15:chartTrackingRefBased/>
  <w15:docId w15:val="{5041045D-E517-43CB-B2A9-2BFE23EC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EA8CD9AD744513AE05D2BC90737CB9"/>
        <w:category>
          <w:name w:val="Allmänt"/>
          <w:gallery w:val="placeholder"/>
        </w:category>
        <w:types>
          <w:type w:val="bbPlcHdr"/>
        </w:types>
        <w:behaviors>
          <w:behavior w:val="content"/>
        </w:behaviors>
        <w:guid w:val="{FD99CE12-9692-48DC-8666-0DFCB3E2D071}"/>
      </w:docPartPr>
      <w:docPartBody>
        <w:p w:rsidR="00E41159" w:rsidRDefault="00E41159">
          <w:pPr>
            <w:pStyle w:val="F9EA8CD9AD744513AE05D2BC90737CB9"/>
          </w:pPr>
          <w:r w:rsidRPr="005A0A93">
            <w:rPr>
              <w:rStyle w:val="Platshllartext"/>
            </w:rPr>
            <w:t>Förslag till riksdagsbeslut</w:t>
          </w:r>
        </w:p>
      </w:docPartBody>
    </w:docPart>
    <w:docPart>
      <w:docPartPr>
        <w:name w:val="363A9B6A1E13461B9C7FA6908DBA1402"/>
        <w:category>
          <w:name w:val="Allmänt"/>
          <w:gallery w:val="placeholder"/>
        </w:category>
        <w:types>
          <w:type w:val="bbPlcHdr"/>
        </w:types>
        <w:behaviors>
          <w:behavior w:val="content"/>
        </w:behaviors>
        <w:guid w:val="{FEE1CE72-EC61-402A-89BC-1E478E699DB9}"/>
      </w:docPartPr>
      <w:docPartBody>
        <w:p w:rsidR="00E41159" w:rsidRDefault="00E41159">
          <w:pPr>
            <w:pStyle w:val="363A9B6A1E13461B9C7FA6908DBA1402"/>
          </w:pPr>
          <w:r>
            <w:t xml:space="preserve"> </w:t>
          </w:r>
        </w:p>
      </w:docPartBody>
    </w:docPart>
    <w:docPart>
      <w:docPartPr>
        <w:name w:val="F0B2CD77D6454261A9F1C2462E00433A"/>
        <w:category>
          <w:name w:val="Allmänt"/>
          <w:gallery w:val="placeholder"/>
        </w:category>
        <w:types>
          <w:type w:val="bbPlcHdr"/>
        </w:types>
        <w:behaviors>
          <w:behavior w:val="content"/>
        </w:behaviors>
        <w:guid w:val="{44C2C5DB-AB7F-45C3-A53A-DA53FC8C9900}"/>
      </w:docPartPr>
      <w:docPartBody>
        <w:p w:rsidR="00746D7B" w:rsidRDefault="00746D7B"/>
      </w:docPartBody>
    </w:docPart>
    <w:docPart>
      <w:docPartPr>
        <w:name w:val="505CC9BEDE334BD1A4B3A21A03DDF3F6"/>
        <w:category>
          <w:name w:val="Allmänt"/>
          <w:gallery w:val="placeholder"/>
        </w:category>
        <w:types>
          <w:type w:val="bbPlcHdr"/>
        </w:types>
        <w:behaviors>
          <w:behavior w:val="content"/>
        </w:behaviors>
        <w:guid w:val="{4F094365-BA0D-4171-81EA-623F6BF88E03}"/>
      </w:docPartPr>
      <w:docPartBody>
        <w:p w:rsidR="00746D7B" w:rsidRDefault="00551F00">
          <w:r>
            <w:t xml:space="preserve"> </w:t>
          </w:r>
        </w:p>
      </w:docPartBody>
    </w:docPart>
    <w:docPart>
      <w:docPartPr>
        <w:name w:val="9D1E35CDECE84DF79794860301CDA253"/>
        <w:category>
          <w:name w:val="Allmänt"/>
          <w:gallery w:val="placeholder"/>
        </w:category>
        <w:types>
          <w:type w:val="bbPlcHdr"/>
        </w:types>
        <w:behaviors>
          <w:behavior w:val="content"/>
        </w:behaviors>
        <w:guid w:val="{866215CB-C030-4940-A0DC-D119156A9EC3}"/>
      </w:docPartPr>
      <w:docPartBody>
        <w:p w:rsidR="00746D7B" w:rsidRDefault="00551F00">
          <w:r>
            <w:t xml:space="preserve"> </w:t>
          </w:r>
        </w:p>
      </w:docPartBody>
    </w:docPart>
    <w:docPart>
      <w:docPartPr>
        <w:name w:val="A053DE8DAEBF41FE9848E6D62385FB75"/>
        <w:category>
          <w:name w:val="Allmänt"/>
          <w:gallery w:val="placeholder"/>
        </w:category>
        <w:types>
          <w:type w:val="bbPlcHdr"/>
        </w:types>
        <w:behaviors>
          <w:behavior w:val="content"/>
        </w:behaviors>
        <w:guid w:val="{96DEC6EA-71AE-4B1F-8C78-F96A2B7B7044}"/>
      </w:docPartPr>
      <w:docPartBody>
        <w:p w:rsidR="00746D7B" w:rsidRDefault="00551F00">
          <w:r>
            <w:t xml:space="preserve"> </w:t>
          </w:r>
        </w:p>
      </w:docPartBody>
    </w:docPart>
    <w:docPart>
      <w:docPartPr>
        <w:name w:val="A50A303952A44D8B8B60612845372DB5"/>
        <w:category>
          <w:name w:val="Allmänt"/>
          <w:gallery w:val="placeholder"/>
        </w:category>
        <w:types>
          <w:type w:val="bbPlcHdr"/>
        </w:types>
        <w:behaviors>
          <w:behavior w:val="content"/>
        </w:behaviors>
        <w:guid w:val="{8B1C224A-8607-4617-82CD-CB54CF401F3A}"/>
      </w:docPartPr>
      <w:docPartBody>
        <w:p w:rsidR="00746D7B" w:rsidRDefault="00551F00">
          <w:r>
            <w:t>:3840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59"/>
    <w:rsid w:val="00551F00"/>
    <w:rsid w:val="006D32AA"/>
    <w:rsid w:val="00746D7B"/>
    <w:rsid w:val="00E41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F00"/>
    <w:rPr>
      <w:color w:val="F4B083" w:themeColor="accent2" w:themeTint="99"/>
    </w:rPr>
  </w:style>
  <w:style w:type="paragraph" w:customStyle="1" w:styleId="F9EA8CD9AD744513AE05D2BC90737CB9">
    <w:name w:val="F9EA8CD9AD744513AE05D2BC90737CB9"/>
  </w:style>
  <w:style w:type="paragraph" w:customStyle="1" w:styleId="68782066D738460AAF1DA6CAEE39B2E7">
    <w:name w:val="68782066D738460AAF1DA6CAEE39B2E7"/>
  </w:style>
  <w:style w:type="paragraph" w:customStyle="1" w:styleId="97AC3C1C59204700AFDDB37ADD327DA6">
    <w:name w:val="97AC3C1C59204700AFDDB37ADD327DA6"/>
  </w:style>
  <w:style w:type="paragraph" w:customStyle="1" w:styleId="C0481DEFD6F8482D84C68A04327D4BD4">
    <w:name w:val="C0481DEFD6F8482D84C68A04327D4BD4"/>
  </w:style>
  <w:style w:type="paragraph" w:customStyle="1" w:styleId="E1A9A30045824262B1CE15D318097E73">
    <w:name w:val="E1A9A30045824262B1CE15D318097E73"/>
  </w:style>
  <w:style w:type="paragraph" w:customStyle="1" w:styleId="33F5D36AE8B442FCA9568F86164FAB47">
    <w:name w:val="33F5D36AE8B442FCA9568F86164FAB47"/>
  </w:style>
  <w:style w:type="paragraph" w:customStyle="1" w:styleId="363A9B6A1E13461B9C7FA6908DBA1402">
    <w:name w:val="363A9B6A1E13461B9C7FA6908DBA1402"/>
  </w:style>
  <w:style w:type="paragraph" w:customStyle="1" w:styleId="98409690F6A34D19AB8B14302A12A867">
    <w:name w:val="98409690F6A34D19AB8B14302A12A867"/>
    <w:rsid w:val="006D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BDF2A-871D-4689-8566-90EB531DABB6}"/>
</file>

<file path=customXml/itemProps2.xml><?xml version="1.0" encoding="utf-8"?>
<ds:datastoreItem xmlns:ds="http://schemas.openxmlformats.org/officeDocument/2006/customXml" ds:itemID="{EB354E93-433B-4454-A798-B180ED74DD4B}"/>
</file>

<file path=customXml/itemProps3.xml><?xml version="1.0" encoding="utf-8"?>
<ds:datastoreItem xmlns:ds="http://schemas.openxmlformats.org/officeDocument/2006/customXml" ds:itemID="{044316C7-F032-4A89-9E9C-238E83933F78}"/>
</file>

<file path=docProps/app.xml><?xml version="1.0" encoding="utf-8"?>
<Properties xmlns="http://schemas.openxmlformats.org/officeDocument/2006/extended-properties" xmlns:vt="http://schemas.openxmlformats.org/officeDocument/2006/docPropsVTypes">
  <Template>Normal</Template>
  <TotalTime>166</TotalTime>
  <Pages>3</Pages>
  <Words>869</Words>
  <Characters>5365</Characters>
  <Application>Microsoft Office Word</Application>
  <DocSecurity>0</DocSecurity>
  <Lines>111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3 Skatt  tull och exekution</vt:lpstr>
      <vt:lpstr>
      </vt:lpstr>
    </vt:vector>
  </TitlesOfParts>
  <Company>Sveriges riksdag</Company>
  <LinksUpToDate>false</LinksUpToDate>
  <CharactersWithSpaces>6188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