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F5A" w:rsidRPr="00C75192" w:rsidRDefault="009E3F5A">
      <w:pPr>
        <w:pStyle w:val="Frslagsrubrik"/>
      </w:pPr>
      <w:r w:rsidRPr="00C75192">
        <w:t>Förslag till riksdagsbeslut</w:t>
      </w:r>
    </w:p>
    <w:p w:rsidR="009E3F5A" w:rsidRPr="00C75192" w:rsidRDefault="009E3F5A">
      <w:pPr>
        <w:pStyle w:val="Hemstlatt"/>
        <w:ind w:left="0"/>
      </w:pPr>
      <w:r w:rsidRPr="00C75192">
        <w:t>Riksdagen tillkännager för regeringen som sin mening vad som anförs i motionen om att regeringen ska utarbeta en strategi för a</w:t>
      </w:r>
      <w:r w:rsidRPr="00C75192">
        <w:t>n</w:t>
      </w:r>
      <w:r w:rsidRPr="00C75192">
        <w:t>passa  Sveriges statliga exportorgan till politiken för global utvec</w:t>
      </w:r>
      <w:r w:rsidRPr="00C75192">
        <w:t>k</w:t>
      </w:r>
      <w:r w:rsidRPr="00C75192">
        <w:t>ling.</w:t>
      </w:r>
    </w:p>
    <w:p w:rsidR="009E3F5A" w:rsidRPr="00C75192" w:rsidRDefault="009E3F5A">
      <w:pPr>
        <w:pStyle w:val="Rubrik1"/>
      </w:pPr>
      <w:r w:rsidRPr="00C75192">
        <w:t>Bakgrund</w:t>
      </w:r>
    </w:p>
    <w:p w:rsidR="009E3F5A" w:rsidRPr="00C75192" w:rsidRDefault="009E3F5A">
      <w:pPr>
        <w:rPr>
          <w:b/>
        </w:rPr>
      </w:pPr>
      <w:r w:rsidRPr="00C75192">
        <w:t>Svenska staten bedriver exportfrämjande verksamhet genom Exportkredi</w:t>
      </w:r>
      <w:r w:rsidRPr="00C75192">
        <w:t>t</w:t>
      </w:r>
      <w:r w:rsidRPr="00C75192">
        <w:t>nämnden, Svensk Exportkredit och Exportrådet. Dessa tre organ lyder under Utrikesdepartementet, med handelsministern som ansvarig minister.</w:t>
      </w:r>
    </w:p>
    <w:p w:rsidR="009E3F5A" w:rsidRPr="00C75192" w:rsidRDefault="009E3F5A">
      <w:pPr>
        <w:pStyle w:val="Normaltindrag"/>
      </w:pPr>
      <w:r w:rsidRPr="00C75192">
        <w:t>Exportörer som söker exportfinansiering åläggs, i relevanta fall, att tillha</w:t>
      </w:r>
      <w:r w:rsidRPr="00C75192">
        <w:t>n</w:t>
      </w:r>
      <w:r w:rsidRPr="00C75192">
        <w:t>dahålla en miljökonsekvensbeskrivning. Något liknande krav avseende e</w:t>
      </w:r>
      <w:r w:rsidRPr="00C75192">
        <w:t>x</w:t>
      </w:r>
      <w:r w:rsidRPr="00C75192">
        <w:t>portsatsningens konsekvenser för mänskliga rättigheter och fattigdomsb</w:t>
      </w:r>
      <w:r w:rsidRPr="00C75192">
        <w:t>e</w:t>
      </w:r>
      <w:r w:rsidRPr="00C75192">
        <w:t>kämpning föreligger i dagsläget inte. Detta är en uppenbar brist och står i strid med politiken för global utveckling (PGU), som antogs av en enhällig riksdag 2003 och som slår fast att alla politikområden – inklusive handel – ska främja mänskliga rättigheter och utgå från fattiga människors behov och perspektiv.</w:t>
      </w:r>
    </w:p>
    <w:p w:rsidR="009E3F5A" w:rsidRPr="00C75192" w:rsidRDefault="009E3F5A">
      <w:pPr>
        <w:pStyle w:val="Normaltindrag"/>
      </w:pPr>
      <w:r w:rsidRPr="00C75192">
        <w:t>Exportkreditinstitutionernas uppdrag behöver därför rev</w:t>
      </w:r>
      <w:r w:rsidRPr="00C75192">
        <w:t>ideras så att ver</w:t>
      </w:r>
      <w:r w:rsidRPr="00C75192">
        <w:t>k</w:t>
      </w:r>
      <w:r w:rsidRPr="00C75192">
        <w:t>samheten styrs av ett starkt regelverk för skydd och främjande av mänskliga rättigheter. Utrikesdepartementet måste utarbeta en strategi som klargör vad PGU har för innebörd för det statsstödda exportfrämjandet, och på grundval av en sådan strategi bör detaljerade mål och instrument utvecklas för de e</w:t>
      </w:r>
      <w:r w:rsidRPr="00C75192">
        <w:t>n</w:t>
      </w:r>
      <w:r w:rsidRPr="00C75192">
        <w:t>skilda exportorganen, inklusive UD:s eget exportfrämjande genom bland annat ambassaderna.</w:t>
      </w:r>
    </w:p>
    <w:p w:rsidR="009E3F5A" w:rsidRPr="00C75192" w:rsidRDefault="009E3F5A">
      <w:pPr>
        <w:pStyle w:val="Rubrik3"/>
      </w:pPr>
      <w:r w:rsidRPr="00C75192">
        <w:lastRenderedPageBreak/>
        <w:t>En PGU-anpassning av exportfrämjandet bör inbegripa:</w:t>
      </w:r>
    </w:p>
    <w:p w:rsidR="009E3F5A" w:rsidRPr="00C75192" w:rsidRDefault="009E3F5A">
      <w:pPr>
        <w:pStyle w:val="PunktlistaBomb"/>
      </w:pPr>
      <w:r w:rsidRPr="00C75192">
        <w:t>Transparens. Den omfattande affärs- och banksekretessen som omgärdar det statsstödda exportfrämjandet måste ses över. Den transparensgaranti som gäller för biståndet behöver utvidgas till att även gälla alla instituti</w:t>
      </w:r>
      <w:r w:rsidRPr="00C75192">
        <w:t>o</w:t>
      </w:r>
      <w:r w:rsidRPr="00C75192">
        <w:t>ner som på statligt uppdrag eller med statliga medel stödjer svensk export till fattiga länder. Om det faktum att Svensk Exportkredit (SEK) är ett a</w:t>
      </w:r>
      <w:r w:rsidRPr="00C75192">
        <w:t>k</w:t>
      </w:r>
      <w:r w:rsidRPr="00C75192">
        <w:t>tiebolag omöjliggör öppenhet, bör institutionsformen ses över.</w:t>
      </w:r>
    </w:p>
    <w:p w:rsidR="009E3F5A" w:rsidRPr="00C75192" w:rsidRDefault="009E3F5A">
      <w:pPr>
        <w:pStyle w:val="PunktlistaBomb"/>
        <w:spacing w:before="0"/>
      </w:pPr>
      <w:r w:rsidRPr="00C75192">
        <w:t>Informationsspridning. Exportkreditinstitutionerna bör åläggas att i sa</w:t>
      </w:r>
      <w:r w:rsidRPr="00C75192">
        <w:t>m</w:t>
      </w:r>
      <w:r w:rsidRPr="00C75192">
        <w:t>band med sin prövning – och innan beslut – publicera information om mi</w:t>
      </w:r>
      <w:r w:rsidRPr="00C75192">
        <w:t>l</w:t>
      </w:r>
      <w:r w:rsidRPr="00C75192">
        <w:t>jöpåverkan, arbetsförhållanden och mänskliga rättigheter i alla större aff</w:t>
      </w:r>
      <w:r w:rsidRPr="00C75192">
        <w:t>ä</w:t>
      </w:r>
      <w:r w:rsidRPr="00C75192">
        <w:t>rer, och i samtliga affärer i sektorer och länder där riskerna för MR-kränkningar och negativ miljöpåverkan är särskilt stora. Denna inform</w:t>
      </w:r>
      <w:r w:rsidRPr="00C75192">
        <w:t>a</w:t>
      </w:r>
      <w:r w:rsidRPr="00C75192">
        <w:t>tion måste även finnas tillgänglig på lokala språk i de områden som berörs av affärerna.</w:t>
      </w:r>
    </w:p>
    <w:p w:rsidR="009E3F5A" w:rsidRPr="00C75192" w:rsidRDefault="009E3F5A">
      <w:pPr>
        <w:pStyle w:val="PunktlistaBomb"/>
        <w:spacing w:before="0"/>
      </w:pPr>
      <w:r w:rsidRPr="00C75192">
        <w:t>Överklagandemöjlighet. De större internationella finansieringsinstituti</w:t>
      </w:r>
      <w:r w:rsidRPr="00C75192">
        <w:t>o</w:t>
      </w:r>
      <w:r w:rsidRPr="00C75192">
        <w:t>nerna – Världsbanken, Internationella Valutafonden, de regionala utvec</w:t>
      </w:r>
      <w:r w:rsidRPr="00C75192">
        <w:t>k</w:t>
      </w:r>
      <w:r w:rsidRPr="00C75192">
        <w:t>lingsbankerna med flera – har alla någon form av mekanism där personer som påverkats negativt av de affärer som finansierats kan klaga och i vissa fall söka gottgörelse för skada de åsamkats. Det är hög tid att även det svenska statliga exportfrämjandet förses med en överklagandemekanism.</w:t>
      </w:r>
    </w:p>
    <w:p w:rsidR="009E3F5A" w:rsidRPr="00C75192" w:rsidRDefault="009E3F5A">
      <w:pPr>
        <w:pStyle w:val="PunktlistaBomb"/>
        <w:spacing w:before="0"/>
      </w:pPr>
      <w:r w:rsidRPr="00C75192">
        <w:t xml:space="preserve">Tydliga regler och rutiner för uppföljning och utvärdering av de främjade exportaffärernas effekter i förhållande till PGU-målen behöver införas, och </w:t>
      </w:r>
      <w:r w:rsidRPr="00C75192">
        <w:t>resultaten bör redovisas öppet.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5192">
        <w:trPr>
          <w:cantSplit/>
        </w:trPr>
        <w:tc>
          <w:tcPr>
            <w:tcW w:w="3046" w:type="dxa"/>
          </w:tcPr>
          <w:p w:rsidR="009E3F5A" w:rsidRPr="00C75192" w:rsidRDefault="009E3F5A">
            <w:pPr>
              <w:pStyle w:val="UnderskriftDatum"/>
              <w:spacing w:before="240"/>
            </w:pPr>
            <w:r w:rsidRPr="00C75192">
              <w:t>Stockholm den 5 oktober 2011</w:t>
            </w:r>
          </w:p>
        </w:tc>
        <w:tc>
          <w:tcPr>
            <w:tcW w:w="3047" w:type="dxa"/>
          </w:tcPr>
          <w:p w:rsidR="009E3F5A" w:rsidRPr="00C75192" w:rsidRDefault="009E3F5A">
            <w:pPr>
              <w:pStyle w:val="Underskrifter"/>
              <w:spacing w:before="240"/>
            </w:pPr>
          </w:p>
        </w:tc>
      </w:tr>
      <w:tr w:rsidR="00000000" w:rsidRPr="00C75192">
        <w:trPr>
          <w:cantSplit/>
        </w:trPr>
        <w:tc>
          <w:tcPr>
            <w:tcW w:w="3046" w:type="dxa"/>
          </w:tcPr>
          <w:p w:rsidR="009E3F5A" w:rsidRPr="00C75192" w:rsidRDefault="009E3F5A">
            <w:pPr>
              <w:pStyle w:val="Underskrifter"/>
            </w:pPr>
            <w:r w:rsidRPr="00C75192">
              <w:t>Valter Mutt (MP)</w:t>
            </w:r>
          </w:p>
        </w:tc>
        <w:tc>
          <w:tcPr>
            <w:tcW w:w="3046" w:type="dxa"/>
          </w:tcPr>
          <w:p w:rsidR="009E3F5A" w:rsidRPr="00C75192" w:rsidRDefault="009E3F5A">
            <w:pPr>
              <w:pStyle w:val="Underskrifter"/>
            </w:pPr>
          </w:p>
        </w:tc>
      </w:tr>
      <w:tr w:rsidR="00000000" w:rsidRPr="00C75192">
        <w:trPr>
          <w:cantSplit/>
        </w:trPr>
        <w:tc>
          <w:tcPr>
            <w:tcW w:w="3046" w:type="dxa"/>
          </w:tcPr>
          <w:p w:rsidR="009E3F5A" w:rsidRPr="00C75192" w:rsidRDefault="009E3F5A">
            <w:pPr>
              <w:pStyle w:val="Underskrifter"/>
            </w:pPr>
            <w:r w:rsidRPr="00C75192">
              <w:t>Bodil Ceballos (MP)</w:t>
            </w:r>
          </w:p>
        </w:tc>
        <w:tc>
          <w:tcPr>
            <w:tcW w:w="3046" w:type="dxa"/>
          </w:tcPr>
          <w:p w:rsidR="009E3F5A" w:rsidRPr="00C75192" w:rsidRDefault="009E3F5A">
            <w:pPr>
              <w:pStyle w:val="Underskrifter"/>
            </w:pPr>
            <w:r w:rsidRPr="00C75192">
              <w:t>Peter Rådberg (MP)</w:t>
            </w:r>
          </w:p>
        </w:tc>
      </w:tr>
      <w:tr w:rsidR="00000000" w:rsidRPr="00C75192">
        <w:trPr>
          <w:cantSplit/>
        </w:trPr>
        <w:tc>
          <w:tcPr>
            <w:tcW w:w="3046" w:type="dxa"/>
          </w:tcPr>
          <w:p w:rsidR="009E3F5A" w:rsidRPr="00C75192" w:rsidRDefault="009E3F5A">
            <w:pPr>
              <w:pStyle w:val="Underskrifter"/>
            </w:pPr>
            <w:r w:rsidRPr="00C75192">
              <w:t>Annika Lillemets (MP)</w:t>
            </w:r>
          </w:p>
        </w:tc>
        <w:tc>
          <w:tcPr>
            <w:tcW w:w="3046" w:type="dxa"/>
          </w:tcPr>
          <w:p w:rsidR="009E3F5A" w:rsidRPr="00C75192" w:rsidRDefault="009E3F5A">
            <w:pPr>
              <w:pStyle w:val="Underskrifter"/>
            </w:pPr>
            <w:r w:rsidRPr="00C75192">
              <w:t>Jabar Amin (MP)</w:t>
            </w:r>
          </w:p>
        </w:tc>
      </w:tr>
      <w:tr w:rsidR="00000000" w:rsidRPr="00C75192">
        <w:trPr>
          <w:cantSplit/>
        </w:trPr>
        <w:tc>
          <w:tcPr>
            <w:tcW w:w="3046" w:type="dxa"/>
          </w:tcPr>
          <w:p w:rsidR="009E3F5A" w:rsidRPr="00C75192" w:rsidRDefault="009E3F5A">
            <w:pPr>
              <w:pStyle w:val="Underskrifter"/>
            </w:pPr>
            <w:r w:rsidRPr="00C75192">
              <w:t>Jonas Eriksson (MP)</w:t>
            </w:r>
          </w:p>
        </w:tc>
        <w:tc>
          <w:tcPr>
            <w:tcW w:w="3046" w:type="dxa"/>
          </w:tcPr>
          <w:p w:rsidR="009E3F5A" w:rsidRPr="00C75192" w:rsidRDefault="009E3F5A">
            <w:pPr>
              <w:pStyle w:val="Underskrifter"/>
            </w:pPr>
            <w:r w:rsidRPr="00C75192">
              <w:t>Ulf Holm (MP)</w:t>
            </w:r>
          </w:p>
        </w:tc>
      </w:tr>
      <w:tr w:rsidR="00000000" w:rsidRPr="00C75192">
        <w:trPr>
          <w:cantSplit/>
        </w:trPr>
        <w:tc>
          <w:tcPr>
            <w:tcW w:w="3046" w:type="dxa"/>
          </w:tcPr>
          <w:p w:rsidR="009E3F5A" w:rsidRPr="00C75192" w:rsidRDefault="009E3F5A">
            <w:pPr>
              <w:pStyle w:val="Underskrifter"/>
            </w:pPr>
            <w:r w:rsidRPr="00C75192">
              <w:t>Jan Lindholm (MP)</w:t>
            </w:r>
          </w:p>
        </w:tc>
        <w:tc>
          <w:tcPr>
            <w:tcW w:w="3046" w:type="dxa"/>
          </w:tcPr>
          <w:p w:rsidR="009E3F5A" w:rsidRPr="00C75192" w:rsidRDefault="009E3F5A">
            <w:pPr>
              <w:pStyle w:val="Underskrifter"/>
            </w:pPr>
            <w:r w:rsidRPr="00C75192">
              <w:t>Mats Pertoft (MP)</w:t>
            </w:r>
          </w:p>
        </w:tc>
      </w:tr>
    </w:tbl>
    <w:p w:rsidR="009E3F5A" w:rsidRPr="00C75192" w:rsidRDefault="009E3F5A">
      <w:pPr>
        <w:pStyle w:val="Normaltindrag"/>
      </w:pPr>
    </w:p>
    <w:sectPr w:rsidR="009E3F5A" w:rsidRPr="00C751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F5A" w:rsidRPr="00C75192" w:rsidRDefault="009E3F5A">
      <w:r w:rsidRPr="00C75192">
        <w:separator/>
      </w:r>
    </w:p>
  </w:endnote>
  <w:endnote w:type="continuationSeparator" w:id="0">
    <w:p w:rsidR="009E3F5A" w:rsidRPr="00C75192" w:rsidRDefault="009E3F5A">
      <w:r w:rsidRPr="00C751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5A" w:rsidRPr="00C75192" w:rsidRDefault="00C75192">
    <w:pPr>
      <w:pStyle w:val="Sidfot"/>
    </w:pPr>
    <w:r w:rsidRPr="00C751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39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F5A" w:rsidRDefault="009E3F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F5A" w:rsidRDefault="009E3F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5A" w:rsidRPr="00C75192" w:rsidRDefault="00C75192">
    <w:pPr>
      <w:pStyle w:val="Sidfot"/>
    </w:pPr>
    <w:r w:rsidRPr="00C751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025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F5A" w:rsidRDefault="009E3F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F5A" w:rsidRDefault="009E3F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5A" w:rsidRPr="00C75192" w:rsidRDefault="00C75192">
    <w:pPr>
      <w:pStyle w:val="Sidfot"/>
    </w:pPr>
    <w:r w:rsidRPr="00C751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791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F5A" w:rsidRDefault="009E3F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F5A" w:rsidRDefault="009E3F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F5A" w:rsidRPr="00C75192" w:rsidRDefault="009E3F5A">
      <w:r w:rsidRPr="00C75192">
        <w:separator/>
      </w:r>
    </w:p>
  </w:footnote>
  <w:footnote w:type="continuationSeparator" w:id="0">
    <w:p w:rsidR="009E3F5A" w:rsidRPr="00C75192" w:rsidRDefault="009E3F5A">
      <w:r w:rsidRPr="00C751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5A" w:rsidRPr="00C75192" w:rsidRDefault="00C75192">
    <w:pPr>
      <w:pStyle w:val="Sidhuvud"/>
    </w:pPr>
    <w:r w:rsidRPr="00C751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546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F5A" w:rsidRDefault="009E3F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F5A" w:rsidRDefault="009E3F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5A" w:rsidRPr="00C75192" w:rsidRDefault="00C75192">
    <w:pPr>
      <w:pStyle w:val="Sidhuvud"/>
    </w:pPr>
    <w:r w:rsidRPr="00C751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498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F5A" w:rsidRDefault="009E3F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F5A" w:rsidRDefault="009E3F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5A" w:rsidRPr="00C75192" w:rsidRDefault="009E3F5A">
    <w:pPr>
      <w:pStyle w:val="FSHNormal"/>
      <w:tabs>
        <w:tab w:val="right" w:pos="5840"/>
      </w:tabs>
    </w:pPr>
    <w:r w:rsidRPr="00C75192">
      <w:br/>
    </w:r>
    <w:r w:rsidRPr="00C75192">
      <w:fldChar w:fldCharType="begin" w:fldLock="1"/>
    </w:r>
    <w:r w:rsidRPr="00C75192">
      <w:instrText xml:space="preserve"> DOCPROPERTY</w:instrText>
    </w:r>
    <w:r w:rsidRPr="00C75192">
      <w:rPr>
        <w:sz w:val="18"/>
      </w:rPr>
      <w:instrText xml:space="preserve"> "YearUser" *\charformat </w:instrText>
    </w:r>
    <w:r w:rsidRPr="00C75192">
      <w:fldChar w:fldCharType="separate"/>
    </w:r>
    <w:r w:rsidRPr="00C75192">
      <w:t>2011/12</w:t>
    </w:r>
    <w:r w:rsidRPr="00C75192">
      <w:fldChar w:fldCharType="end"/>
    </w:r>
    <w:r w:rsidRPr="00C75192">
      <w:t xml:space="preserve"> </w:t>
    </w:r>
    <w:r w:rsidRPr="00C75192">
      <w:tab/>
      <w:t xml:space="preserve">mnr: </w:t>
    </w:r>
    <w:r w:rsidRPr="00C75192">
      <w:fldChar w:fldCharType="begin" w:fldLock="1"/>
    </w:r>
    <w:r w:rsidRPr="00C75192">
      <w:instrText xml:space="preserve"> DOCPROPERTY</w:instrText>
    </w:r>
    <w:r w:rsidRPr="00C75192">
      <w:rPr>
        <w:sz w:val="18"/>
      </w:rPr>
      <w:instrText xml:space="preserve"> "Motionsnummer" *\charformat </w:instrText>
    </w:r>
    <w:r w:rsidRPr="00C75192">
      <w:fldChar w:fldCharType="separate"/>
    </w:r>
    <w:r w:rsidRPr="00C75192">
      <w:t>N416</w:t>
    </w:r>
    <w:r w:rsidRPr="00C75192">
      <w:fldChar w:fldCharType="end"/>
    </w:r>
    <w:r w:rsidRPr="00C75192">
      <w:br/>
    </w:r>
    <w:r w:rsidRPr="00C75192">
      <w:fldChar w:fldCharType="begin" w:fldLock="1"/>
    </w:r>
    <w:r w:rsidRPr="00C75192">
      <w:instrText xml:space="preserve"> DOCPROPERTY</w:instrText>
    </w:r>
    <w:r w:rsidRPr="00C75192">
      <w:rPr>
        <w:sz w:val="18"/>
      </w:rPr>
      <w:instrText xml:space="preserve"> "Samling" *\charformat </w:instrText>
    </w:r>
    <w:r w:rsidRPr="00C75192">
      <w:fldChar w:fldCharType="end"/>
    </w:r>
    <w:r w:rsidRPr="00C75192">
      <w:tab/>
      <w:t xml:space="preserve">pnr: </w:t>
    </w:r>
    <w:r w:rsidRPr="00C75192">
      <w:fldChar w:fldCharType="begin" w:fldLock="1"/>
    </w:r>
    <w:r w:rsidRPr="00C75192">
      <w:instrText xml:space="preserve"> DOCPROPERTY</w:instrText>
    </w:r>
    <w:r w:rsidRPr="00C75192">
      <w:rPr>
        <w:sz w:val="18"/>
      </w:rPr>
      <w:instrText xml:space="preserve"> "Partinummer" *\charformat </w:instrText>
    </w:r>
    <w:r w:rsidRPr="00C75192">
      <w:fldChar w:fldCharType="separate"/>
    </w:r>
    <w:r w:rsidRPr="00C75192">
      <w:t>MP2806</w:t>
    </w:r>
    <w:r w:rsidRPr="00C75192">
      <w:fldChar w:fldCharType="end"/>
    </w:r>
  </w:p>
  <w:p w:rsidR="009E3F5A" w:rsidRPr="00C75192" w:rsidRDefault="009E3F5A">
    <w:pPr>
      <w:pStyle w:val="FSHRub1"/>
    </w:pPr>
    <w:r w:rsidRPr="00C75192">
      <w:t>Motion till riksdagen</w:t>
    </w:r>
    <w:r w:rsidRPr="00C75192">
      <w:br/>
    </w:r>
    <w:r w:rsidRPr="00C75192">
      <w:fldChar w:fldCharType="begin" w:fldLock="1"/>
    </w:r>
    <w:r w:rsidRPr="00C75192">
      <w:instrText xml:space="preserve"> DOCPROPERTY "YearUser" *\charformat </w:instrText>
    </w:r>
    <w:r w:rsidRPr="00C75192">
      <w:fldChar w:fldCharType="separate"/>
    </w:r>
    <w:r w:rsidRPr="00C75192">
      <w:t>2011/12</w:t>
    </w:r>
    <w:r w:rsidRPr="00C75192">
      <w:fldChar w:fldCharType="end"/>
    </w:r>
    <w:r w:rsidRPr="00C75192">
      <w:t>:</w:t>
    </w:r>
    <w:r w:rsidRPr="00C75192">
      <w:fldChar w:fldCharType="begin" w:fldLock="1"/>
    </w:r>
    <w:r w:rsidRPr="00C75192">
      <w:instrText xml:space="preserve"> DOCPROPERTY "Motionsnummer" *\charformat </w:instrText>
    </w:r>
    <w:r w:rsidRPr="00C75192">
      <w:fldChar w:fldCharType="separate"/>
    </w:r>
    <w:r w:rsidRPr="00C75192">
      <w:t>N416</w:t>
    </w:r>
    <w:r w:rsidRPr="00C75192">
      <w:fldChar w:fldCharType="end"/>
    </w:r>
  </w:p>
  <w:p w:rsidR="009E3F5A" w:rsidRPr="00C75192" w:rsidRDefault="009E3F5A">
    <w:pPr>
      <w:pStyle w:val="FSHNormalS5"/>
    </w:pPr>
    <w:r w:rsidRPr="00C75192">
      <w:fldChar w:fldCharType="begin" w:fldLock="1"/>
    </w:r>
    <w:r w:rsidRPr="00C75192">
      <w:instrText xml:space="preserve"> DOCPROPERTY "MotionarText" *\charformat </w:instrText>
    </w:r>
    <w:r w:rsidRPr="00C75192">
      <w:fldChar w:fldCharType="separate"/>
    </w:r>
    <w:r w:rsidRPr="00C75192">
      <w:t>av Valter Mutt m.fl. (MP)</w:t>
    </w:r>
    <w:r w:rsidRPr="00C75192">
      <w:fldChar w:fldCharType="end"/>
    </w:r>
    <w:r w:rsidRPr="00C75192">
      <w:br/>
    </w:r>
    <w:r w:rsidRPr="00C75192">
      <w:fldChar w:fldCharType="begin" w:fldLock="1"/>
    </w:r>
    <w:r w:rsidRPr="00C75192">
      <w:instrText xml:space="preserve"> DOCPROPERTY "SvarFrasKort" *\charformat </w:instrText>
    </w:r>
    <w:r w:rsidRPr="00C75192">
      <w:fldChar w:fldCharType="end"/>
    </w:r>
  </w:p>
  <w:p w:rsidR="009E3F5A" w:rsidRPr="00C75192" w:rsidRDefault="009E3F5A">
    <w:pPr>
      <w:pStyle w:val="FSHTitel"/>
    </w:pPr>
    <w:r w:rsidRPr="00C75192">
      <w:fldChar w:fldCharType="begin" w:fldLock="1"/>
    </w:r>
    <w:r w:rsidRPr="00C75192">
      <w:instrText xml:space="preserve"> DOCPROPERTY</w:instrText>
    </w:r>
    <w:r w:rsidRPr="00C75192">
      <w:rPr>
        <w:sz w:val="18"/>
      </w:rPr>
      <w:instrText xml:space="preserve"> "RubrikSvar" *\charformat </w:instrText>
    </w:r>
    <w:r w:rsidRPr="00C75192">
      <w:fldChar w:fldCharType="separate"/>
    </w:r>
    <w:r w:rsidRPr="00C75192">
      <w:t>MR-kriterier för statligt exportfrämjande</w:t>
    </w:r>
    <w:r w:rsidRPr="00C75192">
      <w:fldChar w:fldCharType="end"/>
    </w:r>
  </w:p>
  <w:p w:rsidR="009E3F5A" w:rsidRPr="00C75192" w:rsidRDefault="009E3F5A">
    <w:pPr>
      <w:pStyle w:val="Normal00"/>
    </w:pPr>
  </w:p>
  <w:p w:rsidR="009E3F5A" w:rsidRPr="00C75192" w:rsidRDefault="009E3F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AF31C12"/>
    <w:multiLevelType w:val="hybridMultilevel"/>
    <w:tmpl w:val="1108CF04"/>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5102444">
    <w:abstractNumId w:val="3"/>
  </w:num>
  <w:num w:numId="2" w16cid:durableId="321127275">
    <w:abstractNumId w:val="2"/>
  </w:num>
  <w:num w:numId="3" w16cid:durableId="1576238699">
    <w:abstractNumId w:val="1"/>
  </w:num>
  <w:num w:numId="4" w16cid:durableId="562182647">
    <w:abstractNumId w:val="0"/>
  </w:num>
  <w:num w:numId="5" w16cid:durableId="1861968697">
    <w:abstractNumId w:val="7"/>
  </w:num>
  <w:num w:numId="6" w16cid:durableId="1125001325">
    <w:abstractNumId w:val="6"/>
  </w:num>
  <w:num w:numId="7" w16cid:durableId="608322424">
    <w:abstractNumId w:val="5"/>
  </w:num>
  <w:num w:numId="8" w16cid:durableId="124349489">
    <w:abstractNumId w:val="4"/>
  </w:num>
  <w:num w:numId="9" w16cid:durableId="1750030749">
    <w:abstractNumId w:val="8"/>
  </w:num>
  <w:num w:numId="10" w16cid:durableId="664165583">
    <w:abstractNumId w:val="9"/>
  </w:num>
  <w:num w:numId="11" w16cid:durableId="1015231576">
    <w:abstractNumId w:val="10"/>
  </w:num>
  <w:num w:numId="12" w16cid:durableId="1174609507">
    <w:abstractNumId w:val="13"/>
  </w:num>
  <w:num w:numId="13" w16cid:durableId="1613434675">
    <w:abstractNumId w:val="15"/>
  </w:num>
  <w:num w:numId="14" w16cid:durableId="962728504">
    <w:abstractNumId w:val="17"/>
  </w:num>
  <w:num w:numId="15" w16cid:durableId="780959032">
    <w:abstractNumId w:val="11"/>
  </w:num>
  <w:num w:numId="16" w16cid:durableId="297683760">
    <w:abstractNumId w:val="19"/>
  </w:num>
  <w:num w:numId="17" w16cid:durableId="754132965">
    <w:abstractNumId w:val="18"/>
  </w:num>
  <w:num w:numId="18" w16cid:durableId="1115058346">
    <w:abstractNumId w:val="14"/>
  </w:num>
  <w:num w:numId="19" w16cid:durableId="1838111655">
    <w:abstractNumId w:val="12"/>
  </w:num>
  <w:num w:numId="20" w16cid:durableId="1500388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08C56B17-A14B-48F1-95B3-2C8A56B44D98},{8B79F084-2FE8-43FE-81EC-B454DB4AAA24},{36F36A54-6768-4A6E-926B-6FD4A809EF2F},{CD608734-BDFD-4479-B45A-FA9EAF5B640F},{6B2C5332-DB5D-4847-A6DA-15B0EAFB8A28},{AF74B504-0E88-46FE-B78D-2C5B486A3E48},{F5640ABF-1640-46ED-85BC-CDCBAD942374},{7B1300F0-A439-4480-ABF5-039C4646D434},{C06BBC9F-FA9F-4AC6-95C7-7AA0B137B9C3}"/>
  </w:docVars>
  <w:rsids>
    <w:rsidRoot w:val="00AC05C5"/>
    <w:rsid w:val="009E3F5A"/>
    <w:rsid w:val="00AC05C5"/>
    <w:rsid w:val="00C751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7522D4-AD1F-496C-A740-F11A2CEE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2770</Characters>
  <Application>Microsoft Office Word</Application>
  <DocSecurity>4</DocSecurity>
  <Lines>57</Lines>
  <Paragraphs>24</Paragraphs>
  <ScaleCrop>false</ScaleCrop>
  <HeadingPairs>
    <vt:vector size="2" baseType="variant">
      <vt:variant>
        <vt:lpstr>Rubrik</vt:lpstr>
      </vt:variant>
      <vt:variant>
        <vt:i4>1</vt:i4>
      </vt:variant>
    </vt:vector>
  </HeadingPairs>
  <TitlesOfParts>
    <vt:vector size="1" baseType="lpstr">
      <vt:lpstr>MP2806</vt:lpstr>
    </vt:vector>
  </TitlesOfParts>
  <Company>Riksdagen</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MP2806</dc:title>
  <dc:subject>MP2806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2011-11-15T08:42:00Z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MR-kriterier för statligt exportfrämjande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MR-kriterier för statligt exportfrämjande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MP2806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Valter Mutt m.fl. (MP)</vt:lpwstr>
  </property>
  <property fmtid="{D5CDD505-2E9C-101B-9397-08002B2CF9AE}" pid="26" name="MotionarLista">
    <vt:lpwstr>Mutt, Valter (MP)\Ceballos, Bodil (MP)\Rådberg, Peter (MP)\Lillemets, Annika (MP)\Amin, Jabar (MP)\Eriksson, Jonas (MP)\Holm, Ulf (MP)\Lindholm, Jan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 Bodil Ceballos (MP), Peter Rådberg (MP), Annika Lillemets (MP), Jabar Amin (MP), Jonas Eriksson (MP), Ulf Holm (MP), Jan Lindholm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20112012000000770080000028060075</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20112012000000770080000028060075</vt:lpwstr>
  </property>
  <property fmtid="{D5CDD505-2E9C-101B-9397-08002B2CF9AE}" pid="50" name="nummer">
    <vt:lpwstr>416</vt:lpwstr>
  </property>
  <property fmtid="{D5CDD505-2E9C-101B-9397-08002B2CF9AE}" pid="51" name="utskottsbeteckning">
    <vt:lpwstr>N</vt:lpwstr>
  </property>
  <property fmtid="{D5CDD505-2E9C-101B-9397-08002B2CF9AE}" pid="52" name="GlobalUID">
    <vt:lpwstr>{804B9809-553A-4890-9224-237AE37E1C27}</vt:lpwstr>
  </property>
  <property fmtid="{D5CDD505-2E9C-101B-9397-08002B2CF9AE}" pid="53" name="Överföringar">
    <vt:i4>0</vt:i4>
  </property>
  <property fmtid="{D5CDD505-2E9C-101B-9397-08002B2CF9AE}" pid="54" name="Checksum">
    <vt:lpwstr>*1009413775283*</vt:lpwstr>
  </property>
  <property fmtid="{D5CDD505-2E9C-101B-9397-08002B2CF9AE}" pid="55" name="skuggnummer">
    <vt:lpwstr>3119</vt:lpwstr>
  </property>
  <property fmtid="{D5CDD505-2E9C-101B-9397-08002B2CF9AE}" pid="56" name="urixVersion">
    <vt:lpwstr>4.5.0.25</vt:lpwstr>
  </property>
  <property fmtid="{D5CDD505-2E9C-101B-9397-08002B2CF9AE}" pid="57" name="urixOrigin">
    <vt:lpwstr>111115 09:42:41.186</vt:lpwstr>
  </property>
  <property fmtid="{D5CDD505-2E9C-101B-9397-08002B2CF9AE}" pid="58" name="urixGuid">
    <vt:lpwstr>{1F325DC5-9C58-42E1-94E9-CED938458752}</vt:lpwstr>
  </property>
</Properties>
</file>