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C4E54" w:rsidTr="00E72A9B">
        <w:tblPrEx>
          <w:tblCellMar>
            <w:top w:w="0" w:type="dxa"/>
            <w:bottom w:w="0" w:type="dxa"/>
          </w:tblCellMar>
        </w:tblPrEx>
        <w:tc>
          <w:tcPr>
            <w:tcW w:w="2268" w:type="dxa"/>
          </w:tcPr>
          <w:p w:rsidR="006E4E11" w:rsidRPr="00FC4E5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C4E54" w:rsidRDefault="006E4E11" w:rsidP="007242A3">
            <w:pPr>
              <w:framePr w:w="5035" w:h="1644" w:wrap="notBeside" w:vAnchor="page" w:hAnchor="page" w:x="6573" w:y="721"/>
              <w:rPr>
                <w:rFonts w:ascii="TradeGothic" w:hAnsi="TradeGothic"/>
                <w:i/>
                <w:sz w:val="18"/>
              </w:rPr>
            </w:pPr>
          </w:p>
        </w:tc>
      </w:tr>
      <w:tr w:rsidR="00E72A9B" w:rsidRPr="00FC4E54" w:rsidTr="00E72A9B">
        <w:tblPrEx>
          <w:tblCellMar>
            <w:top w:w="0" w:type="dxa"/>
            <w:bottom w:w="0" w:type="dxa"/>
          </w:tblCellMar>
        </w:tblPrEx>
        <w:tc>
          <w:tcPr>
            <w:tcW w:w="5267" w:type="dxa"/>
            <w:gridSpan w:val="3"/>
          </w:tcPr>
          <w:p w:rsidR="00E72A9B" w:rsidRPr="00FC4E54" w:rsidRDefault="00E72A9B" w:rsidP="007242A3">
            <w:pPr>
              <w:framePr w:w="5035" w:h="1644" w:wrap="notBeside" w:vAnchor="page" w:hAnchor="page" w:x="6573" w:y="721"/>
              <w:rPr>
                <w:rFonts w:ascii="TradeGothic" w:hAnsi="TradeGothic"/>
                <w:b/>
                <w:sz w:val="22"/>
              </w:rPr>
            </w:pPr>
            <w:r w:rsidRPr="00FC4E54">
              <w:rPr>
                <w:rFonts w:ascii="TradeGothic" w:hAnsi="TradeGothic"/>
                <w:b/>
                <w:sz w:val="22"/>
              </w:rPr>
              <w:t>Rådspromemoria</w:t>
            </w:r>
          </w:p>
        </w:tc>
      </w:tr>
      <w:tr w:rsidR="006E4E11" w:rsidRPr="00FC4E54" w:rsidTr="00E72A9B">
        <w:tblPrEx>
          <w:tblCellMar>
            <w:top w:w="0" w:type="dxa"/>
            <w:bottom w:w="0" w:type="dxa"/>
          </w:tblCellMar>
        </w:tblPrEx>
        <w:tc>
          <w:tcPr>
            <w:tcW w:w="3402" w:type="dxa"/>
            <w:gridSpan w:val="2"/>
          </w:tcPr>
          <w:p w:rsidR="006E4E11" w:rsidRPr="00FC4E54" w:rsidRDefault="006E4E11" w:rsidP="007242A3">
            <w:pPr>
              <w:framePr w:w="5035" w:h="1644" w:wrap="notBeside" w:vAnchor="page" w:hAnchor="page" w:x="6573" w:y="721"/>
            </w:pPr>
          </w:p>
        </w:tc>
        <w:tc>
          <w:tcPr>
            <w:tcW w:w="1865" w:type="dxa"/>
          </w:tcPr>
          <w:p w:rsidR="006E4E11" w:rsidRPr="00FC4E54" w:rsidRDefault="006E4E11" w:rsidP="007242A3">
            <w:pPr>
              <w:framePr w:w="5035" w:h="1644" w:wrap="notBeside" w:vAnchor="page" w:hAnchor="page" w:x="6573" w:y="721"/>
            </w:pPr>
          </w:p>
        </w:tc>
      </w:tr>
      <w:tr w:rsidR="006E4E11" w:rsidRPr="00FC4E54" w:rsidTr="00E72A9B">
        <w:tblPrEx>
          <w:tblCellMar>
            <w:top w:w="0" w:type="dxa"/>
            <w:bottom w:w="0" w:type="dxa"/>
          </w:tblCellMar>
        </w:tblPrEx>
        <w:tc>
          <w:tcPr>
            <w:tcW w:w="2268" w:type="dxa"/>
          </w:tcPr>
          <w:p w:rsidR="006E4E11" w:rsidRPr="00FC4E54" w:rsidRDefault="00E72A9B" w:rsidP="007242A3">
            <w:pPr>
              <w:framePr w:w="5035" w:h="1644" w:wrap="notBeside" w:vAnchor="page" w:hAnchor="page" w:x="6573" w:y="721"/>
            </w:pPr>
            <w:r w:rsidRPr="00FC4E54">
              <w:t>2010-11-1</w:t>
            </w:r>
            <w:r w:rsidR="003F741B" w:rsidRPr="00FC4E54">
              <w:t>8</w:t>
            </w:r>
          </w:p>
        </w:tc>
        <w:tc>
          <w:tcPr>
            <w:tcW w:w="2999" w:type="dxa"/>
            <w:gridSpan w:val="2"/>
          </w:tcPr>
          <w:p w:rsidR="006E4E11" w:rsidRPr="00FC4E54" w:rsidRDefault="006E4E11" w:rsidP="007242A3">
            <w:pPr>
              <w:framePr w:w="5035" w:h="1644" w:wrap="notBeside" w:vAnchor="page" w:hAnchor="page" w:x="6573" w:y="721"/>
            </w:pPr>
          </w:p>
        </w:tc>
      </w:tr>
      <w:tr w:rsidR="006E4E11" w:rsidRPr="00FC4E54" w:rsidTr="00E72A9B">
        <w:tblPrEx>
          <w:tblCellMar>
            <w:top w:w="0" w:type="dxa"/>
            <w:bottom w:w="0" w:type="dxa"/>
          </w:tblCellMar>
        </w:tblPrEx>
        <w:tc>
          <w:tcPr>
            <w:tcW w:w="2268" w:type="dxa"/>
          </w:tcPr>
          <w:p w:rsidR="006E4E11" w:rsidRPr="00FC4E54" w:rsidRDefault="006E4E11" w:rsidP="007242A3">
            <w:pPr>
              <w:framePr w:w="5035" w:h="1644" w:wrap="notBeside" w:vAnchor="page" w:hAnchor="page" w:x="6573" w:y="721"/>
            </w:pPr>
          </w:p>
        </w:tc>
        <w:tc>
          <w:tcPr>
            <w:tcW w:w="2999" w:type="dxa"/>
            <w:gridSpan w:val="2"/>
          </w:tcPr>
          <w:p w:rsidR="006E4E11" w:rsidRPr="00FC4E5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C4E54">
        <w:tblPrEx>
          <w:tblCellMar>
            <w:top w:w="0" w:type="dxa"/>
            <w:bottom w:w="0" w:type="dxa"/>
          </w:tblCellMar>
        </w:tblPrEx>
        <w:trPr>
          <w:trHeight w:val="284"/>
        </w:trPr>
        <w:tc>
          <w:tcPr>
            <w:tcW w:w="4911" w:type="dxa"/>
          </w:tcPr>
          <w:p w:rsidR="006E4E11" w:rsidRPr="00FC4E54" w:rsidRDefault="00E72A9B">
            <w:pPr>
              <w:pStyle w:val="Avsndare"/>
              <w:framePr w:h="2483" w:wrap="notBeside" w:x="1504"/>
              <w:rPr>
                <w:b/>
                <w:i w:val="0"/>
                <w:sz w:val="22"/>
              </w:rPr>
            </w:pPr>
            <w:r w:rsidRPr="00FC4E54">
              <w:rPr>
                <w:b/>
                <w:i w:val="0"/>
                <w:sz w:val="22"/>
              </w:rPr>
              <w:t>Näringsdepartementet</w:t>
            </w:r>
          </w:p>
        </w:tc>
      </w:tr>
      <w:tr w:rsidR="006E4E11" w:rsidRPr="00FC4E54">
        <w:tblPrEx>
          <w:tblCellMar>
            <w:top w:w="0" w:type="dxa"/>
            <w:bottom w:w="0" w:type="dxa"/>
          </w:tblCellMar>
        </w:tblPrEx>
        <w:trPr>
          <w:trHeight w:val="284"/>
        </w:trPr>
        <w:tc>
          <w:tcPr>
            <w:tcW w:w="4911" w:type="dxa"/>
          </w:tcPr>
          <w:p w:rsidR="006E4E11" w:rsidRPr="00FC4E54" w:rsidRDefault="006E4E11">
            <w:pPr>
              <w:pStyle w:val="Avsndare"/>
              <w:framePr w:h="2483" w:wrap="notBeside" w:x="1504"/>
              <w:rPr>
                <w:bCs/>
                <w:iCs/>
              </w:rPr>
            </w:pPr>
          </w:p>
        </w:tc>
      </w:tr>
      <w:tr w:rsidR="006E4E11" w:rsidRPr="00FC4E54">
        <w:tblPrEx>
          <w:tblCellMar>
            <w:top w:w="0" w:type="dxa"/>
            <w:bottom w:w="0" w:type="dxa"/>
          </w:tblCellMar>
        </w:tblPrEx>
        <w:trPr>
          <w:trHeight w:val="284"/>
        </w:trPr>
        <w:tc>
          <w:tcPr>
            <w:tcW w:w="4911" w:type="dxa"/>
          </w:tcPr>
          <w:p w:rsidR="006E4E11" w:rsidRPr="00FC4E54" w:rsidRDefault="00E72A9B">
            <w:pPr>
              <w:pStyle w:val="Avsndare"/>
              <w:framePr w:h="2483" w:wrap="notBeside" w:x="1504"/>
              <w:rPr>
                <w:bCs/>
                <w:iCs/>
              </w:rPr>
            </w:pPr>
            <w:r w:rsidRPr="00FC4E54">
              <w:rPr>
                <w:bCs/>
                <w:iCs/>
              </w:rPr>
              <w:t>Energi</w:t>
            </w:r>
          </w:p>
        </w:tc>
      </w:tr>
      <w:tr w:rsidR="006E4E11" w:rsidRPr="00FC4E54">
        <w:tblPrEx>
          <w:tblCellMar>
            <w:top w:w="0" w:type="dxa"/>
            <w:bottom w:w="0" w:type="dxa"/>
          </w:tblCellMar>
        </w:tblPrEx>
        <w:trPr>
          <w:trHeight w:val="284"/>
        </w:trPr>
        <w:tc>
          <w:tcPr>
            <w:tcW w:w="4911" w:type="dxa"/>
          </w:tcPr>
          <w:p w:rsidR="006E4E11" w:rsidRPr="00FC4E54" w:rsidRDefault="006E4E11">
            <w:pPr>
              <w:pStyle w:val="Avsndare"/>
              <w:framePr w:h="2483" w:wrap="notBeside" w:x="1504"/>
              <w:rPr>
                <w:bCs/>
                <w:iCs/>
              </w:rPr>
            </w:pPr>
          </w:p>
        </w:tc>
      </w:tr>
      <w:tr w:rsidR="006E4E11" w:rsidRPr="00FC4E54">
        <w:tblPrEx>
          <w:tblCellMar>
            <w:top w:w="0" w:type="dxa"/>
            <w:bottom w:w="0" w:type="dxa"/>
          </w:tblCellMar>
        </w:tblPrEx>
        <w:trPr>
          <w:trHeight w:val="284"/>
        </w:trPr>
        <w:tc>
          <w:tcPr>
            <w:tcW w:w="4911" w:type="dxa"/>
          </w:tcPr>
          <w:p w:rsidR="006E4E11" w:rsidRPr="00FC4E54" w:rsidRDefault="006E4E11">
            <w:pPr>
              <w:pStyle w:val="Avsndare"/>
              <w:framePr w:h="2483" w:wrap="notBeside" w:x="1504"/>
              <w:rPr>
                <w:bCs/>
                <w:iCs/>
              </w:rPr>
            </w:pPr>
          </w:p>
        </w:tc>
      </w:tr>
      <w:tr w:rsidR="006E4E11" w:rsidRPr="00FC4E54">
        <w:tblPrEx>
          <w:tblCellMar>
            <w:top w:w="0" w:type="dxa"/>
            <w:bottom w:w="0" w:type="dxa"/>
          </w:tblCellMar>
        </w:tblPrEx>
        <w:trPr>
          <w:trHeight w:val="284"/>
        </w:trPr>
        <w:tc>
          <w:tcPr>
            <w:tcW w:w="4911" w:type="dxa"/>
          </w:tcPr>
          <w:p w:rsidR="006E4E11" w:rsidRPr="00FC4E54" w:rsidRDefault="006E4E11">
            <w:pPr>
              <w:pStyle w:val="Avsndare"/>
              <w:framePr w:h="2483" w:wrap="notBeside" w:x="1504"/>
              <w:rPr>
                <w:bCs/>
                <w:iCs/>
              </w:rPr>
            </w:pPr>
          </w:p>
        </w:tc>
      </w:tr>
      <w:tr w:rsidR="006E4E11" w:rsidRPr="00FC4E54">
        <w:tblPrEx>
          <w:tblCellMar>
            <w:top w:w="0" w:type="dxa"/>
            <w:bottom w:w="0" w:type="dxa"/>
          </w:tblCellMar>
        </w:tblPrEx>
        <w:trPr>
          <w:trHeight w:val="284"/>
        </w:trPr>
        <w:tc>
          <w:tcPr>
            <w:tcW w:w="4911" w:type="dxa"/>
          </w:tcPr>
          <w:p w:rsidR="006E4E11" w:rsidRPr="00FC4E54" w:rsidRDefault="006E4E11">
            <w:pPr>
              <w:pStyle w:val="Avsndare"/>
              <w:framePr w:h="2483" w:wrap="notBeside" w:x="1504"/>
              <w:rPr>
                <w:bCs/>
                <w:iCs/>
              </w:rPr>
            </w:pPr>
          </w:p>
        </w:tc>
      </w:tr>
      <w:tr w:rsidR="006E4E11" w:rsidRPr="00FC4E54">
        <w:tblPrEx>
          <w:tblCellMar>
            <w:top w:w="0" w:type="dxa"/>
            <w:bottom w:w="0" w:type="dxa"/>
          </w:tblCellMar>
        </w:tblPrEx>
        <w:trPr>
          <w:trHeight w:val="284"/>
        </w:trPr>
        <w:tc>
          <w:tcPr>
            <w:tcW w:w="4911" w:type="dxa"/>
          </w:tcPr>
          <w:p w:rsidR="006E4E11" w:rsidRPr="00FC4E54" w:rsidRDefault="006E4E11">
            <w:pPr>
              <w:pStyle w:val="Avsndare"/>
              <w:framePr w:h="2483" w:wrap="notBeside" w:x="1504"/>
              <w:rPr>
                <w:bCs/>
                <w:iCs/>
              </w:rPr>
            </w:pPr>
          </w:p>
        </w:tc>
      </w:tr>
      <w:tr w:rsidR="006E4E11" w:rsidRPr="00FC4E54">
        <w:tblPrEx>
          <w:tblCellMar>
            <w:top w:w="0" w:type="dxa"/>
            <w:bottom w:w="0" w:type="dxa"/>
          </w:tblCellMar>
        </w:tblPrEx>
        <w:trPr>
          <w:trHeight w:val="284"/>
        </w:trPr>
        <w:tc>
          <w:tcPr>
            <w:tcW w:w="4911" w:type="dxa"/>
          </w:tcPr>
          <w:p w:rsidR="006E4E11" w:rsidRPr="00FC4E54" w:rsidRDefault="006E4E11">
            <w:pPr>
              <w:pStyle w:val="Avsndare"/>
              <w:framePr w:h="2483" w:wrap="notBeside" w:x="1504"/>
              <w:rPr>
                <w:bCs/>
                <w:iCs/>
              </w:rPr>
            </w:pPr>
          </w:p>
        </w:tc>
      </w:tr>
    </w:tbl>
    <w:p w:rsidR="006E4E11" w:rsidRPr="00FC4E54" w:rsidRDefault="006E4E11">
      <w:pPr>
        <w:framePr w:w="4400" w:h="2523" w:wrap="notBeside" w:vAnchor="page" w:hAnchor="page" w:x="6453" w:y="2445"/>
        <w:ind w:left="142"/>
        <w:rPr>
          <w:b/>
        </w:rPr>
      </w:pPr>
    </w:p>
    <w:p w:rsidR="00E72A9B" w:rsidRPr="00FC4E54" w:rsidRDefault="00E72A9B">
      <w:pPr>
        <w:pStyle w:val="RKrubrik"/>
        <w:pBdr>
          <w:bottom w:val="single" w:sz="6" w:space="1" w:color="auto"/>
        </w:pBdr>
      </w:pPr>
      <w:bookmarkStart w:id="0" w:name="bRubrik"/>
      <w:bookmarkEnd w:id="0"/>
      <w:r w:rsidRPr="00FC4E54">
        <w:t>Rådets möte i Transport Telekommunikation och Energi den datum 3 december 2010</w:t>
      </w:r>
    </w:p>
    <w:p w:rsidR="00E72A9B" w:rsidRPr="00FC4E54" w:rsidRDefault="00E72A9B">
      <w:pPr>
        <w:pStyle w:val="RKnormal"/>
      </w:pPr>
    </w:p>
    <w:p w:rsidR="00E72A9B" w:rsidRPr="00FC4E54" w:rsidRDefault="00E72A9B">
      <w:pPr>
        <w:pStyle w:val="RKnormal"/>
      </w:pPr>
      <w:r w:rsidRPr="00FC4E54">
        <w:t>Dagordningspunkt 11</w:t>
      </w:r>
    </w:p>
    <w:p w:rsidR="00E72A9B" w:rsidRPr="00FC4E54" w:rsidRDefault="00E72A9B">
      <w:pPr>
        <w:pStyle w:val="RKnormal"/>
      </w:pPr>
    </w:p>
    <w:p w:rsidR="00E72A9B" w:rsidRPr="00FC4E54" w:rsidRDefault="00E72A9B">
      <w:pPr>
        <w:pStyle w:val="RKnormal"/>
      </w:pPr>
      <w:r w:rsidRPr="00FC4E54">
        <w:t xml:space="preserve">Rubrik: </w:t>
      </w:r>
      <w:r w:rsidR="003F741B" w:rsidRPr="00FC4E54">
        <w:t>Meddelande om s</w:t>
      </w:r>
      <w:r w:rsidRPr="00FC4E54">
        <w:t>äkerhet vid olje</w:t>
      </w:r>
      <w:r w:rsidR="003F741B" w:rsidRPr="00FC4E54">
        <w:t>-</w:t>
      </w:r>
      <w:r w:rsidR="00364682" w:rsidRPr="00FC4E54">
        <w:t xml:space="preserve"> och gas</w:t>
      </w:r>
      <w:r w:rsidRPr="00FC4E54">
        <w:t>utvinning till havs</w:t>
      </w:r>
    </w:p>
    <w:p w:rsidR="00E72A9B" w:rsidRPr="00FC4E54" w:rsidRDefault="00E72A9B">
      <w:pPr>
        <w:pStyle w:val="RKnormal"/>
      </w:pPr>
    </w:p>
    <w:p w:rsidR="00E72A9B" w:rsidRPr="00FC4E54" w:rsidRDefault="00E72A9B">
      <w:pPr>
        <w:pStyle w:val="RKnormal"/>
      </w:pPr>
      <w:r w:rsidRPr="00FC4E54">
        <w:t xml:space="preserve">Dokument: </w:t>
      </w:r>
      <w:r w:rsidR="00BA1C84" w:rsidRPr="00FC4E54">
        <w:t>14768/10, 16301/10</w:t>
      </w:r>
    </w:p>
    <w:p w:rsidR="00E72A9B" w:rsidRPr="00FC4E54" w:rsidRDefault="00E72A9B">
      <w:pPr>
        <w:pStyle w:val="RKnormal"/>
      </w:pPr>
    </w:p>
    <w:p w:rsidR="00E72A9B" w:rsidRPr="00FC4E54" w:rsidRDefault="00364682">
      <w:pPr>
        <w:pStyle w:val="RKnormal"/>
      </w:pPr>
      <w:r w:rsidRPr="00FC4E54">
        <w:t xml:space="preserve">Tidigare dokument:  </w:t>
      </w:r>
      <w:r w:rsidR="00740D28" w:rsidRPr="00FC4E54">
        <w:t>-</w:t>
      </w:r>
    </w:p>
    <w:p w:rsidR="00E72A9B" w:rsidRPr="00FC4E54" w:rsidRDefault="00E72A9B">
      <w:pPr>
        <w:pStyle w:val="RKnormal"/>
      </w:pPr>
    </w:p>
    <w:p w:rsidR="00E72A9B" w:rsidRPr="00FC4E54" w:rsidRDefault="00E72A9B">
      <w:pPr>
        <w:pStyle w:val="RKnormal"/>
      </w:pPr>
      <w:r w:rsidRPr="00FC4E54">
        <w:t>Tidigare behandlad vid samråd med EU-nämnden: Fr</w:t>
      </w:r>
      <w:r w:rsidR="00E7767F" w:rsidRPr="00FC4E54">
        <w:t>ågan har ej tidigare behandlats i EU-nämnden.</w:t>
      </w:r>
    </w:p>
    <w:p w:rsidR="00E72A9B" w:rsidRPr="00FC4E54" w:rsidRDefault="00E72A9B">
      <w:pPr>
        <w:pStyle w:val="RKrubrik"/>
      </w:pPr>
      <w:r w:rsidRPr="00FC4E54">
        <w:t>Bakgrund</w:t>
      </w:r>
    </w:p>
    <w:p w:rsidR="00410E44" w:rsidRPr="00FC4E54" w:rsidRDefault="004F032C" w:rsidP="004F032C">
      <w:pPr>
        <w:pStyle w:val="RKnormal"/>
      </w:pPr>
      <w:r w:rsidRPr="00FC4E54">
        <w:t>Rådet förväntas anta slutsater på ett meddelande från ko</w:t>
      </w:r>
      <w:r w:rsidR="003F741B" w:rsidRPr="00FC4E54">
        <w:t>m</w:t>
      </w:r>
      <w:r w:rsidRPr="00FC4E54">
        <w:t xml:space="preserve">missionen om </w:t>
      </w:r>
      <w:r w:rsidR="00124201" w:rsidRPr="00FC4E54">
        <w:t>utmaningen att uppnå en säker olje- och gasverksamhet</w:t>
      </w:r>
      <w:r w:rsidRPr="00FC4E54">
        <w:t xml:space="preserve"> till havs</w:t>
      </w:r>
      <w:r w:rsidR="00124201" w:rsidRPr="00FC4E54">
        <w:t xml:space="preserve"> (KOM(2010) 560 slutlig)</w:t>
      </w:r>
      <w:r w:rsidRPr="00FC4E54">
        <w:t xml:space="preserve">. </w:t>
      </w:r>
      <w:r w:rsidR="00410E44" w:rsidRPr="00FC4E54">
        <w:t xml:space="preserve">Komissionens meddelande tar utgångspunkt i explosionen på oljeplattformen ”Deepwater Horizon” i </w:t>
      </w:r>
      <w:r w:rsidRPr="00FC4E54">
        <w:t xml:space="preserve">den </w:t>
      </w:r>
      <w:r w:rsidR="00410E44" w:rsidRPr="00FC4E54">
        <w:t xml:space="preserve">Mexikanska golfen den 20 april 2010 </w:t>
      </w:r>
      <w:r w:rsidR="003F741B" w:rsidRPr="00FC4E54">
        <w:t xml:space="preserve">då flera människor ur besättningen förolyckades </w:t>
      </w:r>
      <w:r w:rsidR="00410E44" w:rsidRPr="00FC4E54">
        <w:t xml:space="preserve">och den massiva läcka från oljekällan på havsbotten som blev följden och som orsakade stora ekologiska, ekonomiska och sociala skador. </w:t>
      </w:r>
    </w:p>
    <w:p w:rsidR="00BB4FB8" w:rsidRPr="00FC4E54" w:rsidRDefault="00BB4FB8" w:rsidP="004F032C">
      <w:pPr>
        <w:pStyle w:val="RKnormal"/>
      </w:pPr>
    </w:p>
    <w:p w:rsidR="00124201" w:rsidRPr="00FC4E54" w:rsidRDefault="00124201" w:rsidP="00124201">
      <w:pPr>
        <w:pStyle w:val="RKnormal"/>
      </w:pPr>
      <w:r w:rsidRPr="00FC4E54">
        <w:t xml:space="preserve">Kommissionens </w:t>
      </w:r>
      <w:r w:rsidRPr="00FC4E54">
        <w:rPr>
          <w:i/>
        </w:rPr>
        <w:t>meddelande</w:t>
      </w:r>
      <w:r w:rsidRPr="00FC4E54">
        <w:t xml:space="preserve"> aviserar insatser på följande huvudsakliga områden. Vad gäller noggranna tillståndsförfaranden  menar kommissionen att de viktigaste kraven för tillstånd för</w:t>
      </w:r>
      <w:r w:rsidR="001D700C" w:rsidRPr="00FC4E54">
        <w:t xml:space="preserve"> undersökning och utvinning av fossila bränslen</w:t>
      </w:r>
      <w:r w:rsidRPr="00FC4E54">
        <w:t xml:space="preserve"> bör fastställas på EU-nivå. Man kommer att lägga fram förslag om detta under 2011, med stöd av en konsekvensanalys.</w:t>
      </w:r>
      <w:r w:rsidRPr="00FC4E54" w:rsidDel="00E55BAD">
        <w:t xml:space="preserve"> </w:t>
      </w:r>
      <w:r w:rsidRPr="00FC4E54">
        <w:t xml:space="preserve"> Rörande förbättrade myndighetskontroller avser kommissionen att stärka tillsynen. Vad gäller hälsa och säkerhet vid dessa anläggningar ska kommissionen se närmare på huruvida det är ändamålsenligt att justera lagstiftningen om minimikrav för förbättring av arbetstagarnas säkerhet och hälsa inom den del av utvinningsindustrin </w:t>
      </w:r>
      <w:r w:rsidRPr="00FC4E54">
        <w:lastRenderedPageBreak/>
        <w:t>som utnyttjar borrning. Meddelandet lägger även fram förslag på produktsäkerhetsområdet där kommissionen föreslår att det utreds om omfattningen av EU:s regler för produktsäkerhet bör utvidgas till att omfatta även mobila anläggningar för utvinning av olja och gas till havs av den typ som ”Deepwater horizon” var.</w:t>
      </w:r>
    </w:p>
    <w:p w:rsidR="00124201" w:rsidRPr="00FC4E54" w:rsidRDefault="00124201" w:rsidP="00124201">
      <w:pPr>
        <w:pStyle w:val="RKnormal"/>
      </w:pPr>
    </w:p>
    <w:p w:rsidR="00124201" w:rsidRPr="00FC4E54" w:rsidRDefault="00124201" w:rsidP="00124201">
      <w:pPr>
        <w:pStyle w:val="RKnormal"/>
      </w:pPr>
      <w:r w:rsidRPr="00FC4E54">
        <w:t xml:space="preserve">På miljöområdet föreslår kommissionen en rad ändringar och anser att ett regelverk som främjar drift med högsta säkerhetsnivå behöver tillskapas. Kommissionen kommer bl.a. att utreda hur miljölagstiftningen kan stärkas när det gäller utsläppskontroll, inspektion, förebyggande av olyckor och förvaltning av enskilda anläggningar. Vidare pekar kommissionen på industrins eget ansvar och uppmanar till självreglering. </w:t>
      </w:r>
    </w:p>
    <w:p w:rsidR="00124201" w:rsidRPr="00FC4E54" w:rsidRDefault="00124201" w:rsidP="00124201">
      <w:pPr>
        <w:pStyle w:val="RKnormal"/>
      </w:pPr>
    </w:p>
    <w:p w:rsidR="00124201" w:rsidRPr="00FC4E54" w:rsidRDefault="00E7767F" w:rsidP="00124201">
      <w:pPr>
        <w:pStyle w:val="RKnormal"/>
      </w:pPr>
      <w:r w:rsidRPr="00FC4E54">
        <w:t xml:space="preserve">Kommissionen </w:t>
      </w:r>
      <w:r w:rsidR="002825DC" w:rsidRPr="00FC4E54">
        <w:t xml:space="preserve">uppmärksammar också </w:t>
      </w:r>
      <w:r w:rsidR="002C5864" w:rsidRPr="00FC4E54">
        <w:t>katastrofhantering i EU som ytterligare ett åtgärdsområde</w:t>
      </w:r>
      <w:r w:rsidR="00124201" w:rsidRPr="00FC4E54">
        <w:t xml:space="preserve">. </w:t>
      </w:r>
      <w:r w:rsidR="002C5864" w:rsidRPr="00FC4E54">
        <w:t>Det s</w:t>
      </w:r>
      <w:r w:rsidR="00124201" w:rsidRPr="00FC4E54">
        <w:t>ista åtgärdsområdet</w:t>
      </w:r>
      <w:r w:rsidR="002C5864" w:rsidRPr="00FC4E54">
        <w:t xml:space="preserve"> som kommissionen identifierar är </w:t>
      </w:r>
      <w:r w:rsidR="00124201" w:rsidRPr="00FC4E54">
        <w:t>internationellt samarbete</w:t>
      </w:r>
      <w:r w:rsidR="002C5864" w:rsidRPr="00FC4E54">
        <w:t>, regionalt och globalt,</w:t>
      </w:r>
      <w:r w:rsidR="00124201" w:rsidRPr="00FC4E54">
        <w:t xml:space="preserve"> för att främja säkerhet</w:t>
      </w:r>
      <w:r w:rsidR="002C5864" w:rsidRPr="00FC4E54">
        <w:t>s- och insatskapaciteten.</w:t>
      </w:r>
    </w:p>
    <w:p w:rsidR="00E72A9B" w:rsidRPr="00FC4E54" w:rsidRDefault="00E72A9B">
      <w:pPr>
        <w:pStyle w:val="RKrubrik"/>
      </w:pPr>
      <w:r w:rsidRPr="00FC4E54">
        <w:t>Rättslig grund och beslutsförfarande</w:t>
      </w:r>
    </w:p>
    <w:p w:rsidR="00E72A9B" w:rsidRPr="00FC4E54" w:rsidRDefault="00410E44">
      <w:pPr>
        <w:pStyle w:val="RKnormal"/>
      </w:pPr>
      <w:r w:rsidRPr="00FC4E54">
        <w:t>Slutsatser antas med enhällighet.</w:t>
      </w:r>
    </w:p>
    <w:p w:rsidR="00E72A9B" w:rsidRPr="00FC4E54" w:rsidRDefault="00E72A9B">
      <w:pPr>
        <w:pStyle w:val="RKrubrik"/>
        <w:rPr>
          <w:i/>
          <w:iCs/>
        </w:rPr>
      </w:pPr>
      <w:r w:rsidRPr="00FC4E54">
        <w:rPr>
          <w:i/>
          <w:iCs/>
        </w:rPr>
        <w:t>Svensk ståndpunkt</w:t>
      </w:r>
    </w:p>
    <w:p w:rsidR="00D15A36" w:rsidRPr="00FC4E54" w:rsidRDefault="00D15A36" w:rsidP="00194D65">
      <w:pPr>
        <w:pStyle w:val="RKnormal"/>
      </w:pPr>
      <w:r w:rsidRPr="00FC4E54">
        <w:t xml:space="preserve">Regeringen </w:t>
      </w:r>
      <w:r w:rsidR="00655402" w:rsidRPr="00FC4E54">
        <w:t xml:space="preserve">kan ställa sig bakom </w:t>
      </w:r>
      <w:r w:rsidR="00194D65" w:rsidRPr="00FC4E54">
        <w:t xml:space="preserve">förslaget </w:t>
      </w:r>
      <w:r w:rsidR="00655402" w:rsidRPr="00FC4E54">
        <w:t xml:space="preserve">till </w:t>
      </w:r>
      <w:r w:rsidR="00194D65" w:rsidRPr="00FC4E54">
        <w:t>råd</w:t>
      </w:r>
      <w:r w:rsidR="00655402" w:rsidRPr="00FC4E54">
        <w:t>slutsatser.</w:t>
      </w:r>
      <w:r w:rsidR="00592B7B" w:rsidRPr="00FC4E54">
        <w:t xml:space="preserve"> </w:t>
      </w:r>
    </w:p>
    <w:p w:rsidR="00D15A36" w:rsidRPr="00FC4E54" w:rsidRDefault="00D15A36" w:rsidP="00410E44">
      <w:pPr>
        <w:pStyle w:val="RKnormal"/>
      </w:pPr>
    </w:p>
    <w:p w:rsidR="00410E44" w:rsidRPr="00FC4E54" w:rsidRDefault="00822C6D" w:rsidP="00194D65">
      <w:pPr>
        <w:pStyle w:val="RKnormal"/>
      </w:pPr>
      <w:r w:rsidRPr="00FC4E54">
        <w:t>Regeringen har lagt vikt vid</w:t>
      </w:r>
      <w:r w:rsidR="002F68F4" w:rsidRPr="00FC4E54">
        <w:t xml:space="preserve"> att slutsatser</w:t>
      </w:r>
      <w:r w:rsidR="00194D65" w:rsidRPr="00FC4E54">
        <w:t>na</w:t>
      </w:r>
      <w:r w:rsidR="002F68F4" w:rsidRPr="00FC4E54">
        <w:t xml:space="preserve"> reflekte</w:t>
      </w:r>
      <w:r w:rsidR="00124201" w:rsidRPr="00FC4E54">
        <w:t>rar betydelsen av höga standarder</w:t>
      </w:r>
      <w:r w:rsidR="002F68F4" w:rsidRPr="00FC4E54">
        <w:t xml:space="preserve"> och en lagstiftning som garanterar en hög säkerhet vid utvinning av olja och gas till havs</w:t>
      </w:r>
      <w:r w:rsidR="003F741B" w:rsidRPr="00FC4E54">
        <w:t xml:space="preserve"> och har framgångsrikt drivit starkare skrivningar om detta</w:t>
      </w:r>
      <w:r w:rsidR="002F68F4" w:rsidRPr="00FC4E54">
        <w:t xml:space="preserve">. </w:t>
      </w:r>
      <w:r w:rsidR="00194D65" w:rsidRPr="00FC4E54">
        <w:t xml:space="preserve">Oavsett </w:t>
      </w:r>
      <w:r w:rsidR="00410E44" w:rsidRPr="00FC4E54">
        <w:t xml:space="preserve"> om Sverige även i framtiden inte kommer att tillåta oljeborrning eller oljeutvinning till havs kan vi påverkas av att andra länder gör det.</w:t>
      </w:r>
      <w:r w:rsidR="004F485F" w:rsidRPr="00FC4E54">
        <w:t xml:space="preserve"> Havsmiljön är högt prioriterad av regeringen. </w:t>
      </w:r>
      <w:r w:rsidR="00410E44" w:rsidRPr="00FC4E54">
        <w:t>Haven och kustområdena erbjuder ett rikt utbud av ekosystemtjänster som människan behöver</w:t>
      </w:r>
      <w:r w:rsidR="00D15A36" w:rsidRPr="00FC4E54">
        <w:t xml:space="preserve"> och e</w:t>
      </w:r>
      <w:r w:rsidR="00410E44" w:rsidRPr="00FC4E54">
        <w:t xml:space="preserve">tt oljeutsläpp kan få allvarliga konsekvenser för dessa sårbara miljöer. </w:t>
      </w:r>
    </w:p>
    <w:p w:rsidR="00410E44" w:rsidRPr="00FC4E54" w:rsidRDefault="00410E44" w:rsidP="00410E44">
      <w:pPr>
        <w:pStyle w:val="RKnormal"/>
      </w:pPr>
    </w:p>
    <w:p w:rsidR="00410E44" w:rsidRPr="00FC4E54" w:rsidRDefault="00410E44" w:rsidP="00194D65">
      <w:pPr>
        <w:pStyle w:val="RKnormal"/>
      </w:pPr>
      <w:r w:rsidRPr="00FC4E54">
        <w:t xml:space="preserve">Rörande kommissionens vilja att söka vägar för att öka tillgängligheten av responskapacitet t.ex. genom att fordra att utrustning finns tillgänglig i alla relevanta regioner inom EU anser regeringen att EU:s responskapacitet </w:t>
      </w:r>
      <w:r w:rsidR="00194D65" w:rsidRPr="00FC4E54">
        <w:t xml:space="preserve">ska utvecklas </w:t>
      </w:r>
      <w:r w:rsidRPr="00FC4E54">
        <w:t>frivilligt med utgångspunkt i medlemsstaternas egna resurser och befintliga strukturer</w:t>
      </w:r>
      <w:r w:rsidR="00822C6D" w:rsidRPr="00FC4E54">
        <w:t xml:space="preserve">, vilket också reflekteras i </w:t>
      </w:r>
      <w:r w:rsidR="00194D65" w:rsidRPr="00FC4E54">
        <w:t xml:space="preserve">förslaget </w:t>
      </w:r>
      <w:r w:rsidR="00822C6D" w:rsidRPr="00FC4E54">
        <w:t>till slutsatser.</w:t>
      </w:r>
    </w:p>
    <w:p w:rsidR="00822C6D" w:rsidRPr="00FC4E54" w:rsidRDefault="00822C6D" w:rsidP="00410E44">
      <w:pPr>
        <w:pStyle w:val="RKnormal"/>
      </w:pPr>
    </w:p>
    <w:p w:rsidR="00822C6D" w:rsidRPr="00FC4E54" w:rsidRDefault="00822C6D" w:rsidP="00410E44">
      <w:pPr>
        <w:pStyle w:val="RKnormal"/>
      </w:pPr>
      <w:r w:rsidRPr="00FC4E54">
        <w:t xml:space="preserve">Regeringen välkomnar också att slutsatserna </w:t>
      </w:r>
      <w:r w:rsidR="00124201" w:rsidRPr="00FC4E54">
        <w:t xml:space="preserve">tydligt </w:t>
      </w:r>
      <w:r w:rsidRPr="00FC4E54">
        <w:t>betonar vikt</w:t>
      </w:r>
      <w:r w:rsidR="00655402" w:rsidRPr="00FC4E54">
        <w:t>en av internationellt samarbete och att kommissionen inbjuds att ta fram konkreta förslag till slutsatser redan under 2011.</w:t>
      </w:r>
    </w:p>
    <w:p w:rsidR="00E72A9B" w:rsidRPr="00FC4E54" w:rsidRDefault="00E72A9B">
      <w:pPr>
        <w:pStyle w:val="RKrubrik"/>
      </w:pPr>
      <w:r w:rsidRPr="00FC4E54">
        <w:t>Europaparlamentets inställning</w:t>
      </w:r>
    </w:p>
    <w:p w:rsidR="00E72A9B" w:rsidRPr="00FC4E54" w:rsidRDefault="0018096F">
      <w:pPr>
        <w:pStyle w:val="RKnormal"/>
      </w:pPr>
      <w:r w:rsidRPr="00FC4E54">
        <w:t>Ej känd. Rådsslutsatser antas med enhällighet i rådet och har därför inte behandlats i Europaparlamentet.</w:t>
      </w:r>
      <w:r w:rsidR="00CD1DAB" w:rsidRPr="00FC4E54">
        <w:t xml:space="preserve"> Den 7 oktober, innan kommissionen presenterade sitt meddelande, antog dock Europaparlamentet en resolution om EU-åtgärder när det gäller oljeborrning och oljeutvinning.</w:t>
      </w:r>
    </w:p>
    <w:p w:rsidR="00E72A9B" w:rsidRPr="00FC4E54" w:rsidRDefault="00E72A9B">
      <w:pPr>
        <w:pStyle w:val="RKrubrik"/>
        <w:rPr>
          <w:i/>
          <w:iCs/>
        </w:rPr>
      </w:pPr>
      <w:r w:rsidRPr="00FC4E54">
        <w:rPr>
          <w:i/>
          <w:iCs/>
        </w:rPr>
        <w:t>Förslaget</w:t>
      </w:r>
    </w:p>
    <w:p w:rsidR="00F62A95" w:rsidRPr="00FC4E54" w:rsidRDefault="000D2384" w:rsidP="00194D65">
      <w:r w:rsidRPr="00FC4E54">
        <w:t xml:space="preserve">Det </w:t>
      </w:r>
      <w:r w:rsidR="003F741B" w:rsidRPr="00FC4E54">
        <w:t>förslag</w:t>
      </w:r>
      <w:r w:rsidR="00194D65" w:rsidRPr="00FC4E54">
        <w:t xml:space="preserve"> </w:t>
      </w:r>
      <w:r w:rsidRPr="00FC4E54">
        <w:t xml:space="preserve">till </w:t>
      </w:r>
      <w:r w:rsidRPr="00FC4E54">
        <w:rPr>
          <w:i/>
        </w:rPr>
        <w:t>slutsatser</w:t>
      </w:r>
      <w:r w:rsidR="00592B7B" w:rsidRPr="00FC4E54">
        <w:t xml:space="preserve"> som presenterats</w:t>
      </w:r>
      <w:r w:rsidRPr="00FC4E54">
        <w:t xml:space="preserve"> </w:t>
      </w:r>
      <w:r w:rsidR="00592B7B" w:rsidRPr="00FC4E54">
        <w:t xml:space="preserve">välkomnar kommissionens meddelande och </w:t>
      </w:r>
      <w:r w:rsidRPr="00FC4E54">
        <w:t xml:space="preserve">betonar vikten av att verksamheter vid utvinning av olja </w:t>
      </w:r>
      <w:r w:rsidR="00592B7B" w:rsidRPr="00FC4E54">
        <w:t xml:space="preserve">och gas </w:t>
      </w:r>
      <w:r w:rsidR="00124201" w:rsidRPr="00FC4E54">
        <w:t xml:space="preserve">till havs omgärdas av </w:t>
      </w:r>
      <w:r w:rsidRPr="00FC4E54">
        <w:t>standard</w:t>
      </w:r>
      <w:r w:rsidR="00124201" w:rsidRPr="00FC4E54">
        <w:t>er, rutiner</w:t>
      </w:r>
      <w:r w:rsidRPr="00FC4E54">
        <w:t xml:space="preserve"> och en lagtif</w:t>
      </w:r>
      <w:r w:rsidR="00F82DC4" w:rsidRPr="00FC4E54">
        <w:t xml:space="preserve">tning som garanterar </w:t>
      </w:r>
      <w:r w:rsidR="00124201" w:rsidRPr="00FC4E54">
        <w:t xml:space="preserve">en god </w:t>
      </w:r>
      <w:r w:rsidR="00F82DC4" w:rsidRPr="00FC4E54">
        <w:t xml:space="preserve">säkerhet. Detta gäller vid alla aspekter av verksamheter vid utvinning till havs, såsom licenciering, produktsäkerhet, hälsa och säkerhet för anställda, miljöskydd och miljöansvar, offentlig insyn och transparens. </w:t>
      </w:r>
      <w:r w:rsidR="001832A3" w:rsidRPr="00FC4E54">
        <w:t>Slutsatserna konstaterar att existerande lagstiftning utgör en grund för arbetet men öppnar för att reviderad eller ny lagstiftning kan bli aktuell.</w:t>
      </w:r>
    </w:p>
    <w:p w:rsidR="00F62A95" w:rsidRPr="00FC4E54" w:rsidRDefault="00F62A95" w:rsidP="004918E3"/>
    <w:p w:rsidR="00655402" w:rsidRPr="00FC4E54" w:rsidRDefault="00F82DC4" w:rsidP="004918E3">
      <w:r w:rsidRPr="00FC4E54">
        <w:t>Slutsat</w:t>
      </w:r>
      <w:r w:rsidR="00592B7B" w:rsidRPr="00FC4E54">
        <w:t>serna lyfter fram behovet av ett</w:t>
      </w:r>
      <w:r w:rsidRPr="00FC4E54">
        <w:t xml:space="preserve"> </w:t>
      </w:r>
      <w:r w:rsidR="00592B7B" w:rsidRPr="00FC4E54">
        <w:t>regionalt</w:t>
      </w:r>
      <w:r w:rsidR="000D2384" w:rsidRPr="00FC4E54">
        <w:t xml:space="preserve"> </w:t>
      </w:r>
      <w:r w:rsidR="00592B7B" w:rsidRPr="00FC4E54">
        <w:t>pespektiv</w:t>
      </w:r>
      <w:r w:rsidRPr="00FC4E54">
        <w:t>, liksom vikten av att samarbeta bilateralt och inom internationella</w:t>
      </w:r>
      <w:r w:rsidR="00F62A95" w:rsidRPr="00FC4E54">
        <w:t xml:space="preserve"> </w:t>
      </w:r>
      <w:r w:rsidR="001832A3" w:rsidRPr="00FC4E54">
        <w:t>fora</w:t>
      </w:r>
      <w:r w:rsidRPr="00FC4E54">
        <w:t xml:space="preserve">. </w:t>
      </w:r>
      <w:r w:rsidR="003F741B" w:rsidRPr="00FC4E54">
        <w:t xml:space="preserve">Slutsatserna slår fast att </w:t>
      </w:r>
      <w:r w:rsidR="00F62A95" w:rsidRPr="00FC4E54">
        <w:t xml:space="preserve">EU </w:t>
      </w:r>
      <w:r w:rsidR="003F741B" w:rsidRPr="00FC4E54">
        <w:t>ska fortsätta vara</w:t>
      </w:r>
      <w:r w:rsidR="00F62A95" w:rsidRPr="00FC4E54">
        <w:t xml:space="preserve"> ledande i det internationella samarbetet och europeiska företag förväntas applicera standards som motsvarar de europeiska ä</w:t>
      </w:r>
      <w:r w:rsidR="00124201" w:rsidRPr="00FC4E54">
        <w:t xml:space="preserve">ven vid verksamheter utanför </w:t>
      </w:r>
      <w:r w:rsidR="003F741B" w:rsidRPr="00FC4E54">
        <w:t>E</w:t>
      </w:r>
      <w:r w:rsidR="00124201" w:rsidRPr="00FC4E54">
        <w:t>uropa. Industrins ansvar betonas liksom behovet av en försiktig approach till dessa verksamheter.</w:t>
      </w:r>
      <w:r w:rsidR="00655402" w:rsidRPr="00FC4E54">
        <w:t xml:space="preserve"> </w:t>
      </w:r>
      <w:r w:rsidRPr="00FC4E54">
        <w:t>Vikten av tillräcklig i</w:t>
      </w:r>
      <w:r w:rsidR="00592B7B" w:rsidRPr="00FC4E54">
        <w:t>nteventionskapacitet</w:t>
      </w:r>
      <w:r w:rsidR="00124201" w:rsidRPr="00FC4E54">
        <w:t xml:space="preserve"> vid en olycka till havs</w:t>
      </w:r>
      <w:r w:rsidR="00592B7B" w:rsidRPr="00FC4E54">
        <w:t xml:space="preserve"> lyfts</w:t>
      </w:r>
      <w:r w:rsidR="00F62A95" w:rsidRPr="00FC4E54">
        <w:t xml:space="preserve"> fram. </w:t>
      </w:r>
    </w:p>
    <w:p w:rsidR="00655402" w:rsidRPr="00FC4E54" w:rsidRDefault="00655402" w:rsidP="004918E3"/>
    <w:p w:rsidR="000D2384" w:rsidRPr="00FC4E54" w:rsidRDefault="00592B7B" w:rsidP="004918E3">
      <w:r w:rsidRPr="00FC4E54">
        <w:t xml:space="preserve">Komissionen inbjuds </w:t>
      </w:r>
      <w:r w:rsidR="00F62A95" w:rsidRPr="00FC4E54">
        <w:t xml:space="preserve">vidare </w:t>
      </w:r>
      <w:r w:rsidRPr="00FC4E54">
        <w:t>att under 201</w:t>
      </w:r>
      <w:r w:rsidR="001832A3" w:rsidRPr="00FC4E54">
        <w:t>1 presentera konkreta förslag</w:t>
      </w:r>
      <w:r w:rsidR="00F62A95" w:rsidRPr="00FC4E54">
        <w:t xml:space="preserve">. </w:t>
      </w:r>
    </w:p>
    <w:p w:rsidR="00E72A9B" w:rsidRPr="00FC4E54" w:rsidRDefault="00E72A9B">
      <w:pPr>
        <w:pStyle w:val="RKrubrik"/>
        <w:rPr>
          <w:i/>
          <w:iCs/>
        </w:rPr>
      </w:pPr>
      <w:r w:rsidRPr="00FC4E54">
        <w:rPr>
          <w:i/>
          <w:iCs/>
        </w:rPr>
        <w:t>Gällande svenska regler och förslagets effekter på dessa</w:t>
      </w:r>
    </w:p>
    <w:p w:rsidR="00410E44" w:rsidRPr="00FC4E54" w:rsidRDefault="00410E44" w:rsidP="004918E3">
      <w:r w:rsidRPr="00FC4E54">
        <w:t xml:space="preserve">Meddelandet </w:t>
      </w:r>
      <w:r w:rsidR="00BB4FB8" w:rsidRPr="00FC4E54">
        <w:t xml:space="preserve">liksom slutsatserna </w:t>
      </w:r>
      <w:r w:rsidRPr="00FC4E54">
        <w:t xml:space="preserve">pekar ut en rad åtgärdsområden som i ett senare skede kan innebära att kommissionen lägger fram förslag till ny eller reviderad EU-lagstiftning. De aktuella </w:t>
      </w:r>
      <w:r w:rsidR="00BB4FB8" w:rsidRPr="00FC4E54">
        <w:t>slutsatserna som sådana</w:t>
      </w:r>
      <w:r w:rsidRPr="00FC4E54">
        <w:t xml:space="preserve"> får dock inga effekter på svenska regler.</w:t>
      </w:r>
    </w:p>
    <w:p w:rsidR="00E72A9B" w:rsidRPr="00FC4E54" w:rsidRDefault="00E72A9B">
      <w:pPr>
        <w:pStyle w:val="RKrubrik"/>
      </w:pPr>
      <w:r w:rsidRPr="00FC4E54">
        <w:t>Ekonomiska konsekvenser</w:t>
      </w:r>
    </w:p>
    <w:p w:rsidR="00E72A9B" w:rsidRPr="00FC4E54" w:rsidRDefault="004918E3">
      <w:pPr>
        <w:pStyle w:val="RKnormal"/>
      </w:pPr>
      <w:r w:rsidRPr="00FC4E54">
        <w:t>Förslaget bedöms inte få nå</w:t>
      </w:r>
      <w:r w:rsidR="00410E44" w:rsidRPr="00FC4E54">
        <w:t>gra ekonomiska konsekvenser.</w:t>
      </w:r>
    </w:p>
    <w:p w:rsidR="00E72A9B" w:rsidRPr="00FC4E54" w:rsidRDefault="00E72A9B">
      <w:pPr>
        <w:pStyle w:val="RKrubrik"/>
      </w:pPr>
      <w:r w:rsidRPr="00FC4E54">
        <w:t>Övrigt</w:t>
      </w:r>
    </w:p>
    <w:p w:rsidR="00E72A9B" w:rsidRPr="00FC4E54" w:rsidRDefault="00D15A36">
      <w:pPr>
        <w:pStyle w:val="RKnormal"/>
      </w:pPr>
      <w:r w:rsidRPr="00FC4E54">
        <w:t xml:space="preserve">Ekosystemtjänster är de nyttor som människor får från ekosystemen. </w:t>
      </w:r>
      <w:r w:rsidR="004F485F" w:rsidRPr="00FC4E54">
        <w:t>Ekosystemtjänsterna omfattar bl.a. såväl försörjningen med livsmedel och rent vatten, upprätthållandet av luftens syrehalt och buffringen av negativa effekter av klimatförändringarna som rekreation och turism.</w:t>
      </w:r>
    </w:p>
    <w:sectPr w:rsidR="00E72A9B" w:rsidRPr="00FC4E5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E76" w:rsidRPr="00FC4E54" w:rsidRDefault="00067E76">
      <w:r w:rsidRPr="00FC4E54">
        <w:separator/>
      </w:r>
    </w:p>
  </w:endnote>
  <w:endnote w:type="continuationSeparator" w:id="0">
    <w:p w:rsidR="00067E76" w:rsidRPr="00FC4E54" w:rsidRDefault="00067E76">
      <w:r w:rsidRPr="00FC4E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E76" w:rsidRPr="00FC4E54" w:rsidRDefault="00067E76">
      <w:r w:rsidRPr="00FC4E54">
        <w:separator/>
      </w:r>
    </w:p>
  </w:footnote>
  <w:footnote w:type="continuationSeparator" w:id="0">
    <w:p w:rsidR="00067E76" w:rsidRPr="00FC4E54" w:rsidRDefault="00067E76">
      <w:r w:rsidRPr="00FC4E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AB" w:rsidRPr="00FC4E54" w:rsidRDefault="00CD1DAB">
    <w:pPr>
      <w:pStyle w:val="Sidhuvud"/>
      <w:framePr w:wrap="around" w:vAnchor="text" w:hAnchor="margin" w:xAlign="right" w:y="1"/>
      <w:rPr>
        <w:rStyle w:val="Sidnummer"/>
      </w:rPr>
    </w:pPr>
    <w:r w:rsidRPr="00FC4E54">
      <w:rPr>
        <w:rStyle w:val="Sidnummer"/>
      </w:rPr>
      <w:fldChar w:fldCharType="begin" w:fldLock="1"/>
    </w:r>
    <w:r w:rsidRPr="00FC4E54">
      <w:rPr>
        <w:rStyle w:val="Sidnummer"/>
      </w:rPr>
      <w:instrText xml:space="preserve">PAGE  </w:instrText>
    </w:r>
    <w:r w:rsidRPr="00FC4E54">
      <w:rPr>
        <w:rStyle w:val="Sidnummer"/>
      </w:rPr>
      <w:fldChar w:fldCharType="separate"/>
    </w:r>
    <w:r w:rsidR="00374697" w:rsidRPr="00FC4E54">
      <w:rPr>
        <w:rStyle w:val="Sidnummer"/>
      </w:rPr>
      <w:t>2</w:t>
    </w:r>
    <w:r w:rsidRPr="00FC4E5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1DAB" w:rsidRPr="00FC4E54">
      <w:tblPrEx>
        <w:tblCellMar>
          <w:top w:w="0" w:type="dxa"/>
          <w:bottom w:w="0" w:type="dxa"/>
        </w:tblCellMar>
      </w:tblPrEx>
      <w:trPr>
        <w:cantSplit/>
      </w:trPr>
      <w:tc>
        <w:tcPr>
          <w:tcW w:w="3119" w:type="dxa"/>
        </w:tcPr>
        <w:p w:rsidR="00CD1DAB" w:rsidRPr="00FC4E54" w:rsidRDefault="00CD1DAB">
          <w:pPr>
            <w:pStyle w:val="Sidhuvud"/>
            <w:spacing w:line="200" w:lineRule="atLeast"/>
            <w:ind w:right="357"/>
            <w:rPr>
              <w:rFonts w:ascii="TradeGothic" w:hAnsi="TradeGothic"/>
              <w:b/>
              <w:bCs/>
              <w:sz w:val="16"/>
            </w:rPr>
          </w:pPr>
        </w:p>
      </w:tc>
      <w:tc>
        <w:tcPr>
          <w:tcW w:w="4111" w:type="dxa"/>
          <w:tcMar>
            <w:left w:w="567" w:type="dxa"/>
          </w:tcMar>
        </w:tcPr>
        <w:p w:rsidR="00CD1DAB" w:rsidRPr="00FC4E54" w:rsidRDefault="00CD1DAB">
          <w:pPr>
            <w:pStyle w:val="Sidhuvud"/>
            <w:ind w:right="360"/>
          </w:pPr>
        </w:p>
      </w:tc>
      <w:tc>
        <w:tcPr>
          <w:tcW w:w="1525" w:type="dxa"/>
        </w:tcPr>
        <w:p w:rsidR="00CD1DAB" w:rsidRPr="00FC4E54" w:rsidRDefault="00CD1DAB">
          <w:pPr>
            <w:pStyle w:val="Sidhuvud"/>
            <w:ind w:right="360"/>
          </w:pPr>
        </w:p>
      </w:tc>
    </w:tr>
  </w:tbl>
  <w:p w:rsidR="00CD1DAB" w:rsidRPr="00FC4E54" w:rsidRDefault="00CD1DA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AB" w:rsidRPr="00FC4E54" w:rsidRDefault="00CD1DAB">
    <w:pPr>
      <w:pStyle w:val="Sidhuvud"/>
      <w:framePr w:wrap="around" w:vAnchor="text" w:hAnchor="margin" w:xAlign="right" w:y="1"/>
      <w:rPr>
        <w:rStyle w:val="Sidnummer"/>
      </w:rPr>
    </w:pPr>
    <w:r w:rsidRPr="00FC4E54">
      <w:rPr>
        <w:rStyle w:val="Sidnummer"/>
      </w:rPr>
      <w:fldChar w:fldCharType="begin" w:fldLock="1"/>
    </w:r>
    <w:r w:rsidRPr="00FC4E54">
      <w:rPr>
        <w:rStyle w:val="Sidnummer"/>
      </w:rPr>
      <w:instrText xml:space="preserve">PAGE  </w:instrText>
    </w:r>
    <w:r w:rsidRPr="00FC4E54">
      <w:rPr>
        <w:rStyle w:val="Sidnummer"/>
      </w:rPr>
      <w:fldChar w:fldCharType="separate"/>
    </w:r>
    <w:r w:rsidR="00374697" w:rsidRPr="00FC4E54">
      <w:rPr>
        <w:rStyle w:val="Sidnummer"/>
      </w:rPr>
      <w:t>3</w:t>
    </w:r>
    <w:r w:rsidRPr="00FC4E5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1DAB" w:rsidRPr="00FC4E54">
      <w:tblPrEx>
        <w:tblCellMar>
          <w:top w:w="0" w:type="dxa"/>
          <w:bottom w:w="0" w:type="dxa"/>
        </w:tblCellMar>
      </w:tblPrEx>
      <w:trPr>
        <w:cantSplit/>
      </w:trPr>
      <w:tc>
        <w:tcPr>
          <w:tcW w:w="3119" w:type="dxa"/>
        </w:tcPr>
        <w:p w:rsidR="00CD1DAB" w:rsidRPr="00FC4E54" w:rsidRDefault="00CD1DAB">
          <w:pPr>
            <w:pStyle w:val="Sidhuvud"/>
            <w:spacing w:line="200" w:lineRule="atLeast"/>
            <w:ind w:right="357"/>
            <w:rPr>
              <w:rFonts w:ascii="TradeGothic" w:hAnsi="TradeGothic"/>
              <w:b/>
              <w:bCs/>
              <w:sz w:val="16"/>
            </w:rPr>
          </w:pPr>
        </w:p>
      </w:tc>
      <w:tc>
        <w:tcPr>
          <w:tcW w:w="4111" w:type="dxa"/>
          <w:tcMar>
            <w:left w:w="567" w:type="dxa"/>
          </w:tcMar>
        </w:tcPr>
        <w:p w:rsidR="00CD1DAB" w:rsidRPr="00FC4E54" w:rsidRDefault="00CD1DAB">
          <w:pPr>
            <w:pStyle w:val="Sidhuvud"/>
            <w:ind w:right="360"/>
          </w:pPr>
        </w:p>
      </w:tc>
      <w:tc>
        <w:tcPr>
          <w:tcW w:w="1525" w:type="dxa"/>
        </w:tcPr>
        <w:p w:rsidR="00CD1DAB" w:rsidRPr="00FC4E54" w:rsidRDefault="00CD1DAB">
          <w:pPr>
            <w:pStyle w:val="Sidhuvud"/>
            <w:ind w:right="360"/>
          </w:pPr>
        </w:p>
      </w:tc>
    </w:tr>
  </w:tbl>
  <w:p w:rsidR="00CD1DAB" w:rsidRPr="00FC4E54" w:rsidRDefault="00CD1DA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AB" w:rsidRPr="00FC4E54" w:rsidRDefault="00FC4E54">
    <w:pPr>
      <w:framePr w:w="2948" w:h="1321" w:hRule="exact" w:wrap="notBeside" w:vAnchor="page" w:hAnchor="page" w:x="1362" w:y="653"/>
    </w:pPr>
    <w:r w:rsidRPr="00FC4E5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D1DAB" w:rsidRPr="00FC4E54" w:rsidRDefault="00CD1DAB">
    <w:pPr>
      <w:pStyle w:val="RKrubrik"/>
      <w:keepNext w:val="0"/>
      <w:tabs>
        <w:tab w:val="clear" w:pos="1134"/>
        <w:tab w:val="clear" w:pos="2835"/>
      </w:tabs>
      <w:spacing w:before="0" w:after="0" w:line="320" w:lineRule="atLeast"/>
      <w:rPr>
        <w:bCs/>
      </w:rPr>
    </w:pPr>
  </w:p>
  <w:p w:rsidR="00CD1DAB" w:rsidRPr="00FC4E54" w:rsidRDefault="00CD1DAB">
    <w:pPr>
      <w:rPr>
        <w:rFonts w:ascii="TradeGothic" w:hAnsi="TradeGothic"/>
        <w:b/>
        <w:bCs/>
        <w:spacing w:val="12"/>
        <w:sz w:val="22"/>
      </w:rPr>
    </w:pPr>
  </w:p>
  <w:p w:rsidR="00CD1DAB" w:rsidRPr="00FC4E54" w:rsidRDefault="00CD1DAB">
    <w:pPr>
      <w:pStyle w:val="RKrubrik"/>
      <w:keepNext w:val="0"/>
      <w:tabs>
        <w:tab w:val="clear" w:pos="1134"/>
        <w:tab w:val="clear" w:pos="2835"/>
      </w:tabs>
      <w:spacing w:before="0" w:after="0" w:line="320" w:lineRule="atLeast"/>
      <w:rPr>
        <w:bCs/>
      </w:rPr>
    </w:pPr>
  </w:p>
  <w:p w:rsidR="00CD1DAB" w:rsidRPr="00FC4E54" w:rsidRDefault="00CD1DA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97003"/>
    <w:multiLevelType w:val="hybridMultilevel"/>
    <w:tmpl w:val="C616D1CC"/>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num w:numId="1" w16cid:durableId="150308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72A9B"/>
    <w:rsid w:val="00067E76"/>
    <w:rsid w:val="000D2384"/>
    <w:rsid w:val="00124201"/>
    <w:rsid w:val="00150384"/>
    <w:rsid w:val="001805B7"/>
    <w:rsid w:val="0018096F"/>
    <w:rsid w:val="001832A3"/>
    <w:rsid w:val="00194D65"/>
    <w:rsid w:val="001D700C"/>
    <w:rsid w:val="00260D4E"/>
    <w:rsid w:val="002825DC"/>
    <w:rsid w:val="002C5864"/>
    <w:rsid w:val="002F68F4"/>
    <w:rsid w:val="00324316"/>
    <w:rsid w:val="00364682"/>
    <w:rsid w:val="00374697"/>
    <w:rsid w:val="003A6F20"/>
    <w:rsid w:val="003E1F1B"/>
    <w:rsid w:val="003E24BE"/>
    <w:rsid w:val="003F741B"/>
    <w:rsid w:val="00410E44"/>
    <w:rsid w:val="004918E3"/>
    <w:rsid w:val="004A328D"/>
    <w:rsid w:val="004A3F71"/>
    <w:rsid w:val="004D07C4"/>
    <w:rsid w:val="004F032C"/>
    <w:rsid w:val="004F485F"/>
    <w:rsid w:val="00590426"/>
    <w:rsid w:val="00592B7B"/>
    <w:rsid w:val="005F3F57"/>
    <w:rsid w:val="00655402"/>
    <w:rsid w:val="006E4E11"/>
    <w:rsid w:val="007242A3"/>
    <w:rsid w:val="00740D28"/>
    <w:rsid w:val="007F27B9"/>
    <w:rsid w:val="00822C6D"/>
    <w:rsid w:val="00900929"/>
    <w:rsid w:val="009549ED"/>
    <w:rsid w:val="00A70CF1"/>
    <w:rsid w:val="00BA1C84"/>
    <w:rsid w:val="00BB4FB8"/>
    <w:rsid w:val="00C733DC"/>
    <w:rsid w:val="00C87300"/>
    <w:rsid w:val="00CD1DAB"/>
    <w:rsid w:val="00D15A36"/>
    <w:rsid w:val="00E72A9B"/>
    <w:rsid w:val="00E7767F"/>
    <w:rsid w:val="00EC25F9"/>
    <w:rsid w:val="00F62A95"/>
    <w:rsid w:val="00F82DC4"/>
    <w:rsid w:val="00FC4E5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917ED5-8956-4957-91A3-0B8181DF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10E44"/>
    <w:rPr>
      <w:rFonts w:ascii="OrigGarmnd BT" w:hAnsi="OrigGarmnd BT"/>
      <w:sz w:val="24"/>
      <w:lang w:val="sv-SE" w:eastAsia="en-US" w:bidi="ar-SA"/>
    </w:rPr>
  </w:style>
  <w:style w:type="paragraph" w:styleId="Normaltindrag">
    <w:name w:val="Normal Indent"/>
    <w:basedOn w:val="Normal"/>
    <w:rsid w:val="00410E44"/>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4F032C"/>
    <w:rPr>
      <w:vertAlign w:val="superscript"/>
    </w:rPr>
  </w:style>
  <w:style w:type="paragraph" w:styleId="Fotnotstext">
    <w:name w:val="footnote text"/>
    <w:basedOn w:val="Normal"/>
    <w:semiHidden/>
    <w:rsid w:val="004F032C"/>
    <w:pPr>
      <w:overflowPunct/>
      <w:autoSpaceDE/>
      <w:autoSpaceDN/>
      <w:adjustRightInd/>
      <w:spacing w:before="122" w:line="170" w:lineRule="exact"/>
      <w:jc w:val="both"/>
      <w:textAlignment w:val="auto"/>
    </w:pPr>
    <w:rPr>
      <w:rFonts w:ascii="Times New Roman" w:hAnsi="Times New Roman"/>
      <w:sz w:val="17"/>
      <w:lang w:eastAsia="sv-SE"/>
    </w:rPr>
  </w:style>
  <w:style w:type="paragraph" w:customStyle="1" w:styleId="CitatIndrag">
    <w:name w:val="CitatIndrag"/>
    <w:basedOn w:val="Normal"/>
    <w:rsid w:val="004F032C"/>
    <w:pPr>
      <w:overflowPunct/>
      <w:autoSpaceDE/>
      <w:autoSpaceDN/>
      <w:adjustRightInd/>
      <w:spacing w:line="214"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5242</Characters>
  <Application>Microsoft Office Word</Application>
  <DocSecurity>4</DocSecurity>
  <Lines>137</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2010-11-22T14:50:00Z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