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w:t>
            </w:r>
            <w:r w:rsidR="005F6831">
              <w:rPr>
                <w:b/>
              </w:rPr>
              <w:t>1</w:t>
            </w:r>
            <w:r w:rsidR="00E362AB">
              <w:rPr>
                <w:b/>
              </w:rPr>
              <w:t>/2</w:t>
            </w:r>
            <w:r w:rsidR="005F6831">
              <w:rPr>
                <w:b/>
              </w:rPr>
              <w:t>2</w:t>
            </w:r>
            <w:r w:rsidR="00520D71">
              <w:rPr>
                <w:b/>
              </w:rPr>
              <w:t>:</w:t>
            </w:r>
            <w:r w:rsidR="00583BE5">
              <w:rPr>
                <w:b/>
              </w:rPr>
              <w:t>3</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583BE5">
              <w:t>09</w:t>
            </w:r>
            <w:r w:rsidR="00520D71">
              <w:t>-</w:t>
            </w:r>
            <w:r w:rsidR="00583BE5">
              <w:t>28</w:t>
            </w:r>
          </w:p>
        </w:tc>
      </w:tr>
      <w:tr w:rsidR="00447E69">
        <w:tc>
          <w:tcPr>
            <w:tcW w:w="1985" w:type="dxa"/>
          </w:tcPr>
          <w:p w:rsidR="00447E69" w:rsidRDefault="00447E69">
            <w:r>
              <w:t>TID</w:t>
            </w:r>
          </w:p>
        </w:tc>
        <w:tc>
          <w:tcPr>
            <w:tcW w:w="6463" w:type="dxa"/>
          </w:tcPr>
          <w:p w:rsidR="00447E69" w:rsidRDefault="00583BE5">
            <w:r>
              <w:t>11</w:t>
            </w:r>
            <w:r w:rsidR="00BF5F58">
              <w:t>:</w:t>
            </w:r>
            <w:r w:rsidR="00B2693D">
              <w:t>00</w:t>
            </w:r>
            <w:r w:rsidR="00FA543D">
              <w:t>–</w:t>
            </w:r>
            <w:r w:rsidR="00434493">
              <w:t>11:45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CA5431" w:rsidRDefault="00BD09A6" w:rsidP="00CA5431">
            <w:r w:rsidRPr="00042D3A">
              <w:rPr>
                <w:bCs/>
              </w:rPr>
              <w:t xml:space="preserve">Utskottet </w:t>
            </w:r>
            <w:r>
              <w:rPr>
                <w:bCs/>
              </w:rPr>
              <w:t xml:space="preserve">medgav deltagande på distans för </w:t>
            </w:r>
            <w:r w:rsidRPr="004209C4">
              <w:rPr>
                <w:bCs/>
              </w:rPr>
              <w:t xml:space="preserve">följande ordinarie ledamöter och suppleanter: </w:t>
            </w:r>
            <w:r w:rsidR="002711A1">
              <w:t>Fredrik Malm</w:t>
            </w:r>
            <w:r w:rsidR="00CA5431">
              <w:t xml:space="preserve"> (L), Kristina Axén Olin (M), Pia Nilsson (S), Lars Püss (M), Patrick Reslow (SD), Caroline Helmersson Olsson (S), Fredrik Christensson (C), Daniel Riazat (V)</w:t>
            </w:r>
          </w:p>
          <w:p w:rsidR="00BD09A6" w:rsidRPr="004209C4" w:rsidRDefault="00CA5431" w:rsidP="00CA5431">
            <w:pPr>
              <w:rPr>
                <w:strike/>
              </w:rPr>
            </w:pPr>
            <w:r>
              <w:t>Marie-Louise Hänel Sandström (M), Robert Stenkvist (SD), Christian Carlsson (KD), Tomas Kronståhl (S), Michael Rubbestad (SD), Annika Hirvonen (MP), Maria Nilsson (L), Roza Güclü Hedin (S), Jörgen Grubb (SD), Niels Paarup-Petersen (C)</w:t>
            </w:r>
            <w:r w:rsidR="007C4C09">
              <w:t xml:space="preserve"> och Paula Örn (S)</w:t>
            </w:r>
            <w:r>
              <w:t>.</w:t>
            </w:r>
          </w:p>
          <w:p w:rsidR="00BD09A6" w:rsidRDefault="00BD09A6" w:rsidP="00BD09A6">
            <w:pPr>
              <w:rPr>
                <w:b/>
                <w:bCs/>
              </w:rPr>
            </w:pPr>
          </w:p>
          <w:p w:rsidR="00313972" w:rsidRPr="004209C4" w:rsidRDefault="00CB7ED3" w:rsidP="00CB7ED3">
            <w:pPr>
              <w:tabs>
                <w:tab w:val="left" w:pos="1701"/>
              </w:tabs>
              <w:rPr>
                <w:b/>
                <w:bCs/>
              </w:rPr>
            </w:pPr>
            <w:r>
              <w:t>Tjänstemän från utbildningsutskottets kansli var uppkopplade på distans. Vidare var en tjänsteman från EU-nämndens kansli uppkopplad på distans under punkterna 2–6.</w:t>
            </w:r>
          </w:p>
          <w:p w:rsidR="008E2E78" w:rsidRDefault="008E2E78" w:rsidP="00F573AC">
            <w:pPr>
              <w:autoSpaceDE w:val="0"/>
              <w:autoSpaceDN w:val="0"/>
              <w:textAlignment w:val="center"/>
              <w:rPr>
                <w:b/>
                <w:snapToGrid w:val="0"/>
              </w:rPr>
            </w:pPr>
          </w:p>
        </w:tc>
      </w:tr>
      <w:tr w:rsidR="00583BE5" w:rsidTr="0001177E">
        <w:tc>
          <w:tcPr>
            <w:tcW w:w="567" w:type="dxa"/>
          </w:tcPr>
          <w:p w:rsidR="00583BE5" w:rsidRPr="003B4DE8" w:rsidRDefault="00583BE5" w:rsidP="003B4DE8">
            <w:pPr>
              <w:pStyle w:val="Liststycke"/>
              <w:numPr>
                <w:ilvl w:val="0"/>
                <w:numId w:val="2"/>
              </w:numPr>
              <w:tabs>
                <w:tab w:val="left" w:pos="1701"/>
              </w:tabs>
              <w:rPr>
                <w:b/>
                <w:snapToGrid w:val="0"/>
              </w:rPr>
            </w:pPr>
          </w:p>
        </w:tc>
        <w:tc>
          <w:tcPr>
            <w:tcW w:w="6946" w:type="dxa"/>
            <w:gridSpan w:val="2"/>
          </w:tcPr>
          <w:p w:rsidR="00494A61" w:rsidRDefault="00494A61" w:rsidP="00494A61">
            <w:pPr>
              <w:tabs>
                <w:tab w:val="left" w:pos="1701"/>
              </w:tabs>
              <w:rPr>
                <w:b/>
                <w:snapToGrid w:val="0"/>
              </w:rPr>
            </w:pPr>
            <w:r>
              <w:rPr>
                <w:b/>
                <w:snapToGrid w:val="0"/>
              </w:rPr>
              <w:t xml:space="preserve">EU-överläggning om rådsresolution om en ny europeisk agenda för vuxnas lärande </w:t>
            </w:r>
            <w:proofErr w:type="gramStart"/>
            <w:r>
              <w:rPr>
                <w:b/>
                <w:snapToGrid w:val="0"/>
              </w:rPr>
              <w:t>2021-2030</w:t>
            </w:r>
            <w:proofErr w:type="gramEnd"/>
          </w:p>
          <w:p w:rsidR="00494A61" w:rsidRDefault="00494A61" w:rsidP="00494A61">
            <w:pPr>
              <w:tabs>
                <w:tab w:val="left" w:pos="1701"/>
              </w:tabs>
              <w:rPr>
                <w:b/>
                <w:snapToGrid w:val="0"/>
              </w:rPr>
            </w:pPr>
          </w:p>
          <w:p w:rsidR="00494A61" w:rsidRDefault="00494A61" w:rsidP="00494A61">
            <w:pPr>
              <w:tabs>
                <w:tab w:val="left" w:pos="1701"/>
              </w:tabs>
              <w:rPr>
                <w:snapToGrid w:val="0"/>
              </w:rPr>
            </w:pPr>
            <w:r>
              <w:rPr>
                <w:snapToGrid w:val="0"/>
              </w:rPr>
              <w:t xml:space="preserve">Utskottet överlade med statssekreteraren Erik Nilsson, biträdd av politiskt sakkunnige Mattias Samuelsson, departementsrådet Johan Lycke, utbildningsrådet Anders Lindholm och kanslirådet Anneli Helgesson om rådsresolution om en ny europeisk agenda för vuxnas lärande </w:t>
            </w:r>
            <w:proofErr w:type="gramStart"/>
            <w:r>
              <w:rPr>
                <w:snapToGrid w:val="0"/>
              </w:rPr>
              <w:t>2021-2030</w:t>
            </w:r>
            <w:proofErr w:type="gramEnd"/>
            <w:r>
              <w:rPr>
                <w:snapToGrid w:val="0"/>
              </w:rPr>
              <w:t>. Samtliga från Utbildningsdepartementet deltog på distans.</w:t>
            </w:r>
          </w:p>
          <w:p w:rsidR="00494A61" w:rsidRDefault="00494A61" w:rsidP="00494A61">
            <w:pPr>
              <w:tabs>
                <w:tab w:val="left" w:pos="1701"/>
              </w:tabs>
              <w:rPr>
                <w:snapToGrid w:val="0"/>
              </w:rPr>
            </w:pPr>
          </w:p>
          <w:p w:rsidR="00494A61" w:rsidRDefault="00494A61" w:rsidP="00494A61">
            <w:pPr>
              <w:tabs>
                <w:tab w:val="left" w:pos="1701"/>
              </w:tabs>
              <w:rPr>
                <w:i/>
                <w:snapToGrid w:val="0"/>
              </w:rPr>
            </w:pPr>
            <w:r>
              <w:rPr>
                <w:i/>
                <w:snapToGrid w:val="0"/>
              </w:rPr>
              <w:t>Underlag för överläggningen</w:t>
            </w:r>
          </w:p>
          <w:p w:rsidR="00494A61" w:rsidRDefault="00494A61" w:rsidP="00494A61">
            <w:pPr>
              <w:tabs>
                <w:tab w:val="left" w:pos="1701"/>
              </w:tabs>
              <w:rPr>
                <w:snapToGrid w:val="0"/>
              </w:rPr>
            </w:pPr>
            <w:r>
              <w:rPr>
                <w:snapToGrid w:val="0"/>
              </w:rPr>
              <w:t>Promemoria från Utbildningsdepartementet (</w:t>
            </w:r>
            <w:proofErr w:type="gramStart"/>
            <w:r>
              <w:rPr>
                <w:snapToGrid w:val="0"/>
              </w:rPr>
              <w:t>97-2021</w:t>
            </w:r>
            <w:proofErr w:type="gramEnd"/>
            <w:r>
              <w:rPr>
                <w:snapToGrid w:val="0"/>
              </w:rPr>
              <w:t>/22)</w:t>
            </w:r>
          </w:p>
          <w:p w:rsidR="00494A61" w:rsidRDefault="00494A61" w:rsidP="00494A61">
            <w:pPr>
              <w:tabs>
                <w:tab w:val="left" w:pos="1701"/>
              </w:tabs>
              <w:rPr>
                <w:snapToGrid w:val="0"/>
              </w:rPr>
            </w:pPr>
            <w:r>
              <w:rPr>
                <w:snapToGrid w:val="0"/>
              </w:rPr>
              <w:t xml:space="preserve">Rådsdokument ST </w:t>
            </w:r>
            <w:proofErr w:type="gramStart"/>
            <w:r>
              <w:rPr>
                <w:snapToGrid w:val="0"/>
              </w:rPr>
              <w:t>11418</w:t>
            </w:r>
            <w:proofErr w:type="gramEnd"/>
            <w:r>
              <w:rPr>
                <w:snapToGrid w:val="0"/>
              </w:rPr>
              <w:t>/21</w:t>
            </w:r>
          </w:p>
          <w:p w:rsidR="00494A61" w:rsidRDefault="00494A61" w:rsidP="00494A61">
            <w:pPr>
              <w:tabs>
                <w:tab w:val="left" w:pos="1701"/>
              </w:tabs>
              <w:rPr>
                <w:snapToGrid w:val="0"/>
              </w:rPr>
            </w:pPr>
          </w:p>
          <w:p w:rsidR="00494A61" w:rsidRDefault="00494A61" w:rsidP="00494A61">
            <w:pPr>
              <w:tabs>
                <w:tab w:val="left" w:pos="1701"/>
              </w:tabs>
              <w:rPr>
                <w:i/>
                <w:snapToGrid w:val="0"/>
              </w:rPr>
            </w:pPr>
            <w:r>
              <w:rPr>
                <w:i/>
                <w:snapToGrid w:val="0"/>
              </w:rPr>
              <w:t>Regeringens förslag till svensk ståndpunkt</w:t>
            </w:r>
          </w:p>
          <w:p w:rsidR="00494A61" w:rsidRDefault="00494A61" w:rsidP="00494A61">
            <w:pPr>
              <w:tabs>
                <w:tab w:val="left" w:pos="1701"/>
              </w:tabs>
              <w:rPr>
                <w:snapToGrid w:val="0"/>
              </w:rPr>
            </w:pPr>
            <w:r>
              <w:rPr>
                <w:snapToGrid w:val="0"/>
              </w:rPr>
              <w:t>Regeringen välkomnar samarbete som ska främja livslångt lärande och förse människor med den kompetens som krävs på arbetsmarknaden i dag och i framtiden.</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Regeringen välkomnar initiativ för att genomföra övergången mot ett mer digitalt och grönt samhälle och bidra till återhämtning från covid-19-pandemin.</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Regeringen delar synen att medborgarnas tillgång till utbildning och</w:t>
            </w:r>
          </w:p>
          <w:p w:rsidR="00494A61" w:rsidRDefault="00494A61" w:rsidP="00494A61">
            <w:pPr>
              <w:tabs>
                <w:tab w:val="left" w:pos="1701"/>
              </w:tabs>
              <w:rPr>
                <w:snapToGrid w:val="0"/>
              </w:rPr>
            </w:pPr>
            <w:r>
              <w:rPr>
                <w:snapToGrid w:val="0"/>
              </w:rPr>
              <w:lastRenderedPageBreak/>
              <w:t>kompetensutveckling såväl inom arbetslivet som inom formell och icke-formell utbildning är avgörande för att möta efterfrågan på arbetsmarknaden nu och i framtiden och för att säkerställa en smidig övergång till ett digitalt och grönt samhälle. Tillgång till utbildning och kompetensutveckling är också avgörande för vuxnas möjlighet till egen försörjning och bidrar till individens personliga utveckling.</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Regeringen avser att arbeta för att resolutionen för vuxnas lärande</w:t>
            </w:r>
          </w:p>
          <w:p w:rsidR="00494A61" w:rsidRDefault="00494A61" w:rsidP="00494A61">
            <w:pPr>
              <w:tabs>
                <w:tab w:val="left" w:pos="1701"/>
              </w:tabs>
              <w:rPr>
                <w:snapToGrid w:val="0"/>
              </w:rPr>
            </w:pPr>
            <w:r>
              <w:rPr>
                <w:snapToGrid w:val="0"/>
              </w:rPr>
              <w:t>genomsyras av ett jämställdhetsperspektiv samt ett effektivt</w:t>
            </w:r>
          </w:p>
          <w:p w:rsidR="00494A61" w:rsidRDefault="00494A61" w:rsidP="00494A61">
            <w:pPr>
              <w:tabs>
                <w:tab w:val="left" w:pos="1701"/>
              </w:tabs>
              <w:rPr>
                <w:snapToGrid w:val="0"/>
              </w:rPr>
            </w:pPr>
            <w:r>
              <w:rPr>
                <w:snapToGrid w:val="0"/>
              </w:rPr>
              <w:t>genomförande och utfall som likvärdigt gynnar såväl kvinnor som män.</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Vidare avser regeringen att verka för att det inte ställs krav på lagstiftning samt att de nationella befogenheterna på utbildningsområdet värnas i framtagandet av resolutionen.</w:t>
            </w:r>
          </w:p>
          <w:p w:rsidR="00494A61" w:rsidRDefault="00494A61" w:rsidP="00494A61">
            <w:pPr>
              <w:tabs>
                <w:tab w:val="left" w:pos="1701"/>
              </w:tabs>
              <w:rPr>
                <w:snapToGrid w:val="0"/>
              </w:rPr>
            </w:pPr>
          </w:p>
          <w:p w:rsidR="00494A61" w:rsidRDefault="00494A61" w:rsidP="00494A61">
            <w:pPr>
              <w:tabs>
                <w:tab w:val="left" w:pos="1701"/>
              </w:tabs>
              <w:rPr>
                <w:i/>
                <w:snapToGrid w:val="0"/>
              </w:rPr>
            </w:pPr>
            <w:r>
              <w:rPr>
                <w:i/>
                <w:snapToGrid w:val="0"/>
              </w:rPr>
              <w:t>Utskottet</w:t>
            </w:r>
          </w:p>
          <w:p w:rsidR="00494A61" w:rsidRDefault="00494A61" w:rsidP="00494A61">
            <w:pPr>
              <w:pStyle w:val="Default"/>
              <w:rPr>
                <w:sz w:val="23"/>
                <w:szCs w:val="23"/>
              </w:rPr>
            </w:pPr>
            <w:r>
              <w:rPr>
                <w:sz w:val="23"/>
                <w:szCs w:val="23"/>
              </w:rPr>
              <w:t>Ordföranden konstaterade att det fanns stöd för regeringens ståndpunkt.</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 xml:space="preserve">Ledamöterna från Sverigedemokraterna lämnade följande avvikande ståndpunkt.  </w:t>
            </w:r>
          </w:p>
          <w:p w:rsidR="00494A61" w:rsidRDefault="00494A61" w:rsidP="00494A61">
            <w:pPr>
              <w:tabs>
                <w:tab w:val="left" w:pos="1701"/>
              </w:tabs>
              <w:rPr>
                <w:b/>
                <w:sz w:val="23"/>
                <w:szCs w:val="23"/>
              </w:rPr>
            </w:pPr>
          </w:p>
          <w:p w:rsidR="00494A61" w:rsidRDefault="00494A61" w:rsidP="00494A61">
            <w:pPr>
              <w:tabs>
                <w:tab w:val="left" w:pos="1701"/>
              </w:tabs>
              <w:rPr>
                <w:sz w:val="23"/>
                <w:szCs w:val="23"/>
              </w:rPr>
            </w:pPr>
            <w:r>
              <w:rPr>
                <w:sz w:val="23"/>
                <w:szCs w:val="23"/>
              </w:rPr>
              <w:t>Vi har tidigare anfört att EU inte ska sätta en kompetensagenda vare sig för sysselsättning eller utbildning, då detta är en uppgift som åligger de enskilda medlemsstaterna och även fortsättningsvis ska vara en del av den nationella kompetensen. Vi vidhåller denna uppfattning.</w:t>
            </w:r>
          </w:p>
          <w:p w:rsidR="00494A61" w:rsidRDefault="00494A61" w:rsidP="00494A61">
            <w:pPr>
              <w:tabs>
                <w:tab w:val="left" w:pos="1701"/>
              </w:tabs>
              <w:rPr>
                <w:b/>
                <w:sz w:val="23"/>
                <w:szCs w:val="23"/>
              </w:rPr>
            </w:pPr>
          </w:p>
          <w:p w:rsidR="00583BE5" w:rsidRDefault="00494A61" w:rsidP="00494A61">
            <w:pPr>
              <w:pStyle w:val="Default"/>
              <w:rPr>
                <w:b/>
                <w:szCs w:val="26"/>
              </w:rPr>
            </w:pPr>
            <w:r>
              <w:rPr>
                <w:sz w:val="23"/>
                <w:szCs w:val="23"/>
              </w:rPr>
              <w:t xml:space="preserve">Denna paragraf förklarades omedelbart justerad. </w:t>
            </w:r>
          </w:p>
          <w:p w:rsidR="00583BE5" w:rsidRDefault="00583BE5" w:rsidP="00BD09A6">
            <w:pPr>
              <w:autoSpaceDE w:val="0"/>
              <w:autoSpaceDN w:val="0"/>
              <w:adjustRightInd w:val="0"/>
              <w:textAlignment w:val="center"/>
              <w:rPr>
                <w:b/>
                <w:szCs w:val="26"/>
              </w:rPr>
            </w:pPr>
          </w:p>
        </w:tc>
      </w:tr>
      <w:tr w:rsidR="00494A61" w:rsidTr="0001177E">
        <w:tc>
          <w:tcPr>
            <w:tcW w:w="567" w:type="dxa"/>
          </w:tcPr>
          <w:p w:rsidR="00494A61" w:rsidRPr="003B4DE8" w:rsidRDefault="00494A61" w:rsidP="003B4DE8">
            <w:pPr>
              <w:pStyle w:val="Liststycke"/>
              <w:numPr>
                <w:ilvl w:val="0"/>
                <w:numId w:val="2"/>
              </w:numPr>
              <w:tabs>
                <w:tab w:val="left" w:pos="1701"/>
              </w:tabs>
              <w:rPr>
                <w:b/>
                <w:snapToGrid w:val="0"/>
              </w:rPr>
            </w:pPr>
          </w:p>
        </w:tc>
        <w:tc>
          <w:tcPr>
            <w:tcW w:w="6946" w:type="dxa"/>
            <w:gridSpan w:val="2"/>
          </w:tcPr>
          <w:p w:rsidR="00494A61" w:rsidRDefault="00494A61" w:rsidP="00494A61">
            <w:pPr>
              <w:tabs>
                <w:tab w:val="left" w:pos="1701"/>
              </w:tabs>
              <w:rPr>
                <w:b/>
                <w:snapToGrid w:val="0"/>
              </w:rPr>
            </w:pPr>
            <w:r>
              <w:rPr>
                <w:b/>
                <w:snapToGrid w:val="0"/>
              </w:rPr>
              <w:t>EU-överläggning om rådsresolution om styrningsstrukturen för den strategiska ramen för det europeiska utbildningssamarbetet inför och bortom ett europeiskt område för utbildning (</w:t>
            </w:r>
            <w:proofErr w:type="gramStart"/>
            <w:r>
              <w:rPr>
                <w:b/>
                <w:snapToGrid w:val="0"/>
              </w:rPr>
              <w:t>2021-2030</w:t>
            </w:r>
            <w:proofErr w:type="gramEnd"/>
            <w:r>
              <w:rPr>
                <w:b/>
                <w:snapToGrid w:val="0"/>
              </w:rPr>
              <w:t>)</w:t>
            </w:r>
          </w:p>
          <w:p w:rsidR="00494A61" w:rsidRDefault="00494A61" w:rsidP="00494A61">
            <w:pPr>
              <w:tabs>
                <w:tab w:val="left" w:pos="1701"/>
              </w:tabs>
              <w:rPr>
                <w:b/>
                <w:snapToGrid w:val="0"/>
              </w:rPr>
            </w:pPr>
          </w:p>
          <w:p w:rsidR="00494A61" w:rsidRDefault="00494A61" w:rsidP="00494A61">
            <w:pPr>
              <w:tabs>
                <w:tab w:val="left" w:pos="1701"/>
              </w:tabs>
              <w:rPr>
                <w:snapToGrid w:val="0"/>
              </w:rPr>
            </w:pPr>
            <w:r>
              <w:rPr>
                <w:snapToGrid w:val="0"/>
              </w:rPr>
              <w:t>Utskottet överlade med statssekreteraren Erik Nilsson, biträdd av politiskt sakkunnige Mattias Samuelsson, departementsrådet Johan Lycke, utbildningsrådet Anders Lindholm och kanslirådet Anneli Helgesson om rådsresolution om styrningsstrukturen för den strategiska ramen för det europeiska utbildningssamarbetet inför och bortom ett europeiskt område för utbildning (</w:t>
            </w:r>
            <w:proofErr w:type="gramStart"/>
            <w:r>
              <w:rPr>
                <w:snapToGrid w:val="0"/>
              </w:rPr>
              <w:t>2021-2030</w:t>
            </w:r>
            <w:proofErr w:type="gramEnd"/>
            <w:r>
              <w:rPr>
                <w:snapToGrid w:val="0"/>
              </w:rPr>
              <w:t>). Samtliga från Utbildningsdepartementet deltog på distans.</w:t>
            </w:r>
          </w:p>
          <w:p w:rsidR="00494A61" w:rsidRDefault="00494A61" w:rsidP="00494A61">
            <w:pPr>
              <w:tabs>
                <w:tab w:val="left" w:pos="1701"/>
              </w:tabs>
              <w:rPr>
                <w:snapToGrid w:val="0"/>
              </w:rPr>
            </w:pPr>
          </w:p>
          <w:p w:rsidR="00494A61" w:rsidRDefault="00494A61" w:rsidP="00494A61">
            <w:pPr>
              <w:tabs>
                <w:tab w:val="left" w:pos="1701"/>
              </w:tabs>
              <w:rPr>
                <w:i/>
                <w:snapToGrid w:val="0"/>
              </w:rPr>
            </w:pPr>
            <w:r>
              <w:rPr>
                <w:i/>
                <w:snapToGrid w:val="0"/>
              </w:rPr>
              <w:t>Underlag för överläggningen</w:t>
            </w:r>
          </w:p>
          <w:p w:rsidR="00494A61" w:rsidRDefault="00494A61" w:rsidP="00494A61">
            <w:pPr>
              <w:tabs>
                <w:tab w:val="left" w:pos="1701"/>
              </w:tabs>
              <w:rPr>
                <w:snapToGrid w:val="0"/>
              </w:rPr>
            </w:pPr>
            <w:r>
              <w:rPr>
                <w:snapToGrid w:val="0"/>
              </w:rPr>
              <w:t>Promemoria från Utbildningsdepartementet (</w:t>
            </w:r>
            <w:proofErr w:type="gramStart"/>
            <w:r>
              <w:rPr>
                <w:snapToGrid w:val="0"/>
              </w:rPr>
              <w:t>98-2021</w:t>
            </w:r>
            <w:proofErr w:type="gramEnd"/>
            <w:r>
              <w:rPr>
                <w:snapToGrid w:val="0"/>
              </w:rPr>
              <w:t>/22)</w:t>
            </w:r>
          </w:p>
          <w:p w:rsidR="00494A61" w:rsidRDefault="00494A61" w:rsidP="00494A61">
            <w:pPr>
              <w:tabs>
                <w:tab w:val="left" w:pos="1701"/>
              </w:tabs>
              <w:rPr>
                <w:snapToGrid w:val="0"/>
              </w:rPr>
            </w:pPr>
            <w:r>
              <w:rPr>
                <w:snapToGrid w:val="0"/>
              </w:rPr>
              <w:t xml:space="preserve">Rådsdokument ST </w:t>
            </w:r>
            <w:proofErr w:type="gramStart"/>
            <w:r>
              <w:rPr>
                <w:snapToGrid w:val="0"/>
              </w:rPr>
              <w:t>11509</w:t>
            </w:r>
            <w:proofErr w:type="gramEnd"/>
            <w:r>
              <w:rPr>
                <w:snapToGrid w:val="0"/>
              </w:rPr>
              <w:t>/21</w:t>
            </w:r>
          </w:p>
          <w:p w:rsidR="00494A61" w:rsidRDefault="00494A61" w:rsidP="00494A61">
            <w:pPr>
              <w:tabs>
                <w:tab w:val="left" w:pos="1701"/>
              </w:tabs>
              <w:rPr>
                <w:i/>
                <w:snapToGrid w:val="0"/>
              </w:rPr>
            </w:pPr>
          </w:p>
          <w:p w:rsidR="00494A61" w:rsidRDefault="00494A61" w:rsidP="00494A61">
            <w:pPr>
              <w:tabs>
                <w:tab w:val="left" w:pos="1701"/>
              </w:tabs>
              <w:rPr>
                <w:i/>
                <w:snapToGrid w:val="0"/>
              </w:rPr>
            </w:pPr>
            <w:r>
              <w:rPr>
                <w:i/>
                <w:snapToGrid w:val="0"/>
              </w:rPr>
              <w:t>Regeringens förslag till svensk ståndpunkt</w:t>
            </w:r>
          </w:p>
          <w:p w:rsidR="00494A61" w:rsidRDefault="00494A61" w:rsidP="00494A61">
            <w:pPr>
              <w:tabs>
                <w:tab w:val="left" w:pos="1701"/>
              </w:tabs>
              <w:rPr>
                <w:snapToGrid w:val="0"/>
              </w:rPr>
            </w:pPr>
            <w:r>
              <w:rPr>
                <w:snapToGrid w:val="0"/>
              </w:rPr>
              <w:t>Regeringen kan välkomna utkastet till rådsresolution för styrningen av det europeiska ramverket för utbildning.</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Regeringen anser att det är viktigt med en tydlig struktur för ett effektivt genomförande av ramverket.</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Det är också viktigt att respektera ansvarsfördelning och roller, t.ex. vad å ena sidan gäller förhandling i rådsstrukturen och å andra sidan det lärande och utbyte av erfarenheter som sker i andra konstellationer.</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Regeringens bedömning är att den föreslagna rådsresolutionen håller sig inom EU:s befogenheter på utbildningsområdet.</w:t>
            </w:r>
          </w:p>
          <w:p w:rsidR="00494A61" w:rsidRDefault="00494A61" w:rsidP="00494A61">
            <w:pPr>
              <w:tabs>
                <w:tab w:val="left" w:pos="1701"/>
              </w:tabs>
              <w:rPr>
                <w:snapToGrid w:val="0"/>
              </w:rPr>
            </w:pPr>
          </w:p>
          <w:p w:rsidR="00494A61" w:rsidRDefault="00494A61" w:rsidP="00494A61">
            <w:pPr>
              <w:tabs>
                <w:tab w:val="left" w:pos="1701"/>
              </w:tabs>
              <w:rPr>
                <w:i/>
                <w:snapToGrid w:val="0"/>
              </w:rPr>
            </w:pPr>
            <w:r>
              <w:rPr>
                <w:i/>
                <w:snapToGrid w:val="0"/>
              </w:rPr>
              <w:t>Utskottet</w:t>
            </w:r>
          </w:p>
          <w:p w:rsidR="00494A61" w:rsidRDefault="00494A61" w:rsidP="00494A61">
            <w:pPr>
              <w:pStyle w:val="Default"/>
              <w:rPr>
                <w:sz w:val="23"/>
                <w:szCs w:val="23"/>
              </w:rPr>
            </w:pPr>
            <w:r>
              <w:rPr>
                <w:sz w:val="23"/>
                <w:szCs w:val="23"/>
              </w:rPr>
              <w:t xml:space="preserve">Ordföranden konstaterade att det fanns stöd för regeringens ståndpunkt. </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 xml:space="preserve">Ledamöterna från Moderaterna och Kristdemokraterna anmälde en avvikande ståndpunkt om att regeringens ståndpunkt bör formuleras enligt följande. </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”Regeringen bevakar att den föreslagna rådsresolutionen respekterar medlemsstaternas befogenheter på utbildningsområdet.</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 xml:space="preserve">Regeringen anser därför att utkastet till rådsresolution för styrningen av det europeiska ramverket för utbildning i nuvarande skick är alltför detaljerat. </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Det är viktigt att respektera ansvarsfördelning och roller, t.ex. vad å ena sidan gäller förhandling i rådsstrukturen och å andra sidan det lärande och utbyte av erfarenheter som sker i andra konstellationer.</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Regeringens bedömning är att den föreslagna rådsresolutionen inte håller sig inom EU:s befogenheter på utbildningsområdet.”</w:t>
            </w:r>
          </w:p>
          <w:p w:rsidR="00494A61" w:rsidRDefault="00494A61" w:rsidP="00494A61">
            <w:pPr>
              <w:tabs>
                <w:tab w:val="left" w:pos="1701"/>
              </w:tabs>
              <w:rPr>
                <w:b/>
                <w:sz w:val="23"/>
                <w:szCs w:val="23"/>
              </w:rPr>
            </w:pPr>
          </w:p>
          <w:p w:rsidR="00494A61" w:rsidRDefault="00494A61" w:rsidP="00494A61">
            <w:pPr>
              <w:pStyle w:val="Default"/>
              <w:rPr>
                <w:sz w:val="23"/>
                <w:szCs w:val="23"/>
              </w:rPr>
            </w:pPr>
            <w:r>
              <w:rPr>
                <w:sz w:val="23"/>
                <w:szCs w:val="23"/>
              </w:rPr>
              <w:t xml:space="preserve">Denna paragraf förklarades omedelbart justerad. </w:t>
            </w:r>
          </w:p>
          <w:p w:rsidR="00494A61" w:rsidRDefault="00494A61">
            <w:pPr>
              <w:tabs>
                <w:tab w:val="left" w:pos="1701"/>
              </w:tabs>
              <w:rPr>
                <w:b/>
                <w:snapToGrid w:val="0"/>
              </w:rPr>
            </w:pPr>
          </w:p>
        </w:tc>
      </w:tr>
      <w:tr w:rsidR="00494A61" w:rsidTr="0001177E">
        <w:tc>
          <w:tcPr>
            <w:tcW w:w="567" w:type="dxa"/>
          </w:tcPr>
          <w:p w:rsidR="00494A61" w:rsidRPr="003B4DE8" w:rsidRDefault="00494A61" w:rsidP="003B4DE8">
            <w:pPr>
              <w:pStyle w:val="Liststycke"/>
              <w:numPr>
                <w:ilvl w:val="0"/>
                <w:numId w:val="2"/>
              </w:numPr>
              <w:tabs>
                <w:tab w:val="left" w:pos="1701"/>
              </w:tabs>
              <w:rPr>
                <w:b/>
                <w:snapToGrid w:val="0"/>
              </w:rPr>
            </w:pPr>
          </w:p>
        </w:tc>
        <w:tc>
          <w:tcPr>
            <w:tcW w:w="6946" w:type="dxa"/>
            <w:gridSpan w:val="2"/>
          </w:tcPr>
          <w:p w:rsidR="00494A61" w:rsidRDefault="00494A61" w:rsidP="00494A61">
            <w:pPr>
              <w:tabs>
                <w:tab w:val="left" w:pos="1701"/>
              </w:tabs>
              <w:rPr>
                <w:b/>
                <w:snapToGrid w:val="0"/>
              </w:rPr>
            </w:pPr>
            <w:r>
              <w:rPr>
                <w:b/>
                <w:snapToGrid w:val="0"/>
              </w:rPr>
              <w:t>EU-överläggning om rådsrekommendation om blandat lärande</w:t>
            </w:r>
          </w:p>
          <w:p w:rsidR="00494A61" w:rsidRDefault="00494A61" w:rsidP="00494A61">
            <w:pPr>
              <w:tabs>
                <w:tab w:val="left" w:pos="1701"/>
              </w:tabs>
              <w:rPr>
                <w:b/>
                <w:snapToGrid w:val="0"/>
              </w:rPr>
            </w:pPr>
          </w:p>
          <w:p w:rsidR="00494A61" w:rsidRDefault="00494A61" w:rsidP="00494A61">
            <w:pPr>
              <w:tabs>
                <w:tab w:val="left" w:pos="1701"/>
              </w:tabs>
              <w:rPr>
                <w:snapToGrid w:val="0"/>
              </w:rPr>
            </w:pPr>
            <w:r>
              <w:rPr>
                <w:snapToGrid w:val="0"/>
              </w:rPr>
              <w:t>Utskottet överlade med statssekreteraren Erik Nilsson, biträdd av departementsrådet Johan Lycke, utbildningsrådet Anders Lindholm och kanslirådet Anneli Helgesson om rådsrekommendation om blandat lärande. Samtliga från Utbildningsdepartementet deltog på distans.</w:t>
            </w:r>
          </w:p>
          <w:p w:rsidR="00494A61" w:rsidRDefault="00494A61" w:rsidP="00494A61">
            <w:pPr>
              <w:tabs>
                <w:tab w:val="left" w:pos="1701"/>
              </w:tabs>
              <w:rPr>
                <w:snapToGrid w:val="0"/>
              </w:rPr>
            </w:pPr>
          </w:p>
          <w:p w:rsidR="00494A61" w:rsidRDefault="00494A61" w:rsidP="00494A61">
            <w:pPr>
              <w:tabs>
                <w:tab w:val="left" w:pos="1701"/>
              </w:tabs>
              <w:rPr>
                <w:i/>
                <w:snapToGrid w:val="0"/>
              </w:rPr>
            </w:pPr>
            <w:r>
              <w:rPr>
                <w:i/>
                <w:snapToGrid w:val="0"/>
              </w:rPr>
              <w:t>Underlag för överläggningen</w:t>
            </w:r>
          </w:p>
          <w:p w:rsidR="00494A61" w:rsidRDefault="00494A61" w:rsidP="00494A61">
            <w:pPr>
              <w:tabs>
                <w:tab w:val="left" w:pos="1701"/>
              </w:tabs>
              <w:rPr>
                <w:snapToGrid w:val="0"/>
              </w:rPr>
            </w:pPr>
            <w:r>
              <w:rPr>
                <w:snapToGrid w:val="0"/>
              </w:rPr>
              <w:t>Promemoria från Utbildningsdepartementet (</w:t>
            </w:r>
            <w:proofErr w:type="gramStart"/>
            <w:r>
              <w:rPr>
                <w:snapToGrid w:val="0"/>
              </w:rPr>
              <w:t>99-2021</w:t>
            </w:r>
            <w:proofErr w:type="gramEnd"/>
            <w:r>
              <w:rPr>
                <w:snapToGrid w:val="0"/>
              </w:rPr>
              <w:t>/22)</w:t>
            </w:r>
          </w:p>
          <w:p w:rsidR="00494A61" w:rsidRDefault="00494A61" w:rsidP="00494A61">
            <w:pPr>
              <w:tabs>
                <w:tab w:val="left" w:pos="1701"/>
              </w:tabs>
              <w:rPr>
                <w:snapToGrid w:val="0"/>
              </w:rPr>
            </w:pPr>
            <w:r>
              <w:rPr>
                <w:snapToGrid w:val="0"/>
              </w:rPr>
              <w:t xml:space="preserve">Rådsdokument ST </w:t>
            </w:r>
            <w:proofErr w:type="gramStart"/>
            <w:r>
              <w:rPr>
                <w:snapToGrid w:val="0"/>
              </w:rPr>
              <w:t>11558</w:t>
            </w:r>
            <w:proofErr w:type="gramEnd"/>
            <w:r>
              <w:rPr>
                <w:snapToGrid w:val="0"/>
              </w:rPr>
              <w:t>/21</w:t>
            </w:r>
          </w:p>
          <w:p w:rsidR="00494A61" w:rsidRDefault="00494A61" w:rsidP="00494A61">
            <w:pPr>
              <w:tabs>
                <w:tab w:val="left" w:pos="1701"/>
              </w:tabs>
              <w:rPr>
                <w:i/>
                <w:snapToGrid w:val="0"/>
              </w:rPr>
            </w:pPr>
          </w:p>
          <w:p w:rsidR="00494A61" w:rsidRDefault="00494A61" w:rsidP="00494A61">
            <w:pPr>
              <w:tabs>
                <w:tab w:val="left" w:pos="1701"/>
              </w:tabs>
              <w:rPr>
                <w:i/>
                <w:snapToGrid w:val="0"/>
              </w:rPr>
            </w:pPr>
            <w:r>
              <w:rPr>
                <w:i/>
                <w:snapToGrid w:val="0"/>
              </w:rPr>
              <w:t>Regeringens förslag till svensk ståndpunkt</w:t>
            </w:r>
          </w:p>
          <w:p w:rsidR="00494A61" w:rsidRDefault="00494A61" w:rsidP="00494A61">
            <w:pPr>
              <w:tabs>
                <w:tab w:val="left" w:pos="1701"/>
              </w:tabs>
              <w:rPr>
                <w:snapToGrid w:val="0"/>
              </w:rPr>
            </w:pPr>
            <w:r>
              <w:rPr>
                <w:snapToGrid w:val="0"/>
              </w:rPr>
              <w:t>Regeringen kan ställa sig bakom den del av rekommendationen som</w:t>
            </w:r>
          </w:p>
          <w:p w:rsidR="00494A61" w:rsidRDefault="00494A61" w:rsidP="00494A61">
            <w:pPr>
              <w:tabs>
                <w:tab w:val="left" w:pos="1701"/>
              </w:tabs>
              <w:rPr>
                <w:snapToGrid w:val="0"/>
              </w:rPr>
            </w:pPr>
            <w:r>
              <w:rPr>
                <w:snapToGrid w:val="0"/>
              </w:rPr>
              <w:t>handlar om att olika lärandeverktyg och hur de ska användas i</w:t>
            </w:r>
          </w:p>
          <w:p w:rsidR="00494A61" w:rsidRDefault="00494A61" w:rsidP="00494A61">
            <w:pPr>
              <w:tabs>
                <w:tab w:val="left" w:pos="1701"/>
              </w:tabs>
              <w:rPr>
                <w:snapToGrid w:val="0"/>
              </w:rPr>
            </w:pPr>
            <w:r>
              <w:rPr>
                <w:snapToGrid w:val="0"/>
              </w:rPr>
              <w:t>undervisningen. Regeringen kan även ställa sig bakom vikten av att</w:t>
            </w:r>
          </w:p>
          <w:p w:rsidR="00494A61" w:rsidRDefault="00494A61" w:rsidP="00494A61">
            <w:pPr>
              <w:tabs>
                <w:tab w:val="left" w:pos="1701"/>
              </w:tabs>
              <w:rPr>
                <w:snapToGrid w:val="0"/>
              </w:rPr>
            </w:pPr>
            <w:r>
              <w:rPr>
                <w:snapToGrid w:val="0"/>
              </w:rPr>
              <w:t xml:space="preserve">säkerställa lärares kompetens när det gäller att använda digitala verktyg i den pedagogiska undervisningen. Däremot ställer sig regeringen generellt tveksam till förslag om att medlemsstaterna ska utveckla en strategi med syftet att stärka utvecklingen av kombinerad </w:t>
            </w:r>
            <w:r>
              <w:rPr>
                <w:snapToGrid w:val="0"/>
              </w:rPr>
              <w:lastRenderedPageBreak/>
              <w:t>klassrumsundervisning och distansundervisning för alla elever inom grund- och gymnasieskolan.</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Utgångspunkten för svensk utbildningspolitik är att utbildning för elever i grund- och gymnasieskolan ska bedrivas på plats i skolan. Det finns stora pedagogiska och sociala vinster med det. För elever med särskilda behov görs undantag i form av distans- och fjärrundervisning.</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Regeringen ifrågasätter att elever med särskilda behov skulle vara en</w:t>
            </w:r>
          </w:p>
          <w:p w:rsidR="00494A61" w:rsidRDefault="00494A61" w:rsidP="00494A61">
            <w:pPr>
              <w:tabs>
                <w:tab w:val="left" w:pos="1701"/>
              </w:tabs>
              <w:rPr>
                <w:snapToGrid w:val="0"/>
              </w:rPr>
            </w:pPr>
            <w:r>
              <w:rPr>
                <w:snapToGrid w:val="0"/>
              </w:rPr>
              <w:t>uttalad målgrupp för distansundervisning. Regeringen menar även att</w:t>
            </w:r>
          </w:p>
          <w:p w:rsidR="00494A61" w:rsidRDefault="00494A61" w:rsidP="00494A61">
            <w:pPr>
              <w:tabs>
                <w:tab w:val="left" w:pos="1701"/>
              </w:tabs>
              <w:rPr>
                <w:snapToGrid w:val="0"/>
              </w:rPr>
            </w:pPr>
            <w:r>
              <w:rPr>
                <w:snapToGrid w:val="0"/>
              </w:rPr>
              <w:t>distansundervisning lämpar sig sämre för yngre elever och att det främst bör vara de äldre åldersgrupperna som kan bli aktuella för</w:t>
            </w:r>
          </w:p>
          <w:p w:rsidR="00494A61" w:rsidRDefault="00494A61" w:rsidP="00494A61">
            <w:pPr>
              <w:tabs>
                <w:tab w:val="left" w:pos="1701"/>
              </w:tabs>
              <w:rPr>
                <w:snapToGrid w:val="0"/>
              </w:rPr>
            </w:pPr>
            <w:r>
              <w:rPr>
                <w:snapToGrid w:val="0"/>
              </w:rPr>
              <w:t>distansundervisning i de fall behov finns.</w:t>
            </w:r>
          </w:p>
          <w:p w:rsidR="00494A61" w:rsidRDefault="00494A61" w:rsidP="00494A61">
            <w:pPr>
              <w:tabs>
                <w:tab w:val="left" w:pos="1701"/>
              </w:tabs>
              <w:rPr>
                <w:snapToGrid w:val="0"/>
              </w:rPr>
            </w:pPr>
          </w:p>
          <w:p w:rsidR="00494A61" w:rsidRDefault="00494A61" w:rsidP="00494A61">
            <w:pPr>
              <w:tabs>
                <w:tab w:val="left" w:pos="1701"/>
              </w:tabs>
              <w:rPr>
                <w:snapToGrid w:val="0"/>
              </w:rPr>
            </w:pPr>
            <w:r>
              <w:rPr>
                <w:snapToGrid w:val="0"/>
              </w:rPr>
              <w:t>Det är viktigt att medlemsstaternas befogenheter på utbildningsområdet respekteras.</w:t>
            </w:r>
          </w:p>
          <w:p w:rsidR="00494A61" w:rsidRDefault="00494A61" w:rsidP="00494A61">
            <w:pPr>
              <w:tabs>
                <w:tab w:val="left" w:pos="1701"/>
              </w:tabs>
              <w:rPr>
                <w:snapToGrid w:val="0"/>
              </w:rPr>
            </w:pPr>
          </w:p>
          <w:p w:rsidR="00494A61" w:rsidRDefault="00494A61" w:rsidP="00494A61">
            <w:pPr>
              <w:tabs>
                <w:tab w:val="left" w:pos="1701"/>
              </w:tabs>
              <w:rPr>
                <w:i/>
                <w:snapToGrid w:val="0"/>
              </w:rPr>
            </w:pPr>
            <w:r>
              <w:rPr>
                <w:i/>
                <w:snapToGrid w:val="0"/>
              </w:rPr>
              <w:t>Utskottet</w:t>
            </w:r>
          </w:p>
          <w:p w:rsidR="00494A61" w:rsidRDefault="00494A61" w:rsidP="00494A61">
            <w:pPr>
              <w:pStyle w:val="Default"/>
              <w:rPr>
                <w:sz w:val="23"/>
                <w:szCs w:val="23"/>
              </w:rPr>
            </w:pPr>
            <w:r>
              <w:rPr>
                <w:sz w:val="23"/>
                <w:szCs w:val="23"/>
              </w:rPr>
              <w:t xml:space="preserve">Ordföranden konstaterade att det fanns stöd för regeringens ståndpunkt. </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Ledamöterna från Moderaterna och Kristdemokraterna anmälde en avvikande ståndpunkt om att regeringens ståndpunkt bör formuleras enligt följande.</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”Regeringen anser att det är viktigt att medlemsstaternas befogenheter på utbildningsområdet respekteras.</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 xml:space="preserve">Regeringen kan ställa sig bakom vikten av att säkerställa lärares kompetens när det gäller att använda digitala verktyg i den pedagogiska undervisningen. </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 xml:space="preserve">Utgångspunkten för svensk utbildningspolitik är att utbildning för elever i grund- och gymnasieskolan ska bedrivas på plats i skolan. Det finns stora pedagogiska och sociala vinster med det. Vi ser dock att en viss flexibilitet är nödvändig.” </w:t>
            </w:r>
          </w:p>
          <w:p w:rsidR="00494A61" w:rsidRDefault="00494A61" w:rsidP="00494A61">
            <w:pPr>
              <w:pStyle w:val="Default"/>
              <w:rPr>
                <w:sz w:val="23"/>
                <w:szCs w:val="23"/>
              </w:rPr>
            </w:pPr>
          </w:p>
          <w:p w:rsidR="00494A61" w:rsidRDefault="00494A61" w:rsidP="00494A61">
            <w:pPr>
              <w:pStyle w:val="Default"/>
              <w:rPr>
                <w:sz w:val="23"/>
                <w:szCs w:val="23"/>
              </w:rPr>
            </w:pPr>
            <w:r>
              <w:rPr>
                <w:sz w:val="23"/>
                <w:szCs w:val="23"/>
              </w:rPr>
              <w:t xml:space="preserve">Ledamöterna från Sverigedemokraterna anmälde en avvikande ståndpunkt om dels att den sista meningen i regeringens ståndpunkt bör läggas först, dels att regeringens ståndpunkt bör ändras så att den sista meningen i det första stycket formuleras enligt följande. </w:t>
            </w:r>
          </w:p>
          <w:p w:rsidR="00494A61" w:rsidRDefault="00494A61" w:rsidP="00494A61">
            <w:pPr>
              <w:tabs>
                <w:tab w:val="left" w:pos="1701"/>
              </w:tabs>
              <w:rPr>
                <w:b/>
                <w:sz w:val="23"/>
                <w:szCs w:val="23"/>
              </w:rPr>
            </w:pPr>
          </w:p>
          <w:p w:rsidR="00494A61" w:rsidRDefault="00494A61" w:rsidP="00494A61">
            <w:pPr>
              <w:tabs>
                <w:tab w:val="left" w:pos="1701"/>
              </w:tabs>
              <w:rPr>
                <w:sz w:val="23"/>
                <w:szCs w:val="23"/>
              </w:rPr>
            </w:pPr>
            <w:r>
              <w:rPr>
                <w:sz w:val="23"/>
                <w:szCs w:val="23"/>
              </w:rPr>
              <w:t>"Däremot avvisar regeringen förslaget om att medlemsstaterna ska utveckla en strategi med syftet att stärka utvecklingen av kombinerad klassrumsundervisning och distansundervisning för alla elever inom grund- och gymnasieskolan.”</w:t>
            </w:r>
          </w:p>
          <w:p w:rsidR="00494A61" w:rsidRDefault="00494A61" w:rsidP="00494A61">
            <w:pPr>
              <w:tabs>
                <w:tab w:val="left" w:pos="1701"/>
              </w:tabs>
              <w:rPr>
                <w:b/>
                <w:sz w:val="23"/>
                <w:szCs w:val="23"/>
              </w:rPr>
            </w:pPr>
          </w:p>
          <w:p w:rsidR="00494A61" w:rsidRDefault="00494A61" w:rsidP="00494A61">
            <w:pPr>
              <w:pStyle w:val="Default"/>
              <w:rPr>
                <w:sz w:val="23"/>
                <w:szCs w:val="23"/>
              </w:rPr>
            </w:pPr>
            <w:r>
              <w:rPr>
                <w:sz w:val="23"/>
                <w:szCs w:val="23"/>
              </w:rPr>
              <w:t xml:space="preserve">Denna paragraf förklarades omedelbart justerad. </w:t>
            </w:r>
          </w:p>
          <w:p w:rsidR="00494A61" w:rsidRDefault="00494A61">
            <w:pPr>
              <w:tabs>
                <w:tab w:val="left" w:pos="1701"/>
              </w:tabs>
              <w:rPr>
                <w:b/>
                <w:snapToGrid w:val="0"/>
              </w:rPr>
            </w:pPr>
          </w:p>
        </w:tc>
      </w:tr>
      <w:tr w:rsidR="00494A61" w:rsidTr="0001177E">
        <w:tc>
          <w:tcPr>
            <w:tcW w:w="567" w:type="dxa"/>
          </w:tcPr>
          <w:p w:rsidR="00494A61" w:rsidRPr="003B4DE8" w:rsidRDefault="00494A61" w:rsidP="003B4DE8">
            <w:pPr>
              <w:pStyle w:val="Liststycke"/>
              <w:numPr>
                <w:ilvl w:val="0"/>
                <w:numId w:val="2"/>
              </w:numPr>
              <w:tabs>
                <w:tab w:val="left" w:pos="1701"/>
              </w:tabs>
              <w:rPr>
                <w:b/>
                <w:snapToGrid w:val="0"/>
              </w:rPr>
            </w:pPr>
          </w:p>
        </w:tc>
        <w:tc>
          <w:tcPr>
            <w:tcW w:w="6946" w:type="dxa"/>
            <w:gridSpan w:val="2"/>
          </w:tcPr>
          <w:p w:rsidR="00494A61" w:rsidRDefault="00494A61" w:rsidP="00494A61">
            <w:pPr>
              <w:tabs>
                <w:tab w:val="left" w:pos="1701"/>
              </w:tabs>
              <w:rPr>
                <w:b/>
                <w:snapToGrid w:val="0"/>
              </w:rPr>
            </w:pPr>
            <w:r>
              <w:rPr>
                <w:b/>
                <w:snapToGrid w:val="0"/>
              </w:rPr>
              <w:t>EU-information om ändring av protokoll 31 till EES-avtalet, om samarbete inom särskilda områden vid sidan om de fyra friheterna (Erasmus+)</w:t>
            </w:r>
          </w:p>
          <w:p w:rsidR="00494A61" w:rsidRDefault="00494A61" w:rsidP="00494A61">
            <w:pPr>
              <w:tabs>
                <w:tab w:val="left" w:pos="1701"/>
              </w:tabs>
              <w:rPr>
                <w:b/>
                <w:snapToGrid w:val="0"/>
              </w:rPr>
            </w:pPr>
          </w:p>
          <w:p w:rsidR="00494A61" w:rsidRDefault="00494A61" w:rsidP="00494A61">
            <w:pPr>
              <w:rPr>
                <w:snapToGrid w:val="0"/>
              </w:rPr>
            </w:pPr>
            <w:r>
              <w:rPr>
                <w:snapToGrid w:val="0"/>
              </w:rPr>
              <w:t>Statssekreteraren Erik Nilsson, biträdd av departementsrådet Johan Lycke, utbildningsrådet Anders Lindholm och kanslirådet Anneli Helgesson informerade om ändring av protokoll 31 till EES-avtalet, om samarbete inom särskilda områden vid sidan om de fyra friheterna (Erasmus+). Samtliga från Utbildningsdepartementet deltog på distans.</w:t>
            </w:r>
          </w:p>
          <w:p w:rsidR="00494A61" w:rsidRDefault="00494A61">
            <w:pPr>
              <w:tabs>
                <w:tab w:val="left" w:pos="1701"/>
              </w:tabs>
              <w:rPr>
                <w:b/>
                <w:snapToGrid w:val="0"/>
              </w:rPr>
            </w:pPr>
          </w:p>
        </w:tc>
      </w:tr>
      <w:tr w:rsidR="00494A61" w:rsidTr="0001177E">
        <w:tc>
          <w:tcPr>
            <w:tcW w:w="567" w:type="dxa"/>
          </w:tcPr>
          <w:p w:rsidR="00494A61" w:rsidRPr="003B4DE8" w:rsidRDefault="00494A61" w:rsidP="003B4DE8">
            <w:pPr>
              <w:pStyle w:val="Liststycke"/>
              <w:numPr>
                <w:ilvl w:val="0"/>
                <w:numId w:val="2"/>
              </w:numPr>
              <w:tabs>
                <w:tab w:val="left" w:pos="1701"/>
              </w:tabs>
              <w:rPr>
                <w:b/>
                <w:snapToGrid w:val="0"/>
              </w:rPr>
            </w:pPr>
          </w:p>
        </w:tc>
        <w:tc>
          <w:tcPr>
            <w:tcW w:w="6946" w:type="dxa"/>
            <w:gridSpan w:val="2"/>
          </w:tcPr>
          <w:p w:rsidR="00494A61" w:rsidRDefault="00494A61" w:rsidP="00494A61">
            <w:pPr>
              <w:tabs>
                <w:tab w:val="left" w:pos="1701"/>
              </w:tabs>
              <w:rPr>
                <w:b/>
                <w:snapToGrid w:val="0"/>
              </w:rPr>
            </w:pPr>
            <w:r>
              <w:rPr>
                <w:b/>
                <w:snapToGrid w:val="0"/>
              </w:rPr>
              <w:t xml:space="preserve">EU-information om arbetet med nationella mål på utbildningsområdet </w:t>
            </w:r>
          </w:p>
          <w:p w:rsidR="00494A61" w:rsidRDefault="00494A61" w:rsidP="00494A61">
            <w:pPr>
              <w:tabs>
                <w:tab w:val="left" w:pos="1701"/>
              </w:tabs>
              <w:rPr>
                <w:b/>
                <w:snapToGrid w:val="0"/>
              </w:rPr>
            </w:pPr>
          </w:p>
          <w:p w:rsidR="00494A61" w:rsidRDefault="00494A61" w:rsidP="00494A61">
            <w:pPr>
              <w:tabs>
                <w:tab w:val="left" w:pos="1701"/>
              </w:tabs>
              <w:rPr>
                <w:snapToGrid w:val="0"/>
              </w:rPr>
            </w:pPr>
            <w:r>
              <w:rPr>
                <w:snapToGrid w:val="0"/>
              </w:rPr>
              <w:t>Statssekreteraren Erik Nilsson, biträdd av departementsrådet Johan Lycke, utbildningsrådet Anders Lindholm och kanslirådet Anneli Helgesson informerade om arbetet med nationella mål på utbildningsområdet. Samtliga från Utbildningsdepartementet deltog på distans.</w:t>
            </w:r>
          </w:p>
          <w:p w:rsidR="00494A61" w:rsidRDefault="00494A61" w:rsidP="00494A61">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w:t>
            </w:r>
            <w:r w:rsidR="00241043">
              <w:rPr>
                <w:snapToGrid w:val="0"/>
              </w:rPr>
              <w:t>1</w:t>
            </w:r>
            <w:r w:rsidR="00267FC1">
              <w:rPr>
                <w:snapToGrid w:val="0"/>
              </w:rPr>
              <w:t>/</w:t>
            </w:r>
            <w:r w:rsidR="00E362AB">
              <w:rPr>
                <w:snapToGrid w:val="0"/>
              </w:rPr>
              <w:t>2</w:t>
            </w:r>
            <w:r w:rsidR="00241043">
              <w:rPr>
                <w:snapToGrid w:val="0"/>
              </w:rPr>
              <w:t>2</w:t>
            </w:r>
            <w:r w:rsidR="00A2367D">
              <w:rPr>
                <w:snapToGrid w:val="0"/>
              </w:rPr>
              <w:t>:</w:t>
            </w:r>
            <w:r w:rsidR="00583BE5">
              <w:rPr>
                <w:snapToGrid w:val="0"/>
              </w:rPr>
              <w:t>2</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583BE5">
              <w:rPr>
                <w:szCs w:val="24"/>
              </w:rPr>
              <w:t>tors</w:t>
            </w:r>
            <w:r w:rsidR="00BB7028">
              <w:rPr>
                <w:szCs w:val="24"/>
              </w:rPr>
              <w:t xml:space="preserve">dagen den </w:t>
            </w:r>
            <w:r w:rsidR="00583BE5">
              <w:rPr>
                <w:szCs w:val="24"/>
              </w:rPr>
              <w:t xml:space="preserve">30 september </w:t>
            </w:r>
            <w:r w:rsidR="00BB7028">
              <w:rPr>
                <w:szCs w:val="24"/>
              </w:rPr>
              <w:t>20</w:t>
            </w:r>
            <w:r w:rsidR="005F0E85">
              <w:rPr>
                <w:szCs w:val="24"/>
              </w:rPr>
              <w:t>2</w:t>
            </w:r>
            <w:r w:rsidR="00382862">
              <w:rPr>
                <w:szCs w:val="24"/>
              </w:rPr>
              <w:t>1</w:t>
            </w:r>
            <w:r>
              <w:rPr>
                <w:szCs w:val="24"/>
              </w:rPr>
              <w:t xml:space="preserve"> kl. </w:t>
            </w:r>
            <w:r w:rsidR="00583BE5">
              <w:rPr>
                <w:szCs w:val="24"/>
              </w:rPr>
              <w:t>10</w:t>
            </w:r>
            <w:r>
              <w:rPr>
                <w:szCs w:val="24"/>
              </w:rPr>
              <w:t>.00.</w:t>
            </w:r>
          </w:p>
          <w:p w:rsidR="00494A61" w:rsidRDefault="00494A61" w:rsidP="00F816D5">
            <w:pPr>
              <w:tabs>
                <w:tab w:val="left" w:pos="1701"/>
              </w:tabs>
              <w:rPr>
                <w:snapToGrid w:val="0"/>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583BE5" w:rsidP="00D817DA">
            <w:pPr>
              <w:tabs>
                <w:tab w:val="left" w:pos="1701"/>
              </w:tabs>
            </w:pPr>
            <w:r>
              <w:t>Karolina Gustafson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583BE5">
              <w:t>tors</w:t>
            </w:r>
            <w:r w:rsidRPr="00C56172">
              <w:t xml:space="preserve">dagen </w:t>
            </w:r>
            <w:r w:rsidR="00583BE5">
              <w:t xml:space="preserve">den 30 september </w:t>
            </w:r>
            <w:r w:rsidR="00BB7028">
              <w:t>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w:t>
            </w:r>
            <w:r w:rsidR="00241043">
              <w:t>1</w:t>
            </w:r>
            <w:r w:rsidR="00E362AB">
              <w:t>/2</w:t>
            </w:r>
            <w:r w:rsidR="00241043">
              <w:t>2</w:t>
            </w:r>
            <w:r>
              <w:t>:</w:t>
            </w:r>
            <w:r w:rsidR="00583BE5">
              <w:t>3</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3D46FA">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494A6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B29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Malm</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3D46FA"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r w:rsidR="00532FF3">
              <w:rPr>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632F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632F8" w:rsidRDefault="004632F8" w:rsidP="004C1EAB">
            <w:pPr>
              <w:rPr>
                <w:sz w:val="22"/>
                <w:szCs w:val="22"/>
              </w:rPr>
            </w:pPr>
            <w:r>
              <w:rPr>
                <w:sz w:val="22"/>
                <w:szCs w:val="22"/>
              </w:rPr>
              <w:t>Paula Örn (S)</w:t>
            </w: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632F8" w:rsidRDefault="004632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FE3244">
      <w:pPr>
        <w:tabs>
          <w:tab w:val="left" w:pos="1276"/>
        </w:tabs>
        <w:ind w:left="-1134" w:firstLine="1134"/>
        <w:rPr>
          <w:b/>
          <w:sz w:val="28"/>
        </w:rPr>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D2"/>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1043"/>
    <w:rsid w:val="002462FF"/>
    <w:rsid w:val="00253162"/>
    <w:rsid w:val="002608E3"/>
    <w:rsid w:val="00267FC1"/>
    <w:rsid w:val="002711A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D46FA"/>
    <w:rsid w:val="003F0380"/>
    <w:rsid w:val="003F4AD8"/>
    <w:rsid w:val="00402D5D"/>
    <w:rsid w:val="0040376B"/>
    <w:rsid w:val="00407517"/>
    <w:rsid w:val="004214D1"/>
    <w:rsid w:val="00424C64"/>
    <w:rsid w:val="004309E7"/>
    <w:rsid w:val="00434493"/>
    <w:rsid w:val="00437505"/>
    <w:rsid w:val="00447E69"/>
    <w:rsid w:val="004514FD"/>
    <w:rsid w:val="00453542"/>
    <w:rsid w:val="0045482B"/>
    <w:rsid w:val="004632F8"/>
    <w:rsid w:val="004674B5"/>
    <w:rsid w:val="00483EB5"/>
    <w:rsid w:val="004875DF"/>
    <w:rsid w:val="00494A61"/>
    <w:rsid w:val="004C3C32"/>
    <w:rsid w:val="004C4C01"/>
    <w:rsid w:val="004E024A"/>
    <w:rsid w:val="00501D18"/>
    <w:rsid w:val="00520D71"/>
    <w:rsid w:val="00532FF3"/>
    <w:rsid w:val="005331E3"/>
    <w:rsid w:val="005349AA"/>
    <w:rsid w:val="005739C0"/>
    <w:rsid w:val="00576AFA"/>
    <w:rsid w:val="00583BE5"/>
    <w:rsid w:val="00587BBF"/>
    <w:rsid w:val="005A3941"/>
    <w:rsid w:val="005A4EAC"/>
    <w:rsid w:val="005A63E8"/>
    <w:rsid w:val="005D0198"/>
    <w:rsid w:val="005D63F2"/>
    <w:rsid w:val="005E36F0"/>
    <w:rsid w:val="005F0E85"/>
    <w:rsid w:val="005F5155"/>
    <w:rsid w:val="005F6831"/>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4C09"/>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40CE"/>
    <w:rsid w:val="00886BA6"/>
    <w:rsid w:val="008929D2"/>
    <w:rsid w:val="00895553"/>
    <w:rsid w:val="00896EBD"/>
    <w:rsid w:val="008B080B"/>
    <w:rsid w:val="008B4A0D"/>
    <w:rsid w:val="008C35C4"/>
    <w:rsid w:val="008E2E78"/>
    <w:rsid w:val="008F6938"/>
    <w:rsid w:val="008F6C98"/>
    <w:rsid w:val="008F74D2"/>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3257"/>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B7ED3"/>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61F0A"/>
    <w:rsid w:val="00F7021F"/>
    <w:rsid w:val="00F70C44"/>
    <w:rsid w:val="00F72877"/>
    <w:rsid w:val="00F816D5"/>
    <w:rsid w:val="00F8533C"/>
    <w:rsid w:val="00FA12EF"/>
    <w:rsid w:val="00FA543D"/>
    <w:rsid w:val="00FE3244"/>
    <w:rsid w:val="00FE482B"/>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D9B3BA-C725-4C53-8BA3-B79BF0EE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7C4C09"/>
    <w:rPr>
      <w:rFonts w:ascii="Segoe UI" w:hAnsi="Segoe UI" w:cs="Segoe UI"/>
      <w:sz w:val="18"/>
      <w:szCs w:val="18"/>
    </w:rPr>
  </w:style>
  <w:style w:type="character" w:customStyle="1" w:styleId="BallongtextChar">
    <w:name w:val="Ballongtext Char"/>
    <w:basedOn w:val="Standardstycketeckensnitt"/>
    <w:link w:val="Ballongtext"/>
    <w:rsid w:val="007C4C09"/>
    <w:rPr>
      <w:rFonts w:ascii="Segoe UI" w:hAnsi="Segoe UI" w:cs="Segoe UI"/>
      <w:sz w:val="18"/>
      <w:szCs w:val="18"/>
    </w:rPr>
  </w:style>
  <w:style w:type="paragraph" w:customStyle="1" w:styleId="Default">
    <w:name w:val="Default"/>
    <w:rsid w:val="00494A6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98226">
      <w:bodyDiv w:val="1"/>
      <w:marLeft w:val="0"/>
      <w:marRight w:val="0"/>
      <w:marTop w:val="0"/>
      <w:marBottom w:val="0"/>
      <w:divBdr>
        <w:top w:val="none" w:sz="0" w:space="0" w:color="auto"/>
        <w:left w:val="none" w:sz="0" w:space="0" w:color="auto"/>
        <w:bottom w:val="none" w:sz="0" w:space="0" w:color="auto"/>
        <w:right w:val="none" w:sz="0" w:space="0" w:color="auto"/>
      </w:divBdr>
    </w:div>
    <w:div w:id="927885134">
      <w:bodyDiv w:val="1"/>
      <w:marLeft w:val="0"/>
      <w:marRight w:val="0"/>
      <w:marTop w:val="0"/>
      <w:marBottom w:val="0"/>
      <w:divBdr>
        <w:top w:val="none" w:sz="0" w:space="0" w:color="auto"/>
        <w:left w:val="none" w:sz="0" w:space="0" w:color="auto"/>
        <w:bottom w:val="none" w:sz="0" w:space="0" w:color="auto"/>
        <w:right w:val="none" w:sz="0" w:space="0" w:color="auto"/>
      </w:divBdr>
    </w:div>
    <w:div w:id="1157724034">
      <w:bodyDiv w:val="1"/>
      <w:marLeft w:val="0"/>
      <w:marRight w:val="0"/>
      <w:marTop w:val="0"/>
      <w:marBottom w:val="0"/>
      <w:divBdr>
        <w:top w:val="none" w:sz="0" w:space="0" w:color="auto"/>
        <w:left w:val="none" w:sz="0" w:space="0" w:color="auto"/>
        <w:bottom w:val="none" w:sz="0" w:space="0" w:color="auto"/>
        <w:right w:val="none" w:sz="0" w:space="0" w:color="auto"/>
      </w:divBdr>
    </w:div>
    <w:div w:id="1291859803">
      <w:bodyDiv w:val="1"/>
      <w:marLeft w:val="0"/>
      <w:marRight w:val="0"/>
      <w:marTop w:val="0"/>
      <w:marBottom w:val="0"/>
      <w:divBdr>
        <w:top w:val="none" w:sz="0" w:space="0" w:color="auto"/>
        <w:left w:val="none" w:sz="0" w:space="0" w:color="auto"/>
        <w:bottom w:val="none" w:sz="0" w:space="0" w:color="auto"/>
        <w:right w:val="none" w:sz="0" w:space="0" w:color="auto"/>
      </w:divBdr>
    </w:div>
    <w:div w:id="1408531767">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77158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21-20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Protokollsmall-2021-2022</Template>
  <TotalTime>1</TotalTime>
  <Pages>7</Pages>
  <Words>1820</Words>
  <Characters>9647</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2</cp:revision>
  <cp:lastPrinted>2021-09-28T06:39:00Z</cp:lastPrinted>
  <dcterms:created xsi:type="dcterms:W3CDTF">2021-10-13T07:24:00Z</dcterms:created>
  <dcterms:modified xsi:type="dcterms:W3CDTF">2021-10-13T07:24:00Z</dcterms:modified>
</cp:coreProperties>
</file>