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6082E8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5A6F68">
              <w:rPr>
                <w:b/>
              </w:rPr>
              <w:t>9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32AA3E9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444C32">
              <w:t>3</w:t>
            </w:r>
            <w:r w:rsidRPr="0012669A">
              <w:t>-</w:t>
            </w:r>
            <w:r w:rsidR="0097401D">
              <w:t>25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5867E74" w:rsidR="00141DA2" w:rsidRPr="0012669A" w:rsidRDefault="00A24521" w:rsidP="008C57B9">
            <w:r>
              <w:t>1</w:t>
            </w:r>
            <w:r w:rsidR="000A200A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FA0CA1">
              <w:t>11.59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21E30AF4" w:rsidR="00ED1096" w:rsidRPr="0015720C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120819" w:rsidRPr="00120819">
              <w:t>Anna-Caren Sätherberg (S)</w:t>
            </w:r>
            <w:r w:rsidR="00120819">
              <w:t xml:space="preserve">, </w:t>
            </w:r>
            <w:r w:rsidR="00EE6D7D">
              <w:t xml:space="preserve">Mattias Jonsson (S), </w:t>
            </w:r>
            <w:r w:rsidR="000D2552">
              <w:t xml:space="preserve">Ann-Charlotte Hammar Johnsson (M), </w:t>
            </w:r>
            <w:r w:rsidR="00FA0CA1" w:rsidRPr="00FA0CA1">
              <w:t>Mattias Bäckström Johansson (SD)</w:t>
            </w:r>
            <w:r w:rsidR="00FA0CA1">
              <w:t xml:space="preserve">, </w:t>
            </w:r>
            <w:r w:rsidR="000D2552">
              <w:t xml:space="preserve">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884750">
              <w:t xml:space="preserve">Eric Palmqvist (SD), </w:t>
            </w:r>
            <w:r w:rsidR="00FA0CA1" w:rsidRPr="00236769">
              <w:t xml:space="preserve">Lorentz Tovatt (MP),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FA0CA1" w:rsidRPr="00FA0CA1">
              <w:rPr>
                <w:snapToGrid w:val="0"/>
              </w:rPr>
              <w:t>Per Schöldberg (C)</w:t>
            </w:r>
            <w:r w:rsidR="00FA0CA1">
              <w:rPr>
                <w:snapToGrid w:val="0"/>
              </w:rPr>
              <w:t xml:space="preserve">, </w:t>
            </w:r>
            <w:r w:rsidR="0084769B" w:rsidRPr="0084769B">
              <w:rPr>
                <w:snapToGrid w:val="0"/>
              </w:rPr>
              <w:t>Lorena Delgado Varas (V)</w:t>
            </w:r>
            <w:r w:rsidR="0015720C">
              <w:rPr>
                <w:snapToGrid w:val="0"/>
              </w:rPr>
              <w:t xml:space="preserve">, </w:t>
            </w:r>
            <w:r w:rsidR="0015720C" w:rsidRPr="008F0C8C">
              <w:t xml:space="preserve">Amanda Palmstierna (MP) och </w:t>
            </w:r>
            <w:hyperlink r:id="rId8" w:history="1">
              <w:r w:rsidR="0015720C" w:rsidRPr="0015720C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15720C">
              <w:t>(S)</w:t>
            </w:r>
            <w:r w:rsidR="0015720C">
              <w:t>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27D7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106491E" w14:textId="20CDE51A" w:rsidR="000A200A" w:rsidRDefault="000427D7" w:rsidP="000427D7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Natura 2000-tillstånd vid prövning av gruvverksamhet</w:t>
            </w:r>
            <w:r w:rsidR="000A200A" w:rsidRPr="00902BAF">
              <w:rPr>
                <w:b/>
                <w:color w:val="222222"/>
              </w:rPr>
              <w:br/>
            </w:r>
            <w:r w:rsidR="000A200A" w:rsidRPr="0077059F">
              <w:rPr>
                <w:color w:val="222222"/>
              </w:rPr>
              <w:br/>
            </w:r>
            <w:r w:rsidR="0097401D">
              <w:rPr>
                <w:color w:val="222222"/>
              </w:rPr>
              <w:t>Chefsjurist Oscar Alarik, Naturskydds</w:t>
            </w:r>
            <w:r w:rsidR="00FA0CA1">
              <w:rPr>
                <w:color w:val="222222"/>
              </w:rPr>
              <w:t>fö</w:t>
            </w:r>
            <w:r w:rsidR="0097401D">
              <w:rPr>
                <w:color w:val="222222"/>
              </w:rPr>
              <w:t>reningen,</w:t>
            </w:r>
            <w:r w:rsidRPr="00C50B34">
              <w:rPr>
                <w:color w:val="222222"/>
              </w:rPr>
              <w:t xml:space="preserve"> var uppkopplade per videolänk och</w:t>
            </w:r>
            <w:r w:rsidRPr="00C50B34">
              <w:rPr>
                <w:rFonts w:ascii="inherit" w:hAnsi="inherit"/>
                <w:color w:val="222222"/>
              </w:rPr>
              <w:t xml:space="preserve"> </w:t>
            </w:r>
            <w:r w:rsidRPr="00C50B34">
              <w:rPr>
                <w:color w:val="222222"/>
              </w:rPr>
              <w:t>lämnade information och svarade på frågor om</w:t>
            </w:r>
            <w:r>
              <w:rPr>
                <w:b/>
                <w:bCs/>
                <w:color w:val="000000"/>
              </w:rPr>
              <w:t xml:space="preserve"> </w:t>
            </w:r>
            <w:r w:rsidRPr="000427D7">
              <w:rPr>
                <w:bCs/>
                <w:color w:val="000000"/>
              </w:rPr>
              <w:t>Natura 2000-tillstånd vid prövning av gruvverksamhet</w:t>
            </w:r>
            <w:r>
              <w:rPr>
                <w:bCs/>
                <w:color w:val="000000"/>
              </w:rPr>
              <w:t>.</w:t>
            </w:r>
          </w:p>
          <w:p w14:paraId="66C7D585" w14:textId="1A399B6C" w:rsidR="000A200A" w:rsidRPr="00E80DEC" w:rsidRDefault="000A200A" w:rsidP="00E80DEC">
            <w:pPr>
              <w:tabs>
                <w:tab w:val="left" w:pos="1701"/>
              </w:tabs>
              <w:rPr>
                <w:color w:val="000000"/>
              </w:rPr>
            </w:pPr>
          </w:p>
        </w:tc>
      </w:tr>
      <w:tr w:rsidR="00FA0CA1" w:rsidRPr="0012669A" w14:paraId="73887AD4" w14:textId="77777777" w:rsidTr="00823B30">
        <w:trPr>
          <w:trHeight w:val="919"/>
        </w:trPr>
        <w:tc>
          <w:tcPr>
            <w:tcW w:w="567" w:type="dxa"/>
          </w:tcPr>
          <w:p w14:paraId="0F2E372F" w14:textId="7955ED02" w:rsidR="00FA0CA1" w:rsidRDefault="00FA0C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CE8CDCC" w14:textId="77777777" w:rsidR="00FA0CA1" w:rsidRDefault="00FA0CA1" w:rsidP="000427D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Natura 2000-tillstånd vid prövning av gruvverksamhet</w:t>
            </w:r>
          </w:p>
          <w:p w14:paraId="425F7FFD" w14:textId="77777777" w:rsidR="00FA0CA1" w:rsidRDefault="00FA0CA1" w:rsidP="000427D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7A54380D" w14:textId="77777777" w:rsidR="00FA0CA1" w:rsidRDefault="00FA0CA1" w:rsidP="000427D7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Expeditionschef Annica Sandberg och kansliråd Fredric </w:t>
            </w:r>
            <w:proofErr w:type="spellStart"/>
            <w:r>
              <w:rPr>
                <w:bCs/>
                <w:color w:val="000000"/>
              </w:rPr>
              <w:t>Gemsjö</w:t>
            </w:r>
            <w:proofErr w:type="spellEnd"/>
            <w:r>
              <w:rPr>
                <w:bCs/>
                <w:color w:val="000000"/>
              </w:rPr>
              <w:t>, Näringsdepartementet, var uppkopplade per videolänk och lämnade information och svarade på frågor om Natura 2000-tillstånd vid prövning av gruvverksamhet.</w:t>
            </w:r>
          </w:p>
          <w:p w14:paraId="7B07C11D" w14:textId="610E3D58" w:rsidR="00FA0CA1" w:rsidRPr="00FA0CA1" w:rsidRDefault="00FA0CA1" w:rsidP="000427D7">
            <w:pPr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97401D" w:rsidRPr="0012669A" w14:paraId="0A419E3A" w14:textId="77777777" w:rsidTr="00823B30">
        <w:trPr>
          <w:trHeight w:val="919"/>
        </w:trPr>
        <w:tc>
          <w:tcPr>
            <w:tcW w:w="567" w:type="dxa"/>
          </w:tcPr>
          <w:p w14:paraId="1A872B70" w14:textId="1E9F87C8" w:rsidR="0097401D" w:rsidRDefault="0097401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0CA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73852A80" w14:textId="77777777" w:rsidR="0097401D" w:rsidRPr="006E7CB3" w:rsidRDefault="0097401D" w:rsidP="009740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56BC5A26" w14:textId="77777777" w:rsidR="0097401D" w:rsidRPr="006E7CB3" w:rsidRDefault="0097401D" w:rsidP="0097401D">
            <w:pPr>
              <w:tabs>
                <w:tab w:val="left" w:pos="1701"/>
              </w:tabs>
              <w:rPr>
                <w:snapToGrid w:val="0"/>
              </w:rPr>
            </w:pPr>
          </w:p>
          <w:p w14:paraId="4E9A231B" w14:textId="101695DE" w:rsidR="0097401D" w:rsidRDefault="0097401D" w:rsidP="0097401D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28.</w:t>
            </w:r>
            <w:r>
              <w:rPr>
                <w:snapToGrid w:val="0"/>
              </w:rPr>
              <w:br/>
            </w:r>
          </w:p>
        </w:tc>
      </w:tr>
      <w:tr w:rsidR="0097401D" w:rsidRPr="0012669A" w14:paraId="6238680B" w14:textId="77777777" w:rsidTr="00823B30">
        <w:trPr>
          <w:trHeight w:val="919"/>
        </w:trPr>
        <w:tc>
          <w:tcPr>
            <w:tcW w:w="567" w:type="dxa"/>
          </w:tcPr>
          <w:p w14:paraId="2029E84F" w14:textId="5C87682F" w:rsidR="0097401D" w:rsidRDefault="0097401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0CA1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104F006" w14:textId="77777777" w:rsidR="0097401D" w:rsidRPr="001210A1" w:rsidRDefault="0097401D" w:rsidP="0097401D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02C1DC98" w14:textId="61F3EF6D" w:rsidR="0097401D" w:rsidRPr="006E7CB3" w:rsidRDefault="0097401D" w:rsidP="009740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262538C0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A0CA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0E3232" w14:textId="77777777" w:rsidR="00120819" w:rsidRDefault="00120819" w:rsidP="00120819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b/>
                <w:bCs/>
                <w:color w:val="000000"/>
              </w:rPr>
              <w:t>Natura 2000-tillstånd vid prövning av gruvverksamhet</w:t>
            </w:r>
          </w:p>
          <w:p w14:paraId="09A85E7E" w14:textId="77777777" w:rsidR="00120819" w:rsidRDefault="00120819" w:rsidP="00120819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06B5FE21" w14:textId="5168810E" w:rsidR="00FA0CA1" w:rsidRDefault="00FA0CA1" w:rsidP="00FA0CA1">
            <w:pPr>
              <w:autoSpaceDE w:val="0"/>
              <w:autoSpaceDN w:val="0"/>
              <w:adjustRightInd w:val="0"/>
            </w:pPr>
            <w:r>
              <w:t>Utskottet fortsatte behandlingen av förslag till utskottsinitiativ om Natura 2000-tillsånd vid prövning av gruvverksamhet.</w:t>
            </w:r>
          </w:p>
          <w:p w14:paraId="0EE2E15A" w14:textId="77777777" w:rsidR="00FA0CA1" w:rsidRDefault="00FA0CA1" w:rsidP="00FA0CA1">
            <w:pPr>
              <w:autoSpaceDE w:val="0"/>
              <w:autoSpaceDN w:val="0"/>
              <w:adjustRightInd w:val="0"/>
            </w:pPr>
          </w:p>
          <w:p w14:paraId="30EBF75D" w14:textId="77777777" w:rsidR="00FA0CA1" w:rsidRDefault="00FA0CA1" w:rsidP="00FA0CA1">
            <w:pPr>
              <w:autoSpaceDE w:val="0"/>
              <w:autoSpaceDN w:val="0"/>
              <w:adjustRightInd w:val="0"/>
            </w:pPr>
            <w:r>
              <w:t>Ärendet bordlades.</w:t>
            </w:r>
          </w:p>
          <w:p w14:paraId="4200F799" w14:textId="77777777" w:rsidR="00120819" w:rsidRDefault="00120819" w:rsidP="0097401D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0427D7" w:rsidRPr="0012669A" w14:paraId="13F02B3C" w14:textId="77777777" w:rsidTr="00823B30">
        <w:trPr>
          <w:trHeight w:val="919"/>
        </w:trPr>
        <w:tc>
          <w:tcPr>
            <w:tcW w:w="567" w:type="dxa"/>
          </w:tcPr>
          <w:p w14:paraId="06D53340" w14:textId="067ED26F" w:rsidR="000427D7" w:rsidRDefault="000427D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5533B47" w14:textId="77777777" w:rsidR="0097401D" w:rsidRDefault="0097401D" w:rsidP="000427D7">
            <w:pPr>
              <w:tabs>
                <w:tab w:val="left" w:pos="1701"/>
              </w:tabs>
              <w:rPr>
                <w:rStyle w:val="bold"/>
                <w:b/>
              </w:rPr>
            </w:pPr>
            <w:r>
              <w:rPr>
                <w:rStyle w:val="bold"/>
                <w:b/>
              </w:rPr>
              <w:t>Särskilt investeringsutrymme för elnätsverksamhet – investeringar i ökad nätkapacitet (NU15)</w:t>
            </w:r>
          </w:p>
          <w:p w14:paraId="25EDC5F9" w14:textId="1C43A9C7" w:rsidR="0097401D" w:rsidRPr="00617E79" w:rsidRDefault="000427D7" w:rsidP="0097401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77059F">
              <w:rPr>
                <w:color w:val="222222"/>
              </w:rPr>
              <w:br/>
            </w:r>
            <w:r w:rsidR="0097401D" w:rsidRPr="00617E79">
              <w:rPr>
                <w:snapToGrid w:val="0"/>
                <w:szCs w:val="20"/>
              </w:rPr>
              <w:t xml:space="preserve">Utskottet behandlade </w:t>
            </w:r>
            <w:r w:rsidR="0097401D">
              <w:rPr>
                <w:snapToGrid w:val="0"/>
              </w:rPr>
              <w:t xml:space="preserve">proposition </w:t>
            </w:r>
            <w:r w:rsidR="0097401D">
              <w:rPr>
                <w:color w:val="000000"/>
              </w:rPr>
              <w:t xml:space="preserve">2020/21:94 </w:t>
            </w:r>
            <w:r w:rsidR="0097401D" w:rsidRPr="00617E79">
              <w:rPr>
                <w:snapToGrid w:val="0"/>
                <w:szCs w:val="20"/>
              </w:rPr>
              <w:t xml:space="preserve">om </w:t>
            </w:r>
            <w:r w:rsidR="0097401D">
              <w:rPr>
                <w:snapToGrid w:val="0"/>
                <w:szCs w:val="20"/>
              </w:rPr>
              <w:t>särskilt investeringsutrymme för elnätsverksamhet – investeringar i ökad nätkapacitet och motioner.</w:t>
            </w:r>
          </w:p>
          <w:p w14:paraId="2DD0AB90" w14:textId="77777777" w:rsidR="0097401D" w:rsidRPr="00617E79" w:rsidRDefault="0097401D" w:rsidP="0097401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9527F71" w14:textId="77777777" w:rsidR="0097401D" w:rsidRDefault="0097401D" w:rsidP="0097401D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3C1BDCBE" w14:textId="2515E3A4" w:rsidR="000427D7" w:rsidRPr="006E7CB3" w:rsidRDefault="000427D7" w:rsidP="009740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0819" w:rsidRPr="0012669A" w14:paraId="50C0D510" w14:textId="77777777" w:rsidTr="00823B30">
        <w:trPr>
          <w:trHeight w:val="919"/>
        </w:trPr>
        <w:tc>
          <w:tcPr>
            <w:tcW w:w="567" w:type="dxa"/>
          </w:tcPr>
          <w:p w14:paraId="757E1ABC" w14:textId="397E3C97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C362131" w14:textId="5C415627" w:rsidR="0097401D" w:rsidRPr="0097401D" w:rsidRDefault="0097401D" w:rsidP="0097401D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7401D">
              <w:rPr>
                <w:b/>
                <w:snapToGrid w:val="0"/>
                <w:szCs w:val="20"/>
              </w:rPr>
              <w:t>Näringspolitik (NU20)</w:t>
            </w:r>
          </w:p>
          <w:p w14:paraId="51930270" w14:textId="77777777" w:rsidR="0097401D" w:rsidRDefault="0097401D" w:rsidP="0097401D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FF50785" w14:textId="1A639320" w:rsidR="0097401D" w:rsidRPr="009D0E39" w:rsidRDefault="0097401D" w:rsidP="0097401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näringspolitik.</w:t>
            </w:r>
          </w:p>
          <w:p w14:paraId="262E7EB1" w14:textId="77777777" w:rsidR="0097401D" w:rsidRPr="009D0E39" w:rsidRDefault="0097401D" w:rsidP="0097401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08C398B" w14:textId="77777777" w:rsidR="00120819" w:rsidRDefault="0097401D" w:rsidP="0097401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14:paraId="01D48361" w14:textId="0FD16E96" w:rsidR="0097401D" w:rsidRDefault="0097401D" w:rsidP="0097401D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</w:tc>
      </w:tr>
      <w:tr w:rsidR="000427D7" w:rsidRPr="00A25DBE" w14:paraId="1B6E6F9B" w14:textId="77777777" w:rsidTr="00823B30">
        <w:trPr>
          <w:trHeight w:val="919"/>
        </w:trPr>
        <w:tc>
          <w:tcPr>
            <w:tcW w:w="567" w:type="dxa"/>
          </w:tcPr>
          <w:p w14:paraId="1194F7BC" w14:textId="56EE9C8F" w:rsidR="000427D7" w:rsidRDefault="000427D7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46BA725A" w14:textId="77777777" w:rsidR="00120819" w:rsidRDefault="0097401D" w:rsidP="00120819">
            <w:pPr>
              <w:spacing w:after="100" w:afterAutospacing="1"/>
              <w:rPr>
                <w:b/>
              </w:rPr>
            </w:pPr>
            <w:r w:rsidRPr="0097401D">
              <w:rPr>
                <w:b/>
              </w:rPr>
              <w:t>Överlämnande av motionsyrkande</w:t>
            </w:r>
          </w:p>
          <w:p w14:paraId="24EB7EB9" w14:textId="77777777" w:rsidR="0097401D" w:rsidRDefault="0097401D" w:rsidP="00120819">
            <w:pPr>
              <w:spacing w:after="100" w:afterAutospacing="1"/>
              <w:rPr>
                <w:color w:val="222222"/>
              </w:rPr>
            </w:pPr>
            <w:r w:rsidRPr="005D01ED">
              <w:rPr>
                <w:color w:val="222222"/>
              </w:rPr>
              <w:t xml:space="preserve">Utskottet beslutade att till </w:t>
            </w:r>
            <w:r>
              <w:rPr>
                <w:color w:val="222222"/>
              </w:rPr>
              <w:t>trafik</w:t>
            </w:r>
            <w:r w:rsidRPr="005D01ED">
              <w:rPr>
                <w:color w:val="222222"/>
              </w:rPr>
              <w:t xml:space="preserve">utskottet, under förutsättning av </w:t>
            </w:r>
            <w:r>
              <w:rPr>
                <w:color w:val="222222"/>
              </w:rPr>
              <w:t>trafikutskottets</w:t>
            </w:r>
            <w:r w:rsidRPr="005D01ED">
              <w:rPr>
                <w:color w:val="222222"/>
              </w:rPr>
              <w:t xml:space="preserve"> medgivande, överlämna motion 20</w:t>
            </w:r>
            <w:r>
              <w:rPr>
                <w:color w:val="222222"/>
              </w:rPr>
              <w:t>20</w:t>
            </w:r>
            <w:r w:rsidRPr="005D01ED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5D01ED">
              <w:rPr>
                <w:color w:val="222222"/>
              </w:rPr>
              <w:t>:</w:t>
            </w:r>
            <w:r>
              <w:rPr>
                <w:color w:val="222222"/>
              </w:rPr>
              <w:t>3501</w:t>
            </w:r>
            <w:r w:rsidRPr="005D01ED">
              <w:rPr>
                <w:color w:val="222222"/>
              </w:rPr>
              <w:t xml:space="preserve"> yrkande </w:t>
            </w:r>
            <w:r>
              <w:rPr>
                <w:color w:val="222222"/>
              </w:rPr>
              <w:t>30</w:t>
            </w:r>
            <w:r w:rsidRPr="005D01ED">
              <w:rPr>
                <w:color w:val="222222"/>
              </w:rPr>
              <w:t xml:space="preserve"> av </w:t>
            </w:r>
            <w:r>
              <w:rPr>
                <w:color w:val="222222"/>
              </w:rPr>
              <w:t>Camilla Brodin m.fl.</w:t>
            </w:r>
            <w:r w:rsidRPr="005D01ED">
              <w:rPr>
                <w:color w:val="222222"/>
              </w:rPr>
              <w:t xml:space="preserve"> (</w:t>
            </w:r>
            <w:r>
              <w:rPr>
                <w:color w:val="222222"/>
              </w:rPr>
              <w:t>KD</w:t>
            </w:r>
            <w:r w:rsidRPr="005D01ED">
              <w:rPr>
                <w:color w:val="222222"/>
              </w:rPr>
              <w:t xml:space="preserve">) om </w:t>
            </w:r>
            <w:r>
              <w:rPr>
                <w:color w:val="222222"/>
              </w:rPr>
              <w:t>elektrifiering av tunga vägtransporter.</w:t>
            </w:r>
          </w:p>
          <w:p w14:paraId="1AF09AC6" w14:textId="28232042" w:rsidR="0097401D" w:rsidRPr="0097401D" w:rsidRDefault="0097401D" w:rsidP="00120819">
            <w:pPr>
              <w:spacing w:after="100" w:afterAutospacing="1"/>
              <w:rPr>
                <w:b/>
              </w:rPr>
            </w:pPr>
            <w:r w:rsidRPr="005D01ED">
              <w:rPr>
                <w:color w:val="222222"/>
              </w:rPr>
              <w:t>Denna paragraf förklarades omedelbart justerad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</w:tc>
      </w:tr>
      <w:tr w:rsidR="00085A2B" w:rsidRPr="00A25DBE" w14:paraId="0272AABA" w14:textId="77777777" w:rsidTr="00823B30">
        <w:trPr>
          <w:trHeight w:val="919"/>
        </w:trPr>
        <w:tc>
          <w:tcPr>
            <w:tcW w:w="567" w:type="dxa"/>
          </w:tcPr>
          <w:p w14:paraId="3B455ABF" w14:textId="4C7D4709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1FCB03F3" w14:textId="34EB82F0" w:rsidR="00901C5F" w:rsidRPr="0097401D" w:rsidRDefault="00901C5F" w:rsidP="00901C5F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Energipolitik</w:t>
            </w:r>
            <w:r w:rsidRPr="0097401D">
              <w:rPr>
                <w:b/>
                <w:snapToGrid w:val="0"/>
                <w:szCs w:val="20"/>
              </w:rPr>
              <w:t xml:space="preserve"> (NU2</w:t>
            </w:r>
            <w:r>
              <w:rPr>
                <w:b/>
                <w:snapToGrid w:val="0"/>
                <w:szCs w:val="20"/>
              </w:rPr>
              <w:t>1</w:t>
            </w:r>
            <w:r w:rsidRPr="0097401D">
              <w:rPr>
                <w:b/>
                <w:snapToGrid w:val="0"/>
                <w:szCs w:val="20"/>
              </w:rPr>
              <w:t>)</w:t>
            </w:r>
          </w:p>
          <w:p w14:paraId="4A63362D" w14:textId="77777777" w:rsidR="00901C5F" w:rsidRDefault="00901C5F" w:rsidP="00901C5F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5B223F54" w14:textId="5D5B06D8" w:rsidR="00901C5F" w:rsidRPr="009D0E39" w:rsidRDefault="00901C5F" w:rsidP="00901C5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energipolitik.</w:t>
            </w:r>
          </w:p>
          <w:p w14:paraId="4BE45155" w14:textId="77777777" w:rsidR="00901C5F" w:rsidRPr="009D0E39" w:rsidRDefault="00901C5F" w:rsidP="00901C5F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1110FF3A" w14:textId="77777777" w:rsidR="00901C5F" w:rsidRDefault="00901C5F" w:rsidP="00901C5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14:paraId="6EB720CF" w14:textId="1849EF3D" w:rsidR="00085A2B" w:rsidRPr="00F30C62" w:rsidRDefault="00085A2B" w:rsidP="000427D7">
            <w:pPr>
              <w:autoSpaceDE w:val="0"/>
              <w:autoSpaceDN w:val="0"/>
              <w:adjustRightInd w:val="0"/>
              <w:rPr>
                <w:color w:val="222222"/>
              </w:rPr>
            </w:pPr>
          </w:p>
        </w:tc>
      </w:tr>
      <w:tr w:rsidR="009379EF" w:rsidRPr="00A25DBE" w14:paraId="0225BCD5" w14:textId="77777777" w:rsidTr="00823B30">
        <w:trPr>
          <w:trHeight w:val="919"/>
        </w:trPr>
        <w:tc>
          <w:tcPr>
            <w:tcW w:w="567" w:type="dxa"/>
          </w:tcPr>
          <w:p w14:paraId="46D92D1C" w14:textId="770EFACB" w:rsidR="009379EF" w:rsidRDefault="009379E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009DD6CE" w14:textId="77777777" w:rsidR="009379EF" w:rsidRDefault="00901C5F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meddelande om en översyn av handelspolitiken (NU28)</w:t>
            </w:r>
          </w:p>
          <w:p w14:paraId="1ECBBB81" w14:textId="77777777" w:rsidR="00901C5F" w:rsidRDefault="00901C5F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E66C348" w14:textId="74D2C9C7" w:rsidR="00901C5F" w:rsidRDefault="00901C5F" w:rsidP="00901C5F">
            <w:pPr>
              <w:pStyle w:val="Default"/>
            </w:pPr>
            <w:r>
              <w:t xml:space="preserve">Utskottet </w:t>
            </w:r>
            <w:r>
              <w:rPr>
                <w:snapToGrid w:val="0"/>
                <w:szCs w:val="20"/>
              </w:rPr>
              <w:t xml:space="preserve">inledde granskningen av </w:t>
            </w:r>
            <w:r>
              <w:t xml:space="preserve">kommissionens meddelande om en översyn av handelspolitiken </w:t>
            </w:r>
            <w:proofErr w:type="gramStart"/>
            <w:r>
              <w:t>COM(</w:t>
            </w:r>
            <w:proofErr w:type="gramEnd"/>
            <w:r>
              <w:t>2021) 66.</w:t>
            </w:r>
          </w:p>
          <w:p w14:paraId="075E82B7" w14:textId="77777777" w:rsidR="00901C5F" w:rsidRDefault="00901C5F" w:rsidP="00901C5F">
            <w:pPr>
              <w:pStyle w:val="Default"/>
            </w:pPr>
          </w:p>
          <w:p w14:paraId="4FC96CFD" w14:textId="312BCC2E" w:rsidR="00901C5F" w:rsidRDefault="00901C5F" w:rsidP="00901C5F">
            <w:pPr>
              <w:pStyle w:val="Default"/>
            </w:pPr>
            <w:r>
              <w:t>Ärendet bordlades.</w:t>
            </w:r>
          </w:p>
          <w:p w14:paraId="14A46790" w14:textId="4246522F" w:rsidR="00901C5F" w:rsidRPr="0088778E" w:rsidRDefault="00901C5F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1C5F" w:rsidRPr="00A25DBE" w14:paraId="797E4E7C" w14:textId="77777777" w:rsidTr="00864939">
        <w:trPr>
          <w:trHeight w:val="568"/>
        </w:trPr>
        <w:tc>
          <w:tcPr>
            <w:tcW w:w="567" w:type="dxa"/>
          </w:tcPr>
          <w:p w14:paraId="4146FFD2" w14:textId="659EF2C6" w:rsidR="00901C5F" w:rsidRDefault="00901C5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A0CA1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5BFDFA92" w14:textId="77777777" w:rsidR="00901C5F" w:rsidRDefault="00901C5F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67574214"/>
            <w:r>
              <w:rPr>
                <w:b/>
                <w:snapToGrid w:val="0"/>
              </w:rPr>
              <w:t>Lagring och slutförvaring av kärnavfall</w:t>
            </w:r>
          </w:p>
          <w:p w14:paraId="645737E3" w14:textId="77777777" w:rsidR="00901C5F" w:rsidRDefault="00901C5F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7E71B7" w14:textId="662217DA" w:rsidR="00901C5F" w:rsidRPr="00A66C14" w:rsidRDefault="00901C5F" w:rsidP="00901C5F">
            <w:pPr>
              <w:spacing w:after="100" w:afterAutospacing="1"/>
              <w:rPr>
                <w:color w:val="222222"/>
              </w:rPr>
            </w:pPr>
            <w:r w:rsidRPr="00A66C14">
              <w:rPr>
                <w:color w:val="222222"/>
              </w:rPr>
              <w:t>Utskottet behandlade fråga om yttrande till f</w:t>
            </w:r>
            <w:r>
              <w:rPr>
                <w:color w:val="222222"/>
              </w:rPr>
              <w:t>örsvars</w:t>
            </w:r>
            <w:r w:rsidRPr="00A66C14">
              <w:rPr>
                <w:color w:val="222222"/>
              </w:rPr>
              <w:t xml:space="preserve">utskottet över </w:t>
            </w:r>
            <w:r>
              <w:rPr>
                <w:color w:val="222222"/>
              </w:rPr>
              <w:br/>
            </w:r>
            <w:r w:rsidRPr="00D01C07">
              <w:rPr>
                <w:snapToGrid w:val="0"/>
              </w:rPr>
              <w:t xml:space="preserve">förslag om utskottsinitiativ rörande hanteringen av </w:t>
            </w:r>
            <w:r>
              <w:rPr>
                <w:snapToGrid w:val="0"/>
              </w:rPr>
              <w:t>lagring och slutförvaring av kärnavfall.</w:t>
            </w:r>
          </w:p>
          <w:p w14:paraId="3E8BD0C7" w14:textId="77777777" w:rsidR="00901C5F" w:rsidRDefault="00901C5F" w:rsidP="00864939">
            <w:pPr>
              <w:spacing w:after="100" w:afterAutospacing="1"/>
              <w:rPr>
                <w:color w:val="222222"/>
              </w:rPr>
            </w:pPr>
            <w:r w:rsidRPr="00A66C14">
              <w:rPr>
                <w:color w:val="222222"/>
              </w:rPr>
              <w:t>Utskottet beslutade att inte avge yttrande.</w:t>
            </w:r>
            <w:bookmarkEnd w:id="1"/>
            <w:r w:rsidR="00864939" w:rsidRPr="00901C5F">
              <w:rPr>
                <w:color w:val="222222"/>
              </w:rPr>
              <w:t xml:space="preserve"> </w:t>
            </w:r>
          </w:p>
          <w:p w14:paraId="5BD0EF6F" w14:textId="25E69A1D" w:rsidR="00677B0A" w:rsidRPr="00901C5F" w:rsidRDefault="00677B0A" w:rsidP="00677B0A">
            <w:pPr>
              <w:spacing w:after="100" w:afterAutospacing="1"/>
              <w:rPr>
                <w:color w:val="222222"/>
              </w:rPr>
            </w:pPr>
            <w:r w:rsidRPr="00E92BC5">
              <w:lastRenderedPageBreak/>
              <w:t>Mot beslutet reserverade sig L-leda</w:t>
            </w:r>
            <w:r>
              <w:t>moten</w:t>
            </w:r>
            <w:r w:rsidRPr="00E92BC5">
              <w:t xml:space="preserve"> och ansåg att utskottet borde ha</w:t>
            </w:r>
            <w:r>
              <w:t xml:space="preserve"> yttrat sig till försvarsutskottet.</w:t>
            </w:r>
            <w:r>
              <w:br/>
            </w:r>
            <w:r w:rsidRPr="00901C5F">
              <w:rPr>
                <w:color w:val="222222"/>
              </w:rPr>
              <w:t xml:space="preserve"> </w:t>
            </w:r>
          </w:p>
        </w:tc>
      </w:tr>
      <w:tr w:rsidR="00FA0CA1" w:rsidRPr="00A25DBE" w14:paraId="7DE346B7" w14:textId="77777777" w:rsidTr="00823B30">
        <w:trPr>
          <w:trHeight w:val="919"/>
        </w:trPr>
        <w:tc>
          <w:tcPr>
            <w:tcW w:w="567" w:type="dxa"/>
          </w:tcPr>
          <w:p w14:paraId="4B8DCCAF" w14:textId="252B34FD" w:rsidR="00FA0CA1" w:rsidRDefault="00FA0CA1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13</w:t>
            </w:r>
          </w:p>
        </w:tc>
        <w:tc>
          <w:tcPr>
            <w:tcW w:w="7020" w:type="dxa"/>
          </w:tcPr>
          <w:p w14:paraId="19F24239" w14:textId="059C8DAE" w:rsidR="00FA0CA1" w:rsidRDefault="00FA0CA1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</w:rPr>
              <w:t>Utskottets ärendeplan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0153B8">
              <w:rPr>
                <w:color w:val="222222"/>
              </w:rPr>
              <w:t>Kanslichefen informerade om utskottets ärendeplan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6C8FECCD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A6F68">
              <w:rPr>
                <w:b/>
                <w:snapToGrid w:val="0"/>
              </w:rPr>
              <w:t>14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18BA8DDC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15720C">
              <w:rPr>
                <w:bCs/>
                <w:snapToGrid w:val="0"/>
              </w:rPr>
              <w:t>t</w:t>
            </w:r>
            <w:r w:rsidR="0097401D">
              <w:rPr>
                <w:bCs/>
                <w:snapToGrid w:val="0"/>
              </w:rPr>
              <w:t>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97401D">
              <w:rPr>
                <w:color w:val="000000"/>
              </w:rPr>
              <w:t>6 april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97401D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3C45E1" w14:textId="77777777" w:rsidR="0077059F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08108561" w14:textId="77777777" w:rsidR="000026C9" w:rsidRDefault="000026C9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563BFDFC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7401D">
              <w:t>6 april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0E8200ED" w:rsidR="00E80DEC" w:rsidRPr="00EC06B7" w:rsidRDefault="00EC06B7" w:rsidP="0077059F">
            <w:pPr>
              <w:tabs>
                <w:tab w:val="left" w:pos="1701"/>
              </w:tabs>
            </w:pPr>
            <w:r w:rsidRPr="00EC06B7">
              <w:t>Anna-Caren Sätherberg</w:t>
            </w:r>
          </w:p>
        </w:tc>
      </w:tr>
    </w:tbl>
    <w:p w14:paraId="72FA67FD" w14:textId="359D84E4" w:rsidR="00F35D4C" w:rsidRDefault="00F35D4C"/>
    <w:p w14:paraId="76FFEEC6" w14:textId="77777777" w:rsidR="00F35D4C" w:rsidRDefault="00F35D4C">
      <w:r>
        <w:br w:type="page"/>
      </w:r>
    </w:p>
    <w:p w14:paraId="6E72651A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724527F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97401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5CC6FAA2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5A6F68">
              <w:rPr>
                <w:rFonts w:ascii="Times New Roman" w:hAnsi="Times New Roman"/>
                <w:sz w:val="20"/>
                <w:szCs w:val="20"/>
              </w:rPr>
              <w:t>–7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0BDC7871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8–11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107CC662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12–14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1E280477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00400A33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2060E27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52B5F982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3EE83C2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33D3E626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D59AA44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2A31D6A8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63310C4E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43E599BE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504AA1F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6BB20604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5A47D9D9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2EFF3EDB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279DC70F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117D5325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11B1800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AEA4ACF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0FEB68D8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57747391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3944E887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5521D500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9826B07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23994A4D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0DF53320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0B50ADDC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4AC43BD9" w:rsidR="001527D1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12B7091A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312A7AE2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6538BF6F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12E4DFF2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45B8FF27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4D14E9BA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17014E9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652146D8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36576DB2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3DF3237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48A7B7D7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5318196F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549666AF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544981B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5E949402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8EE2769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138C3E52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B7EC07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536AA6D5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063F8298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58C3D0F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C2F2C5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54FD8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04FF0505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3D8F225B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D81BA8A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467040B2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3725C2E5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04DE1841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4DE4734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156B3BD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699F0A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B6EC920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3EB289C2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57551A1A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4426B002" w:rsidR="002D58E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625BA4A7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76D742E4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E92BC5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F0E767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18E3E9A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1B3B1F56" w:rsidR="002770CB" w:rsidRPr="0012669A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0C877F3" w:rsidR="002770CB" w:rsidRPr="0012669A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4312A9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74B6160" w:rsidR="0032557B" w:rsidRPr="0015720C" w:rsidRDefault="0003592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462DDB37" w:rsidR="0032557B" w:rsidRPr="00BE0F75" w:rsidRDefault="00FA0CA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5BF97B77" w:rsidR="0032557B" w:rsidRPr="00BE0F75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B2E10CD" w:rsidR="0032557B" w:rsidRPr="00BE0F75" w:rsidRDefault="005A6F6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2171D633" w:rsidR="0097401D" w:rsidRDefault="0097401D" w:rsidP="0084769B">
      <w:pPr>
        <w:spacing w:after="77" w:line="259" w:lineRule="auto"/>
        <w:ind w:right="25"/>
        <w:jc w:val="right"/>
      </w:pPr>
    </w:p>
    <w:p w14:paraId="2B8ED443" w14:textId="77777777" w:rsidR="00444C32" w:rsidRDefault="00444C32" w:rsidP="0084769B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63AD2" w14:textId="77777777" w:rsidR="00DE0D12" w:rsidRDefault="00DE0D12" w:rsidP="002130F1">
      <w:r>
        <w:separator/>
      </w:r>
    </w:p>
  </w:endnote>
  <w:endnote w:type="continuationSeparator" w:id="0">
    <w:p w14:paraId="321C8CA1" w14:textId="77777777" w:rsidR="00DE0D12" w:rsidRDefault="00DE0D1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1F216" w14:textId="77777777" w:rsidR="00DE0D12" w:rsidRDefault="00DE0D12" w:rsidP="002130F1">
      <w:r>
        <w:separator/>
      </w:r>
    </w:p>
  </w:footnote>
  <w:footnote w:type="continuationSeparator" w:id="0">
    <w:p w14:paraId="4FA2E987" w14:textId="77777777" w:rsidR="00DE0D12" w:rsidRDefault="00DE0D1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592B"/>
    <w:rsid w:val="00036024"/>
    <w:rsid w:val="000401E7"/>
    <w:rsid w:val="00041F79"/>
    <w:rsid w:val="00042475"/>
    <w:rsid w:val="000427D7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36769"/>
    <w:rsid w:val="00241FF0"/>
    <w:rsid w:val="0024203D"/>
    <w:rsid w:val="00242D8C"/>
    <w:rsid w:val="00243F79"/>
    <w:rsid w:val="002479E8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24EB"/>
    <w:rsid w:val="00362DC0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E1F"/>
    <w:rsid w:val="00A14AFA"/>
    <w:rsid w:val="00A16FCD"/>
    <w:rsid w:val="00A204CA"/>
    <w:rsid w:val="00A20798"/>
    <w:rsid w:val="00A20A42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11B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06F92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54E9"/>
    <w:rsid w:val="00DD706D"/>
    <w:rsid w:val="00DD769B"/>
    <w:rsid w:val="00DD7CAA"/>
    <w:rsid w:val="00DE063B"/>
    <w:rsid w:val="00DE0D12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0CA1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3B74"/>
    <w:rsid w:val="00FE3D96"/>
    <w:rsid w:val="00FE58C1"/>
    <w:rsid w:val="00FE7E2D"/>
    <w:rsid w:val="00FF0520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B238-433C-4225-A5CE-1D0D9D16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688</Words>
  <Characters>4962</Characters>
  <Application>Microsoft Office Word</Application>
  <DocSecurity>4</DocSecurity>
  <Lines>1240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2021-03-23T14:21:00Z</cp:lastPrinted>
  <dcterms:created xsi:type="dcterms:W3CDTF">2021-04-09T09:21:00Z</dcterms:created>
  <dcterms:modified xsi:type="dcterms:W3CDTF">2021-04-09T09:21:00Z</dcterms:modified>
</cp:coreProperties>
</file>