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33EEC" w14:textId="77777777" w:rsidR="00FB32B9" w:rsidRDefault="0016586A" w:rsidP="00FB32B9">
      <w:pPr>
        <w:pStyle w:val="UDrubrik"/>
        <w:tabs>
          <w:tab w:val="left" w:pos="1701"/>
          <w:tab w:val="left" w:pos="1985"/>
        </w:tabs>
        <w:rPr>
          <w:rFonts w:cs="Arial"/>
          <w:sz w:val="28"/>
        </w:rPr>
      </w:pPr>
    </w:p>
    <w:p w14:paraId="7C233EED" w14:textId="77777777" w:rsidR="00FB32B9" w:rsidRDefault="0016586A" w:rsidP="00FB32B9">
      <w:pPr>
        <w:pStyle w:val="UDrubrik"/>
        <w:tabs>
          <w:tab w:val="left" w:pos="1701"/>
          <w:tab w:val="left" w:pos="1985"/>
        </w:tabs>
        <w:rPr>
          <w:rFonts w:cs="Arial"/>
          <w:sz w:val="28"/>
        </w:rPr>
      </w:pPr>
    </w:p>
    <w:p w14:paraId="7C233EEE" w14:textId="77777777" w:rsidR="00FB32B9" w:rsidRDefault="0016586A" w:rsidP="00FB32B9">
      <w:pPr>
        <w:pStyle w:val="UDrubrik"/>
        <w:tabs>
          <w:tab w:val="left" w:pos="1701"/>
          <w:tab w:val="left" w:pos="1985"/>
        </w:tabs>
        <w:rPr>
          <w:rFonts w:cs="Arial"/>
          <w:sz w:val="28"/>
        </w:rPr>
      </w:pPr>
    </w:p>
    <w:p w14:paraId="7C233EEF" w14:textId="77777777" w:rsidR="00FB32B9" w:rsidRDefault="0016586A" w:rsidP="00FB32B9">
      <w:pPr>
        <w:pStyle w:val="UDrubrik"/>
        <w:tabs>
          <w:tab w:val="left" w:pos="1701"/>
          <w:tab w:val="left" w:pos="1985"/>
        </w:tabs>
        <w:rPr>
          <w:rFonts w:cs="Arial"/>
          <w:sz w:val="28"/>
        </w:rPr>
      </w:pPr>
    </w:p>
    <w:p w14:paraId="7C233EF0" w14:textId="1EFBB267" w:rsidR="00FB32B9" w:rsidRDefault="00290F33" w:rsidP="00FB32B9">
      <w:pPr>
        <w:pStyle w:val="UDrubrik"/>
        <w:tabs>
          <w:tab w:val="left" w:pos="1701"/>
          <w:tab w:val="left" w:pos="1985"/>
        </w:tabs>
        <w:rPr>
          <w:rFonts w:cs="Arial"/>
          <w:sz w:val="28"/>
        </w:rPr>
      </w:pPr>
      <w:r>
        <w:rPr>
          <w:rFonts w:cs="Arial"/>
          <w:sz w:val="28"/>
        </w:rPr>
        <w:t xml:space="preserve">Troliga A-punkter inför kommande rådsmöten som </w:t>
      </w:r>
      <w:r w:rsidR="003B7CF1">
        <w:rPr>
          <w:rFonts w:cs="Arial"/>
          <w:sz w:val="28"/>
        </w:rPr>
        <w:t>förväntas godkännas</w:t>
      </w:r>
      <w:r>
        <w:rPr>
          <w:rFonts w:cs="Arial"/>
          <w:sz w:val="28"/>
        </w:rPr>
        <w:t xml:space="preserve"> vid </w:t>
      </w:r>
      <w:r w:rsidR="003B7CF1">
        <w:rPr>
          <w:rFonts w:cs="Arial"/>
          <w:sz w:val="28"/>
        </w:rPr>
        <w:t>Coreper II</w:t>
      </w:r>
      <w:r>
        <w:rPr>
          <w:rFonts w:cs="Arial"/>
          <w:sz w:val="28"/>
        </w:rPr>
        <w:t xml:space="preserve"> den </w:t>
      </w:r>
      <w:r w:rsidR="003B7CF1">
        <w:rPr>
          <w:rFonts w:cs="Arial"/>
          <w:sz w:val="28"/>
        </w:rPr>
        <w:t>11 maj 2016.</w:t>
      </w:r>
    </w:p>
    <w:p w14:paraId="7C233EF1" w14:textId="77777777" w:rsidR="00FB32B9" w:rsidRDefault="0016586A" w:rsidP="00FB32B9">
      <w:pPr>
        <w:pStyle w:val="Brdtext"/>
      </w:pPr>
    </w:p>
    <w:p w14:paraId="7C233EF2" w14:textId="6D95ECF9" w:rsidR="00FB32B9" w:rsidRDefault="00290F33" w:rsidP="00FB32B9">
      <w:pPr>
        <w:pStyle w:val="Brdtext"/>
      </w:pPr>
      <w:r>
        <w:t>Överlämnas för skriftligt samråd till EU-nämnden</w:t>
      </w:r>
      <w:r w:rsidR="00207D2B">
        <w:t xml:space="preserve"> torsdagen den 12</w:t>
      </w:r>
      <w:bookmarkStart w:id="0" w:name="_GoBack"/>
      <w:bookmarkEnd w:id="0"/>
      <w:r w:rsidR="003B7CF1">
        <w:t xml:space="preserve"> maj 2016, kl 09.00.</w:t>
      </w:r>
    </w:p>
    <w:p w14:paraId="7C233EF3" w14:textId="77777777" w:rsidR="00FB32B9" w:rsidRDefault="00290F33">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C233EF4" w14:textId="77777777" w:rsidR="00D957FB" w:rsidRPr="00283DF3" w:rsidRDefault="00290F33">
          <w:pPr>
            <w:pStyle w:val="Innehllsfrteckningsrubrik"/>
            <w:rPr>
              <w:color w:val="auto"/>
              <w:lang w:val="sv-SE"/>
            </w:rPr>
          </w:pPr>
          <w:r w:rsidRPr="00283DF3">
            <w:rPr>
              <w:color w:val="auto"/>
              <w:lang w:val="sv-SE"/>
            </w:rPr>
            <w:t>Innehållsförteckning</w:t>
          </w:r>
        </w:p>
        <w:p w14:paraId="7C233EF5" w14:textId="77777777" w:rsidR="00DA7250" w:rsidRPr="00283DF3" w:rsidRDefault="0016586A" w:rsidP="00DA7250">
          <w:pPr>
            <w:rPr>
              <w:lang w:eastAsia="ja-JP"/>
            </w:rPr>
          </w:pPr>
        </w:p>
        <w:p w14:paraId="50C44198" w14:textId="77777777" w:rsidR="001E384F" w:rsidRDefault="00290F33">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50723850" w:history="1">
            <w:r w:rsidR="001E384F" w:rsidRPr="001A1166">
              <w:rPr>
                <w:rStyle w:val="Hyperlnk"/>
                <w:noProof/>
                <w:lang w:val="en-US"/>
              </w:rPr>
              <w:t>1.</w:t>
            </w:r>
            <w:r w:rsidR="001E384F">
              <w:rPr>
                <w:rFonts w:asciiTheme="minorHAnsi" w:eastAsiaTheme="minorEastAsia" w:hAnsiTheme="minorHAnsi" w:cstheme="minorBidi"/>
                <w:noProof/>
                <w:lang w:eastAsia="sv-SE"/>
              </w:rPr>
              <w:tab/>
            </w:r>
            <w:r w:rsidR="001E384F" w:rsidRPr="001A1166">
              <w:rPr>
                <w:rStyle w:val="Hyperlnk"/>
                <w:noProof/>
                <w:lang w:val="en-US"/>
              </w:rPr>
              <w:t>Draft Regulation of the European Parliament and of the Council on indices used as benchmarks in financial instruments and financial contracts (First reading)</w:t>
            </w:r>
            <w:r w:rsidR="001E384F">
              <w:rPr>
                <w:noProof/>
                <w:webHidden/>
              </w:rPr>
              <w:tab/>
            </w:r>
            <w:r w:rsidR="001E384F">
              <w:rPr>
                <w:noProof/>
                <w:webHidden/>
              </w:rPr>
              <w:fldChar w:fldCharType="begin"/>
            </w:r>
            <w:r w:rsidR="001E384F">
              <w:rPr>
                <w:noProof/>
                <w:webHidden/>
              </w:rPr>
              <w:instrText xml:space="preserve"> PAGEREF _Toc450723850 \h </w:instrText>
            </w:r>
            <w:r w:rsidR="001E384F">
              <w:rPr>
                <w:noProof/>
                <w:webHidden/>
              </w:rPr>
            </w:r>
            <w:r w:rsidR="001E384F">
              <w:rPr>
                <w:noProof/>
                <w:webHidden/>
              </w:rPr>
              <w:fldChar w:fldCharType="separate"/>
            </w:r>
            <w:r w:rsidR="001E384F">
              <w:rPr>
                <w:noProof/>
                <w:webHidden/>
              </w:rPr>
              <w:t>3</w:t>
            </w:r>
            <w:r w:rsidR="001E384F">
              <w:rPr>
                <w:noProof/>
                <w:webHidden/>
              </w:rPr>
              <w:fldChar w:fldCharType="end"/>
            </w:r>
          </w:hyperlink>
        </w:p>
        <w:p w14:paraId="14154C5F" w14:textId="77777777" w:rsidR="001E384F" w:rsidRDefault="0016586A">
          <w:pPr>
            <w:pStyle w:val="Innehll1"/>
            <w:tabs>
              <w:tab w:val="left" w:pos="440"/>
              <w:tab w:val="right" w:leader="dot" w:pos="9062"/>
            </w:tabs>
            <w:rPr>
              <w:rFonts w:asciiTheme="minorHAnsi" w:eastAsiaTheme="minorEastAsia" w:hAnsiTheme="minorHAnsi" w:cstheme="minorBidi"/>
              <w:noProof/>
              <w:lang w:eastAsia="sv-SE"/>
            </w:rPr>
          </w:pPr>
          <w:hyperlink w:anchor="_Toc450723851" w:history="1">
            <w:r w:rsidR="001E384F" w:rsidRPr="001A1166">
              <w:rPr>
                <w:rStyle w:val="Hyperlnk"/>
                <w:noProof/>
                <w:lang w:val="en-US"/>
              </w:rPr>
              <w:t>2.</w:t>
            </w:r>
            <w:r w:rsidR="001E384F">
              <w:rPr>
                <w:rFonts w:asciiTheme="minorHAnsi" w:eastAsiaTheme="minorEastAsia" w:hAnsiTheme="minorHAnsi" w:cstheme="minorBidi"/>
                <w:noProof/>
                <w:lang w:eastAsia="sv-SE"/>
              </w:rPr>
              <w:tab/>
            </w:r>
            <w:r w:rsidR="001E384F" w:rsidRPr="001A1166">
              <w:rPr>
                <w:rStyle w:val="Hyperlnk"/>
                <w:noProof/>
                <w:lang w:val="en-US"/>
              </w:rPr>
              <w:t>Transparency - Public access to documents Complaint 916/2015/OV made to the European Ombudsman</w:t>
            </w:r>
            <w:r w:rsidR="001E384F">
              <w:rPr>
                <w:noProof/>
                <w:webHidden/>
              </w:rPr>
              <w:tab/>
            </w:r>
            <w:r w:rsidR="001E384F">
              <w:rPr>
                <w:noProof/>
                <w:webHidden/>
              </w:rPr>
              <w:fldChar w:fldCharType="begin"/>
            </w:r>
            <w:r w:rsidR="001E384F">
              <w:rPr>
                <w:noProof/>
                <w:webHidden/>
              </w:rPr>
              <w:instrText xml:space="preserve"> PAGEREF _Toc450723851 \h </w:instrText>
            </w:r>
            <w:r w:rsidR="001E384F">
              <w:rPr>
                <w:noProof/>
                <w:webHidden/>
              </w:rPr>
            </w:r>
            <w:r w:rsidR="001E384F">
              <w:rPr>
                <w:noProof/>
                <w:webHidden/>
              </w:rPr>
              <w:fldChar w:fldCharType="separate"/>
            </w:r>
            <w:r w:rsidR="001E384F">
              <w:rPr>
                <w:noProof/>
                <w:webHidden/>
              </w:rPr>
              <w:t>3</w:t>
            </w:r>
            <w:r w:rsidR="001E384F">
              <w:rPr>
                <w:noProof/>
                <w:webHidden/>
              </w:rPr>
              <w:fldChar w:fldCharType="end"/>
            </w:r>
          </w:hyperlink>
        </w:p>
        <w:p w14:paraId="101F9E6C" w14:textId="77777777" w:rsidR="001E384F" w:rsidRDefault="0016586A">
          <w:pPr>
            <w:pStyle w:val="Innehll1"/>
            <w:tabs>
              <w:tab w:val="left" w:pos="440"/>
              <w:tab w:val="right" w:leader="dot" w:pos="9062"/>
            </w:tabs>
            <w:rPr>
              <w:rFonts w:asciiTheme="minorHAnsi" w:eastAsiaTheme="minorEastAsia" w:hAnsiTheme="minorHAnsi" w:cstheme="minorBidi"/>
              <w:noProof/>
              <w:lang w:eastAsia="sv-SE"/>
            </w:rPr>
          </w:pPr>
          <w:hyperlink w:anchor="_Toc450723852" w:history="1">
            <w:r w:rsidR="001E384F" w:rsidRPr="001A1166">
              <w:rPr>
                <w:rStyle w:val="Hyperlnk"/>
                <w:noProof/>
                <w:lang w:val="en-US"/>
              </w:rPr>
              <w:t>3.</w:t>
            </w:r>
            <w:r w:rsidR="001E384F">
              <w:rPr>
                <w:rFonts w:asciiTheme="minorHAnsi" w:eastAsiaTheme="minorEastAsia" w:hAnsiTheme="minorHAnsi" w:cstheme="minorBidi"/>
                <w:noProof/>
                <w:lang w:eastAsia="sv-SE"/>
              </w:rPr>
              <w:tab/>
            </w:r>
            <w:r w:rsidR="001E384F" w:rsidRPr="001A1166">
              <w:rPr>
                <w:rStyle w:val="Hyperlnk"/>
                <w:noProof/>
                <w:lang w:val="en-US"/>
              </w:rPr>
              <w:t>Convening of a Conference of the Representatives of the Governments of the Member States</w:t>
            </w:r>
            <w:r w:rsidR="001E384F">
              <w:rPr>
                <w:noProof/>
                <w:webHidden/>
              </w:rPr>
              <w:tab/>
            </w:r>
            <w:r w:rsidR="001E384F">
              <w:rPr>
                <w:noProof/>
                <w:webHidden/>
              </w:rPr>
              <w:fldChar w:fldCharType="begin"/>
            </w:r>
            <w:r w:rsidR="001E384F">
              <w:rPr>
                <w:noProof/>
                <w:webHidden/>
              </w:rPr>
              <w:instrText xml:space="preserve"> PAGEREF _Toc450723852 \h </w:instrText>
            </w:r>
            <w:r w:rsidR="001E384F">
              <w:rPr>
                <w:noProof/>
                <w:webHidden/>
              </w:rPr>
            </w:r>
            <w:r w:rsidR="001E384F">
              <w:rPr>
                <w:noProof/>
                <w:webHidden/>
              </w:rPr>
              <w:fldChar w:fldCharType="separate"/>
            </w:r>
            <w:r w:rsidR="001E384F">
              <w:rPr>
                <w:noProof/>
                <w:webHidden/>
              </w:rPr>
              <w:t>3</w:t>
            </w:r>
            <w:r w:rsidR="001E384F">
              <w:rPr>
                <w:noProof/>
                <w:webHidden/>
              </w:rPr>
              <w:fldChar w:fldCharType="end"/>
            </w:r>
          </w:hyperlink>
        </w:p>
        <w:p w14:paraId="280D5AC5" w14:textId="77777777" w:rsidR="001E384F" w:rsidRDefault="0016586A">
          <w:pPr>
            <w:pStyle w:val="Innehll1"/>
            <w:tabs>
              <w:tab w:val="left" w:pos="440"/>
              <w:tab w:val="right" w:leader="dot" w:pos="9062"/>
            </w:tabs>
            <w:rPr>
              <w:rFonts w:asciiTheme="minorHAnsi" w:eastAsiaTheme="minorEastAsia" w:hAnsiTheme="minorHAnsi" w:cstheme="minorBidi"/>
              <w:noProof/>
              <w:lang w:eastAsia="sv-SE"/>
            </w:rPr>
          </w:pPr>
          <w:hyperlink w:anchor="_Toc450723853" w:history="1">
            <w:r w:rsidR="001E384F" w:rsidRPr="001A1166">
              <w:rPr>
                <w:rStyle w:val="Hyperlnk"/>
                <w:noProof/>
                <w:lang w:val="en-US"/>
              </w:rPr>
              <w:t>4.</w:t>
            </w:r>
            <w:r w:rsidR="001E384F">
              <w:rPr>
                <w:rFonts w:asciiTheme="minorHAnsi" w:eastAsiaTheme="minorEastAsia" w:hAnsiTheme="minorHAnsi" w:cstheme="minorBidi"/>
                <w:noProof/>
                <w:lang w:eastAsia="sv-SE"/>
              </w:rPr>
              <w:tab/>
            </w:r>
            <w:r w:rsidR="001E384F" w:rsidRPr="001A1166">
              <w:rPr>
                <w:rStyle w:val="Hyperlnk"/>
                <w:noProof/>
                <w:lang w:val="en-US"/>
              </w:rPr>
              <w:t>Commission Delegated Regulation (EU) …/... of 21.4.2016 amending Delegated Regulation (EU) No 153/2013 as regards the time horizons for the liquidation period to be considered for the different classes of financial instruments</w:t>
            </w:r>
            <w:r w:rsidR="001E384F">
              <w:rPr>
                <w:noProof/>
                <w:webHidden/>
              </w:rPr>
              <w:tab/>
            </w:r>
            <w:r w:rsidR="001E384F">
              <w:rPr>
                <w:noProof/>
                <w:webHidden/>
              </w:rPr>
              <w:fldChar w:fldCharType="begin"/>
            </w:r>
            <w:r w:rsidR="001E384F">
              <w:rPr>
                <w:noProof/>
                <w:webHidden/>
              </w:rPr>
              <w:instrText xml:space="preserve"> PAGEREF _Toc450723853 \h </w:instrText>
            </w:r>
            <w:r w:rsidR="001E384F">
              <w:rPr>
                <w:noProof/>
                <w:webHidden/>
              </w:rPr>
            </w:r>
            <w:r w:rsidR="001E384F">
              <w:rPr>
                <w:noProof/>
                <w:webHidden/>
              </w:rPr>
              <w:fldChar w:fldCharType="separate"/>
            </w:r>
            <w:r w:rsidR="001E384F">
              <w:rPr>
                <w:noProof/>
                <w:webHidden/>
              </w:rPr>
              <w:t>4</w:t>
            </w:r>
            <w:r w:rsidR="001E384F">
              <w:rPr>
                <w:noProof/>
                <w:webHidden/>
              </w:rPr>
              <w:fldChar w:fldCharType="end"/>
            </w:r>
          </w:hyperlink>
        </w:p>
        <w:p w14:paraId="236000A0" w14:textId="77777777" w:rsidR="001E384F" w:rsidRDefault="0016586A">
          <w:pPr>
            <w:pStyle w:val="Innehll1"/>
            <w:tabs>
              <w:tab w:val="left" w:pos="440"/>
              <w:tab w:val="right" w:leader="dot" w:pos="9062"/>
            </w:tabs>
            <w:rPr>
              <w:rFonts w:asciiTheme="minorHAnsi" w:eastAsiaTheme="minorEastAsia" w:hAnsiTheme="minorHAnsi" w:cstheme="minorBidi"/>
              <w:noProof/>
              <w:lang w:eastAsia="sv-SE"/>
            </w:rPr>
          </w:pPr>
          <w:hyperlink w:anchor="_Toc450723854" w:history="1">
            <w:r w:rsidR="001E384F" w:rsidRPr="001A1166">
              <w:rPr>
                <w:rStyle w:val="Hyperlnk"/>
                <w:noProof/>
                <w:lang w:val="en-US"/>
              </w:rPr>
              <w:t>5.</w:t>
            </w:r>
            <w:r w:rsidR="001E384F">
              <w:rPr>
                <w:rFonts w:asciiTheme="minorHAnsi" w:eastAsiaTheme="minorEastAsia" w:hAnsiTheme="minorHAnsi" w:cstheme="minorBidi"/>
                <w:noProof/>
                <w:lang w:eastAsia="sv-SE"/>
              </w:rPr>
              <w:tab/>
            </w:r>
            <w:r w:rsidR="001E384F" w:rsidRPr="001A1166">
              <w:rPr>
                <w:rStyle w:val="Hyperlnk"/>
                <w:noProof/>
                <w:lang w:val="en-US"/>
              </w:rPr>
              <w:t>Draft Council Regulation amending Regulation (EU, Euratom) No 609/2014 on the methods and procedure for making available the traditional, VAT and GNI-based own resources and on the measures to meet cash requirements</w:t>
            </w:r>
            <w:r w:rsidR="001E384F">
              <w:rPr>
                <w:noProof/>
                <w:webHidden/>
              </w:rPr>
              <w:tab/>
            </w:r>
            <w:r w:rsidR="001E384F">
              <w:rPr>
                <w:noProof/>
                <w:webHidden/>
              </w:rPr>
              <w:fldChar w:fldCharType="begin"/>
            </w:r>
            <w:r w:rsidR="001E384F">
              <w:rPr>
                <w:noProof/>
                <w:webHidden/>
              </w:rPr>
              <w:instrText xml:space="preserve"> PAGEREF _Toc450723854 \h </w:instrText>
            </w:r>
            <w:r w:rsidR="001E384F">
              <w:rPr>
                <w:noProof/>
                <w:webHidden/>
              </w:rPr>
            </w:r>
            <w:r w:rsidR="001E384F">
              <w:rPr>
                <w:noProof/>
                <w:webHidden/>
              </w:rPr>
              <w:fldChar w:fldCharType="separate"/>
            </w:r>
            <w:r w:rsidR="001E384F">
              <w:rPr>
                <w:noProof/>
                <w:webHidden/>
              </w:rPr>
              <w:t>5</w:t>
            </w:r>
            <w:r w:rsidR="001E384F">
              <w:rPr>
                <w:noProof/>
                <w:webHidden/>
              </w:rPr>
              <w:fldChar w:fldCharType="end"/>
            </w:r>
          </w:hyperlink>
        </w:p>
        <w:p w14:paraId="3504B16C" w14:textId="77777777" w:rsidR="001E384F" w:rsidRDefault="0016586A">
          <w:pPr>
            <w:pStyle w:val="Innehll1"/>
            <w:tabs>
              <w:tab w:val="left" w:pos="440"/>
              <w:tab w:val="right" w:leader="dot" w:pos="9062"/>
            </w:tabs>
            <w:rPr>
              <w:rFonts w:asciiTheme="minorHAnsi" w:eastAsiaTheme="minorEastAsia" w:hAnsiTheme="minorHAnsi" w:cstheme="minorBidi"/>
              <w:noProof/>
              <w:lang w:eastAsia="sv-SE"/>
            </w:rPr>
          </w:pPr>
          <w:hyperlink w:anchor="_Toc450723855" w:history="1">
            <w:r w:rsidR="001E384F" w:rsidRPr="001A1166">
              <w:rPr>
                <w:rStyle w:val="Hyperlnk"/>
                <w:noProof/>
                <w:lang w:val="en-US"/>
              </w:rPr>
              <w:t>6.</w:t>
            </w:r>
            <w:r w:rsidR="001E384F">
              <w:rPr>
                <w:rFonts w:asciiTheme="minorHAnsi" w:eastAsiaTheme="minorEastAsia" w:hAnsiTheme="minorHAnsi" w:cstheme="minorBidi"/>
                <w:noProof/>
                <w:lang w:eastAsia="sv-SE"/>
              </w:rPr>
              <w:tab/>
            </w:r>
            <w:r w:rsidR="001E384F" w:rsidRPr="001A1166">
              <w:rPr>
                <w:rStyle w:val="Hyperlnk"/>
                <w:noProof/>
                <w:lang w:val="en-US"/>
              </w:rPr>
              <w:t>Actions in relation to modernisation of systems for handling and delivering European Council and Council documents</w:t>
            </w:r>
            <w:r w:rsidR="001E384F">
              <w:rPr>
                <w:noProof/>
                <w:webHidden/>
              </w:rPr>
              <w:tab/>
            </w:r>
            <w:r w:rsidR="001E384F">
              <w:rPr>
                <w:noProof/>
                <w:webHidden/>
              </w:rPr>
              <w:fldChar w:fldCharType="begin"/>
            </w:r>
            <w:r w:rsidR="001E384F">
              <w:rPr>
                <w:noProof/>
                <w:webHidden/>
              </w:rPr>
              <w:instrText xml:space="preserve"> PAGEREF _Toc450723855 \h </w:instrText>
            </w:r>
            <w:r w:rsidR="001E384F">
              <w:rPr>
                <w:noProof/>
                <w:webHidden/>
              </w:rPr>
            </w:r>
            <w:r w:rsidR="001E384F">
              <w:rPr>
                <w:noProof/>
                <w:webHidden/>
              </w:rPr>
              <w:fldChar w:fldCharType="separate"/>
            </w:r>
            <w:r w:rsidR="001E384F">
              <w:rPr>
                <w:noProof/>
                <w:webHidden/>
              </w:rPr>
              <w:t>5</w:t>
            </w:r>
            <w:r w:rsidR="001E384F">
              <w:rPr>
                <w:noProof/>
                <w:webHidden/>
              </w:rPr>
              <w:fldChar w:fldCharType="end"/>
            </w:r>
          </w:hyperlink>
        </w:p>
        <w:p w14:paraId="10175806" w14:textId="77777777" w:rsidR="001E384F" w:rsidRDefault="0016586A">
          <w:pPr>
            <w:pStyle w:val="Innehll1"/>
            <w:tabs>
              <w:tab w:val="left" w:pos="440"/>
              <w:tab w:val="right" w:leader="dot" w:pos="9062"/>
            </w:tabs>
            <w:rPr>
              <w:rFonts w:asciiTheme="minorHAnsi" w:eastAsiaTheme="minorEastAsia" w:hAnsiTheme="minorHAnsi" w:cstheme="minorBidi"/>
              <w:noProof/>
              <w:lang w:eastAsia="sv-SE"/>
            </w:rPr>
          </w:pPr>
          <w:hyperlink w:anchor="_Toc450723856" w:history="1">
            <w:r w:rsidR="001E384F" w:rsidRPr="001A1166">
              <w:rPr>
                <w:rStyle w:val="Hyperlnk"/>
                <w:noProof/>
                <w:lang w:val="en-US"/>
              </w:rPr>
              <w:t>7.</w:t>
            </w:r>
            <w:r w:rsidR="001E384F">
              <w:rPr>
                <w:rFonts w:asciiTheme="minorHAnsi" w:eastAsiaTheme="minorEastAsia" w:hAnsiTheme="minorHAnsi" w:cstheme="minorBidi"/>
                <w:noProof/>
                <w:lang w:eastAsia="sv-SE"/>
              </w:rPr>
              <w:tab/>
            </w:r>
            <w:r w:rsidR="001E384F" w:rsidRPr="001A1166">
              <w:rPr>
                <w:rStyle w:val="Hyperlnk"/>
                <w:noProof/>
                <w:lang w:val="en-US"/>
              </w:rPr>
              <w:t>(poss.) Annual Report 2016 to the European Council on EU Development Aid Targets</w:t>
            </w:r>
            <w:r w:rsidR="001E384F">
              <w:rPr>
                <w:noProof/>
                <w:webHidden/>
              </w:rPr>
              <w:tab/>
            </w:r>
            <w:r w:rsidR="001E384F">
              <w:rPr>
                <w:noProof/>
                <w:webHidden/>
              </w:rPr>
              <w:fldChar w:fldCharType="begin"/>
            </w:r>
            <w:r w:rsidR="001E384F">
              <w:rPr>
                <w:noProof/>
                <w:webHidden/>
              </w:rPr>
              <w:instrText xml:space="preserve"> PAGEREF _Toc450723856 \h </w:instrText>
            </w:r>
            <w:r w:rsidR="001E384F">
              <w:rPr>
                <w:noProof/>
                <w:webHidden/>
              </w:rPr>
            </w:r>
            <w:r w:rsidR="001E384F">
              <w:rPr>
                <w:noProof/>
                <w:webHidden/>
              </w:rPr>
              <w:fldChar w:fldCharType="separate"/>
            </w:r>
            <w:r w:rsidR="001E384F">
              <w:rPr>
                <w:noProof/>
                <w:webHidden/>
              </w:rPr>
              <w:t>6</w:t>
            </w:r>
            <w:r w:rsidR="001E384F">
              <w:rPr>
                <w:noProof/>
                <w:webHidden/>
              </w:rPr>
              <w:fldChar w:fldCharType="end"/>
            </w:r>
          </w:hyperlink>
        </w:p>
        <w:p w14:paraId="6A98A536" w14:textId="77777777" w:rsidR="001E384F" w:rsidRDefault="0016586A">
          <w:pPr>
            <w:pStyle w:val="Innehll1"/>
            <w:tabs>
              <w:tab w:val="left" w:pos="440"/>
              <w:tab w:val="right" w:leader="dot" w:pos="9062"/>
            </w:tabs>
            <w:rPr>
              <w:rFonts w:asciiTheme="minorHAnsi" w:eastAsiaTheme="minorEastAsia" w:hAnsiTheme="minorHAnsi" w:cstheme="minorBidi"/>
              <w:noProof/>
              <w:lang w:eastAsia="sv-SE"/>
            </w:rPr>
          </w:pPr>
          <w:hyperlink w:anchor="_Toc450723857" w:history="1">
            <w:r w:rsidR="001E384F" w:rsidRPr="001A1166">
              <w:rPr>
                <w:rStyle w:val="Hyperlnk"/>
                <w:noProof/>
                <w:lang w:val="en-US"/>
              </w:rPr>
              <w:t>8.</w:t>
            </w:r>
            <w:r w:rsidR="001E384F">
              <w:rPr>
                <w:rFonts w:asciiTheme="minorHAnsi" w:eastAsiaTheme="minorEastAsia" w:hAnsiTheme="minorHAnsi" w:cstheme="minorBidi"/>
                <w:noProof/>
                <w:lang w:eastAsia="sv-SE"/>
              </w:rPr>
              <w:tab/>
            </w:r>
            <w:r w:rsidR="001E384F" w:rsidRPr="001A1166">
              <w:rPr>
                <w:rStyle w:val="Hyperlnk"/>
                <w:noProof/>
                <w:lang w:val="en-US"/>
              </w:rPr>
              <w:t>Financing of the African peace facility (APF) for the period mid-2016 to end 2018</w:t>
            </w:r>
            <w:r w:rsidR="001E384F">
              <w:rPr>
                <w:noProof/>
                <w:webHidden/>
              </w:rPr>
              <w:tab/>
            </w:r>
            <w:r w:rsidR="001E384F">
              <w:rPr>
                <w:noProof/>
                <w:webHidden/>
              </w:rPr>
              <w:fldChar w:fldCharType="begin"/>
            </w:r>
            <w:r w:rsidR="001E384F">
              <w:rPr>
                <w:noProof/>
                <w:webHidden/>
              </w:rPr>
              <w:instrText xml:space="preserve"> PAGEREF _Toc450723857 \h </w:instrText>
            </w:r>
            <w:r w:rsidR="001E384F">
              <w:rPr>
                <w:noProof/>
                <w:webHidden/>
              </w:rPr>
            </w:r>
            <w:r w:rsidR="001E384F">
              <w:rPr>
                <w:noProof/>
                <w:webHidden/>
              </w:rPr>
              <w:fldChar w:fldCharType="separate"/>
            </w:r>
            <w:r w:rsidR="001E384F">
              <w:rPr>
                <w:noProof/>
                <w:webHidden/>
              </w:rPr>
              <w:t>6</w:t>
            </w:r>
            <w:r w:rsidR="001E384F">
              <w:rPr>
                <w:noProof/>
                <w:webHidden/>
              </w:rPr>
              <w:fldChar w:fldCharType="end"/>
            </w:r>
          </w:hyperlink>
        </w:p>
        <w:p w14:paraId="7D06E9F2" w14:textId="77777777" w:rsidR="001E384F" w:rsidRDefault="0016586A">
          <w:pPr>
            <w:pStyle w:val="Innehll1"/>
            <w:tabs>
              <w:tab w:val="left" w:pos="440"/>
              <w:tab w:val="right" w:leader="dot" w:pos="9062"/>
            </w:tabs>
            <w:rPr>
              <w:rFonts w:asciiTheme="minorHAnsi" w:eastAsiaTheme="minorEastAsia" w:hAnsiTheme="minorHAnsi" w:cstheme="minorBidi"/>
              <w:noProof/>
              <w:lang w:eastAsia="sv-SE"/>
            </w:rPr>
          </w:pPr>
          <w:hyperlink w:anchor="_Toc450723858" w:history="1">
            <w:r w:rsidR="001E384F" w:rsidRPr="001A1166">
              <w:rPr>
                <w:rStyle w:val="Hyperlnk"/>
                <w:noProof/>
                <w:lang w:val="en-US"/>
              </w:rPr>
              <w:t>9.</w:t>
            </w:r>
            <w:r w:rsidR="001E384F">
              <w:rPr>
                <w:rFonts w:asciiTheme="minorHAnsi" w:eastAsiaTheme="minorEastAsia" w:hAnsiTheme="minorHAnsi" w:cstheme="minorBidi"/>
                <w:noProof/>
                <w:lang w:eastAsia="sv-SE"/>
              </w:rPr>
              <w:tab/>
            </w:r>
            <w:r w:rsidR="001E384F" w:rsidRPr="001A1166">
              <w:rPr>
                <w:rStyle w:val="Hyperlnk"/>
                <w:noProof/>
                <w:lang w:val="en-US"/>
              </w:rPr>
              <w:t>Council Decision authorising the European Commission and the High Representative of the Union for Foreign Affairs and Security Policy to open negotiations and negotiate, on behalf of the European Union, the provisions that fall within the competence of the Union, of a modernised Global Agreement between the European Union and its Member States, of the one part, and Mexico, of the other part and Decision of the Representatives of the Governments of the Member States, meeting within the Council authorising the European Commission to open negotiations on and negotiate, on behalf of the Member States, the provisions that fall within the competence of the Member States of a modernised Global Agreement between the European Union and its Member States, of the one part, and Mexico, of the other part</w:t>
            </w:r>
            <w:r w:rsidR="001E384F">
              <w:rPr>
                <w:noProof/>
                <w:webHidden/>
              </w:rPr>
              <w:tab/>
            </w:r>
            <w:r w:rsidR="001E384F">
              <w:rPr>
                <w:noProof/>
                <w:webHidden/>
              </w:rPr>
              <w:fldChar w:fldCharType="begin"/>
            </w:r>
            <w:r w:rsidR="001E384F">
              <w:rPr>
                <w:noProof/>
                <w:webHidden/>
              </w:rPr>
              <w:instrText xml:space="preserve"> PAGEREF _Toc450723858 \h </w:instrText>
            </w:r>
            <w:r w:rsidR="001E384F">
              <w:rPr>
                <w:noProof/>
                <w:webHidden/>
              </w:rPr>
            </w:r>
            <w:r w:rsidR="001E384F">
              <w:rPr>
                <w:noProof/>
                <w:webHidden/>
              </w:rPr>
              <w:fldChar w:fldCharType="separate"/>
            </w:r>
            <w:r w:rsidR="001E384F">
              <w:rPr>
                <w:noProof/>
                <w:webHidden/>
              </w:rPr>
              <w:t>7</w:t>
            </w:r>
            <w:r w:rsidR="001E384F">
              <w:rPr>
                <w:noProof/>
                <w:webHidden/>
              </w:rPr>
              <w:fldChar w:fldCharType="end"/>
            </w:r>
          </w:hyperlink>
        </w:p>
        <w:p w14:paraId="0D49E73F" w14:textId="77777777" w:rsidR="001E384F" w:rsidRDefault="0016586A">
          <w:pPr>
            <w:pStyle w:val="Innehll1"/>
            <w:tabs>
              <w:tab w:val="left" w:pos="660"/>
              <w:tab w:val="right" w:leader="dot" w:pos="9062"/>
            </w:tabs>
            <w:rPr>
              <w:rFonts w:asciiTheme="minorHAnsi" w:eastAsiaTheme="minorEastAsia" w:hAnsiTheme="minorHAnsi" w:cstheme="minorBidi"/>
              <w:noProof/>
              <w:lang w:eastAsia="sv-SE"/>
            </w:rPr>
          </w:pPr>
          <w:hyperlink w:anchor="_Toc450723859" w:history="1">
            <w:r w:rsidR="001E384F" w:rsidRPr="001A1166">
              <w:rPr>
                <w:rStyle w:val="Hyperlnk"/>
                <w:noProof/>
                <w:lang w:val="en-US"/>
              </w:rPr>
              <w:t>10.</w:t>
            </w:r>
            <w:r w:rsidR="001E384F">
              <w:rPr>
                <w:rFonts w:asciiTheme="minorHAnsi" w:eastAsiaTheme="minorEastAsia" w:hAnsiTheme="minorHAnsi" w:cstheme="minorBidi"/>
                <w:noProof/>
                <w:lang w:eastAsia="sv-SE"/>
              </w:rPr>
              <w:tab/>
            </w:r>
            <w:r w:rsidR="001E384F" w:rsidRPr="001A1166">
              <w:rPr>
                <w:rStyle w:val="Hyperlnk"/>
                <w:noProof/>
                <w:lang w:val="en-US"/>
              </w:rPr>
              <w:t>Council Decision concerning the accession of Croatia to the Convention, drawn up on the basis of Article K.3 of the Treaty on European Union, on the protection of the European Communities' financial interests and to the Protocol of 27 September 1996, the Protocol of 29 November 1996 and the Second Protocol of 19 June 1997 thereto</w:t>
            </w:r>
            <w:r w:rsidR="001E384F">
              <w:rPr>
                <w:noProof/>
                <w:webHidden/>
              </w:rPr>
              <w:tab/>
            </w:r>
            <w:r w:rsidR="001E384F">
              <w:rPr>
                <w:noProof/>
                <w:webHidden/>
              </w:rPr>
              <w:fldChar w:fldCharType="begin"/>
            </w:r>
            <w:r w:rsidR="001E384F">
              <w:rPr>
                <w:noProof/>
                <w:webHidden/>
              </w:rPr>
              <w:instrText xml:space="preserve"> PAGEREF _Toc450723859 \h </w:instrText>
            </w:r>
            <w:r w:rsidR="001E384F">
              <w:rPr>
                <w:noProof/>
                <w:webHidden/>
              </w:rPr>
            </w:r>
            <w:r w:rsidR="001E384F">
              <w:rPr>
                <w:noProof/>
                <w:webHidden/>
              </w:rPr>
              <w:fldChar w:fldCharType="separate"/>
            </w:r>
            <w:r w:rsidR="001E384F">
              <w:rPr>
                <w:noProof/>
                <w:webHidden/>
              </w:rPr>
              <w:t>8</w:t>
            </w:r>
            <w:r w:rsidR="001E384F">
              <w:rPr>
                <w:noProof/>
                <w:webHidden/>
              </w:rPr>
              <w:fldChar w:fldCharType="end"/>
            </w:r>
          </w:hyperlink>
        </w:p>
        <w:p w14:paraId="673918CD" w14:textId="77777777" w:rsidR="001E384F" w:rsidRDefault="0016586A">
          <w:pPr>
            <w:pStyle w:val="Innehll1"/>
            <w:tabs>
              <w:tab w:val="left" w:pos="660"/>
              <w:tab w:val="right" w:leader="dot" w:pos="9062"/>
            </w:tabs>
            <w:rPr>
              <w:rFonts w:asciiTheme="minorHAnsi" w:eastAsiaTheme="minorEastAsia" w:hAnsiTheme="minorHAnsi" w:cstheme="minorBidi"/>
              <w:noProof/>
              <w:lang w:eastAsia="sv-SE"/>
            </w:rPr>
          </w:pPr>
          <w:hyperlink w:anchor="_Toc450723860" w:history="1">
            <w:r w:rsidR="001E384F" w:rsidRPr="001A1166">
              <w:rPr>
                <w:rStyle w:val="Hyperlnk"/>
                <w:noProof/>
                <w:lang w:val="en-US"/>
              </w:rPr>
              <w:t>11.</w:t>
            </w:r>
            <w:r w:rsidR="001E384F">
              <w:rPr>
                <w:rFonts w:asciiTheme="minorHAnsi" w:eastAsiaTheme="minorEastAsia" w:hAnsiTheme="minorHAnsi" w:cstheme="minorBidi"/>
                <w:noProof/>
                <w:lang w:eastAsia="sv-SE"/>
              </w:rPr>
              <w:tab/>
            </w:r>
            <w:r w:rsidR="001E384F" w:rsidRPr="001A1166">
              <w:rPr>
                <w:rStyle w:val="Hyperlnk"/>
                <w:noProof/>
                <w:lang w:val="en-US"/>
              </w:rPr>
              <w:t>Proposal for a Council Implementing Decision setting out a recommendation for temporary internal border control in exceptional circumstances putting the overall functioning of the Schengen area at risk</w:t>
            </w:r>
            <w:r w:rsidR="001E384F">
              <w:rPr>
                <w:noProof/>
                <w:webHidden/>
              </w:rPr>
              <w:tab/>
            </w:r>
            <w:r w:rsidR="001E384F">
              <w:rPr>
                <w:noProof/>
                <w:webHidden/>
              </w:rPr>
              <w:fldChar w:fldCharType="begin"/>
            </w:r>
            <w:r w:rsidR="001E384F">
              <w:rPr>
                <w:noProof/>
                <w:webHidden/>
              </w:rPr>
              <w:instrText xml:space="preserve"> PAGEREF _Toc450723860 \h </w:instrText>
            </w:r>
            <w:r w:rsidR="001E384F">
              <w:rPr>
                <w:noProof/>
                <w:webHidden/>
              </w:rPr>
            </w:r>
            <w:r w:rsidR="001E384F">
              <w:rPr>
                <w:noProof/>
                <w:webHidden/>
              </w:rPr>
              <w:fldChar w:fldCharType="separate"/>
            </w:r>
            <w:r w:rsidR="001E384F">
              <w:rPr>
                <w:noProof/>
                <w:webHidden/>
              </w:rPr>
              <w:t>9</w:t>
            </w:r>
            <w:r w:rsidR="001E384F">
              <w:rPr>
                <w:noProof/>
                <w:webHidden/>
              </w:rPr>
              <w:fldChar w:fldCharType="end"/>
            </w:r>
          </w:hyperlink>
        </w:p>
        <w:p w14:paraId="7C233F04" w14:textId="77777777" w:rsidR="00D957FB" w:rsidRDefault="00290F33">
          <w:r>
            <w:rPr>
              <w:b/>
              <w:bCs/>
              <w:noProof/>
            </w:rPr>
            <w:fldChar w:fldCharType="end"/>
          </w:r>
        </w:p>
      </w:sdtContent>
    </w:sdt>
    <w:p w14:paraId="7C233F05" w14:textId="77777777" w:rsidR="00D957FB" w:rsidRDefault="00290F33">
      <w:pPr>
        <w:ind w:left="0"/>
      </w:pPr>
      <w:r>
        <w:br w:type="page"/>
      </w:r>
    </w:p>
    <w:p w14:paraId="7C233F06" w14:textId="77777777" w:rsidR="00643D86" w:rsidRDefault="0016586A" w:rsidP="00643D86">
      <w:pPr>
        <w:pStyle w:val="Rubrik1"/>
        <w:numPr>
          <w:ilvl w:val="0"/>
          <w:numId w:val="0"/>
        </w:numPr>
      </w:pPr>
      <w:bookmarkStart w:id="1" w:name="_Toc364854645"/>
    </w:p>
    <w:p w14:paraId="7C233F07" w14:textId="77777777" w:rsidR="00643D86" w:rsidRPr="00A22020" w:rsidRDefault="00290F33" w:rsidP="00643D86">
      <w:pPr>
        <w:pStyle w:val="Rubrik1"/>
        <w:rPr>
          <w:lang w:val="en-US"/>
        </w:rPr>
      </w:pPr>
      <w:bookmarkStart w:id="2" w:name="_Toc450723850"/>
      <w:r w:rsidRPr="00A22020">
        <w:rPr>
          <w:noProof/>
          <w:lang w:val="en-US"/>
        </w:rPr>
        <w:t>Draft Regulation of the European Parliament and of the Council on indices used as benchmarks in financial instruments and financial contracts (First reading)</w:t>
      </w:r>
      <w:bookmarkEnd w:id="2"/>
      <w:r w:rsidRPr="00A22020">
        <w:rPr>
          <w:noProof/>
          <w:lang w:val="en-US"/>
        </w:rPr>
        <w:t xml:space="preserve"> </w:t>
      </w:r>
    </w:p>
    <w:p w14:paraId="7C233F08" w14:textId="77777777" w:rsidR="00643D86" w:rsidRDefault="00290F33" w:rsidP="00643D86">
      <w:pPr>
        <w:rPr>
          <w:lang w:val="en-US"/>
        </w:rPr>
      </w:pPr>
      <w:r>
        <w:rPr>
          <w:noProof/>
          <w:lang w:val="en-US"/>
        </w:rPr>
        <w:t>=</w:t>
      </w:r>
      <w:r>
        <w:rPr>
          <w:lang w:val="en-US"/>
        </w:rPr>
        <w:t>Adoption of the legislative act</w:t>
      </w:r>
      <w:r>
        <w:rPr>
          <w:lang w:val="en-US"/>
        </w:rPr>
        <w:br/>
      </w:r>
      <w:r>
        <w:rPr>
          <w:noProof/>
          <w:lang w:val="en-US"/>
        </w:rPr>
        <w:t>8473</w:t>
      </w:r>
      <w:r>
        <w:rPr>
          <w:lang w:val="en-US"/>
        </w:rPr>
        <w:t>/16 CODEC 556 EF 102 ECOFIN 351PE-CONS 72/15 EF 228 ECOFIN 973 CODEC 1710</w:t>
      </w:r>
    </w:p>
    <w:p w14:paraId="7C233F09" w14:textId="77777777" w:rsidR="00643D86" w:rsidRDefault="00290F33" w:rsidP="00643D86">
      <w:r>
        <w:rPr>
          <w:b/>
        </w:rPr>
        <w:t>Ansvarigt statsråd</w:t>
      </w:r>
      <w:r>
        <w:rPr>
          <w:b/>
        </w:rPr>
        <w:br/>
      </w:r>
      <w:r>
        <w:rPr>
          <w:noProof/>
        </w:rPr>
        <w:t>Per</w:t>
      </w:r>
      <w:r>
        <w:t xml:space="preserve"> Bolund</w:t>
      </w:r>
    </w:p>
    <w:p w14:paraId="7C233F16" w14:textId="0DC56E47" w:rsidR="00400CF7" w:rsidRDefault="00290F33" w:rsidP="00C8338E">
      <w:pPr>
        <w:rPr>
          <w:b/>
        </w:rPr>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"2014-12-08" = "-" "" "Tidigare behandlat i utskottet </w:instrText>
      </w:r>
      <w:r>
        <w:rPr>
          <w:b/>
        </w:rPr>
        <w:br/>
      </w:r>
      <w:r w:rsidRPr="002F0461">
        <w:instrText>2014-12-08</w:instrText>
      </w:r>
    </w:p>
    <w:p w14:paraId="7C233F17" w14:textId="77777777" w:rsidR="00E0653A" w:rsidRDefault="00290F33" w:rsidP="00C8338E">
      <w:r>
        <w:instrText>"</w:instrText>
      </w:r>
      <w:r>
        <w:rPr>
          <w:b/>
        </w:rPr>
        <w:instrText xml:space="preserve"> </w:instrText>
      </w:r>
      <w:r>
        <w:rPr>
          <w:b/>
        </w:rPr>
        <w:fldChar w:fldCharType="separate"/>
      </w:r>
      <w:r>
        <w:rPr>
          <w:b/>
        </w:rPr>
        <w:instrText xml:space="preserve">Tidigare behandlat i utskottet </w:instrText>
      </w:r>
      <w:r>
        <w:rPr>
          <w:b/>
        </w:rPr>
        <w:br/>
      </w:r>
      <w:r w:rsidRPr="002F0461">
        <w:instrText>2014-12-08</w:instrText>
      </w:r>
    </w:p>
    <w:p w14:paraId="7C233F18" w14:textId="77777777" w:rsidR="00400CF7" w:rsidRDefault="00290F33" w:rsidP="00C8338E">
      <w:pPr>
        <w:rPr>
          <w:b/>
        </w:rPr>
      </w:pPr>
      <w:r>
        <w:rPr>
          <w:b/>
        </w:rPr>
        <w:fldChar w:fldCharType="end"/>
      </w:r>
      <w:r>
        <w:rPr>
          <w:b/>
        </w:rPr>
        <w:instrText xml:space="preserve"> "Tidigare behandlat i utskottet</w:instrText>
      </w:r>
      <w:r>
        <w:rPr>
          <w:b/>
        </w:rPr>
        <w:br/>
      </w:r>
      <w:r w:rsidRPr="002F0461">
        <w:instrText>2014-12-08</w:instrText>
      </w:r>
    </w:p>
    <w:p w14:paraId="7C233F19" w14:textId="77777777" w:rsidR="00E0653A" w:rsidRDefault="00290F33" w:rsidP="00C8338E">
      <w:pPr>
        <w:rPr>
          <w:noProof/>
        </w:rPr>
      </w:pPr>
      <w:r>
        <w:instrText>"</w:instrText>
      </w:r>
      <w:r>
        <w:rPr>
          <w:b/>
        </w:rPr>
        <w:instrText xml:space="preserve"> </w:instrText>
      </w:r>
      <w:r>
        <w:rPr>
          <w:b/>
        </w:rPr>
        <w:fldChar w:fldCharType="separate"/>
      </w:r>
      <w:r>
        <w:rPr>
          <w:b/>
        </w:rPr>
        <w:instrText xml:space="preserve">Tidigare behandlat i utskottet </w:instrText>
      </w:r>
      <w:r>
        <w:rPr>
          <w:b/>
        </w:rPr>
        <w:br/>
      </w:r>
      <w:r w:rsidRPr="002F0461">
        <w:instrText>2014-12-08</w:instrText>
      </w:r>
    </w:p>
    <w:p w14:paraId="7C233F1A" w14:textId="77777777" w:rsidR="00400CF7" w:rsidRDefault="00290F33" w:rsidP="00C8338E">
      <w:pPr>
        <w:rPr>
          <w:b/>
        </w:rPr>
      </w:pPr>
      <w:r>
        <w:rPr>
          <w:b/>
        </w:rPr>
        <w:fldChar w:fldCharType="end"/>
      </w:r>
      <w:r>
        <w:rPr>
          <w:b/>
        </w:rPr>
        <w:instrText xml:space="preserve">  "Tidigare behandlat i utskottet</w:instrText>
      </w:r>
      <w:r>
        <w:rPr>
          <w:b/>
        </w:rPr>
        <w:br/>
      </w:r>
      <w:r>
        <w:instrText>2014-12-08</w:instrText>
      </w:r>
    </w:p>
    <w:p w14:paraId="7C233F1B" w14:textId="77777777" w:rsidR="00643D86" w:rsidRDefault="00290F33" w:rsidP="00643D86">
      <w:r>
        <w:instrText>"</w:instrText>
      </w:r>
      <w:r>
        <w:rPr>
          <w:b/>
        </w:rPr>
        <w:instrText xml:space="preserve"> </w:instrText>
      </w:r>
      <w:r>
        <w:rPr>
          <w:b/>
        </w:rPr>
        <w:fldChar w:fldCharType="separate"/>
      </w:r>
      <w:r>
        <w:rPr>
          <w:b/>
        </w:rPr>
        <w:t xml:space="preserve">Tidigare behandlat i utskottet </w:t>
      </w:r>
      <w:r>
        <w:rPr>
          <w:b/>
        </w:rPr>
        <w:br/>
      </w:r>
      <w:r w:rsidRPr="002F0461">
        <w:t>2014-12-08</w:t>
      </w:r>
    </w:p>
    <w:p w14:paraId="7C233F1D" w14:textId="266C8B60" w:rsidR="00400CF7" w:rsidRDefault="00290F33" w:rsidP="003B7CF1">
      <w:r>
        <w:rPr>
          <w:b/>
        </w:rPr>
        <w:fldChar w:fldCharType="end"/>
      </w:r>
      <w:r w:rsidRPr="00B44CE2">
        <w:rPr>
          <w:b/>
        </w:rPr>
        <w:t>Annotering</w:t>
      </w:r>
      <w:r>
        <w:rPr>
          <w:b/>
        </w:rPr>
        <w:br/>
      </w:r>
      <w:r>
        <w:rPr>
          <w:b/>
          <w:bCs/>
        </w:rPr>
        <w:t>Avsikt med behandlingen i rådet:</w:t>
      </w:r>
      <w:r>
        <w:t xml:space="preserve"> Rådet föreslås </w:t>
      </w:r>
      <w:proofErr w:type="gramStart"/>
      <w:r>
        <w:t>att slutligt anta</w:t>
      </w:r>
      <w:proofErr w:type="gramEnd"/>
      <w:r>
        <w:t xml:space="preserve"> rättsakten.</w:t>
      </w:r>
    </w:p>
    <w:p w14:paraId="7C233F1E" w14:textId="2D2BA6E3" w:rsidR="00400CF7" w:rsidRDefault="00290F33">
      <w:pPr>
        <w:spacing w:after="280" w:afterAutospacing="1"/>
      </w:pPr>
      <w:r>
        <w:rPr>
          <w:b/>
          <w:bCs/>
        </w:rPr>
        <w:t>Hur regeringen ställer sig till den blivande A-punkten:</w:t>
      </w:r>
      <w:r>
        <w:t xml:space="preserve"> Regeringen avser att rösta ja.</w:t>
      </w:r>
    </w:p>
    <w:p w14:paraId="7C233F20" w14:textId="02B2C8FF" w:rsidR="00FB32B9" w:rsidRDefault="00290F33">
      <w:pPr>
        <w:spacing w:after="280" w:afterAutospacing="1"/>
        <w:rPr>
          <w:noProof/>
        </w:rPr>
      </w:pPr>
      <w:r>
        <w:rPr>
          <w:b/>
          <w:bCs/>
        </w:rPr>
        <w:t>Bakgrund:</w:t>
      </w:r>
      <w:r>
        <w:t xml:space="preserve"> I september 2013 presenterade kommissionen ett förslag till förordning om index som används som referensvärden för finansiella instrument eller finansiella avtal (se faktapromemoria 2013/</w:t>
      </w:r>
      <w:proofErr w:type="gramStart"/>
      <w:r>
        <w:t>14:FPM</w:t>
      </w:r>
      <w:proofErr w:type="gramEnd"/>
      <w:r>
        <w:t xml:space="preserve">13). Rådet nådde en allmän inriktning i februari 2015. </w:t>
      </w:r>
      <w:proofErr w:type="spellStart"/>
      <w:r>
        <w:t>Trilogförhandlingarna</w:t>
      </w:r>
      <w:proofErr w:type="spellEnd"/>
      <w:r>
        <w:t xml:space="preserve"> inleddes i juni 2015 och avslutades i november 2015. Europaparlamentet antog förordningen den 28 april 2016. Rådet föreslås godkänna förordningstexten och därmed slutligt anta rättsakten.</w:t>
      </w:r>
    </w:p>
    <w:p w14:paraId="7C233F21" w14:textId="77777777" w:rsidR="00643D86" w:rsidRPr="00A22020" w:rsidRDefault="00290F33" w:rsidP="00643D86">
      <w:pPr>
        <w:pStyle w:val="Rubrik1"/>
        <w:rPr>
          <w:lang w:val="en-US"/>
        </w:rPr>
      </w:pPr>
      <w:bookmarkStart w:id="3" w:name="_Toc450723851"/>
      <w:r w:rsidRPr="00A22020">
        <w:rPr>
          <w:noProof/>
          <w:lang w:val="en-US"/>
        </w:rPr>
        <w:t>Transparency - Public access to documents</w:t>
      </w:r>
      <w:r w:rsidRPr="00A22020">
        <w:rPr>
          <w:noProof/>
          <w:lang w:val="en-US"/>
        </w:rPr>
        <w:br/>
        <w:t>Complaint 916/2015/OV made to the European Ombudsman</w:t>
      </w:r>
      <w:bookmarkEnd w:id="3"/>
    </w:p>
    <w:p w14:paraId="7C233F22" w14:textId="5AE214CA" w:rsidR="00643D86" w:rsidRPr="00A22020" w:rsidRDefault="00290F33" w:rsidP="00643D86">
      <w:r w:rsidRPr="00A22020">
        <w:rPr>
          <w:noProof/>
        </w:rPr>
        <w:t>6189</w:t>
      </w:r>
      <w:r w:rsidRPr="00A22020">
        <w:t>/16 API 19 INF 24 INST 58 OMBUDS 4</w:t>
      </w:r>
    </w:p>
    <w:p w14:paraId="7C233F23" w14:textId="77777777" w:rsidR="00643D86" w:rsidRDefault="00290F33" w:rsidP="00643D86">
      <w:r>
        <w:rPr>
          <w:b/>
        </w:rPr>
        <w:t>Ansvarigt statsråd</w:t>
      </w:r>
      <w:r>
        <w:rPr>
          <w:b/>
        </w:rPr>
        <w:br/>
      </w:r>
      <w:r>
        <w:rPr>
          <w:noProof/>
        </w:rPr>
        <w:t>Morgan</w:t>
      </w:r>
      <w:r>
        <w:t xml:space="preserve"> Johansson</w:t>
      </w:r>
    </w:p>
    <w:p w14:paraId="7C233F24" w14:textId="77777777" w:rsidR="00E0653A" w:rsidRDefault="00290F33"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C233F25" w14:textId="77777777" w:rsidR="00E0653A" w:rsidRDefault="00290F33"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C233F26"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C233F27" w14:textId="77777777" w:rsidR="00E0653A" w:rsidRDefault="00290F3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C233F28" w14:textId="77777777" w:rsidR="00E0653A" w:rsidRDefault="00290F33"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C233F29"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C233F2A" w14:textId="77777777" w:rsidR="00E0653A" w:rsidRDefault="00290F3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C233F2B" w14:textId="77777777" w:rsidR="00E0653A" w:rsidRDefault="00290F33"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C233F2C"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C233F2D" w14:textId="77777777" w:rsidR="00643D86" w:rsidRDefault="00290F33" w:rsidP="00643D86">
      <w:r>
        <w:instrText>"</w:instrText>
      </w:r>
      <w:r>
        <w:rPr>
          <w:b/>
        </w:rPr>
        <w:instrText xml:space="preserve"> </w:instrText>
      </w:r>
      <w:r>
        <w:rPr>
          <w:b/>
        </w:rPr>
        <w:fldChar w:fldCharType="end"/>
      </w:r>
      <w:r w:rsidRPr="00B44CE2">
        <w:rPr>
          <w:b/>
        </w:rPr>
        <w:t>Annotering</w:t>
      </w:r>
      <w:r>
        <w:rPr>
          <w:b/>
        </w:rPr>
        <w:br/>
      </w:r>
      <w:r>
        <w:t>Föranleder ingen annotering.</w:t>
      </w:r>
    </w:p>
    <w:p w14:paraId="7C233F2E" w14:textId="77777777" w:rsidR="00643D86" w:rsidRPr="00A22020" w:rsidRDefault="00290F33" w:rsidP="00643D86">
      <w:pPr>
        <w:pStyle w:val="Rubrik1"/>
        <w:rPr>
          <w:lang w:val="en-US"/>
        </w:rPr>
      </w:pPr>
      <w:bookmarkStart w:id="4" w:name="_Toc450723852"/>
      <w:r w:rsidRPr="00A22020">
        <w:rPr>
          <w:noProof/>
          <w:lang w:val="en-US"/>
        </w:rPr>
        <w:t>Convening of a Conference of the Representatives of the Governments of the Member States</w:t>
      </w:r>
      <w:bookmarkEnd w:id="4"/>
      <w:r w:rsidRPr="00A22020">
        <w:rPr>
          <w:noProof/>
          <w:lang w:val="en-US"/>
        </w:rPr>
        <w:t xml:space="preserve"> </w:t>
      </w:r>
    </w:p>
    <w:p w14:paraId="7C233F2F" w14:textId="77777777" w:rsidR="00643D86" w:rsidRDefault="00290F33" w:rsidP="00643D86">
      <w:pPr>
        <w:rPr>
          <w:lang w:val="en-US"/>
        </w:rPr>
      </w:pPr>
      <w:r>
        <w:rPr>
          <w:noProof/>
          <w:lang w:val="en-US"/>
        </w:rPr>
        <w:t>-Appointment</w:t>
      </w:r>
      <w:r>
        <w:rPr>
          <w:lang w:val="en-US"/>
        </w:rPr>
        <w:t xml:space="preserve"> of Judges </w:t>
      </w:r>
      <w:proofErr w:type="gramStart"/>
      <w:r>
        <w:rPr>
          <w:lang w:val="en-US"/>
        </w:rPr>
        <w:t>to the General Court</w:t>
      </w:r>
      <w:r>
        <w:rPr>
          <w:lang w:val="en-US"/>
        </w:rPr>
        <w:br/>
      </w:r>
      <w:r>
        <w:rPr>
          <w:noProof/>
          <w:lang w:val="en-US"/>
        </w:rPr>
        <w:t>8220</w:t>
      </w:r>
      <w:r>
        <w:rPr>
          <w:lang w:val="en-US"/>
        </w:rPr>
        <w:t>/16 INST 171 JUR 171 COUR 24</w:t>
      </w:r>
      <w:proofErr w:type="gramEnd"/>
    </w:p>
    <w:p w14:paraId="7C233F30" w14:textId="77777777" w:rsidR="00643D86" w:rsidRDefault="00290F33" w:rsidP="00643D86">
      <w:r>
        <w:rPr>
          <w:b/>
        </w:rPr>
        <w:t>Ansvarigt statsråd</w:t>
      </w:r>
      <w:r>
        <w:rPr>
          <w:b/>
        </w:rPr>
        <w:br/>
      </w:r>
      <w:r>
        <w:rPr>
          <w:noProof/>
        </w:rPr>
        <w:t>Margot</w:t>
      </w:r>
      <w:r>
        <w:t xml:space="preserve"> Wallström</w:t>
      </w:r>
    </w:p>
    <w:p w14:paraId="7C233F31" w14:textId="77777777" w:rsidR="00E0653A" w:rsidRDefault="00290F33"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C233F32" w14:textId="77777777" w:rsidR="00E0653A" w:rsidRDefault="00290F33"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C233F33"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C233F34" w14:textId="77777777" w:rsidR="00E0653A" w:rsidRDefault="00290F3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C233F35" w14:textId="77777777" w:rsidR="00E0653A" w:rsidRDefault="00290F33"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C233F36"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C233F37" w14:textId="77777777" w:rsidR="00E0653A" w:rsidRDefault="00290F3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C233F38" w14:textId="77777777" w:rsidR="00E0653A" w:rsidRDefault="00290F33"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C233F39"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C233F3B" w14:textId="21555F0F" w:rsidR="00400CF7" w:rsidRDefault="00290F33" w:rsidP="003B7CF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 att det i anslutning till mötet den 24 maj 2016 sammankallas till en regeringskonferens i syfte att utse domare till Europeiska unionens tribunal. </w:t>
      </w:r>
    </w:p>
    <w:p w14:paraId="7C233F3C" w14:textId="632C7985" w:rsidR="00400CF7" w:rsidRDefault="00290F33">
      <w:pPr>
        <w:spacing w:after="280" w:afterAutospacing="1"/>
      </w:pPr>
      <w:r>
        <w:rPr>
          <w:b/>
          <w:bCs/>
        </w:rPr>
        <w:lastRenderedPageBreak/>
        <w:t>Hur regeringen ställer sig till den blivande A-punkten:</w:t>
      </w:r>
      <w:r>
        <w:t xml:space="preserve"> Regeringen avser godkänna denna punkt.</w:t>
      </w:r>
    </w:p>
    <w:p w14:paraId="7C233F3D" w14:textId="77777777" w:rsidR="00400CF7" w:rsidRDefault="00290F33">
      <w:pPr>
        <w:spacing w:after="280" w:afterAutospacing="1"/>
      </w:pPr>
      <w:r>
        <w:rPr>
          <w:b/>
          <w:bCs/>
        </w:rPr>
        <w:t>Bakgrund:</w:t>
      </w:r>
      <w:r>
        <w:t xml:space="preserve"> Enligt artikel 254 i EUF-fördraget utses domare i tribunalen av medlemsstaternas regeringar i samförstånd på sex år. Detta sker idag enligt fast praxis efter nominering av respektive medlemsstat. </w:t>
      </w:r>
    </w:p>
    <w:p w14:paraId="7C233F3E" w14:textId="77777777" w:rsidR="00400CF7" w:rsidRDefault="00290F33">
      <w:pPr>
        <w:spacing w:after="280" w:afterAutospacing="1"/>
      </w:pPr>
      <w:r>
        <w:t xml:space="preserve">I april 2015 informerades medlemsstaterna om att mandaten för 14 domare i tribunalen löper ut den 31 augusti 2016. Hittills har tio av dessa domare utsetts. Ytterligare en nominering har nu gjorts av Estland. </w:t>
      </w:r>
    </w:p>
    <w:p w14:paraId="7C233F3F" w14:textId="77777777" w:rsidR="00400CF7" w:rsidRDefault="00290F33">
      <w:pPr>
        <w:spacing w:after="280" w:afterAutospacing="1"/>
      </w:pPr>
      <w:r>
        <w:t xml:space="preserve">Vidare trädde i december 2015 en förordning om en reform av tribunalen ikraft. Reformen innebär att antalet domare i tribunalen ska utökas stegvis med 28 fram till 2019 och i reformens första steg ska 12 medlemsstater nominera en kandidat. Hittills har sju av dessa domare utsetts. Ytterligare nomineringar har nu gjorts av Lettland, Malta och Sverige. </w:t>
      </w:r>
    </w:p>
    <w:p w14:paraId="7C233F41" w14:textId="089ECF97" w:rsidR="00FB32B9" w:rsidRDefault="00290F33">
      <w:pPr>
        <w:spacing w:after="280" w:afterAutospacing="1"/>
        <w:rPr>
          <w:noProof/>
        </w:rPr>
      </w:pPr>
      <w:r>
        <w:t>De nominerade kandidaterna har av den rådgivande kommittén enligt artikel 255 FEUF bedömts som lämpliga för uppdragen.</w:t>
      </w:r>
    </w:p>
    <w:p w14:paraId="7C233F42" w14:textId="77777777" w:rsidR="00643D86" w:rsidRPr="00A22020" w:rsidRDefault="00290F33" w:rsidP="00643D86">
      <w:pPr>
        <w:pStyle w:val="Rubrik1"/>
        <w:rPr>
          <w:lang w:val="en-US"/>
        </w:rPr>
      </w:pPr>
      <w:bookmarkStart w:id="5" w:name="_Toc450723853"/>
      <w:r w:rsidRPr="00A22020">
        <w:rPr>
          <w:noProof/>
          <w:lang w:val="en-US"/>
        </w:rPr>
        <w:t>Commission Delegated Regulation (EU) …/... of 21.4.2016 amending Delegated Regulation (EU) No 153/2013 as regards the time horizons for the liquidation period to be considered for the different classes of financial instruments</w:t>
      </w:r>
      <w:bookmarkEnd w:id="5"/>
    </w:p>
    <w:p w14:paraId="7C233F43" w14:textId="77777777" w:rsidR="00643D86" w:rsidRDefault="00290F33" w:rsidP="00643D86">
      <w:pPr>
        <w:rPr>
          <w:lang w:val="en-US"/>
        </w:rPr>
      </w:pPr>
      <w:r>
        <w:rPr>
          <w:noProof/>
          <w:lang w:val="en-US"/>
        </w:rPr>
        <w:t>=</w:t>
      </w:r>
      <w:r>
        <w:rPr>
          <w:lang w:val="en-US"/>
        </w:rPr>
        <w:t>Intention not to raise objections to a delegated act</w:t>
      </w:r>
      <w:r>
        <w:rPr>
          <w:lang w:val="en-US"/>
        </w:rPr>
        <w:br/>
      </w:r>
      <w:r>
        <w:rPr>
          <w:noProof/>
          <w:lang w:val="en-US"/>
        </w:rPr>
        <w:t>8169</w:t>
      </w:r>
      <w:r>
        <w:rPr>
          <w:lang w:val="en-US"/>
        </w:rPr>
        <w:t>/16 EF 93 ECOFIN 316 DELACT 71 7651/16 EF 74 ECOFIN 271 DELACT 74</w:t>
      </w:r>
    </w:p>
    <w:p w14:paraId="7C233F44" w14:textId="77777777" w:rsidR="00643D86" w:rsidRDefault="00290F33" w:rsidP="00643D86">
      <w:r>
        <w:rPr>
          <w:b/>
        </w:rPr>
        <w:t>Ansvarigt statsråd</w:t>
      </w:r>
      <w:r>
        <w:rPr>
          <w:b/>
        </w:rPr>
        <w:br/>
      </w:r>
      <w:r>
        <w:rPr>
          <w:noProof/>
        </w:rPr>
        <w:t>Per</w:t>
      </w:r>
      <w:r>
        <w:t xml:space="preserve"> Bolund</w:t>
      </w:r>
    </w:p>
    <w:p w14:paraId="7C233F45" w14:textId="77777777" w:rsidR="00E0653A" w:rsidRDefault="00290F33"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C233F46" w14:textId="77777777" w:rsidR="00E0653A" w:rsidRDefault="00290F33"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C233F47"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C233F48" w14:textId="77777777" w:rsidR="00E0653A" w:rsidRDefault="00290F3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C233F49" w14:textId="77777777" w:rsidR="00E0653A" w:rsidRDefault="00290F33"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C233F4A"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C233F4B" w14:textId="77777777" w:rsidR="00E0653A" w:rsidRDefault="00290F3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C233F4C" w14:textId="77777777" w:rsidR="00E0653A" w:rsidRDefault="00290F33"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C233F4D"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C233F4F" w14:textId="42A0E927" w:rsidR="00400CF7" w:rsidRDefault="00290F33" w:rsidP="003B7CF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bekräfta sin avsikt att inte invända mot en delegerad förordning som har antagits av kommissionen.</w:t>
      </w:r>
    </w:p>
    <w:p w14:paraId="7C233F50" w14:textId="321D52BD" w:rsidR="00400CF7" w:rsidRDefault="00290F33">
      <w:pPr>
        <w:spacing w:after="280" w:afterAutospacing="1"/>
      </w:pPr>
      <w:r>
        <w:rPr>
          <w:b/>
          <w:bCs/>
        </w:rPr>
        <w:t>Hur regeringen ställer sig till den blivande A-punkten:</w:t>
      </w:r>
      <w:r>
        <w:t xml:space="preserve"> Regeringen avser att rösta ja och därmed stödja avsikten att inte invända.</w:t>
      </w:r>
    </w:p>
    <w:p w14:paraId="7C233F51" w14:textId="77777777" w:rsidR="00400CF7" w:rsidRDefault="00290F33">
      <w:pPr>
        <w:spacing w:after="280" w:afterAutospacing="1"/>
      </w:pPr>
      <w:r>
        <w:rPr>
          <w:b/>
          <w:bCs/>
        </w:rPr>
        <w:t>Bakgrund:</w:t>
      </w:r>
      <w:r>
        <w:t xml:space="preserve"> Den 21 april 2016 antog kommissionen en delegerad akt med ändring av den delegerade förordningen 153/2013 om de tidshorisonter som en central motpart ska tillämpa vid beräkning av marginalsäkerheter i vissa fall. Genom ändringen harmoniseras kraven i Emir när det gäller marginalsäkerheter för klienter till </w:t>
      </w:r>
      <w:proofErr w:type="spellStart"/>
      <w:r>
        <w:t>clearingmedlemmar</w:t>
      </w:r>
      <w:proofErr w:type="spellEnd"/>
      <w:r>
        <w:t xml:space="preserve"> (indirekta </w:t>
      </w:r>
      <w:proofErr w:type="spellStart"/>
      <w:r>
        <w:t>clearingmedlemmar</w:t>
      </w:r>
      <w:proofErr w:type="spellEnd"/>
      <w:r>
        <w:t xml:space="preserve">) till de motsvarande krav som gäller i USA. Ändringen är en konsekvens av den överenskommelse som kommissionen nådde den 10 februari 2016 med </w:t>
      </w:r>
      <w:proofErr w:type="spellStart"/>
      <w:r>
        <w:t>Commodity</w:t>
      </w:r>
      <w:proofErr w:type="spellEnd"/>
      <w:r>
        <w:t xml:space="preserve"> </w:t>
      </w:r>
      <w:proofErr w:type="spellStart"/>
      <w:r>
        <w:t>Futures</w:t>
      </w:r>
      <w:proofErr w:type="spellEnd"/>
      <w:r>
        <w:t xml:space="preserve"> Trading Commission (USA) om förutsättningarna för ömsesidigt erkännande av centrala motparter i USA och EU.</w:t>
      </w:r>
    </w:p>
    <w:p w14:paraId="7C233F52" w14:textId="77777777" w:rsidR="00FB32B9" w:rsidRDefault="0016586A">
      <w:pPr>
        <w:spacing w:after="280" w:afterAutospacing="1"/>
        <w:rPr>
          <w:noProof/>
        </w:rPr>
      </w:pPr>
    </w:p>
    <w:p w14:paraId="7C233F53" w14:textId="77777777" w:rsidR="00643D86" w:rsidRPr="00A22020" w:rsidRDefault="00290F33" w:rsidP="00643D86">
      <w:pPr>
        <w:pStyle w:val="Rubrik1"/>
        <w:rPr>
          <w:lang w:val="en-US"/>
        </w:rPr>
      </w:pPr>
      <w:bookmarkStart w:id="6" w:name="_Toc450723854"/>
      <w:r w:rsidRPr="00A22020">
        <w:rPr>
          <w:noProof/>
          <w:lang w:val="en-US"/>
        </w:rPr>
        <w:lastRenderedPageBreak/>
        <w:t>Draft Council Regulation amending Regulation (EU, Euratom) No 609/2014 on the methods and procedure for making available the traditional, VAT and GNI-based own resources and on the measures to meet cash requirements</w:t>
      </w:r>
      <w:bookmarkEnd w:id="6"/>
    </w:p>
    <w:p w14:paraId="7C233F54" w14:textId="77777777" w:rsidR="00643D86" w:rsidRPr="00A22020" w:rsidRDefault="00290F33" w:rsidP="00643D86">
      <w:pPr>
        <w:rPr>
          <w:lang w:val="fr-FR"/>
        </w:rPr>
      </w:pPr>
      <w:r w:rsidRPr="00A22020">
        <w:rPr>
          <w:noProof/>
          <w:lang w:val="fr-FR"/>
        </w:rPr>
        <w:t>-Adoption</w:t>
      </w:r>
      <w:r w:rsidRPr="00A22020">
        <w:rPr>
          <w:lang w:val="fr-FR"/>
        </w:rPr>
        <w:br/>
      </w:r>
      <w:r w:rsidRPr="00A22020">
        <w:rPr>
          <w:noProof/>
          <w:lang w:val="fr-FR"/>
        </w:rPr>
        <w:t>8375</w:t>
      </w:r>
      <w:r w:rsidRPr="00A22020">
        <w:rPr>
          <w:lang w:val="fr-FR"/>
        </w:rPr>
        <w:t>/16 RESPR 3 FIN 262 CADREFIN 227945/16 RESPR 2 FIN 230 CADREFIN 21</w:t>
      </w:r>
    </w:p>
    <w:p w14:paraId="7C233F55" w14:textId="77777777" w:rsidR="00643D86" w:rsidRDefault="00290F33" w:rsidP="00643D86">
      <w:r>
        <w:rPr>
          <w:b/>
        </w:rPr>
        <w:t>Ansvarigt statsråd</w:t>
      </w:r>
      <w:r>
        <w:rPr>
          <w:b/>
        </w:rPr>
        <w:br/>
      </w:r>
      <w:r>
        <w:rPr>
          <w:noProof/>
        </w:rPr>
        <w:t>Magdalena</w:t>
      </w:r>
      <w:r>
        <w:t xml:space="preserve"> Andersson</w:t>
      </w:r>
    </w:p>
    <w:p w14:paraId="7C233F56" w14:textId="77777777" w:rsidR="00E0653A" w:rsidRDefault="00290F33"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C233F57" w14:textId="77777777" w:rsidR="00E0653A" w:rsidRDefault="00290F33"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C233F58"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C233F59" w14:textId="77777777" w:rsidR="00E0653A" w:rsidRDefault="00290F3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C233F5A" w14:textId="77777777" w:rsidR="00E0653A" w:rsidRDefault="00290F33"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C233F5B"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C233F5C" w14:textId="77777777" w:rsidR="00E0653A" w:rsidRDefault="00290F3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C233F5D" w14:textId="77777777" w:rsidR="00E0653A" w:rsidRDefault="00290F33"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C233F5E"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7A4E6AD" w14:textId="77777777" w:rsidR="003B7CF1" w:rsidRDefault="00290F33" w:rsidP="003B7CF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rättsakt</w:t>
      </w:r>
    </w:p>
    <w:p w14:paraId="7C233F60" w14:textId="31DF1600" w:rsidR="00400CF7" w:rsidRDefault="00290F33" w:rsidP="003B7CF1">
      <w:r>
        <w:rPr>
          <w:b/>
          <w:bCs/>
        </w:rPr>
        <w:t>Hur regeringen ställer sig till den blivande A-punkten:</w:t>
      </w:r>
      <w:r>
        <w:t xml:space="preserve"> Regeringen stöder antagande av rättsakten. </w:t>
      </w:r>
    </w:p>
    <w:p w14:paraId="7C233F62" w14:textId="016AABFC" w:rsidR="00FB32B9" w:rsidRDefault="00290F33">
      <w:pPr>
        <w:spacing w:after="280" w:afterAutospacing="1"/>
        <w:rPr>
          <w:noProof/>
        </w:rPr>
      </w:pPr>
      <w:r>
        <w:rPr>
          <w:b/>
          <w:bCs/>
        </w:rPr>
        <w:t>Bakgrund:</w:t>
      </w:r>
      <w:r>
        <w:t xml:space="preserve"> Förordningen specificerar regelverket om egna medel på vissa punkter i förhållande till Rådets beslut om EU:s egna medel av den 26 maj 2014. Bland annat regleras praktiska arrangemang för medlemsstaternas inbetalningar och tillhandahållande av traditionella, mervärdesskattebasgrundade och BNI-baserade egna medel, kontoarrangemang för detta ändamål, dröjsmålsränta mm. </w:t>
      </w:r>
    </w:p>
    <w:p w14:paraId="7C233F63" w14:textId="77777777" w:rsidR="00643D86" w:rsidRPr="00A22020" w:rsidRDefault="00290F33" w:rsidP="00643D86">
      <w:pPr>
        <w:pStyle w:val="Rubrik1"/>
        <w:rPr>
          <w:lang w:val="en-US"/>
        </w:rPr>
      </w:pPr>
      <w:bookmarkStart w:id="7" w:name="_Toc450723855"/>
      <w:r w:rsidRPr="00A22020">
        <w:rPr>
          <w:noProof/>
          <w:lang w:val="en-US"/>
        </w:rPr>
        <w:t>Actions in relation to modernisation of systems for handling and delivering European Council and Council documents</w:t>
      </w:r>
      <w:bookmarkEnd w:id="7"/>
    </w:p>
    <w:p w14:paraId="7C233F64" w14:textId="76321302" w:rsidR="00643D86" w:rsidRDefault="00290F33" w:rsidP="00643D86">
      <w:pPr>
        <w:rPr>
          <w:lang w:val="en-US"/>
        </w:rPr>
      </w:pPr>
      <w:r>
        <w:rPr>
          <w:noProof/>
          <w:lang w:val="en-US"/>
        </w:rPr>
        <w:t>7386</w:t>
      </w:r>
      <w:r>
        <w:rPr>
          <w:lang w:val="en-US"/>
        </w:rPr>
        <w:t>/16 CIS 12 CSC 82 CSDP/PSDC 173 CSCI 19</w:t>
      </w:r>
      <w:r w:rsidR="003B7CF1">
        <w:rPr>
          <w:lang w:val="en-US"/>
        </w:rPr>
        <w:t xml:space="preserve"> </w:t>
      </w:r>
      <w:r>
        <w:rPr>
          <w:lang w:val="en-US"/>
        </w:rPr>
        <w:t>7385/16 CIS 13 CSC 83 CSDP/PSDC 174 CSCI 20</w:t>
      </w:r>
      <w:r w:rsidR="003B7CF1">
        <w:rPr>
          <w:lang w:val="en-US"/>
        </w:rPr>
        <w:t xml:space="preserve"> </w:t>
      </w:r>
      <w:r>
        <w:rPr>
          <w:lang w:val="en-US"/>
        </w:rPr>
        <w:t>5964/16 CIS 5 CSC 32 CSDP/PSDC 78 CSCI 7</w:t>
      </w:r>
      <w:r w:rsidR="003B7CF1">
        <w:rPr>
          <w:lang w:val="en-US"/>
        </w:rPr>
        <w:t xml:space="preserve"> </w:t>
      </w:r>
      <w:r>
        <w:rPr>
          <w:lang w:val="en-US"/>
        </w:rPr>
        <w:t xml:space="preserve">5912/16 CIS 3 CSC 26 CSDP/PSDC 75 CSCI 5 5913/16 CIS 4 CSC 27 CSDP/PSDC 76 CSCI 6 6888/16 CIS 9 CSC 65 SAP 2 </w:t>
      </w:r>
    </w:p>
    <w:p w14:paraId="7C233F65" w14:textId="77777777" w:rsidR="00643D86" w:rsidRDefault="00290F33" w:rsidP="00643D86">
      <w:r>
        <w:rPr>
          <w:b/>
        </w:rPr>
        <w:t>Ansvarigt statsråd</w:t>
      </w:r>
      <w:r>
        <w:rPr>
          <w:b/>
        </w:rPr>
        <w:br/>
      </w:r>
      <w:r>
        <w:rPr>
          <w:noProof/>
        </w:rPr>
        <w:t>Margot</w:t>
      </w:r>
      <w:r>
        <w:t xml:space="preserve"> Wallström</w:t>
      </w:r>
    </w:p>
    <w:p w14:paraId="7C233F66" w14:textId="77777777" w:rsidR="00E0653A" w:rsidRDefault="00290F33"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C233F67" w14:textId="77777777" w:rsidR="00E0653A" w:rsidRDefault="00290F33"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C233F68"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C233F69" w14:textId="77777777" w:rsidR="00E0653A" w:rsidRDefault="00290F3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C233F6A" w14:textId="77777777" w:rsidR="00E0653A" w:rsidRDefault="00290F33"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C233F6B"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C233F6C" w14:textId="77777777" w:rsidR="00E0653A" w:rsidRDefault="00290F3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C233F6D" w14:textId="77777777" w:rsidR="00E0653A" w:rsidRDefault="00290F33"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C233F6E"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C233F70" w14:textId="1479642A" w:rsidR="00400CF7" w:rsidRDefault="00290F33" w:rsidP="001E384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på rekommendation av dess </w:t>
      </w:r>
      <w:proofErr w:type="spellStart"/>
      <w:r>
        <w:t>Koordineringskommitte</w:t>
      </w:r>
      <w:proofErr w:type="spellEnd"/>
      <w:r>
        <w:t xml:space="preserve"> för IT-system (CCCIS) (7386/16, 7385/16, 5964/16, 5912/16, 5913/16, 6888/16) att godkänna utrullningen och utvecklingen av Rådets IT-stöd för dokumenthantering (</w:t>
      </w:r>
      <w:proofErr w:type="spellStart"/>
      <w:r>
        <w:t>Delegates</w:t>
      </w:r>
      <w:proofErr w:type="spellEnd"/>
      <w:r>
        <w:t xml:space="preserve"> Porta</w:t>
      </w:r>
      <w:r w:rsidR="00A22020">
        <w:t>l)</w:t>
      </w:r>
      <w:r>
        <w:t xml:space="preserve"> för 2016 och </w:t>
      </w:r>
      <w:r w:rsidR="00A22020">
        <w:t xml:space="preserve">2017. </w:t>
      </w:r>
    </w:p>
    <w:p w14:paraId="7C233F71" w14:textId="5A8A34F9" w:rsidR="00400CF7" w:rsidRDefault="00290F33">
      <w:pPr>
        <w:spacing w:after="280" w:afterAutospacing="1"/>
      </w:pPr>
      <w:r>
        <w:rPr>
          <w:b/>
          <w:bCs/>
        </w:rPr>
        <w:t>Hur regeringen ställer sig till den blivande A-punkten:</w:t>
      </w:r>
      <w:r>
        <w:t xml:space="preserve"> Regering</w:t>
      </w:r>
      <w:r w:rsidR="00A22020">
        <w:t>en avser rösta ja till Rådet</w:t>
      </w:r>
      <w:r>
        <w:t xml:space="preserve"> att godkänna fortsättningen av utrullningen och utvecklingen av Rådets IT-stöd för dokumenthantering (</w:t>
      </w:r>
      <w:proofErr w:type="spellStart"/>
      <w:r>
        <w:t>Delegates</w:t>
      </w:r>
      <w:proofErr w:type="spellEnd"/>
      <w:r>
        <w:t xml:space="preserve"> Portal) för 2016 och 2017. </w:t>
      </w:r>
    </w:p>
    <w:p w14:paraId="7C233F73" w14:textId="60E0405F" w:rsidR="00FB32B9" w:rsidRDefault="00290F33">
      <w:pPr>
        <w:spacing w:after="280" w:afterAutospacing="1"/>
        <w:rPr>
          <w:noProof/>
        </w:rPr>
      </w:pPr>
      <w:r>
        <w:rPr>
          <w:b/>
          <w:bCs/>
        </w:rPr>
        <w:t>Bakgrund:</w:t>
      </w:r>
      <w:r>
        <w:t> För att underlätta för Rådet att hantera sitt dokumentflöde har man utveckla</w:t>
      </w:r>
      <w:r w:rsidR="00A22020">
        <w:t>t</w:t>
      </w:r>
      <w:r>
        <w:t xml:space="preserve"> sitt IT-stöd. Det så kallade </w:t>
      </w:r>
      <w:proofErr w:type="spellStart"/>
      <w:r>
        <w:t>Delegates</w:t>
      </w:r>
      <w:proofErr w:type="spellEnd"/>
      <w:r>
        <w:t xml:space="preserve"> Portal driftsattes som ett pilotprojekt i april 2015 för ett antal av Rådets arbetsgrupper samt delar av Rådssekretariatet. Testperioden utlöpte december </w:t>
      </w:r>
      <w:r w:rsidR="00A22020">
        <w:t>2015. Efter genomgång av pilotprojektet</w:t>
      </w:r>
      <w:r>
        <w:t xml:space="preserve"> samt användarfeedback föreslår man nu att </w:t>
      </w:r>
      <w:proofErr w:type="spellStart"/>
      <w:r>
        <w:t>Delegates</w:t>
      </w:r>
      <w:proofErr w:type="spellEnd"/>
      <w:r>
        <w:t xml:space="preserve"> Portal övergår till en fast lösning under 2016 – 2017 med ett antal nya funktioner; till exempel försvinner Extranet </w:t>
      </w:r>
      <w:proofErr w:type="gramStart"/>
      <w:r>
        <w:t>–L</w:t>
      </w:r>
      <w:proofErr w:type="gramEnd"/>
      <w:r>
        <w:t xml:space="preserve"> till förmån för </w:t>
      </w:r>
      <w:proofErr w:type="spellStart"/>
      <w:r>
        <w:t>Delegates</w:t>
      </w:r>
      <w:proofErr w:type="spellEnd"/>
      <w:r>
        <w:t xml:space="preserve"> Portal. </w:t>
      </w:r>
    </w:p>
    <w:p w14:paraId="7C233F83" w14:textId="77777777" w:rsidR="00643D86" w:rsidRPr="00A22020" w:rsidRDefault="00290F33" w:rsidP="00643D86">
      <w:pPr>
        <w:pStyle w:val="Rubrik1"/>
        <w:rPr>
          <w:lang w:val="en-US"/>
        </w:rPr>
      </w:pPr>
      <w:bookmarkStart w:id="8" w:name="_Toc450723856"/>
      <w:r w:rsidRPr="00A22020">
        <w:rPr>
          <w:noProof/>
          <w:lang w:val="en-US"/>
        </w:rPr>
        <w:lastRenderedPageBreak/>
        <w:t>(poss.) Annual Report 2016 to the European Council on EU Development Aid Targets</w:t>
      </w:r>
      <w:bookmarkEnd w:id="8"/>
    </w:p>
    <w:p w14:paraId="7C233F84" w14:textId="77777777" w:rsidR="00643D86" w:rsidRPr="00A22020" w:rsidRDefault="00290F33" w:rsidP="00643D86">
      <w:r w:rsidRPr="00A22020">
        <w:rPr>
          <w:noProof/>
        </w:rPr>
        <w:t>-Draft</w:t>
      </w:r>
      <w:r w:rsidRPr="00A22020">
        <w:t xml:space="preserve"> Council </w:t>
      </w:r>
      <w:proofErr w:type="spellStart"/>
      <w:r w:rsidRPr="00A22020">
        <w:t>conclusions</w:t>
      </w:r>
      <w:proofErr w:type="spellEnd"/>
      <w:r w:rsidRPr="00A22020">
        <w:br/>
      </w:r>
      <w:r w:rsidRPr="00A22020">
        <w:rPr>
          <w:noProof/>
        </w:rPr>
        <w:t>8530</w:t>
      </w:r>
      <w:r w:rsidRPr="00A22020">
        <w:t>/16 DEVGEN 67 ACP 55 RELEX 337 FIN 276</w:t>
      </w:r>
    </w:p>
    <w:p w14:paraId="7C233F85" w14:textId="77777777" w:rsidR="00643D86" w:rsidRDefault="00290F33" w:rsidP="00643D86">
      <w:r>
        <w:rPr>
          <w:b/>
        </w:rPr>
        <w:t>Ansvarigt statsråd</w:t>
      </w:r>
      <w:r>
        <w:rPr>
          <w:b/>
        </w:rPr>
        <w:br/>
      </w:r>
      <w:r>
        <w:rPr>
          <w:noProof/>
        </w:rPr>
        <w:t>Isabella</w:t>
      </w:r>
      <w:r>
        <w:t xml:space="preserve"> </w:t>
      </w:r>
      <w:proofErr w:type="spellStart"/>
      <w:r>
        <w:t>Lövin</w:t>
      </w:r>
      <w:proofErr w:type="spellEnd"/>
    </w:p>
    <w:p w14:paraId="7C233F86" w14:textId="77777777" w:rsidR="00E0653A" w:rsidRDefault="00290F33"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C233F87" w14:textId="77777777" w:rsidR="00E0653A" w:rsidRDefault="00290F33"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C233F88"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C233F89" w14:textId="77777777" w:rsidR="00E0653A" w:rsidRDefault="00290F3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C233F8A" w14:textId="77777777" w:rsidR="00E0653A" w:rsidRDefault="00290F33"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C233F8B"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C233F8C" w14:textId="77777777" w:rsidR="00E0653A" w:rsidRDefault="00290F3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C233F8D" w14:textId="77777777" w:rsidR="00E0653A" w:rsidRDefault="00290F33"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C233F8E"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C233F90" w14:textId="0E0CD2B7" w:rsidR="00400CF7" w:rsidRDefault="00290F33" w:rsidP="003B7CF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rådets slutsatser om årsrapporten 2016 till Europeiska rådet om EU:s biståndsmål.</w:t>
      </w:r>
    </w:p>
    <w:p w14:paraId="7C233F91" w14:textId="1CFC6FA7" w:rsidR="00400CF7" w:rsidRDefault="00290F33">
      <w:pPr>
        <w:spacing w:after="280" w:afterAutospacing="1"/>
      </w:pPr>
      <w:r>
        <w:rPr>
          <w:b/>
          <w:bCs/>
        </w:rPr>
        <w:t>Hur regeringen ställer sig till den blivande A-punkten:</w:t>
      </w:r>
      <w:r>
        <w:t xml:space="preserve"> Regeringen avser rösta ja till att godkänna rådsslutsatserna. </w:t>
      </w:r>
    </w:p>
    <w:p w14:paraId="7C233F92" w14:textId="77777777" w:rsidR="00400CF7" w:rsidRDefault="00290F33">
      <w:pPr>
        <w:spacing w:after="280" w:afterAutospacing="1"/>
      </w:pPr>
      <w:r>
        <w:rPr>
          <w:b/>
          <w:bCs/>
        </w:rPr>
        <w:t>Bakgrund:</w:t>
      </w:r>
      <w:r>
        <w:t xml:space="preserve"> Ministerrådet rapporterar årligen till Europeiska rådet om EU:s biståndsåtaganden och hur dessa har implementerats. 2005 beslutade rådet att EU som kollektiv till 2015 skulle uppnå FN:s mål om att allokera 0,</w:t>
      </w:r>
      <w:proofErr w:type="gramStart"/>
      <w:r>
        <w:t>7%</w:t>
      </w:r>
      <w:proofErr w:type="gramEnd"/>
      <w:r>
        <w:t xml:space="preserve"> av BNI till bistånd. 2015 återbekräftade EU målet om att kollektivt uppnå 0,</w:t>
      </w:r>
      <w:proofErr w:type="gramStart"/>
      <w:r>
        <w:t>7%</w:t>
      </w:r>
      <w:proofErr w:type="gramEnd"/>
      <w:r>
        <w:t xml:space="preserve"> av BNI till bistånd inom tidsramen för Agenda 2030. Rådet beslutade också om att uppnå FNs mål om att allokera 0,</w:t>
      </w:r>
      <w:proofErr w:type="gramStart"/>
      <w:r>
        <w:t>15-0,20</w:t>
      </w:r>
      <w:proofErr w:type="gramEnd"/>
      <w:r>
        <w:t>% av BNI till de minst utvecklade länderna på kort sikt och inom tidsramen för Agenda 2030 allokera 0,20%.</w:t>
      </w:r>
    </w:p>
    <w:p w14:paraId="7C233F93" w14:textId="77777777" w:rsidR="00400CF7" w:rsidRDefault="00290F33">
      <w:pPr>
        <w:spacing w:after="280" w:afterAutospacing="1"/>
      </w:pPr>
      <w:r>
        <w:t>I rådsslutsatserna presenterar rådet preliminär information om EUs bistånd för 2015 baserad på information från kommissionen. Rådet konstaterar att EUs kollektiva bistånd har ökat för tredje året i rad och behåller sin plats som världens största biståndsgivare. Rådet uttrycker besvikelse över att EU inte nådde upp till målet om 0,</w:t>
      </w:r>
      <w:proofErr w:type="gramStart"/>
      <w:r>
        <w:t>7%</w:t>
      </w:r>
      <w:proofErr w:type="gramEnd"/>
      <w:r>
        <w:t xml:space="preserve"> av BNI till bistånd 2015 som medlemsstaterna hade beslutat om 2005. Rådet refererar till de nya biståndsmålen om 0,</w:t>
      </w:r>
      <w:proofErr w:type="gramStart"/>
      <w:r>
        <w:t>7%</w:t>
      </w:r>
      <w:proofErr w:type="gramEnd"/>
      <w:r>
        <w:t xml:space="preserve"> och 0,15-0,20% inom tidsramen för Agenda 2030 och att medlemsstaterna kommer att vidta åtgärder för att uppnå dessa mål. </w:t>
      </w:r>
    </w:p>
    <w:p w14:paraId="7C233F95" w14:textId="2A4039DF" w:rsidR="00FB32B9" w:rsidRDefault="00290F33">
      <w:pPr>
        <w:spacing w:after="280" w:afterAutospacing="1"/>
        <w:rPr>
          <w:noProof/>
        </w:rPr>
      </w:pPr>
      <w:r>
        <w:t>Sverige har i diskussionerna om rådsslutsatserna betonat vikten av att rådet bekräftar att medlemsstaterna ska vidta åtgärder för att nå upp till överenskomna biståndsmål om 0,</w:t>
      </w:r>
      <w:proofErr w:type="gramStart"/>
      <w:r>
        <w:t>7%</w:t>
      </w:r>
      <w:proofErr w:type="gramEnd"/>
      <w:r>
        <w:t xml:space="preserve"> av BNI till bistånd och 0,15-1,2% till de minst utvecklade länderna. Detta framkommer tydligt i rådsslutsatserna. </w:t>
      </w:r>
    </w:p>
    <w:p w14:paraId="7C233F96" w14:textId="77777777" w:rsidR="00643D86" w:rsidRPr="00A22020" w:rsidRDefault="00290F33" w:rsidP="00643D86">
      <w:pPr>
        <w:pStyle w:val="Rubrik1"/>
        <w:rPr>
          <w:lang w:val="en-US"/>
        </w:rPr>
      </w:pPr>
      <w:bookmarkStart w:id="9" w:name="_Toc450723857"/>
      <w:r w:rsidRPr="00A22020">
        <w:rPr>
          <w:noProof/>
          <w:lang w:val="en-US"/>
        </w:rPr>
        <w:t>Financing of the African peace facility (APF) for the period mid-2016 to end 2018</w:t>
      </w:r>
      <w:bookmarkEnd w:id="9"/>
    </w:p>
    <w:p w14:paraId="7C233F97" w14:textId="0D636430" w:rsidR="00643D86" w:rsidRPr="00A22020" w:rsidRDefault="00290F33" w:rsidP="00643D86">
      <w:pPr>
        <w:rPr>
          <w:lang w:val="fr-FR"/>
        </w:rPr>
      </w:pPr>
      <w:r w:rsidRPr="00A22020">
        <w:rPr>
          <w:noProof/>
          <w:lang w:val="fr-FR"/>
        </w:rPr>
        <w:t>8662</w:t>
      </w:r>
      <w:r w:rsidRPr="00A22020">
        <w:rPr>
          <w:lang w:val="fr-FR"/>
        </w:rPr>
        <w:t>/16 ACP 63 FIN 286 RELEX 358 COAFR 126 ONU 53 PESC 370</w:t>
      </w:r>
    </w:p>
    <w:p w14:paraId="7C233F98" w14:textId="77777777" w:rsidR="00643D86" w:rsidRDefault="00290F33" w:rsidP="00643D86">
      <w:r>
        <w:rPr>
          <w:b/>
        </w:rPr>
        <w:t>Ansvarigt statsråd</w:t>
      </w:r>
      <w:r>
        <w:rPr>
          <w:b/>
        </w:rPr>
        <w:br/>
      </w:r>
      <w:r>
        <w:rPr>
          <w:noProof/>
        </w:rPr>
        <w:t>Margot</w:t>
      </w:r>
      <w:r>
        <w:t xml:space="preserve"> Wallström</w:t>
      </w:r>
    </w:p>
    <w:p w14:paraId="7C233F99" w14:textId="77777777" w:rsidR="00E0653A" w:rsidRDefault="00290F33"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C233F9A" w14:textId="77777777" w:rsidR="00E0653A" w:rsidRDefault="00290F33"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C233F9B"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C233F9C" w14:textId="77777777" w:rsidR="00E0653A" w:rsidRDefault="00290F3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C233F9D" w14:textId="77777777" w:rsidR="00E0653A" w:rsidRDefault="00290F33"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C233F9E"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C233F9F" w14:textId="77777777" w:rsidR="00E0653A" w:rsidRDefault="00290F3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C233FA0" w14:textId="77777777" w:rsidR="00E0653A" w:rsidRDefault="00290F33"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C233FA1"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C233FA3" w14:textId="3775E9AD" w:rsidR="00400CF7" w:rsidRDefault="00290F33" w:rsidP="003B7CF1">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Att nå konsensus kring finansieringen av Afrikanska fredsfaciliteten (APF) för perioden andra halvan av 2016 t.o.m. 2018 med ett belopp om totalt 710 miljoner euro.</w:t>
      </w:r>
    </w:p>
    <w:p w14:paraId="7C233FA4" w14:textId="77777777" w:rsidR="00400CF7" w:rsidRDefault="00290F33">
      <w:pPr>
        <w:spacing w:after="280" w:afterAutospacing="1"/>
      </w:pPr>
      <w:r>
        <w:rPr>
          <w:b/>
          <w:bCs/>
        </w:rPr>
        <w:t xml:space="preserve">Hur regeringen ställer sig till den blivande A-punkten: </w:t>
      </w:r>
      <w:r>
        <w:t xml:space="preserve">Regeringen avser rösta ja för att konsensus kan nås gällande finansieringen av den Afrikanska fredsfaciliteten. </w:t>
      </w:r>
    </w:p>
    <w:p w14:paraId="7C233FA6" w14:textId="15D00988" w:rsidR="00FB32B9" w:rsidRDefault="00290F33">
      <w:pPr>
        <w:spacing w:after="280" w:afterAutospacing="1"/>
        <w:rPr>
          <w:noProof/>
        </w:rPr>
      </w:pPr>
      <w:r>
        <w:rPr>
          <w:b/>
          <w:bCs/>
        </w:rPr>
        <w:lastRenderedPageBreak/>
        <w:t xml:space="preserve">Bakgrund: </w:t>
      </w:r>
      <w:r>
        <w:t>Finansieringen av Afrikanska fredsfaciliteten (APF) för perioden andra halvan av 2016-2018 har diskuterats sedan mitten av december 2015. Finansieringsbehovet</w:t>
      </w:r>
      <w:r w:rsidR="00A22020">
        <w:t xml:space="preserve"> uppgår till 710 miljoner euro.</w:t>
      </w:r>
      <w:r>
        <w:t xml:space="preserve"> I Kommissionens initiala förslag skulle finansieringsbehovet lösas genom att outnyttjade anslagna medel från EDF 8, 9 och 10 skulle användas för att täcka finansieringsbehovet. Detta alternativ förordades av KOM framför alternativet att använda NIP/RIP-reserven i EDF 11 (från de regionala och nationella indikativa programmen RIP/NIP) som KOM önskar ha kvar för förväntade ytterligare resursbehov rörande Agenda 2030, COP21, migration samt extra stöd för nationella program i Somalia, Tchad, Mali och Centra</w:t>
      </w:r>
      <w:r w:rsidR="00A22020">
        <w:t xml:space="preserve">lafrikanska republiken. ORDF </w:t>
      </w:r>
      <w:r>
        <w:t xml:space="preserve">förslag </w:t>
      </w:r>
      <w:r w:rsidR="00A22020">
        <w:t xml:space="preserve">som rådet nu ska besluta om </w:t>
      </w:r>
      <w:r>
        <w:t>bygger på att hitta en</w:t>
      </w:r>
      <w:r w:rsidR="00A22020">
        <w:t xml:space="preserve"> väl avvägd</w:t>
      </w:r>
      <w:r>
        <w:t xml:space="preserve"> balans för de medel som ska dras från olika reserver inom den europeiska utvecklingsfonden. Sveriges position är att fred och säkerhet är en förutsättning för en långsiktigt hållbar utveckling och för att nå bistånds- och utvecklingspolitiska mål. Ökad afrikansk kapacitet och ansvarstagande för fred och säkerhet på den egna kontinenten utgör även ett viktigt bidrag till att skapa förutsättningar för ökad afrikansk integration, utveckling och tillväxt. Ett ökande regionalt ansvarstagande för fred och säkerhet enligt kapitel VIII i FN-stadgan är något som Sverige och EU är en stark anhängare av. Av denna anledning är det för svenskt vidkommande mycket angeläget att beslut kan fattas för att möta finansieringsbehovet för APF.</w:t>
      </w:r>
    </w:p>
    <w:p w14:paraId="7C233FB6" w14:textId="77777777" w:rsidR="00643D86" w:rsidRPr="00A22020" w:rsidRDefault="00290F33" w:rsidP="00643D86">
      <w:pPr>
        <w:pStyle w:val="Rubrik1"/>
        <w:rPr>
          <w:lang w:val="en-US"/>
        </w:rPr>
      </w:pPr>
      <w:bookmarkStart w:id="10" w:name="_Toc450723858"/>
      <w:r w:rsidRPr="00A22020">
        <w:rPr>
          <w:noProof/>
          <w:lang w:val="en-US"/>
        </w:rPr>
        <w:t>Council Decision authorising the European Commission and the High Representative of the Union for Foreign Affairs and Security Policy to open negotiations and negotiate, on behalf of the European Union, the provisions that fall within the competence of the Union, of a modernised Global Agreement between the European Union and its Member States, of the one part, and Mexico, of the other part</w:t>
      </w:r>
      <w:r w:rsidRPr="00A22020">
        <w:rPr>
          <w:noProof/>
          <w:lang w:val="en-US"/>
        </w:rPr>
        <w:br/>
        <w:t>and</w:t>
      </w:r>
      <w:r w:rsidRPr="00A22020">
        <w:rPr>
          <w:noProof/>
          <w:lang w:val="en-US"/>
        </w:rPr>
        <w:br/>
        <w:t>Decision of the Representatives of the Governments of the Member States, meeting within the Council authorising the European Commission to open negotiations on and negotiate, on behalf of the Member States, the provisions that fall within the competence of the Member States of a modernised Global Agreement between the European Union and its Member States, of the one part, and Mexico, of the other part</w:t>
      </w:r>
      <w:bookmarkEnd w:id="10"/>
      <w:r w:rsidRPr="00A22020">
        <w:rPr>
          <w:noProof/>
          <w:lang w:val="en-US"/>
        </w:rPr>
        <w:t xml:space="preserve"> </w:t>
      </w:r>
    </w:p>
    <w:p w14:paraId="7C233FB7" w14:textId="32CE7185" w:rsidR="00643D86" w:rsidRDefault="00290F33" w:rsidP="00643D86">
      <w:pPr>
        <w:rPr>
          <w:lang w:val="en-US"/>
        </w:rPr>
      </w:pPr>
      <w:r>
        <w:rPr>
          <w:noProof/>
          <w:lang w:val="en-US"/>
        </w:rPr>
        <w:t>-Adoption</w:t>
      </w:r>
      <w:r>
        <w:rPr>
          <w:lang w:val="en-US"/>
        </w:rPr>
        <w:br/>
      </w:r>
      <w:r>
        <w:rPr>
          <w:noProof/>
          <w:lang w:val="en-US"/>
        </w:rPr>
        <w:t>7344</w:t>
      </w:r>
      <w:r>
        <w:rPr>
          <w:lang w:val="en-US"/>
        </w:rPr>
        <w:t>/16 COLAC 17 CFSP/PESC 247 WTO 72 RELEX 212</w:t>
      </w:r>
      <w:r w:rsidR="003B7CF1">
        <w:rPr>
          <w:lang w:val="en-US"/>
        </w:rPr>
        <w:t xml:space="preserve"> </w:t>
      </w:r>
      <w:r>
        <w:rPr>
          <w:lang w:val="en-US"/>
        </w:rPr>
        <w:t>7825/16 COLAC 24 CFSP/PESC 311 WTO 87 RELEX 267 + ADD 1 REV 1 EU RESTRICTED</w:t>
      </w:r>
      <w:r w:rsidR="003B7CF1">
        <w:rPr>
          <w:lang w:val="en-US"/>
        </w:rPr>
        <w:t xml:space="preserve"> </w:t>
      </w:r>
      <w:r>
        <w:rPr>
          <w:lang w:val="en-US"/>
        </w:rPr>
        <w:t>7826/16 COLAC 25 CFSP/PESC 312 WTO 88 RELEX 269</w:t>
      </w:r>
    </w:p>
    <w:p w14:paraId="7C233FB8" w14:textId="77777777" w:rsidR="00643D86" w:rsidRDefault="00290F33" w:rsidP="00643D86">
      <w:r>
        <w:rPr>
          <w:b/>
        </w:rPr>
        <w:t>Ansvarigt statsråd</w:t>
      </w:r>
      <w:r>
        <w:rPr>
          <w:b/>
        </w:rPr>
        <w:br/>
      </w:r>
      <w:r>
        <w:rPr>
          <w:noProof/>
        </w:rPr>
        <w:t>Mikael</w:t>
      </w:r>
      <w:r>
        <w:t xml:space="preserve"> Damberg</w:t>
      </w:r>
    </w:p>
    <w:p w14:paraId="7C233FB9" w14:textId="77777777" w:rsidR="00E0653A" w:rsidRDefault="00290F33"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C233FBA" w14:textId="77777777" w:rsidR="00E0653A" w:rsidRDefault="00290F33"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C233FBB"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C233FBC" w14:textId="77777777" w:rsidR="00E0653A" w:rsidRDefault="00290F3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C233FBD" w14:textId="77777777" w:rsidR="00E0653A" w:rsidRDefault="00290F33"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C233FBE"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C233FBF" w14:textId="77777777" w:rsidR="00E0653A" w:rsidRDefault="00290F3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C233FC0" w14:textId="77777777" w:rsidR="00E0653A" w:rsidRDefault="00290F33"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C233FC1"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632D61" w14:textId="475C63B0" w:rsidR="003B7CF1" w:rsidRDefault="00290F33" w:rsidP="003B7CF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beslut om mandat till kommissionen och den höga representanten att å EU:s vägnar förhandla om ett moderniserat globalt avtal mellan </w:t>
      </w:r>
      <w:r w:rsidR="002715B0">
        <w:t xml:space="preserve">EU </w:t>
      </w:r>
      <w:r>
        <w:t xml:space="preserve">och Mexiko. </w:t>
      </w:r>
    </w:p>
    <w:p w14:paraId="723B0745" w14:textId="77777777" w:rsidR="003B7CF1" w:rsidRDefault="00290F33" w:rsidP="003B7CF1">
      <w:r>
        <w:rPr>
          <w:b/>
          <w:bCs/>
        </w:rPr>
        <w:t>Hur regeringen ställer sig till den blivande A-punkten:</w:t>
      </w:r>
      <w:r>
        <w:t xml:space="preserve"> Regeringen avser rösta ja.</w:t>
      </w:r>
    </w:p>
    <w:p w14:paraId="7C233FC3" w14:textId="5D92D860" w:rsidR="00400CF7" w:rsidRDefault="00290F33" w:rsidP="003B7CF1">
      <w:r>
        <w:rPr>
          <w:b/>
          <w:bCs/>
        </w:rPr>
        <w:t>Bakgrund:</w:t>
      </w:r>
      <w:r>
        <w:t xml:space="preserve"> Det nuvarande globala avtalet mellan EU och Mexiko trädde i kraft år 2000 och innehåller politiskt samarbete, handelsrelationer och dialog. Frågan om att uppdatera det globala avtalet mellan EU och Mexiko uppkom vid EU/CELAC-toppmötet i Santiago i januari </w:t>
      </w:r>
      <w:r>
        <w:lastRenderedPageBreak/>
        <w:t xml:space="preserve">2013. En arbetsgrupp upprättades därefter som resulterade i en Joint Vision </w:t>
      </w:r>
      <w:proofErr w:type="spellStart"/>
      <w:r>
        <w:t>Report</w:t>
      </w:r>
      <w:proofErr w:type="spellEnd"/>
      <w:r>
        <w:t xml:space="preserve"> som presenterades inför toppmötet EU-Mexiko i juni 2015.</w:t>
      </w:r>
    </w:p>
    <w:p w14:paraId="7C233FC4" w14:textId="77777777" w:rsidR="00400CF7" w:rsidRDefault="00290F33">
      <w:pPr>
        <w:spacing w:after="280" w:afterAutospacing="1"/>
      </w:pPr>
      <w:r>
        <w:t xml:space="preserve">Under framtagandet av ett förhandlingsmandat har de mest komplicerade frågorna rört ursprungsregler, investeringsskydd och möjligheten för nya länder att ansluta sig till avtalet i framtiden. SE har drivit att EU bör vara öppna för kumulering med GSP-länderna. SE har också drivit vikten av reformagendan för investeringsskydd och tvistlösning genom ICS. Dessutom har SE gett stöd till en kompromiss som slår fast att nya anslutningar måste ske genom sedvanligt rådsbeslut. Slutligen har SE lämnat synpunkter på anti-korruptionsskrivningar, upphandlingar på delstatsnivå och minskat användande av antibiotika inom animalieproduktion. </w:t>
      </w:r>
    </w:p>
    <w:p w14:paraId="7C233FC7" w14:textId="79EE5669" w:rsidR="00FB32B9" w:rsidRDefault="00290F33">
      <w:pPr>
        <w:spacing w:after="280" w:afterAutospacing="1"/>
        <w:rPr>
          <w:noProof/>
        </w:rPr>
      </w:pPr>
      <w:r>
        <w:t xml:space="preserve">Diskussioner har också hållits om det uppdaterade frihandelsavtalets rättsliga grund, där en stor majoritet, inkl. SE, hävdad att det rör sig om ett blandat avtal. Vidare har frågan om publicering av förhandlingsmandatet berörts, där enighet nåddes om att mandatet kommer att offentliggöras när rådet fattar sitt beslut. </w:t>
      </w:r>
    </w:p>
    <w:p w14:paraId="7C233FD7" w14:textId="77777777" w:rsidR="00643D86" w:rsidRPr="00A22020" w:rsidRDefault="00290F33" w:rsidP="00643D86">
      <w:pPr>
        <w:pStyle w:val="Rubrik1"/>
        <w:rPr>
          <w:lang w:val="en-US"/>
        </w:rPr>
      </w:pPr>
      <w:bookmarkStart w:id="11" w:name="_Toc450723859"/>
      <w:r w:rsidRPr="00A22020">
        <w:rPr>
          <w:noProof/>
          <w:lang w:val="en-US"/>
        </w:rPr>
        <w:t>Council Decision concerning the accession of Croatia to the Convention, drawn up on the basis of Article K.3 of the Treaty on European Union, on the protection of the European Communities' financial interests and to the Protocol of 27 September 1996, the Protocol of 29 November 1996 and the Second Protocol of 19 June 1997 thereto</w:t>
      </w:r>
      <w:bookmarkEnd w:id="11"/>
    </w:p>
    <w:p w14:paraId="7C233FD8" w14:textId="52F95FE6" w:rsidR="00643D86" w:rsidRPr="00A22020" w:rsidRDefault="00290F33" w:rsidP="00643D86">
      <w:pPr>
        <w:rPr>
          <w:lang w:val="fr-FR"/>
        </w:rPr>
      </w:pPr>
      <w:r w:rsidRPr="00A22020">
        <w:rPr>
          <w:noProof/>
          <w:lang w:val="fr-FR"/>
        </w:rPr>
        <w:t>-Adoption</w:t>
      </w:r>
      <w:r w:rsidRPr="00A22020">
        <w:rPr>
          <w:lang w:val="fr-FR"/>
        </w:rPr>
        <w:br/>
      </w:r>
      <w:r w:rsidRPr="00A22020">
        <w:rPr>
          <w:noProof/>
          <w:lang w:val="fr-FR"/>
        </w:rPr>
        <w:t>8513</w:t>
      </w:r>
      <w:r w:rsidRPr="00A22020">
        <w:rPr>
          <w:lang w:val="fr-FR"/>
        </w:rPr>
        <w:t>/16 JAI 338 CATS 26 DROIPEN 76 COPEN 129 ELARG 58</w:t>
      </w:r>
      <w:r w:rsidR="003B7CF1" w:rsidRPr="00A22020">
        <w:rPr>
          <w:lang w:val="fr-FR"/>
        </w:rPr>
        <w:t xml:space="preserve"> </w:t>
      </w:r>
      <w:r w:rsidRPr="00A22020">
        <w:rPr>
          <w:lang w:val="fr-FR"/>
        </w:rPr>
        <w:t>7771/16 JAI 269 CATS 20 DROIPEN 67 COPEN 103 ELARG 41</w:t>
      </w:r>
    </w:p>
    <w:p w14:paraId="7C233FD9" w14:textId="77777777" w:rsidR="00643D86" w:rsidRDefault="00290F33" w:rsidP="00643D86">
      <w:r>
        <w:rPr>
          <w:b/>
        </w:rPr>
        <w:t>Ansvarigt statsråd</w:t>
      </w:r>
      <w:r>
        <w:rPr>
          <w:b/>
        </w:rPr>
        <w:br/>
      </w:r>
      <w:r>
        <w:rPr>
          <w:noProof/>
        </w:rPr>
        <w:t>Morgan</w:t>
      </w:r>
      <w:r>
        <w:t xml:space="preserve"> Johansson </w:t>
      </w:r>
    </w:p>
    <w:p w14:paraId="7C233FDA" w14:textId="77777777" w:rsidR="00E0653A" w:rsidRDefault="00290F33"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C233FDB" w14:textId="77777777" w:rsidR="00E0653A" w:rsidRDefault="00290F33"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C233FDC"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C233FDD" w14:textId="77777777" w:rsidR="00E0653A" w:rsidRDefault="00290F3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C233FDE" w14:textId="77777777" w:rsidR="00E0653A" w:rsidRDefault="00290F33"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C233FDF"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C233FE0" w14:textId="77777777" w:rsidR="00E0653A" w:rsidRDefault="00290F3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C233FE1" w14:textId="77777777" w:rsidR="00E0653A" w:rsidRDefault="00290F33"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C233FE2"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C233FE4" w14:textId="14CBB341" w:rsidR="00400CF7" w:rsidRDefault="00290F33" w:rsidP="003B7CF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beslutet om Kroatiens anslutning till konventionen samt dess tre tilläggsprotokoll. </w:t>
      </w:r>
    </w:p>
    <w:p w14:paraId="7C233FE5" w14:textId="77777777" w:rsidR="00400CF7" w:rsidRDefault="00290F33">
      <w:pPr>
        <w:spacing w:after="280" w:afterAutospacing="1"/>
      </w:pPr>
      <w:r>
        <w:rPr>
          <w:b/>
          <w:bCs/>
        </w:rPr>
        <w:t xml:space="preserve">Hur regeringen ställer sig till den blivande a-punkten: </w:t>
      </w:r>
      <w:r>
        <w:t>Regeringen avser rösta ja till ett godkännande av beslutet.</w:t>
      </w:r>
    </w:p>
    <w:p w14:paraId="7C233FE6" w14:textId="77777777" w:rsidR="00400CF7" w:rsidRDefault="00290F33">
      <w:pPr>
        <w:spacing w:after="280" w:afterAutospacing="1"/>
      </w:pPr>
      <w:r>
        <w:rPr>
          <w:b/>
          <w:bCs/>
        </w:rPr>
        <w:t xml:space="preserve">Bakgrund: </w:t>
      </w:r>
      <w:r>
        <w:t xml:space="preserve">Inom EU antogs 1995 en konvention om skydd av EU:s finansiella intressen (bedrägerikonventionen).  Konventionen kompletterades 1996 med dels ett första tilläggsprotokoll om korruption (första tilläggsprotokollet) dels ett protokoll om förhandsavgörande av EG-domstolen om tolkningen av bedrägerikonventionen och det första tilläggsprotokollet (domstolsprotokollet). Ett andra tilläggsprotokoll om penningtvätt antogs 1997 (andra tilläggsprotokollet). </w:t>
      </w:r>
    </w:p>
    <w:p w14:paraId="7C233FE7" w14:textId="77777777" w:rsidR="00400CF7" w:rsidRDefault="00290F33">
      <w:pPr>
        <w:spacing w:after="280" w:afterAutospacing="1"/>
      </w:pPr>
      <w:r>
        <w:t>Sedan den 1 juli 2013 är Kroatien medlem i EU. I anslutningsakten för Kroatien från 2012 fastställdes att Kroatien skulle ansluta sig till de konventioner och protokoll som var förtecknade i bilaga till anlutningsakten. Dessa innefattade bland annat bedrägerikonventionen och de tre nämnda protokollen.</w:t>
      </w:r>
    </w:p>
    <w:p w14:paraId="7C233FE9" w14:textId="534C223B" w:rsidR="00FB32B9" w:rsidRDefault="00290F33">
      <w:pPr>
        <w:spacing w:after="280" w:afterAutospacing="1"/>
        <w:rPr>
          <w:noProof/>
        </w:rPr>
      </w:pPr>
      <w:r>
        <w:lastRenderedPageBreak/>
        <w:t>Bedrägerikonventionen och dessa protokoll ska träda i kraft gentemot Kroatien den dag som rådet fastställer. Rådets beslut antas med beaktande av fördraget om Europeiska Unionen, med beaktande av anslutningsakten för Kroatien, med beaktande av Europeiska kommissionens rekommendation och med beaktande av Europaparlamentets yttrande.</w:t>
      </w:r>
    </w:p>
    <w:p w14:paraId="7C233FEA" w14:textId="77777777" w:rsidR="00643D86" w:rsidRPr="00A22020" w:rsidRDefault="00290F33" w:rsidP="00643D86">
      <w:pPr>
        <w:pStyle w:val="Rubrik1"/>
        <w:rPr>
          <w:lang w:val="en-US"/>
        </w:rPr>
      </w:pPr>
      <w:bookmarkStart w:id="12" w:name="_Toc450723860"/>
      <w:r w:rsidRPr="00A22020">
        <w:rPr>
          <w:noProof/>
          <w:lang w:val="en-US"/>
        </w:rPr>
        <w:t>Proposal for a Council Implementing Decision setting out a recommendation for temporary internal border control in exceptional circumstances putting the overall functioning of the Schengen area at risk</w:t>
      </w:r>
      <w:bookmarkEnd w:id="12"/>
    </w:p>
    <w:p w14:paraId="7C233FEB" w14:textId="77777777" w:rsidR="00643D86" w:rsidRDefault="00290F33" w:rsidP="00643D86">
      <w:pPr>
        <w:rPr>
          <w:lang w:val="en-US"/>
        </w:rPr>
      </w:pPr>
      <w:r>
        <w:rPr>
          <w:noProof/>
          <w:lang w:val="en-US"/>
        </w:rPr>
        <w:t>-Approval</w:t>
      </w:r>
      <w:r>
        <w:rPr>
          <w:lang w:val="en-US"/>
        </w:rPr>
        <w:t xml:space="preserve"> of the draft text of the recommendation</w:t>
      </w:r>
      <w:r>
        <w:rPr>
          <w:lang w:val="en-US"/>
        </w:rPr>
        <w:br/>
      </w:r>
      <w:r>
        <w:rPr>
          <w:noProof/>
          <w:lang w:val="en-US"/>
        </w:rPr>
        <w:t>8295</w:t>
      </w:r>
      <w:r>
        <w:rPr>
          <w:lang w:val="en-US"/>
        </w:rPr>
        <w:t>/16 SCH-EVAL 74 FRONT 184 COMIX 313</w:t>
      </w:r>
    </w:p>
    <w:p w14:paraId="7C233FEC" w14:textId="709CE3D3" w:rsidR="00643D86" w:rsidRDefault="00290F33" w:rsidP="00643D86">
      <w:r>
        <w:rPr>
          <w:b/>
        </w:rPr>
        <w:t>Ansvarigt statsråd</w:t>
      </w:r>
      <w:r>
        <w:rPr>
          <w:b/>
        </w:rPr>
        <w:br/>
      </w:r>
      <w:r w:rsidR="003B7CF1">
        <w:t xml:space="preserve">Anders </w:t>
      </w:r>
      <w:proofErr w:type="spellStart"/>
      <w:r w:rsidR="003B7CF1">
        <w:t>Ygeman</w:t>
      </w:r>
      <w:proofErr w:type="spellEnd"/>
    </w:p>
    <w:p w14:paraId="7C233FED" w14:textId="77777777" w:rsidR="00E0653A" w:rsidRDefault="00290F33"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C233FEE" w14:textId="77777777" w:rsidR="00E0653A" w:rsidRDefault="00290F33"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C233FEF"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C233FF0" w14:textId="77777777" w:rsidR="00E0653A" w:rsidRDefault="00290F3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C233FF1" w14:textId="77777777" w:rsidR="00E0653A" w:rsidRDefault="00290F33"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C233FF2"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C233FF3" w14:textId="77777777" w:rsidR="00E0653A" w:rsidRDefault="00290F3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C233FF4" w14:textId="77777777" w:rsidR="00E0653A" w:rsidRDefault="00290F33"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C233FF5" w14:textId="77777777" w:rsidR="00E0653A" w:rsidRDefault="00290F33"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C233FF7" w14:textId="58CDF7E9" w:rsidR="00400CF7" w:rsidRDefault="00290F33" w:rsidP="003B7CF1">
      <w:r>
        <w:instrText>"</w:instrText>
      </w:r>
      <w:r>
        <w:rPr>
          <w:b/>
        </w:rPr>
        <w:instrText xml:space="preserve"> </w:instrText>
      </w:r>
      <w:r>
        <w:rPr>
          <w:b/>
        </w:rPr>
        <w:fldChar w:fldCharType="end"/>
      </w:r>
      <w:r w:rsidRPr="00B44CE2">
        <w:rPr>
          <w:b/>
        </w:rPr>
        <w:t>Annotering</w:t>
      </w:r>
      <w:r>
        <w:rPr>
          <w:b/>
        </w:rPr>
        <w:br/>
      </w:r>
      <w:r>
        <w:rPr>
          <w:b/>
          <w:bCs/>
        </w:rPr>
        <w:t>Avsikt med behandlingen i rådet</w:t>
      </w:r>
      <w:r>
        <w:t>: Antagande av rekommendationer till medlemsstaterna om att återinföra tillfälliga inre gränskontroller vid vissa inre gränser</w:t>
      </w:r>
    </w:p>
    <w:p w14:paraId="7C233FF8" w14:textId="77777777" w:rsidR="00400CF7" w:rsidRDefault="00290F33">
      <w:pPr>
        <w:spacing w:after="280" w:afterAutospacing="1"/>
      </w:pPr>
      <w:r>
        <w:rPr>
          <w:b/>
          <w:bCs/>
        </w:rPr>
        <w:t>Hur regeringen ställer sig till den blivande A-punkten:</w:t>
      </w:r>
      <w:r>
        <w:t xml:space="preserve"> Regeringen avser att rösta ja till rekommendationerna.</w:t>
      </w:r>
    </w:p>
    <w:p w14:paraId="7C233FF9" w14:textId="77777777" w:rsidR="00400CF7" w:rsidRDefault="00290F33">
      <w:pPr>
        <w:spacing w:after="280" w:afterAutospacing="1"/>
      </w:pPr>
      <w:r>
        <w:rPr>
          <w:b/>
          <w:bCs/>
        </w:rPr>
        <w:t xml:space="preserve">Bakgrund: </w:t>
      </w:r>
      <w:r>
        <w:t xml:space="preserve">Under de senaste månaderna har allvarliga brister i kontrollen av EU:s yttre gräns uppenbarats och flera medlemsstater har som en reaktion återinfört tillfälliga inre gränskontroller. För att normalisera situationen inom Schengenområdet föreslog kommissionen ett antal åtgärder i sitt meddelande från den 4 mars, ”Att återvända till Schengen – en färdplan” (KOM (2016) 120 slutlig). En av åtgärderna var att nationellt återinförda inre gränskontroller behöver ersättas av en gemensam ansats med inre gränskontroller i enlighet med artikel 29 (tidigare artikel 26) i EU:s gränskodex (förordning 2016/399). Denna gör det möjligt att baserat på ett EU-beslut återinföra tillfälliga gränskontroller vid alla eller vissa avsnitt av de inre gränserna om en Schengenmedlemsstats bristande gränskontroll hotar Schengens funktionssätt. </w:t>
      </w:r>
    </w:p>
    <w:p w14:paraId="7C233FFA" w14:textId="77777777" w:rsidR="00400CF7" w:rsidRDefault="00290F33">
      <w:pPr>
        <w:spacing w:after="280" w:afterAutospacing="1"/>
      </w:pPr>
      <w:r>
        <w:t xml:space="preserve">Förfarandet enligt artikel 29 i gränskodexen måste föregås av en Schengenutvärdering som konstaterar att den bristande gränskontrollen i en medlemsstat är ett hot för Schengens funktionssätt. I höstas gjordes en Schengenutvärdering av Grekland, varvid konstaterades att landet har långtgående brister i landets gränsbevakning, bland annat finns inte tillräckliga personella och tekniska resurser. </w:t>
      </w:r>
    </w:p>
    <w:p w14:paraId="7C233FFB" w14:textId="77777777" w:rsidR="00400CF7" w:rsidRDefault="00290F33">
      <w:pPr>
        <w:spacing w:after="280" w:afterAutospacing="1"/>
      </w:pPr>
      <w:r>
        <w:t>Den 4 maj presenterade kommissionen ett förslag till rådet i enlighet med denna artikel om rekommendationer till medlemsstaterna att återinföra tillfälliga inre gränskontroller i:</w:t>
      </w:r>
      <w:r>
        <w:br/>
        <w:t xml:space="preserve">• Österrike vid den österrikisk-ungerska och österrikisk-slovenska landgränsen </w:t>
      </w:r>
      <w:r>
        <w:br/>
        <w:t>• Tyskland vid den tysk-österrikiska landgränsen</w:t>
      </w:r>
      <w:r>
        <w:br/>
        <w:t>• Danmark i hamnarna med färjeförbindelse till Tyskland och vid den dansk-tyska landgränsen</w:t>
      </w:r>
      <w:r>
        <w:br/>
        <w:t>• Sverige i hamnarna i polisregionerna syd och väst och vid Öresundsbron</w:t>
      </w:r>
      <w:r>
        <w:br/>
        <w:t xml:space="preserve">• Norge i hamnarna med färjeförbindelse med Danmark, Tyskland och Sverige </w:t>
      </w:r>
    </w:p>
    <w:p w14:paraId="7C233FFC" w14:textId="77777777" w:rsidR="00400CF7" w:rsidRDefault="00290F33">
      <w:pPr>
        <w:spacing w:after="280" w:afterAutospacing="1"/>
      </w:pPr>
      <w:r>
        <w:lastRenderedPageBreak/>
        <w:t xml:space="preserve">Rekommendationerna skulle gälla för sex månader. Enligt Schengenregelverket kan de förlängas tre gånger (till maximalt två år) och medlemsstaterna kan själva bestämma om de vill handla i enlighet med rekommendationerna eller inte. </w:t>
      </w:r>
    </w:p>
    <w:p w14:paraId="7C233FFF" w14:textId="1EBF9FA1" w:rsidR="00643D86" w:rsidRPr="00377012" w:rsidRDefault="00290F33" w:rsidP="003B7CF1">
      <w:pPr>
        <w:spacing w:after="280" w:afterAutospacing="1"/>
      </w:pPr>
      <w:r>
        <w:t>Den 12 maj förväntas rådet för utrikes frågor (FAC) anta rekommendationer till medlemsstaterna baserade på kommissionens förslag (som en A-punkt). Ståndpunkt avseende tillämpning av artikel 29 i EU:s gränskodex (förordning 2016/399) förankrades i justitieutskottet under en överläggning den 11 februari 2016.</w:t>
      </w:r>
      <w:bookmarkEnd w:id="1"/>
    </w:p>
    <w:sectPr w:rsidR="00643D86" w:rsidRPr="00377012" w:rsidSect="002C27B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1A60C" w14:textId="77777777" w:rsidR="0016586A" w:rsidRDefault="0016586A">
      <w:pPr>
        <w:spacing w:after="0" w:line="240" w:lineRule="auto"/>
      </w:pPr>
      <w:r>
        <w:separator/>
      </w:r>
    </w:p>
  </w:endnote>
  <w:endnote w:type="continuationSeparator" w:id="0">
    <w:p w14:paraId="256AE341" w14:textId="77777777" w:rsidR="0016586A" w:rsidRDefault="00165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7C234004" w14:textId="77777777" w:rsidR="00283DF3" w:rsidRDefault="0016586A">
        <w:pPr>
          <w:pStyle w:val="Sidfot"/>
          <w:jc w:val="right"/>
        </w:pPr>
      </w:p>
    </w:sdtContent>
  </w:sdt>
  <w:p w14:paraId="7C234005" w14:textId="77777777" w:rsidR="00283DF3" w:rsidRDefault="0016586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34013" w14:textId="77777777" w:rsidR="00283DF3" w:rsidRDefault="0016586A">
    <w:pPr>
      <w:pStyle w:val="Sidfot"/>
      <w:jc w:val="right"/>
    </w:pPr>
  </w:p>
  <w:p w14:paraId="7C234014" w14:textId="77777777" w:rsidR="00283DF3" w:rsidRDefault="0016586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61FC6" w14:textId="77777777" w:rsidR="0016586A" w:rsidRDefault="0016586A">
      <w:pPr>
        <w:spacing w:after="0" w:line="240" w:lineRule="auto"/>
      </w:pPr>
      <w:r>
        <w:separator/>
      </w:r>
    </w:p>
  </w:footnote>
  <w:footnote w:type="continuationSeparator" w:id="0">
    <w:p w14:paraId="045B6E0F" w14:textId="77777777" w:rsidR="0016586A" w:rsidRDefault="001658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7C234001" w14:textId="77777777" w:rsidR="002F3A5A" w:rsidRDefault="00290F33" w:rsidP="002F3A5A">
        <w:pPr>
          <w:pStyle w:val="Sidhuvud"/>
          <w:jc w:val="right"/>
        </w:pPr>
        <w:r>
          <w:fldChar w:fldCharType="begin"/>
        </w:r>
        <w:r>
          <w:instrText xml:space="preserve"> PAGE   \* MERGEFORMAT </w:instrText>
        </w:r>
        <w:r>
          <w:fldChar w:fldCharType="separate"/>
        </w:r>
        <w:r w:rsidR="00207D2B">
          <w:rPr>
            <w:noProof/>
          </w:rPr>
          <w:t>10</w:t>
        </w:r>
        <w:r>
          <w:rPr>
            <w:noProof/>
          </w:rPr>
          <w:fldChar w:fldCharType="end"/>
        </w:r>
      </w:p>
    </w:sdtContent>
  </w:sdt>
  <w:p w14:paraId="7C234002" w14:textId="77777777" w:rsidR="006F1C0D" w:rsidRDefault="0016586A"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400CF7" w14:paraId="7C23400D" w14:textId="77777777" w:rsidTr="006E71D7">
      <w:tc>
        <w:tcPr>
          <w:tcW w:w="4606" w:type="dxa"/>
        </w:tcPr>
        <w:p w14:paraId="7C234006" w14:textId="77777777" w:rsidR="006E71D7" w:rsidRDefault="00290F33" w:rsidP="00752770">
          <w:pPr>
            <w:pStyle w:val="Sidhuvud"/>
            <w:ind w:left="0"/>
          </w:pPr>
          <w:r>
            <w:rPr>
              <w:noProof/>
              <w:lang w:eastAsia="sv-SE"/>
            </w:rPr>
            <w:drawing>
              <wp:inline distT="0" distB="0" distL="0" distR="0" wp14:anchorId="7C234015" wp14:editId="7C234016">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C234007" w14:textId="77777777" w:rsidR="00FB32B9" w:rsidRDefault="0016586A"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400CF7" w14:paraId="7C23400A" w14:textId="77777777" w:rsidTr="00623763">
            <w:tc>
              <w:tcPr>
                <w:tcW w:w="1833" w:type="dxa"/>
              </w:tcPr>
              <w:p w14:paraId="7C234008" w14:textId="77777777" w:rsidR="00623763" w:rsidRPr="00623763" w:rsidRDefault="00290F33" w:rsidP="00623763">
                <w:pPr>
                  <w:ind w:left="0"/>
                </w:pPr>
                <w:r w:rsidRPr="00623763">
                  <w:rPr>
                    <w:rFonts w:ascii="TradeGothic" w:hAnsi="TradeGothic"/>
                    <w:b/>
                  </w:rPr>
                  <w:t>Promemoria</w:t>
                </w:r>
              </w:p>
            </w:tc>
            <w:tc>
              <w:tcPr>
                <w:tcW w:w="1833" w:type="dxa"/>
              </w:tcPr>
              <w:p w14:paraId="7C234009" w14:textId="77777777" w:rsidR="00623763" w:rsidRPr="00623763" w:rsidRDefault="00290F33"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19</w:t>
                </w:r>
                <w:r w:rsidRPr="00623763">
                  <w:rPr>
                    <w:rFonts w:ascii="TradeGothic" w:hAnsi="TradeGothic"/>
                    <w:b/>
                  </w:rPr>
                  <w:t>]</w:t>
                </w:r>
              </w:p>
            </w:tc>
          </w:tr>
        </w:tbl>
        <w:p w14:paraId="7C23400B" w14:textId="77777777" w:rsidR="00FB32B9" w:rsidRDefault="0016586A" w:rsidP="00FB32B9">
          <w:pPr>
            <w:jc w:val="right"/>
          </w:pPr>
        </w:p>
        <w:p w14:paraId="7C23400C" w14:textId="244F329D" w:rsidR="006E71D7" w:rsidRDefault="00290F33" w:rsidP="003B7CF1">
          <w:pPr>
            <w:ind w:right="916"/>
          </w:pPr>
          <w:r>
            <w:rPr>
              <w:rFonts w:ascii="TradeGothic" w:hAnsi="TradeGothic"/>
              <w:b/>
              <w:noProof/>
            </w:rPr>
            <w:t>2016-05-1</w:t>
          </w:r>
          <w:r w:rsidR="003B7CF1">
            <w:rPr>
              <w:rFonts w:ascii="TradeGothic" w:hAnsi="TradeGothic"/>
              <w:b/>
              <w:noProof/>
            </w:rPr>
            <w:t>1</w:t>
          </w:r>
          <w:r w:rsidRPr="00934953">
            <w:t xml:space="preserve"> </w:t>
          </w:r>
        </w:p>
      </w:tc>
    </w:tr>
  </w:tbl>
  <w:p w14:paraId="7C23400E" w14:textId="77777777" w:rsidR="00FB32B9" w:rsidRDefault="0016586A" w:rsidP="00FB32B9">
    <w:pPr>
      <w:pStyle w:val="Avsndare"/>
      <w:framePr w:w="0" w:hRule="auto" w:hSpace="0" w:wrap="auto" w:vAnchor="margin" w:hAnchor="text" w:xAlign="left" w:yAlign="inline"/>
      <w:rPr>
        <w:b/>
        <w:i w:val="0"/>
        <w:sz w:val="22"/>
      </w:rPr>
    </w:pPr>
  </w:p>
  <w:p w14:paraId="7C23400F" w14:textId="77777777" w:rsidR="00FB32B9" w:rsidRDefault="00290F33" w:rsidP="00FB32B9">
    <w:pPr>
      <w:pStyle w:val="Avsndare"/>
      <w:framePr w:w="0" w:hRule="auto" w:hSpace="0" w:wrap="auto" w:vAnchor="margin" w:hAnchor="text" w:xAlign="left" w:yAlign="inline"/>
      <w:rPr>
        <w:b/>
        <w:i w:val="0"/>
        <w:sz w:val="22"/>
      </w:rPr>
    </w:pPr>
    <w:r>
      <w:rPr>
        <w:b/>
        <w:i w:val="0"/>
        <w:sz w:val="22"/>
      </w:rPr>
      <w:t>Statsrådsberedningen</w:t>
    </w:r>
  </w:p>
  <w:p w14:paraId="7C234010" w14:textId="77777777" w:rsidR="00FB32B9" w:rsidRDefault="0016586A" w:rsidP="00FB32B9">
    <w:pPr>
      <w:pStyle w:val="Avsndare"/>
      <w:framePr w:w="0" w:hRule="auto" w:hSpace="0" w:wrap="auto" w:vAnchor="margin" w:hAnchor="text" w:xAlign="left" w:yAlign="inline"/>
    </w:pPr>
  </w:p>
  <w:p w14:paraId="7C234011" w14:textId="77777777" w:rsidR="00FB32B9" w:rsidRDefault="00290F33" w:rsidP="00FB32B9">
    <w:pPr>
      <w:pStyle w:val="Avsndare"/>
      <w:framePr w:w="0" w:hRule="auto" w:hSpace="0" w:wrap="auto" w:vAnchor="margin" w:hAnchor="text" w:xAlign="left" w:yAlign="inline"/>
    </w:pPr>
    <w:r>
      <w:t>EU-kansliet</w:t>
    </w:r>
  </w:p>
  <w:p w14:paraId="7C234012" w14:textId="77777777" w:rsidR="0012376B" w:rsidRDefault="0016586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F4D40014">
      <w:start w:val="1"/>
      <w:numFmt w:val="decimal"/>
      <w:pStyle w:val="Rubrik1"/>
      <w:lvlText w:val="%1."/>
      <w:lvlJc w:val="left"/>
      <w:pPr>
        <w:ind w:left="720" w:hanging="360"/>
      </w:pPr>
    </w:lvl>
    <w:lvl w:ilvl="1" w:tplc="4F060F2C" w:tentative="1">
      <w:start w:val="1"/>
      <w:numFmt w:val="lowerLetter"/>
      <w:lvlText w:val="%2."/>
      <w:lvlJc w:val="left"/>
      <w:pPr>
        <w:ind w:left="1440" w:hanging="360"/>
      </w:pPr>
    </w:lvl>
    <w:lvl w:ilvl="2" w:tplc="54CC91DE" w:tentative="1">
      <w:start w:val="1"/>
      <w:numFmt w:val="lowerRoman"/>
      <w:lvlText w:val="%3."/>
      <w:lvlJc w:val="right"/>
      <w:pPr>
        <w:ind w:left="2160" w:hanging="180"/>
      </w:pPr>
    </w:lvl>
    <w:lvl w:ilvl="3" w:tplc="5686AC2C" w:tentative="1">
      <w:start w:val="1"/>
      <w:numFmt w:val="decimal"/>
      <w:lvlText w:val="%4."/>
      <w:lvlJc w:val="left"/>
      <w:pPr>
        <w:ind w:left="2880" w:hanging="360"/>
      </w:pPr>
    </w:lvl>
    <w:lvl w:ilvl="4" w:tplc="AC7CA83A" w:tentative="1">
      <w:start w:val="1"/>
      <w:numFmt w:val="lowerLetter"/>
      <w:lvlText w:val="%5."/>
      <w:lvlJc w:val="left"/>
      <w:pPr>
        <w:ind w:left="3600" w:hanging="360"/>
      </w:pPr>
    </w:lvl>
    <w:lvl w:ilvl="5" w:tplc="50728826" w:tentative="1">
      <w:start w:val="1"/>
      <w:numFmt w:val="lowerRoman"/>
      <w:lvlText w:val="%6."/>
      <w:lvlJc w:val="right"/>
      <w:pPr>
        <w:ind w:left="4320" w:hanging="180"/>
      </w:pPr>
    </w:lvl>
    <w:lvl w:ilvl="6" w:tplc="88C2F19A" w:tentative="1">
      <w:start w:val="1"/>
      <w:numFmt w:val="decimal"/>
      <w:lvlText w:val="%7."/>
      <w:lvlJc w:val="left"/>
      <w:pPr>
        <w:ind w:left="5040" w:hanging="360"/>
      </w:pPr>
    </w:lvl>
    <w:lvl w:ilvl="7" w:tplc="3D3EE19C" w:tentative="1">
      <w:start w:val="1"/>
      <w:numFmt w:val="lowerLetter"/>
      <w:lvlText w:val="%8."/>
      <w:lvlJc w:val="left"/>
      <w:pPr>
        <w:ind w:left="5760" w:hanging="360"/>
      </w:pPr>
    </w:lvl>
    <w:lvl w:ilvl="8" w:tplc="CF34757C" w:tentative="1">
      <w:start w:val="1"/>
      <w:numFmt w:val="lowerRoman"/>
      <w:lvlText w:val="%9."/>
      <w:lvlJc w:val="right"/>
      <w:pPr>
        <w:ind w:left="6480" w:hanging="180"/>
      </w:pPr>
    </w:lvl>
  </w:abstractNum>
  <w:abstractNum w:abstractNumId="1">
    <w:nsid w:val="73990993"/>
    <w:multiLevelType w:val="hybridMultilevel"/>
    <w:tmpl w:val="3BD822EE"/>
    <w:lvl w:ilvl="0" w:tplc="3EA6FA8C">
      <w:start w:val="1"/>
      <w:numFmt w:val="decimal"/>
      <w:lvlText w:val="%1."/>
      <w:lvlJc w:val="left"/>
      <w:pPr>
        <w:ind w:left="360" w:hanging="360"/>
      </w:pPr>
      <w:rPr>
        <w:b w:val="0"/>
      </w:rPr>
    </w:lvl>
    <w:lvl w:ilvl="1" w:tplc="7DE431CA" w:tentative="1">
      <w:start w:val="1"/>
      <w:numFmt w:val="lowerLetter"/>
      <w:lvlText w:val="%2."/>
      <w:lvlJc w:val="left"/>
      <w:pPr>
        <w:ind w:left="1080" w:hanging="360"/>
      </w:pPr>
    </w:lvl>
    <w:lvl w:ilvl="2" w:tplc="9E080CE4" w:tentative="1">
      <w:start w:val="1"/>
      <w:numFmt w:val="lowerRoman"/>
      <w:lvlText w:val="%3."/>
      <w:lvlJc w:val="right"/>
      <w:pPr>
        <w:ind w:left="1800" w:hanging="180"/>
      </w:pPr>
    </w:lvl>
    <w:lvl w:ilvl="3" w:tplc="F266B9CA" w:tentative="1">
      <w:start w:val="1"/>
      <w:numFmt w:val="decimal"/>
      <w:lvlText w:val="%4."/>
      <w:lvlJc w:val="left"/>
      <w:pPr>
        <w:ind w:left="2520" w:hanging="360"/>
      </w:pPr>
    </w:lvl>
    <w:lvl w:ilvl="4" w:tplc="FA461B8C" w:tentative="1">
      <w:start w:val="1"/>
      <w:numFmt w:val="lowerLetter"/>
      <w:lvlText w:val="%5."/>
      <w:lvlJc w:val="left"/>
      <w:pPr>
        <w:ind w:left="3240" w:hanging="360"/>
      </w:pPr>
    </w:lvl>
    <w:lvl w:ilvl="5" w:tplc="369C7D60" w:tentative="1">
      <w:start w:val="1"/>
      <w:numFmt w:val="lowerRoman"/>
      <w:lvlText w:val="%6."/>
      <w:lvlJc w:val="right"/>
      <w:pPr>
        <w:ind w:left="3960" w:hanging="180"/>
      </w:pPr>
    </w:lvl>
    <w:lvl w:ilvl="6" w:tplc="466E81C0" w:tentative="1">
      <w:start w:val="1"/>
      <w:numFmt w:val="decimal"/>
      <w:lvlText w:val="%7."/>
      <w:lvlJc w:val="left"/>
      <w:pPr>
        <w:ind w:left="4680" w:hanging="360"/>
      </w:pPr>
    </w:lvl>
    <w:lvl w:ilvl="7" w:tplc="38509DF4" w:tentative="1">
      <w:start w:val="1"/>
      <w:numFmt w:val="lowerLetter"/>
      <w:lvlText w:val="%8."/>
      <w:lvlJc w:val="left"/>
      <w:pPr>
        <w:ind w:left="5400" w:hanging="360"/>
      </w:pPr>
    </w:lvl>
    <w:lvl w:ilvl="8" w:tplc="1CB8072A"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CF7"/>
    <w:rsid w:val="0016586A"/>
    <w:rsid w:val="001E384F"/>
    <w:rsid w:val="00207D2B"/>
    <w:rsid w:val="002715B0"/>
    <w:rsid w:val="00290F33"/>
    <w:rsid w:val="003B7CF1"/>
    <w:rsid w:val="00400CF7"/>
    <w:rsid w:val="00A22020"/>
    <w:rsid w:val="00AB3B1D"/>
    <w:rsid w:val="00DF6CD5"/>
    <w:rsid w:val="00E263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3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JE6N4JFJXNNF-17-41868</_dlc_DocId>
    <_dlc_DocIdUrl xmlns="8b66ae41-1ec6-402e-b662-35d1932ca064">
      <Url>http://rkdhs-sb/enhet/EUKansli/_layouts/DocIdRedir.aspx?ID=JE6N4JFJXNNF-17-41868</Url>
      <Description>JE6N4JFJXNNF-17-41868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9BAA9-1A5A-4B12-8D26-7688DC7B6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516D9-13B8-48CA-98DF-93F0516119A7}">
  <ds:schemaRefs>
    <ds:schemaRef ds:uri="http://schemas.microsoft.com/office/2006/metadata/properties"/>
    <ds:schemaRef ds:uri="http://schemas.microsoft.com/office/infopath/2007/PartnerControls"/>
    <ds:schemaRef ds:uri="8b66ae41-1ec6-402e-b662-35d1932ca064"/>
  </ds:schemaRefs>
</ds:datastoreItem>
</file>

<file path=customXml/itemProps3.xml><?xml version="1.0" encoding="utf-8"?>
<ds:datastoreItem xmlns:ds="http://schemas.openxmlformats.org/officeDocument/2006/customXml" ds:itemID="{F9BA79D3-0208-46C9-B4F4-292FB50F1046}">
  <ds:schemaRefs>
    <ds:schemaRef ds:uri="http://schemas.microsoft.com/sharepoint/v3/contenttype/forms"/>
  </ds:schemaRefs>
</ds:datastoreItem>
</file>

<file path=customXml/itemProps4.xml><?xml version="1.0" encoding="utf-8"?>
<ds:datastoreItem xmlns:ds="http://schemas.openxmlformats.org/officeDocument/2006/customXml" ds:itemID="{41E19B96-AFA4-4249-A5AC-0107D4AE1129}">
  <ds:schemaRefs>
    <ds:schemaRef ds:uri="http://schemas.microsoft.com/sharepoint/v3/contenttype/forms/url"/>
  </ds:schemaRefs>
</ds:datastoreItem>
</file>

<file path=customXml/itemProps5.xml><?xml version="1.0" encoding="utf-8"?>
<ds:datastoreItem xmlns:ds="http://schemas.openxmlformats.org/officeDocument/2006/customXml" ds:itemID="{8ACE359E-55C1-4FA3-8929-6EBB7D69F186}">
  <ds:schemaRefs>
    <ds:schemaRef ds:uri="http://schemas.microsoft.com/office/2006/metadata/customXsn"/>
  </ds:schemaRefs>
</ds:datastoreItem>
</file>

<file path=customXml/itemProps6.xml><?xml version="1.0" encoding="utf-8"?>
<ds:datastoreItem xmlns:ds="http://schemas.openxmlformats.org/officeDocument/2006/customXml" ds:itemID="{60AC61CA-AF12-4D99-91D9-023888BE18AC}">
  <ds:schemaRefs>
    <ds:schemaRef ds:uri="http://schemas.microsoft.com/sharepoint/events"/>
  </ds:schemaRefs>
</ds:datastoreItem>
</file>

<file path=customXml/itemProps7.xml><?xml version="1.0" encoding="utf-8"?>
<ds:datastoreItem xmlns:ds="http://schemas.openxmlformats.org/officeDocument/2006/customXml" ds:itemID="{4381B6A3-F6F3-44F1-80BA-3F4E5A1EC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4145</Words>
  <Characters>21973</Characters>
  <Application>Microsoft Office Word</Application>
  <DocSecurity>0</DocSecurity>
  <Lines>183</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3</cp:revision>
  <dcterms:created xsi:type="dcterms:W3CDTF">2016-05-11T07:57:00Z</dcterms:created>
  <dcterms:modified xsi:type="dcterms:W3CDTF">2016-05-11T07:59:00Z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2,3,4,7,8,9,10,11,12,13,14,15,16,17</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d364e953-ff75-4ffd-b0bc-4873c36db630</vt:lpwstr>
  </property>
</Properties>
</file>