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4AE2C4AA-05C5-4B98-9EC1-8F99F25F78A8}"/>
</file>

<file path=customXml/itemProps3.xml><?xml version="1.0" encoding="utf-8"?>
<ds:datastoreItem xmlns:ds="http://schemas.openxmlformats.org/officeDocument/2006/customXml" ds:itemID="{4A97F337-BC16-43D1-B8AD-AB0EEE7E51B5}"/>
</file>

<file path=customXml/itemProps4.xml><?xml version="1.0" encoding="utf-8"?>
<ds:datastoreItem xmlns:ds="http://schemas.openxmlformats.org/officeDocument/2006/customXml" ds:itemID="{CF812D96-2428-446C-9008-50F454DFAE7A}"/>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