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DD77D8" w:rsidTr="006B1D92">
        <w:tc>
          <w:tcPr>
            <w:tcW w:w="2268" w:type="dxa"/>
          </w:tcPr>
          <w:p w:rsidR="00DD77D8" w:rsidRDefault="00DD77D8"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DD77D8" w:rsidRPr="00E50715" w:rsidRDefault="00DD77D8"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DD77D8" w:rsidTr="006B1D92">
        <w:tc>
          <w:tcPr>
            <w:tcW w:w="5267" w:type="dxa"/>
            <w:gridSpan w:val="3"/>
          </w:tcPr>
          <w:p w:rsidR="00DD77D8" w:rsidRDefault="00DD77D8"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DD77D8" w:rsidTr="006B1D92">
        <w:tc>
          <w:tcPr>
            <w:tcW w:w="3402" w:type="dxa"/>
            <w:gridSpan w:val="2"/>
          </w:tcPr>
          <w:p w:rsidR="00DD77D8" w:rsidRDefault="00DD77D8" w:rsidP="007242A3">
            <w:pPr>
              <w:framePr w:w="5035" w:h="1644" w:wrap="notBeside" w:vAnchor="page" w:hAnchor="page" w:x="6573" w:y="721"/>
            </w:pPr>
          </w:p>
        </w:tc>
        <w:tc>
          <w:tcPr>
            <w:tcW w:w="1865" w:type="dxa"/>
          </w:tcPr>
          <w:p w:rsidR="00DD77D8" w:rsidRDefault="00DD77D8" w:rsidP="007242A3">
            <w:pPr>
              <w:framePr w:w="5035" w:h="1644" w:wrap="notBeside" w:vAnchor="page" w:hAnchor="page" w:x="6573" w:y="721"/>
            </w:pPr>
          </w:p>
        </w:tc>
      </w:tr>
      <w:tr w:rsidR="00DD77D8" w:rsidTr="006B1D92">
        <w:tc>
          <w:tcPr>
            <w:tcW w:w="2268" w:type="dxa"/>
          </w:tcPr>
          <w:p w:rsidR="00DD77D8" w:rsidRDefault="00DD77D8" w:rsidP="001414B7">
            <w:pPr>
              <w:framePr w:w="5035" w:h="1644" w:wrap="notBeside" w:vAnchor="page" w:hAnchor="page" w:x="6573" w:y="721"/>
            </w:pPr>
            <w:r>
              <w:t>2013-02-08</w:t>
            </w:r>
          </w:p>
        </w:tc>
        <w:tc>
          <w:tcPr>
            <w:tcW w:w="2999" w:type="dxa"/>
            <w:gridSpan w:val="2"/>
          </w:tcPr>
          <w:p w:rsidR="00DD77D8" w:rsidRPr="00ED583F" w:rsidRDefault="00DD77D8" w:rsidP="007242A3">
            <w:pPr>
              <w:framePr w:w="5035" w:h="1644" w:wrap="notBeside" w:vAnchor="page" w:hAnchor="page" w:x="6573" w:y="721"/>
              <w:rPr>
                <w:sz w:val="20"/>
              </w:rPr>
            </w:pPr>
          </w:p>
        </w:tc>
      </w:tr>
      <w:tr w:rsidR="00DD77D8" w:rsidTr="006B1D92">
        <w:tc>
          <w:tcPr>
            <w:tcW w:w="2268" w:type="dxa"/>
          </w:tcPr>
          <w:p w:rsidR="00DD77D8" w:rsidRDefault="00DD77D8" w:rsidP="007242A3">
            <w:pPr>
              <w:framePr w:w="5035" w:h="1644" w:wrap="notBeside" w:vAnchor="page" w:hAnchor="page" w:x="6573" w:y="721"/>
            </w:pPr>
          </w:p>
        </w:tc>
        <w:tc>
          <w:tcPr>
            <w:tcW w:w="2999" w:type="dxa"/>
            <w:gridSpan w:val="2"/>
          </w:tcPr>
          <w:p w:rsidR="00DD77D8" w:rsidRDefault="00DD77D8" w:rsidP="007242A3">
            <w:pPr>
              <w:framePr w:w="5035" w:h="1644" w:wrap="notBeside" w:vAnchor="page" w:hAnchor="page" w:x="6573" w:y="721"/>
            </w:pPr>
          </w:p>
        </w:tc>
      </w:tr>
    </w:tbl>
    <w:tbl>
      <w:tblPr>
        <w:tblW w:w="0" w:type="auto"/>
        <w:tblLayout w:type="fixed"/>
        <w:tblLook w:val="0000"/>
      </w:tblPr>
      <w:tblGrid>
        <w:gridCol w:w="4911"/>
      </w:tblGrid>
      <w:tr w:rsidR="00DD77D8">
        <w:trPr>
          <w:trHeight w:val="284"/>
        </w:trPr>
        <w:tc>
          <w:tcPr>
            <w:tcW w:w="4911" w:type="dxa"/>
          </w:tcPr>
          <w:p w:rsidR="00DD77D8" w:rsidRDefault="00DD77D8">
            <w:pPr>
              <w:pStyle w:val="Avsndare"/>
              <w:framePr w:h="2483" w:wrap="notBeside" w:x="1504"/>
              <w:rPr>
                <w:b/>
                <w:i w:val="0"/>
                <w:sz w:val="22"/>
              </w:rPr>
            </w:pPr>
            <w:r>
              <w:rPr>
                <w:b/>
                <w:i w:val="0"/>
                <w:sz w:val="22"/>
              </w:rPr>
              <w:t>Utbildningsdepartementet</w:t>
            </w:r>
          </w:p>
        </w:tc>
      </w:tr>
      <w:tr w:rsidR="00DD77D8">
        <w:trPr>
          <w:trHeight w:val="284"/>
        </w:trPr>
        <w:tc>
          <w:tcPr>
            <w:tcW w:w="4911" w:type="dxa"/>
          </w:tcPr>
          <w:p w:rsidR="00DD77D8" w:rsidRDefault="00DD77D8">
            <w:pPr>
              <w:pStyle w:val="Avsndare"/>
              <w:framePr w:h="2483" w:wrap="notBeside" w:x="1504"/>
              <w:rPr>
                <w:bCs/>
                <w:iCs/>
              </w:rPr>
            </w:pPr>
          </w:p>
        </w:tc>
      </w:tr>
      <w:tr w:rsidR="00DD77D8">
        <w:trPr>
          <w:trHeight w:val="284"/>
        </w:trPr>
        <w:tc>
          <w:tcPr>
            <w:tcW w:w="4911" w:type="dxa"/>
          </w:tcPr>
          <w:p w:rsidR="00DD77D8" w:rsidRDefault="00DD77D8">
            <w:pPr>
              <w:pStyle w:val="Avsndare"/>
              <w:framePr w:h="2483" w:wrap="notBeside" w:x="1504"/>
              <w:rPr>
                <w:bCs/>
                <w:iCs/>
              </w:rPr>
            </w:pPr>
            <w:r>
              <w:rPr>
                <w:bCs/>
                <w:iCs/>
              </w:rPr>
              <w:t>Forskningspolitiska enheten</w:t>
            </w:r>
          </w:p>
        </w:tc>
      </w:tr>
      <w:tr w:rsidR="00DD77D8">
        <w:trPr>
          <w:trHeight w:val="284"/>
        </w:trPr>
        <w:tc>
          <w:tcPr>
            <w:tcW w:w="4911" w:type="dxa"/>
          </w:tcPr>
          <w:p w:rsidR="00DD77D8" w:rsidRDefault="00DD77D8">
            <w:pPr>
              <w:pStyle w:val="Avsndare"/>
              <w:framePr w:h="2483" w:wrap="notBeside" w:x="1504"/>
              <w:rPr>
                <w:bCs/>
                <w:iCs/>
              </w:rPr>
            </w:pPr>
          </w:p>
        </w:tc>
      </w:tr>
      <w:tr w:rsidR="00DD77D8">
        <w:trPr>
          <w:trHeight w:val="284"/>
        </w:trPr>
        <w:tc>
          <w:tcPr>
            <w:tcW w:w="4911" w:type="dxa"/>
          </w:tcPr>
          <w:p w:rsidR="00DD77D8" w:rsidRDefault="00DD77D8">
            <w:pPr>
              <w:pStyle w:val="Avsndare"/>
              <w:framePr w:h="2483" w:wrap="notBeside" w:x="1504"/>
              <w:rPr>
                <w:bCs/>
                <w:iCs/>
              </w:rPr>
            </w:pPr>
          </w:p>
        </w:tc>
      </w:tr>
      <w:tr w:rsidR="00DD77D8">
        <w:trPr>
          <w:trHeight w:val="284"/>
        </w:trPr>
        <w:tc>
          <w:tcPr>
            <w:tcW w:w="4911" w:type="dxa"/>
          </w:tcPr>
          <w:p w:rsidR="00DD77D8" w:rsidRDefault="00DD77D8">
            <w:pPr>
              <w:pStyle w:val="Avsndare"/>
              <w:framePr w:h="2483" w:wrap="notBeside" w:x="1504"/>
              <w:rPr>
                <w:bCs/>
                <w:iCs/>
              </w:rPr>
            </w:pPr>
          </w:p>
        </w:tc>
      </w:tr>
      <w:tr w:rsidR="00DD77D8">
        <w:trPr>
          <w:trHeight w:val="284"/>
        </w:trPr>
        <w:tc>
          <w:tcPr>
            <w:tcW w:w="4911" w:type="dxa"/>
          </w:tcPr>
          <w:p w:rsidR="00DD77D8" w:rsidRDefault="00DD77D8">
            <w:pPr>
              <w:pStyle w:val="Avsndare"/>
              <w:framePr w:h="2483" w:wrap="notBeside" w:x="1504"/>
              <w:rPr>
                <w:bCs/>
                <w:iCs/>
              </w:rPr>
            </w:pPr>
          </w:p>
        </w:tc>
      </w:tr>
      <w:tr w:rsidR="00DD77D8">
        <w:trPr>
          <w:trHeight w:val="284"/>
        </w:trPr>
        <w:tc>
          <w:tcPr>
            <w:tcW w:w="4911" w:type="dxa"/>
          </w:tcPr>
          <w:p w:rsidR="00DD77D8" w:rsidRDefault="00DD77D8">
            <w:pPr>
              <w:pStyle w:val="Avsndare"/>
              <w:framePr w:h="2483" w:wrap="notBeside" w:x="1504"/>
              <w:rPr>
                <w:bCs/>
                <w:iCs/>
              </w:rPr>
            </w:pPr>
          </w:p>
        </w:tc>
      </w:tr>
      <w:tr w:rsidR="00DD77D8">
        <w:trPr>
          <w:trHeight w:val="284"/>
        </w:trPr>
        <w:tc>
          <w:tcPr>
            <w:tcW w:w="4911" w:type="dxa"/>
          </w:tcPr>
          <w:p w:rsidR="00DD77D8" w:rsidRDefault="00DD77D8">
            <w:pPr>
              <w:pStyle w:val="Avsndare"/>
              <w:framePr w:h="2483" w:wrap="notBeside" w:x="1504"/>
              <w:rPr>
                <w:bCs/>
                <w:iCs/>
              </w:rPr>
            </w:pPr>
          </w:p>
        </w:tc>
      </w:tr>
    </w:tbl>
    <w:p w:rsidR="00DD77D8" w:rsidRPr="006B1D92" w:rsidRDefault="00DD77D8">
      <w:pPr>
        <w:framePr w:w="4400" w:h="2523" w:wrap="notBeside" w:vAnchor="page" w:hAnchor="page" w:x="6453" w:y="2445"/>
        <w:ind w:left="142"/>
        <w:rPr>
          <w:b/>
        </w:rPr>
      </w:pPr>
    </w:p>
    <w:p w:rsidR="00DD77D8" w:rsidRDefault="00DD77D8">
      <w:pPr>
        <w:pStyle w:val="RKrubrik"/>
        <w:pBdr>
          <w:bottom w:val="single" w:sz="6" w:space="1" w:color="auto"/>
        </w:pBdr>
      </w:pPr>
      <w:bookmarkStart w:id="1" w:name="bRubrik"/>
      <w:bookmarkEnd w:id="1"/>
      <w:r>
        <w:t>Rådets möte (KKR) den 18 februari 2013</w:t>
      </w:r>
    </w:p>
    <w:p w:rsidR="00DD77D8" w:rsidRDefault="00DD77D8">
      <w:pPr>
        <w:pStyle w:val="RKnormal"/>
      </w:pPr>
    </w:p>
    <w:p w:rsidR="00DD77D8" w:rsidRDefault="00DD77D8">
      <w:pPr>
        <w:pStyle w:val="RKnormal"/>
      </w:pPr>
      <w:r w:rsidRPr="00C812BA">
        <w:rPr>
          <w:b/>
        </w:rPr>
        <w:t>Dagordningspunkt</w:t>
      </w:r>
      <w:r>
        <w:t>: 5a-b</w:t>
      </w:r>
    </w:p>
    <w:p w:rsidR="00DD77D8" w:rsidRDefault="00DD77D8">
      <w:pPr>
        <w:pStyle w:val="RKnormal"/>
      </w:pPr>
    </w:p>
    <w:p w:rsidR="00DD77D8" w:rsidRPr="00354E0E" w:rsidRDefault="00DD77D8" w:rsidP="00354E0E">
      <w:pPr>
        <w:pStyle w:val="Liststycke1"/>
        <w:spacing w:line="240" w:lineRule="auto"/>
        <w:ind w:left="567" w:hanging="567"/>
        <w:rPr>
          <w:rFonts w:ascii="OrigGarmnd BT" w:hAnsi="OrigGarmnd BT"/>
          <w:sz w:val="24"/>
          <w:szCs w:val="20"/>
          <w:lang w:val="sv-SE"/>
        </w:rPr>
      </w:pPr>
      <w:r w:rsidRPr="00354E0E">
        <w:rPr>
          <w:rFonts w:ascii="OrigGarmnd BT" w:hAnsi="OrigGarmnd BT"/>
          <w:b/>
          <w:sz w:val="24"/>
          <w:szCs w:val="20"/>
          <w:lang w:val="sv-SE"/>
        </w:rPr>
        <w:t xml:space="preserve">Rubrik: </w:t>
      </w:r>
      <w:r w:rsidRPr="00354E0E">
        <w:rPr>
          <w:rFonts w:ascii="OrigGarmnd BT" w:hAnsi="OrigGarmnd BT"/>
          <w:sz w:val="24"/>
          <w:szCs w:val="20"/>
          <w:lang w:val="sv-SE"/>
        </w:rPr>
        <w:t>Scientific information</w:t>
      </w:r>
    </w:p>
    <w:p w:rsidR="00DD77D8" w:rsidRPr="00354E0E" w:rsidRDefault="00DD77D8" w:rsidP="00354E0E">
      <w:pPr>
        <w:pStyle w:val="Liststycke1"/>
        <w:spacing w:line="240" w:lineRule="auto"/>
        <w:ind w:left="567" w:hanging="567"/>
        <w:rPr>
          <w:rFonts w:ascii="OrigGarmnd BT" w:hAnsi="OrigGarmnd BT"/>
          <w:sz w:val="24"/>
          <w:szCs w:val="20"/>
          <w:lang w:val="sv-SE"/>
        </w:rPr>
      </w:pPr>
    </w:p>
    <w:p w:rsidR="00DD77D8" w:rsidRPr="00E50715" w:rsidRDefault="00DD77D8" w:rsidP="00A36D21">
      <w:pPr>
        <w:pStyle w:val="Liststycke1"/>
        <w:numPr>
          <w:ilvl w:val="0"/>
          <w:numId w:val="1"/>
        </w:numPr>
        <w:spacing w:line="240" w:lineRule="auto"/>
        <w:rPr>
          <w:rFonts w:ascii="OrigGarmnd BT" w:hAnsi="OrigGarmnd BT"/>
          <w:sz w:val="24"/>
          <w:szCs w:val="20"/>
        </w:rPr>
      </w:pPr>
      <w:r w:rsidRPr="00E50715">
        <w:rPr>
          <w:rFonts w:ascii="OrigGarmnd BT" w:hAnsi="OrigGarmnd BT"/>
          <w:sz w:val="24"/>
          <w:szCs w:val="20"/>
        </w:rPr>
        <w:t xml:space="preserve">Communication from the Commission on "Towards better access to scientific information: Boosting the benefits of public investments in research" </w:t>
      </w:r>
    </w:p>
    <w:p w:rsidR="00DD77D8" w:rsidRPr="00E50715" w:rsidRDefault="00DD77D8" w:rsidP="00354E0E">
      <w:pPr>
        <w:pStyle w:val="Liststycke1"/>
        <w:spacing w:line="240" w:lineRule="auto"/>
        <w:ind w:left="567" w:hanging="567"/>
        <w:rPr>
          <w:rFonts w:ascii="OrigGarmnd BT" w:hAnsi="OrigGarmnd BT"/>
          <w:sz w:val="24"/>
          <w:szCs w:val="20"/>
        </w:rPr>
      </w:pPr>
    </w:p>
    <w:p w:rsidR="00DD77D8" w:rsidRPr="00E50715" w:rsidRDefault="00DD77D8" w:rsidP="00A36D21">
      <w:pPr>
        <w:pStyle w:val="Liststycke1"/>
        <w:numPr>
          <w:ilvl w:val="0"/>
          <w:numId w:val="1"/>
        </w:numPr>
        <w:spacing w:line="240" w:lineRule="auto"/>
        <w:rPr>
          <w:rFonts w:ascii="OrigGarmnd BT" w:hAnsi="OrigGarmnd BT"/>
          <w:sz w:val="24"/>
          <w:szCs w:val="20"/>
        </w:rPr>
      </w:pPr>
      <w:r w:rsidRPr="00E50715">
        <w:rPr>
          <w:rFonts w:ascii="OrigGarmnd BT" w:hAnsi="OrigGarmnd BT"/>
          <w:sz w:val="24"/>
          <w:szCs w:val="20"/>
        </w:rPr>
        <w:t xml:space="preserve">Recommendation from the Commission on access to and preservation of scientific information </w:t>
      </w:r>
    </w:p>
    <w:p w:rsidR="00DD77D8" w:rsidRPr="00E50715" w:rsidRDefault="00DD77D8" w:rsidP="00354E0E">
      <w:pPr>
        <w:pStyle w:val="Liststycke1"/>
        <w:spacing w:line="240" w:lineRule="auto"/>
        <w:ind w:left="567" w:hanging="567"/>
        <w:rPr>
          <w:rFonts w:ascii="OrigGarmnd BT" w:hAnsi="OrigGarmnd BT"/>
          <w:sz w:val="24"/>
          <w:szCs w:val="20"/>
        </w:rPr>
      </w:pPr>
    </w:p>
    <w:p w:rsidR="00DD77D8" w:rsidRPr="00354E0E" w:rsidRDefault="00DD77D8" w:rsidP="00354E0E">
      <w:pPr>
        <w:pStyle w:val="Liststycke1"/>
        <w:spacing w:line="240" w:lineRule="auto"/>
        <w:ind w:left="567" w:hanging="567"/>
        <w:rPr>
          <w:rFonts w:ascii="OrigGarmnd BT" w:hAnsi="OrigGarmnd BT"/>
          <w:sz w:val="24"/>
          <w:szCs w:val="20"/>
          <w:lang w:val="sv-SE"/>
        </w:rPr>
      </w:pPr>
      <w:r w:rsidRPr="00354E0E">
        <w:rPr>
          <w:rFonts w:ascii="OrigGarmnd BT" w:hAnsi="OrigGarmnd BT"/>
          <w:sz w:val="24"/>
          <w:szCs w:val="20"/>
          <w:lang w:val="sv-SE"/>
        </w:rPr>
        <w:t>-</w:t>
      </w:r>
      <w:r w:rsidRPr="00354E0E">
        <w:rPr>
          <w:rFonts w:ascii="OrigGarmnd BT" w:hAnsi="OrigGarmnd BT"/>
          <w:sz w:val="24"/>
          <w:szCs w:val="20"/>
          <w:lang w:val="sv-SE"/>
        </w:rPr>
        <w:tab/>
        <w:t xml:space="preserve">Policy debate </w:t>
      </w:r>
    </w:p>
    <w:p w:rsidR="00DD77D8" w:rsidRDefault="00DD77D8">
      <w:pPr>
        <w:pStyle w:val="RKnormal"/>
      </w:pPr>
    </w:p>
    <w:p w:rsidR="00DD77D8" w:rsidRPr="00C812BA" w:rsidRDefault="00DD77D8">
      <w:pPr>
        <w:pStyle w:val="RKnormal"/>
        <w:rPr>
          <w:b/>
        </w:rPr>
      </w:pPr>
      <w:r w:rsidRPr="00C812BA">
        <w:rPr>
          <w:b/>
        </w:rPr>
        <w:t>Dokument:</w:t>
      </w:r>
      <w:r>
        <w:rPr>
          <w:b/>
        </w:rPr>
        <w:t xml:space="preserve"> </w:t>
      </w:r>
      <w:r w:rsidRPr="00354E0E">
        <w:t>5857/13</w:t>
      </w:r>
    </w:p>
    <w:tbl>
      <w:tblPr>
        <w:tblW w:w="0" w:type="auto"/>
        <w:tblCellMar>
          <w:top w:w="15" w:type="dxa"/>
          <w:left w:w="15" w:type="dxa"/>
          <w:bottom w:w="15" w:type="dxa"/>
          <w:right w:w="15" w:type="dxa"/>
        </w:tblCellMar>
        <w:tblLook w:val="00A0"/>
      </w:tblPr>
      <w:tblGrid>
        <w:gridCol w:w="7371"/>
      </w:tblGrid>
      <w:tr w:rsidR="00DD77D8" w:rsidRPr="00A36D21" w:rsidTr="00A36D21">
        <w:tc>
          <w:tcPr>
            <w:tcW w:w="0" w:type="auto"/>
            <w:tcBorders>
              <w:top w:val="nil"/>
              <w:left w:val="nil"/>
              <w:bottom w:val="nil"/>
              <w:right w:val="nil"/>
            </w:tcBorders>
            <w:tcMar>
              <w:top w:w="0" w:type="dxa"/>
              <w:left w:w="0" w:type="dxa"/>
              <w:bottom w:w="0" w:type="dxa"/>
              <w:right w:w="0" w:type="dxa"/>
            </w:tcMar>
          </w:tcPr>
          <w:p w:rsidR="00DD77D8" w:rsidRPr="00A36D21" w:rsidRDefault="00DD77D8" w:rsidP="00A36D21">
            <w:pPr>
              <w:pStyle w:val="RKnormal"/>
            </w:pPr>
          </w:p>
        </w:tc>
      </w:tr>
      <w:tr w:rsidR="00DD77D8" w:rsidRPr="00E50715" w:rsidTr="00A36D21">
        <w:tc>
          <w:tcPr>
            <w:tcW w:w="0" w:type="auto"/>
            <w:tcBorders>
              <w:top w:val="nil"/>
              <w:left w:val="nil"/>
              <w:bottom w:val="nil"/>
              <w:right w:val="nil"/>
            </w:tcBorders>
            <w:tcMar>
              <w:top w:w="0" w:type="dxa"/>
              <w:left w:w="0" w:type="dxa"/>
              <w:bottom w:w="0" w:type="dxa"/>
              <w:right w:w="0" w:type="dxa"/>
            </w:tcMar>
          </w:tcPr>
          <w:p w:rsidR="00DD77D8" w:rsidRPr="00E50715" w:rsidRDefault="00DD77D8" w:rsidP="00A36D21">
            <w:pPr>
              <w:pStyle w:val="RKnormal"/>
              <w:rPr>
                <w:b/>
                <w:lang w:val="en-US"/>
              </w:rPr>
            </w:pPr>
          </w:p>
          <w:p w:rsidR="00DD77D8" w:rsidRPr="00E50715" w:rsidRDefault="00DD77D8" w:rsidP="00A36D21">
            <w:pPr>
              <w:pStyle w:val="RKnormal"/>
              <w:rPr>
                <w:b/>
                <w:lang w:val="en-US"/>
              </w:rPr>
            </w:pPr>
            <w:r w:rsidRPr="00E50715">
              <w:rPr>
                <w:b/>
                <w:lang w:val="en-US"/>
              </w:rPr>
              <w:t xml:space="preserve">Tidigare dokument: </w:t>
            </w:r>
          </w:p>
          <w:p w:rsidR="00DD77D8" w:rsidRPr="00E50715" w:rsidRDefault="00DD77D8" w:rsidP="00A36D21">
            <w:pPr>
              <w:pStyle w:val="RKnormal"/>
              <w:rPr>
                <w:lang w:val="en-US"/>
              </w:rPr>
            </w:pPr>
          </w:p>
          <w:p w:rsidR="00DD77D8" w:rsidRPr="00E50715" w:rsidRDefault="00DD77D8" w:rsidP="00A36D21">
            <w:pPr>
              <w:pStyle w:val="RKnormal"/>
              <w:rPr>
                <w:lang w:val="en-US"/>
              </w:rPr>
            </w:pPr>
            <w:r w:rsidRPr="00E50715">
              <w:rPr>
                <w:lang w:val="en-US"/>
              </w:rPr>
              <w:t>Kommissionens meddelande (2012)401: Towards better access to scientific information: Boosting the benefits of public investments in research</w:t>
            </w:r>
          </w:p>
          <w:p w:rsidR="00DD77D8" w:rsidRPr="00E50715" w:rsidRDefault="00DD77D8" w:rsidP="00A41B53">
            <w:pPr>
              <w:pStyle w:val="RKnormal"/>
              <w:rPr>
                <w:lang w:val="en-US"/>
              </w:rPr>
            </w:pPr>
          </w:p>
        </w:tc>
      </w:tr>
    </w:tbl>
    <w:p w:rsidR="00DD77D8" w:rsidRPr="00E50715" w:rsidRDefault="00DD77D8" w:rsidP="00A36D21">
      <w:pPr>
        <w:pStyle w:val="RKnormal"/>
        <w:rPr>
          <w:lang w:val="en-US"/>
        </w:rPr>
      </w:pPr>
      <w:r w:rsidRPr="00E50715">
        <w:rPr>
          <w:bCs/>
          <w:lang w:val="en-US"/>
        </w:rPr>
        <w:t xml:space="preserve">Kommissionens rekommendation (C(2012)4890): On access to and preservation of scientific information </w:t>
      </w:r>
    </w:p>
    <w:p w:rsidR="00DD77D8" w:rsidRPr="00E50715" w:rsidRDefault="00DD77D8">
      <w:pPr>
        <w:pStyle w:val="RKnormal"/>
        <w:rPr>
          <w:lang w:val="en-US"/>
        </w:rPr>
      </w:pPr>
    </w:p>
    <w:p w:rsidR="00DD77D8" w:rsidRPr="00A36D21" w:rsidRDefault="00DD77D8" w:rsidP="00A41B53">
      <w:pPr>
        <w:pStyle w:val="RKnormal"/>
      </w:pPr>
      <w:r w:rsidRPr="00A36D21">
        <w:t>Faktapromemoria 2011/12:FPM171</w:t>
      </w:r>
    </w:p>
    <w:p w:rsidR="00DD77D8" w:rsidRDefault="00DD77D8">
      <w:pPr>
        <w:pStyle w:val="RKrubrik"/>
      </w:pPr>
      <w:r>
        <w:t>Bakgrund</w:t>
      </w:r>
    </w:p>
    <w:p w:rsidR="00DD77D8" w:rsidRDefault="00DD77D8" w:rsidP="005966B8">
      <w:pPr>
        <w:pStyle w:val="RKnormal"/>
      </w:pPr>
      <w:r w:rsidRPr="005966B8">
        <w:t>Den 17 juli 2012 presenterade kommissionen sitt meddelande om bättre tillgång till vetenskaplig information (KOM (2012) 401).</w:t>
      </w:r>
      <w:r>
        <w:t xml:space="preserve"> </w:t>
      </w:r>
      <w:r w:rsidRPr="005966B8">
        <w:t xml:space="preserve">Kommissionen avser enligt meddelandet att vidta flertalet åtgärder, både på policynivå och mer konkret nivå i form av budgetallokering. </w:t>
      </w:r>
    </w:p>
    <w:p w:rsidR="00DD77D8" w:rsidRDefault="00DD77D8" w:rsidP="005966B8">
      <w:pPr>
        <w:pStyle w:val="RKnormal"/>
      </w:pPr>
    </w:p>
    <w:p w:rsidR="00DD77D8" w:rsidRDefault="00DD77D8" w:rsidP="005966B8">
      <w:pPr>
        <w:pStyle w:val="RKnormal"/>
      </w:pPr>
      <w:r>
        <w:t xml:space="preserve">Kommissionen </w:t>
      </w:r>
      <w:r w:rsidRPr="005966B8">
        <w:t>har även tagit fram en rekommendation (C(2012)4890) om tillgång till och bevarande av vetenskaplig information. I den</w:t>
      </w:r>
      <w:r>
        <w:t>na</w:t>
      </w:r>
      <w:r w:rsidRPr="005966B8">
        <w:t xml:space="preserve"> uppmanas medlemsstaterna att definiera strategier för spridning av och öppen tillgång till vetenskapliga publikationer som bygger på offentligfinansierad forskning och för data från offentligfinansierad forskning. </w:t>
      </w:r>
    </w:p>
    <w:p w:rsidR="00DD77D8" w:rsidRDefault="00DD77D8" w:rsidP="005966B8">
      <w:pPr>
        <w:pStyle w:val="RKnormal"/>
      </w:pPr>
    </w:p>
    <w:p w:rsidR="00DD77D8" w:rsidRDefault="00DD77D8" w:rsidP="005966B8">
      <w:pPr>
        <w:pStyle w:val="RKnormal"/>
      </w:pPr>
      <w:r>
        <w:t>Vid KKR 18 februari kommer forskningsministrarna diskutera tillgången till vetenskaplig information med utgångspunkt i tre diskussionsfrågor som ordförandeskapet tagit fram (dok.5857/13). Något sammanfattat handlar frågorna om följande:</w:t>
      </w:r>
    </w:p>
    <w:p w:rsidR="00DD77D8" w:rsidRDefault="00DD77D8" w:rsidP="005966B8">
      <w:pPr>
        <w:pStyle w:val="RKnormal"/>
        <w:ind w:left="720"/>
      </w:pPr>
    </w:p>
    <w:p w:rsidR="00DD77D8" w:rsidRDefault="00DD77D8" w:rsidP="005966B8">
      <w:pPr>
        <w:pStyle w:val="RKnormal"/>
        <w:numPr>
          <w:ilvl w:val="0"/>
          <w:numId w:val="2"/>
        </w:numPr>
      </w:pPr>
      <w:r>
        <w:t>Hur ska ”Open access” kunna realiseras och vilka gemensamma standards för implementering behövs för detta?</w:t>
      </w:r>
    </w:p>
    <w:p w:rsidR="00DD77D8" w:rsidRDefault="00DD77D8" w:rsidP="005966B8">
      <w:pPr>
        <w:pStyle w:val="RKnormal"/>
        <w:ind w:left="720"/>
      </w:pPr>
    </w:p>
    <w:p w:rsidR="00DD77D8" w:rsidRDefault="00DD77D8" w:rsidP="005966B8">
      <w:pPr>
        <w:pStyle w:val="RKnormal"/>
        <w:numPr>
          <w:ilvl w:val="0"/>
          <w:numId w:val="2"/>
        </w:numPr>
      </w:pPr>
      <w:r>
        <w:t>Hur kan man utveckla ”Open access” när det gäller tillgången till vetenskapliga data? Vilka nyckelprinciper ska gälla för pilotprojeket inom Horisont 2020?</w:t>
      </w:r>
    </w:p>
    <w:p w:rsidR="00DD77D8" w:rsidRDefault="00DD77D8" w:rsidP="005966B8">
      <w:pPr>
        <w:pStyle w:val="ListParagraph"/>
      </w:pPr>
    </w:p>
    <w:p w:rsidR="00DD77D8" w:rsidRPr="005966B8" w:rsidRDefault="00DD77D8" w:rsidP="005966B8">
      <w:pPr>
        <w:pStyle w:val="RKnormal"/>
        <w:numPr>
          <w:ilvl w:val="0"/>
          <w:numId w:val="2"/>
        </w:numPr>
      </w:pPr>
      <w:r>
        <w:t>Hur kan kommissionen och medlemsstaterna säkerställa att de e-infrastrukturer som behövs för ”Open access” byggs på ett effektivt och hållbart sätt?</w:t>
      </w:r>
    </w:p>
    <w:p w:rsidR="00DD77D8" w:rsidRDefault="00DD77D8">
      <w:pPr>
        <w:pStyle w:val="RKrubrik"/>
        <w:rPr>
          <w:iCs/>
        </w:rPr>
      </w:pPr>
      <w:r w:rsidRPr="00ED20EB">
        <w:rPr>
          <w:iCs/>
        </w:rPr>
        <w:t>Svensk ståndpunkt</w:t>
      </w:r>
    </w:p>
    <w:p w:rsidR="00DD77D8" w:rsidRPr="00BE6D5D" w:rsidRDefault="00DD77D8" w:rsidP="00BE6D5D">
      <w:pPr>
        <w:pStyle w:val="RKnormal"/>
      </w:pPr>
      <w:r w:rsidRPr="00BE6D5D">
        <w:t xml:space="preserve">Sverige anser att god tillgång till vetenskapliga publikationer och forskningsdata är centralt för framgångsrik forskning och innovation. </w:t>
      </w:r>
    </w:p>
    <w:p w:rsidR="00DD77D8" w:rsidRDefault="00DD77D8" w:rsidP="00BE6D5D">
      <w:pPr>
        <w:pStyle w:val="RKnormal"/>
      </w:pPr>
      <w:r w:rsidRPr="00BE6D5D">
        <w:t>Företrädesvis bör en ”Green</w:t>
      </w:r>
      <w:r>
        <w:t>-O</w:t>
      </w:r>
      <w:r w:rsidRPr="00BE6D5D">
        <w:t>pen</w:t>
      </w:r>
      <w:r>
        <w:t>-A</w:t>
      </w:r>
      <w:r w:rsidRPr="00BE6D5D">
        <w:t>ccess” lösning väljas, men parallellt med detta bör man även undersöka hur olika modeller inom ”Gold</w:t>
      </w:r>
      <w:r>
        <w:t>-O</w:t>
      </w:r>
      <w:r w:rsidRPr="00BE6D5D">
        <w:t>pen</w:t>
      </w:r>
      <w:r>
        <w:t>-A</w:t>
      </w:r>
      <w:r w:rsidRPr="00BE6D5D">
        <w:t>ccess” kan utvecklas och implementeras</w:t>
      </w:r>
      <w:r>
        <w:t>.</w:t>
      </w:r>
    </w:p>
    <w:p w:rsidR="00DD77D8" w:rsidRDefault="00DD77D8" w:rsidP="00BE6D5D">
      <w:pPr>
        <w:pStyle w:val="RKnormal"/>
      </w:pPr>
    </w:p>
    <w:p w:rsidR="00DD77D8" w:rsidRDefault="00DD77D8" w:rsidP="00BE6D5D">
      <w:pPr>
        <w:pStyle w:val="RKnormal"/>
      </w:pPr>
      <w:r>
        <w:t xml:space="preserve">Kommissionens pilotprojekt för öppen tillgång till forskningsdata inom Horisont 2020 välkomnas. När det gäller principerna för pilotprojekt så bör det vara intressant att låta olika ämnesområden ingå, då man har olika inställningar till, möjligheter och problemområden när det gäller öppen tillgång till forskningsdata i olika vetenskapliga discipliner. </w:t>
      </w:r>
    </w:p>
    <w:p w:rsidR="00DD77D8" w:rsidRDefault="00DD77D8" w:rsidP="00BE6D5D">
      <w:pPr>
        <w:pStyle w:val="RKnormal"/>
      </w:pPr>
    </w:p>
    <w:p w:rsidR="00DD77D8" w:rsidRDefault="00DD77D8" w:rsidP="00B74A75">
      <w:pPr>
        <w:pStyle w:val="RKnormal"/>
      </w:pPr>
      <w:r>
        <w:t xml:space="preserve">Vidareutvecklingen av ”OpenAire” till en forskningsinfrastruktur inte bara för publikationer, utan även för forskningsdata för EU-finansierade projekt (OpenAireplus) välkomnas. Här kan fördelar vinnas genom samordning och koordinering på nationell och europeisk nivå. </w:t>
      </w:r>
    </w:p>
    <w:p w:rsidR="00DD77D8" w:rsidRDefault="00DD77D8" w:rsidP="00B74A75">
      <w:pPr>
        <w:pStyle w:val="RKnormal"/>
      </w:pPr>
    </w:p>
    <w:p w:rsidR="00DD77D8" w:rsidRDefault="00DD77D8" w:rsidP="00B74A75">
      <w:pPr>
        <w:pStyle w:val="RKnormal"/>
      </w:pPr>
      <w:r>
        <w:t xml:space="preserve">Forskningsdata som innehåller personuppgifter kräver att den enskildes personlige integritet värnas. Det finns ett antal lagar som reglerar användning, spridning och tillgång till den här typen av data, både på nationell nivå och på EU-nivå. Hanteringen av öppen tillgång till forskningsdata ställer därför höga krav på den forskningsinfrastruktur som utvecklas och används. </w:t>
      </w:r>
    </w:p>
    <w:p w:rsidR="00DD77D8" w:rsidRDefault="00DD77D8" w:rsidP="00B74A75">
      <w:pPr>
        <w:pStyle w:val="RKnormal"/>
      </w:pPr>
    </w:p>
    <w:p w:rsidR="00DD77D8" w:rsidRDefault="00DD77D8" w:rsidP="00B74A75">
      <w:pPr>
        <w:pStyle w:val="RKnormal"/>
      </w:pPr>
      <w:r>
        <w:t xml:space="preserve">Avslutningsvis är det viktigt att framhålla att förslagen, när det gäller öppen tillgång till forskningsresultat och forskningsdata, måste analyseras och värderas utifrån dess ekonomiska konsekvenser i förhållande till förslagens mervärde. </w:t>
      </w:r>
    </w:p>
    <w:p w:rsidR="00DD77D8" w:rsidRDefault="00DD77D8" w:rsidP="00BE6D5D">
      <w:pPr>
        <w:pStyle w:val="RKnormal"/>
      </w:pPr>
    </w:p>
    <w:p w:rsidR="00DD77D8" w:rsidRDefault="00DD77D8" w:rsidP="00BE6D5D">
      <w:pPr>
        <w:pStyle w:val="RKnormal"/>
        <w:rPr>
          <w:b/>
        </w:rPr>
      </w:pPr>
      <w:r w:rsidRPr="00A41B53">
        <w:rPr>
          <w:b/>
        </w:rPr>
        <w:t>Fackuttryck</w:t>
      </w:r>
    </w:p>
    <w:p w:rsidR="00DD77D8" w:rsidRPr="00A41B53" w:rsidRDefault="00DD77D8" w:rsidP="00BE6D5D">
      <w:pPr>
        <w:pStyle w:val="RKnormal"/>
        <w:rPr>
          <w:b/>
        </w:rPr>
      </w:pPr>
    </w:p>
    <w:p w:rsidR="00DD77D8" w:rsidRDefault="00DD77D8" w:rsidP="00A41B53">
      <w:pPr>
        <w:pStyle w:val="RKnormal"/>
      </w:pPr>
      <w:r w:rsidRPr="0031026C">
        <w:rPr>
          <w:b/>
        </w:rPr>
        <w:t>”Gold open access”</w:t>
      </w:r>
      <w:r>
        <w:t xml:space="preserve"> innebär att kostnaderna för publicering ligger på författaren i stället för läsaren (via prenumerationer etc.). Kostnaderna bärs vanligtvis av den forskningsinstitution som forskaren är knuten till eller det den finansiär som bekostat forskningen som ligger till grund för den information som publiceras.</w:t>
      </w:r>
    </w:p>
    <w:p w:rsidR="00DD77D8" w:rsidRDefault="00DD77D8" w:rsidP="00A41B53">
      <w:pPr>
        <w:pStyle w:val="RKnormal"/>
      </w:pPr>
    </w:p>
    <w:p w:rsidR="00DD77D8" w:rsidRDefault="00DD77D8" w:rsidP="00A41B53">
      <w:pPr>
        <w:pStyle w:val="RKnormal"/>
      </w:pPr>
      <w:r w:rsidRPr="0031026C">
        <w:rPr>
          <w:b/>
        </w:rPr>
        <w:t>”Green open access”</w:t>
      </w:r>
      <w:r>
        <w:t xml:space="preserve"> innebär att författaren själv deponerar informationen i ett online-arkiv. Författaren (eller oftare finansiärer) bestämmer hur länge informationen ska ligga i karantän innan den blir allmänt tillgänglig, rekommenderad tid är sex månader. De förlag som publicerar vetenskaplig information ser dock gärna att karantänen är långvarig för att kunna bevara sin exklusiva tillgång.</w:t>
      </w:r>
    </w:p>
    <w:p w:rsidR="00DD77D8" w:rsidRDefault="00DD77D8" w:rsidP="00A41B53">
      <w:pPr>
        <w:pStyle w:val="RKnormal"/>
      </w:pPr>
    </w:p>
    <w:p w:rsidR="00DD77D8" w:rsidRDefault="00DD77D8" w:rsidP="0031026C">
      <w:pPr>
        <w:pStyle w:val="RKnormal"/>
      </w:pPr>
      <w:r>
        <w:t xml:space="preserve">Det stora EU-projektet </w:t>
      </w:r>
      <w:r w:rsidRPr="0031026C">
        <w:rPr>
          <w:b/>
        </w:rPr>
        <w:t>”OpenAIRE</w:t>
      </w:r>
      <w:r>
        <w:rPr>
          <w:b/>
        </w:rPr>
        <w:t>”</w:t>
      </w:r>
      <w:r>
        <w:t xml:space="preserve"> har haft som sitt mål att skapa en europeisk infrastruktur för att synliggöra de publikationer som publicerats open access inom det sjunde ramprogrammet för forskning och utveckling (FP7) och inom det Europeiska forskningsrådet (ERC). </w:t>
      </w:r>
    </w:p>
    <w:p w:rsidR="00DD77D8" w:rsidRDefault="00DD77D8" w:rsidP="0031026C">
      <w:pPr>
        <w:pStyle w:val="RKnormal"/>
      </w:pPr>
      <w:r>
        <w:t xml:space="preserve">EU-kommissionen har meddelat att de avser att göra fri tillgång till publikationer till en allmän princip i det nya forskningsprogrammet Horisont 2020 genom en fortsatt användning och utveckling av OpenAIRE. </w:t>
      </w:r>
    </w:p>
    <w:p w:rsidR="00DD77D8" w:rsidRDefault="00DD77D8" w:rsidP="0031026C">
      <w:pPr>
        <w:pStyle w:val="RKnormal"/>
      </w:pPr>
    </w:p>
    <w:p w:rsidR="00DD77D8" w:rsidRDefault="00DD77D8" w:rsidP="0031026C">
      <w:pPr>
        <w:pStyle w:val="RKnormal"/>
      </w:pPr>
      <w:r>
        <w:t xml:space="preserve">Projektet OpenAIRE har pågått under åren 2010-2012 och går nu mot sitt slut. Projektet </w:t>
      </w:r>
      <w:r w:rsidRPr="0031026C">
        <w:rPr>
          <w:b/>
        </w:rPr>
        <w:t>”OpenAIRE Plus</w:t>
      </w:r>
      <w:r>
        <w:rPr>
          <w:b/>
        </w:rPr>
        <w:t xml:space="preserve">” </w:t>
      </w:r>
      <w:r w:rsidRPr="0031026C">
        <w:t xml:space="preserve">tar vid </w:t>
      </w:r>
      <w:r>
        <w:t>med målet att även hantera och synliggöra forskningsdata. Sverige deltar som svensk nod i det nya OpenAIRE plus genom Kungl. bibliotekets arbete inom öppen tillgång till forskningsresultat.</w:t>
      </w:r>
    </w:p>
    <w:p w:rsidR="00DD77D8" w:rsidRPr="007A2776" w:rsidRDefault="00DD77D8" w:rsidP="00A41B53">
      <w:pPr>
        <w:pStyle w:val="RKnormal"/>
      </w:pPr>
    </w:p>
    <w:p w:rsidR="00DD77D8" w:rsidRDefault="00DD77D8" w:rsidP="00BE6D5D">
      <w:pPr>
        <w:pStyle w:val="RKnormal"/>
      </w:pPr>
    </w:p>
    <w:p w:rsidR="00DD77D8" w:rsidRPr="008F16C2" w:rsidRDefault="00DD77D8" w:rsidP="00BE6D5D">
      <w:pPr>
        <w:pStyle w:val="RKnormal"/>
      </w:pPr>
    </w:p>
    <w:sectPr w:rsidR="00DD77D8" w:rsidRPr="008F16C2" w:rsidSect="0089155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7D8" w:rsidRDefault="00DD77D8">
      <w:r>
        <w:separator/>
      </w:r>
    </w:p>
  </w:endnote>
  <w:endnote w:type="continuationSeparator" w:id="0">
    <w:p w:rsidR="00DD77D8" w:rsidRDefault="00DD7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7D8" w:rsidRDefault="00DD77D8">
      <w:r>
        <w:separator/>
      </w:r>
    </w:p>
  </w:footnote>
  <w:footnote w:type="continuationSeparator" w:id="0">
    <w:p w:rsidR="00DD77D8" w:rsidRDefault="00DD77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7D8" w:rsidRDefault="00DD77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DD77D8">
      <w:trPr>
        <w:cantSplit/>
      </w:trPr>
      <w:tc>
        <w:tcPr>
          <w:tcW w:w="3119" w:type="dxa"/>
        </w:tcPr>
        <w:p w:rsidR="00DD77D8" w:rsidRDefault="00DD77D8">
          <w:pPr>
            <w:pStyle w:val="Header"/>
            <w:spacing w:line="200" w:lineRule="atLeast"/>
            <w:ind w:right="357"/>
            <w:rPr>
              <w:rFonts w:ascii="TradeGothic" w:hAnsi="TradeGothic"/>
              <w:b/>
              <w:bCs/>
              <w:sz w:val="16"/>
            </w:rPr>
          </w:pPr>
        </w:p>
      </w:tc>
      <w:tc>
        <w:tcPr>
          <w:tcW w:w="4111" w:type="dxa"/>
          <w:tcMar>
            <w:left w:w="567" w:type="dxa"/>
          </w:tcMar>
        </w:tcPr>
        <w:p w:rsidR="00DD77D8" w:rsidRDefault="00DD77D8">
          <w:pPr>
            <w:pStyle w:val="Header"/>
            <w:ind w:right="360"/>
          </w:pPr>
        </w:p>
      </w:tc>
      <w:tc>
        <w:tcPr>
          <w:tcW w:w="1525" w:type="dxa"/>
        </w:tcPr>
        <w:p w:rsidR="00DD77D8" w:rsidRDefault="00DD77D8">
          <w:pPr>
            <w:pStyle w:val="Header"/>
            <w:ind w:right="360"/>
          </w:pPr>
        </w:p>
      </w:tc>
    </w:tr>
  </w:tbl>
  <w:p w:rsidR="00DD77D8" w:rsidRDefault="00DD77D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7D8" w:rsidRDefault="00DD77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DD77D8">
      <w:trPr>
        <w:cantSplit/>
      </w:trPr>
      <w:tc>
        <w:tcPr>
          <w:tcW w:w="3119" w:type="dxa"/>
        </w:tcPr>
        <w:p w:rsidR="00DD77D8" w:rsidRDefault="00DD77D8">
          <w:pPr>
            <w:pStyle w:val="Header"/>
            <w:spacing w:line="200" w:lineRule="atLeast"/>
            <w:ind w:right="357"/>
            <w:rPr>
              <w:rFonts w:ascii="TradeGothic" w:hAnsi="TradeGothic"/>
              <w:b/>
              <w:bCs/>
              <w:sz w:val="16"/>
            </w:rPr>
          </w:pPr>
        </w:p>
      </w:tc>
      <w:tc>
        <w:tcPr>
          <w:tcW w:w="4111" w:type="dxa"/>
          <w:tcMar>
            <w:left w:w="567" w:type="dxa"/>
          </w:tcMar>
        </w:tcPr>
        <w:p w:rsidR="00DD77D8" w:rsidRDefault="00DD77D8">
          <w:pPr>
            <w:pStyle w:val="Header"/>
            <w:ind w:right="360"/>
          </w:pPr>
        </w:p>
      </w:tc>
      <w:tc>
        <w:tcPr>
          <w:tcW w:w="1525" w:type="dxa"/>
        </w:tcPr>
        <w:p w:rsidR="00DD77D8" w:rsidRDefault="00DD77D8">
          <w:pPr>
            <w:pStyle w:val="Header"/>
            <w:ind w:right="360"/>
          </w:pPr>
        </w:p>
      </w:tc>
    </w:tr>
  </w:tbl>
  <w:p w:rsidR="00DD77D8" w:rsidRDefault="00DD77D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7D8" w:rsidRDefault="00DD77D8">
    <w:pPr>
      <w:framePr w:w="2948" w:h="1321" w:hRule="exact" w:wrap="notBeside" w:vAnchor="page" w:hAnchor="page" w:x="1362" w:y="653"/>
    </w:pPr>
    <w:r w:rsidRPr="000A0A6F">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DD77D8" w:rsidRDefault="00DD77D8">
    <w:pPr>
      <w:pStyle w:val="RKrubrik"/>
      <w:keepNext w:val="0"/>
      <w:tabs>
        <w:tab w:val="clear" w:pos="1134"/>
        <w:tab w:val="clear" w:pos="2835"/>
      </w:tabs>
      <w:spacing w:before="0" w:after="0" w:line="320" w:lineRule="atLeast"/>
      <w:rPr>
        <w:bCs/>
      </w:rPr>
    </w:pPr>
  </w:p>
  <w:p w:rsidR="00DD77D8" w:rsidRDefault="00DD77D8">
    <w:pPr>
      <w:rPr>
        <w:rFonts w:ascii="TradeGothic" w:hAnsi="TradeGothic"/>
        <w:b/>
        <w:bCs/>
        <w:spacing w:val="12"/>
        <w:sz w:val="22"/>
      </w:rPr>
    </w:pPr>
  </w:p>
  <w:p w:rsidR="00DD77D8" w:rsidRDefault="00DD77D8">
    <w:pPr>
      <w:pStyle w:val="RKrubrik"/>
      <w:keepNext w:val="0"/>
      <w:tabs>
        <w:tab w:val="clear" w:pos="1134"/>
        <w:tab w:val="clear" w:pos="2835"/>
      </w:tabs>
      <w:spacing w:before="0" w:after="0" w:line="320" w:lineRule="atLeast"/>
      <w:rPr>
        <w:bCs/>
      </w:rPr>
    </w:pPr>
  </w:p>
  <w:p w:rsidR="00DD77D8" w:rsidRDefault="00DD77D8">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820A2"/>
    <w:multiLevelType w:val="hybridMultilevel"/>
    <w:tmpl w:val="5A86540A"/>
    <w:lvl w:ilvl="0" w:tplc="BAF85FD8">
      <w:start w:val="1"/>
      <w:numFmt w:val="lowerLetter"/>
      <w:lvlText w:val="(%1)"/>
      <w:lvlJc w:val="left"/>
      <w:pPr>
        <w:ind w:left="1287" w:hanging="720"/>
      </w:pPr>
      <w:rPr>
        <w:rFonts w:cs="Times New Roman" w:hint="default"/>
      </w:rPr>
    </w:lvl>
    <w:lvl w:ilvl="1" w:tplc="041D0019" w:tentative="1">
      <w:start w:val="1"/>
      <w:numFmt w:val="lowerLetter"/>
      <w:lvlText w:val="%2."/>
      <w:lvlJc w:val="left"/>
      <w:pPr>
        <w:ind w:left="1647" w:hanging="360"/>
      </w:pPr>
      <w:rPr>
        <w:rFonts w:cs="Times New Roman"/>
      </w:rPr>
    </w:lvl>
    <w:lvl w:ilvl="2" w:tplc="041D001B" w:tentative="1">
      <w:start w:val="1"/>
      <w:numFmt w:val="lowerRoman"/>
      <w:lvlText w:val="%3."/>
      <w:lvlJc w:val="right"/>
      <w:pPr>
        <w:ind w:left="2367" w:hanging="180"/>
      </w:pPr>
      <w:rPr>
        <w:rFonts w:cs="Times New Roman"/>
      </w:rPr>
    </w:lvl>
    <w:lvl w:ilvl="3" w:tplc="041D000F" w:tentative="1">
      <w:start w:val="1"/>
      <w:numFmt w:val="decimal"/>
      <w:lvlText w:val="%4."/>
      <w:lvlJc w:val="left"/>
      <w:pPr>
        <w:ind w:left="3087" w:hanging="360"/>
      </w:pPr>
      <w:rPr>
        <w:rFonts w:cs="Times New Roman"/>
      </w:rPr>
    </w:lvl>
    <w:lvl w:ilvl="4" w:tplc="041D0019" w:tentative="1">
      <w:start w:val="1"/>
      <w:numFmt w:val="lowerLetter"/>
      <w:lvlText w:val="%5."/>
      <w:lvlJc w:val="left"/>
      <w:pPr>
        <w:ind w:left="3807" w:hanging="360"/>
      </w:pPr>
      <w:rPr>
        <w:rFonts w:cs="Times New Roman"/>
      </w:rPr>
    </w:lvl>
    <w:lvl w:ilvl="5" w:tplc="041D001B" w:tentative="1">
      <w:start w:val="1"/>
      <w:numFmt w:val="lowerRoman"/>
      <w:lvlText w:val="%6."/>
      <w:lvlJc w:val="right"/>
      <w:pPr>
        <w:ind w:left="4527" w:hanging="180"/>
      </w:pPr>
      <w:rPr>
        <w:rFonts w:cs="Times New Roman"/>
      </w:rPr>
    </w:lvl>
    <w:lvl w:ilvl="6" w:tplc="041D000F" w:tentative="1">
      <w:start w:val="1"/>
      <w:numFmt w:val="decimal"/>
      <w:lvlText w:val="%7."/>
      <w:lvlJc w:val="left"/>
      <w:pPr>
        <w:ind w:left="5247" w:hanging="360"/>
      </w:pPr>
      <w:rPr>
        <w:rFonts w:cs="Times New Roman"/>
      </w:rPr>
    </w:lvl>
    <w:lvl w:ilvl="7" w:tplc="041D0019" w:tentative="1">
      <w:start w:val="1"/>
      <w:numFmt w:val="lowerLetter"/>
      <w:lvlText w:val="%8."/>
      <w:lvlJc w:val="left"/>
      <w:pPr>
        <w:ind w:left="5967" w:hanging="360"/>
      </w:pPr>
      <w:rPr>
        <w:rFonts w:cs="Times New Roman"/>
      </w:rPr>
    </w:lvl>
    <w:lvl w:ilvl="8" w:tplc="041D001B" w:tentative="1">
      <w:start w:val="1"/>
      <w:numFmt w:val="lowerRoman"/>
      <w:lvlText w:val="%9."/>
      <w:lvlJc w:val="right"/>
      <w:pPr>
        <w:ind w:left="6687" w:hanging="180"/>
      </w:pPr>
      <w:rPr>
        <w:rFonts w:cs="Times New Roman"/>
      </w:rPr>
    </w:lvl>
  </w:abstractNum>
  <w:abstractNum w:abstractNumId="1">
    <w:nsid w:val="4C9774EE"/>
    <w:multiLevelType w:val="hybridMultilevel"/>
    <w:tmpl w:val="F5707636"/>
    <w:lvl w:ilvl="0" w:tplc="6CB49524">
      <w:start w:val="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6B1D92"/>
    <w:rsid w:val="00025C9E"/>
    <w:rsid w:val="000A0A6F"/>
    <w:rsid w:val="000D2CAB"/>
    <w:rsid w:val="00133925"/>
    <w:rsid w:val="001414B7"/>
    <w:rsid w:val="00150384"/>
    <w:rsid w:val="00156E4D"/>
    <w:rsid w:val="00160901"/>
    <w:rsid w:val="0016356D"/>
    <w:rsid w:val="00166D4D"/>
    <w:rsid w:val="001738E8"/>
    <w:rsid w:val="001805B7"/>
    <w:rsid w:val="001B12A9"/>
    <w:rsid w:val="002E12F5"/>
    <w:rsid w:val="0031026C"/>
    <w:rsid w:val="00321B9A"/>
    <w:rsid w:val="00354E0E"/>
    <w:rsid w:val="00367B1C"/>
    <w:rsid w:val="0040689C"/>
    <w:rsid w:val="00491190"/>
    <w:rsid w:val="004A328D"/>
    <w:rsid w:val="004B21D6"/>
    <w:rsid w:val="005138CA"/>
    <w:rsid w:val="00587424"/>
    <w:rsid w:val="0058762B"/>
    <w:rsid w:val="005966B8"/>
    <w:rsid w:val="005F7724"/>
    <w:rsid w:val="00606049"/>
    <w:rsid w:val="006216AF"/>
    <w:rsid w:val="00671859"/>
    <w:rsid w:val="006923C1"/>
    <w:rsid w:val="006B1D92"/>
    <w:rsid w:val="006E4E11"/>
    <w:rsid w:val="007242A3"/>
    <w:rsid w:val="00731199"/>
    <w:rsid w:val="007A2776"/>
    <w:rsid w:val="007A6855"/>
    <w:rsid w:val="007C7041"/>
    <w:rsid w:val="00826FEA"/>
    <w:rsid w:val="00877A03"/>
    <w:rsid w:val="0088280D"/>
    <w:rsid w:val="00891550"/>
    <w:rsid w:val="008A5300"/>
    <w:rsid w:val="008F16C2"/>
    <w:rsid w:val="0092027A"/>
    <w:rsid w:val="00955E31"/>
    <w:rsid w:val="00992E72"/>
    <w:rsid w:val="009A0C53"/>
    <w:rsid w:val="00A21783"/>
    <w:rsid w:val="00A36D21"/>
    <w:rsid w:val="00A41B53"/>
    <w:rsid w:val="00A55AA4"/>
    <w:rsid w:val="00A962B4"/>
    <w:rsid w:val="00AF26D1"/>
    <w:rsid w:val="00B70D20"/>
    <w:rsid w:val="00B74A75"/>
    <w:rsid w:val="00BA3EF0"/>
    <w:rsid w:val="00BE6D5D"/>
    <w:rsid w:val="00C42899"/>
    <w:rsid w:val="00C54A1B"/>
    <w:rsid w:val="00C80A70"/>
    <w:rsid w:val="00C812BA"/>
    <w:rsid w:val="00CA2844"/>
    <w:rsid w:val="00CC6A89"/>
    <w:rsid w:val="00D133D7"/>
    <w:rsid w:val="00D20BB2"/>
    <w:rsid w:val="00D451BC"/>
    <w:rsid w:val="00DC1DE5"/>
    <w:rsid w:val="00DD77D8"/>
    <w:rsid w:val="00E1750A"/>
    <w:rsid w:val="00E253E6"/>
    <w:rsid w:val="00E375EB"/>
    <w:rsid w:val="00E50715"/>
    <w:rsid w:val="00E671A6"/>
    <w:rsid w:val="00E80146"/>
    <w:rsid w:val="00E904D0"/>
    <w:rsid w:val="00EB4B3F"/>
    <w:rsid w:val="00EC25F9"/>
    <w:rsid w:val="00ED20EB"/>
    <w:rsid w:val="00ED583F"/>
    <w:rsid w:val="00F55D33"/>
    <w:rsid w:val="00FB25A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55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89155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891550"/>
    <w:pPr>
      <w:spacing w:before="360"/>
      <w:outlineLvl w:val="1"/>
    </w:pPr>
  </w:style>
  <w:style w:type="paragraph" w:styleId="Heading3">
    <w:name w:val="heading 3"/>
    <w:basedOn w:val="Heading2"/>
    <w:next w:val="RKnormal"/>
    <w:link w:val="Heading3Char"/>
    <w:uiPriority w:val="99"/>
    <w:qFormat/>
    <w:rsid w:val="00891550"/>
    <w:pPr>
      <w:spacing w:after="120" w:line="240" w:lineRule="atLeast"/>
      <w:outlineLvl w:val="2"/>
    </w:pPr>
    <w:rPr>
      <w:b w:val="0"/>
    </w:rPr>
  </w:style>
  <w:style w:type="paragraph" w:styleId="Heading4">
    <w:name w:val="heading 4"/>
    <w:basedOn w:val="Heading3"/>
    <w:next w:val="RKnormal"/>
    <w:link w:val="Heading4Char"/>
    <w:uiPriority w:val="99"/>
    <w:qFormat/>
    <w:rsid w:val="00891550"/>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24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0124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0124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0124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89155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9155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01240"/>
    <w:rPr>
      <w:rFonts w:ascii="OrigGarmnd BT" w:hAnsi="OrigGarmnd BT"/>
      <w:sz w:val="24"/>
      <w:szCs w:val="20"/>
      <w:lang w:eastAsia="en-US"/>
    </w:rPr>
  </w:style>
  <w:style w:type="paragraph" w:styleId="Header">
    <w:name w:val="header"/>
    <w:basedOn w:val="Normal"/>
    <w:link w:val="HeaderChar"/>
    <w:uiPriority w:val="99"/>
    <w:rsid w:val="00891550"/>
    <w:pPr>
      <w:tabs>
        <w:tab w:val="center" w:pos="4153"/>
        <w:tab w:val="right" w:pos="8306"/>
      </w:tabs>
    </w:pPr>
  </w:style>
  <w:style w:type="character" w:customStyle="1" w:styleId="HeaderChar">
    <w:name w:val="Header Char"/>
    <w:basedOn w:val="DefaultParagraphFont"/>
    <w:link w:val="Header"/>
    <w:uiPriority w:val="99"/>
    <w:semiHidden/>
    <w:rsid w:val="00901240"/>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89155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91550"/>
    <w:rPr>
      <w:rFonts w:cs="Times New Roman"/>
    </w:rPr>
  </w:style>
  <w:style w:type="paragraph" w:styleId="BalloonText">
    <w:name w:val="Balloon Text"/>
    <w:basedOn w:val="Normal"/>
    <w:link w:val="BalloonTextChar"/>
    <w:uiPriority w:val="99"/>
    <w:rsid w:val="006B1D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6B1D92"/>
    <w:rPr>
      <w:rFonts w:ascii="Tahoma" w:hAnsi="Tahoma" w:cs="Tahoma"/>
      <w:sz w:val="16"/>
      <w:szCs w:val="16"/>
      <w:lang w:eastAsia="en-US"/>
    </w:rPr>
  </w:style>
  <w:style w:type="paragraph" w:customStyle="1" w:styleId="Liststycke1">
    <w:name w:val="Liststycke1"/>
    <w:basedOn w:val="Normal"/>
    <w:uiPriority w:val="99"/>
    <w:rsid w:val="00354E0E"/>
    <w:pPr>
      <w:overflowPunct/>
      <w:autoSpaceDE/>
      <w:autoSpaceDN/>
      <w:adjustRightInd/>
      <w:spacing w:after="200" w:line="276" w:lineRule="auto"/>
      <w:ind w:left="720"/>
      <w:contextualSpacing/>
      <w:textAlignment w:val="auto"/>
    </w:pPr>
    <w:rPr>
      <w:rFonts w:ascii="Calibri" w:hAnsi="Calibri"/>
      <w:sz w:val="22"/>
      <w:szCs w:val="22"/>
      <w:lang w:val="en-US"/>
    </w:rPr>
  </w:style>
  <w:style w:type="paragraph" w:styleId="ListParagraph">
    <w:name w:val="List Paragraph"/>
    <w:basedOn w:val="Normal"/>
    <w:uiPriority w:val="99"/>
    <w:qFormat/>
    <w:rsid w:val="005966B8"/>
    <w:pPr>
      <w:ind w:left="720"/>
      <w:contextualSpacing/>
    </w:pPr>
  </w:style>
</w:styles>
</file>

<file path=word/webSettings.xml><?xml version="1.0" encoding="utf-8"?>
<w:webSettings xmlns:r="http://schemas.openxmlformats.org/officeDocument/2006/relationships" xmlns:w="http://schemas.openxmlformats.org/wordprocessingml/2006/main">
  <w:divs>
    <w:div w:id="1196384172">
      <w:marLeft w:val="0"/>
      <w:marRight w:val="0"/>
      <w:marTop w:val="0"/>
      <w:marBottom w:val="0"/>
      <w:divBdr>
        <w:top w:val="none" w:sz="0" w:space="0" w:color="auto"/>
        <w:left w:val="none" w:sz="0" w:space="0" w:color="auto"/>
        <w:bottom w:val="none" w:sz="0" w:space="0" w:color="auto"/>
        <w:right w:val="none" w:sz="0" w:space="0" w:color="auto"/>
      </w:divBdr>
    </w:div>
    <w:div w:id="1196384174">
      <w:marLeft w:val="0"/>
      <w:marRight w:val="0"/>
      <w:marTop w:val="0"/>
      <w:marBottom w:val="0"/>
      <w:divBdr>
        <w:top w:val="none" w:sz="0" w:space="0" w:color="auto"/>
        <w:left w:val="none" w:sz="0" w:space="0" w:color="auto"/>
        <w:bottom w:val="none" w:sz="0" w:space="0" w:color="auto"/>
        <w:right w:val="none" w:sz="0" w:space="0" w:color="auto"/>
      </w:divBdr>
    </w:div>
    <w:div w:id="1196384178">
      <w:marLeft w:val="0"/>
      <w:marRight w:val="0"/>
      <w:marTop w:val="0"/>
      <w:marBottom w:val="0"/>
      <w:divBdr>
        <w:top w:val="none" w:sz="0" w:space="0" w:color="auto"/>
        <w:left w:val="none" w:sz="0" w:space="0" w:color="auto"/>
        <w:bottom w:val="none" w:sz="0" w:space="0" w:color="auto"/>
        <w:right w:val="none" w:sz="0" w:space="0" w:color="auto"/>
      </w:divBdr>
    </w:div>
    <w:div w:id="1196384179">
      <w:marLeft w:val="0"/>
      <w:marRight w:val="0"/>
      <w:marTop w:val="0"/>
      <w:marBottom w:val="0"/>
      <w:divBdr>
        <w:top w:val="none" w:sz="0" w:space="0" w:color="auto"/>
        <w:left w:val="none" w:sz="0" w:space="0" w:color="auto"/>
        <w:bottom w:val="none" w:sz="0" w:space="0" w:color="auto"/>
        <w:right w:val="none" w:sz="0" w:space="0" w:color="auto"/>
      </w:divBdr>
      <w:divsChild>
        <w:div w:id="1196384184">
          <w:marLeft w:val="0"/>
          <w:marRight w:val="0"/>
          <w:marTop w:val="0"/>
          <w:marBottom w:val="0"/>
          <w:divBdr>
            <w:top w:val="none" w:sz="0" w:space="0" w:color="auto"/>
            <w:left w:val="none" w:sz="0" w:space="0" w:color="auto"/>
            <w:bottom w:val="none" w:sz="0" w:space="0" w:color="auto"/>
            <w:right w:val="none" w:sz="0" w:space="0" w:color="auto"/>
          </w:divBdr>
          <w:divsChild>
            <w:div w:id="1196384191">
              <w:marLeft w:val="195"/>
              <w:marRight w:val="180"/>
              <w:marTop w:val="0"/>
              <w:marBottom w:val="0"/>
              <w:divBdr>
                <w:top w:val="none" w:sz="0" w:space="0" w:color="auto"/>
                <w:left w:val="none" w:sz="0" w:space="0" w:color="auto"/>
                <w:bottom w:val="none" w:sz="0" w:space="0" w:color="auto"/>
                <w:right w:val="none" w:sz="0" w:space="0" w:color="auto"/>
              </w:divBdr>
              <w:divsChild>
                <w:div w:id="1196384175">
                  <w:marLeft w:val="195"/>
                  <w:marRight w:val="180"/>
                  <w:marTop w:val="0"/>
                  <w:marBottom w:val="0"/>
                  <w:divBdr>
                    <w:top w:val="none" w:sz="0" w:space="0" w:color="auto"/>
                    <w:left w:val="none" w:sz="0" w:space="0" w:color="auto"/>
                    <w:bottom w:val="none" w:sz="0" w:space="0" w:color="auto"/>
                    <w:right w:val="none" w:sz="0" w:space="0" w:color="auto"/>
                  </w:divBdr>
                  <w:divsChild>
                    <w:div w:id="1196384171">
                      <w:marLeft w:val="195"/>
                      <w:marRight w:val="180"/>
                      <w:marTop w:val="0"/>
                      <w:marBottom w:val="0"/>
                      <w:divBdr>
                        <w:top w:val="none" w:sz="0" w:space="0" w:color="auto"/>
                        <w:left w:val="none" w:sz="0" w:space="0" w:color="auto"/>
                        <w:bottom w:val="none" w:sz="0" w:space="0" w:color="auto"/>
                        <w:right w:val="none" w:sz="0" w:space="0" w:color="auto"/>
                      </w:divBdr>
                      <w:divsChild>
                        <w:div w:id="1196384200">
                          <w:marLeft w:val="0"/>
                          <w:marRight w:val="0"/>
                          <w:marTop w:val="0"/>
                          <w:marBottom w:val="0"/>
                          <w:divBdr>
                            <w:top w:val="none" w:sz="0" w:space="0" w:color="auto"/>
                            <w:left w:val="none" w:sz="0" w:space="0" w:color="auto"/>
                            <w:bottom w:val="none" w:sz="0" w:space="0" w:color="auto"/>
                            <w:right w:val="none" w:sz="0" w:space="0" w:color="auto"/>
                          </w:divBdr>
                          <w:divsChild>
                            <w:div w:id="1196384201">
                              <w:marLeft w:val="195"/>
                              <w:marRight w:val="180"/>
                              <w:marTop w:val="0"/>
                              <w:marBottom w:val="0"/>
                              <w:divBdr>
                                <w:top w:val="none" w:sz="0" w:space="0" w:color="auto"/>
                                <w:left w:val="none" w:sz="0" w:space="0" w:color="auto"/>
                                <w:bottom w:val="none" w:sz="0" w:space="0" w:color="auto"/>
                                <w:right w:val="none" w:sz="0" w:space="0" w:color="auto"/>
                              </w:divBdr>
                              <w:divsChild>
                                <w:div w:id="1196384169">
                                  <w:marLeft w:val="195"/>
                                  <w:marRight w:val="180"/>
                                  <w:marTop w:val="0"/>
                                  <w:marBottom w:val="0"/>
                                  <w:divBdr>
                                    <w:top w:val="none" w:sz="0" w:space="0" w:color="auto"/>
                                    <w:left w:val="none" w:sz="0" w:space="0" w:color="auto"/>
                                    <w:bottom w:val="none" w:sz="0" w:space="0" w:color="auto"/>
                                    <w:right w:val="none" w:sz="0" w:space="0" w:color="auto"/>
                                  </w:divBdr>
                                  <w:divsChild>
                                    <w:div w:id="1196384195">
                                      <w:marLeft w:val="195"/>
                                      <w:marRight w:val="180"/>
                                      <w:marTop w:val="0"/>
                                      <w:marBottom w:val="0"/>
                                      <w:divBdr>
                                        <w:top w:val="none" w:sz="0" w:space="0" w:color="auto"/>
                                        <w:left w:val="none" w:sz="0" w:space="0" w:color="auto"/>
                                        <w:bottom w:val="none" w:sz="0" w:space="0" w:color="auto"/>
                                        <w:right w:val="none" w:sz="0" w:space="0" w:color="auto"/>
                                      </w:divBdr>
                                      <w:divsChild>
                                        <w:div w:id="1196384198">
                                          <w:marLeft w:val="195"/>
                                          <w:marRight w:val="180"/>
                                          <w:marTop w:val="0"/>
                                          <w:marBottom w:val="0"/>
                                          <w:divBdr>
                                            <w:top w:val="none" w:sz="0" w:space="0" w:color="auto"/>
                                            <w:left w:val="none" w:sz="0" w:space="0" w:color="auto"/>
                                            <w:bottom w:val="none" w:sz="0" w:space="0" w:color="auto"/>
                                            <w:right w:val="none" w:sz="0" w:space="0" w:color="auto"/>
                                          </w:divBdr>
                                          <w:divsChild>
                                            <w:div w:id="1196384205">
                                              <w:marLeft w:val="0"/>
                                              <w:marRight w:val="0"/>
                                              <w:marTop w:val="0"/>
                                              <w:marBottom w:val="0"/>
                                              <w:divBdr>
                                                <w:top w:val="none" w:sz="0" w:space="0" w:color="auto"/>
                                                <w:left w:val="none" w:sz="0" w:space="0" w:color="auto"/>
                                                <w:bottom w:val="none" w:sz="0" w:space="0" w:color="auto"/>
                                                <w:right w:val="none" w:sz="0" w:space="0" w:color="auto"/>
                                              </w:divBdr>
                                              <w:divsChild>
                                                <w:div w:id="1196384176">
                                                  <w:marLeft w:val="195"/>
                                                  <w:marRight w:val="180"/>
                                                  <w:marTop w:val="0"/>
                                                  <w:marBottom w:val="0"/>
                                                  <w:divBdr>
                                                    <w:top w:val="none" w:sz="0" w:space="0" w:color="auto"/>
                                                    <w:left w:val="none" w:sz="0" w:space="0" w:color="auto"/>
                                                    <w:bottom w:val="none" w:sz="0" w:space="0" w:color="auto"/>
                                                    <w:right w:val="none" w:sz="0" w:space="0" w:color="auto"/>
                                                  </w:divBdr>
                                                  <w:divsChild>
                                                    <w:div w:id="119638418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6384181">
      <w:marLeft w:val="0"/>
      <w:marRight w:val="0"/>
      <w:marTop w:val="0"/>
      <w:marBottom w:val="0"/>
      <w:divBdr>
        <w:top w:val="none" w:sz="0" w:space="0" w:color="auto"/>
        <w:left w:val="none" w:sz="0" w:space="0" w:color="auto"/>
        <w:bottom w:val="none" w:sz="0" w:space="0" w:color="auto"/>
        <w:right w:val="none" w:sz="0" w:space="0" w:color="auto"/>
      </w:divBdr>
    </w:div>
    <w:div w:id="1196384182">
      <w:marLeft w:val="0"/>
      <w:marRight w:val="0"/>
      <w:marTop w:val="0"/>
      <w:marBottom w:val="0"/>
      <w:divBdr>
        <w:top w:val="none" w:sz="0" w:space="0" w:color="auto"/>
        <w:left w:val="none" w:sz="0" w:space="0" w:color="auto"/>
        <w:bottom w:val="none" w:sz="0" w:space="0" w:color="auto"/>
        <w:right w:val="none" w:sz="0" w:space="0" w:color="auto"/>
      </w:divBdr>
    </w:div>
    <w:div w:id="1196384186">
      <w:marLeft w:val="0"/>
      <w:marRight w:val="0"/>
      <w:marTop w:val="0"/>
      <w:marBottom w:val="0"/>
      <w:divBdr>
        <w:top w:val="none" w:sz="0" w:space="0" w:color="auto"/>
        <w:left w:val="none" w:sz="0" w:space="0" w:color="auto"/>
        <w:bottom w:val="none" w:sz="0" w:space="0" w:color="auto"/>
        <w:right w:val="none" w:sz="0" w:space="0" w:color="auto"/>
      </w:divBdr>
    </w:div>
    <w:div w:id="1196384187">
      <w:marLeft w:val="0"/>
      <w:marRight w:val="0"/>
      <w:marTop w:val="0"/>
      <w:marBottom w:val="0"/>
      <w:divBdr>
        <w:top w:val="none" w:sz="0" w:space="0" w:color="auto"/>
        <w:left w:val="none" w:sz="0" w:space="0" w:color="auto"/>
        <w:bottom w:val="none" w:sz="0" w:space="0" w:color="auto"/>
        <w:right w:val="none" w:sz="0" w:space="0" w:color="auto"/>
      </w:divBdr>
    </w:div>
    <w:div w:id="1196384190">
      <w:marLeft w:val="0"/>
      <w:marRight w:val="0"/>
      <w:marTop w:val="0"/>
      <w:marBottom w:val="0"/>
      <w:divBdr>
        <w:top w:val="none" w:sz="0" w:space="0" w:color="auto"/>
        <w:left w:val="none" w:sz="0" w:space="0" w:color="auto"/>
        <w:bottom w:val="none" w:sz="0" w:space="0" w:color="auto"/>
        <w:right w:val="none" w:sz="0" w:space="0" w:color="auto"/>
      </w:divBdr>
    </w:div>
    <w:div w:id="1196384193">
      <w:marLeft w:val="0"/>
      <w:marRight w:val="0"/>
      <w:marTop w:val="0"/>
      <w:marBottom w:val="0"/>
      <w:divBdr>
        <w:top w:val="none" w:sz="0" w:space="0" w:color="auto"/>
        <w:left w:val="none" w:sz="0" w:space="0" w:color="auto"/>
        <w:bottom w:val="none" w:sz="0" w:space="0" w:color="auto"/>
        <w:right w:val="none" w:sz="0" w:space="0" w:color="auto"/>
      </w:divBdr>
    </w:div>
    <w:div w:id="1196384197">
      <w:marLeft w:val="0"/>
      <w:marRight w:val="0"/>
      <w:marTop w:val="0"/>
      <w:marBottom w:val="0"/>
      <w:divBdr>
        <w:top w:val="none" w:sz="0" w:space="0" w:color="auto"/>
        <w:left w:val="none" w:sz="0" w:space="0" w:color="auto"/>
        <w:bottom w:val="none" w:sz="0" w:space="0" w:color="auto"/>
        <w:right w:val="none" w:sz="0" w:space="0" w:color="auto"/>
      </w:divBdr>
    </w:div>
    <w:div w:id="1196384202">
      <w:marLeft w:val="0"/>
      <w:marRight w:val="0"/>
      <w:marTop w:val="0"/>
      <w:marBottom w:val="0"/>
      <w:divBdr>
        <w:top w:val="none" w:sz="0" w:space="0" w:color="auto"/>
        <w:left w:val="none" w:sz="0" w:space="0" w:color="auto"/>
        <w:bottom w:val="none" w:sz="0" w:space="0" w:color="auto"/>
        <w:right w:val="none" w:sz="0" w:space="0" w:color="auto"/>
      </w:divBdr>
    </w:div>
    <w:div w:id="1196384204">
      <w:marLeft w:val="0"/>
      <w:marRight w:val="0"/>
      <w:marTop w:val="0"/>
      <w:marBottom w:val="0"/>
      <w:divBdr>
        <w:top w:val="none" w:sz="0" w:space="0" w:color="auto"/>
        <w:left w:val="none" w:sz="0" w:space="0" w:color="auto"/>
        <w:bottom w:val="none" w:sz="0" w:space="0" w:color="auto"/>
        <w:right w:val="none" w:sz="0" w:space="0" w:color="auto"/>
      </w:divBdr>
      <w:divsChild>
        <w:div w:id="1196384173">
          <w:marLeft w:val="0"/>
          <w:marRight w:val="0"/>
          <w:marTop w:val="0"/>
          <w:marBottom w:val="0"/>
          <w:divBdr>
            <w:top w:val="none" w:sz="0" w:space="0" w:color="auto"/>
            <w:left w:val="none" w:sz="0" w:space="0" w:color="auto"/>
            <w:bottom w:val="none" w:sz="0" w:space="0" w:color="auto"/>
            <w:right w:val="none" w:sz="0" w:space="0" w:color="auto"/>
          </w:divBdr>
          <w:divsChild>
            <w:div w:id="1196384189">
              <w:marLeft w:val="195"/>
              <w:marRight w:val="180"/>
              <w:marTop w:val="0"/>
              <w:marBottom w:val="0"/>
              <w:divBdr>
                <w:top w:val="none" w:sz="0" w:space="0" w:color="auto"/>
                <w:left w:val="none" w:sz="0" w:space="0" w:color="auto"/>
                <w:bottom w:val="none" w:sz="0" w:space="0" w:color="auto"/>
                <w:right w:val="none" w:sz="0" w:space="0" w:color="auto"/>
              </w:divBdr>
              <w:divsChild>
                <w:div w:id="1196384203">
                  <w:marLeft w:val="195"/>
                  <w:marRight w:val="180"/>
                  <w:marTop w:val="0"/>
                  <w:marBottom w:val="0"/>
                  <w:divBdr>
                    <w:top w:val="none" w:sz="0" w:space="0" w:color="auto"/>
                    <w:left w:val="none" w:sz="0" w:space="0" w:color="auto"/>
                    <w:bottom w:val="none" w:sz="0" w:space="0" w:color="auto"/>
                    <w:right w:val="none" w:sz="0" w:space="0" w:color="auto"/>
                  </w:divBdr>
                  <w:divsChild>
                    <w:div w:id="1196384196">
                      <w:marLeft w:val="195"/>
                      <w:marRight w:val="180"/>
                      <w:marTop w:val="0"/>
                      <w:marBottom w:val="0"/>
                      <w:divBdr>
                        <w:top w:val="none" w:sz="0" w:space="0" w:color="auto"/>
                        <w:left w:val="none" w:sz="0" w:space="0" w:color="auto"/>
                        <w:bottom w:val="none" w:sz="0" w:space="0" w:color="auto"/>
                        <w:right w:val="none" w:sz="0" w:space="0" w:color="auto"/>
                      </w:divBdr>
                      <w:divsChild>
                        <w:div w:id="1196384188">
                          <w:marLeft w:val="0"/>
                          <w:marRight w:val="0"/>
                          <w:marTop w:val="0"/>
                          <w:marBottom w:val="0"/>
                          <w:divBdr>
                            <w:top w:val="none" w:sz="0" w:space="0" w:color="auto"/>
                            <w:left w:val="none" w:sz="0" w:space="0" w:color="auto"/>
                            <w:bottom w:val="none" w:sz="0" w:space="0" w:color="auto"/>
                            <w:right w:val="none" w:sz="0" w:space="0" w:color="auto"/>
                          </w:divBdr>
                          <w:divsChild>
                            <w:div w:id="1196384194">
                              <w:marLeft w:val="195"/>
                              <w:marRight w:val="180"/>
                              <w:marTop w:val="0"/>
                              <w:marBottom w:val="0"/>
                              <w:divBdr>
                                <w:top w:val="none" w:sz="0" w:space="0" w:color="auto"/>
                                <w:left w:val="none" w:sz="0" w:space="0" w:color="auto"/>
                                <w:bottom w:val="none" w:sz="0" w:space="0" w:color="auto"/>
                                <w:right w:val="none" w:sz="0" w:space="0" w:color="auto"/>
                              </w:divBdr>
                              <w:divsChild>
                                <w:div w:id="1196384183">
                                  <w:marLeft w:val="195"/>
                                  <w:marRight w:val="180"/>
                                  <w:marTop w:val="0"/>
                                  <w:marBottom w:val="0"/>
                                  <w:divBdr>
                                    <w:top w:val="none" w:sz="0" w:space="0" w:color="auto"/>
                                    <w:left w:val="none" w:sz="0" w:space="0" w:color="auto"/>
                                    <w:bottom w:val="none" w:sz="0" w:space="0" w:color="auto"/>
                                    <w:right w:val="none" w:sz="0" w:space="0" w:color="auto"/>
                                  </w:divBdr>
                                  <w:divsChild>
                                    <w:div w:id="1196384177">
                                      <w:marLeft w:val="195"/>
                                      <w:marRight w:val="180"/>
                                      <w:marTop w:val="0"/>
                                      <w:marBottom w:val="0"/>
                                      <w:divBdr>
                                        <w:top w:val="none" w:sz="0" w:space="0" w:color="auto"/>
                                        <w:left w:val="none" w:sz="0" w:space="0" w:color="auto"/>
                                        <w:bottom w:val="none" w:sz="0" w:space="0" w:color="auto"/>
                                        <w:right w:val="none" w:sz="0" w:space="0" w:color="auto"/>
                                      </w:divBdr>
                                      <w:divsChild>
                                        <w:div w:id="1196384199">
                                          <w:marLeft w:val="195"/>
                                          <w:marRight w:val="180"/>
                                          <w:marTop w:val="0"/>
                                          <w:marBottom w:val="0"/>
                                          <w:divBdr>
                                            <w:top w:val="none" w:sz="0" w:space="0" w:color="auto"/>
                                            <w:left w:val="none" w:sz="0" w:space="0" w:color="auto"/>
                                            <w:bottom w:val="none" w:sz="0" w:space="0" w:color="auto"/>
                                            <w:right w:val="none" w:sz="0" w:space="0" w:color="auto"/>
                                          </w:divBdr>
                                          <w:divsChild>
                                            <w:div w:id="1196384180">
                                              <w:marLeft w:val="0"/>
                                              <w:marRight w:val="0"/>
                                              <w:marTop w:val="0"/>
                                              <w:marBottom w:val="0"/>
                                              <w:divBdr>
                                                <w:top w:val="none" w:sz="0" w:space="0" w:color="auto"/>
                                                <w:left w:val="none" w:sz="0" w:space="0" w:color="auto"/>
                                                <w:bottom w:val="none" w:sz="0" w:space="0" w:color="auto"/>
                                                <w:right w:val="none" w:sz="0" w:space="0" w:color="auto"/>
                                              </w:divBdr>
                                              <w:divsChild>
                                                <w:div w:id="1196384192">
                                                  <w:marLeft w:val="195"/>
                                                  <w:marRight w:val="180"/>
                                                  <w:marTop w:val="0"/>
                                                  <w:marBottom w:val="0"/>
                                                  <w:divBdr>
                                                    <w:top w:val="none" w:sz="0" w:space="0" w:color="auto"/>
                                                    <w:left w:val="none" w:sz="0" w:space="0" w:color="auto"/>
                                                    <w:bottom w:val="none" w:sz="0" w:space="0" w:color="auto"/>
                                                    <w:right w:val="none" w:sz="0" w:space="0" w:color="auto"/>
                                                  </w:divBdr>
                                                  <w:divsChild>
                                                    <w:div w:id="119638417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682</Words>
  <Characters>4495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Per-Erik Yngwe</dc:creator>
  <cp:keywords/>
  <dc:description/>
  <cp:lastModifiedBy>ha0808ab</cp:lastModifiedBy>
  <cp:revision>2</cp:revision>
  <cp:lastPrinted>2013-02-11T12:49:00Z</cp:lastPrinted>
  <dcterms:created xsi:type="dcterms:W3CDTF">2013-02-11T12:50:00Z</dcterms:created>
  <dcterms:modified xsi:type="dcterms:W3CDTF">2013-02-11T12:50:00Z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0x01010053E1D612BA3F4E21AA250ECD751942B300BEB80B031A7EB547B6901546B9851C7A</vt:lpwstr>
  </property>
  <property fmtid="{D5CDD505-2E9C-101B-9397-08002B2CF9AE}" pid="6" name="_dlc_DocIdItemGuid">
    <vt:lpwstr>9ab7ba06-0808-42a3-9a7d-a6409586993c</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0</vt:lpwstr>
  </property>
  <property fmtid="{D5CDD505-2E9C-101B-9397-08002B2CF9AE}" pid="15" name="_dlc_DocId">
    <vt:lpwstr>W2C5EU7TYCK3-13-377</vt:lpwstr>
  </property>
  <property fmtid="{D5CDD505-2E9C-101B-9397-08002B2CF9AE}" pid="16" name="_dlc_DocIdUrl">
    <vt:lpwstr>http://rkdhs-ud/enhet/fim/29_30_maj/_layouts/DocIdRedir.aspx?ID=W2C5EU7TYCK3-13-377, W2C5EU7TYCK3-13-377</vt:lpwstr>
  </property>
</Properties>
</file>