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046EB1">
        <w:tblPrEx>
          <w:tblCellMar>
            <w:top w:w="0" w:type="dxa"/>
            <w:bottom w:w="0" w:type="dxa"/>
          </w:tblCellMar>
        </w:tblPrEx>
        <w:trPr>
          <w:cantSplit/>
          <w:trHeight w:val="1720"/>
        </w:trPr>
        <w:tc>
          <w:tcPr>
            <w:tcW w:w="6024" w:type="dxa"/>
          </w:tcPr>
          <w:p w:rsidR="00C23BFC" w:rsidRPr="00046EB1" w:rsidRDefault="00C23BFC">
            <w:pPr>
              <w:pStyle w:val="HuvudRubrik"/>
            </w:pPr>
            <w:r w:rsidRPr="00046EB1">
              <w:t>Trafikutskottets yttrande</w:t>
            </w:r>
          </w:p>
          <w:p w:rsidR="00C23BFC" w:rsidRPr="00046EB1" w:rsidRDefault="00C23BFC">
            <w:pPr>
              <w:pStyle w:val="HuvudRubrikRad2"/>
            </w:pPr>
            <w:bookmarkStart w:id="0" w:name="BetänkandeNr"/>
            <w:bookmarkEnd w:id="0"/>
            <w:r w:rsidRPr="00046EB1">
              <w:t>2003/04:TU1y</w:t>
            </w:r>
          </w:p>
        </w:tc>
        <w:tc>
          <w:tcPr>
            <w:tcW w:w="1418" w:type="dxa"/>
            <w:tcBorders>
              <w:bottom w:val="nil"/>
            </w:tcBorders>
          </w:tcPr>
          <w:p w:rsidR="00C23BFC" w:rsidRPr="00046EB1" w:rsidRDefault="00046EB1">
            <w:pPr>
              <w:spacing w:line="230" w:lineRule="auto"/>
              <w:jc w:val="center"/>
            </w:pPr>
            <w:r w:rsidRPr="00046EB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23BFC" w:rsidRPr="00046EB1" w:rsidRDefault="00C23BFC">
            <w:pPr>
              <w:pStyle w:val="UtskriftsdatumSida1"/>
              <w:framePr w:wrap="around"/>
            </w:pPr>
          </w:p>
        </w:tc>
      </w:tr>
      <w:tr w:rsidR="00000000" w:rsidRPr="00046EB1">
        <w:tblPrEx>
          <w:tblCellMar>
            <w:top w:w="0" w:type="dxa"/>
            <w:bottom w:w="0" w:type="dxa"/>
          </w:tblCellMar>
        </w:tblPrEx>
        <w:trPr>
          <w:cantSplit/>
        </w:trPr>
        <w:tc>
          <w:tcPr>
            <w:tcW w:w="6024" w:type="dxa"/>
            <w:tcBorders>
              <w:bottom w:val="single" w:sz="4" w:space="0" w:color="auto"/>
            </w:tcBorders>
          </w:tcPr>
          <w:p w:rsidR="00C23BFC" w:rsidRPr="00046EB1" w:rsidRDefault="00C23BFC">
            <w:pPr>
              <w:rPr>
                <w:sz w:val="40"/>
              </w:rPr>
            </w:pPr>
            <w:bookmarkStart w:id="1" w:name="Huvudrubrik"/>
            <w:bookmarkEnd w:id="1"/>
            <w:r w:rsidRPr="00046EB1">
              <w:rPr>
                <w:sz w:val="40"/>
              </w:rPr>
              <w:t xml:space="preserve">Europeiska konventet om </w:t>
            </w:r>
          </w:p>
          <w:p w:rsidR="00C23BFC" w:rsidRPr="00046EB1" w:rsidRDefault="00C23BFC">
            <w:pPr>
              <w:rPr>
                <w:sz w:val="40"/>
              </w:rPr>
            </w:pPr>
            <w:r w:rsidRPr="00046EB1">
              <w:rPr>
                <w:sz w:val="40"/>
              </w:rPr>
              <w:t>EU:s framtid (skr. 2003/04:13)</w:t>
            </w:r>
          </w:p>
        </w:tc>
        <w:tc>
          <w:tcPr>
            <w:tcW w:w="1418" w:type="dxa"/>
            <w:tcBorders>
              <w:bottom w:val="nil"/>
            </w:tcBorders>
          </w:tcPr>
          <w:p w:rsidR="00C23BFC" w:rsidRPr="00046EB1" w:rsidRDefault="00C23BFC"/>
        </w:tc>
      </w:tr>
    </w:tbl>
    <w:p w:rsidR="00C23BFC" w:rsidRPr="00046EB1" w:rsidRDefault="00C23BFC">
      <w:pPr>
        <w:pStyle w:val="Normaltindrag"/>
      </w:pPr>
    </w:p>
    <w:p w:rsidR="00C23BFC" w:rsidRPr="00046EB1" w:rsidRDefault="00C23BFC">
      <w:pPr>
        <w:pStyle w:val="Normaltindrag"/>
      </w:pPr>
    </w:p>
    <w:p w:rsidR="00C23BFC" w:rsidRPr="00046EB1" w:rsidRDefault="00C23BFC">
      <w:pPr>
        <w:pStyle w:val="R1"/>
        <w:spacing w:after="250"/>
      </w:pPr>
      <w:bookmarkStart w:id="2" w:name="TextStart"/>
      <w:bookmarkEnd w:id="2"/>
      <w:r w:rsidRPr="00046EB1">
        <w:t>Till det sammansatta konstitutions- och utrikesutskottet</w:t>
      </w:r>
    </w:p>
    <w:p w:rsidR="00C23BFC" w:rsidRPr="00046EB1" w:rsidRDefault="00C23BFC">
      <w:r w:rsidRPr="00046EB1">
        <w:t>Det sammansatta konstitutions- och utrikesutskottet har den 24 september 2003 berett samtliga övriga utskott utom konstitutionsutskottet och utrikesu</w:t>
      </w:r>
      <w:r w:rsidRPr="00046EB1">
        <w:t>t</w:t>
      </w:r>
      <w:r w:rsidRPr="00046EB1">
        <w:t xml:space="preserve">skottet tillfälle att yttra sig över skrivelse 2003/04:13 Europeiska konventet om EU:s framtid jämte motioner. Trafikutskottet lämnar i detta yttrande vissa övergripande synpunkter på transportfrågornas behandling i EU-samarbetet. I sammanhanget behandlas följdmotion 2003/04:K4 av Carina Moberg m.fl. (s). </w:t>
      </w:r>
    </w:p>
    <w:p w:rsidR="00C23BFC" w:rsidRPr="00046EB1" w:rsidRDefault="00C23BFC">
      <w:pPr>
        <w:pStyle w:val="R3"/>
        <w:outlineLvl w:val="0"/>
      </w:pPr>
      <w:r w:rsidRPr="00046EB1">
        <w:t>Konventets förslag inom transportområdet m.m.</w:t>
      </w:r>
    </w:p>
    <w:p w:rsidR="00C23BFC" w:rsidRPr="00046EB1" w:rsidRDefault="00C23BFC">
      <w:r w:rsidRPr="00046EB1">
        <w:t>Vid Europeiska rådets möte i Nice i december 2000 beslutades om vissa frågor som skulle behandlas av en kommande regeringskonferens. En av dem gällde frågan om hur fördragen kan förenklas för att göra dem tydligare och lättare att förstå, utan att deras innebörd än</w:t>
      </w:r>
      <w:r w:rsidRPr="00046EB1">
        <w:t>d</w:t>
      </w:r>
      <w:r w:rsidRPr="00046EB1">
        <w:t xml:space="preserve">ras. </w:t>
      </w:r>
    </w:p>
    <w:p w:rsidR="00C23BFC" w:rsidRPr="00046EB1" w:rsidRDefault="00C23BFC">
      <w:pPr>
        <w:pStyle w:val="Normaltindrag"/>
      </w:pPr>
      <w:r w:rsidRPr="00046EB1">
        <w:t xml:space="preserve">Det konvent som sammankallades för att förbereda regeringskonferensen har presenterat ett förslag till ett fördrag om upprättande av en konstitution för Europa. Förslaget innefattar följande fyra delar. </w:t>
      </w:r>
    </w:p>
    <w:p w:rsidR="00C23BFC" w:rsidRPr="00046EB1" w:rsidRDefault="00C23BFC">
      <w:pPr>
        <w:pStyle w:val="Rubrik4"/>
        <w:rPr>
          <w:noProof w:val="0"/>
        </w:rPr>
      </w:pPr>
      <w:r w:rsidRPr="00046EB1">
        <w:rPr>
          <w:noProof w:val="0"/>
        </w:rPr>
        <w:t xml:space="preserve">Del I Unionens värden och mål </w:t>
      </w:r>
    </w:p>
    <w:p w:rsidR="00C23BFC" w:rsidRPr="00046EB1" w:rsidRDefault="00C23BFC">
      <w:r w:rsidRPr="00046EB1">
        <w:t xml:space="preserve">Denna del beskriver vilka värden som EU grundas på, dess befogenheter, dess mål och dess styrelseformer. </w:t>
      </w:r>
    </w:p>
    <w:p w:rsidR="00C23BFC" w:rsidRPr="00046EB1" w:rsidRDefault="00C23BFC">
      <w:pPr>
        <w:pStyle w:val="Normaltindrag"/>
      </w:pPr>
      <w:r w:rsidRPr="00046EB1">
        <w:t xml:space="preserve">Som övergripande </w:t>
      </w:r>
      <w:r w:rsidRPr="00046EB1">
        <w:rPr>
          <w:i/>
        </w:rPr>
        <w:t>mål</w:t>
      </w:r>
      <w:r w:rsidRPr="00046EB1">
        <w:t xml:space="preserve"> för unionen anges bl.a. hållbar utveckling med konkurrenskraft, full sysselsättning och hög miljöskyddsnivå. </w:t>
      </w:r>
    </w:p>
    <w:p w:rsidR="00C23BFC" w:rsidRPr="00046EB1" w:rsidRDefault="00C23BFC">
      <w:pPr>
        <w:pStyle w:val="Normaltindrag"/>
      </w:pPr>
      <w:r w:rsidRPr="00046EB1">
        <w:t xml:space="preserve">EU:s </w:t>
      </w:r>
      <w:r w:rsidRPr="00046EB1">
        <w:rPr>
          <w:i/>
        </w:rPr>
        <w:t xml:space="preserve">befogenheter </w:t>
      </w:r>
      <w:r w:rsidRPr="00046EB1">
        <w:t>(maktfördelningen mellan bl.a. EU och medlemslä</w:t>
      </w:r>
      <w:r w:rsidRPr="00046EB1">
        <w:t>n</w:t>
      </w:r>
      <w:r w:rsidRPr="00046EB1">
        <w:t>derna)</w:t>
      </w:r>
      <w:r w:rsidRPr="00046EB1">
        <w:rPr>
          <w:i/>
        </w:rPr>
        <w:t xml:space="preserve"> – </w:t>
      </w:r>
      <w:r w:rsidRPr="00046EB1">
        <w:t>delas in i tre olika huvudkategorier. Det är exklusiva och delade befogenheter samt stödjande åtgärder, där EU endast kan komplettera me</w:t>
      </w:r>
      <w:r w:rsidRPr="00046EB1">
        <w:t>d</w:t>
      </w:r>
      <w:r w:rsidRPr="00046EB1">
        <w:t>lemsstaternas verksamhet. Av de tio uppräknade huvudområdena återfinns tran</w:t>
      </w:r>
      <w:r w:rsidRPr="00046EB1">
        <w:t>s</w:t>
      </w:r>
      <w:r w:rsidRPr="00046EB1">
        <w:t xml:space="preserve">porter och transeuropeiska nät som ett. </w:t>
      </w:r>
    </w:p>
    <w:p w:rsidR="00C23BFC" w:rsidRPr="00046EB1" w:rsidRDefault="00C23BFC">
      <w:pPr>
        <w:rPr>
          <w:i/>
        </w:rPr>
      </w:pPr>
      <w:r w:rsidRPr="00046EB1">
        <w:lastRenderedPageBreak/>
        <w:t xml:space="preserve">Ändringar av olika slag föreslås när det gäller bl.a. följande. </w:t>
      </w:r>
    </w:p>
    <w:p w:rsidR="00C23BFC" w:rsidRPr="00046EB1" w:rsidRDefault="00C23BFC">
      <w:pPr>
        <w:pStyle w:val="Normaltindrag"/>
        <w:numPr>
          <w:ilvl w:val="0"/>
          <w:numId w:val="6"/>
        </w:numPr>
      </w:pPr>
      <w:r w:rsidRPr="00046EB1">
        <w:rPr>
          <w:i/>
        </w:rPr>
        <w:t>Beslutsinstrumenten</w:t>
      </w:r>
      <w:r w:rsidRPr="00046EB1">
        <w:t>, såsom rättsakter, beslut och rekommendati</w:t>
      </w:r>
      <w:r w:rsidRPr="00046EB1">
        <w:t>o</w:t>
      </w:r>
      <w:r w:rsidRPr="00046EB1">
        <w:t xml:space="preserve">ner. </w:t>
      </w:r>
    </w:p>
    <w:p w:rsidR="00C23BFC" w:rsidRPr="00046EB1" w:rsidRDefault="00C23BFC">
      <w:pPr>
        <w:pStyle w:val="Normaltindrag"/>
        <w:numPr>
          <w:ilvl w:val="0"/>
          <w:numId w:val="6"/>
        </w:numPr>
      </w:pPr>
      <w:r w:rsidRPr="00046EB1">
        <w:rPr>
          <w:i/>
        </w:rPr>
        <w:t>Beslutsprocedurerna</w:t>
      </w:r>
      <w:r w:rsidRPr="00046EB1">
        <w:t>, dvs. graden av Europaparlamentets medbestämma</w:t>
      </w:r>
      <w:r w:rsidRPr="00046EB1">
        <w:t>n</w:t>
      </w:r>
      <w:r w:rsidRPr="00046EB1">
        <w:t>derätt i besl</w:t>
      </w:r>
      <w:r w:rsidRPr="00046EB1">
        <w:t>u</w:t>
      </w:r>
      <w:r w:rsidRPr="00046EB1">
        <w:t xml:space="preserve">ten. </w:t>
      </w:r>
    </w:p>
    <w:p w:rsidR="00C23BFC" w:rsidRPr="00046EB1" w:rsidRDefault="00C23BFC">
      <w:pPr>
        <w:pStyle w:val="Normaltindrag"/>
        <w:numPr>
          <w:ilvl w:val="0"/>
          <w:numId w:val="6"/>
        </w:numPr>
      </w:pPr>
      <w:r w:rsidRPr="00046EB1">
        <w:rPr>
          <w:i/>
        </w:rPr>
        <w:t>Beslutsformerna</w:t>
      </w:r>
      <w:r w:rsidRPr="00046EB1">
        <w:t xml:space="preserve">, dvs. krav på enhällighet respektive kvalificerad majoritet i rådet. </w:t>
      </w:r>
    </w:p>
    <w:p w:rsidR="00C23BFC" w:rsidRPr="00046EB1" w:rsidRDefault="00C23BFC">
      <w:pPr>
        <w:pStyle w:val="Rubrik4"/>
        <w:rPr>
          <w:noProof w:val="0"/>
        </w:rPr>
      </w:pPr>
      <w:r w:rsidRPr="00046EB1">
        <w:rPr>
          <w:noProof w:val="0"/>
        </w:rPr>
        <w:t xml:space="preserve">Del II Europeiska unionens stadga om de grundläggande rättigheterna. </w:t>
      </w:r>
    </w:p>
    <w:p w:rsidR="00C23BFC" w:rsidRPr="00046EB1" w:rsidRDefault="00C23BFC">
      <w:r w:rsidRPr="00046EB1">
        <w:t>EU:s skyldighet att respektera medborgarnas grundläggande rättigheter får fastare fördragsmässig grund genom att EU:s stadga härom införlivas i fö</w:t>
      </w:r>
      <w:r w:rsidRPr="00046EB1">
        <w:t>r</w:t>
      </w:r>
      <w:r w:rsidRPr="00046EB1">
        <w:t>draget.</w:t>
      </w:r>
    </w:p>
    <w:p w:rsidR="00C23BFC" w:rsidRPr="00046EB1" w:rsidRDefault="00C23BFC">
      <w:pPr>
        <w:pStyle w:val="Normaltindrag"/>
        <w:rPr>
          <w:i/>
        </w:rPr>
      </w:pPr>
      <w:r w:rsidRPr="00046EB1">
        <w:t>I en av de där föreslagna artiklarna sägs att var och en har rätt till respekt för sitt privatliv och familjeliv, sin bostad och</w:t>
      </w:r>
      <w:r w:rsidRPr="00046EB1">
        <w:rPr>
          <w:i/>
        </w:rPr>
        <w:t xml:space="preserve"> </w:t>
      </w:r>
      <w:r w:rsidRPr="00046EB1">
        <w:t>sina kommunikationer (Avde</w:t>
      </w:r>
      <w:r w:rsidRPr="00046EB1">
        <w:t>l</w:t>
      </w:r>
      <w:r w:rsidRPr="00046EB1">
        <w:t>ning II. Frih</w:t>
      </w:r>
      <w:r w:rsidRPr="00046EB1">
        <w:t>e</w:t>
      </w:r>
      <w:r w:rsidRPr="00046EB1">
        <w:t>ter, artikel II-7</w:t>
      </w:r>
      <w:r w:rsidRPr="00046EB1">
        <w:rPr>
          <w:i/>
        </w:rPr>
        <w:t xml:space="preserve">). </w:t>
      </w:r>
    </w:p>
    <w:p w:rsidR="00C23BFC" w:rsidRPr="00046EB1" w:rsidRDefault="00C23BFC">
      <w:pPr>
        <w:pStyle w:val="Rubrik4"/>
        <w:rPr>
          <w:noProof w:val="0"/>
        </w:rPr>
      </w:pPr>
      <w:r w:rsidRPr="00046EB1">
        <w:rPr>
          <w:noProof w:val="0"/>
        </w:rPr>
        <w:t>Del III Unionens politik och funktion</w:t>
      </w:r>
    </w:p>
    <w:p w:rsidR="00C23BFC" w:rsidRPr="00046EB1" w:rsidRDefault="00C23BFC">
      <w:r w:rsidRPr="00046EB1">
        <w:t xml:space="preserve">Det är i denna del som de olika politikområdena behandlas. Delen blev – bl.a. i vad avser de frågor som rör transporter – föremål för ändringar endast av mer teknisk juridisk natur. Trafikutskottets beredningsområde i fråga om </w:t>
      </w:r>
      <w:r w:rsidRPr="00046EB1">
        <w:rPr>
          <w:i/>
        </w:rPr>
        <w:t>transporter</w:t>
      </w:r>
      <w:r w:rsidRPr="00046EB1">
        <w:t xml:space="preserve"> utgör ett självständigt politikområde i gemenskapsfördraget. Det berörs primärt av Del III, Avdelning III, Kapitel III, där följande avsnitt åte</w:t>
      </w:r>
      <w:r w:rsidRPr="00046EB1">
        <w:t>r</w:t>
      </w:r>
      <w:r w:rsidRPr="00046EB1">
        <w:t>finns.</w:t>
      </w:r>
    </w:p>
    <w:p w:rsidR="00C23BFC" w:rsidRPr="00046EB1" w:rsidRDefault="00C23BFC">
      <w:pPr>
        <w:numPr>
          <w:ilvl w:val="0"/>
          <w:numId w:val="11"/>
        </w:numPr>
      </w:pPr>
      <w:r w:rsidRPr="00046EB1">
        <w:t xml:space="preserve">Transporter (Avsnitt 7; artiklarna III-134–143), </w:t>
      </w:r>
    </w:p>
    <w:p w:rsidR="00C23BFC" w:rsidRPr="00046EB1" w:rsidRDefault="00C23BFC">
      <w:pPr>
        <w:numPr>
          <w:ilvl w:val="0"/>
          <w:numId w:val="11"/>
        </w:numPr>
      </w:pPr>
      <w:r w:rsidRPr="00046EB1">
        <w:t>Transeuropeiska nätverk (Avsnitt 8; arti</w:t>
      </w:r>
      <w:r w:rsidRPr="00046EB1">
        <w:t>k</w:t>
      </w:r>
      <w:r w:rsidRPr="00046EB1">
        <w:t xml:space="preserve">larna III-144 och 145). </w:t>
      </w:r>
    </w:p>
    <w:p w:rsidR="00C23BFC" w:rsidRPr="00046EB1" w:rsidRDefault="00C23BFC">
      <w:pPr>
        <w:outlineLvl w:val="0"/>
      </w:pPr>
      <w:r w:rsidRPr="00046EB1">
        <w:t>Avsnittet om Transporter innefattar artiklar om bl.a. följande.</w:t>
      </w:r>
    </w:p>
    <w:p w:rsidR="00C23BFC" w:rsidRPr="00046EB1" w:rsidRDefault="00C23BFC">
      <w:pPr>
        <w:pStyle w:val="Normaltindrag"/>
        <w:numPr>
          <w:ilvl w:val="0"/>
          <w:numId w:val="6"/>
        </w:numPr>
      </w:pPr>
      <w:r w:rsidRPr="00046EB1">
        <w:t>Målet med den gemensamma transportpolitiken.</w:t>
      </w:r>
    </w:p>
    <w:p w:rsidR="00C23BFC" w:rsidRPr="00046EB1" w:rsidRDefault="00C23BFC">
      <w:pPr>
        <w:pStyle w:val="Normaltindrag"/>
        <w:numPr>
          <w:ilvl w:val="0"/>
          <w:numId w:val="6"/>
        </w:numPr>
      </w:pPr>
      <w:r w:rsidRPr="00046EB1">
        <w:t>Områden som skall omfattas av lagarna.</w:t>
      </w:r>
    </w:p>
    <w:p w:rsidR="00C23BFC" w:rsidRPr="00046EB1" w:rsidRDefault="00C23BFC">
      <w:pPr>
        <w:pStyle w:val="Normaltindrag"/>
        <w:numPr>
          <w:ilvl w:val="0"/>
          <w:numId w:val="6"/>
        </w:numPr>
      </w:pPr>
      <w:r w:rsidRPr="00046EB1">
        <w:t>Tillåtlighet av stöd om behovet av samordning av transporter tillgodoses eller innebär ersät</w:t>
      </w:r>
      <w:r w:rsidRPr="00046EB1">
        <w:t>t</w:t>
      </w:r>
      <w:r w:rsidRPr="00046EB1">
        <w:t>ning för allmän trafikplikt.</w:t>
      </w:r>
    </w:p>
    <w:p w:rsidR="00C23BFC" w:rsidRPr="00046EB1" w:rsidRDefault="00C23BFC">
      <w:pPr>
        <w:pStyle w:val="Normaltindrag"/>
        <w:numPr>
          <w:ilvl w:val="0"/>
          <w:numId w:val="6"/>
        </w:numPr>
      </w:pPr>
      <w:r w:rsidRPr="00046EB1">
        <w:t xml:space="preserve">Krav på hänsyn till transportföretagens ekonomiska situation. </w:t>
      </w:r>
    </w:p>
    <w:p w:rsidR="00C23BFC" w:rsidRPr="00046EB1" w:rsidRDefault="00C23BFC">
      <w:pPr>
        <w:pStyle w:val="Normaltindrag"/>
        <w:numPr>
          <w:ilvl w:val="0"/>
          <w:numId w:val="9"/>
        </w:numPr>
      </w:pPr>
      <w:r w:rsidRPr="00046EB1">
        <w:t>Förbud mot diskriminering genom att tillämpa olika fraktsatser och befor</w:t>
      </w:r>
      <w:r w:rsidRPr="00046EB1">
        <w:t>d</w:t>
      </w:r>
      <w:r w:rsidRPr="00046EB1">
        <w:t xml:space="preserve">ringsvillkor för samma tjänst. </w:t>
      </w:r>
    </w:p>
    <w:p w:rsidR="00C23BFC" w:rsidRPr="00046EB1" w:rsidRDefault="00C23BFC">
      <w:pPr>
        <w:pStyle w:val="Normaltindrag"/>
        <w:numPr>
          <w:ilvl w:val="0"/>
          <w:numId w:val="9"/>
        </w:numPr>
      </w:pPr>
      <w:r w:rsidRPr="00046EB1">
        <w:t xml:space="preserve">Förbud för medlemsstaterna att ge stöd genom fraktsatser och villkor. </w:t>
      </w:r>
    </w:p>
    <w:p w:rsidR="00C23BFC" w:rsidRPr="00046EB1" w:rsidRDefault="00C23BFC">
      <w:pPr>
        <w:pStyle w:val="Normaltindrag"/>
        <w:numPr>
          <w:ilvl w:val="0"/>
          <w:numId w:val="9"/>
        </w:numPr>
      </w:pPr>
      <w:r w:rsidRPr="00046EB1">
        <w:t>Förbud mot oskäliga avgifter m.m. vid gränspassage.</w:t>
      </w:r>
    </w:p>
    <w:p w:rsidR="00C23BFC" w:rsidRPr="00046EB1" w:rsidRDefault="00C23BFC">
      <w:pPr>
        <w:pStyle w:val="Normaltindrag"/>
        <w:numPr>
          <w:ilvl w:val="0"/>
          <w:numId w:val="6"/>
        </w:numPr>
      </w:pPr>
      <w:r w:rsidRPr="00046EB1">
        <w:t>Omfattningen av avsnittet om transporter. Enligt artikelns första stycke skall järnväg, landsväg och inre vattenvägar omfattas. I dess andra stycke sägs att i europeiska lagar eller ramlagar får åtgärder fastställas som är lämpliga för sjöfart och luf</w:t>
      </w:r>
      <w:r w:rsidRPr="00046EB1">
        <w:t>t</w:t>
      </w:r>
      <w:r w:rsidRPr="00046EB1">
        <w:t xml:space="preserve">fart. </w:t>
      </w:r>
    </w:p>
    <w:p w:rsidR="00C23BFC" w:rsidRPr="00046EB1" w:rsidRDefault="00C23BFC">
      <w:r w:rsidRPr="00046EB1">
        <w:t xml:space="preserve">Trafikutskottets beredningsområde i fråga om </w:t>
      </w:r>
      <w:r w:rsidRPr="00046EB1">
        <w:rPr>
          <w:i/>
        </w:rPr>
        <w:t xml:space="preserve">kommunikationer </w:t>
      </w:r>
      <w:r w:rsidRPr="00046EB1">
        <w:t>– elektroni</w:t>
      </w:r>
      <w:r w:rsidRPr="00046EB1">
        <w:t>s</w:t>
      </w:r>
      <w:r w:rsidRPr="00046EB1">
        <w:t xml:space="preserve">ka och andra – </w:t>
      </w:r>
      <w:r w:rsidRPr="00046EB1">
        <w:rPr>
          <w:i/>
        </w:rPr>
        <w:t xml:space="preserve"> </w:t>
      </w:r>
      <w:r w:rsidRPr="00046EB1">
        <w:t>utgör inte något självständigt politikområde i gemenskapsfö</w:t>
      </w:r>
      <w:r w:rsidRPr="00046EB1">
        <w:t>r</w:t>
      </w:r>
      <w:r w:rsidRPr="00046EB1">
        <w:t>draget. Regler för utveckling av det s.k. informationssamhället ingår i stället i fördragets avsnitt om t.ex. den inre marknaden, konkurrenspolitik, transporter samt forskning och utvec</w:t>
      </w:r>
      <w:r w:rsidRPr="00046EB1">
        <w:t>k</w:t>
      </w:r>
      <w:r w:rsidRPr="00046EB1">
        <w:t xml:space="preserve">ling. </w:t>
      </w:r>
    </w:p>
    <w:p w:rsidR="00C23BFC" w:rsidRPr="00046EB1" w:rsidRDefault="00C23BFC">
      <w:pPr>
        <w:pStyle w:val="Rubrik4"/>
        <w:rPr>
          <w:noProof w:val="0"/>
        </w:rPr>
      </w:pPr>
      <w:r w:rsidRPr="00046EB1">
        <w:rPr>
          <w:noProof w:val="0"/>
        </w:rPr>
        <w:t xml:space="preserve">Del IV Allmänna bestämmelser och slutbestämmelser </w:t>
      </w:r>
    </w:p>
    <w:p w:rsidR="00C23BFC" w:rsidRPr="00046EB1" w:rsidRDefault="00C23BFC">
      <w:r w:rsidRPr="00046EB1">
        <w:t>I denna del återfinns regler om förfarandet vid ändring av fördraget.</w:t>
      </w:r>
    </w:p>
    <w:p w:rsidR="00C23BFC" w:rsidRPr="00046EB1" w:rsidRDefault="00C23BFC">
      <w:pPr>
        <w:pStyle w:val="Normaltindrag"/>
      </w:pPr>
      <w:r w:rsidRPr="00046EB1">
        <w:t>Till fördraget har fogats bl.a. protokoll, däribland de om de nationella pa</w:t>
      </w:r>
      <w:r w:rsidRPr="00046EB1">
        <w:t>r</w:t>
      </w:r>
      <w:r w:rsidRPr="00046EB1">
        <w:t>lamentens roll i EU och om tillämpning av subsidiaritets- och proportional</w:t>
      </w:r>
      <w:r w:rsidRPr="00046EB1">
        <w:t>i</w:t>
      </w:r>
      <w:r w:rsidRPr="00046EB1">
        <w:t xml:space="preserve">tetsprinciperna. Det är på grundval av dessa bestämmelser som de nationella parlamenten har att pröva frågan om gränsen för unionens befogenheter, t.ex. vad gäller transporter och transeuropeiska nät. </w:t>
      </w:r>
    </w:p>
    <w:p w:rsidR="00C23BFC" w:rsidRPr="00046EB1" w:rsidRDefault="00C23BFC">
      <w:pPr>
        <w:pStyle w:val="R3"/>
        <w:outlineLvl w:val="0"/>
      </w:pPr>
      <w:r w:rsidRPr="00046EB1">
        <w:t>Regeringens departementspromemoria om konventets förslag</w:t>
      </w:r>
    </w:p>
    <w:p w:rsidR="00C23BFC" w:rsidRPr="00046EB1" w:rsidRDefault="00C23BFC">
      <w:r w:rsidRPr="00046EB1">
        <w:t>I departementspromemorian (Ds 2003:36) Europeiska konventet om EU:s framtid har regeringen redovisat de huvudsakliga förändringarna i förhållande till nu gällande fördrag. Det bör således observeras, sägs det i promemorian, att varje punkt i fördraget inte redovisas. Av de till regeringen inkomna r</w:t>
      </w:r>
      <w:r w:rsidRPr="00046EB1">
        <w:t>e</w:t>
      </w:r>
      <w:r w:rsidRPr="00046EB1">
        <w:t>missyttrandena kan följande nämnas.</w:t>
      </w:r>
    </w:p>
    <w:p w:rsidR="00C23BFC" w:rsidRPr="00046EB1" w:rsidRDefault="00C23BFC">
      <w:pPr>
        <w:pStyle w:val="Normaltindrag"/>
      </w:pPr>
      <w:r w:rsidRPr="00046EB1">
        <w:t>Svenska naturskyddsföreningen har beträffande avsnitten om transporter och transeuropeiska nät åberopat en till sitt yttrande bifogad rapport, där vissa ändringar föreslås i konventets förslag. Syftet är att i högre grad lyfta fram miljöaspekten i dessa samma</w:t>
      </w:r>
      <w:r w:rsidRPr="00046EB1">
        <w:t>n</w:t>
      </w:r>
      <w:r w:rsidRPr="00046EB1">
        <w:t xml:space="preserve">hang. </w:t>
      </w:r>
    </w:p>
    <w:p w:rsidR="00C23BFC" w:rsidRPr="00046EB1" w:rsidRDefault="00C23BFC">
      <w:pPr>
        <w:pStyle w:val="Normaltindrag"/>
      </w:pPr>
      <w:r w:rsidRPr="00046EB1">
        <w:t>Svenskt Näringsliv har i sitt yttrande påpekat att konventens förslag talar om fraktsatser (artiklarna III-137, 139 och 140). Detta begrepp leder – enligt Svenskt Näringsliv – tanken till prissättning genom officiella tariffer. Detta sätt att fastställa fraktpriser existerar inte längre, och terminologin borde modernis</w:t>
      </w:r>
      <w:r w:rsidRPr="00046EB1">
        <w:t>e</w:t>
      </w:r>
      <w:r w:rsidRPr="00046EB1">
        <w:t xml:space="preserve">ras. </w:t>
      </w:r>
    </w:p>
    <w:p w:rsidR="00C23BFC" w:rsidRPr="00046EB1" w:rsidRDefault="00C23BFC">
      <w:pPr>
        <w:pStyle w:val="R3"/>
        <w:outlineLvl w:val="0"/>
      </w:pPr>
      <w:r w:rsidRPr="00046EB1">
        <w:t>Regeringens skrivelse om konventets förslag</w:t>
      </w:r>
    </w:p>
    <w:p w:rsidR="00C23BFC" w:rsidRPr="00046EB1" w:rsidRDefault="00C23BFC">
      <w:r w:rsidRPr="00046EB1">
        <w:t>I skrivelsen (skr. 2003/04:13) Europeiska konventet om EU:s framtid redov</w:t>
      </w:r>
      <w:r w:rsidRPr="00046EB1">
        <w:t>i</w:t>
      </w:r>
      <w:r w:rsidRPr="00046EB1">
        <w:t>sar regeringen sina utgångspunkter för den regerings</w:t>
      </w:r>
      <w:r w:rsidRPr="00046EB1">
        <w:softHyphen/>
        <w:t>konferens som numera har inletts. Konferensens huvuduppgift är att ta ställning till dels konventets förslag till konstitutionellt fördrag, dels ändringsförslag från medlemsstaterna. Regeringen säger sig ha för avsikt att återkomma till riksdagen med de förslag som konferensen föra</w:t>
      </w:r>
      <w:r w:rsidRPr="00046EB1">
        <w:t>n</w:t>
      </w:r>
      <w:r w:rsidRPr="00046EB1">
        <w:t xml:space="preserve">leder. </w:t>
      </w:r>
    </w:p>
    <w:p w:rsidR="00C23BFC" w:rsidRPr="00046EB1" w:rsidRDefault="00C23BFC">
      <w:pPr>
        <w:pStyle w:val="Normaltindrag"/>
      </w:pPr>
      <w:r w:rsidRPr="00046EB1">
        <w:t>I sin skrivelse har regeringen inte redovisat sina utgångspunkter för alla de politikområden som finns i konventsförslaget; sålunda saknas en sådan red</w:t>
      </w:r>
      <w:r w:rsidRPr="00046EB1">
        <w:t>o</w:t>
      </w:r>
      <w:r w:rsidRPr="00046EB1">
        <w:t>visning när det gäller transporter och transeuropeiska nät. Under rubriken Miljöpolitiken framhåller regeringen emellertid som en av sina utgångspun</w:t>
      </w:r>
      <w:r w:rsidRPr="00046EB1">
        <w:t>k</w:t>
      </w:r>
      <w:r w:rsidRPr="00046EB1">
        <w:t>ter att miljöskyddsbestämmelser bör integreras i de olika sakpolitiska artiklar såsom redan är fallet i den nya artikeln om energi och i de inledande artikla</w:t>
      </w:r>
      <w:r w:rsidRPr="00046EB1">
        <w:t>r</w:t>
      </w:r>
      <w:r w:rsidRPr="00046EB1">
        <w:t>na om unionens yttre åtgärder. Som ett konkret exempel nämns tran</w:t>
      </w:r>
      <w:r w:rsidRPr="00046EB1">
        <w:t>s</w:t>
      </w:r>
      <w:r w:rsidRPr="00046EB1">
        <w:t xml:space="preserve">porter. </w:t>
      </w:r>
    </w:p>
    <w:p w:rsidR="00C23BFC" w:rsidRPr="00046EB1" w:rsidRDefault="00C23BFC">
      <w:pPr>
        <w:pStyle w:val="R3"/>
        <w:outlineLvl w:val="0"/>
      </w:pPr>
      <w:r w:rsidRPr="00046EB1">
        <w:t>Motionsförslag</w:t>
      </w:r>
    </w:p>
    <w:p w:rsidR="00C23BFC" w:rsidRPr="00046EB1" w:rsidRDefault="00C23BFC">
      <w:r w:rsidRPr="00046EB1">
        <w:t xml:space="preserve">I motion 2003/04:K4 av Carina Moberg m.fl. (s) </w:t>
      </w:r>
      <w:r w:rsidRPr="00046EB1">
        <w:rPr>
          <w:snapToGrid w:val="0"/>
          <w:lang w:eastAsia="sv-SE"/>
        </w:rPr>
        <w:t>konstateras att regeringens skrivelse inte innehåller en redovisning av regeringens viljeinriktning och ambition för det framtida Europasamarbetet på transportområdet. Motionäre</w:t>
      </w:r>
      <w:r w:rsidRPr="00046EB1">
        <w:rPr>
          <w:snapToGrid w:val="0"/>
          <w:lang w:eastAsia="sv-SE"/>
        </w:rPr>
        <w:t>r</w:t>
      </w:r>
      <w:r w:rsidRPr="00046EB1">
        <w:rPr>
          <w:snapToGrid w:val="0"/>
          <w:lang w:eastAsia="sv-SE"/>
        </w:rPr>
        <w:t xml:space="preserve">na </w:t>
      </w:r>
      <w:r w:rsidRPr="00046EB1">
        <w:t>begär att riksdagen gör ett tillkännagivande om angelägenheten av att den gemensamma transportpolitiken tydligt lyfts fram i det vidare Europasama</w:t>
      </w:r>
      <w:r w:rsidRPr="00046EB1">
        <w:t>r</w:t>
      </w:r>
      <w:r w:rsidRPr="00046EB1">
        <w:t>betet.</w:t>
      </w:r>
      <w:r w:rsidRPr="00046EB1">
        <w:rPr>
          <w:snapToGrid w:val="0"/>
          <w:lang w:eastAsia="sv-SE"/>
        </w:rPr>
        <w:t xml:space="preserve"> En ny form av lagstiftning på gemenskapsnivå för transportsektorn bör utvecklas, anser de och efterlyser en helhetsstrategi genom vilken även andra politikområden än transportpo</w:t>
      </w:r>
      <w:r w:rsidRPr="00046EB1">
        <w:rPr>
          <w:snapToGrid w:val="0"/>
          <w:lang w:eastAsia="sv-SE"/>
        </w:rPr>
        <w:t>litik inkluderas.</w:t>
      </w:r>
    </w:p>
    <w:p w:rsidR="00C23BFC" w:rsidRPr="00046EB1" w:rsidRDefault="00C23BFC">
      <w:pPr>
        <w:pStyle w:val="R3"/>
        <w:outlineLvl w:val="0"/>
      </w:pPr>
      <w:r w:rsidRPr="00046EB1">
        <w:t>Utskottets ställningstagande</w:t>
      </w:r>
    </w:p>
    <w:p w:rsidR="00C23BFC" w:rsidRPr="00046EB1" w:rsidRDefault="00C23BFC">
      <w:r w:rsidRPr="00046EB1">
        <w:t>Trafikutskottet vill inledningsvis betona att väl fungerande transporter inom EU utgör en viktig förutsättning för den inre marknadens funktion. Regelve</w:t>
      </w:r>
      <w:r w:rsidRPr="00046EB1">
        <w:t>r</w:t>
      </w:r>
      <w:r w:rsidRPr="00046EB1">
        <w:t>ket på detta område utgör därmed en av hörnstenarna i fördr</w:t>
      </w:r>
      <w:r w:rsidRPr="00046EB1">
        <w:t>a</w:t>
      </w:r>
      <w:r w:rsidRPr="00046EB1">
        <w:t xml:space="preserve">get. </w:t>
      </w:r>
    </w:p>
    <w:p w:rsidR="00C23BFC" w:rsidRPr="00046EB1" w:rsidRDefault="00C23BFC">
      <w:pPr>
        <w:pStyle w:val="Normaltindrag"/>
      </w:pPr>
      <w:r w:rsidRPr="00046EB1">
        <w:t>Avsnitten om transporter och om transeuropeiska nät  har emellertid – i likhet med vissa andra avsnitt –inte varit föremål för samma genomarbetning av konventet som övriga avsnitt. Målformuleringen i gemenskapsfördraget har sålunda överförts till konventets förslag endast med tekniskt juridiska justeringar. Den första artikeln lyder enligt följande. ”Konstitutionens mål på det område som behandlas i denna avdelning skall uppnås inom ramen fö</w:t>
      </w:r>
      <w:r w:rsidRPr="00046EB1">
        <w:t xml:space="preserve">r en gemensam transportpolitik” (artikel III-133). Det handlar således om vad som skall uppnås </w:t>
      </w:r>
      <w:r w:rsidRPr="00046EB1">
        <w:rPr>
          <w:i/>
        </w:rPr>
        <w:t>med</w:t>
      </w:r>
      <w:r w:rsidRPr="00046EB1">
        <w:t xml:space="preserve"> transportpolitiken. Till skillnad från vad som föreslås gälla för andra politikområden, t.ex. i avsnitten om miljö och konsumentskydd samt det nya avsnittet om energi, anges inte något mål </w:t>
      </w:r>
      <w:r w:rsidRPr="00046EB1">
        <w:rPr>
          <w:i/>
        </w:rPr>
        <w:t>för</w:t>
      </w:r>
      <w:r w:rsidRPr="00046EB1">
        <w:t xml:space="preserve"> transportp</w:t>
      </w:r>
      <w:r w:rsidRPr="00046EB1">
        <w:t>o</w:t>
      </w:r>
      <w:r w:rsidRPr="00046EB1">
        <w:t xml:space="preserve">litiken. </w:t>
      </w:r>
    </w:p>
    <w:p w:rsidR="00C23BFC" w:rsidRPr="00046EB1" w:rsidRDefault="00C23BFC">
      <w:pPr>
        <w:pStyle w:val="Normaltindrag"/>
      </w:pPr>
      <w:r w:rsidRPr="00046EB1">
        <w:t>Denna brist i konventets förslag har uppmärksammats i motion 2003/04:K4 av Carina Moberg m.fl. (s). I motionen konstateras också att inte heller regeringen i sin skrivelse till riksdagen har tagit up</w:t>
      </w:r>
      <w:r w:rsidRPr="00046EB1">
        <w:t>p denna fråga. Inn</w:t>
      </w:r>
      <w:r w:rsidRPr="00046EB1">
        <w:t>e</w:t>
      </w:r>
      <w:r w:rsidRPr="00046EB1">
        <w:t>börden i motionen är således att målformuleringen på transportområdet beh</w:t>
      </w:r>
      <w:r w:rsidRPr="00046EB1">
        <w:t>ö</w:t>
      </w:r>
      <w:r w:rsidRPr="00046EB1">
        <w:t xml:space="preserve">ver utvecklas. Motionärerna påminner om att trafikutskottet tidigare, bl.a. i sitt yttrande till EU-nämnden om Europeiska kommissionens vitbok </w:t>
      </w:r>
      <w:r w:rsidRPr="00046EB1">
        <w:rPr>
          <w:i/>
        </w:rPr>
        <w:t xml:space="preserve">Den gemensamma transportpolitiken fram till 2010: Vägval inför framtiden </w:t>
      </w:r>
      <w:r w:rsidRPr="00046EB1">
        <w:t>(2001/02:TU2y), behandlat denna fråga. Vid detta tillfälle underströk trafiku</w:t>
      </w:r>
      <w:r w:rsidRPr="00046EB1">
        <w:t>t</w:t>
      </w:r>
      <w:r w:rsidRPr="00046EB1">
        <w:t>skottet att målet bör vara ett transportsystem som är långsiktigt hållbart. U</w:t>
      </w:r>
      <w:r w:rsidRPr="00046EB1">
        <w:t>t</w:t>
      </w:r>
      <w:r w:rsidRPr="00046EB1">
        <w:t>skottet betonade samtidigt vikten av att föruts</w:t>
      </w:r>
      <w:r w:rsidRPr="00046EB1">
        <w:t>ättningar skapas som innebär att en hållbar utveckling nås där olika transportslag utnyttjas på samhällsekon</w:t>
      </w:r>
      <w:r w:rsidRPr="00046EB1">
        <w:t>o</w:t>
      </w:r>
      <w:r w:rsidRPr="00046EB1">
        <w:t>miskt och marknad</w:t>
      </w:r>
      <w:r w:rsidRPr="00046EB1">
        <w:t>s</w:t>
      </w:r>
      <w:r w:rsidRPr="00046EB1">
        <w:t>mässigt lämpligt sätt.</w:t>
      </w:r>
    </w:p>
    <w:p w:rsidR="00C23BFC" w:rsidRPr="00046EB1" w:rsidRDefault="00C23BFC">
      <w:pPr>
        <w:pStyle w:val="Normaltindrag"/>
        <w:rPr>
          <w:snapToGrid w:val="0"/>
          <w:lang w:eastAsia="sv-SE"/>
        </w:rPr>
      </w:pPr>
      <w:r w:rsidRPr="00046EB1">
        <w:t>Trafikutskottet ansluter sig mot denna bakgrund till vad som nu anförs i motion 2003/04:K4, nämligen att g</w:t>
      </w:r>
      <w:r w:rsidRPr="00046EB1">
        <w:rPr>
          <w:snapToGrid w:val="0"/>
          <w:lang w:eastAsia="sv-SE"/>
        </w:rPr>
        <w:t xml:space="preserve">ränsöverskridande transporter </w:t>
      </w:r>
      <w:r w:rsidRPr="00046EB1">
        <w:t>kommer</w:t>
      </w:r>
      <w:r w:rsidRPr="00046EB1">
        <w:rPr>
          <w:snapToGrid w:val="0"/>
          <w:lang w:eastAsia="sv-SE"/>
        </w:rPr>
        <w:t xml:space="preserve"> att vara mycket viktiga i det nya regionalpolitiska perspektiv som följer av uni</w:t>
      </w:r>
      <w:r w:rsidRPr="00046EB1">
        <w:rPr>
          <w:snapToGrid w:val="0"/>
          <w:lang w:eastAsia="sv-SE"/>
        </w:rPr>
        <w:t>o</w:t>
      </w:r>
      <w:r w:rsidRPr="00046EB1">
        <w:rPr>
          <w:snapToGrid w:val="0"/>
          <w:lang w:eastAsia="sv-SE"/>
        </w:rPr>
        <w:t>nens utvidgning. Överskuggande frågor gäller tilltagande trängsel, trafiktil</w:t>
      </w:r>
      <w:r w:rsidRPr="00046EB1">
        <w:rPr>
          <w:snapToGrid w:val="0"/>
          <w:lang w:eastAsia="sv-SE"/>
        </w:rPr>
        <w:t>l</w:t>
      </w:r>
      <w:r w:rsidRPr="00046EB1">
        <w:rPr>
          <w:snapToGrid w:val="0"/>
          <w:lang w:eastAsia="sv-SE"/>
        </w:rPr>
        <w:t>växt, bl.a. till följd av Europeiska unionens utvidgning, och behovet av att integrera transporterna i målet om en hållbar utveckling. Ett modernt tran</w:t>
      </w:r>
      <w:r w:rsidRPr="00046EB1">
        <w:rPr>
          <w:snapToGrid w:val="0"/>
          <w:lang w:eastAsia="sv-SE"/>
        </w:rPr>
        <w:t>s</w:t>
      </w:r>
      <w:r w:rsidRPr="00046EB1">
        <w:rPr>
          <w:snapToGrid w:val="0"/>
          <w:lang w:eastAsia="sv-SE"/>
        </w:rPr>
        <w:t xml:space="preserve">portsystem förutsätts sålunda vara hållbart från såväl ekonomisk och social synpunkt som miljösynpunkt. </w:t>
      </w:r>
      <w:r w:rsidRPr="00046EB1">
        <w:t>Trafikutskottet konstaterar att motionsförslaget i stora drag</w:t>
      </w:r>
      <w:r w:rsidRPr="00046EB1">
        <w:t xml:space="preserve"> överensstämmer med vad utskottet har anfört i tidigare samma</w:t>
      </w:r>
      <w:r w:rsidRPr="00046EB1">
        <w:t>n</w:t>
      </w:r>
      <w:r w:rsidRPr="00046EB1">
        <w:t>hang.</w:t>
      </w:r>
    </w:p>
    <w:p w:rsidR="00C23BFC" w:rsidRPr="00046EB1" w:rsidRDefault="00C23BFC">
      <w:pPr>
        <w:pStyle w:val="Normaltindrag"/>
        <w:rPr>
          <w:snapToGrid w:val="0"/>
          <w:lang w:eastAsia="sv-SE"/>
        </w:rPr>
      </w:pPr>
      <w:r w:rsidRPr="00046EB1">
        <w:rPr>
          <w:snapToGrid w:val="0"/>
          <w:lang w:eastAsia="sv-SE"/>
        </w:rPr>
        <w:t>Likaså finner trafikutskottet – i likhet med motionärerna –  att det är ang</w:t>
      </w:r>
      <w:r w:rsidRPr="00046EB1">
        <w:rPr>
          <w:snapToGrid w:val="0"/>
          <w:lang w:eastAsia="sv-SE"/>
        </w:rPr>
        <w:t>e</w:t>
      </w:r>
      <w:r w:rsidRPr="00046EB1">
        <w:rPr>
          <w:snapToGrid w:val="0"/>
          <w:lang w:eastAsia="sv-SE"/>
        </w:rPr>
        <w:t>läget att målet för de gränsöverskridande transporterna tas upp i den nya fördragstexten, eftersom de är centrala för utvecklingen av den inre markn</w:t>
      </w:r>
      <w:r w:rsidRPr="00046EB1">
        <w:rPr>
          <w:snapToGrid w:val="0"/>
          <w:lang w:eastAsia="sv-SE"/>
        </w:rPr>
        <w:t>a</w:t>
      </w:r>
      <w:r w:rsidRPr="00046EB1">
        <w:rPr>
          <w:snapToGrid w:val="0"/>
          <w:lang w:eastAsia="sv-SE"/>
        </w:rPr>
        <w:t>den i framtiden. Det behöver förtydligas vilka avgränsningar som bör göras när det gäller de frågor som faller under EU:s kompetens och de som bättre och effektivare hanteras på nationell eller reg</w:t>
      </w:r>
      <w:r w:rsidRPr="00046EB1">
        <w:rPr>
          <w:snapToGrid w:val="0"/>
          <w:lang w:eastAsia="sv-SE"/>
        </w:rPr>
        <w:t>i</w:t>
      </w:r>
      <w:r w:rsidRPr="00046EB1">
        <w:rPr>
          <w:snapToGrid w:val="0"/>
          <w:lang w:eastAsia="sv-SE"/>
        </w:rPr>
        <w:t xml:space="preserve">onal nivå. </w:t>
      </w:r>
    </w:p>
    <w:p w:rsidR="00C23BFC" w:rsidRPr="00046EB1" w:rsidRDefault="00C23BFC">
      <w:pPr>
        <w:pStyle w:val="Normaltindrag"/>
        <w:rPr>
          <w:snapToGrid w:val="0"/>
          <w:lang w:eastAsia="sv-SE"/>
        </w:rPr>
      </w:pPr>
      <w:r w:rsidRPr="00046EB1">
        <w:rPr>
          <w:snapToGrid w:val="0"/>
          <w:lang w:eastAsia="sv-SE"/>
        </w:rPr>
        <w:t>Trafikutskottet ställer sig också bakom vad som anförs i motionen om att regeringen även bör uppmanas att – i detta och andra sammanhang – söka att få m</w:t>
      </w:r>
      <w:r w:rsidRPr="00046EB1">
        <w:rPr>
          <w:snapToGrid w:val="0"/>
          <w:lang w:eastAsia="sv-SE"/>
        </w:rPr>
        <w:t>ed skrivningar om en hög ambitionsnivå på trafiksäkerhetsområdet. Inte minst behöver frågan om barn och trafiksäkerhet uppmärksammas. Vidare bör EU även i fortsättningen driva arbetet med harmoniserade regler för fordon</w:t>
      </w:r>
      <w:r w:rsidRPr="00046EB1">
        <w:rPr>
          <w:snapToGrid w:val="0"/>
          <w:lang w:eastAsia="sv-SE"/>
        </w:rPr>
        <w:t>s</w:t>
      </w:r>
      <w:r w:rsidRPr="00046EB1">
        <w:rPr>
          <w:snapToGrid w:val="0"/>
          <w:lang w:eastAsia="sv-SE"/>
        </w:rPr>
        <w:t xml:space="preserve">utrustning och med en rättvisande prissättning inom transportområdet. </w:t>
      </w:r>
    </w:p>
    <w:p w:rsidR="00C23BFC" w:rsidRPr="00046EB1" w:rsidRDefault="00C23BFC">
      <w:pPr>
        <w:pStyle w:val="Normaltindrag"/>
        <w:rPr>
          <w:snapToGrid w:val="0"/>
          <w:lang w:eastAsia="sv-SE"/>
        </w:rPr>
      </w:pPr>
      <w:r w:rsidRPr="00046EB1">
        <w:rPr>
          <w:snapToGrid w:val="0"/>
          <w:lang w:eastAsia="sv-SE"/>
        </w:rPr>
        <w:t>Rent allmänt anser trafikutskottet att det hade varit värdefullt med en mer genomgripande översyn av strukturen i de olika politikområdena i del III. En mer enhetlig uppbyggnad av de olika avsnitten skulle underlätta förd</w:t>
      </w:r>
      <w:r w:rsidRPr="00046EB1">
        <w:rPr>
          <w:snapToGrid w:val="0"/>
          <w:lang w:eastAsia="sv-SE"/>
        </w:rPr>
        <w:t>ragets läsbarhet och förståelsen för det, vilket ju också var en av konventets uppgi</w:t>
      </w:r>
      <w:r w:rsidRPr="00046EB1">
        <w:rPr>
          <w:snapToGrid w:val="0"/>
          <w:lang w:eastAsia="sv-SE"/>
        </w:rPr>
        <w:t>f</w:t>
      </w:r>
      <w:r w:rsidRPr="00046EB1">
        <w:rPr>
          <w:snapToGrid w:val="0"/>
          <w:lang w:eastAsia="sv-SE"/>
        </w:rPr>
        <w:t xml:space="preserve">ter. </w:t>
      </w:r>
    </w:p>
    <w:p w:rsidR="00C23BFC" w:rsidRPr="00046EB1" w:rsidRDefault="00C23BFC">
      <w:pPr>
        <w:pStyle w:val="Normaltindrag"/>
      </w:pPr>
      <w:r w:rsidRPr="00046EB1">
        <w:t>Med det sagda föreslår trafikutskottet att det sammansatta konstitutions- och utrikesutskottet ansluter sig till vad här har uttalats; motionen får därmed anses tillgod</w:t>
      </w:r>
      <w:r w:rsidRPr="00046EB1">
        <w:t>o</w:t>
      </w:r>
      <w:r w:rsidRPr="00046EB1">
        <w:t xml:space="preserve">sedd. </w:t>
      </w:r>
    </w:p>
    <w:p w:rsidR="00C23BFC" w:rsidRPr="00046EB1" w:rsidRDefault="00C23BFC">
      <w:pPr>
        <w:pStyle w:val="Normaltindrag"/>
      </w:pPr>
      <w:bookmarkStart w:id="3" w:name="Nästa_Hpunkt"/>
      <w:bookmarkEnd w:id="3"/>
    </w:p>
    <w:p w:rsidR="00C23BFC" w:rsidRPr="00046EB1" w:rsidRDefault="00C23BFC">
      <w:pPr>
        <w:pStyle w:val="Utskriftsdatum"/>
      </w:pPr>
      <w:r w:rsidRPr="00046EB1">
        <w:t xml:space="preserve">Stockholm den 28 oktober 2003 </w:t>
      </w:r>
    </w:p>
    <w:p w:rsidR="00C23BFC" w:rsidRPr="00046EB1" w:rsidRDefault="00C23BFC">
      <w:r w:rsidRPr="00046EB1">
        <w:t>På trafikutskottets vägnar</w:t>
      </w:r>
    </w:p>
    <w:p w:rsidR="00C23BFC" w:rsidRPr="00046EB1" w:rsidRDefault="00C23BFC">
      <w:pPr>
        <w:pStyle w:val="Ordfranden"/>
        <w:rPr>
          <w:noProof w:val="0"/>
        </w:rPr>
      </w:pPr>
      <w:bookmarkStart w:id="4" w:name="Ordförande"/>
      <w:bookmarkStart w:id="5" w:name="Deltagare"/>
      <w:bookmarkEnd w:id="4"/>
      <w:bookmarkEnd w:id="5"/>
      <w:r w:rsidRPr="00046EB1">
        <w:rPr>
          <w:noProof w:val="0"/>
        </w:rPr>
        <w:t xml:space="preserve">Claes Roxbergh </w:t>
      </w:r>
    </w:p>
    <w:p w:rsidR="00C23BFC" w:rsidRPr="00046EB1" w:rsidRDefault="00C23BFC">
      <w:pPr>
        <w:pStyle w:val="Deltagare"/>
        <w:rPr>
          <w:noProof w:val="0"/>
        </w:rPr>
      </w:pPr>
      <w:r w:rsidRPr="00046EB1">
        <w:rPr>
          <w:noProof w:val="0"/>
        </w:rPr>
        <w:t>Följande ledamöter har deltagit i beslutet: Claes Roxbergh (mp), Carina Moberg (s), Elizabeth Nyström (m), Jarl Lander (s), Erling Bager (fp), Hans Stenberg (s), Krister Örnfjäder (s), Johnny Gylling (kd), Karin Svensson Smith (v), Claes-Göran Brandin (s), Per Westerberg (m), Monica Green (s), Sven Bergström (c), Jan-Evert Rådhström (m), Börje Vestlund (s) och Christer Winbäck (fp).</w:t>
      </w:r>
    </w:p>
    <w:p w:rsidR="00C23BFC" w:rsidRPr="00046EB1" w:rsidRDefault="00C23BFC">
      <w:pPr>
        <w:pStyle w:val="Rubrik1"/>
        <w:rPr>
          <w:noProof w:val="0"/>
        </w:rPr>
      </w:pPr>
    </w:p>
    <w:p w:rsidR="00C23BFC" w:rsidRPr="00046EB1" w:rsidRDefault="00C23BFC">
      <w:pPr>
        <w:pStyle w:val="Tryckort"/>
        <w:framePr w:wrap="around"/>
      </w:pPr>
      <w:r w:rsidRPr="00046EB1">
        <w:t>Elanders Gotab, Stockholm  2003</w:t>
      </w:r>
    </w:p>
    <w:p w:rsidR="00C23BFC" w:rsidRPr="00046EB1" w:rsidRDefault="00C23BFC">
      <w:pPr>
        <w:pStyle w:val="Normaltindrag"/>
      </w:pPr>
    </w:p>
    <w:sectPr w:rsidR="00C23BFC" w:rsidRPr="00046EB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BFC" w:rsidRPr="00046EB1" w:rsidRDefault="00C23BFC">
      <w:pPr>
        <w:spacing w:before="0" w:line="240" w:lineRule="auto"/>
      </w:pPr>
      <w:r w:rsidRPr="00046EB1">
        <w:separator/>
      </w:r>
    </w:p>
  </w:endnote>
  <w:endnote w:type="continuationSeparator" w:id="0">
    <w:p w:rsidR="00C23BFC" w:rsidRPr="00046EB1" w:rsidRDefault="00C23BFC">
      <w:pPr>
        <w:spacing w:before="0" w:line="240" w:lineRule="auto"/>
      </w:pPr>
      <w:r w:rsidRPr="00046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FC" w:rsidRPr="00046EB1" w:rsidRDefault="00C23BFC">
    <w:pPr>
      <w:pStyle w:val="SidfotV"/>
      <w:framePr w:w="8732" w:h="284" w:hRule="exact" w:hSpace="0" w:vSpace="0" w:wrap="around" w:xAlign="inside" w:y="13042" w:anchorLock="0"/>
    </w:pPr>
    <w:r w:rsidRPr="00046EB1">
      <w:fldChar w:fldCharType="begin" w:fldLock="1"/>
    </w:r>
    <w:r w:rsidRPr="00046EB1">
      <w:instrText xml:space="preserve"> P</w:instrText>
    </w:r>
    <w:r w:rsidRPr="00046EB1">
      <w:instrText>A</w:instrText>
    </w:r>
    <w:r w:rsidRPr="00046EB1">
      <w:instrText xml:space="preserve">GE </w:instrText>
    </w:r>
    <w:r w:rsidRPr="00046EB1">
      <w:fldChar w:fldCharType="separate"/>
    </w:r>
    <w:r w:rsidRPr="00046EB1">
      <w:t>2</w:t>
    </w:r>
    <w:r w:rsidRPr="00046EB1">
      <w:fldChar w:fldCharType="end"/>
    </w:r>
  </w:p>
  <w:p w:rsidR="00C23BFC" w:rsidRPr="00046EB1" w:rsidRDefault="00C23B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FC" w:rsidRPr="00046EB1" w:rsidRDefault="00C23BFC">
    <w:pPr>
      <w:pStyle w:val="SidfotH"/>
      <w:framePr w:w="8732" w:h="284" w:hRule="exact" w:hSpace="0" w:vSpace="0" w:wrap="around" w:xAlign="inside" w:y="13042" w:anchorLock="0"/>
    </w:pPr>
    <w:r w:rsidRPr="00046EB1">
      <w:fldChar w:fldCharType="begin" w:fldLock="1"/>
    </w:r>
    <w:r w:rsidRPr="00046EB1">
      <w:instrText xml:space="preserve"> P</w:instrText>
    </w:r>
    <w:r w:rsidRPr="00046EB1">
      <w:instrText>A</w:instrText>
    </w:r>
    <w:r w:rsidRPr="00046EB1">
      <w:instrText xml:space="preserve">GE </w:instrText>
    </w:r>
    <w:r w:rsidRPr="00046EB1">
      <w:fldChar w:fldCharType="separate"/>
    </w:r>
    <w:r w:rsidRPr="00046EB1">
      <w:t>3</w:t>
    </w:r>
    <w:r w:rsidRPr="00046EB1">
      <w:fldChar w:fldCharType="end"/>
    </w:r>
  </w:p>
  <w:p w:rsidR="00C23BFC" w:rsidRPr="00046EB1" w:rsidRDefault="00C23B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FC" w:rsidRPr="00046EB1" w:rsidRDefault="00C23BFC">
    <w:pPr>
      <w:pStyle w:val="SidfotV"/>
      <w:framePr w:w="8732" w:h="284" w:hRule="exact" w:hSpace="0" w:vSpace="0" w:wrap="around" w:xAlign="inside" w:y="13042" w:anchorLock="0"/>
    </w:pPr>
    <w:r w:rsidRPr="00046EB1">
      <w:fldChar w:fldCharType="begin" w:fldLock="1"/>
    </w:r>
    <w:r w:rsidRPr="00046EB1">
      <w:instrText xml:space="preserve"> if </w:instrText>
    </w:r>
    <w:r w:rsidRPr="00046EB1">
      <w:fldChar w:fldCharType="begin" w:fldLock="1"/>
    </w:r>
    <w:r w:rsidRPr="00046EB1">
      <w:instrText xml:space="preserve"> = </w:instrText>
    </w:r>
    <w:r w:rsidRPr="00046EB1">
      <w:fldChar w:fldCharType="begin" w:fldLock="1"/>
    </w:r>
    <w:r w:rsidRPr="00046EB1">
      <w:instrText xml:space="preserve"> = </w:instrText>
    </w:r>
    <w:r w:rsidRPr="00046EB1">
      <w:fldChar w:fldCharType="begin" w:fldLock="1"/>
    </w:r>
    <w:r w:rsidRPr="00046EB1">
      <w:instrText xml:space="preserve"> page</w:instrText>
    </w:r>
    <w:r w:rsidRPr="00046EB1">
      <w:fldChar w:fldCharType="separate"/>
    </w:r>
    <w:r w:rsidR="00046EB1">
      <w:rPr>
        <w:noProof/>
      </w:rPr>
      <w:instrText>1</w:instrText>
    </w:r>
    <w:r w:rsidRPr="00046EB1">
      <w:fldChar w:fldCharType="end"/>
    </w:r>
    <w:r w:rsidRPr="00046EB1">
      <w:instrText xml:space="preserve">/2 </w:instrText>
    </w:r>
    <w:r w:rsidRPr="00046EB1">
      <w:fldChar w:fldCharType="separate"/>
    </w:r>
    <w:r w:rsidR="00046EB1">
      <w:rPr>
        <w:noProof/>
      </w:rPr>
      <w:instrText>0,5</w:instrText>
    </w:r>
    <w:r w:rsidRPr="00046EB1">
      <w:fldChar w:fldCharType="end"/>
    </w:r>
    <w:r w:rsidRPr="00046EB1">
      <w:instrText xml:space="preserve"> - </w:instrText>
    </w:r>
    <w:r w:rsidRPr="00046EB1">
      <w:fldChar w:fldCharType="begin" w:fldLock="1"/>
    </w:r>
    <w:r w:rsidRPr="00046EB1">
      <w:instrText xml:space="preserve"> = int(</w:instrText>
    </w:r>
    <w:r w:rsidRPr="00046EB1">
      <w:fldChar w:fldCharType="begin" w:fldLock="1"/>
    </w:r>
    <w:r w:rsidRPr="00046EB1">
      <w:instrText xml:space="preserve"> page</w:instrText>
    </w:r>
    <w:r w:rsidRPr="00046EB1">
      <w:fldChar w:fldCharType="separate"/>
    </w:r>
    <w:r w:rsidR="00046EB1">
      <w:rPr>
        <w:noProof/>
      </w:rPr>
      <w:instrText>1</w:instrText>
    </w:r>
    <w:r w:rsidRPr="00046EB1">
      <w:fldChar w:fldCharType="end"/>
    </w:r>
    <w:r w:rsidRPr="00046EB1">
      <w:instrText xml:space="preserve">/2) </w:instrText>
    </w:r>
    <w:r w:rsidRPr="00046EB1">
      <w:fldChar w:fldCharType="separate"/>
    </w:r>
    <w:r w:rsidR="00046EB1">
      <w:rPr>
        <w:noProof/>
      </w:rPr>
      <w:instrText>0</w:instrText>
    </w:r>
    <w:r w:rsidRPr="00046EB1">
      <w:fldChar w:fldCharType="end"/>
    </w:r>
    <w:r w:rsidRPr="00046EB1">
      <w:fldChar w:fldCharType="separate"/>
    </w:r>
    <w:r w:rsidR="00046EB1">
      <w:rPr>
        <w:noProof/>
      </w:rPr>
      <w:instrText>0,5</w:instrText>
    </w:r>
    <w:r w:rsidRPr="00046EB1">
      <w:fldChar w:fldCharType="end"/>
    </w:r>
    <w:r w:rsidRPr="00046EB1">
      <w:instrText xml:space="preserve"> = 0 "</w:instrText>
    </w:r>
    <w:r w:rsidRPr="00046EB1">
      <w:fldChar w:fldCharType="begin" w:fldLock="1"/>
    </w:r>
    <w:r w:rsidRPr="00046EB1">
      <w:instrText xml:space="preserve"> P</w:instrText>
    </w:r>
    <w:r w:rsidRPr="00046EB1">
      <w:instrText>A</w:instrText>
    </w:r>
    <w:r w:rsidRPr="00046EB1">
      <w:instrText xml:space="preserve">GE </w:instrText>
    </w:r>
    <w:r w:rsidRPr="00046EB1">
      <w:fldChar w:fldCharType="separate"/>
    </w:r>
    <w:r w:rsidRPr="00046EB1">
      <w:instrText>8</w:instrText>
    </w:r>
    <w:r w:rsidRPr="00046EB1">
      <w:fldChar w:fldCharType="end"/>
    </w:r>
  </w:p>
  <w:p w:rsidR="00C23BFC" w:rsidRPr="00046EB1" w:rsidRDefault="00C23BFC">
    <w:pPr>
      <w:pStyle w:val="SidfotH"/>
      <w:framePr w:w="8732" w:h="284" w:hRule="exact" w:hSpace="0" w:vSpace="0" w:wrap="around" w:xAlign="inside" w:y="13042" w:anchorLock="0"/>
    </w:pPr>
    <w:r w:rsidRPr="00046EB1">
      <w:instrText>""</w:instrText>
    </w:r>
    <w:r w:rsidRPr="00046EB1">
      <w:fldChar w:fldCharType="begin" w:fldLock="1"/>
    </w:r>
    <w:r w:rsidRPr="00046EB1">
      <w:instrText xml:space="preserve"> P</w:instrText>
    </w:r>
    <w:r w:rsidRPr="00046EB1">
      <w:instrText>A</w:instrText>
    </w:r>
    <w:r w:rsidRPr="00046EB1">
      <w:instrText xml:space="preserve">GE </w:instrText>
    </w:r>
    <w:r w:rsidRPr="00046EB1">
      <w:fldChar w:fldCharType="separate"/>
    </w:r>
    <w:r w:rsidR="00046EB1">
      <w:rPr>
        <w:noProof/>
      </w:rPr>
      <w:instrText>1</w:instrText>
    </w:r>
    <w:r w:rsidRPr="00046EB1">
      <w:fldChar w:fldCharType="end"/>
    </w:r>
    <w:r w:rsidRPr="00046EB1">
      <w:instrText>"</w:instrText>
    </w:r>
    <w:r w:rsidRPr="00046EB1">
      <w:fldChar w:fldCharType="separate"/>
    </w:r>
    <w:r w:rsidR="00046EB1">
      <w:rPr>
        <w:noProof/>
      </w:rPr>
      <w:t>1</w:t>
    </w:r>
    <w:r w:rsidRPr="00046EB1">
      <w:fldChar w:fldCharType="end"/>
    </w:r>
  </w:p>
  <w:p w:rsidR="00C23BFC" w:rsidRPr="00046EB1" w:rsidRDefault="00C23B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BFC" w:rsidRPr="00046EB1" w:rsidRDefault="00C23BFC">
      <w:pPr>
        <w:pStyle w:val="Sidfot"/>
      </w:pPr>
    </w:p>
  </w:footnote>
  <w:footnote w:type="continuationSeparator" w:id="0">
    <w:p w:rsidR="00C23BFC" w:rsidRPr="00046EB1" w:rsidRDefault="00C23BFC">
      <w:pPr>
        <w:spacing w:before="0" w:line="240" w:lineRule="auto"/>
      </w:pPr>
      <w:r w:rsidRPr="00046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FC" w:rsidRPr="00046EB1" w:rsidRDefault="00C23BFC">
    <w:pPr>
      <w:pStyle w:val="SidhuvudKantJmn"/>
      <w:framePr w:w="8732" w:h="567" w:hRule="exact" w:vSpace="0" w:wrap="around" w:vAnchor="page" w:y="341" w:anchorLock="0"/>
    </w:pPr>
    <w:r w:rsidRPr="00046EB1">
      <w:rPr>
        <w:rStyle w:val="SidhuvudUtskott"/>
      </w:rPr>
      <w:t>2003/04:TU1y</w:t>
    </w:r>
    <w:r w:rsidRPr="00046EB1">
      <w:t xml:space="preserve">     </w:t>
    </w:r>
    <w:r w:rsidRPr="00046EB1">
      <w:rPr>
        <w:rStyle w:val="SidhuvudBilaga"/>
      </w:rPr>
      <w:t xml:space="preserve"> </w:t>
    </w:r>
  </w:p>
  <w:p w:rsidR="00C23BFC" w:rsidRPr="00046EB1" w:rsidRDefault="00C23BFC">
    <w:pPr>
      <w:pStyle w:val="SidhuvudKantJmn"/>
      <w:framePr w:w="8732" w:h="567" w:hRule="exact" w:vSpace="0" w:wrap="around" w:vAnchor="page" w:y="341" w:anchorLock="0"/>
    </w:pPr>
  </w:p>
  <w:p w:rsidR="00C23BFC" w:rsidRPr="00046EB1" w:rsidRDefault="00C23B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FC" w:rsidRPr="00046EB1" w:rsidRDefault="00C23BFC">
    <w:pPr>
      <w:pStyle w:val="SidhuvudKantUdda"/>
      <w:framePr w:w="8732" w:h="567" w:hRule="exact" w:vSpace="0" w:wrap="around" w:vAnchor="page" w:y="341" w:anchorLock="0"/>
    </w:pPr>
    <w:r w:rsidRPr="00046EB1">
      <w:rPr>
        <w:rStyle w:val="SidhuvudBilaga"/>
      </w:rPr>
      <w:t xml:space="preserve"> </w:t>
    </w:r>
    <w:r w:rsidRPr="00046EB1">
      <w:t xml:space="preserve">     </w:t>
    </w:r>
    <w:r w:rsidRPr="00046EB1">
      <w:rPr>
        <w:rStyle w:val="SidhuvudUtskott"/>
      </w:rPr>
      <w:t>2003/04:TU1y</w:t>
    </w:r>
  </w:p>
  <w:p w:rsidR="00C23BFC" w:rsidRPr="00046EB1" w:rsidRDefault="00C23BFC">
    <w:pPr>
      <w:pStyle w:val="SidhuvudKantUdda"/>
      <w:framePr w:w="8732" w:h="567" w:hRule="exact" w:vSpace="0" w:wrap="around" w:vAnchor="page" w:y="341" w:anchorLock="0"/>
    </w:pPr>
  </w:p>
  <w:p w:rsidR="00C23BFC" w:rsidRPr="00046EB1" w:rsidRDefault="00C23B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FC" w:rsidRPr="00046EB1" w:rsidRDefault="00C23BFC">
    <w:pPr>
      <w:pStyle w:val="SidhuvudKantUdda"/>
      <w:framePr w:w="8732" w:h="567" w:hRule="exact" w:vSpace="0" w:wrap="around" w:vAnchor="page" w:y="341" w:anchorLock="0"/>
    </w:pPr>
    <w:r w:rsidRPr="00046EB1">
      <w:t xml:space="preserve"> </w:t>
    </w:r>
  </w:p>
  <w:p w:rsidR="00C23BFC" w:rsidRPr="00046EB1" w:rsidRDefault="00C23B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A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1500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1B40BB"/>
    <w:multiLevelType w:val="singleLevel"/>
    <w:tmpl w:val="B4CA2824"/>
    <w:lvl w:ilvl="0">
      <w:numFmt w:val="bullet"/>
      <w:lvlText w:val="-"/>
      <w:lvlJc w:val="left"/>
      <w:pPr>
        <w:tabs>
          <w:tab w:val="num" w:pos="360"/>
        </w:tabs>
        <w:ind w:left="360" w:hanging="360"/>
      </w:pPr>
      <w:rPr>
        <w:rFonts w:hint="default"/>
      </w:rPr>
    </w:lvl>
  </w:abstractNum>
  <w:abstractNum w:abstractNumId="4" w15:restartNumberingAfterBreak="0">
    <w:nsid w:val="1AEC0A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8F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426D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DE660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4A41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F1925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A2332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CB3A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DC53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3E64A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4FC484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480729207">
    <w:abstractNumId w:val="2"/>
  </w:num>
  <w:num w:numId="2" w16cid:durableId="1759670976">
    <w:abstractNumId w:val="3"/>
  </w:num>
  <w:num w:numId="3" w16cid:durableId="2016881121">
    <w:abstractNumId w:val="5"/>
  </w:num>
  <w:num w:numId="4" w16cid:durableId="1343901242">
    <w:abstractNumId w:val="11"/>
  </w:num>
  <w:num w:numId="5" w16cid:durableId="1370838415">
    <w:abstractNumId w:val="7"/>
  </w:num>
  <w:num w:numId="6" w16cid:durableId="422066544">
    <w:abstractNumId w:val="13"/>
  </w:num>
  <w:num w:numId="7" w16cid:durableId="1321731857">
    <w:abstractNumId w:val="4"/>
  </w:num>
  <w:num w:numId="8" w16cid:durableId="1097946622">
    <w:abstractNumId w:val="6"/>
  </w:num>
  <w:num w:numId="9" w16cid:durableId="690304366">
    <w:abstractNumId w:val="9"/>
  </w:num>
  <w:num w:numId="10" w16cid:durableId="25763791">
    <w:abstractNumId w:val="8"/>
  </w:num>
  <w:num w:numId="11" w16cid:durableId="1886134137">
    <w:abstractNumId w:val="1"/>
  </w:num>
  <w:num w:numId="12" w16cid:durableId="758453976">
    <w:abstractNumId w:val="0"/>
  </w:num>
  <w:num w:numId="13" w16cid:durableId="110101319">
    <w:abstractNumId w:val="12"/>
  </w:num>
  <w:num w:numId="14" w16cid:durableId="1664818746">
    <w:abstractNumId w:val="10"/>
  </w:num>
  <w:num w:numId="15" w16cid:durableId="1004354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304"/>
  </w:docVars>
  <w:rsids>
    <w:rsidRoot w:val="00096419"/>
    <w:rsid w:val="00046EB1"/>
    <w:rsid w:val="00096419"/>
    <w:rsid w:val="00C23B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17FC9-C557-4FD5-BE8C-68CC075F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emstlrubrik">
    <w:name w:val="Hemstl_rubrik"/>
    <w:basedOn w:val="Rubrik1"/>
    <w:next w:val="Normal"/>
    <w:pPr>
      <w:tabs>
        <w:tab w:val="left" w:pos="284"/>
        <w:tab w:val="left" w:pos="624"/>
        <w:tab w:val="left" w:pos="1021"/>
        <w:tab w:val="left" w:pos="1474"/>
        <w:tab w:val="left" w:pos="1985"/>
        <w:tab w:val="left" w:pos="2268"/>
        <w:tab w:val="left" w:pos="2552"/>
        <w:tab w:val="left" w:pos="2835"/>
      </w:tabs>
      <w:spacing w:before="240" w:after="120" w:line="360" w:lineRule="auto"/>
    </w:pPr>
    <w:rPr>
      <w:b/>
      <w:noProof w:val="0"/>
    </w:rPr>
  </w:style>
  <w:style w:type="paragraph" w:customStyle="1" w:styleId="Underskrifter">
    <w:name w:val="Underskrifter"/>
    <w:basedOn w:val="Normal"/>
    <w:pPr>
      <w:keepNext/>
      <w:keepLines/>
      <w:suppressAutoHyphens/>
      <w:spacing w:before="0" w:line="960" w:lineRule="auto"/>
      <w:jc w:val="left"/>
    </w:pPr>
    <w:rPr>
      <w:i/>
      <w:sz w:val="24"/>
    </w:rPr>
  </w:style>
  <w:style w:type="paragraph" w:customStyle="1" w:styleId="UnderskriftDatum">
    <w:name w:val="UnderskriftDatum"/>
    <w:basedOn w:val="Underskrifter"/>
    <w:next w:val="Underskrifter"/>
    <w:pPr>
      <w:spacing w:line="480" w:lineRule="auto"/>
    </w:pPr>
    <w:rPr>
      <w:i w:val="0"/>
    </w:rPr>
  </w:style>
  <w:style w:type="paragraph" w:customStyle="1" w:styleId="Proputanindrag">
    <w:name w:val="Prop. utan indrag"/>
    <w:basedOn w:val="Normal"/>
    <w:next w:val="Normal"/>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1569</Words>
  <Characters>10061</Characters>
  <Application>Microsoft Office Word</Application>
  <DocSecurity>4</DocSecurity>
  <Lines>193</Lines>
  <Paragraphs>69</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1999/2000:T1</vt:lpstr>
      <vt:lpstr>Konventets förslag inom transportområdet m.m.</vt:lpstr>
      <vt:lpstr>Avsnittet om Transporter innefattar artiklar om bl.a. följande.</vt:lpstr>
      <vt:lpstr>Regeringens departementspromemoria om konventets förslag</vt:lpstr>
      <vt:lpstr>Regeringens skrivelse om konventets förslag</vt:lpstr>
      <vt:lpstr>Motionsförslag</vt:lpstr>
      <vt:lpstr>Utskottets ställningstagande</vt:lpstr>
      <vt:lpstr/>
    </vt:vector>
  </TitlesOfParts>
  <Company>Riksdagen</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2003-11-06T12:38:00Z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TU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