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000000" w:rsidRPr="00805899">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E4551E" w:rsidRPr="00805899" w:rsidRDefault="00805899">
            <w:pPr>
              <w:pStyle w:val="EntLogo"/>
            </w:pPr>
            <w:bookmarkStart w:id="0" w:name="AC"/>
            <w:r w:rsidRPr="00805899">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47" name="Bild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00000" w:rsidRPr="00805899">
        <w:tblPrEx>
          <w:tblCellMar>
            <w:top w:w="0" w:type="dxa"/>
            <w:left w:w="0" w:type="dxa"/>
            <w:bottom w:w="0" w:type="dxa"/>
            <w:right w:w="0" w:type="dxa"/>
          </w:tblCellMar>
        </w:tblPrEx>
        <w:trPr>
          <w:cantSplit/>
          <w:trHeight w:val="1120"/>
        </w:trPr>
        <w:tc>
          <w:tcPr>
            <w:tcW w:w="4821" w:type="dxa"/>
            <w:gridSpan w:val="2"/>
          </w:tcPr>
          <w:p w:rsidR="00E4551E" w:rsidRPr="00805899" w:rsidRDefault="00E4551E">
            <w:pPr>
              <w:pStyle w:val="EntInstit"/>
            </w:pPr>
            <w:bookmarkStart w:id="1" w:name="Entete"/>
            <w:bookmarkEnd w:id="1"/>
            <w:r w:rsidRPr="00805899">
              <w:t>COUNCIL OF</w:t>
            </w:r>
          </w:p>
          <w:p w:rsidR="00E4551E" w:rsidRPr="00805899" w:rsidRDefault="00E4551E">
            <w:pPr>
              <w:pStyle w:val="EntInstit"/>
            </w:pPr>
            <w:r w:rsidRPr="00805899">
              <w:t>THE EUROPEAN UNION</w:t>
            </w:r>
          </w:p>
        </w:tc>
        <w:tc>
          <w:tcPr>
            <w:tcW w:w="1701" w:type="dxa"/>
          </w:tcPr>
          <w:p w:rsidR="00E4551E" w:rsidRPr="00805899" w:rsidRDefault="00E4551E">
            <w:pPr>
              <w:spacing w:line="240" w:lineRule="auto"/>
              <w:jc w:val="right"/>
              <w:rPr>
                <w:b/>
              </w:rPr>
            </w:pPr>
          </w:p>
        </w:tc>
        <w:tc>
          <w:tcPr>
            <w:tcW w:w="4820" w:type="dxa"/>
            <w:gridSpan w:val="2"/>
          </w:tcPr>
          <w:p w:rsidR="00E4551E" w:rsidRPr="00805899" w:rsidRDefault="00E4551E">
            <w:pPr>
              <w:pStyle w:val="EntRefer"/>
            </w:pPr>
            <w:bookmarkStart w:id="2" w:name="Lieu"/>
            <w:bookmarkEnd w:id="2"/>
            <w:r w:rsidRPr="00805899">
              <w:t xml:space="preserve">Brussels, </w:t>
            </w:r>
            <w:bookmarkStart w:id="3" w:name="Date"/>
            <w:bookmarkEnd w:id="3"/>
            <w:r w:rsidRPr="00805899">
              <w:t>15 June 2006</w:t>
            </w:r>
            <w:bookmarkStart w:id="4" w:name="DateEntree"/>
            <w:bookmarkEnd w:id="4"/>
          </w:p>
          <w:p w:rsidR="00E4551E" w:rsidRPr="00805899" w:rsidRDefault="00E4551E">
            <w:pPr>
              <w:pStyle w:val="EntRefer"/>
            </w:pPr>
            <w:bookmarkStart w:id="5" w:name="LangueOrig"/>
            <w:bookmarkEnd w:id="5"/>
          </w:p>
        </w:tc>
      </w:tr>
      <w:tr w:rsidR="00000000" w:rsidRPr="00805899">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E4551E" w:rsidRPr="00805899" w:rsidRDefault="00E4551E">
            <w:pPr>
              <w:pStyle w:val="EntRefer"/>
              <w:pBdr>
                <w:top w:val="double" w:sz="4" w:space="4" w:color="auto"/>
                <w:left w:val="double" w:sz="4" w:space="0" w:color="auto"/>
                <w:bottom w:val="double" w:sz="4" w:space="4" w:color="auto"/>
                <w:right w:val="double" w:sz="4" w:space="0" w:color="auto"/>
              </w:pBdr>
              <w:jc w:val="center"/>
            </w:pPr>
            <w:bookmarkStart w:id="6" w:name="DossierInterInst"/>
            <w:bookmarkEnd w:id="6"/>
            <w:r w:rsidRPr="00805899">
              <w:t>Interinstitutional File:</w:t>
            </w:r>
          </w:p>
          <w:p w:rsidR="00E4551E" w:rsidRPr="00805899" w:rsidRDefault="00E4551E">
            <w:pPr>
              <w:pStyle w:val="EntRefer"/>
              <w:pBdr>
                <w:top w:val="double" w:sz="4" w:space="4" w:color="auto"/>
                <w:left w:val="double" w:sz="4" w:space="0" w:color="auto"/>
                <w:bottom w:val="double" w:sz="4" w:space="4" w:color="auto"/>
                <w:right w:val="double" w:sz="4" w:space="0" w:color="auto"/>
              </w:pBdr>
              <w:jc w:val="center"/>
            </w:pPr>
            <w:r w:rsidRPr="00805899">
              <w:t>2006/0005 (COD)</w:t>
            </w:r>
          </w:p>
        </w:tc>
        <w:tc>
          <w:tcPr>
            <w:tcW w:w="1701" w:type="dxa"/>
            <w:vAlign w:val="center"/>
          </w:tcPr>
          <w:p w:rsidR="00E4551E" w:rsidRPr="00805899" w:rsidRDefault="00E4551E">
            <w:pPr>
              <w:spacing w:line="240" w:lineRule="auto"/>
              <w:rPr>
                <w:b/>
              </w:rPr>
            </w:pPr>
          </w:p>
        </w:tc>
        <w:tc>
          <w:tcPr>
            <w:tcW w:w="3970" w:type="dxa"/>
          </w:tcPr>
          <w:p w:rsidR="00E4551E" w:rsidRPr="00805899" w:rsidRDefault="00E4551E">
            <w:pPr>
              <w:pStyle w:val="EntRefer"/>
            </w:pPr>
            <w:bookmarkStart w:id="7" w:name="Cote"/>
            <w:bookmarkEnd w:id="7"/>
            <w:r w:rsidRPr="00805899">
              <w:t>10456/06</w:t>
            </w:r>
          </w:p>
          <w:p w:rsidR="00E4551E" w:rsidRPr="00805899" w:rsidRDefault="00E4551E">
            <w:pPr>
              <w:pStyle w:val="EntRefer"/>
            </w:pPr>
            <w:bookmarkStart w:id="8" w:name="CoteRev"/>
            <w:bookmarkEnd w:id="8"/>
          </w:p>
          <w:p w:rsidR="00E4551E" w:rsidRPr="00805899" w:rsidRDefault="00E4551E">
            <w:pPr>
              <w:pStyle w:val="EntRefer"/>
            </w:pPr>
          </w:p>
          <w:p w:rsidR="00E4551E" w:rsidRPr="00805899" w:rsidRDefault="00E4551E">
            <w:pPr>
              <w:pStyle w:val="EntRefer"/>
            </w:pPr>
            <w:bookmarkStart w:id="9" w:name="CoteSec"/>
            <w:bookmarkEnd w:id="9"/>
            <w:r w:rsidRPr="00805899">
              <w:t>LIMITE</w:t>
            </w:r>
          </w:p>
          <w:p w:rsidR="00E4551E" w:rsidRPr="00805899" w:rsidRDefault="00E4551E">
            <w:pPr>
              <w:pStyle w:val="EntRefer"/>
            </w:pPr>
          </w:p>
        </w:tc>
      </w:tr>
      <w:tr w:rsidR="00000000" w:rsidRPr="00805899">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E4551E" w:rsidRPr="00805899" w:rsidRDefault="00E4551E">
            <w:pPr>
              <w:pStyle w:val="EntRefer"/>
              <w:jc w:val="center"/>
            </w:pPr>
            <w:bookmarkStart w:id="10" w:name="SousEmbargo"/>
            <w:bookmarkEnd w:id="10"/>
          </w:p>
        </w:tc>
        <w:tc>
          <w:tcPr>
            <w:tcW w:w="1701" w:type="dxa"/>
            <w:vAlign w:val="center"/>
          </w:tcPr>
          <w:p w:rsidR="00E4551E" w:rsidRPr="00805899" w:rsidRDefault="00E4551E">
            <w:pPr>
              <w:spacing w:line="240" w:lineRule="auto"/>
              <w:rPr>
                <w:b/>
              </w:rPr>
            </w:pPr>
          </w:p>
        </w:tc>
        <w:tc>
          <w:tcPr>
            <w:tcW w:w="3970" w:type="dxa"/>
          </w:tcPr>
          <w:p w:rsidR="00E4551E" w:rsidRPr="00805899" w:rsidRDefault="00E4551E">
            <w:pPr>
              <w:pStyle w:val="EntRefer"/>
            </w:pPr>
            <w:r w:rsidRPr="00805899">
              <w:t>ENV 357</w:t>
            </w:r>
          </w:p>
          <w:p w:rsidR="00E4551E" w:rsidRPr="00805899" w:rsidRDefault="00E4551E">
            <w:pPr>
              <w:pStyle w:val="EntRefer"/>
            </w:pPr>
            <w:r w:rsidRPr="00805899">
              <w:t>CODEC 637</w:t>
            </w:r>
          </w:p>
        </w:tc>
      </w:tr>
    </w:tbl>
    <w:p w:rsidR="00E4551E" w:rsidRPr="00805899" w:rsidRDefault="00E4551E">
      <w:pPr>
        <w:pStyle w:val="EntRefer"/>
      </w:pPr>
    </w:p>
    <w:p w:rsidR="00E4551E" w:rsidRPr="00805899" w:rsidRDefault="00E4551E">
      <w:pPr>
        <w:pStyle w:val="EntRefer"/>
        <w:outlineLvl w:val="0"/>
      </w:pPr>
      <w:bookmarkStart w:id="11" w:name="Title"/>
      <w:bookmarkEnd w:id="11"/>
      <w:r w:rsidRPr="00805899">
        <w:t>NOTE</w:t>
      </w:r>
    </w:p>
    <w:tbl>
      <w:tblPr>
        <w:tblW w:w="9640" w:type="dxa"/>
        <w:tblLayout w:type="fixed"/>
        <w:tblCellMar>
          <w:left w:w="0" w:type="dxa"/>
          <w:right w:w="0" w:type="dxa"/>
        </w:tblCellMar>
        <w:tblLook w:val="0000" w:firstRow="0" w:lastRow="0" w:firstColumn="0" w:lastColumn="0" w:noHBand="0" w:noVBand="0"/>
      </w:tblPr>
      <w:tblGrid>
        <w:gridCol w:w="1701"/>
        <w:gridCol w:w="7939"/>
      </w:tblGrid>
      <w:tr w:rsidR="00000000" w:rsidRPr="00805899">
        <w:tblPrEx>
          <w:tblCellMar>
            <w:top w:w="0" w:type="dxa"/>
            <w:left w:w="0" w:type="dxa"/>
            <w:bottom w:w="0" w:type="dxa"/>
            <w:right w:w="0" w:type="dxa"/>
          </w:tblCellMar>
        </w:tblPrEx>
        <w:tc>
          <w:tcPr>
            <w:tcW w:w="1700" w:type="dxa"/>
            <w:tcBorders>
              <w:top w:val="single" w:sz="4" w:space="0" w:color="auto"/>
            </w:tcBorders>
          </w:tcPr>
          <w:p w:rsidR="00E4551E" w:rsidRPr="00805899" w:rsidRDefault="00E4551E">
            <w:pPr>
              <w:pStyle w:val="EntEmet"/>
            </w:pPr>
            <w:bookmarkStart w:id="12" w:name="Ref"/>
            <w:r w:rsidRPr="00805899">
              <w:t>from :</w:t>
            </w:r>
          </w:p>
        </w:tc>
        <w:tc>
          <w:tcPr>
            <w:tcW w:w="7940" w:type="dxa"/>
            <w:tcBorders>
              <w:top w:val="single" w:sz="4" w:space="0" w:color="auto"/>
            </w:tcBorders>
          </w:tcPr>
          <w:p w:rsidR="00E4551E" w:rsidRPr="00805899" w:rsidRDefault="00E4551E">
            <w:pPr>
              <w:pStyle w:val="EntEmet"/>
            </w:pPr>
            <w:r w:rsidRPr="00805899">
              <w:t>General Secretariat</w:t>
            </w:r>
          </w:p>
        </w:tc>
      </w:tr>
      <w:tr w:rsidR="00000000" w:rsidRPr="00805899">
        <w:tblPrEx>
          <w:tblCellMar>
            <w:top w:w="0" w:type="dxa"/>
            <w:left w:w="0" w:type="dxa"/>
            <w:bottom w:w="0" w:type="dxa"/>
            <w:right w:w="0" w:type="dxa"/>
          </w:tblCellMar>
        </w:tblPrEx>
        <w:tc>
          <w:tcPr>
            <w:tcW w:w="1700" w:type="dxa"/>
            <w:tcBorders>
              <w:bottom w:val="single" w:sz="4" w:space="0" w:color="auto"/>
            </w:tcBorders>
          </w:tcPr>
          <w:p w:rsidR="00E4551E" w:rsidRPr="00805899" w:rsidRDefault="00E4551E">
            <w:pPr>
              <w:pStyle w:val="EntEmet"/>
            </w:pPr>
            <w:r w:rsidRPr="00805899">
              <w:t>to :</w:t>
            </w:r>
          </w:p>
        </w:tc>
        <w:tc>
          <w:tcPr>
            <w:tcW w:w="7940" w:type="dxa"/>
            <w:tcBorders>
              <w:bottom w:val="single" w:sz="4" w:space="0" w:color="auto"/>
            </w:tcBorders>
          </w:tcPr>
          <w:p w:rsidR="00E4551E" w:rsidRPr="00805899" w:rsidRDefault="00E4551E">
            <w:pPr>
              <w:pStyle w:val="EntEmet"/>
            </w:pPr>
            <w:r w:rsidRPr="00805899">
              <w:t>Council</w:t>
            </w:r>
          </w:p>
        </w:tc>
      </w:tr>
      <w:tr w:rsidR="00000000" w:rsidRPr="00805899">
        <w:tblPrEx>
          <w:tblCellMar>
            <w:top w:w="0" w:type="dxa"/>
            <w:left w:w="0" w:type="dxa"/>
            <w:bottom w:w="0" w:type="dxa"/>
            <w:right w:w="0" w:type="dxa"/>
          </w:tblCellMar>
        </w:tblPrEx>
        <w:tc>
          <w:tcPr>
            <w:tcW w:w="1700" w:type="dxa"/>
            <w:tcBorders>
              <w:top w:val="single" w:sz="4" w:space="0" w:color="auto"/>
            </w:tcBorders>
          </w:tcPr>
          <w:p w:rsidR="00E4551E" w:rsidRPr="00805899" w:rsidRDefault="00E4551E">
            <w:pPr>
              <w:pStyle w:val="EntEmet"/>
            </w:pPr>
            <w:r w:rsidRPr="00805899">
              <w:t>No. prev. doc.:</w:t>
            </w:r>
          </w:p>
        </w:tc>
        <w:tc>
          <w:tcPr>
            <w:tcW w:w="7940" w:type="dxa"/>
            <w:tcBorders>
              <w:top w:val="single" w:sz="4" w:space="0" w:color="auto"/>
            </w:tcBorders>
          </w:tcPr>
          <w:p w:rsidR="00E4551E" w:rsidRPr="00805899" w:rsidRDefault="00E4551E">
            <w:pPr>
              <w:pStyle w:val="EntEmet"/>
            </w:pPr>
            <w:r w:rsidRPr="00805899">
              <w:t>10189/06 ENV 339 CODEC 589</w:t>
            </w:r>
          </w:p>
        </w:tc>
      </w:tr>
      <w:tr w:rsidR="00000000" w:rsidRPr="00805899">
        <w:tblPrEx>
          <w:tblCellMar>
            <w:top w:w="0" w:type="dxa"/>
            <w:left w:w="0" w:type="dxa"/>
            <w:bottom w:w="0" w:type="dxa"/>
            <w:right w:w="0" w:type="dxa"/>
          </w:tblCellMar>
        </w:tblPrEx>
        <w:tc>
          <w:tcPr>
            <w:tcW w:w="1700" w:type="dxa"/>
          </w:tcPr>
          <w:p w:rsidR="00E4551E" w:rsidRPr="00805899" w:rsidRDefault="00E4551E">
            <w:pPr>
              <w:pStyle w:val="EntEmet"/>
            </w:pPr>
            <w:r w:rsidRPr="00805899">
              <w:t>No. Cion prop.:</w:t>
            </w:r>
          </w:p>
        </w:tc>
        <w:tc>
          <w:tcPr>
            <w:tcW w:w="7940" w:type="dxa"/>
          </w:tcPr>
          <w:p w:rsidR="00E4551E" w:rsidRPr="00805899" w:rsidRDefault="00E4551E">
            <w:pPr>
              <w:pStyle w:val="EntEmet"/>
            </w:pPr>
            <w:r w:rsidRPr="00805899">
              <w:t>5540/06 ENV 37 CODEC 58 - COM(2006) 15 final</w:t>
            </w:r>
          </w:p>
        </w:tc>
      </w:tr>
      <w:bookmarkEnd w:id="12"/>
      <w:tr w:rsidR="00000000" w:rsidRPr="00805899">
        <w:tblPrEx>
          <w:tblCellMar>
            <w:top w:w="0" w:type="dxa"/>
            <w:left w:w="0" w:type="dxa"/>
            <w:bottom w:w="0" w:type="dxa"/>
            <w:right w:w="0" w:type="dxa"/>
          </w:tblCellMar>
        </w:tblPrEx>
        <w:tc>
          <w:tcPr>
            <w:tcW w:w="1701" w:type="dxa"/>
            <w:tcBorders>
              <w:top w:val="single" w:sz="4" w:space="0" w:color="auto"/>
              <w:bottom w:val="single" w:sz="4" w:space="0" w:color="auto"/>
            </w:tcBorders>
          </w:tcPr>
          <w:p w:rsidR="00E4551E" w:rsidRPr="00805899" w:rsidRDefault="00E4551E">
            <w:pPr>
              <w:pStyle w:val="EntEmet"/>
            </w:pPr>
            <w:r w:rsidRPr="00805899">
              <w:t>Subject :</w:t>
            </w:r>
          </w:p>
        </w:tc>
        <w:tc>
          <w:tcPr>
            <w:tcW w:w="7938" w:type="dxa"/>
            <w:tcBorders>
              <w:top w:val="single" w:sz="4" w:space="0" w:color="auto"/>
              <w:bottom w:val="single" w:sz="4" w:space="0" w:color="auto"/>
            </w:tcBorders>
          </w:tcPr>
          <w:p w:rsidR="00E4551E" w:rsidRPr="00805899" w:rsidRDefault="00E4551E">
            <w:pPr>
              <w:pStyle w:val="EntEmet"/>
            </w:pPr>
            <w:bookmarkStart w:id="13" w:name="Subject"/>
            <w:bookmarkEnd w:id="13"/>
            <w:r w:rsidRPr="00805899">
              <w:t>Proposal for a Directive of the European Parliament and of the Council on the assessment and management of flood risks</w:t>
            </w:r>
          </w:p>
          <w:p w:rsidR="00E4551E" w:rsidRPr="00805899" w:rsidRDefault="00E4551E">
            <w:pPr>
              <w:pStyle w:val="Par-dash"/>
            </w:pPr>
            <w:r w:rsidRPr="00805899">
              <w:t>Political agreement</w:t>
            </w:r>
          </w:p>
        </w:tc>
      </w:tr>
    </w:tbl>
    <w:p w:rsidR="00E4551E" w:rsidRPr="00805899" w:rsidRDefault="00E4551E">
      <w:pPr>
        <w:spacing w:line="240" w:lineRule="auto"/>
      </w:pPr>
    </w:p>
    <w:p w:rsidR="00E4551E" w:rsidRPr="00805899" w:rsidRDefault="00E4551E">
      <w:pPr>
        <w:tabs>
          <w:tab w:val="left" w:pos="3969"/>
        </w:tabs>
      </w:pPr>
    </w:p>
    <w:p w:rsidR="00E4551E" w:rsidRPr="00805899" w:rsidRDefault="00E4551E">
      <w:pPr>
        <w:pStyle w:val="Par-numberI"/>
        <w:numPr>
          <w:ilvl w:val="0"/>
          <w:numId w:val="2"/>
        </w:numPr>
        <w:rPr>
          <w:b/>
        </w:rPr>
      </w:pPr>
      <w:r w:rsidRPr="00805899">
        <w:rPr>
          <w:b/>
          <w:u w:val="single"/>
        </w:rPr>
        <w:t>INTRODUCTION</w:t>
      </w:r>
    </w:p>
    <w:p w:rsidR="00E4551E" w:rsidRPr="00805899" w:rsidRDefault="00E4551E"/>
    <w:p w:rsidR="00E4551E" w:rsidRPr="00805899" w:rsidRDefault="00E4551E">
      <w:pPr>
        <w:pStyle w:val="Par-number11"/>
        <w:numPr>
          <w:ilvl w:val="0"/>
          <w:numId w:val="1"/>
        </w:numPr>
        <w:tabs>
          <w:tab w:val="clear" w:pos="567"/>
          <w:tab w:val="num" w:pos="1134"/>
        </w:tabs>
        <w:ind w:left="1134"/>
      </w:pPr>
      <w:r w:rsidRPr="00805899">
        <w:rPr>
          <w:u w:val="single"/>
        </w:rPr>
        <w:t>The Commission</w:t>
      </w:r>
      <w:r w:rsidRPr="00805899">
        <w:t xml:space="preserve"> submitted its proposal to the Council on </w:t>
      </w:r>
      <w:r w:rsidRPr="00805899">
        <w:rPr>
          <w:u w:val="single"/>
        </w:rPr>
        <w:t>18 January 2006</w:t>
      </w:r>
      <w:r w:rsidRPr="00805899">
        <w:t>.  The proposal is based on Article 175(1) of the Treaty.</w:t>
      </w:r>
    </w:p>
    <w:p w:rsidR="00E4551E" w:rsidRPr="00805899" w:rsidRDefault="00E4551E"/>
    <w:p w:rsidR="00E4551E" w:rsidRPr="00805899" w:rsidRDefault="00E4551E">
      <w:pPr>
        <w:pStyle w:val="Par-number11"/>
        <w:numPr>
          <w:ilvl w:val="0"/>
          <w:numId w:val="0"/>
        </w:numPr>
        <w:ind w:left="1134"/>
      </w:pPr>
      <w:r w:rsidRPr="00805899">
        <w:t xml:space="preserve">The objective of the draft Directive is to reduce and manage flood-related risks to human health, the environment, and economic assets. It applies to the whole Community territory, and therefore to flood risk management in both rivers and coastal zones. </w:t>
      </w:r>
    </w:p>
    <w:p w:rsidR="00E4551E" w:rsidRPr="00805899" w:rsidRDefault="00E4551E">
      <w:pPr>
        <w:pStyle w:val="Par-number11"/>
        <w:numPr>
          <w:ilvl w:val="0"/>
          <w:numId w:val="1"/>
        </w:numPr>
        <w:tabs>
          <w:tab w:val="clear" w:pos="567"/>
          <w:tab w:val="num" w:pos="1134"/>
        </w:tabs>
        <w:ind w:left="1134"/>
      </w:pPr>
      <w:r w:rsidRPr="00805899">
        <w:br w:type="page"/>
      </w:r>
      <w:r w:rsidRPr="00805899">
        <w:lastRenderedPageBreak/>
        <w:t>The proposed Directive provides for flood mapping in all areas with a significant flood risk, for producing and implementing flood risk management plans in vulnerable river basins and coastal areas, as well as for a coordination mechanism within the river basins districts. It  provides the flexibility for Member States to determine the objectives for the management of flood risks required and the measures to be taken to achieve these objectives. A close link with the implementation of the Water Framework Di</w:t>
      </w:r>
      <w:r w:rsidRPr="00805899">
        <w:t>rective </w:t>
      </w:r>
      <w:r w:rsidRPr="00805899">
        <w:rPr>
          <w:rStyle w:val="Fotnotsreferens"/>
        </w:rPr>
        <w:footnoteReference w:id="1"/>
      </w:r>
      <w:r w:rsidRPr="00805899">
        <w:t xml:space="preserve"> is foreseen.</w:t>
      </w:r>
    </w:p>
    <w:p w:rsidR="00E4551E" w:rsidRPr="00805899" w:rsidRDefault="00E4551E"/>
    <w:p w:rsidR="00E4551E" w:rsidRPr="00805899" w:rsidRDefault="00E4551E">
      <w:pPr>
        <w:pStyle w:val="Par-number11"/>
        <w:numPr>
          <w:ilvl w:val="0"/>
          <w:numId w:val="1"/>
        </w:numPr>
        <w:tabs>
          <w:tab w:val="clear" w:pos="567"/>
          <w:tab w:val="num" w:pos="1134"/>
        </w:tabs>
        <w:ind w:left="1134"/>
      </w:pPr>
      <w:r w:rsidRPr="00805899">
        <w:rPr>
          <w:u w:val="single"/>
        </w:rPr>
        <w:t>The European Parliament</w:t>
      </w:r>
      <w:r w:rsidRPr="00805899">
        <w:t xml:space="preserve"> and </w:t>
      </w:r>
      <w:r w:rsidRPr="00805899">
        <w:rPr>
          <w:u w:val="single"/>
        </w:rPr>
        <w:t>the Economic and Social Committee</w:t>
      </w:r>
      <w:r w:rsidRPr="00805899">
        <w:t xml:space="preserve"> delivered their Opinions on 13 June 2006 and 17 May 2006 respectively. </w:t>
      </w:r>
      <w:r w:rsidRPr="00805899">
        <w:rPr>
          <w:u w:val="single"/>
        </w:rPr>
        <w:t>The Committee of the Regions</w:t>
      </w:r>
      <w:r w:rsidRPr="00805899">
        <w:t xml:space="preserve"> decided on 27 February 2006 not to deliver an opinion.</w:t>
      </w:r>
    </w:p>
    <w:p w:rsidR="00E4551E" w:rsidRPr="00805899" w:rsidRDefault="00E4551E"/>
    <w:p w:rsidR="00E4551E" w:rsidRPr="00805899" w:rsidRDefault="00E4551E">
      <w:pPr>
        <w:pStyle w:val="Par-number11"/>
        <w:tabs>
          <w:tab w:val="clear" w:pos="567"/>
          <w:tab w:val="num" w:pos="1134"/>
        </w:tabs>
        <w:ind w:left="1134"/>
      </w:pPr>
      <w:r w:rsidRPr="00805899">
        <w:rPr>
          <w:u w:val="single"/>
        </w:rPr>
        <w:t>The Council</w:t>
      </w:r>
      <w:r w:rsidRPr="00805899">
        <w:t xml:space="preserve"> (Environment) took note of the state of play and held a short exchange of views on the proposal at its session on 9 March 2006.</w:t>
      </w:r>
    </w:p>
    <w:p w:rsidR="00E4551E" w:rsidRPr="00805899" w:rsidRDefault="00E4551E">
      <w:pPr>
        <w:ind w:left="1134" w:hanging="567"/>
      </w:pPr>
    </w:p>
    <w:p w:rsidR="00E4551E" w:rsidRPr="00805899" w:rsidRDefault="00E4551E">
      <w:pPr>
        <w:pStyle w:val="Par-number11"/>
        <w:tabs>
          <w:tab w:val="clear" w:pos="567"/>
          <w:tab w:val="num" w:pos="1134"/>
        </w:tabs>
        <w:ind w:left="1134"/>
      </w:pPr>
      <w:r w:rsidRPr="00805899">
        <w:rPr>
          <w:u w:val="single"/>
        </w:rPr>
        <w:t>The Permanent Representatives Committee</w:t>
      </w:r>
      <w:r w:rsidRPr="00805899">
        <w:t xml:space="preserve"> examined the proposal on 12 May and on 13 June 2006 finding a solution to a number of outstanding issues.</w:t>
      </w:r>
    </w:p>
    <w:p w:rsidR="00E4551E" w:rsidRPr="00805899" w:rsidRDefault="00E4551E"/>
    <w:p w:rsidR="00E4551E" w:rsidRPr="00805899" w:rsidRDefault="00E4551E">
      <w:pPr>
        <w:pStyle w:val="Par-number11"/>
        <w:numPr>
          <w:ilvl w:val="0"/>
          <w:numId w:val="0"/>
        </w:numPr>
        <w:ind w:left="1134"/>
      </w:pPr>
      <w:r w:rsidRPr="00805899">
        <w:t xml:space="preserve">The latest </w:t>
      </w:r>
      <w:r w:rsidRPr="00805899">
        <w:rPr>
          <w:u w:val="single"/>
        </w:rPr>
        <w:t>Presidency</w:t>
      </w:r>
      <w:r w:rsidRPr="00805899">
        <w:t xml:space="preserve"> compromise suggestions, with footnotes illustrating delegations' positions, can be found in the Addendum to this Note. An outline of the main outstanding issues can be found in Section II, while other open questions are listed in Section III of this Note.</w:t>
      </w:r>
    </w:p>
    <w:p w:rsidR="00E4551E" w:rsidRPr="00805899" w:rsidRDefault="00E4551E"/>
    <w:p w:rsidR="00E4551E" w:rsidRPr="00805899" w:rsidRDefault="00E4551E">
      <w:pPr>
        <w:pStyle w:val="Par-number11"/>
        <w:numPr>
          <w:ilvl w:val="0"/>
          <w:numId w:val="0"/>
        </w:numPr>
        <w:ind w:left="1134"/>
      </w:pPr>
      <w:r w:rsidRPr="00805899">
        <w:rPr>
          <w:u w:val="single"/>
        </w:rPr>
        <w:t>All delegations</w:t>
      </w:r>
      <w:r w:rsidRPr="00805899">
        <w:t xml:space="preserve"> and </w:t>
      </w:r>
      <w:r w:rsidRPr="00805899">
        <w:rPr>
          <w:u w:val="single"/>
        </w:rPr>
        <w:t>the Commission</w:t>
      </w:r>
      <w:r w:rsidRPr="00805899">
        <w:t xml:space="preserve"> maintain a general scrutiny reservation on the Presidency compromise; </w:t>
      </w:r>
      <w:r w:rsidRPr="00805899">
        <w:rPr>
          <w:u w:val="single"/>
        </w:rPr>
        <w:t>XX, XX, XX</w:t>
      </w:r>
      <w:r w:rsidRPr="00805899">
        <w:t xml:space="preserve">and the </w:t>
      </w:r>
      <w:r w:rsidRPr="00805899">
        <w:rPr>
          <w:u w:val="single"/>
        </w:rPr>
        <w:t>XX</w:t>
      </w:r>
      <w:r w:rsidRPr="00805899">
        <w:t xml:space="preserve"> have a parliamentary scrutiny reservation.</w:t>
      </w:r>
    </w:p>
    <w:p w:rsidR="00E4551E" w:rsidRPr="00805899" w:rsidRDefault="00E4551E">
      <w:pPr>
        <w:pStyle w:val="Par-number11"/>
        <w:numPr>
          <w:ilvl w:val="0"/>
          <w:numId w:val="0"/>
        </w:numPr>
        <w:ind w:left="1134" w:hanging="567"/>
      </w:pPr>
    </w:p>
    <w:p w:rsidR="00E4551E" w:rsidRPr="00805899" w:rsidRDefault="00E4551E">
      <w:pPr>
        <w:pStyle w:val="Par-number11"/>
        <w:tabs>
          <w:tab w:val="clear" w:pos="567"/>
          <w:tab w:val="num" w:pos="1134"/>
        </w:tabs>
        <w:ind w:left="1134"/>
      </w:pPr>
      <w:r w:rsidRPr="00805899">
        <w:rPr>
          <w:u w:val="single"/>
        </w:rPr>
        <w:t>The Council</w:t>
      </w:r>
      <w:r w:rsidRPr="00805899">
        <w:t xml:space="preserve"> is invited to examine and solve the remaining open issues with the aim of reaching a political agreement on the proposal.</w:t>
      </w:r>
    </w:p>
    <w:p w:rsidR="00E4551E" w:rsidRPr="00805899" w:rsidRDefault="00E4551E">
      <w:pPr>
        <w:pStyle w:val="Par-number11"/>
        <w:numPr>
          <w:ilvl w:val="0"/>
          <w:numId w:val="0"/>
        </w:numPr>
        <w:rPr>
          <w:b/>
        </w:rPr>
      </w:pPr>
      <w:r w:rsidRPr="00805899">
        <w:br w:type="page"/>
      </w:r>
      <w:r w:rsidRPr="00805899">
        <w:rPr>
          <w:b/>
        </w:rPr>
        <w:t>II.</w:t>
      </w:r>
      <w:r w:rsidRPr="00805899">
        <w:rPr>
          <w:b/>
        </w:rPr>
        <w:tab/>
      </w:r>
      <w:r w:rsidRPr="00805899">
        <w:rPr>
          <w:b/>
          <w:u w:val="single"/>
        </w:rPr>
        <w:t>MAIN OUTSTANDING ISSUES</w:t>
      </w:r>
      <w:r w:rsidRPr="00805899">
        <w:rPr>
          <w:b/>
        </w:rPr>
        <w:t xml:space="preserve"> </w:t>
      </w:r>
    </w:p>
    <w:p w:rsidR="00E4551E" w:rsidRPr="00805899" w:rsidRDefault="00E4551E">
      <w:pPr>
        <w:ind w:left="1134" w:hanging="567"/>
        <w:rPr>
          <w:szCs w:val="24"/>
        </w:rPr>
      </w:pPr>
    </w:p>
    <w:p w:rsidR="00E4551E" w:rsidRPr="00805899" w:rsidRDefault="00E4551E">
      <w:pPr>
        <w:ind w:left="1134" w:hanging="567"/>
        <w:rPr>
          <w:szCs w:val="24"/>
        </w:rPr>
      </w:pPr>
      <w:r w:rsidRPr="00805899">
        <w:rPr>
          <w:szCs w:val="24"/>
        </w:rPr>
        <w:t>1.</w:t>
      </w:r>
      <w:r w:rsidRPr="00805899">
        <w:rPr>
          <w:szCs w:val="24"/>
        </w:rPr>
        <w:tab/>
      </w:r>
      <w:r w:rsidRPr="00805899">
        <w:rPr>
          <w:szCs w:val="24"/>
          <w:u w:val="single"/>
        </w:rPr>
        <w:t>Timetables and deadlines</w:t>
      </w:r>
      <w:r w:rsidRPr="00805899">
        <w:rPr>
          <w:szCs w:val="24"/>
        </w:rPr>
        <w:t xml:space="preserve"> -  Articles 4(3), 7(5), 9(5), 13, 16a, 16b(2) and 19; </w:t>
      </w:r>
    </w:p>
    <w:p w:rsidR="00E4551E" w:rsidRPr="00805899" w:rsidRDefault="00E4551E">
      <w:pPr>
        <w:ind w:left="1134"/>
        <w:rPr>
          <w:szCs w:val="24"/>
        </w:rPr>
      </w:pPr>
      <w:r w:rsidRPr="00805899">
        <w:rPr>
          <w:szCs w:val="24"/>
        </w:rPr>
        <w:t>(footnotes 4, 5, 7, 8, 9, 10 and 11)</w:t>
      </w:r>
    </w:p>
    <w:p w:rsidR="00E4551E" w:rsidRPr="00805899" w:rsidRDefault="00E4551E">
      <w:pPr>
        <w:ind w:left="567"/>
        <w:rPr>
          <w:szCs w:val="24"/>
        </w:rPr>
      </w:pPr>
    </w:p>
    <w:p w:rsidR="00E4551E" w:rsidRPr="00805899" w:rsidRDefault="00E4551E">
      <w:pPr>
        <w:ind w:left="1134"/>
        <w:rPr>
          <w:szCs w:val="24"/>
        </w:rPr>
      </w:pPr>
      <w:r w:rsidRPr="00805899">
        <w:rPr>
          <w:szCs w:val="24"/>
        </w:rPr>
        <w:t>The present compromise foresees that, following publication and entry into force, Member States should:</w:t>
      </w:r>
    </w:p>
    <w:p w:rsidR="00E4551E" w:rsidRPr="00805899" w:rsidRDefault="00E4551E">
      <w:pPr>
        <w:pStyle w:val="Par-numbera0"/>
        <w:tabs>
          <w:tab w:val="clear" w:pos="567"/>
          <w:tab w:val="num" w:pos="1701"/>
        </w:tabs>
        <w:ind w:left="1701"/>
      </w:pPr>
      <w:r w:rsidRPr="00805899">
        <w:t xml:space="preserve">implement the Directive </w:t>
      </w:r>
      <w:r w:rsidRPr="00805899">
        <w:rPr>
          <w:u w:val="single"/>
        </w:rPr>
        <w:t>two years</w:t>
      </w:r>
      <w:r w:rsidRPr="00805899">
        <w:t xml:space="preserve"> after entry into force (Article 19);</w:t>
      </w:r>
    </w:p>
    <w:p w:rsidR="00E4551E" w:rsidRPr="00805899" w:rsidRDefault="00E4551E">
      <w:pPr>
        <w:numPr>
          <w:ilvl w:val="0"/>
          <w:numId w:val="4"/>
        </w:numPr>
        <w:tabs>
          <w:tab w:val="clear" w:pos="567"/>
          <w:tab w:val="num" w:pos="1701"/>
        </w:tabs>
        <w:ind w:left="1701"/>
        <w:rPr>
          <w:szCs w:val="24"/>
        </w:rPr>
      </w:pPr>
      <w:r w:rsidRPr="00805899">
        <w:rPr>
          <w:szCs w:val="24"/>
        </w:rPr>
        <w:t xml:space="preserve">complete the preliminary flood risk assessment </w:t>
      </w:r>
      <w:r w:rsidRPr="00805899">
        <w:rPr>
          <w:szCs w:val="24"/>
          <w:u w:val="single"/>
        </w:rPr>
        <w:t>three years</w:t>
      </w:r>
      <w:r w:rsidRPr="00805899">
        <w:rPr>
          <w:szCs w:val="24"/>
        </w:rPr>
        <w:t xml:space="preserve"> after entry into force (Article 4(3));</w:t>
      </w:r>
    </w:p>
    <w:p w:rsidR="00E4551E" w:rsidRPr="00805899" w:rsidRDefault="00E4551E">
      <w:pPr>
        <w:numPr>
          <w:ilvl w:val="0"/>
          <w:numId w:val="4"/>
        </w:numPr>
        <w:tabs>
          <w:tab w:val="clear" w:pos="567"/>
          <w:tab w:val="num" w:pos="1701"/>
        </w:tabs>
        <w:ind w:left="1701"/>
        <w:rPr>
          <w:szCs w:val="24"/>
        </w:rPr>
      </w:pPr>
      <w:r w:rsidRPr="00805899">
        <w:rPr>
          <w:szCs w:val="24"/>
        </w:rPr>
        <w:t xml:space="preserve">complete the flood hazard and risk maps by 22 December </w:t>
      </w:r>
      <w:r w:rsidRPr="00805899">
        <w:rPr>
          <w:szCs w:val="24"/>
          <w:u w:val="single"/>
        </w:rPr>
        <w:t>2013</w:t>
      </w:r>
      <w:r w:rsidRPr="00805899">
        <w:rPr>
          <w:szCs w:val="24"/>
        </w:rPr>
        <w:t xml:space="preserve"> (Article 7(5));</w:t>
      </w:r>
    </w:p>
    <w:p w:rsidR="00E4551E" w:rsidRPr="00805899" w:rsidRDefault="00E4551E">
      <w:pPr>
        <w:numPr>
          <w:ilvl w:val="0"/>
          <w:numId w:val="4"/>
        </w:numPr>
        <w:tabs>
          <w:tab w:val="clear" w:pos="567"/>
          <w:tab w:val="num" w:pos="1701"/>
        </w:tabs>
        <w:ind w:left="1701"/>
        <w:rPr>
          <w:szCs w:val="24"/>
        </w:rPr>
      </w:pPr>
      <w:r w:rsidRPr="00805899">
        <w:rPr>
          <w:szCs w:val="24"/>
        </w:rPr>
        <w:t>complete and publish the flood risk management plans by 22 December </w:t>
      </w:r>
      <w:r w:rsidRPr="00805899">
        <w:rPr>
          <w:szCs w:val="24"/>
          <w:u w:val="single"/>
        </w:rPr>
        <w:t>2015</w:t>
      </w:r>
      <w:r w:rsidRPr="00805899">
        <w:rPr>
          <w:szCs w:val="24"/>
        </w:rPr>
        <w:t xml:space="preserve"> (Article 9(5));  </w:t>
      </w:r>
    </w:p>
    <w:p w:rsidR="00E4551E" w:rsidRPr="00805899" w:rsidRDefault="00E4551E">
      <w:pPr>
        <w:numPr>
          <w:ilvl w:val="0"/>
          <w:numId w:val="4"/>
        </w:numPr>
        <w:tabs>
          <w:tab w:val="clear" w:pos="567"/>
          <w:tab w:val="num" w:pos="1701"/>
        </w:tabs>
        <w:ind w:left="1701"/>
        <w:rPr>
          <w:szCs w:val="24"/>
        </w:rPr>
      </w:pPr>
      <w:r w:rsidRPr="00805899">
        <w:rPr>
          <w:szCs w:val="24"/>
        </w:rPr>
        <w:t>review and if necessary update the preliminary risk assessment by 22 December </w:t>
      </w:r>
      <w:r w:rsidRPr="00805899">
        <w:rPr>
          <w:szCs w:val="24"/>
          <w:u w:val="single"/>
        </w:rPr>
        <w:t>2018</w:t>
      </w:r>
      <w:r w:rsidRPr="00805899">
        <w:rPr>
          <w:szCs w:val="24"/>
        </w:rPr>
        <w:t xml:space="preserve"> and every six years thereafter (Article 16b (1));</w:t>
      </w:r>
    </w:p>
    <w:p w:rsidR="00E4551E" w:rsidRPr="00805899" w:rsidRDefault="00E4551E">
      <w:pPr>
        <w:numPr>
          <w:ilvl w:val="0"/>
          <w:numId w:val="4"/>
        </w:numPr>
        <w:tabs>
          <w:tab w:val="clear" w:pos="567"/>
          <w:tab w:val="num" w:pos="1701"/>
        </w:tabs>
        <w:ind w:left="1701"/>
        <w:rPr>
          <w:szCs w:val="24"/>
        </w:rPr>
      </w:pPr>
      <w:r w:rsidRPr="00805899">
        <w:rPr>
          <w:szCs w:val="24"/>
        </w:rPr>
        <w:t xml:space="preserve">review and if necessary update the flood hazard and risk maps and the flood risk management plans by 22 December </w:t>
      </w:r>
      <w:r w:rsidRPr="00805899">
        <w:rPr>
          <w:szCs w:val="24"/>
          <w:u w:val="single"/>
        </w:rPr>
        <w:t>2021</w:t>
      </w:r>
      <w:r w:rsidRPr="00805899">
        <w:rPr>
          <w:szCs w:val="24"/>
        </w:rPr>
        <w:t xml:space="preserve"> and every six years thereafter (Article 16b(2)). </w:t>
      </w:r>
    </w:p>
    <w:p w:rsidR="00E4551E" w:rsidRPr="00805899" w:rsidRDefault="00E4551E">
      <w:pPr>
        <w:ind w:left="1134"/>
        <w:rPr>
          <w:szCs w:val="24"/>
        </w:rPr>
      </w:pPr>
    </w:p>
    <w:p w:rsidR="00E4551E" w:rsidRPr="00805899" w:rsidRDefault="00E4551E">
      <w:pPr>
        <w:ind w:left="1134"/>
        <w:rPr>
          <w:szCs w:val="24"/>
        </w:rPr>
      </w:pPr>
      <w:r w:rsidRPr="00805899">
        <w:rPr>
          <w:szCs w:val="24"/>
        </w:rPr>
        <w:t xml:space="preserve">In order to take account of work already undertaken on flood risk management, the compromise includes a new </w:t>
      </w:r>
      <w:r w:rsidRPr="00805899">
        <w:rPr>
          <w:szCs w:val="24"/>
          <w:u w:val="single"/>
        </w:rPr>
        <w:t>Article 16a on transitional measures</w:t>
      </w:r>
      <w:r w:rsidRPr="00805899">
        <w:rPr>
          <w:szCs w:val="24"/>
        </w:rPr>
        <w:t>, which foresees, among others, that Member States may decide:</w:t>
      </w:r>
    </w:p>
    <w:p w:rsidR="00E4551E" w:rsidRPr="00805899" w:rsidRDefault="00E4551E">
      <w:pPr>
        <w:rPr>
          <w:szCs w:val="24"/>
        </w:rPr>
      </w:pPr>
    </w:p>
    <w:p w:rsidR="00E4551E" w:rsidRPr="00805899" w:rsidRDefault="00E4551E">
      <w:pPr>
        <w:ind w:left="1701" w:hanging="567"/>
        <w:rPr>
          <w:szCs w:val="24"/>
        </w:rPr>
      </w:pPr>
      <w:r w:rsidRPr="00805899">
        <w:rPr>
          <w:szCs w:val="24"/>
        </w:rPr>
        <w:t>(i)</w:t>
      </w:r>
      <w:r w:rsidRPr="00805899">
        <w:rPr>
          <w:szCs w:val="24"/>
        </w:rPr>
        <w:tab/>
        <w:t xml:space="preserve">not to undertake the preliminary flood risk assessment if a number of decisions (set out in Article 16a(1)) have already been taken prior to the </w:t>
      </w:r>
      <w:r w:rsidRPr="00805899">
        <w:rPr>
          <w:szCs w:val="24"/>
          <w:u w:val="single"/>
        </w:rPr>
        <w:t>date referred to in Article 19</w:t>
      </w:r>
      <w:r w:rsidRPr="00805899">
        <w:rPr>
          <w:szCs w:val="24"/>
        </w:rPr>
        <w:t>;</w:t>
      </w:r>
    </w:p>
    <w:p w:rsidR="00E4551E" w:rsidRPr="00805899" w:rsidRDefault="00E4551E">
      <w:pPr>
        <w:ind w:left="1701" w:hanging="567"/>
        <w:rPr>
          <w:szCs w:val="24"/>
        </w:rPr>
      </w:pPr>
      <w:r w:rsidRPr="00805899">
        <w:rPr>
          <w:szCs w:val="24"/>
        </w:rPr>
        <w:t xml:space="preserve">(ii) </w:t>
      </w:r>
      <w:r w:rsidRPr="00805899">
        <w:rPr>
          <w:szCs w:val="24"/>
        </w:rPr>
        <w:tab/>
        <w:t xml:space="preserve">to make use of existing flood hazard maps and flood risk maps, finalised prior to the </w:t>
      </w:r>
      <w:r w:rsidRPr="00805899">
        <w:rPr>
          <w:szCs w:val="24"/>
          <w:u w:val="single"/>
        </w:rPr>
        <w:t>date referred to in Article 19</w:t>
      </w:r>
      <w:r w:rsidRPr="00805899">
        <w:rPr>
          <w:szCs w:val="24"/>
        </w:rPr>
        <w:t xml:space="preserve"> (at conditions set out in Article 16a(2));</w:t>
      </w:r>
    </w:p>
    <w:p w:rsidR="00E4551E" w:rsidRPr="00805899" w:rsidRDefault="00E4551E">
      <w:pPr>
        <w:ind w:left="1701" w:hanging="567"/>
        <w:rPr>
          <w:szCs w:val="24"/>
        </w:rPr>
      </w:pPr>
      <w:r w:rsidRPr="00805899">
        <w:rPr>
          <w:szCs w:val="24"/>
        </w:rPr>
        <w:t>(iii)</w:t>
      </w:r>
      <w:r w:rsidRPr="00805899">
        <w:rPr>
          <w:szCs w:val="24"/>
        </w:rPr>
        <w:tab/>
        <w:t xml:space="preserve">to make use of flood risk management plans finalised prior to the </w:t>
      </w:r>
      <w:r w:rsidRPr="00805899">
        <w:rPr>
          <w:szCs w:val="24"/>
          <w:u w:val="single"/>
        </w:rPr>
        <w:t>date referred to in Article 19</w:t>
      </w:r>
      <w:r w:rsidRPr="00805899">
        <w:rPr>
          <w:szCs w:val="24"/>
        </w:rPr>
        <w:t xml:space="preserve"> (at conditions set out in Article 16a(3)).</w:t>
      </w:r>
    </w:p>
    <w:p w:rsidR="00E4551E" w:rsidRPr="00805899" w:rsidRDefault="00E4551E">
      <w:pPr>
        <w:ind w:left="1134"/>
        <w:rPr>
          <w:szCs w:val="24"/>
        </w:rPr>
      </w:pPr>
      <w:r w:rsidRPr="00805899">
        <w:rPr>
          <w:szCs w:val="24"/>
        </w:rPr>
        <w:br w:type="page"/>
        <w:t>In this context:</w:t>
      </w:r>
    </w:p>
    <w:p w:rsidR="00E4551E" w:rsidRPr="00805899" w:rsidRDefault="00E4551E">
      <w:pPr>
        <w:ind w:left="1134"/>
        <w:rPr>
          <w:szCs w:val="24"/>
        </w:rPr>
      </w:pPr>
    </w:p>
    <w:p w:rsidR="00E4551E" w:rsidRPr="00805899" w:rsidRDefault="00E4551E">
      <w:pPr>
        <w:ind w:left="1134"/>
        <w:rPr>
          <w:szCs w:val="24"/>
        </w:rPr>
      </w:pPr>
      <w:r w:rsidRPr="00805899">
        <w:rPr>
          <w:szCs w:val="24"/>
          <w:u w:val="single"/>
        </w:rPr>
        <w:t>XX/XX/XX/XX/XX</w:t>
      </w:r>
      <w:r w:rsidRPr="00805899">
        <w:rPr>
          <w:szCs w:val="24"/>
        </w:rPr>
        <w:t xml:space="preserve">consider that the completion of the preliminary risk assessment (b) should take place </w:t>
      </w:r>
      <w:r w:rsidRPr="00805899">
        <w:rPr>
          <w:szCs w:val="24"/>
          <w:u w:val="single"/>
        </w:rPr>
        <w:t>five years</w:t>
      </w:r>
      <w:r w:rsidRPr="00805899">
        <w:rPr>
          <w:szCs w:val="24"/>
        </w:rPr>
        <w:t xml:space="preserve"> after entry into force, </w:t>
      </w:r>
      <w:r w:rsidRPr="00805899">
        <w:rPr>
          <w:szCs w:val="24"/>
          <w:u w:val="single"/>
        </w:rPr>
        <w:t>XX</w:t>
      </w:r>
      <w:r w:rsidRPr="00805899">
        <w:rPr>
          <w:szCs w:val="24"/>
        </w:rPr>
        <w:t xml:space="preserve"> suggesting, as an alternative, the date of </w:t>
      </w:r>
      <w:r w:rsidRPr="00805899">
        <w:rPr>
          <w:szCs w:val="24"/>
          <w:u w:val="single"/>
        </w:rPr>
        <w:t>2012</w:t>
      </w:r>
      <w:r w:rsidRPr="00805899">
        <w:rPr>
          <w:szCs w:val="24"/>
        </w:rPr>
        <w:t xml:space="preserve"> (footnote 4);</w:t>
      </w:r>
    </w:p>
    <w:p w:rsidR="00E4551E" w:rsidRPr="00805899" w:rsidRDefault="00E4551E">
      <w:pPr>
        <w:ind w:left="1134"/>
        <w:rPr>
          <w:szCs w:val="24"/>
        </w:rPr>
      </w:pPr>
      <w:r w:rsidRPr="00805899">
        <w:rPr>
          <w:szCs w:val="24"/>
          <w:u w:val="single"/>
        </w:rPr>
        <w:t>XX/XX</w:t>
      </w:r>
      <w:r w:rsidRPr="00805899">
        <w:rPr>
          <w:szCs w:val="24"/>
        </w:rPr>
        <w:t xml:space="preserve"> consider that the completion of flood hazard and risk maps (c) should take place in </w:t>
      </w:r>
      <w:r w:rsidRPr="00805899">
        <w:rPr>
          <w:szCs w:val="24"/>
          <w:u w:val="single"/>
        </w:rPr>
        <w:t>2015</w:t>
      </w:r>
      <w:r w:rsidRPr="00805899">
        <w:rPr>
          <w:szCs w:val="24"/>
        </w:rPr>
        <w:t xml:space="preserve"> and that completion of flood risk management plans (d) should take place in </w:t>
      </w:r>
      <w:r w:rsidRPr="00805899">
        <w:rPr>
          <w:szCs w:val="24"/>
          <w:u w:val="single"/>
        </w:rPr>
        <w:t>2017</w:t>
      </w:r>
      <w:r w:rsidRPr="00805899">
        <w:rPr>
          <w:szCs w:val="24"/>
        </w:rPr>
        <w:t xml:space="preserve"> (footnote 5);</w:t>
      </w:r>
    </w:p>
    <w:p w:rsidR="00E4551E" w:rsidRPr="00805899" w:rsidRDefault="00E4551E">
      <w:pPr>
        <w:ind w:left="1134"/>
        <w:rPr>
          <w:szCs w:val="24"/>
        </w:rPr>
      </w:pPr>
      <w:r w:rsidRPr="00805899">
        <w:rPr>
          <w:szCs w:val="24"/>
          <w:u w:val="single"/>
        </w:rPr>
        <w:t>The Commission</w:t>
      </w:r>
      <w:r w:rsidRPr="00805899">
        <w:rPr>
          <w:szCs w:val="24"/>
        </w:rPr>
        <w:t xml:space="preserve"> has a reservation on the above suggestions, considering that the need to operate in line with the timetables of the Water Framework Directive, thus ensuring coordination and consistency, is of high priority. </w:t>
      </w:r>
      <w:r w:rsidRPr="00805899">
        <w:rPr>
          <w:szCs w:val="24"/>
          <w:u w:val="single"/>
        </w:rPr>
        <w:t>The Commission</w:t>
      </w:r>
      <w:r w:rsidRPr="00805899">
        <w:rPr>
          <w:szCs w:val="24"/>
        </w:rPr>
        <w:t xml:space="preserve"> also maintains a reservation on Article 13 (footnote 7) where it is considered that the close coordination with the Water Framework Directive originally proposed has been weakened.</w:t>
      </w:r>
    </w:p>
    <w:p w:rsidR="00E4551E" w:rsidRPr="00805899" w:rsidRDefault="00E4551E">
      <w:pPr>
        <w:rPr>
          <w:szCs w:val="24"/>
        </w:rPr>
      </w:pPr>
    </w:p>
    <w:p w:rsidR="00E4551E" w:rsidRPr="00805899" w:rsidRDefault="00E4551E">
      <w:pPr>
        <w:ind w:left="1134"/>
        <w:rPr>
          <w:szCs w:val="24"/>
        </w:rPr>
      </w:pPr>
      <w:r w:rsidRPr="00805899">
        <w:rPr>
          <w:szCs w:val="24"/>
        </w:rPr>
        <w:t xml:space="preserve">In addition, </w:t>
      </w:r>
      <w:r w:rsidRPr="00805899">
        <w:rPr>
          <w:szCs w:val="24"/>
          <w:u w:val="single"/>
        </w:rPr>
        <w:t>the Commission</w:t>
      </w:r>
      <w:r w:rsidRPr="00805899">
        <w:rPr>
          <w:szCs w:val="24"/>
        </w:rPr>
        <w:t xml:space="preserve">, supported by </w:t>
      </w:r>
      <w:r w:rsidRPr="00805899">
        <w:rPr>
          <w:szCs w:val="24"/>
          <w:u w:val="single"/>
        </w:rPr>
        <w:t>XX/XX</w:t>
      </w:r>
      <w:r w:rsidRPr="00805899">
        <w:rPr>
          <w:szCs w:val="24"/>
        </w:rPr>
        <w:t xml:space="preserve">, has a reservation on the present compromise text as regards the indication of a </w:t>
      </w:r>
      <w:r w:rsidRPr="00805899">
        <w:rPr>
          <w:szCs w:val="24"/>
          <w:u w:val="single"/>
        </w:rPr>
        <w:t>single</w:t>
      </w:r>
      <w:r w:rsidRPr="00805899">
        <w:rPr>
          <w:szCs w:val="24"/>
        </w:rPr>
        <w:t xml:space="preserve"> deadline for reviewing the flood hazard and risk maps and the flood risk management plans (f) and recalls the importance of allowing sufficient time for the consultation of the public and interested parties. It is suggested to indicate, as in the original proposal, </w:t>
      </w:r>
      <w:r w:rsidRPr="00805899">
        <w:rPr>
          <w:szCs w:val="24"/>
          <w:u w:val="single"/>
        </w:rPr>
        <w:t>2019</w:t>
      </w:r>
      <w:r w:rsidRPr="00805899">
        <w:rPr>
          <w:szCs w:val="24"/>
        </w:rPr>
        <w:t xml:space="preserve"> for reviewing the flood hazard and risk maps and </w:t>
      </w:r>
      <w:r w:rsidRPr="00805899">
        <w:rPr>
          <w:szCs w:val="24"/>
          <w:u w:val="single"/>
        </w:rPr>
        <w:t>2021</w:t>
      </w:r>
      <w:r w:rsidRPr="00805899">
        <w:rPr>
          <w:szCs w:val="24"/>
        </w:rPr>
        <w:t xml:space="preserve"> for reviewing the flood risk management plans (footnote 11).</w:t>
      </w:r>
    </w:p>
    <w:p w:rsidR="00E4551E" w:rsidRPr="00805899" w:rsidRDefault="00E4551E">
      <w:pPr>
        <w:ind w:left="1134"/>
        <w:rPr>
          <w:szCs w:val="24"/>
        </w:rPr>
      </w:pPr>
    </w:p>
    <w:p w:rsidR="00E4551E" w:rsidRPr="00805899" w:rsidRDefault="00E4551E">
      <w:pPr>
        <w:ind w:left="1134"/>
        <w:rPr>
          <w:szCs w:val="24"/>
        </w:rPr>
      </w:pPr>
      <w:r w:rsidRPr="00805899">
        <w:rPr>
          <w:szCs w:val="24"/>
        </w:rPr>
        <w:t xml:space="preserve">As regards </w:t>
      </w:r>
      <w:r w:rsidRPr="00805899">
        <w:rPr>
          <w:szCs w:val="24"/>
          <w:u w:val="single"/>
        </w:rPr>
        <w:t>Article 16a on transitional measures</w:t>
      </w:r>
      <w:r w:rsidRPr="00805899">
        <w:rPr>
          <w:szCs w:val="24"/>
        </w:rPr>
        <w:t>:</w:t>
      </w:r>
    </w:p>
    <w:p w:rsidR="00E4551E" w:rsidRPr="00805899" w:rsidRDefault="00E4551E">
      <w:pPr>
        <w:ind w:left="1134"/>
        <w:rPr>
          <w:szCs w:val="24"/>
        </w:rPr>
      </w:pPr>
    </w:p>
    <w:p w:rsidR="00E4551E" w:rsidRPr="00805899" w:rsidRDefault="00E4551E">
      <w:pPr>
        <w:ind w:left="1134"/>
        <w:rPr>
          <w:szCs w:val="24"/>
        </w:rPr>
      </w:pPr>
      <w:r w:rsidRPr="00805899">
        <w:rPr>
          <w:szCs w:val="24"/>
          <w:u w:val="single"/>
        </w:rPr>
        <w:t>XX</w:t>
      </w:r>
      <w:r w:rsidRPr="00805899">
        <w:rPr>
          <w:szCs w:val="24"/>
        </w:rPr>
        <w:t xml:space="preserve"> asks to apply the provisions concerning existing flood hazard maps, flood risk maps and flood management plans also in the case where these have been </w:t>
      </w:r>
      <w:r w:rsidRPr="00805899">
        <w:rPr>
          <w:szCs w:val="24"/>
          <w:u w:val="single"/>
        </w:rPr>
        <w:t>undertaken</w:t>
      </w:r>
      <w:r w:rsidRPr="00805899">
        <w:rPr>
          <w:szCs w:val="24"/>
        </w:rPr>
        <w:t xml:space="preserve"> prior to the related deadline (footnote 9).</w:t>
      </w:r>
    </w:p>
    <w:p w:rsidR="00E4551E" w:rsidRPr="00805899" w:rsidRDefault="00E4551E">
      <w:pPr>
        <w:ind w:left="1134"/>
        <w:rPr>
          <w:szCs w:val="24"/>
        </w:rPr>
      </w:pPr>
      <w:r w:rsidRPr="00805899">
        <w:rPr>
          <w:szCs w:val="24"/>
          <w:u w:val="single"/>
        </w:rPr>
        <w:t>XX</w:t>
      </w:r>
      <w:r w:rsidRPr="00805899">
        <w:rPr>
          <w:szCs w:val="24"/>
        </w:rPr>
        <w:t xml:space="preserve"> asks to specify that, if the transitional measures concerning maps and plans apply, Member States will not be obliged to produce new maps and plans (footnote 10).</w:t>
      </w:r>
    </w:p>
    <w:p w:rsidR="00E4551E" w:rsidRPr="00805899" w:rsidRDefault="00E4551E">
      <w:pPr>
        <w:ind w:left="1134"/>
        <w:rPr>
          <w:szCs w:val="24"/>
        </w:rPr>
      </w:pPr>
      <w:r w:rsidRPr="00805899">
        <w:rPr>
          <w:szCs w:val="24"/>
          <w:u w:val="single"/>
        </w:rPr>
        <w:t>XX</w:t>
      </w:r>
      <w:r w:rsidRPr="00805899">
        <w:rPr>
          <w:szCs w:val="24"/>
        </w:rPr>
        <w:t xml:space="preserve"> asks to delete the reference to a cut-off date or to add </w:t>
      </w:r>
      <w:r w:rsidRPr="00805899">
        <w:rPr>
          <w:szCs w:val="24"/>
          <w:u w:val="single"/>
        </w:rPr>
        <w:t>five</w:t>
      </w:r>
      <w:r w:rsidRPr="00805899">
        <w:rPr>
          <w:szCs w:val="24"/>
        </w:rPr>
        <w:t xml:space="preserve"> years with respect to the date of entry into force.</w:t>
      </w:r>
    </w:p>
    <w:p w:rsidR="00E4551E" w:rsidRPr="00805899" w:rsidRDefault="00E4551E">
      <w:pPr>
        <w:ind w:left="1134"/>
        <w:rPr>
          <w:szCs w:val="24"/>
        </w:rPr>
      </w:pPr>
      <w:r w:rsidRPr="00805899">
        <w:rPr>
          <w:szCs w:val="24"/>
          <w:u w:val="single"/>
        </w:rPr>
        <w:br w:type="page"/>
        <w:t>The Presidency</w:t>
      </w:r>
      <w:r w:rsidRPr="00805899">
        <w:rPr>
          <w:szCs w:val="24"/>
        </w:rPr>
        <w:t xml:space="preserve">, in its latest compromise, proposes as a cut-off date </w:t>
      </w:r>
      <w:r w:rsidRPr="00805899">
        <w:rPr>
          <w:i/>
          <w:szCs w:val="24"/>
        </w:rPr>
        <w:t>"the date referred to in Article 19"</w:t>
      </w:r>
      <w:r w:rsidRPr="00805899">
        <w:rPr>
          <w:szCs w:val="24"/>
        </w:rPr>
        <w:t xml:space="preserve"> throughout Article 16a, i.e. two years following the date of entry into force.</w:t>
      </w:r>
    </w:p>
    <w:p w:rsidR="00E4551E" w:rsidRPr="00805899" w:rsidRDefault="00E4551E">
      <w:pPr>
        <w:ind w:left="1134"/>
        <w:rPr>
          <w:szCs w:val="24"/>
          <w:u w:val="single"/>
        </w:rPr>
      </w:pPr>
    </w:p>
    <w:p w:rsidR="00E4551E" w:rsidRPr="00805899" w:rsidRDefault="00E4551E">
      <w:pPr>
        <w:ind w:left="1134"/>
        <w:rPr>
          <w:szCs w:val="24"/>
        </w:rPr>
      </w:pPr>
      <w:r w:rsidRPr="00805899">
        <w:rPr>
          <w:szCs w:val="24"/>
          <w:u w:val="single"/>
        </w:rPr>
        <w:t>The Commission</w:t>
      </w:r>
      <w:r w:rsidRPr="00805899">
        <w:rPr>
          <w:szCs w:val="24"/>
        </w:rPr>
        <w:t xml:space="preserve"> maintains a reservation on this Article (footnote 8).</w:t>
      </w:r>
    </w:p>
    <w:p w:rsidR="00E4551E" w:rsidRPr="00805899" w:rsidRDefault="00E4551E">
      <w:pPr>
        <w:rPr>
          <w:szCs w:val="24"/>
        </w:rPr>
      </w:pPr>
    </w:p>
    <w:p w:rsidR="00E4551E" w:rsidRPr="00805899" w:rsidRDefault="00E4551E">
      <w:pPr>
        <w:ind w:left="567"/>
      </w:pPr>
      <w:r w:rsidRPr="00805899">
        <w:t>2.</w:t>
      </w:r>
      <w:r w:rsidRPr="00805899">
        <w:tab/>
      </w:r>
      <w:r w:rsidRPr="00805899">
        <w:rPr>
          <w:u w:val="single"/>
        </w:rPr>
        <w:t>The scope of the proposal</w:t>
      </w:r>
      <w:r w:rsidRPr="00805899">
        <w:t xml:space="preserve"> </w:t>
      </w:r>
      <w:r w:rsidRPr="00805899">
        <w:rPr>
          <w:b/>
        </w:rPr>
        <w:t>-</w:t>
      </w:r>
      <w:r w:rsidRPr="00805899">
        <w:t xml:space="preserve"> Article 1 (footnote 2)</w:t>
      </w:r>
    </w:p>
    <w:p w:rsidR="00E4551E" w:rsidRPr="00805899" w:rsidRDefault="00E4551E"/>
    <w:p w:rsidR="00E4551E" w:rsidRPr="00805899" w:rsidRDefault="00E4551E">
      <w:pPr>
        <w:ind w:left="1134"/>
      </w:pPr>
      <w:r w:rsidRPr="00805899">
        <w:t>The proposal is envisaged to apply to the management of  flood risks in the whole territory of the Community. This includes both river basins and coastal areas which are shared between Member States and those which exclusively belong to the territory of one Member State.</w:t>
      </w:r>
    </w:p>
    <w:p w:rsidR="00E4551E" w:rsidRPr="00805899" w:rsidRDefault="00E4551E"/>
    <w:p w:rsidR="00E4551E" w:rsidRPr="00805899" w:rsidRDefault="00E4551E">
      <w:pPr>
        <w:ind w:left="1134"/>
      </w:pPr>
      <w:r w:rsidRPr="00805899">
        <w:t xml:space="preserve">The </w:t>
      </w:r>
      <w:r w:rsidRPr="00805899">
        <w:rPr>
          <w:u w:val="single"/>
        </w:rPr>
        <w:t>XX/XX/XX/XX</w:t>
      </w:r>
      <w:r w:rsidRPr="00805899">
        <w:t xml:space="preserve"> delegations do not consider that this coverage is in conformity with the principle of subsidiarity, and suggests to limit the scope of the Directive to trans-boundary (shared) river basins and coastal areas where flood risk management actions by one Member State could have an impact on neighbouring countries. </w:t>
      </w:r>
    </w:p>
    <w:p w:rsidR="00E4551E" w:rsidRPr="00805899" w:rsidRDefault="00E4551E">
      <w:pPr>
        <w:ind w:left="1134"/>
      </w:pPr>
    </w:p>
    <w:p w:rsidR="00E4551E" w:rsidRPr="00805899" w:rsidRDefault="00E4551E">
      <w:pPr>
        <w:ind w:left="1134"/>
      </w:pPr>
      <w:r w:rsidRPr="00805899">
        <w:t xml:space="preserve">The Commission, supported by </w:t>
      </w:r>
      <w:r w:rsidRPr="00805899">
        <w:rPr>
          <w:u w:val="single"/>
        </w:rPr>
        <w:t>XX/XX/XX/XX/XX/XX/XX/XX/XX/XX/XX/XX/XX</w:t>
      </w:r>
      <w:r w:rsidRPr="00805899">
        <w:t xml:space="preserve">, considers that the principle of subsidiarity is respected and does not agree with a limitation in the scope of the proposal. </w:t>
      </w:r>
      <w:r w:rsidRPr="00805899">
        <w:rPr>
          <w:u w:val="single"/>
        </w:rPr>
        <w:t>Several delegations and the Commission</w:t>
      </w:r>
      <w:r w:rsidRPr="00805899">
        <w:t xml:space="preserve"> could support as a compromise the addition of a reference to trans-national cooperation as suggested by </w:t>
      </w:r>
      <w:r w:rsidRPr="00805899">
        <w:rPr>
          <w:u w:val="single"/>
        </w:rPr>
        <w:t>XX</w:t>
      </w:r>
      <w:r w:rsidRPr="00805899">
        <w:t xml:space="preserve"> (footnote 2).</w:t>
      </w:r>
    </w:p>
    <w:p w:rsidR="00E4551E" w:rsidRPr="00805899" w:rsidRDefault="00E4551E">
      <w:pPr>
        <w:pStyle w:val="Par-numberI"/>
        <w:numPr>
          <w:ilvl w:val="0"/>
          <w:numId w:val="0"/>
        </w:numPr>
        <w:rPr>
          <w:b/>
        </w:rPr>
      </w:pPr>
    </w:p>
    <w:p w:rsidR="00E4551E" w:rsidRPr="00805899" w:rsidRDefault="00E4551E"/>
    <w:p w:rsidR="00E4551E" w:rsidRPr="00805899" w:rsidRDefault="00E4551E">
      <w:pPr>
        <w:pStyle w:val="Par-numberI"/>
        <w:numPr>
          <w:ilvl w:val="0"/>
          <w:numId w:val="0"/>
        </w:numPr>
        <w:rPr>
          <w:b/>
          <w:u w:val="single"/>
        </w:rPr>
      </w:pPr>
      <w:r w:rsidRPr="00805899">
        <w:rPr>
          <w:b/>
        </w:rPr>
        <w:t>III.</w:t>
      </w:r>
      <w:r w:rsidRPr="00805899">
        <w:rPr>
          <w:b/>
        </w:rPr>
        <w:tab/>
      </w:r>
      <w:r w:rsidRPr="00805899">
        <w:rPr>
          <w:b/>
          <w:u w:val="single"/>
        </w:rPr>
        <w:t>OTHER OPEN ISSUES</w:t>
      </w:r>
    </w:p>
    <w:p w:rsidR="00E4551E" w:rsidRPr="00805899" w:rsidRDefault="00E4551E">
      <w:pPr>
        <w:rPr>
          <w:szCs w:val="24"/>
        </w:rPr>
      </w:pPr>
    </w:p>
    <w:p w:rsidR="00E4551E" w:rsidRPr="00805899" w:rsidRDefault="00E4551E">
      <w:pPr>
        <w:ind w:left="567"/>
        <w:rPr>
          <w:szCs w:val="24"/>
        </w:rPr>
      </w:pPr>
      <w:r w:rsidRPr="00805899">
        <w:rPr>
          <w:szCs w:val="24"/>
        </w:rPr>
        <w:t xml:space="preserve">Article 4(2)(c) - </w:t>
      </w:r>
      <w:r w:rsidRPr="00805899">
        <w:rPr>
          <w:szCs w:val="24"/>
          <w:u w:val="single"/>
        </w:rPr>
        <w:t>XX/XX</w:t>
      </w:r>
      <w:r w:rsidRPr="00805899">
        <w:rPr>
          <w:szCs w:val="24"/>
        </w:rPr>
        <w:t xml:space="preserve"> and </w:t>
      </w:r>
      <w:r w:rsidRPr="00805899">
        <w:rPr>
          <w:szCs w:val="24"/>
          <w:u w:val="single"/>
        </w:rPr>
        <w:t>the Commission</w:t>
      </w:r>
      <w:r w:rsidRPr="00805899">
        <w:rPr>
          <w:szCs w:val="24"/>
        </w:rPr>
        <w:t xml:space="preserve"> have a reservation on the addition of "where appropriate" in the chapeau of this paragraph. </w:t>
      </w:r>
      <w:r w:rsidRPr="00805899">
        <w:rPr>
          <w:szCs w:val="24"/>
          <w:u w:val="single"/>
        </w:rPr>
        <w:t>The other delegations</w:t>
      </w:r>
      <w:r w:rsidRPr="00805899">
        <w:rPr>
          <w:szCs w:val="24"/>
        </w:rPr>
        <w:t xml:space="preserve"> do not share this view (footnote 3).</w:t>
      </w:r>
    </w:p>
    <w:p w:rsidR="00E4551E" w:rsidRPr="00805899" w:rsidRDefault="00E4551E">
      <w:pPr>
        <w:ind w:left="567"/>
        <w:rPr>
          <w:szCs w:val="24"/>
        </w:rPr>
      </w:pPr>
    </w:p>
    <w:p w:rsidR="00E4551E" w:rsidRPr="00805899" w:rsidRDefault="00E4551E">
      <w:pPr>
        <w:ind w:left="567"/>
        <w:rPr>
          <w:szCs w:val="24"/>
        </w:rPr>
      </w:pPr>
      <w:r w:rsidRPr="00805899">
        <w:rPr>
          <w:szCs w:val="24"/>
        </w:rPr>
        <w:br w:type="page"/>
      </w:r>
      <w:bookmarkStart w:id="14" w:name="ControlPages"/>
      <w:bookmarkEnd w:id="14"/>
      <w:r w:rsidRPr="00805899">
        <w:rPr>
          <w:szCs w:val="24"/>
        </w:rPr>
        <w:t xml:space="preserve">Article 9(1) – </w:t>
      </w:r>
      <w:r w:rsidRPr="00805899">
        <w:rPr>
          <w:szCs w:val="24"/>
          <w:u w:val="single"/>
        </w:rPr>
        <w:t>XX/XX</w:t>
      </w:r>
      <w:r w:rsidRPr="00805899">
        <w:rPr>
          <w:szCs w:val="24"/>
        </w:rPr>
        <w:t xml:space="preserve"> ask to add a reference to sub-basins in this paragraph; </w:t>
      </w:r>
      <w:r w:rsidRPr="00805899">
        <w:rPr>
          <w:szCs w:val="24"/>
          <w:u w:val="single"/>
        </w:rPr>
        <w:t>the Commission and other delegations</w:t>
      </w:r>
      <w:r w:rsidRPr="00805899">
        <w:rPr>
          <w:szCs w:val="24"/>
        </w:rPr>
        <w:t xml:space="preserve"> cannot support this request (footnote 6).</w:t>
      </w:r>
    </w:p>
    <w:p w:rsidR="00E4551E" w:rsidRPr="00805899" w:rsidRDefault="00E4551E">
      <w:pPr>
        <w:ind w:left="567"/>
        <w:rPr>
          <w:szCs w:val="24"/>
        </w:rPr>
      </w:pPr>
    </w:p>
    <w:p w:rsidR="00E4551E" w:rsidRPr="00805899" w:rsidRDefault="00E4551E">
      <w:pPr>
        <w:ind w:left="567"/>
        <w:rPr>
          <w:szCs w:val="24"/>
        </w:rPr>
      </w:pPr>
      <w:r w:rsidRPr="00805899">
        <w:rPr>
          <w:szCs w:val="24"/>
        </w:rPr>
        <w:t xml:space="preserve">Article 17 - </w:t>
      </w:r>
      <w:r w:rsidRPr="00805899">
        <w:rPr>
          <w:szCs w:val="24"/>
          <w:u w:val="single"/>
        </w:rPr>
        <w:t>The Commission</w:t>
      </w:r>
      <w:r w:rsidRPr="00805899">
        <w:rPr>
          <w:szCs w:val="24"/>
        </w:rPr>
        <w:t xml:space="preserve"> has a reservation on the deletion of the obligation to provide interim progress reports on the management plans every three years. </w:t>
      </w:r>
      <w:r w:rsidRPr="00805899">
        <w:rPr>
          <w:szCs w:val="24"/>
          <w:u w:val="single"/>
        </w:rPr>
        <w:t>The other delegations</w:t>
      </w:r>
      <w:r w:rsidRPr="00805899">
        <w:rPr>
          <w:szCs w:val="24"/>
        </w:rPr>
        <w:t xml:space="preserve"> prefer the Presidency compromise on this point (footnote 12).</w:t>
      </w:r>
    </w:p>
    <w:p w:rsidR="00E4551E" w:rsidRPr="00805899" w:rsidRDefault="00E4551E">
      <w:pPr>
        <w:tabs>
          <w:tab w:val="left" w:pos="3969"/>
        </w:tabs>
        <w:jc w:val="center"/>
      </w:pPr>
    </w:p>
    <w:p w:rsidR="00E4551E" w:rsidRPr="00805899" w:rsidRDefault="00E4551E">
      <w:pPr>
        <w:tabs>
          <w:tab w:val="left" w:pos="3969"/>
        </w:tabs>
        <w:jc w:val="center"/>
        <w:rPr>
          <w:i/>
        </w:rPr>
      </w:pPr>
    </w:p>
    <w:p w:rsidR="00E4551E" w:rsidRPr="00805899" w:rsidRDefault="00E4551E">
      <w:pPr>
        <w:tabs>
          <w:tab w:val="left" w:pos="3969"/>
        </w:tabs>
        <w:jc w:val="center"/>
      </w:pPr>
      <w:r w:rsidRPr="00805899">
        <w:rPr>
          <w:i/>
        </w:rPr>
        <w:t>_____________________</w:t>
      </w:r>
      <w:bookmarkEnd w:id="0"/>
    </w:p>
    <w:sectPr w:rsidR="00E4551E" w:rsidRPr="00805899">
      <w:footerReference w:type="even" r:id="rId8"/>
      <w:footerReference w:type="default" r:id="rId9"/>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551E" w:rsidRPr="00805899" w:rsidRDefault="00E4551E">
      <w:r w:rsidRPr="00805899">
        <w:separator/>
      </w:r>
    </w:p>
  </w:endnote>
  <w:endnote w:type="continuationSeparator" w:id="0">
    <w:p w:rsidR="00E4551E" w:rsidRPr="00805899" w:rsidRDefault="00E4551E">
      <w:r w:rsidRPr="00805899">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51E" w:rsidRPr="00805899" w:rsidRDefault="00E4551E">
    <w:pPr>
      <w:pStyle w:val="Sidfot"/>
      <w:framePr w:wrap="around" w:vAnchor="text" w:hAnchor="margin" w:xAlign="center" w:y="1"/>
      <w:rPr>
        <w:rStyle w:val="Sidnummer"/>
      </w:rPr>
    </w:pPr>
    <w:r w:rsidRPr="00805899">
      <w:rPr>
        <w:rStyle w:val="Sidnummer"/>
      </w:rPr>
      <w:fldChar w:fldCharType="begin" w:fldLock="1"/>
    </w:r>
    <w:r w:rsidRPr="00805899">
      <w:rPr>
        <w:rStyle w:val="Sidnummer"/>
      </w:rPr>
      <w:instrText xml:space="preserve">PAGE  </w:instrText>
    </w:r>
    <w:r w:rsidRPr="00805899">
      <w:rPr>
        <w:rStyle w:val="Sidnummer"/>
      </w:rPr>
      <w:fldChar w:fldCharType="separate"/>
    </w:r>
    <w:r w:rsidRPr="00805899">
      <w:rPr>
        <w:rStyle w:val="Sidnummer"/>
      </w:rPr>
      <w:t>8</w:t>
    </w:r>
    <w:r w:rsidRPr="00805899">
      <w:rPr>
        <w:rStyle w:val="Sidnummer"/>
      </w:rPr>
      <w:fldChar w:fldCharType="end"/>
    </w:r>
  </w:p>
  <w:p w:rsidR="00E4551E" w:rsidRPr="00805899" w:rsidRDefault="00E4551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51E" w:rsidRPr="00805899" w:rsidRDefault="00E4551E">
    <w:pPr>
      <w:pStyle w:val="Sidfot"/>
      <w:pBdr>
        <w:bottom w:val="single" w:sz="4" w:space="1" w:color="auto"/>
      </w:pBdr>
      <w:spacing w:after="60"/>
    </w:pPr>
  </w:p>
  <w:p w:rsidR="00E4551E" w:rsidRPr="00805899" w:rsidRDefault="00E4551E">
    <w:pPr>
      <w:pStyle w:val="Sidfot"/>
    </w:pPr>
    <w:r w:rsidRPr="00805899">
      <w:t>10456/06    UNOFFICIAL</w:t>
    </w:r>
    <w:r w:rsidRPr="00805899">
      <w:tab/>
    </w:r>
    <w:r w:rsidRPr="00805899">
      <w:tab/>
      <w:t>CM/pc</w:t>
    </w:r>
    <w:r w:rsidRPr="00805899">
      <w:tab/>
    </w:r>
    <w:r w:rsidRPr="00805899">
      <w:rPr>
        <w:rStyle w:val="Sidnummer"/>
      </w:rPr>
      <w:fldChar w:fldCharType="begin" w:fldLock="1"/>
    </w:r>
    <w:r w:rsidRPr="00805899">
      <w:rPr>
        <w:rStyle w:val="Sidnummer"/>
      </w:rPr>
      <w:instrText xml:space="preserve"> PAGE </w:instrText>
    </w:r>
    <w:r w:rsidRPr="00805899">
      <w:rPr>
        <w:rStyle w:val="Sidnummer"/>
      </w:rPr>
      <w:fldChar w:fldCharType="separate"/>
    </w:r>
    <w:r w:rsidRPr="00805899">
      <w:rPr>
        <w:rStyle w:val="Sidnummer"/>
      </w:rPr>
      <w:t>6</w:t>
    </w:r>
    <w:r w:rsidRPr="00805899">
      <w:rPr>
        <w:rStyle w:val="Sidnummer"/>
      </w:rPr>
      <w:fldChar w:fldCharType="end"/>
    </w:r>
  </w:p>
  <w:p w:rsidR="00E4551E" w:rsidRPr="00805899" w:rsidRDefault="00E4551E">
    <w:pPr>
      <w:pStyle w:val="Sidfot"/>
      <w:tabs>
        <w:tab w:val="clear" w:pos="7371"/>
      </w:tabs>
      <w:spacing w:line="280" w:lineRule="exact"/>
    </w:pPr>
    <w:r w:rsidRPr="00805899">
      <w:tab/>
      <w:t>DG I</w:t>
    </w:r>
    <w:r w:rsidRPr="00805899">
      <w:tab/>
    </w:r>
    <w:r w:rsidRPr="00805899">
      <w:rPr>
        <w:b/>
        <w:position w:val="-4"/>
        <w:sz w:val="36"/>
      </w:rPr>
      <w:t xml:space="preserve"> LIMITE</w:t>
    </w:r>
    <w:r w:rsidRPr="00805899">
      <w:rPr>
        <w:b/>
        <w:position w:val="-4"/>
        <w:sz w:val="36"/>
      </w:rPr>
      <w:t> </w:t>
    </w:r>
    <w:r w:rsidRPr="00805899">
      <w:rPr>
        <w:b/>
        <w:position w:val="-4"/>
        <w:sz w:val="36"/>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551E" w:rsidRPr="00805899" w:rsidRDefault="00E4551E">
      <w:pPr>
        <w:pStyle w:val="Fotnotstext"/>
      </w:pPr>
      <w:r w:rsidRPr="00805899">
        <w:separator/>
      </w:r>
    </w:p>
  </w:footnote>
  <w:footnote w:type="continuationSeparator" w:id="0">
    <w:p w:rsidR="00E4551E" w:rsidRPr="00805899" w:rsidRDefault="00E4551E">
      <w:pPr>
        <w:pStyle w:val="Fotnotstext"/>
      </w:pPr>
      <w:r w:rsidRPr="00805899">
        <w:separator/>
      </w:r>
    </w:p>
  </w:footnote>
  <w:footnote w:id="1">
    <w:p w:rsidR="00E4551E" w:rsidRPr="00805899" w:rsidRDefault="00E4551E">
      <w:pPr>
        <w:pStyle w:val="Fotnotstext"/>
      </w:pPr>
      <w:r w:rsidRPr="00805899">
        <w:rPr>
          <w:rStyle w:val="Fotnotsreferens"/>
        </w:rPr>
        <w:footnoteRef/>
      </w:r>
      <w:r w:rsidRPr="00805899">
        <w:t xml:space="preserve"> </w:t>
      </w:r>
      <w:r w:rsidRPr="00805899">
        <w:tab/>
        <w:t>Directive 2000/60/EC of the European Parliament and of the Council of 23 October 2000 establishing a framework for Community action in the field of water policy (O.J. L 327 of 22.12.2000).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16696ED7"/>
    <w:multiLevelType w:val="hybridMultilevel"/>
    <w:tmpl w:val="22FA1A20"/>
    <w:lvl w:ilvl="0" w:tplc="901AD356">
      <w:numFmt w:val="lowerLetter"/>
      <w:lvlText w:val="%1)"/>
      <w:lvlJc w:val="left"/>
      <w:pPr>
        <w:tabs>
          <w:tab w:val="num" w:pos="927"/>
        </w:tabs>
        <w:ind w:left="927" w:hanging="360"/>
      </w:pPr>
      <w:rPr>
        <w:rFonts w:ascii="Times New Roman" w:eastAsia="Times New Roman" w:hAnsi="Times New Roman" w:cs="Times New Roman"/>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5"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6"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7"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8"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9"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1"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456635189">
    <w:abstractNumId w:val="10"/>
  </w:num>
  <w:num w:numId="2" w16cid:durableId="674963860">
    <w:abstractNumId w:val="0"/>
  </w:num>
  <w:num w:numId="3" w16cid:durableId="1688218363">
    <w:abstractNumId w:val="5"/>
  </w:num>
  <w:num w:numId="4" w16cid:durableId="290788977">
    <w:abstractNumId w:val="7"/>
  </w:num>
  <w:num w:numId="5" w16cid:durableId="547569695">
    <w:abstractNumId w:val="11"/>
  </w:num>
  <w:num w:numId="6" w16cid:durableId="608855599">
    <w:abstractNumId w:val="2"/>
  </w:num>
  <w:num w:numId="7" w16cid:durableId="1434327311">
    <w:abstractNumId w:val="9"/>
  </w:num>
  <w:num w:numId="8" w16cid:durableId="2109235928">
    <w:abstractNumId w:val="6"/>
  </w:num>
  <w:num w:numId="9" w16cid:durableId="1098328776">
    <w:abstractNumId w:val="8"/>
  </w:num>
  <w:num w:numId="10" w16cid:durableId="1681617243">
    <w:abstractNumId w:val="10"/>
  </w:num>
  <w:num w:numId="11" w16cid:durableId="35089521">
    <w:abstractNumId w:val="4"/>
  </w:num>
  <w:num w:numId="12" w16cid:durableId="2020887620">
    <w:abstractNumId w:val="0"/>
  </w:num>
  <w:num w:numId="13" w16cid:durableId="249970040">
    <w:abstractNumId w:val="3"/>
  </w:num>
  <w:num w:numId="14" w16cid:durableId="2017028587">
    <w:abstractNumId w:val="3"/>
  </w:num>
  <w:num w:numId="15" w16cid:durableId="538128880">
    <w:abstractNumId w:val="3"/>
  </w:num>
  <w:num w:numId="16" w16cid:durableId="306593125">
    <w:abstractNumId w:val="3"/>
  </w:num>
  <w:num w:numId="17" w16cid:durableId="2060321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DF"/>
    <w:rsid w:val="00785ADF"/>
    <w:rsid w:val="00805899"/>
    <w:rsid w:val="00E4551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F14C16-5210-4E27-9229-48C3668C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Normal"/>
    <w:qFormat/>
    <w:pPr>
      <w:keepNext/>
      <w:widowControl/>
      <w:numPr>
        <w:numId w:val="13"/>
      </w:numPr>
      <w:spacing w:before="360" w:after="120" w:line="240" w:lineRule="auto"/>
      <w:jc w:val="both"/>
      <w:outlineLvl w:val="0"/>
    </w:pPr>
    <w:rPr>
      <w:b/>
      <w:smallCaps/>
    </w:rPr>
  </w:style>
  <w:style w:type="paragraph" w:styleId="Rubrik2">
    <w:name w:val="heading 2"/>
    <w:basedOn w:val="Normal"/>
    <w:next w:val="Normal"/>
    <w:qFormat/>
    <w:pPr>
      <w:keepNext/>
      <w:widowControl/>
      <w:numPr>
        <w:ilvl w:val="1"/>
        <w:numId w:val="14"/>
      </w:numPr>
      <w:spacing w:before="120" w:after="120" w:line="240" w:lineRule="auto"/>
      <w:jc w:val="both"/>
      <w:outlineLvl w:val="1"/>
    </w:pPr>
    <w:rPr>
      <w:b/>
    </w:rPr>
  </w:style>
  <w:style w:type="paragraph" w:styleId="Rubrik3">
    <w:name w:val="heading 3"/>
    <w:basedOn w:val="Normal"/>
    <w:next w:val="Normal"/>
    <w:qFormat/>
    <w:pPr>
      <w:keepNext/>
      <w:widowControl/>
      <w:numPr>
        <w:ilvl w:val="2"/>
        <w:numId w:val="15"/>
      </w:numPr>
      <w:spacing w:before="120" w:after="120" w:line="240" w:lineRule="auto"/>
      <w:jc w:val="both"/>
      <w:outlineLvl w:val="2"/>
    </w:pPr>
    <w:rPr>
      <w:i/>
    </w:rPr>
  </w:style>
  <w:style w:type="paragraph" w:styleId="Rubrik4">
    <w:name w:val="heading 4"/>
    <w:basedOn w:val="Normal"/>
    <w:next w:val="Normal"/>
    <w:qFormat/>
    <w:pPr>
      <w:keepNext/>
      <w:widowControl/>
      <w:numPr>
        <w:ilvl w:val="3"/>
        <w:numId w:val="16"/>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semiHidden/>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9"/>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aliases w:val="BVI fnr,Footnote symbol"/>
    <w:basedOn w:val="Standardstycketeckensnitt"/>
    <w:semiHidden/>
    <w:rPr>
      <w:b/>
      <w:vertAlign w:val="superscript"/>
    </w:rPr>
  </w:style>
  <w:style w:type="paragraph" w:styleId="Fotnotstext">
    <w:name w:val="footnote text"/>
    <w:basedOn w:val="Normal"/>
    <w:semiHidden/>
    <w:pPr>
      <w:tabs>
        <w:tab w:val="left" w:pos="567"/>
      </w:tabs>
      <w:spacing w:line="240" w:lineRule="auto"/>
      <w:ind w:left="567" w:hanging="567"/>
    </w:pPr>
  </w:style>
  <w:style w:type="paragraph" w:styleId="Sidhuvud">
    <w:name w:val="header"/>
    <w:basedOn w:val="Normal"/>
    <w:semiHidden/>
    <w:pPr>
      <w:tabs>
        <w:tab w:val="center" w:pos="4820"/>
        <w:tab w:val="right" w:pos="7371"/>
        <w:tab w:val="right" w:pos="9639"/>
      </w:tabs>
      <w:spacing w:line="240" w:lineRule="auto"/>
    </w:pPr>
  </w:style>
  <w:style w:type="paragraph" w:customStyle="1" w:styleId="Par-bullet">
    <w:name w:val="Par-bullet"/>
    <w:basedOn w:val="Normal"/>
    <w:next w:val="Normal"/>
    <w:pPr>
      <w:numPr>
        <w:numId w:val="5"/>
      </w:numPr>
    </w:pPr>
  </w:style>
  <w:style w:type="paragraph" w:customStyle="1" w:styleId="Par-equal">
    <w:name w:val="Par-equal"/>
    <w:basedOn w:val="Normal"/>
    <w:next w:val="Normal"/>
    <w:pPr>
      <w:numPr>
        <w:numId w:val="7"/>
      </w:numPr>
    </w:pPr>
  </w:style>
  <w:style w:type="paragraph" w:styleId="Innehll1">
    <w:name w:val="toc 1"/>
    <w:basedOn w:val="Normal"/>
    <w:next w:val="Normal"/>
    <w:semiHidden/>
    <w:pPr>
      <w:tabs>
        <w:tab w:val="left" w:pos="567"/>
        <w:tab w:val="right" w:leader="dot" w:pos="9639"/>
      </w:tabs>
      <w:ind w:left="567" w:right="567" w:hanging="567"/>
    </w:pPr>
  </w:style>
  <w:style w:type="paragraph" w:customStyle="1" w:styleId="Par-number1">
    <w:name w:val="Par-number (1)"/>
    <w:basedOn w:val="Normal"/>
    <w:next w:val="Normal"/>
    <w:pPr>
      <w:numPr>
        <w:numId w:val="8"/>
      </w:numPr>
    </w:pPr>
  </w:style>
  <w:style w:type="paragraph" w:customStyle="1" w:styleId="Par-number11">
    <w:name w:val="Par-number 1."/>
    <w:basedOn w:val="Normal"/>
    <w:next w:val="Normal"/>
    <w:pPr>
      <w:numPr>
        <w:numId w:val="10"/>
      </w:numPr>
    </w:pPr>
  </w:style>
  <w:style w:type="paragraph" w:customStyle="1" w:styleId="Par-numberI">
    <w:name w:val="Par-number I."/>
    <w:basedOn w:val="Normal"/>
    <w:next w:val="Normal"/>
    <w:pPr>
      <w:numPr>
        <w:numId w:val="12"/>
      </w:numPr>
    </w:pPr>
  </w:style>
  <w:style w:type="paragraph" w:customStyle="1" w:styleId="Par-dash">
    <w:name w:val="Par-dash"/>
    <w:basedOn w:val="Normal"/>
    <w:next w:val="Normal"/>
    <w:pPr>
      <w:numPr>
        <w:numId w:val="6"/>
      </w:numPr>
    </w:pPr>
  </w:style>
  <w:style w:type="paragraph" w:customStyle="1" w:styleId="EntLogo">
    <w:name w:val="EntLogo"/>
    <w:basedOn w:val="Normal"/>
    <w:next w:val="EntInstit"/>
    <w:rPr>
      <w:b/>
    </w:r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1"/>
      </w:numPr>
    </w:pPr>
  </w:style>
  <w:style w:type="paragraph" w:styleId="Innehll2">
    <w:name w:val="toc 2"/>
    <w:basedOn w:val="Normal"/>
    <w:next w:val="Normal"/>
    <w:semiHidden/>
    <w:pPr>
      <w:tabs>
        <w:tab w:val="left" w:pos="1134"/>
        <w:tab w:val="right" w:leader="dot" w:pos="9639"/>
      </w:tabs>
      <w:ind w:left="1134" w:right="567" w:hanging="567"/>
    </w:pPr>
  </w:style>
  <w:style w:type="paragraph" w:styleId="Innehll3">
    <w:name w:val="toc 3"/>
    <w:basedOn w:val="Normal"/>
    <w:next w:val="Normal"/>
    <w:semiHidden/>
    <w:pPr>
      <w:tabs>
        <w:tab w:val="left" w:pos="1701"/>
        <w:tab w:val="right" w:leader="dot" w:pos="9639"/>
      </w:tabs>
      <w:ind w:left="1701" w:right="567" w:hanging="567"/>
    </w:pPr>
  </w:style>
  <w:style w:type="paragraph" w:styleId="Innehll4">
    <w:name w:val="toc 4"/>
    <w:basedOn w:val="Normal"/>
    <w:next w:val="Normal"/>
    <w:semiHidden/>
    <w:pPr>
      <w:tabs>
        <w:tab w:val="left" w:pos="2268"/>
        <w:tab w:val="right" w:pos="9639"/>
      </w:tabs>
      <w:ind w:left="2268" w:right="567" w:hanging="567"/>
    </w:pPr>
  </w:style>
  <w:style w:type="paragraph" w:styleId="Innehll5">
    <w:name w:val="toc 5"/>
    <w:basedOn w:val="Normal"/>
    <w:next w:val="Normal"/>
    <w:semiHidden/>
    <w:pPr>
      <w:tabs>
        <w:tab w:val="left" w:pos="2835"/>
        <w:tab w:val="right" w:leader="dot" w:pos="9639"/>
      </w:tabs>
      <w:ind w:left="2835" w:right="567" w:hanging="567"/>
    </w:pPr>
  </w:style>
  <w:style w:type="paragraph" w:styleId="Innehll6">
    <w:name w:val="toc 6"/>
    <w:basedOn w:val="Normal"/>
    <w:next w:val="Normal"/>
    <w:semiHidden/>
    <w:pPr>
      <w:tabs>
        <w:tab w:val="left" w:pos="3402"/>
        <w:tab w:val="right" w:leader="dot" w:pos="9639"/>
      </w:tabs>
      <w:ind w:left="3402" w:right="567" w:hanging="567"/>
    </w:pPr>
  </w:style>
  <w:style w:type="paragraph" w:styleId="Innehll7">
    <w:name w:val="toc 7"/>
    <w:basedOn w:val="Normal"/>
    <w:next w:val="Normal"/>
    <w:semiHidden/>
    <w:pPr>
      <w:tabs>
        <w:tab w:val="left" w:pos="3969"/>
        <w:tab w:val="right" w:leader="dot" w:pos="9639"/>
      </w:tabs>
      <w:ind w:left="3969" w:right="567" w:hanging="567"/>
    </w:pPr>
  </w:style>
  <w:style w:type="paragraph" w:styleId="Innehll8">
    <w:name w:val="toc 8"/>
    <w:basedOn w:val="Normal"/>
    <w:next w:val="Normal"/>
    <w:semiHidden/>
    <w:pPr>
      <w:tabs>
        <w:tab w:val="left" w:pos="4536"/>
        <w:tab w:val="right" w:leader="dot" w:pos="9639"/>
      </w:tabs>
      <w:ind w:left="4536" w:right="567" w:hanging="567"/>
    </w:pPr>
  </w:style>
  <w:style w:type="paragraph" w:styleId="Innehll9">
    <w:name w:val="toc 9"/>
    <w:basedOn w:val="Normal"/>
    <w:next w:val="Normal"/>
    <w:semiHidden/>
    <w:pPr>
      <w:tabs>
        <w:tab w:val="left" w:pos="5103"/>
        <w:tab w:val="right" w:leader="dot" w:pos="9639"/>
      </w:tabs>
      <w:ind w:left="5103" w:right="567" w:hanging="567"/>
    </w:pPr>
  </w:style>
  <w:style w:type="paragraph" w:styleId="Slutnotstext">
    <w:name w:val="endnote text"/>
    <w:basedOn w:val="Normal"/>
    <w:semiHidden/>
    <w:pPr>
      <w:tabs>
        <w:tab w:val="left" w:pos="567"/>
      </w:tabs>
      <w:spacing w:line="240" w:lineRule="auto"/>
      <w:ind w:left="567" w:hanging="567"/>
    </w:pPr>
  </w:style>
  <w:style w:type="character" w:styleId="Slutnotsreferens">
    <w:name w:val="endnote reference"/>
    <w:basedOn w:val="Standardstycketeckensnitt"/>
    <w:semiHidden/>
    <w:rPr>
      <w:b/>
      <w:vertAlign w:val="superscript"/>
    </w:rPr>
  </w:style>
  <w:style w:type="paragraph" w:customStyle="1" w:styleId="AC">
    <w:name w:val="AC"/>
    <w:basedOn w:val="Normal"/>
    <w:next w:val="Normal"/>
    <w:rPr>
      <w:b/>
      <w:sz w:val="40"/>
    </w:rPr>
  </w:style>
  <w:style w:type="character" w:styleId="Sidnummer">
    <w:name w:val="page number"/>
    <w:basedOn w:val="Standardstycketeckensnitt"/>
    <w:semiHidden/>
  </w:style>
  <w:style w:type="paragraph" w:customStyle="1" w:styleId="Par-numberi0">
    <w:name w:val="Par-number (i)"/>
    <w:basedOn w:val="Normal"/>
    <w:next w:val="Normal"/>
    <w:pPr>
      <w:numPr>
        <w:numId w:val="3"/>
      </w:numPr>
      <w:tabs>
        <w:tab w:val="clear" w:pos="720"/>
        <w:tab w:val="left" w:pos="567"/>
      </w:tabs>
    </w:pPr>
  </w:style>
  <w:style w:type="paragraph" w:customStyle="1" w:styleId="Par-numbera0">
    <w:name w:val="Par-number (a)"/>
    <w:basedOn w:val="Normal"/>
    <w:next w:val="Normal"/>
    <w:pPr>
      <w:numPr>
        <w:numId w:val="4"/>
      </w:numPr>
    </w:pPr>
  </w:style>
  <w:style w:type="character" w:customStyle="1" w:styleId="DontTranslate">
    <w:name w:val="DontTranslate"/>
    <w:basedOn w:val="Standardstycketeckensnitt"/>
    <w:rPr>
      <w:color w:val="FF0000"/>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Dokumentversikt">
    <w:name w:val="Document Map"/>
    <w:basedOn w:val="Normal"/>
    <w:semiHidden/>
    <w:pPr>
      <w:shd w:val="clear" w:color="auto" w:fill="000080"/>
    </w:pPr>
    <w:rPr>
      <w:rFonts w:ascii="Tahoma" w:hAnsi="Tahoma" w:cs="Tahoma"/>
    </w:rPr>
  </w:style>
  <w:style w:type="character" w:customStyle="1" w:styleId="Char">
    <w:name w:val=" Char"/>
    <w:basedOn w:val="Standardstycketeckensnitt"/>
    <w:rPr>
      <w:sz w:val="24"/>
      <w:lang w:val="en-GB" w:eastAsia="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_GenEn.dot</Template>
  <TotalTime>0</TotalTime>
  <Pages>2</Pages>
  <Words>1278</Words>
  <Characters>6597</Characters>
  <Application>Microsoft Office Word</Application>
  <DocSecurity>4</DocSecurity>
  <Lines>178</Lines>
  <Paragraphs>77</Paragraphs>
  <ScaleCrop>false</ScaleCrop>
  <HeadingPairs>
    <vt:vector size="2" baseType="variant">
      <vt:variant>
        <vt:lpstr>Titel</vt:lpstr>
      </vt:variant>
      <vt:variant>
        <vt:i4>1</vt:i4>
      </vt:variant>
    </vt:vector>
  </HeadingPairs>
  <TitlesOfParts>
    <vt:vector size="1" baseType="lpstr">
      <vt:lpstr>GEN</vt:lpstr>
    </vt:vector>
  </TitlesOfParts>
  <Company>DTI</Company>
  <LinksUpToDate>false</LinksUpToDate>
  <CharactersWithSpaces>7798</CharactersWithSpaces>
  <SharedDoc>false</SharedDoc>
  <HLinks>
    <vt:vector size="6" baseType="variant">
      <vt:variant>
        <vt:i4>1835014</vt:i4>
      </vt:variant>
      <vt:variant>
        <vt:i4>-1</vt:i4>
      </vt:variant>
      <vt:variant>
        <vt:i4>1071</vt:i4>
      </vt:variant>
      <vt:variant>
        <vt:i4>1</vt:i4>
      </vt:variant>
      <vt:variant>
        <vt:lpwstr>LogoCons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2006-06-15T08:19:00Z</cp:lastPrinted>
  <dcterms:created xsi:type="dcterms:W3CDTF">2025-12-16T23:14:00Z</dcterms:created>
  <dcterms:modified xsi:type="dcterms:W3CDTF">2025-12-16T23:14:00Z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ipControlLengthPage">
    <vt:lpwstr/>
  </property>
</Properties>
</file>