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F2F7E" w:rsidTr="00DD4A52">
        <w:tc>
          <w:tcPr>
            <w:tcW w:w="2268" w:type="dxa"/>
          </w:tcPr>
          <w:p w:rsidR="001F2F7E" w:rsidRDefault="001F2F7E"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1F2F7E" w:rsidRPr="0072145A" w:rsidRDefault="001F2F7E" w:rsidP="0072145A">
            <w:pPr>
              <w:framePr w:w="5035" w:h="1644" w:wrap="notBeside" w:vAnchor="page" w:hAnchor="page" w:x="6573" w:y="721"/>
              <w:jc w:val="right"/>
              <w:rPr>
                <w:rFonts w:ascii="TradeGothic" w:hAnsi="TradeGothic"/>
                <w:sz w:val="18"/>
              </w:rPr>
            </w:pPr>
            <w:r>
              <w:rPr>
                <w:rFonts w:ascii="TradeGothic" w:hAnsi="TradeGothic"/>
                <w:sz w:val="18"/>
              </w:rPr>
              <w:t>KKR, dp. 6d</w:t>
            </w:r>
          </w:p>
        </w:tc>
      </w:tr>
      <w:tr w:rsidR="001F2F7E" w:rsidTr="00DD4A52">
        <w:tc>
          <w:tcPr>
            <w:tcW w:w="5267" w:type="dxa"/>
            <w:gridSpan w:val="3"/>
          </w:tcPr>
          <w:p w:rsidR="001F2F7E" w:rsidRDefault="001F2F7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1F2F7E" w:rsidTr="00DD4A52">
        <w:tc>
          <w:tcPr>
            <w:tcW w:w="3402" w:type="dxa"/>
            <w:gridSpan w:val="2"/>
          </w:tcPr>
          <w:p w:rsidR="001F2F7E" w:rsidRDefault="001F2F7E" w:rsidP="007242A3">
            <w:pPr>
              <w:framePr w:w="5035" w:h="1644" w:wrap="notBeside" w:vAnchor="page" w:hAnchor="page" w:x="6573" w:y="721"/>
            </w:pPr>
          </w:p>
        </w:tc>
        <w:tc>
          <w:tcPr>
            <w:tcW w:w="1865" w:type="dxa"/>
          </w:tcPr>
          <w:p w:rsidR="001F2F7E" w:rsidRDefault="001F2F7E" w:rsidP="007242A3">
            <w:pPr>
              <w:framePr w:w="5035" w:h="1644" w:wrap="notBeside" w:vAnchor="page" w:hAnchor="page" w:x="6573" w:y="721"/>
            </w:pPr>
          </w:p>
        </w:tc>
      </w:tr>
      <w:tr w:rsidR="001F2F7E" w:rsidTr="00DD4A52">
        <w:tc>
          <w:tcPr>
            <w:tcW w:w="2268" w:type="dxa"/>
          </w:tcPr>
          <w:p w:rsidR="001F2F7E" w:rsidRDefault="001F2F7E" w:rsidP="007242A3">
            <w:pPr>
              <w:framePr w:w="5035" w:h="1644" w:wrap="notBeside" w:vAnchor="page" w:hAnchor="page" w:x="6573" w:y="721"/>
            </w:pPr>
            <w:r>
              <w:t>2013-09-13</w:t>
            </w:r>
          </w:p>
        </w:tc>
        <w:tc>
          <w:tcPr>
            <w:tcW w:w="2999" w:type="dxa"/>
            <w:gridSpan w:val="2"/>
          </w:tcPr>
          <w:p w:rsidR="001F2F7E" w:rsidRPr="00ED583F" w:rsidRDefault="001F2F7E" w:rsidP="007242A3">
            <w:pPr>
              <w:framePr w:w="5035" w:h="1644" w:wrap="notBeside" w:vAnchor="page" w:hAnchor="page" w:x="6573" w:y="721"/>
              <w:rPr>
                <w:sz w:val="20"/>
              </w:rPr>
            </w:pPr>
          </w:p>
        </w:tc>
      </w:tr>
      <w:tr w:rsidR="001F2F7E" w:rsidTr="00DD4A52">
        <w:tc>
          <w:tcPr>
            <w:tcW w:w="2268" w:type="dxa"/>
          </w:tcPr>
          <w:p w:rsidR="001F2F7E" w:rsidRDefault="001F2F7E" w:rsidP="007242A3">
            <w:pPr>
              <w:framePr w:w="5035" w:h="1644" w:wrap="notBeside" w:vAnchor="page" w:hAnchor="page" w:x="6573" w:y="721"/>
            </w:pPr>
          </w:p>
        </w:tc>
        <w:tc>
          <w:tcPr>
            <w:tcW w:w="2999" w:type="dxa"/>
            <w:gridSpan w:val="2"/>
          </w:tcPr>
          <w:p w:rsidR="001F2F7E" w:rsidRDefault="001F2F7E" w:rsidP="007242A3">
            <w:pPr>
              <w:framePr w:w="5035" w:h="1644" w:wrap="notBeside" w:vAnchor="page" w:hAnchor="page" w:x="6573" w:y="721"/>
            </w:pPr>
          </w:p>
        </w:tc>
      </w:tr>
    </w:tbl>
    <w:tbl>
      <w:tblPr>
        <w:tblW w:w="0" w:type="auto"/>
        <w:tblLayout w:type="fixed"/>
        <w:tblLook w:val="0000"/>
      </w:tblPr>
      <w:tblGrid>
        <w:gridCol w:w="4911"/>
      </w:tblGrid>
      <w:tr w:rsidR="001F2F7E">
        <w:trPr>
          <w:trHeight w:val="284"/>
        </w:trPr>
        <w:tc>
          <w:tcPr>
            <w:tcW w:w="4911" w:type="dxa"/>
          </w:tcPr>
          <w:p w:rsidR="001F2F7E" w:rsidRDefault="001F2F7E">
            <w:pPr>
              <w:pStyle w:val="Avsndare"/>
              <w:framePr w:h="2483" w:wrap="notBeside" w:x="1504"/>
              <w:rPr>
                <w:b/>
                <w:i w:val="0"/>
                <w:sz w:val="22"/>
              </w:rPr>
            </w:pPr>
            <w:r>
              <w:rPr>
                <w:b/>
                <w:i w:val="0"/>
                <w:sz w:val="22"/>
              </w:rPr>
              <w:t>Näringsdepartementet</w:t>
            </w:r>
          </w:p>
        </w:tc>
      </w:tr>
      <w:tr w:rsidR="001F2F7E">
        <w:trPr>
          <w:trHeight w:val="284"/>
        </w:trPr>
        <w:tc>
          <w:tcPr>
            <w:tcW w:w="4911" w:type="dxa"/>
          </w:tcPr>
          <w:p w:rsidR="001F2F7E" w:rsidRDefault="001F2F7E">
            <w:pPr>
              <w:pStyle w:val="Avsndare"/>
              <w:framePr w:h="2483" w:wrap="notBeside" w:x="1504"/>
              <w:rPr>
                <w:bCs/>
                <w:iCs/>
              </w:rPr>
            </w:pPr>
          </w:p>
        </w:tc>
      </w:tr>
      <w:tr w:rsidR="001F2F7E">
        <w:trPr>
          <w:trHeight w:val="284"/>
        </w:trPr>
        <w:tc>
          <w:tcPr>
            <w:tcW w:w="4911" w:type="dxa"/>
          </w:tcPr>
          <w:p w:rsidR="001F2F7E" w:rsidRDefault="001F2F7E">
            <w:pPr>
              <w:pStyle w:val="Avsndare"/>
              <w:framePr w:h="2483" w:wrap="notBeside" w:x="1504"/>
              <w:rPr>
                <w:bCs/>
                <w:iCs/>
              </w:rPr>
            </w:pPr>
            <w:r>
              <w:rPr>
                <w:bCs/>
                <w:iCs/>
              </w:rPr>
              <w:t>Forskning, innovation och näringsutveckling</w:t>
            </w:r>
          </w:p>
        </w:tc>
      </w:tr>
      <w:tr w:rsidR="001F2F7E">
        <w:trPr>
          <w:trHeight w:val="284"/>
        </w:trPr>
        <w:tc>
          <w:tcPr>
            <w:tcW w:w="4911" w:type="dxa"/>
          </w:tcPr>
          <w:p w:rsidR="001F2F7E" w:rsidRDefault="001F2F7E">
            <w:pPr>
              <w:pStyle w:val="Avsndare"/>
              <w:framePr w:h="2483" w:wrap="notBeside" w:x="1504"/>
              <w:rPr>
                <w:bCs/>
                <w:iCs/>
              </w:rPr>
            </w:pPr>
          </w:p>
        </w:tc>
      </w:tr>
      <w:tr w:rsidR="001F2F7E">
        <w:trPr>
          <w:trHeight w:val="284"/>
        </w:trPr>
        <w:tc>
          <w:tcPr>
            <w:tcW w:w="4911" w:type="dxa"/>
          </w:tcPr>
          <w:p w:rsidR="001F2F7E" w:rsidRDefault="001F2F7E">
            <w:pPr>
              <w:pStyle w:val="Avsndare"/>
              <w:framePr w:h="2483" w:wrap="notBeside" w:x="1504"/>
              <w:rPr>
                <w:bCs/>
                <w:iCs/>
              </w:rPr>
            </w:pPr>
          </w:p>
        </w:tc>
      </w:tr>
      <w:tr w:rsidR="001F2F7E">
        <w:trPr>
          <w:trHeight w:val="284"/>
        </w:trPr>
        <w:tc>
          <w:tcPr>
            <w:tcW w:w="4911" w:type="dxa"/>
          </w:tcPr>
          <w:p w:rsidR="001F2F7E" w:rsidRDefault="001F2F7E">
            <w:pPr>
              <w:pStyle w:val="Avsndare"/>
              <w:framePr w:h="2483" w:wrap="notBeside" w:x="1504"/>
              <w:rPr>
                <w:bCs/>
                <w:iCs/>
              </w:rPr>
            </w:pPr>
          </w:p>
        </w:tc>
      </w:tr>
      <w:tr w:rsidR="001F2F7E">
        <w:trPr>
          <w:trHeight w:val="284"/>
        </w:trPr>
        <w:tc>
          <w:tcPr>
            <w:tcW w:w="4911" w:type="dxa"/>
          </w:tcPr>
          <w:p w:rsidR="001F2F7E" w:rsidRDefault="001F2F7E">
            <w:pPr>
              <w:pStyle w:val="Avsndare"/>
              <w:framePr w:h="2483" w:wrap="notBeside" w:x="1504"/>
              <w:rPr>
                <w:bCs/>
                <w:iCs/>
              </w:rPr>
            </w:pPr>
          </w:p>
        </w:tc>
      </w:tr>
      <w:tr w:rsidR="001F2F7E">
        <w:trPr>
          <w:trHeight w:val="284"/>
        </w:trPr>
        <w:tc>
          <w:tcPr>
            <w:tcW w:w="4911" w:type="dxa"/>
          </w:tcPr>
          <w:p w:rsidR="001F2F7E" w:rsidRDefault="001F2F7E">
            <w:pPr>
              <w:pStyle w:val="Avsndare"/>
              <w:framePr w:h="2483" w:wrap="notBeside" w:x="1504"/>
              <w:rPr>
                <w:bCs/>
                <w:iCs/>
              </w:rPr>
            </w:pPr>
          </w:p>
        </w:tc>
      </w:tr>
      <w:tr w:rsidR="001F2F7E">
        <w:trPr>
          <w:trHeight w:val="284"/>
        </w:trPr>
        <w:tc>
          <w:tcPr>
            <w:tcW w:w="4911" w:type="dxa"/>
          </w:tcPr>
          <w:p w:rsidR="001F2F7E" w:rsidRDefault="001F2F7E">
            <w:pPr>
              <w:pStyle w:val="Avsndare"/>
              <w:framePr w:h="2483" w:wrap="notBeside" w:x="1504"/>
              <w:rPr>
                <w:bCs/>
                <w:iCs/>
              </w:rPr>
            </w:pPr>
          </w:p>
        </w:tc>
      </w:tr>
    </w:tbl>
    <w:p w:rsidR="001F2F7E" w:rsidRPr="00DD4A52" w:rsidRDefault="001F2F7E">
      <w:pPr>
        <w:framePr w:w="4400" w:h="2523" w:wrap="notBeside" w:vAnchor="page" w:hAnchor="page" w:x="6453" w:y="2445"/>
        <w:ind w:left="142"/>
        <w:rPr>
          <w:b/>
        </w:rPr>
      </w:pPr>
    </w:p>
    <w:p w:rsidR="001F2F7E" w:rsidRDefault="001F2F7E">
      <w:pPr>
        <w:pStyle w:val="RKrubrik"/>
        <w:pBdr>
          <w:bottom w:val="single" w:sz="6" w:space="1" w:color="auto"/>
        </w:pBdr>
      </w:pPr>
      <w:bookmarkStart w:id="1" w:name="bRubrik"/>
      <w:bookmarkEnd w:id="1"/>
      <w:r>
        <w:t>Rådets möte (KKR) den 27/9 2013</w:t>
      </w:r>
    </w:p>
    <w:p w:rsidR="001F2F7E" w:rsidRDefault="001F2F7E">
      <w:pPr>
        <w:pStyle w:val="RKnormal"/>
      </w:pPr>
    </w:p>
    <w:p w:rsidR="001F2F7E" w:rsidRDefault="001F2F7E">
      <w:pPr>
        <w:pStyle w:val="RKnormal"/>
      </w:pPr>
      <w:r w:rsidRPr="005435FC">
        <w:rPr>
          <w:b/>
        </w:rPr>
        <w:t>Dagordningspunkt:</w:t>
      </w:r>
      <w:r>
        <w:t xml:space="preserve"> 6d)</w:t>
      </w:r>
    </w:p>
    <w:p w:rsidR="001F2F7E" w:rsidRDefault="001F2F7E">
      <w:pPr>
        <w:pStyle w:val="RKnormal"/>
      </w:pPr>
    </w:p>
    <w:p w:rsidR="001F2F7E" w:rsidRPr="002601E8" w:rsidRDefault="001F2F7E" w:rsidP="005435FC">
      <w:pPr>
        <w:pStyle w:val="RKnormal"/>
      </w:pPr>
      <w:r w:rsidRPr="005435FC">
        <w:rPr>
          <w:b/>
        </w:rPr>
        <w:t>Rubrik:</w:t>
      </w:r>
      <w:r>
        <w:rPr>
          <w:b/>
        </w:rPr>
        <w:t xml:space="preserve"> </w:t>
      </w:r>
      <w:r w:rsidRPr="002601E8">
        <w:t>Förslag till beslut av Europeiska Parlamentet och av Rådet om medverkan av unionen i ett europeiskt forsknings- och utvecklingsprogram gemensamt genomfört av flera medlemsstater syftande till att stödja små och medelstora företags insatser inom forskning och innovation</w:t>
      </w:r>
    </w:p>
    <w:p w:rsidR="001F2F7E" w:rsidRPr="005435FC" w:rsidRDefault="001F2F7E">
      <w:pPr>
        <w:pStyle w:val="RKnormal"/>
      </w:pPr>
    </w:p>
    <w:p w:rsidR="001F2F7E" w:rsidRPr="005435FC" w:rsidRDefault="001F2F7E">
      <w:pPr>
        <w:pStyle w:val="RKnormal"/>
        <w:rPr>
          <w:b/>
        </w:rPr>
      </w:pPr>
      <w:r w:rsidRPr="005435FC">
        <w:rPr>
          <w:b/>
        </w:rPr>
        <w:t>Dokument:</w:t>
      </w:r>
      <w:r>
        <w:rPr>
          <w:b/>
        </w:rPr>
        <w:t xml:space="preserve"> </w:t>
      </w:r>
      <w:r>
        <w:t>KOM (2013) 493</w:t>
      </w:r>
    </w:p>
    <w:p w:rsidR="001F2F7E" w:rsidRDefault="001F2F7E">
      <w:pPr>
        <w:pStyle w:val="RKnormal"/>
      </w:pPr>
    </w:p>
    <w:p w:rsidR="001F2F7E" w:rsidRDefault="001F2F7E">
      <w:pPr>
        <w:pStyle w:val="RKrubrik"/>
      </w:pPr>
      <w:r>
        <w:t>Bakgrund</w:t>
      </w:r>
    </w:p>
    <w:p w:rsidR="001F2F7E" w:rsidRPr="009B2EF8" w:rsidRDefault="001F2F7E" w:rsidP="009B2EF8">
      <w:pPr>
        <w:pStyle w:val="RKnormal"/>
        <w:rPr>
          <w:bCs/>
        </w:rPr>
      </w:pPr>
      <w:r w:rsidRPr="009B2EF8">
        <w:rPr>
          <w:bCs/>
        </w:rPr>
        <w:t xml:space="preserve">Europaparlamentet och rådet beslutade den 9 juli 2008 om gemenskapens deltagande i ett forsknings- och utvecklingsprogram (Eurostars) som inletts av </w:t>
      </w:r>
      <w:r>
        <w:rPr>
          <w:bCs/>
        </w:rPr>
        <w:t>bl.a. 26</w:t>
      </w:r>
      <w:r w:rsidRPr="009B2EF8">
        <w:rPr>
          <w:bCs/>
        </w:rPr>
        <w:t xml:space="preserve"> </w:t>
      </w:r>
      <w:r>
        <w:rPr>
          <w:bCs/>
        </w:rPr>
        <w:t>EU-</w:t>
      </w:r>
      <w:r w:rsidRPr="009B2EF8">
        <w:rPr>
          <w:bCs/>
        </w:rPr>
        <w:t>medlemsstater</w:t>
      </w:r>
      <w:r>
        <w:rPr>
          <w:bCs/>
        </w:rPr>
        <w:t xml:space="preserve"> inom ramen för nätverket Eureka</w:t>
      </w:r>
      <w:r>
        <w:rPr>
          <w:rStyle w:val="FootnoteReference"/>
          <w:bCs/>
        </w:rPr>
        <w:footnoteReference w:id="1"/>
      </w:r>
      <w:r>
        <w:rPr>
          <w:bCs/>
        </w:rPr>
        <w:t xml:space="preserve"> </w:t>
      </w:r>
      <w:r w:rsidRPr="009B2EF8">
        <w:rPr>
          <w:bCs/>
        </w:rPr>
        <w:t xml:space="preserve">och som syftar till att stödja små och medelstora företag som bedriver forskning och utveckling. </w:t>
      </w:r>
    </w:p>
    <w:p w:rsidR="001F2F7E" w:rsidRDefault="001F2F7E" w:rsidP="009B2EF8">
      <w:pPr>
        <w:pStyle w:val="RKnormal"/>
        <w:rPr>
          <w:bCs/>
          <w:highlight w:val="yellow"/>
        </w:rPr>
      </w:pPr>
    </w:p>
    <w:p w:rsidR="001F2F7E" w:rsidRPr="00135DDF" w:rsidRDefault="001F2F7E" w:rsidP="004444C5">
      <w:pPr>
        <w:pStyle w:val="RKnormal"/>
        <w:rPr>
          <w:bCs/>
        </w:rPr>
      </w:pPr>
      <w:r w:rsidRPr="00F15687">
        <w:rPr>
          <w:bCs/>
        </w:rPr>
        <w:t>Unionen bidrar till programmet med ett ekonomiskt bidrag som uppgår till högst en tredjedel av de faktiska bidragen från de deltagande medlemsstaterna och de andra deltagande länderna, dock inte med mer än 100 000 000 EUR under löptiden för det sjunde ramprogram</w:t>
      </w:r>
      <w:r>
        <w:rPr>
          <w:bCs/>
        </w:rPr>
        <w:t>met</w:t>
      </w:r>
      <w:r w:rsidRPr="00F15687">
        <w:rPr>
          <w:bCs/>
        </w:rPr>
        <w:t xml:space="preserve"> för </w:t>
      </w:r>
      <w:r w:rsidRPr="00135DDF">
        <w:rPr>
          <w:bCs/>
        </w:rPr>
        <w:t xml:space="preserve">forskning, teknisk utveckling och demonstration (2007–2013). </w:t>
      </w:r>
    </w:p>
    <w:p w:rsidR="001F2F7E" w:rsidRPr="0048746A" w:rsidRDefault="001F2F7E" w:rsidP="004444C5">
      <w:pPr>
        <w:pStyle w:val="RKnormal"/>
        <w:rPr>
          <w:bCs/>
          <w:color w:val="0070C0"/>
        </w:rPr>
      </w:pPr>
    </w:p>
    <w:p w:rsidR="001F2F7E" w:rsidRDefault="001F2F7E" w:rsidP="00135DDF">
      <w:pPr>
        <w:pStyle w:val="RKnormal"/>
      </w:pPr>
      <w:r w:rsidRPr="00135DDF">
        <w:t>En preliminär utvärdering av Eurostars gjordes 2010 av en grupp oberoende experter, vilken kommissionen besvarade med en preliminär utvärderingsrapport som antogs i april 2011. I sina slutsatser av den 31 maj 2011 om dessa två dokument välkomnade konkurrenskraft</w:t>
      </w:r>
      <w:r>
        <w:t>s</w:t>
      </w:r>
      <w:r w:rsidRPr="00135DDF">
        <w:t xml:space="preserve">rådet expertgruppens åsikt att Eurostars är väl anpassat till Europa 2020-målen, väl kompletterar de möjligheter till internationellt samarbete som små och medelstora företag ges i sjunde ramprogrammet, och har visat sig vara attraktivt för målgruppen genom att man lyckats nå ut till europeiska forskningsverksamma små och medelstora företag. </w:t>
      </w:r>
      <w:r>
        <w:t>Idag finns det inget annat program utöver Eurostars som särskilt inriktas på transnationell forskning och utveckling som bedrivs av forskningsintensiva små och medelstora företag på EU-nivå.</w:t>
      </w:r>
    </w:p>
    <w:p w:rsidR="001F2F7E" w:rsidRDefault="001F2F7E" w:rsidP="00135DDF">
      <w:pPr>
        <w:pStyle w:val="RKnormal"/>
      </w:pPr>
    </w:p>
    <w:p w:rsidR="001F2F7E" w:rsidRDefault="001F2F7E" w:rsidP="00135DDF">
      <w:pPr>
        <w:pStyle w:val="RKnormal"/>
      </w:pPr>
      <w:r w:rsidRPr="0048746A">
        <w:t>Det nu aktuella förslaget innebär att ett Eurostars2 skulle beslutas.</w:t>
      </w:r>
    </w:p>
    <w:p w:rsidR="001F2F7E" w:rsidRDefault="001F2F7E">
      <w:pPr>
        <w:pStyle w:val="RKrubrik"/>
      </w:pPr>
      <w:r>
        <w:t>Rättslig grund och beslutsförfarande</w:t>
      </w:r>
    </w:p>
    <w:p w:rsidR="001F2F7E" w:rsidRDefault="001F2F7E">
      <w:pPr>
        <w:pStyle w:val="RKnormal"/>
      </w:pPr>
      <w:r>
        <w:t>Artikel 185, ordinarie lagstiftningsförfarande.</w:t>
      </w:r>
    </w:p>
    <w:p w:rsidR="001F2F7E" w:rsidRPr="0069242C" w:rsidRDefault="001F2F7E">
      <w:pPr>
        <w:pStyle w:val="RKrubrik"/>
        <w:rPr>
          <w:i/>
          <w:iCs/>
        </w:rPr>
      </w:pPr>
      <w:r w:rsidRPr="0069242C">
        <w:rPr>
          <w:i/>
          <w:iCs/>
        </w:rPr>
        <w:t>Svensk ståndpunkt</w:t>
      </w:r>
    </w:p>
    <w:p w:rsidR="001F2F7E" w:rsidRDefault="001F2F7E" w:rsidP="00E65CB0">
      <w:r w:rsidRPr="00E65CB0">
        <w:t>Regeringen föreslår att Sverige</w:t>
      </w:r>
      <w:r>
        <w:t xml:space="preserve"> välkomnar förslaget till program. </w:t>
      </w:r>
    </w:p>
    <w:p w:rsidR="001F2F7E" w:rsidRDefault="001F2F7E" w:rsidP="00E65CB0"/>
    <w:p w:rsidR="001F2F7E" w:rsidRDefault="001F2F7E" w:rsidP="00E65CB0">
      <w:r>
        <w:t xml:space="preserve">Satsningar på forskning och utveckling är viktiga förutsättningar för att öka konkurrenskraften och därmed tillväxten i små och medelstora företag. En ökad internationalisering har också visat sig bidra till ökad tillväxt i små och medelstora företag. </w:t>
      </w:r>
    </w:p>
    <w:p w:rsidR="001F2F7E" w:rsidRDefault="001F2F7E" w:rsidP="00E65CB0"/>
    <w:p w:rsidR="001F2F7E" w:rsidRDefault="001F2F7E" w:rsidP="00E65CB0">
      <w:r>
        <w:t>Förhandlingen om Eurostars2 har precis inletts i rådsarbetsgruppen och det finns ett brett stöd bland MS för en fortsättning på programmet. Sverige är dock tillsammans med ett stort antal MS, tveksamma till de lägre ersättningsnivåerna som föreslås för Eurostars2 jämfört med övriga 185-program och förordar istället mer enhetliga villkor.</w:t>
      </w:r>
    </w:p>
    <w:p w:rsidR="001F2F7E" w:rsidRDefault="001F2F7E">
      <w:pPr>
        <w:pStyle w:val="RKrubrik"/>
      </w:pPr>
      <w:r>
        <w:t>Europaparlamentets inställning</w:t>
      </w:r>
    </w:p>
    <w:p w:rsidR="001F2F7E" w:rsidRDefault="001F2F7E">
      <w:pPr>
        <w:pStyle w:val="RKnormal"/>
      </w:pPr>
      <w:r>
        <w:t>Ej känt.</w:t>
      </w:r>
    </w:p>
    <w:p w:rsidR="001F2F7E" w:rsidRDefault="001F2F7E">
      <w:pPr>
        <w:pStyle w:val="RKrubrik"/>
        <w:rPr>
          <w:i/>
          <w:iCs/>
        </w:rPr>
      </w:pPr>
      <w:r>
        <w:rPr>
          <w:i/>
          <w:iCs/>
        </w:rPr>
        <w:t>Förslaget</w:t>
      </w:r>
    </w:p>
    <w:p w:rsidR="001F2F7E" w:rsidRPr="00203016" w:rsidRDefault="001F2F7E" w:rsidP="005435FC">
      <w:pPr>
        <w:pStyle w:val="RKnormal"/>
      </w:pPr>
      <w:r w:rsidRPr="00203016">
        <w:t xml:space="preserve">Syftet med förslaget är att på grundval av artikel 185 i EUF-fördraget tillhandahålla de rättsliga medlen för Europeiska unionens deltagande i det gemensamma programmet för </w:t>
      </w:r>
      <w:r w:rsidRPr="00203016">
        <w:rPr>
          <w:bCs/>
        </w:rPr>
        <w:t>att stödja små och medelstora företag som bedriver forskning och utveckling</w:t>
      </w:r>
      <w:r w:rsidRPr="00203016">
        <w:t xml:space="preserve"> (Eurostars</w:t>
      </w:r>
      <w:r>
        <w:t>) som har inletts av EU:s</w:t>
      </w:r>
      <w:r w:rsidRPr="00203016">
        <w:t xml:space="preserve"> medlemsstater. Det maximala EU-bidraget ska enligt KOM vara 287 000 000 EUR från Horisont 2020.</w:t>
      </w:r>
    </w:p>
    <w:p w:rsidR="001F2F7E" w:rsidRPr="00821D2C" w:rsidRDefault="001F2F7E" w:rsidP="00255D83">
      <w:pPr>
        <w:pStyle w:val="RKnormal"/>
        <w:rPr>
          <w:highlight w:val="yellow"/>
        </w:rPr>
      </w:pPr>
    </w:p>
    <w:p w:rsidR="001F2F7E" w:rsidRPr="00203016" w:rsidRDefault="001F2F7E" w:rsidP="00255D83">
      <w:pPr>
        <w:pStyle w:val="RKnormal"/>
      </w:pPr>
      <w:r w:rsidRPr="00203016">
        <w:t>Eurostarsprogrammets övergripande mål är att:</w:t>
      </w:r>
    </w:p>
    <w:p w:rsidR="001F2F7E" w:rsidRPr="00821D2C" w:rsidRDefault="001F2F7E" w:rsidP="00255D83">
      <w:pPr>
        <w:pStyle w:val="RKnormal"/>
        <w:rPr>
          <w:highlight w:val="yellow"/>
        </w:rPr>
      </w:pPr>
    </w:p>
    <w:p w:rsidR="001F2F7E" w:rsidRPr="00EC55AA" w:rsidRDefault="001F2F7E" w:rsidP="00203016">
      <w:pPr>
        <w:pStyle w:val="RKnormal"/>
        <w:numPr>
          <w:ilvl w:val="0"/>
          <w:numId w:val="1"/>
        </w:numPr>
      </w:pPr>
      <w:r w:rsidRPr="00EC55AA">
        <w:t>Fr</w:t>
      </w:r>
      <w:r>
        <w:t>ä</w:t>
      </w:r>
      <w:r w:rsidRPr="00EC55AA">
        <w:t xml:space="preserve">mja marknadsorienterade transnationella forskningsverksamheter inom alla områden som bedrivs av forskningsverksamma små och medelstora företag, särskilt de som saknar tidigare erfarenhet av transnationell forskning, vilket ska leda till att nya eller förbättrade produkter, processer och tjänster släpps ut på marknaden. </w:t>
      </w:r>
    </w:p>
    <w:p w:rsidR="001F2F7E" w:rsidRPr="00EC55AA" w:rsidRDefault="001F2F7E" w:rsidP="00203016">
      <w:pPr>
        <w:pStyle w:val="RKnormal"/>
        <w:numPr>
          <w:ilvl w:val="0"/>
          <w:numId w:val="1"/>
        </w:numPr>
      </w:pPr>
      <w:r w:rsidRPr="00EC55AA">
        <w:t>Bidra till fullbordandet av det europeiska forskningsområdet och öka tillgången till, samt effektiviteten och ändamålsenligheten hos offentlig finansiering för forskningsverksamma små och medelstora företag i Europa, genom att anpassa, harmonisera och samordna de nationella finansieringssystemen.</w:t>
      </w:r>
    </w:p>
    <w:p w:rsidR="001F2F7E" w:rsidRPr="00EC55AA" w:rsidRDefault="001F2F7E" w:rsidP="00203016">
      <w:pPr>
        <w:pStyle w:val="RKnormal"/>
        <w:numPr>
          <w:ilvl w:val="0"/>
          <w:numId w:val="1"/>
        </w:numPr>
      </w:pPr>
      <w:r w:rsidRPr="00EC55AA">
        <w:t xml:space="preserve">Öka konkurrenskraften hos forskningsverksamma små och medelstora företag och aktivt bidra till ekonomisk tillväxt och sysselsättningsskapande i EU för att uppnå Europa 2020-målen. </w:t>
      </w:r>
    </w:p>
    <w:p w:rsidR="001F2F7E" w:rsidRPr="00821D2C" w:rsidRDefault="001F2F7E" w:rsidP="00255D83">
      <w:pPr>
        <w:pStyle w:val="RKnormal"/>
        <w:rPr>
          <w:highlight w:val="yellow"/>
        </w:rPr>
      </w:pPr>
    </w:p>
    <w:p w:rsidR="001F2F7E" w:rsidRPr="00C32514" w:rsidRDefault="001F2F7E" w:rsidP="00C32514">
      <w:pPr>
        <w:pStyle w:val="RKnormal"/>
      </w:pPr>
      <w:r w:rsidRPr="002A626D">
        <w:t>Huvudsakliga förändringar i Eurostars 2 jämfört med Eurostars är en förstärkt budget, både från MS och KOM, och en ökad harmonisering MS emellan ifråga om bl.a. nationella handläggningsrutiner och finansiering.</w:t>
      </w:r>
      <w:r>
        <w:t xml:space="preserve"> Ökad harmonisering har bl.a. som mål att förkorta handläggningstiderna och minska den administrativa bördan.</w:t>
      </w:r>
    </w:p>
    <w:p w:rsidR="001F2F7E" w:rsidRDefault="001F2F7E">
      <w:pPr>
        <w:pStyle w:val="RKrubrik"/>
        <w:rPr>
          <w:i/>
          <w:iCs/>
        </w:rPr>
      </w:pPr>
      <w:r>
        <w:rPr>
          <w:i/>
          <w:iCs/>
        </w:rPr>
        <w:t>Gällande svenska regler och förslagets effekter på dessa</w:t>
      </w:r>
    </w:p>
    <w:p w:rsidR="001F2F7E" w:rsidRDefault="001F2F7E">
      <w:pPr>
        <w:pStyle w:val="RKnormal"/>
      </w:pPr>
      <w:r>
        <w:t>Ej aktuellt.</w:t>
      </w:r>
    </w:p>
    <w:p w:rsidR="001F2F7E" w:rsidRDefault="001F2F7E">
      <w:pPr>
        <w:pStyle w:val="RKrubrik"/>
      </w:pPr>
      <w:r>
        <w:t>Ekonomiska konsekvenser</w:t>
      </w:r>
    </w:p>
    <w:p w:rsidR="001F2F7E" w:rsidRDefault="001F2F7E" w:rsidP="00A437C0">
      <w:pPr>
        <w:pStyle w:val="RKnormal"/>
      </w:pPr>
      <w:r w:rsidRPr="00040324">
        <w:t xml:space="preserve">Nationella budgetära konsekvenser uppstår för deltagande myndighet/-er om SE beslutar att delta. Finansiering sker då inom befintliga ramar. </w:t>
      </w:r>
    </w:p>
    <w:p w:rsidR="001F2F7E" w:rsidRPr="00821D2C" w:rsidRDefault="001F2F7E" w:rsidP="00A437C0">
      <w:pPr>
        <w:pStyle w:val="RKnormal"/>
        <w:rPr>
          <w:highlight w:val="yellow"/>
        </w:rPr>
      </w:pPr>
    </w:p>
    <w:p w:rsidR="001F2F7E" w:rsidRDefault="001F2F7E" w:rsidP="002B15AE">
      <w:pPr>
        <w:pStyle w:val="RKnormal"/>
      </w:pPr>
      <w:r w:rsidRPr="00BF46B8">
        <w:t xml:space="preserve">KOM föreslår att EU deltar med 287 miljoner euro. MS förväntas bidra med 861 miljoner euro. Nuvarande Eurostars har en finansiering på 100 miljoner euro från EU och </w:t>
      </w:r>
      <w:r w:rsidRPr="00040324">
        <w:t>300</w:t>
      </w:r>
      <w:r w:rsidRPr="00081BC1">
        <w:t xml:space="preserve"> miljoner </w:t>
      </w:r>
      <w:r w:rsidRPr="00BF46B8">
        <w:t>från MS.</w:t>
      </w:r>
    </w:p>
    <w:p w:rsidR="001F2F7E" w:rsidRDefault="001F2F7E">
      <w:pPr>
        <w:pStyle w:val="RKrubrik"/>
      </w:pPr>
      <w:r>
        <w:t>Övrigt</w:t>
      </w:r>
    </w:p>
    <w:sectPr w:rsidR="001F2F7E" w:rsidSect="00B01D2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F7E" w:rsidRDefault="001F2F7E">
      <w:r>
        <w:separator/>
      </w:r>
    </w:p>
  </w:endnote>
  <w:endnote w:type="continuationSeparator" w:id="0">
    <w:p w:rsidR="001F2F7E" w:rsidRDefault="001F2F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F7E" w:rsidRDefault="001F2F7E">
      <w:r>
        <w:separator/>
      </w:r>
    </w:p>
  </w:footnote>
  <w:footnote w:type="continuationSeparator" w:id="0">
    <w:p w:rsidR="001F2F7E" w:rsidRDefault="001F2F7E">
      <w:r>
        <w:continuationSeparator/>
      </w:r>
    </w:p>
  </w:footnote>
  <w:footnote w:id="1">
    <w:p w:rsidR="001F2F7E" w:rsidRDefault="001F2F7E" w:rsidP="00615314">
      <w:pPr>
        <w:pStyle w:val="FootnoteText"/>
      </w:pPr>
      <w:r>
        <w:rPr>
          <w:rStyle w:val="FootnoteReference"/>
        </w:rPr>
        <w:footnoteRef/>
      </w:r>
      <w:r>
        <w:t xml:space="preserve"> Eureka är ett mellanstatligt nätverk som inrättades av en ministerkonferens med 17 länder och EG-medlemsstater 1985, i syfte att stödja industriellt forskningssamarbete. Eureka har för närvarande 40 medlemsländer och stöder förutom Eurostars även enskilda projekt, kluster och ett paraplyprogram.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7E" w:rsidRDefault="001F2F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1F2F7E">
      <w:trPr>
        <w:cantSplit/>
      </w:trPr>
      <w:tc>
        <w:tcPr>
          <w:tcW w:w="3119" w:type="dxa"/>
        </w:tcPr>
        <w:p w:rsidR="001F2F7E" w:rsidRDefault="001F2F7E">
          <w:pPr>
            <w:pStyle w:val="Header"/>
            <w:spacing w:line="200" w:lineRule="atLeast"/>
            <w:ind w:right="357"/>
            <w:rPr>
              <w:rFonts w:ascii="TradeGothic" w:hAnsi="TradeGothic"/>
              <w:b/>
              <w:bCs/>
              <w:sz w:val="16"/>
            </w:rPr>
          </w:pPr>
        </w:p>
      </w:tc>
      <w:tc>
        <w:tcPr>
          <w:tcW w:w="4111" w:type="dxa"/>
          <w:tcMar>
            <w:left w:w="567" w:type="dxa"/>
          </w:tcMar>
        </w:tcPr>
        <w:p w:rsidR="001F2F7E" w:rsidRDefault="001F2F7E">
          <w:pPr>
            <w:pStyle w:val="Header"/>
            <w:ind w:right="360"/>
          </w:pPr>
        </w:p>
      </w:tc>
      <w:tc>
        <w:tcPr>
          <w:tcW w:w="1525" w:type="dxa"/>
        </w:tcPr>
        <w:p w:rsidR="001F2F7E" w:rsidRDefault="001F2F7E">
          <w:pPr>
            <w:pStyle w:val="Header"/>
            <w:ind w:right="360"/>
          </w:pPr>
        </w:p>
      </w:tc>
    </w:tr>
  </w:tbl>
  <w:p w:rsidR="001F2F7E" w:rsidRDefault="001F2F7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7E" w:rsidRDefault="001F2F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1F2F7E">
      <w:trPr>
        <w:cantSplit/>
      </w:trPr>
      <w:tc>
        <w:tcPr>
          <w:tcW w:w="3119" w:type="dxa"/>
        </w:tcPr>
        <w:p w:rsidR="001F2F7E" w:rsidRDefault="001F2F7E">
          <w:pPr>
            <w:pStyle w:val="Header"/>
            <w:spacing w:line="200" w:lineRule="atLeast"/>
            <w:ind w:right="357"/>
            <w:rPr>
              <w:rFonts w:ascii="TradeGothic" w:hAnsi="TradeGothic"/>
              <w:b/>
              <w:bCs/>
              <w:sz w:val="16"/>
            </w:rPr>
          </w:pPr>
        </w:p>
      </w:tc>
      <w:tc>
        <w:tcPr>
          <w:tcW w:w="4111" w:type="dxa"/>
          <w:tcMar>
            <w:left w:w="567" w:type="dxa"/>
          </w:tcMar>
        </w:tcPr>
        <w:p w:rsidR="001F2F7E" w:rsidRDefault="001F2F7E">
          <w:pPr>
            <w:pStyle w:val="Header"/>
            <w:ind w:right="360"/>
          </w:pPr>
        </w:p>
      </w:tc>
      <w:tc>
        <w:tcPr>
          <w:tcW w:w="1525" w:type="dxa"/>
        </w:tcPr>
        <w:p w:rsidR="001F2F7E" w:rsidRDefault="001F2F7E">
          <w:pPr>
            <w:pStyle w:val="Header"/>
            <w:ind w:right="360"/>
          </w:pPr>
        </w:p>
      </w:tc>
    </w:tr>
  </w:tbl>
  <w:p w:rsidR="001F2F7E" w:rsidRDefault="001F2F7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7E" w:rsidRDefault="001F2F7E">
    <w:pPr>
      <w:framePr w:w="2948" w:h="1321" w:hRule="exact" w:wrap="notBeside" w:vAnchor="page" w:hAnchor="page" w:x="1362" w:y="653"/>
    </w:pPr>
    <w:r w:rsidRPr="003957C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F2F7E" w:rsidRDefault="001F2F7E">
    <w:pPr>
      <w:pStyle w:val="RKrubrik"/>
      <w:keepNext w:val="0"/>
      <w:tabs>
        <w:tab w:val="clear" w:pos="1134"/>
        <w:tab w:val="clear" w:pos="2835"/>
      </w:tabs>
      <w:spacing w:before="0" w:after="0" w:line="320" w:lineRule="atLeast"/>
      <w:rPr>
        <w:bCs/>
      </w:rPr>
    </w:pPr>
  </w:p>
  <w:p w:rsidR="001F2F7E" w:rsidRDefault="001F2F7E">
    <w:pPr>
      <w:rPr>
        <w:rFonts w:ascii="TradeGothic" w:hAnsi="TradeGothic"/>
        <w:b/>
        <w:bCs/>
        <w:spacing w:val="12"/>
        <w:sz w:val="22"/>
      </w:rPr>
    </w:pPr>
  </w:p>
  <w:p w:rsidR="001F2F7E" w:rsidRDefault="001F2F7E">
    <w:pPr>
      <w:pStyle w:val="RKrubrik"/>
      <w:keepNext w:val="0"/>
      <w:tabs>
        <w:tab w:val="clear" w:pos="1134"/>
        <w:tab w:val="clear" w:pos="2835"/>
      </w:tabs>
      <w:spacing w:before="0" w:after="0" w:line="320" w:lineRule="atLeast"/>
      <w:rPr>
        <w:bCs/>
      </w:rPr>
    </w:pPr>
  </w:p>
  <w:p w:rsidR="001F2F7E" w:rsidRDefault="001F2F7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9D7"/>
    <w:multiLevelType w:val="hybridMultilevel"/>
    <w:tmpl w:val="DB0037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40324"/>
    <w:rsid w:val="00081BC1"/>
    <w:rsid w:val="000910F2"/>
    <w:rsid w:val="000E4EBC"/>
    <w:rsid w:val="00135DDF"/>
    <w:rsid w:val="00150384"/>
    <w:rsid w:val="00160901"/>
    <w:rsid w:val="00176847"/>
    <w:rsid w:val="001805B7"/>
    <w:rsid w:val="001C2AAB"/>
    <w:rsid w:val="001F2F7E"/>
    <w:rsid w:val="00203016"/>
    <w:rsid w:val="00255D83"/>
    <w:rsid w:val="002601E8"/>
    <w:rsid w:val="002733C4"/>
    <w:rsid w:val="002A626D"/>
    <w:rsid w:val="002B15AE"/>
    <w:rsid w:val="002C38F7"/>
    <w:rsid w:val="00306479"/>
    <w:rsid w:val="00351632"/>
    <w:rsid w:val="00367B1C"/>
    <w:rsid w:val="003957C2"/>
    <w:rsid w:val="00410261"/>
    <w:rsid w:val="004444C5"/>
    <w:rsid w:val="0048746A"/>
    <w:rsid w:val="004A328D"/>
    <w:rsid w:val="00524FD1"/>
    <w:rsid w:val="005360EA"/>
    <w:rsid w:val="005435FC"/>
    <w:rsid w:val="00561586"/>
    <w:rsid w:val="0058762B"/>
    <w:rsid w:val="005E2EB6"/>
    <w:rsid w:val="00615314"/>
    <w:rsid w:val="0069242C"/>
    <w:rsid w:val="006D4D4D"/>
    <w:rsid w:val="006E4E11"/>
    <w:rsid w:val="0072145A"/>
    <w:rsid w:val="007242A3"/>
    <w:rsid w:val="007524FE"/>
    <w:rsid w:val="007A0EFE"/>
    <w:rsid w:val="007A6855"/>
    <w:rsid w:val="00821D2C"/>
    <w:rsid w:val="00843689"/>
    <w:rsid w:val="008B24A0"/>
    <w:rsid w:val="008F5485"/>
    <w:rsid w:val="0092027A"/>
    <w:rsid w:val="009438E2"/>
    <w:rsid w:val="00955E31"/>
    <w:rsid w:val="00992E72"/>
    <w:rsid w:val="009B2EF8"/>
    <w:rsid w:val="009E3FD8"/>
    <w:rsid w:val="00A07B69"/>
    <w:rsid w:val="00A437C0"/>
    <w:rsid w:val="00A73818"/>
    <w:rsid w:val="00AE0D58"/>
    <w:rsid w:val="00AF26D1"/>
    <w:rsid w:val="00B01D22"/>
    <w:rsid w:val="00B168F6"/>
    <w:rsid w:val="00B235E0"/>
    <w:rsid w:val="00BF46B8"/>
    <w:rsid w:val="00C32514"/>
    <w:rsid w:val="00C37EA0"/>
    <w:rsid w:val="00C63579"/>
    <w:rsid w:val="00D133D7"/>
    <w:rsid w:val="00D433F6"/>
    <w:rsid w:val="00D505CB"/>
    <w:rsid w:val="00D62340"/>
    <w:rsid w:val="00DC00DD"/>
    <w:rsid w:val="00DC4F8F"/>
    <w:rsid w:val="00DD4A52"/>
    <w:rsid w:val="00E12F9D"/>
    <w:rsid w:val="00E21B51"/>
    <w:rsid w:val="00E23A56"/>
    <w:rsid w:val="00E5157E"/>
    <w:rsid w:val="00E65CB0"/>
    <w:rsid w:val="00E80146"/>
    <w:rsid w:val="00E904D0"/>
    <w:rsid w:val="00EC25F9"/>
    <w:rsid w:val="00EC55AA"/>
    <w:rsid w:val="00ED583F"/>
    <w:rsid w:val="00EE5B60"/>
    <w:rsid w:val="00F15687"/>
    <w:rsid w:val="00F37C24"/>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22"/>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01D2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01D22"/>
    <w:pPr>
      <w:spacing w:before="360"/>
      <w:outlineLvl w:val="1"/>
    </w:pPr>
  </w:style>
  <w:style w:type="paragraph" w:styleId="Heading3">
    <w:name w:val="heading 3"/>
    <w:basedOn w:val="Heading2"/>
    <w:next w:val="RKnormal"/>
    <w:link w:val="Heading3Char"/>
    <w:uiPriority w:val="99"/>
    <w:qFormat/>
    <w:rsid w:val="00B01D22"/>
    <w:pPr>
      <w:spacing w:after="120" w:line="240" w:lineRule="atLeast"/>
      <w:outlineLvl w:val="2"/>
    </w:pPr>
    <w:rPr>
      <w:b w:val="0"/>
    </w:rPr>
  </w:style>
  <w:style w:type="paragraph" w:styleId="Heading4">
    <w:name w:val="heading 4"/>
    <w:basedOn w:val="Heading3"/>
    <w:next w:val="RKnormal"/>
    <w:link w:val="Heading4Char"/>
    <w:uiPriority w:val="99"/>
    <w:qFormat/>
    <w:rsid w:val="00B01D2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1C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411C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411C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411CE"/>
    <w:rPr>
      <w:rFonts w:asciiTheme="minorHAnsi" w:eastAsiaTheme="minorEastAsia" w:hAnsiTheme="minorHAnsi" w:cstheme="minorBidi"/>
      <w:b/>
      <w:bCs/>
      <w:sz w:val="28"/>
      <w:szCs w:val="28"/>
      <w:lang w:eastAsia="en-US"/>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 w:type="paragraph" w:customStyle="1" w:styleId="Avsndare">
    <w:name w:val="Avsändare"/>
    <w:basedOn w:val="Normal"/>
    <w:uiPriority w:val="99"/>
    <w:rsid w:val="00B01D2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01D2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locked/>
    <w:rsid w:val="00615314"/>
    <w:rPr>
      <w:rFonts w:ascii="TradeGothic" w:hAnsi="TradeGothic" w:cs="Times New Roman"/>
      <w:sz w:val="12"/>
      <w:lang w:eastAsia="en-US"/>
    </w:rPr>
  </w:style>
  <w:style w:type="paragraph" w:styleId="Header">
    <w:name w:val="header"/>
    <w:basedOn w:val="Normal"/>
    <w:link w:val="HeaderChar"/>
    <w:uiPriority w:val="99"/>
    <w:rsid w:val="00B01D22"/>
    <w:pPr>
      <w:tabs>
        <w:tab w:val="center" w:pos="4153"/>
        <w:tab w:val="right" w:pos="8306"/>
      </w:tabs>
    </w:pPr>
  </w:style>
  <w:style w:type="character" w:customStyle="1" w:styleId="HeaderChar">
    <w:name w:val="Header Char"/>
    <w:basedOn w:val="DefaultParagraphFont"/>
    <w:link w:val="Header"/>
    <w:uiPriority w:val="99"/>
    <w:semiHidden/>
    <w:rsid w:val="006411CE"/>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01D2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01D22"/>
    <w:rPr>
      <w:rFonts w:cs="Times New Roman"/>
    </w:rPr>
  </w:style>
  <w:style w:type="paragraph" w:styleId="FootnoteText">
    <w:name w:val="footnote text"/>
    <w:basedOn w:val="Normal"/>
    <w:link w:val="FootnoteTextChar"/>
    <w:uiPriority w:val="99"/>
    <w:rsid w:val="00615314"/>
    <w:pPr>
      <w:spacing w:line="240" w:lineRule="auto"/>
    </w:pPr>
    <w:rPr>
      <w:sz w:val="20"/>
    </w:rPr>
  </w:style>
  <w:style w:type="character" w:customStyle="1" w:styleId="FootnoteTextChar">
    <w:name w:val="Footnote Text Char"/>
    <w:basedOn w:val="DefaultParagraphFont"/>
    <w:link w:val="FootnoteText"/>
    <w:uiPriority w:val="99"/>
    <w:locked/>
    <w:rsid w:val="00615314"/>
    <w:rPr>
      <w:rFonts w:ascii="OrigGarmnd BT" w:hAnsi="OrigGarmnd BT" w:cs="Times New Roman"/>
      <w:lang w:eastAsia="en-US"/>
    </w:rPr>
  </w:style>
  <w:style w:type="character" w:styleId="FootnoteReference">
    <w:name w:val="footnote reference"/>
    <w:basedOn w:val="DefaultParagraphFont"/>
    <w:uiPriority w:val="99"/>
    <w:rsid w:val="00615314"/>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14848439">
      <w:marLeft w:val="0"/>
      <w:marRight w:val="0"/>
      <w:marTop w:val="0"/>
      <w:marBottom w:val="0"/>
      <w:divBdr>
        <w:top w:val="none" w:sz="0" w:space="0" w:color="auto"/>
        <w:left w:val="none" w:sz="0" w:space="0" w:color="auto"/>
        <w:bottom w:val="none" w:sz="0" w:space="0" w:color="auto"/>
        <w:right w:val="none" w:sz="0" w:space="0" w:color="auto"/>
      </w:divBdr>
    </w:div>
    <w:div w:id="1214848440">
      <w:marLeft w:val="0"/>
      <w:marRight w:val="0"/>
      <w:marTop w:val="0"/>
      <w:marBottom w:val="0"/>
      <w:divBdr>
        <w:top w:val="none" w:sz="0" w:space="0" w:color="auto"/>
        <w:left w:val="none" w:sz="0" w:space="0" w:color="auto"/>
        <w:bottom w:val="none" w:sz="0" w:space="0" w:color="auto"/>
        <w:right w:val="none" w:sz="0" w:space="0" w:color="auto"/>
      </w:divBdr>
    </w:div>
    <w:div w:id="1214848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658</Words>
  <Characters>4152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
  <dc:creator>Per-Erik Yngwe</dc:creator>
  <cp:keywords/>
  <dc:description/>
  <cp:lastModifiedBy>kn0320aa</cp:lastModifiedBy>
  <cp:revision>2</cp:revision>
  <cp:lastPrinted>2013-09-16T11:20:00Z</cp:lastPrinted>
  <dcterms:created xsi:type="dcterms:W3CDTF">2013-09-16T11:21:00Z</dcterms:created>
  <dcterms:modified xsi:type="dcterms:W3CDTF">2013-09-16T11:21:00Z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_dlc_DocIdItemGuid">
    <vt:lpwstr>96f1f0df-2538-4ece-b3db-685b0f79b9aa</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
  </property>
  <property fmtid="{D5CDD505-2E9C-101B-9397-08002B2CF9AE}" pid="15" name="_dlc_DocId">
    <vt:lpwstr>4UDMMWSFUJUV-4-750</vt:lpwstr>
  </property>
  <property fmtid="{D5CDD505-2E9C-101B-9397-08002B2CF9AE}" pid="16" name="_dlc_DocIdUrl">
    <vt:lpwstr>http://rkdhs-gem/yta/KKR-N/_layouts/DocIdRedir.aspx?ID=4UDMMWSFUJUV-4-750, 4UDMMWSFUJUV-4-750</vt:lpwstr>
  </property>
</Properties>
</file>