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E7C2F" w:rsidTr="001D63FD">
        <w:tblPrEx>
          <w:tblCellMar>
            <w:top w:w="0" w:type="dxa"/>
            <w:bottom w:w="0" w:type="dxa"/>
          </w:tblCellMar>
        </w:tblPrEx>
        <w:tc>
          <w:tcPr>
            <w:tcW w:w="2268" w:type="dxa"/>
          </w:tcPr>
          <w:p w:rsidR="006E4E11" w:rsidRPr="00FE7C2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E7C2F" w:rsidRDefault="006E4E11" w:rsidP="007242A3">
            <w:pPr>
              <w:framePr w:w="5035" w:h="1644" w:wrap="notBeside" w:vAnchor="page" w:hAnchor="page" w:x="6573" w:y="721"/>
              <w:rPr>
                <w:rFonts w:ascii="TradeGothic" w:hAnsi="TradeGothic"/>
                <w:i/>
                <w:sz w:val="18"/>
              </w:rPr>
            </w:pPr>
          </w:p>
        </w:tc>
      </w:tr>
      <w:tr w:rsidR="001D63FD" w:rsidRPr="00FE7C2F" w:rsidTr="001D63FD">
        <w:tblPrEx>
          <w:tblCellMar>
            <w:top w:w="0" w:type="dxa"/>
            <w:bottom w:w="0" w:type="dxa"/>
          </w:tblCellMar>
        </w:tblPrEx>
        <w:tc>
          <w:tcPr>
            <w:tcW w:w="5267" w:type="dxa"/>
            <w:gridSpan w:val="3"/>
          </w:tcPr>
          <w:p w:rsidR="001D63FD" w:rsidRPr="00FE7C2F" w:rsidRDefault="001D63FD" w:rsidP="007242A3">
            <w:pPr>
              <w:framePr w:w="5035" w:h="1644" w:wrap="notBeside" w:vAnchor="page" w:hAnchor="page" w:x="6573" w:y="721"/>
              <w:rPr>
                <w:rFonts w:ascii="TradeGothic" w:hAnsi="TradeGothic"/>
                <w:b/>
                <w:sz w:val="22"/>
              </w:rPr>
            </w:pPr>
            <w:r w:rsidRPr="00FE7C2F">
              <w:rPr>
                <w:rFonts w:ascii="TradeGothic" w:hAnsi="TradeGothic"/>
                <w:b/>
                <w:sz w:val="22"/>
              </w:rPr>
              <w:t>Rådspromemoria</w:t>
            </w:r>
          </w:p>
        </w:tc>
      </w:tr>
      <w:tr w:rsidR="006E4E11" w:rsidRPr="00FE7C2F" w:rsidTr="001D63FD">
        <w:tblPrEx>
          <w:tblCellMar>
            <w:top w:w="0" w:type="dxa"/>
            <w:bottom w:w="0" w:type="dxa"/>
          </w:tblCellMar>
        </w:tblPrEx>
        <w:tc>
          <w:tcPr>
            <w:tcW w:w="3402" w:type="dxa"/>
            <w:gridSpan w:val="2"/>
          </w:tcPr>
          <w:p w:rsidR="006E4E11" w:rsidRPr="00FE7C2F" w:rsidRDefault="006E4E11" w:rsidP="007242A3">
            <w:pPr>
              <w:framePr w:w="5035" w:h="1644" w:wrap="notBeside" w:vAnchor="page" w:hAnchor="page" w:x="6573" w:y="721"/>
            </w:pPr>
          </w:p>
        </w:tc>
        <w:tc>
          <w:tcPr>
            <w:tcW w:w="1865" w:type="dxa"/>
          </w:tcPr>
          <w:p w:rsidR="006E4E11" w:rsidRPr="00FE7C2F" w:rsidRDefault="006E4E11" w:rsidP="007242A3">
            <w:pPr>
              <w:framePr w:w="5035" w:h="1644" w:wrap="notBeside" w:vAnchor="page" w:hAnchor="page" w:x="6573" w:y="721"/>
            </w:pPr>
          </w:p>
        </w:tc>
      </w:tr>
      <w:tr w:rsidR="006E4E11" w:rsidRPr="00FE7C2F" w:rsidTr="001D63FD">
        <w:tblPrEx>
          <w:tblCellMar>
            <w:top w:w="0" w:type="dxa"/>
            <w:bottom w:w="0" w:type="dxa"/>
          </w:tblCellMar>
        </w:tblPrEx>
        <w:tc>
          <w:tcPr>
            <w:tcW w:w="2268" w:type="dxa"/>
          </w:tcPr>
          <w:p w:rsidR="006E4E11" w:rsidRPr="00FE7C2F" w:rsidRDefault="00C34CBD" w:rsidP="007242A3">
            <w:pPr>
              <w:framePr w:w="5035" w:h="1644" w:wrap="notBeside" w:vAnchor="page" w:hAnchor="page" w:x="6573" w:y="721"/>
            </w:pPr>
            <w:r w:rsidRPr="00FE7C2F">
              <w:t>20</w:t>
            </w:r>
            <w:r w:rsidR="002861D4" w:rsidRPr="00FE7C2F">
              <w:t>10</w:t>
            </w:r>
            <w:r w:rsidR="00A81E3E" w:rsidRPr="00FE7C2F">
              <w:t>-</w:t>
            </w:r>
            <w:r w:rsidR="002861D4" w:rsidRPr="00FE7C2F">
              <w:t>02</w:t>
            </w:r>
            <w:r w:rsidR="001D63FD" w:rsidRPr="00FE7C2F">
              <w:t>-</w:t>
            </w:r>
            <w:r w:rsidR="002861D4" w:rsidRPr="00FE7C2F">
              <w:t>1</w:t>
            </w:r>
            <w:r w:rsidR="005E11B6" w:rsidRPr="00FE7C2F">
              <w:t>5</w:t>
            </w:r>
          </w:p>
        </w:tc>
        <w:tc>
          <w:tcPr>
            <w:tcW w:w="2999" w:type="dxa"/>
            <w:gridSpan w:val="2"/>
          </w:tcPr>
          <w:p w:rsidR="006E4E11" w:rsidRPr="00FE7C2F" w:rsidRDefault="006E4E11" w:rsidP="007242A3">
            <w:pPr>
              <w:framePr w:w="5035" w:h="1644" w:wrap="notBeside" w:vAnchor="page" w:hAnchor="page" w:x="6573" w:y="721"/>
            </w:pPr>
          </w:p>
        </w:tc>
      </w:tr>
      <w:tr w:rsidR="006E4E11" w:rsidRPr="00FE7C2F" w:rsidTr="001D63FD">
        <w:tblPrEx>
          <w:tblCellMar>
            <w:top w:w="0" w:type="dxa"/>
            <w:bottom w:w="0" w:type="dxa"/>
          </w:tblCellMar>
        </w:tblPrEx>
        <w:tc>
          <w:tcPr>
            <w:tcW w:w="2268" w:type="dxa"/>
          </w:tcPr>
          <w:p w:rsidR="006E4E11" w:rsidRPr="00FE7C2F" w:rsidRDefault="006E4E11" w:rsidP="007242A3">
            <w:pPr>
              <w:framePr w:w="5035" w:h="1644" w:wrap="notBeside" w:vAnchor="page" w:hAnchor="page" w:x="6573" w:y="721"/>
            </w:pPr>
          </w:p>
        </w:tc>
        <w:tc>
          <w:tcPr>
            <w:tcW w:w="2999" w:type="dxa"/>
            <w:gridSpan w:val="2"/>
          </w:tcPr>
          <w:p w:rsidR="006E4E11" w:rsidRPr="00FE7C2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E7C2F">
        <w:tblPrEx>
          <w:tblCellMar>
            <w:top w:w="0" w:type="dxa"/>
            <w:bottom w:w="0" w:type="dxa"/>
          </w:tblCellMar>
        </w:tblPrEx>
        <w:trPr>
          <w:trHeight w:val="284"/>
        </w:trPr>
        <w:tc>
          <w:tcPr>
            <w:tcW w:w="4911" w:type="dxa"/>
          </w:tcPr>
          <w:p w:rsidR="006E4E11" w:rsidRPr="00FE7C2F" w:rsidRDefault="001D63FD">
            <w:pPr>
              <w:pStyle w:val="Avsndare"/>
              <w:framePr w:h="2483" w:wrap="notBeside" w:x="1504"/>
              <w:rPr>
                <w:b/>
                <w:i w:val="0"/>
                <w:sz w:val="22"/>
              </w:rPr>
            </w:pPr>
            <w:r w:rsidRPr="00FE7C2F">
              <w:rPr>
                <w:b/>
                <w:i w:val="0"/>
                <w:sz w:val="22"/>
              </w:rPr>
              <w:t>Justitiedepartementet</w:t>
            </w:r>
          </w:p>
        </w:tc>
      </w:tr>
      <w:tr w:rsidR="006E4E11" w:rsidRPr="00FE7C2F">
        <w:tblPrEx>
          <w:tblCellMar>
            <w:top w:w="0" w:type="dxa"/>
            <w:bottom w:w="0" w:type="dxa"/>
          </w:tblCellMar>
        </w:tblPrEx>
        <w:trPr>
          <w:trHeight w:val="284"/>
        </w:trPr>
        <w:tc>
          <w:tcPr>
            <w:tcW w:w="4911" w:type="dxa"/>
          </w:tcPr>
          <w:p w:rsidR="006E4E11" w:rsidRPr="00FE7C2F" w:rsidRDefault="006E4E11">
            <w:pPr>
              <w:pStyle w:val="Avsndare"/>
              <w:framePr w:h="2483" w:wrap="notBeside" w:x="1504"/>
              <w:rPr>
                <w:bCs/>
                <w:iCs/>
              </w:rPr>
            </w:pPr>
          </w:p>
        </w:tc>
      </w:tr>
      <w:tr w:rsidR="006E4E11" w:rsidRPr="00FE7C2F">
        <w:tblPrEx>
          <w:tblCellMar>
            <w:top w:w="0" w:type="dxa"/>
            <w:bottom w:w="0" w:type="dxa"/>
          </w:tblCellMar>
        </w:tblPrEx>
        <w:trPr>
          <w:trHeight w:val="284"/>
        </w:trPr>
        <w:tc>
          <w:tcPr>
            <w:tcW w:w="4911" w:type="dxa"/>
          </w:tcPr>
          <w:p w:rsidR="006E4E11" w:rsidRPr="00FE7C2F" w:rsidRDefault="006E4E11" w:rsidP="005E11B6">
            <w:pPr>
              <w:pStyle w:val="Avsndare"/>
              <w:framePr w:h="2483" w:wrap="notBeside" w:x="1504"/>
              <w:rPr>
                <w:bCs/>
                <w:iCs/>
              </w:rPr>
            </w:pPr>
          </w:p>
        </w:tc>
      </w:tr>
      <w:tr w:rsidR="006E4E11" w:rsidRPr="00FE7C2F">
        <w:tblPrEx>
          <w:tblCellMar>
            <w:top w:w="0" w:type="dxa"/>
            <w:bottom w:w="0" w:type="dxa"/>
          </w:tblCellMar>
        </w:tblPrEx>
        <w:trPr>
          <w:trHeight w:val="284"/>
        </w:trPr>
        <w:tc>
          <w:tcPr>
            <w:tcW w:w="4911" w:type="dxa"/>
          </w:tcPr>
          <w:p w:rsidR="006E4E11" w:rsidRPr="00FE7C2F" w:rsidRDefault="006E4E11">
            <w:pPr>
              <w:pStyle w:val="Avsndare"/>
              <w:framePr w:h="2483" w:wrap="notBeside" w:x="1504"/>
              <w:rPr>
                <w:bCs/>
                <w:iCs/>
              </w:rPr>
            </w:pPr>
          </w:p>
        </w:tc>
      </w:tr>
    </w:tbl>
    <w:p w:rsidR="006E4E11" w:rsidRPr="00FE7C2F" w:rsidRDefault="006E4E11">
      <w:pPr>
        <w:framePr w:w="4400" w:h="2523" w:wrap="notBeside" w:vAnchor="page" w:hAnchor="page" w:x="6453" w:y="2445"/>
        <w:ind w:left="142"/>
        <w:rPr>
          <w:b/>
        </w:rPr>
      </w:pPr>
    </w:p>
    <w:p w:rsidR="001D63FD" w:rsidRPr="00FE7C2F" w:rsidRDefault="00A81E3E" w:rsidP="005E11B6">
      <w:pPr>
        <w:pStyle w:val="RKrubrik"/>
        <w:pBdr>
          <w:bottom w:val="single" w:sz="6" w:space="1" w:color="auto"/>
        </w:pBdr>
      </w:pPr>
      <w:bookmarkStart w:id="0" w:name="bRubrik"/>
      <w:bookmarkEnd w:id="0"/>
      <w:r w:rsidRPr="00FE7C2F">
        <w:t xml:space="preserve">Rådets möte </w:t>
      </w:r>
      <w:r w:rsidR="005E11B6" w:rsidRPr="00FE7C2F">
        <w:t xml:space="preserve">(rättsliga och inrikes frågor) </w:t>
      </w:r>
      <w:r w:rsidR="00EB5ADA" w:rsidRPr="00FE7C2F">
        <w:t xml:space="preserve">den </w:t>
      </w:r>
      <w:r w:rsidR="005E11B6" w:rsidRPr="00FE7C2F">
        <w:t>25-26</w:t>
      </w:r>
      <w:r w:rsidR="00454D9B" w:rsidRPr="00FE7C2F">
        <w:t xml:space="preserve"> </w:t>
      </w:r>
      <w:r w:rsidR="002861D4" w:rsidRPr="00FE7C2F">
        <w:t>februari</w:t>
      </w:r>
      <w:r w:rsidR="00454D9B" w:rsidRPr="00FE7C2F">
        <w:t xml:space="preserve"> </w:t>
      </w:r>
      <w:r w:rsidRPr="00FE7C2F">
        <w:t>20</w:t>
      </w:r>
      <w:r w:rsidR="002861D4" w:rsidRPr="00FE7C2F">
        <w:t>10</w:t>
      </w:r>
      <w:r w:rsidRPr="00FE7C2F">
        <w:t xml:space="preserve"> </w:t>
      </w:r>
      <w:r w:rsidR="005E11B6" w:rsidRPr="00FE7C2F">
        <w:t>i Bryssel</w:t>
      </w:r>
    </w:p>
    <w:p w:rsidR="001D63FD" w:rsidRPr="00FE7C2F" w:rsidRDefault="001D63FD">
      <w:pPr>
        <w:pStyle w:val="RKnormal"/>
      </w:pPr>
    </w:p>
    <w:p w:rsidR="001D63FD" w:rsidRPr="00FE7C2F" w:rsidRDefault="00A81E3E">
      <w:pPr>
        <w:pStyle w:val="RKnormal"/>
      </w:pPr>
      <w:r w:rsidRPr="00FE7C2F">
        <w:t>Dagordningspunkt: Gemensamma kommittén</w:t>
      </w:r>
      <w:r w:rsidR="00C34CBD" w:rsidRPr="00FE7C2F">
        <w:t xml:space="preserve"> </w:t>
      </w:r>
      <w:r w:rsidR="004110C9" w:rsidRPr="00FE7C2F">
        <w:t>p</w:t>
      </w:r>
      <w:r w:rsidR="005E11B6" w:rsidRPr="00FE7C2F">
        <w:t>unkt 2</w:t>
      </w:r>
      <w:r w:rsidR="001B3EEB" w:rsidRPr="00FE7C2F">
        <w:t xml:space="preserve"> </w:t>
      </w:r>
    </w:p>
    <w:p w:rsidR="001D63FD" w:rsidRPr="00FE7C2F" w:rsidRDefault="001D63FD">
      <w:pPr>
        <w:pStyle w:val="RKnormal"/>
      </w:pPr>
    </w:p>
    <w:p w:rsidR="001D63FD" w:rsidRPr="00FE7C2F" w:rsidRDefault="001D63FD" w:rsidP="00912944">
      <w:pPr>
        <w:pStyle w:val="RKnormal"/>
      </w:pPr>
      <w:r w:rsidRPr="00FE7C2F">
        <w:t>Rubrik:</w:t>
      </w:r>
      <w:r w:rsidR="00A81E3E" w:rsidRPr="00FE7C2F">
        <w:t xml:space="preserve">  S</w:t>
      </w:r>
      <w:r w:rsidR="00F474F4" w:rsidRPr="00FE7C2F">
        <w:t xml:space="preserve">IS II </w:t>
      </w:r>
      <w:r w:rsidR="00C34CBD" w:rsidRPr="00FE7C2F">
        <w:t>-</w:t>
      </w:r>
      <w:r w:rsidR="00F474F4" w:rsidRPr="00FE7C2F">
        <w:t xml:space="preserve"> läges</w:t>
      </w:r>
      <w:r w:rsidR="00545936" w:rsidRPr="00FE7C2F">
        <w:t xml:space="preserve">rapport från </w:t>
      </w:r>
      <w:r w:rsidR="00454D9B" w:rsidRPr="00FE7C2F">
        <w:t xml:space="preserve">kommissionen och </w:t>
      </w:r>
      <w:r w:rsidR="00545936" w:rsidRPr="00FE7C2F">
        <w:t>ordförandeskapet</w:t>
      </w:r>
      <w:r w:rsidR="00F474F4" w:rsidRPr="00FE7C2F">
        <w:t xml:space="preserve"> </w:t>
      </w:r>
    </w:p>
    <w:p w:rsidR="00C34CBD" w:rsidRPr="00FE7C2F" w:rsidRDefault="00C34CBD">
      <w:pPr>
        <w:pStyle w:val="RKnormal"/>
      </w:pPr>
    </w:p>
    <w:p w:rsidR="001D63FD" w:rsidRPr="00FE7C2F" w:rsidRDefault="001D63FD">
      <w:pPr>
        <w:pStyle w:val="RKnormal"/>
      </w:pPr>
      <w:r w:rsidRPr="00FE7C2F">
        <w:t>Dokument:</w:t>
      </w:r>
      <w:r w:rsidR="00A81E3E" w:rsidRPr="00FE7C2F">
        <w:t xml:space="preserve"> </w:t>
      </w:r>
      <w:r w:rsidR="005E11B6" w:rsidRPr="00FE7C2F">
        <w:t>-</w:t>
      </w:r>
    </w:p>
    <w:p w:rsidR="00951576" w:rsidRPr="00FE7C2F" w:rsidRDefault="00951576" w:rsidP="00951576">
      <w:pPr>
        <w:pStyle w:val="RKnormal"/>
      </w:pPr>
    </w:p>
    <w:p w:rsidR="001D63FD" w:rsidRPr="00FE7C2F" w:rsidRDefault="00951576">
      <w:pPr>
        <w:pStyle w:val="RKnormal"/>
      </w:pPr>
      <w:r w:rsidRPr="00FE7C2F">
        <w:t>Tidigare behandlad vid samråd med EU-nämnden: SIS II behandlades senast inför RIF</w:t>
      </w:r>
      <w:r w:rsidR="005E11B6" w:rsidRPr="00FE7C2F">
        <w:t>-rådet</w:t>
      </w:r>
      <w:r w:rsidRPr="00FE7C2F">
        <w:t xml:space="preserve"> den </w:t>
      </w:r>
      <w:r w:rsidR="002861D4" w:rsidRPr="00FE7C2F">
        <w:t>30 november – 1 december 2009</w:t>
      </w:r>
      <w:r w:rsidRPr="00FE7C2F">
        <w:t xml:space="preserve">. </w:t>
      </w:r>
    </w:p>
    <w:p w:rsidR="001D63FD" w:rsidRPr="00FE7C2F" w:rsidRDefault="001D63FD">
      <w:pPr>
        <w:pStyle w:val="RKrubrik"/>
      </w:pPr>
      <w:r w:rsidRPr="00FE7C2F">
        <w:t>Bakgrund (inkl. syftet med behandlingen i rådet)</w:t>
      </w:r>
    </w:p>
    <w:p w:rsidR="006A3DDF" w:rsidRPr="00FE7C2F" w:rsidRDefault="00951576" w:rsidP="006A3DDF">
      <w:pPr>
        <w:tabs>
          <w:tab w:val="left" w:pos="3584"/>
        </w:tabs>
      </w:pPr>
      <w:r w:rsidRPr="00FE7C2F">
        <w:t>Schengens informationssystem (SIS) är det gemensamma efterlysnings- och spaningsregister som används av länderna som deltar i Schengensamarbetet</w:t>
      </w:r>
      <w:r w:rsidR="004110C9" w:rsidRPr="00FE7C2F">
        <w:t xml:space="preserve">. Sverige anslöts till systemet 2001. </w:t>
      </w:r>
      <w:r w:rsidRPr="00FE7C2F">
        <w:t xml:space="preserve">Utvecklingen av nästa generation av </w:t>
      </w:r>
      <w:r w:rsidR="006A3DDF" w:rsidRPr="00FE7C2F">
        <w:t xml:space="preserve">systemet </w:t>
      </w:r>
      <w:r w:rsidRPr="00FE7C2F">
        <w:t>(SIS II) pågår under kommissionens ledning</w:t>
      </w:r>
      <w:r w:rsidR="004110C9" w:rsidRPr="00FE7C2F">
        <w:t xml:space="preserve"> sedan ett </w:t>
      </w:r>
      <w:r w:rsidR="00C066A1" w:rsidRPr="00FE7C2F">
        <w:t>flertal</w:t>
      </w:r>
      <w:r w:rsidR="00B45753" w:rsidRPr="00FE7C2F">
        <w:t xml:space="preserve"> </w:t>
      </w:r>
      <w:r w:rsidR="004110C9" w:rsidRPr="00FE7C2F">
        <w:t>år</w:t>
      </w:r>
      <w:r w:rsidRPr="00FE7C2F">
        <w:t xml:space="preserve">. Utvecklingen av systemet har kantats av ett flertal förseningar. </w:t>
      </w:r>
      <w:r w:rsidR="005E11B6" w:rsidRPr="00FE7C2F">
        <w:t xml:space="preserve">De senaste, </w:t>
      </w:r>
      <w:r w:rsidR="004110C9" w:rsidRPr="00FE7C2F">
        <w:t xml:space="preserve">uppdagade under </w:t>
      </w:r>
      <w:r w:rsidR="006A3DDF" w:rsidRPr="00FE7C2F">
        <w:t xml:space="preserve">hösten </w:t>
      </w:r>
      <w:r w:rsidR="005E11B6" w:rsidRPr="00FE7C2F">
        <w:t>20</w:t>
      </w:r>
      <w:bookmarkStart w:id="1" w:name="Text9"/>
      <w:r w:rsidR="005E11B6" w:rsidRPr="00FE7C2F">
        <w:t>08,</w:t>
      </w:r>
      <w:r w:rsidR="004110C9" w:rsidRPr="00FE7C2F">
        <w:t xml:space="preserve"> är av teknisk natur och ledde till att </w:t>
      </w:r>
      <w:r w:rsidR="006A3DDF" w:rsidRPr="00FE7C2F">
        <w:t xml:space="preserve">den </w:t>
      </w:r>
      <w:r w:rsidR="004110C9" w:rsidRPr="00FE7C2F">
        <w:t xml:space="preserve">av kommissionen </w:t>
      </w:r>
      <w:r w:rsidR="006A3DDF" w:rsidRPr="00FE7C2F">
        <w:t xml:space="preserve">kontrakterade leverantören </w:t>
      </w:r>
      <w:r w:rsidR="00B206C0" w:rsidRPr="00FE7C2F">
        <w:t xml:space="preserve">inte </w:t>
      </w:r>
      <w:r w:rsidR="00A33EC5" w:rsidRPr="00FE7C2F">
        <w:t xml:space="preserve">kunde </w:t>
      </w:r>
      <w:r w:rsidR="00B206C0" w:rsidRPr="00FE7C2F">
        <w:t xml:space="preserve">passera ett </w:t>
      </w:r>
      <w:r w:rsidR="004110C9" w:rsidRPr="00FE7C2F">
        <w:t xml:space="preserve">tekniskt systemtest med </w:t>
      </w:r>
      <w:r w:rsidR="006A3DDF" w:rsidRPr="00FE7C2F">
        <w:t xml:space="preserve">godkänt resultat. </w:t>
      </w:r>
    </w:p>
    <w:p w:rsidR="004110C9" w:rsidRPr="00FE7C2F" w:rsidRDefault="004110C9" w:rsidP="006A3DDF">
      <w:pPr>
        <w:tabs>
          <w:tab w:val="left" w:pos="3584"/>
        </w:tabs>
      </w:pPr>
    </w:p>
    <w:p w:rsidR="004110C9" w:rsidRPr="00FE7C2F" w:rsidRDefault="004110C9" w:rsidP="00B206C0">
      <w:pPr>
        <w:pStyle w:val="RKnormal"/>
      </w:pPr>
      <w:r w:rsidRPr="00FE7C2F">
        <w:t xml:space="preserve">Under våren 2009 genomfördes en analys- och reparationsfas för att identifiera och föreslå lösningar avseende de tekniska bristerna i systemet. Parallellt togs en </w:t>
      </w:r>
      <w:r w:rsidR="00B206C0" w:rsidRPr="00FE7C2F">
        <w:t xml:space="preserve">modell för en alternativ </w:t>
      </w:r>
      <w:r w:rsidR="007F4004" w:rsidRPr="00FE7C2F">
        <w:t>teknisk lösning</w:t>
      </w:r>
      <w:r w:rsidRPr="00FE7C2F">
        <w:t xml:space="preserve"> fram att använda om den nuvarande tekniska lösningen visade sig alltför bristfällig. </w:t>
      </w:r>
    </w:p>
    <w:p w:rsidR="00D17E6E" w:rsidRPr="00FE7C2F" w:rsidRDefault="00D17E6E" w:rsidP="00D17E6E">
      <w:pPr>
        <w:pStyle w:val="RKnormal"/>
      </w:pPr>
    </w:p>
    <w:p w:rsidR="004110C9" w:rsidRPr="00FE7C2F" w:rsidRDefault="002861D4" w:rsidP="00D17E6E">
      <w:pPr>
        <w:pStyle w:val="RKnormal"/>
      </w:pPr>
      <w:r w:rsidRPr="00FE7C2F">
        <w:t xml:space="preserve">Det svenska ordförandeskapets målsättning var att genomföra de rådsslutsatser som antogs vid </w:t>
      </w:r>
      <w:r w:rsidR="004110C9" w:rsidRPr="00FE7C2F">
        <w:t>rådsmötet den 4-5 juni 2009</w:t>
      </w:r>
      <w:r w:rsidRPr="00FE7C2F">
        <w:t xml:space="preserve">. Dessa angav i </w:t>
      </w:r>
      <w:r w:rsidR="004110C9" w:rsidRPr="00FE7C2F">
        <w:t>huvuddrag:</w:t>
      </w:r>
    </w:p>
    <w:p w:rsidR="004110C9" w:rsidRPr="00FE7C2F" w:rsidRDefault="002861D4" w:rsidP="00535352">
      <w:pPr>
        <w:pStyle w:val="RKnormal"/>
        <w:numPr>
          <w:ilvl w:val="0"/>
          <w:numId w:val="2"/>
        </w:numPr>
      </w:pPr>
      <w:r w:rsidRPr="00FE7C2F">
        <w:lastRenderedPageBreak/>
        <w:t xml:space="preserve">Att genom ett utökat stöd från medlemsstaternas experter till kommissionen försöka förbättra styrningen av projektet, för att på så sätt göra utvecklingsarbetet mer framgångsrikt. </w:t>
      </w:r>
      <w:r w:rsidR="004110C9" w:rsidRPr="00FE7C2F">
        <w:t xml:space="preserve"> </w:t>
      </w:r>
    </w:p>
    <w:p w:rsidR="004110C9" w:rsidRPr="00FE7C2F" w:rsidRDefault="002861D4" w:rsidP="00535352">
      <w:pPr>
        <w:pStyle w:val="RKnormal"/>
        <w:numPr>
          <w:ilvl w:val="0"/>
          <w:numId w:val="2"/>
        </w:numPr>
      </w:pPr>
      <w:r w:rsidRPr="00FE7C2F">
        <w:t xml:space="preserve">Att vidta ytterligare förberedelser beträffande den alternativa tekniska lösning som ska används om det nuvarande tekniska lösningen måste överges. </w:t>
      </w:r>
      <w:r w:rsidR="004110C9" w:rsidRPr="00FE7C2F">
        <w:t xml:space="preserve"> </w:t>
      </w:r>
    </w:p>
    <w:p w:rsidR="004110C9" w:rsidRPr="00FE7C2F" w:rsidRDefault="002861D4" w:rsidP="00535352">
      <w:pPr>
        <w:pStyle w:val="RKnormal"/>
        <w:numPr>
          <w:ilvl w:val="0"/>
          <w:numId w:val="2"/>
        </w:numPr>
        <w:rPr>
          <w:b/>
        </w:rPr>
      </w:pPr>
      <w:r w:rsidRPr="00FE7C2F">
        <w:t xml:space="preserve">Att bidra till planeringen och genomförandet av en </w:t>
      </w:r>
      <w:r w:rsidR="004110C9" w:rsidRPr="00FE7C2F">
        <w:t xml:space="preserve"> särskilt milstolp</w:t>
      </w:r>
      <w:r w:rsidR="00535352" w:rsidRPr="00FE7C2F">
        <w:t>s</w:t>
      </w:r>
      <w:r w:rsidR="004110C9" w:rsidRPr="00FE7C2F">
        <w:t>test</w:t>
      </w:r>
      <w:r w:rsidRPr="00FE7C2F">
        <w:t xml:space="preserve">, </w:t>
      </w:r>
      <w:r w:rsidR="004110C9" w:rsidRPr="00FE7C2F">
        <w:t>för att bedöma om vissa vitala delar av det centrala systemet är tillräckligt stabila</w:t>
      </w:r>
      <w:r w:rsidRPr="00FE7C2F">
        <w:t xml:space="preserve"> och därmed kan läggas till grund för fortsatt arbete</w:t>
      </w:r>
      <w:r w:rsidR="004110C9" w:rsidRPr="00FE7C2F">
        <w:t xml:space="preserve">. </w:t>
      </w:r>
      <w:r w:rsidR="00535352" w:rsidRPr="00FE7C2F">
        <w:t>Om detta milstolpstest misslyckas ska en övergång till reservplanen sättas i verket.</w:t>
      </w:r>
      <w:r w:rsidR="00535352" w:rsidRPr="00FE7C2F">
        <w:rPr>
          <w:b/>
        </w:rPr>
        <w:t xml:space="preserve"> </w:t>
      </w:r>
    </w:p>
    <w:p w:rsidR="00535352" w:rsidRPr="00FE7C2F" w:rsidRDefault="00535352" w:rsidP="00D17E6E">
      <w:pPr>
        <w:pStyle w:val="RKnormal"/>
      </w:pPr>
    </w:p>
    <w:p w:rsidR="00D55C3F" w:rsidRPr="00FE7C2F" w:rsidRDefault="00535352" w:rsidP="00D17E6E">
      <w:pPr>
        <w:pStyle w:val="RKnormal"/>
      </w:pPr>
      <w:r w:rsidRPr="00FE7C2F">
        <w:t xml:space="preserve">Det svenska ordförandeskapet </w:t>
      </w:r>
      <w:r w:rsidR="002861D4" w:rsidRPr="00FE7C2F">
        <w:t xml:space="preserve">lyckades genomföra sitt åtagande och det så kallade milstolpstestet genomfördes i januari 2010. Analysresultatet </w:t>
      </w:r>
      <w:r w:rsidR="00D55C3F" w:rsidRPr="00FE7C2F">
        <w:t xml:space="preserve">indikerar på problem men det </w:t>
      </w:r>
      <w:r w:rsidR="007E566F" w:rsidRPr="00FE7C2F">
        <w:t>nuvarande</w:t>
      </w:r>
      <w:r w:rsidR="00D55C3F" w:rsidRPr="00FE7C2F">
        <w:t xml:space="preserve"> ordförandeskapet har meddelat att analysen av testresultatet inte kommer kunna färdigställas inför rådsmötet i februari. Rapporten till rådet om testresultatet, vilken är en av de faktorer som ska ligga till grund för rådets beslut om att avsluta arbetet och övergå till den alternativa lösningen, kan därför förväntas först till rådsmötet i april. </w:t>
      </w:r>
    </w:p>
    <w:p w:rsidR="00D55C3F" w:rsidRPr="00FE7C2F" w:rsidRDefault="00D55C3F" w:rsidP="00D17E6E">
      <w:pPr>
        <w:pStyle w:val="RKnormal"/>
      </w:pPr>
    </w:p>
    <w:p w:rsidR="00D55C3F" w:rsidRPr="00FE7C2F" w:rsidRDefault="00D55C3F" w:rsidP="00D17E6E">
      <w:pPr>
        <w:pStyle w:val="RKnormal"/>
      </w:pPr>
      <w:r w:rsidRPr="00FE7C2F">
        <w:t>Det innebär att man vid innevarande rådsmöte inte förväntar sig mer än översiktig information om att testet genomför</w:t>
      </w:r>
      <w:r w:rsidR="005E11B6" w:rsidRPr="00FE7C2F">
        <w:t>ts</w:t>
      </w:r>
      <w:r w:rsidRPr="00FE7C2F">
        <w:t xml:space="preserve"> och att man för närvarande arbetar med en analys av resultatet. En fråga som kan komma att beröras är även om, och i så fall när, milstolpstestet behöver göras om för att säkerställa att testresultatet är tillförlitligt. </w:t>
      </w:r>
    </w:p>
    <w:p w:rsidR="00D55C3F" w:rsidRPr="00FE7C2F" w:rsidRDefault="00D55C3F" w:rsidP="00D17E6E">
      <w:pPr>
        <w:pStyle w:val="RKnormal"/>
      </w:pPr>
    </w:p>
    <w:bookmarkEnd w:id="1"/>
    <w:p w:rsidR="00216D68" w:rsidRPr="00FE7C2F" w:rsidRDefault="00216D68" w:rsidP="00216D68">
      <w:pPr>
        <w:pStyle w:val="RKrubrik"/>
      </w:pPr>
      <w:r w:rsidRPr="00FE7C2F">
        <w:t>Rättslig grund och beslutsförfarande</w:t>
      </w:r>
    </w:p>
    <w:p w:rsidR="00216D68" w:rsidRPr="00FE7C2F" w:rsidRDefault="004C0130" w:rsidP="00216D68">
      <w:pPr>
        <w:pStyle w:val="RKnormal"/>
      </w:pPr>
      <w:r w:rsidRPr="00FE7C2F">
        <w:t xml:space="preserve">Inga beslut som fordrar rättslig grund förväntas. </w:t>
      </w:r>
      <w:r w:rsidR="00D17E6E" w:rsidRPr="00FE7C2F">
        <w:t xml:space="preserve"> </w:t>
      </w:r>
    </w:p>
    <w:p w:rsidR="001D63FD" w:rsidRPr="00FE7C2F" w:rsidRDefault="001D63FD">
      <w:pPr>
        <w:pStyle w:val="RKrubrik"/>
        <w:rPr>
          <w:i/>
          <w:iCs/>
        </w:rPr>
      </w:pPr>
      <w:r w:rsidRPr="00FE7C2F">
        <w:rPr>
          <w:i/>
          <w:iCs/>
        </w:rPr>
        <w:t>Svensk ståndpunkt</w:t>
      </w:r>
    </w:p>
    <w:p w:rsidR="00E03D9E" w:rsidRPr="00FE7C2F" w:rsidRDefault="007457CD" w:rsidP="00216D68">
      <w:pPr>
        <w:pStyle w:val="RKnormal"/>
      </w:pPr>
      <w:r w:rsidRPr="00FE7C2F">
        <w:t xml:space="preserve">Sveriges fortsatta ambition är att </w:t>
      </w:r>
      <w:r w:rsidR="003E5131" w:rsidRPr="00FE7C2F">
        <w:t xml:space="preserve">arbetet med att ta fram nästa generation av </w:t>
      </w:r>
      <w:r w:rsidRPr="00FE7C2F">
        <w:t>SIS</w:t>
      </w:r>
      <w:r w:rsidR="003E5131" w:rsidRPr="00FE7C2F">
        <w:t xml:space="preserve"> </w:t>
      </w:r>
      <w:r w:rsidRPr="00FE7C2F">
        <w:t xml:space="preserve">ska kunna avslutas på ett </w:t>
      </w:r>
      <w:r w:rsidR="0029280C" w:rsidRPr="00FE7C2F">
        <w:t xml:space="preserve">så </w:t>
      </w:r>
      <w:r w:rsidR="00545D15" w:rsidRPr="00FE7C2F">
        <w:t xml:space="preserve">smidigt sätt </w:t>
      </w:r>
      <w:r w:rsidR="0029280C" w:rsidRPr="00FE7C2F">
        <w:t xml:space="preserve">som </w:t>
      </w:r>
      <w:r w:rsidR="00545D15" w:rsidRPr="00FE7C2F">
        <w:t xml:space="preserve">möjligt med hänsyn till såväl juridiska, ekonomiska och tekniska faktorer. </w:t>
      </w:r>
      <w:r w:rsidR="00D55C3F" w:rsidRPr="00FE7C2F">
        <w:t xml:space="preserve">En övergång till reservlösningen ska ske först efter en bedömning grundad på objektiva tekniska skäl kunnat göras. </w:t>
      </w:r>
    </w:p>
    <w:p w:rsidR="00216D68" w:rsidRPr="00FE7C2F" w:rsidRDefault="00216D68" w:rsidP="00216D68">
      <w:pPr>
        <w:pStyle w:val="RKrubrik"/>
      </w:pPr>
      <w:r w:rsidRPr="00FE7C2F">
        <w:t>Europaparlamentets inställning</w:t>
      </w:r>
    </w:p>
    <w:p w:rsidR="00216D68" w:rsidRPr="00FE7C2F" w:rsidRDefault="004C0130" w:rsidP="00216D68">
      <w:pPr>
        <w:pStyle w:val="RKnormal"/>
      </w:pPr>
      <w:r w:rsidRPr="00FE7C2F">
        <w:t>A</w:t>
      </w:r>
      <w:r w:rsidR="008A1C02" w:rsidRPr="00FE7C2F">
        <w:t xml:space="preserve">tt besluta om </w:t>
      </w:r>
      <w:r w:rsidR="00D55C3F" w:rsidRPr="00FE7C2F">
        <w:t xml:space="preserve">den tekniska </w:t>
      </w:r>
      <w:r w:rsidR="008A1C02" w:rsidRPr="00FE7C2F">
        <w:t xml:space="preserve">utvecklingen av SIS II ligger utanför </w:t>
      </w:r>
      <w:r w:rsidR="005E11B6" w:rsidRPr="00FE7C2F">
        <w:t>Europaparlamentets</w:t>
      </w:r>
      <w:r w:rsidR="008A1C02" w:rsidRPr="00FE7C2F">
        <w:t xml:space="preserve"> ansvarsområde. </w:t>
      </w:r>
      <w:r w:rsidR="00677596" w:rsidRPr="00FE7C2F">
        <w:t xml:space="preserve">Emellertid har </w:t>
      </w:r>
      <w:r w:rsidR="005E11B6" w:rsidRPr="00FE7C2F">
        <w:t>Europaparlamentet</w:t>
      </w:r>
      <w:r w:rsidR="00677596" w:rsidRPr="00FE7C2F">
        <w:t xml:space="preserve"> antagit en resolution den 22 oktober</w:t>
      </w:r>
      <w:r w:rsidR="00D55C3F" w:rsidRPr="00FE7C2F">
        <w:t xml:space="preserve"> 2009</w:t>
      </w:r>
      <w:r w:rsidR="00677596" w:rsidRPr="00FE7C2F">
        <w:t xml:space="preserve"> i vilken man uttrycker oro öv</w:t>
      </w:r>
      <w:r w:rsidR="005E11B6" w:rsidRPr="00FE7C2F">
        <w:t>er situationen i SIS II och VIS-</w:t>
      </w:r>
      <w:r w:rsidR="00677596" w:rsidRPr="00FE7C2F">
        <w:t>projekten</w:t>
      </w:r>
      <w:r w:rsidR="00D55C3F" w:rsidRPr="00FE7C2F">
        <w:t xml:space="preserve"> och diskuterar behovet att genomföra en revision av projekten</w:t>
      </w:r>
      <w:r w:rsidR="00677596" w:rsidRPr="00FE7C2F">
        <w:t xml:space="preserve">. </w:t>
      </w:r>
    </w:p>
    <w:p w:rsidR="00216D68" w:rsidRPr="00FE7C2F" w:rsidRDefault="00216D68" w:rsidP="00216D68">
      <w:pPr>
        <w:pStyle w:val="RKrubrik"/>
        <w:rPr>
          <w:i/>
          <w:iCs/>
        </w:rPr>
      </w:pPr>
      <w:r w:rsidRPr="00FE7C2F">
        <w:rPr>
          <w:i/>
          <w:iCs/>
        </w:rPr>
        <w:t>Förslaget</w:t>
      </w:r>
    </w:p>
    <w:p w:rsidR="00216D68" w:rsidRPr="00FE7C2F" w:rsidRDefault="005A3E9C" w:rsidP="00216D68">
      <w:pPr>
        <w:pStyle w:val="RKnormal"/>
      </w:pPr>
      <w:r w:rsidRPr="00FE7C2F">
        <w:t>-</w:t>
      </w:r>
    </w:p>
    <w:p w:rsidR="00216D68" w:rsidRPr="00FE7C2F" w:rsidRDefault="00216D68" w:rsidP="00216D68">
      <w:pPr>
        <w:pStyle w:val="RKrubrik"/>
        <w:rPr>
          <w:i/>
          <w:iCs/>
        </w:rPr>
      </w:pPr>
      <w:r w:rsidRPr="00FE7C2F">
        <w:rPr>
          <w:i/>
          <w:iCs/>
        </w:rPr>
        <w:t>Gällande svenska regler och förslagets effekter på dessa</w:t>
      </w:r>
    </w:p>
    <w:p w:rsidR="00216D68" w:rsidRPr="00FE7C2F" w:rsidRDefault="00B704BC" w:rsidP="00216D68">
      <w:pPr>
        <w:pStyle w:val="RKnormal"/>
      </w:pPr>
      <w:r w:rsidRPr="00FE7C2F">
        <w:t xml:space="preserve">Förslaget innehåller inga delar som direkt kan tänkas påverka svenska regler. </w:t>
      </w:r>
    </w:p>
    <w:p w:rsidR="00216D68" w:rsidRPr="00FE7C2F" w:rsidRDefault="00216D68" w:rsidP="00216D68">
      <w:pPr>
        <w:pStyle w:val="RKrubrik"/>
      </w:pPr>
      <w:r w:rsidRPr="00FE7C2F">
        <w:t>Ekonomiska konsekvenser</w:t>
      </w:r>
    </w:p>
    <w:p w:rsidR="00216D68" w:rsidRPr="00FE7C2F" w:rsidRDefault="008A1C02" w:rsidP="00216D68">
      <w:pPr>
        <w:pStyle w:val="RKnormal"/>
      </w:pPr>
      <w:r w:rsidRPr="00FE7C2F">
        <w:t xml:space="preserve">Bägge </w:t>
      </w:r>
      <w:r w:rsidR="00677596" w:rsidRPr="00FE7C2F">
        <w:t xml:space="preserve">tekniska </w:t>
      </w:r>
      <w:r w:rsidRPr="00FE7C2F">
        <w:t xml:space="preserve">alternativen </w:t>
      </w:r>
      <w:r w:rsidR="00677596" w:rsidRPr="00FE7C2F">
        <w:t xml:space="preserve">för att genomföra SIS II </w:t>
      </w:r>
      <w:r w:rsidRPr="00FE7C2F">
        <w:t xml:space="preserve">innehåller kostnadskalkyler för att avsluta projektet. </w:t>
      </w:r>
      <w:r w:rsidR="00A10716" w:rsidRPr="00FE7C2F">
        <w:t>De uppskattade k</w:t>
      </w:r>
      <w:r w:rsidRPr="00FE7C2F">
        <w:t>ostnaderna för bägge alternativen är jämförbara</w:t>
      </w:r>
      <w:r w:rsidR="00BD5A16" w:rsidRPr="00FE7C2F">
        <w:t xml:space="preserve">. </w:t>
      </w:r>
    </w:p>
    <w:p w:rsidR="00216D68" w:rsidRPr="00FE7C2F" w:rsidRDefault="00216D68" w:rsidP="00216D68">
      <w:pPr>
        <w:pStyle w:val="RKrubrik"/>
      </w:pPr>
      <w:r w:rsidRPr="00FE7C2F">
        <w:t>Övrigt</w:t>
      </w:r>
    </w:p>
    <w:p w:rsidR="007457CD" w:rsidRPr="00FE7C2F" w:rsidRDefault="00B704BC">
      <w:pPr>
        <w:pStyle w:val="RKnormal"/>
      </w:pPr>
      <w:r w:rsidRPr="00FE7C2F">
        <w:t>---</w:t>
      </w:r>
    </w:p>
    <w:sectPr w:rsidR="007457CD" w:rsidRPr="00FE7C2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6BB8" w:rsidRPr="00FE7C2F" w:rsidRDefault="00B86BB8">
      <w:r w:rsidRPr="00FE7C2F">
        <w:separator/>
      </w:r>
    </w:p>
  </w:endnote>
  <w:endnote w:type="continuationSeparator" w:id="0">
    <w:p w:rsidR="00B86BB8" w:rsidRPr="00FE7C2F" w:rsidRDefault="00B86BB8">
      <w:r w:rsidRPr="00FE7C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6BB8" w:rsidRPr="00FE7C2F" w:rsidRDefault="00B86BB8">
      <w:r w:rsidRPr="00FE7C2F">
        <w:separator/>
      </w:r>
    </w:p>
  </w:footnote>
  <w:footnote w:type="continuationSeparator" w:id="0">
    <w:p w:rsidR="00B86BB8" w:rsidRPr="00FE7C2F" w:rsidRDefault="00B86BB8">
      <w:r w:rsidRPr="00FE7C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9A8" w:rsidRPr="00FE7C2F" w:rsidRDefault="00AB19A8">
    <w:pPr>
      <w:pStyle w:val="Sidhuvud"/>
      <w:framePr w:wrap="around" w:vAnchor="text" w:hAnchor="margin" w:xAlign="right" w:y="1"/>
      <w:rPr>
        <w:rStyle w:val="Sidnummer"/>
      </w:rPr>
    </w:pPr>
    <w:r w:rsidRPr="00FE7C2F">
      <w:rPr>
        <w:rStyle w:val="Sidnummer"/>
      </w:rPr>
      <w:fldChar w:fldCharType="begin" w:fldLock="1"/>
    </w:r>
    <w:r w:rsidRPr="00FE7C2F">
      <w:rPr>
        <w:rStyle w:val="Sidnummer"/>
      </w:rPr>
      <w:instrText xml:space="preserve">PAGE  </w:instrText>
    </w:r>
    <w:r w:rsidRPr="00FE7C2F">
      <w:rPr>
        <w:rStyle w:val="Sidnummer"/>
      </w:rPr>
      <w:fldChar w:fldCharType="separate"/>
    </w:r>
    <w:r w:rsidR="005E11B6" w:rsidRPr="00FE7C2F">
      <w:rPr>
        <w:rStyle w:val="Sidnummer"/>
      </w:rPr>
      <w:t>2</w:t>
    </w:r>
    <w:r w:rsidRPr="00FE7C2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B19A8" w:rsidRPr="00FE7C2F">
      <w:tblPrEx>
        <w:tblCellMar>
          <w:top w:w="0" w:type="dxa"/>
          <w:bottom w:w="0" w:type="dxa"/>
        </w:tblCellMar>
      </w:tblPrEx>
      <w:trPr>
        <w:cantSplit/>
      </w:trPr>
      <w:tc>
        <w:tcPr>
          <w:tcW w:w="3119" w:type="dxa"/>
        </w:tcPr>
        <w:p w:rsidR="00AB19A8" w:rsidRPr="00FE7C2F" w:rsidRDefault="00AB19A8">
          <w:pPr>
            <w:pStyle w:val="Sidhuvud"/>
            <w:spacing w:line="200" w:lineRule="atLeast"/>
            <w:ind w:right="357"/>
            <w:rPr>
              <w:rFonts w:ascii="TradeGothic" w:hAnsi="TradeGothic"/>
              <w:b/>
              <w:bCs/>
              <w:sz w:val="16"/>
            </w:rPr>
          </w:pPr>
        </w:p>
      </w:tc>
      <w:tc>
        <w:tcPr>
          <w:tcW w:w="4111" w:type="dxa"/>
          <w:tcMar>
            <w:left w:w="567" w:type="dxa"/>
          </w:tcMar>
        </w:tcPr>
        <w:p w:rsidR="00AB19A8" w:rsidRPr="00FE7C2F" w:rsidRDefault="00AB19A8">
          <w:pPr>
            <w:pStyle w:val="Sidhuvud"/>
            <w:ind w:right="360"/>
          </w:pPr>
        </w:p>
      </w:tc>
      <w:tc>
        <w:tcPr>
          <w:tcW w:w="1525" w:type="dxa"/>
        </w:tcPr>
        <w:p w:rsidR="00AB19A8" w:rsidRPr="00FE7C2F" w:rsidRDefault="00AB19A8">
          <w:pPr>
            <w:pStyle w:val="Sidhuvud"/>
            <w:ind w:right="360"/>
          </w:pPr>
        </w:p>
      </w:tc>
    </w:tr>
  </w:tbl>
  <w:p w:rsidR="00AB19A8" w:rsidRPr="00FE7C2F" w:rsidRDefault="00AB19A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9A8" w:rsidRPr="00FE7C2F" w:rsidRDefault="00AB19A8">
    <w:pPr>
      <w:pStyle w:val="Sidhuvud"/>
      <w:framePr w:wrap="around" w:vAnchor="text" w:hAnchor="margin" w:xAlign="right" w:y="1"/>
      <w:rPr>
        <w:rStyle w:val="Sidnummer"/>
      </w:rPr>
    </w:pPr>
    <w:r w:rsidRPr="00FE7C2F">
      <w:rPr>
        <w:rStyle w:val="Sidnummer"/>
      </w:rPr>
      <w:fldChar w:fldCharType="begin" w:fldLock="1"/>
    </w:r>
    <w:r w:rsidRPr="00FE7C2F">
      <w:rPr>
        <w:rStyle w:val="Sidnummer"/>
      </w:rPr>
      <w:instrText xml:space="preserve">PAGE  </w:instrText>
    </w:r>
    <w:r w:rsidRPr="00FE7C2F">
      <w:rPr>
        <w:rStyle w:val="Sidnummer"/>
      </w:rPr>
      <w:fldChar w:fldCharType="separate"/>
    </w:r>
    <w:r w:rsidR="005E11B6" w:rsidRPr="00FE7C2F">
      <w:rPr>
        <w:rStyle w:val="Sidnummer"/>
      </w:rPr>
      <w:t>3</w:t>
    </w:r>
    <w:r w:rsidRPr="00FE7C2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B19A8" w:rsidRPr="00FE7C2F">
      <w:tblPrEx>
        <w:tblCellMar>
          <w:top w:w="0" w:type="dxa"/>
          <w:bottom w:w="0" w:type="dxa"/>
        </w:tblCellMar>
      </w:tblPrEx>
      <w:trPr>
        <w:cantSplit/>
      </w:trPr>
      <w:tc>
        <w:tcPr>
          <w:tcW w:w="3119" w:type="dxa"/>
        </w:tcPr>
        <w:p w:rsidR="00AB19A8" w:rsidRPr="00FE7C2F" w:rsidRDefault="00AB19A8">
          <w:pPr>
            <w:pStyle w:val="Sidhuvud"/>
            <w:spacing w:line="200" w:lineRule="atLeast"/>
            <w:ind w:right="357"/>
            <w:rPr>
              <w:rFonts w:ascii="TradeGothic" w:hAnsi="TradeGothic"/>
              <w:b/>
              <w:bCs/>
              <w:sz w:val="16"/>
            </w:rPr>
          </w:pPr>
        </w:p>
      </w:tc>
      <w:tc>
        <w:tcPr>
          <w:tcW w:w="4111" w:type="dxa"/>
          <w:tcMar>
            <w:left w:w="567" w:type="dxa"/>
          </w:tcMar>
        </w:tcPr>
        <w:p w:rsidR="00AB19A8" w:rsidRPr="00FE7C2F" w:rsidRDefault="00AB19A8">
          <w:pPr>
            <w:pStyle w:val="Sidhuvud"/>
            <w:ind w:right="360"/>
          </w:pPr>
        </w:p>
      </w:tc>
      <w:tc>
        <w:tcPr>
          <w:tcW w:w="1525" w:type="dxa"/>
        </w:tcPr>
        <w:p w:rsidR="00AB19A8" w:rsidRPr="00FE7C2F" w:rsidRDefault="00AB19A8">
          <w:pPr>
            <w:pStyle w:val="Sidhuvud"/>
            <w:ind w:right="360"/>
          </w:pPr>
        </w:p>
      </w:tc>
    </w:tr>
  </w:tbl>
  <w:p w:rsidR="00AB19A8" w:rsidRPr="00FE7C2F" w:rsidRDefault="00AB19A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9A8" w:rsidRPr="00FE7C2F" w:rsidRDefault="00FE7C2F">
    <w:pPr>
      <w:framePr w:w="2948" w:h="1321" w:hRule="exact" w:wrap="notBeside" w:vAnchor="page" w:hAnchor="page" w:x="1362" w:y="653"/>
    </w:pPr>
    <w:r w:rsidRPr="00FE7C2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B19A8" w:rsidRPr="00FE7C2F" w:rsidRDefault="00AB19A8">
    <w:pPr>
      <w:pStyle w:val="RKrubrik"/>
      <w:keepNext w:val="0"/>
      <w:tabs>
        <w:tab w:val="clear" w:pos="1134"/>
        <w:tab w:val="clear" w:pos="2835"/>
      </w:tabs>
      <w:spacing w:before="0" w:after="0" w:line="320" w:lineRule="atLeast"/>
      <w:rPr>
        <w:bCs/>
      </w:rPr>
    </w:pPr>
  </w:p>
  <w:p w:rsidR="00AB19A8" w:rsidRPr="00FE7C2F" w:rsidRDefault="00AB19A8">
    <w:pPr>
      <w:rPr>
        <w:rFonts w:ascii="TradeGothic" w:hAnsi="TradeGothic"/>
        <w:b/>
        <w:bCs/>
        <w:spacing w:val="12"/>
        <w:sz w:val="22"/>
      </w:rPr>
    </w:pPr>
  </w:p>
  <w:p w:rsidR="00AB19A8" w:rsidRPr="00FE7C2F" w:rsidRDefault="00AB19A8">
    <w:pPr>
      <w:pStyle w:val="RKrubrik"/>
      <w:keepNext w:val="0"/>
      <w:tabs>
        <w:tab w:val="clear" w:pos="1134"/>
        <w:tab w:val="clear" w:pos="2835"/>
      </w:tabs>
      <w:spacing w:before="0" w:after="0" w:line="320" w:lineRule="atLeast"/>
      <w:rPr>
        <w:bCs/>
      </w:rPr>
    </w:pPr>
  </w:p>
  <w:p w:rsidR="00AB19A8" w:rsidRPr="00FE7C2F" w:rsidRDefault="00AB19A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8588E"/>
    <w:multiLevelType w:val="hybridMultilevel"/>
    <w:tmpl w:val="369EBE84"/>
    <w:lvl w:ilvl="0" w:tplc="1902B184">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64D64BA"/>
    <w:multiLevelType w:val="hybridMultilevel"/>
    <w:tmpl w:val="E356146A"/>
    <w:lvl w:ilvl="0" w:tplc="B16CFBAA">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247153938">
    <w:abstractNumId w:val="1"/>
  </w:num>
  <w:num w:numId="2" w16cid:durableId="1336878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6196D"/>
    <w:rsid w:val="00061EE3"/>
    <w:rsid w:val="000A42DA"/>
    <w:rsid w:val="000B3E67"/>
    <w:rsid w:val="000E3EA0"/>
    <w:rsid w:val="00105EFC"/>
    <w:rsid w:val="00115B7F"/>
    <w:rsid w:val="00150384"/>
    <w:rsid w:val="001773B0"/>
    <w:rsid w:val="001805B7"/>
    <w:rsid w:val="001B3EEB"/>
    <w:rsid w:val="001D63FD"/>
    <w:rsid w:val="00201153"/>
    <w:rsid w:val="00216D68"/>
    <w:rsid w:val="00217479"/>
    <w:rsid w:val="0027226A"/>
    <w:rsid w:val="002861D4"/>
    <w:rsid w:val="0029280C"/>
    <w:rsid w:val="002B2984"/>
    <w:rsid w:val="002F7206"/>
    <w:rsid w:val="0036731F"/>
    <w:rsid w:val="003E5131"/>
    <w:rsid w:val="0040120E"/>
    <w:rsid w:val="004110C9"/>
    <w:rsid w:val="00440411"/>
    <w:rsid w:val="00454D9B"/>
    <w:rsid w:val="004A328D"/>
    <w:rsid w:val="004C0130"/>
    <w:rsid w:val="004D6FA0"/>
    <w:rsid w:val="005069F6"/>
    <w:rsid w:val="00535352"/>
    <w:rsid w:val="00545936"/>
    <w:rsid w:val="00545D15"/>
    <w:rsid w:val="005A3E9C"/>
    <w:rsid w:val="005D1A41"/>
    <w:rsid w:val="005E11B6"/>
    <w:rsid w:val="0060540B"/>
    <w:rsid w:val="0061042A"/>
    <w:rsid w:val="00641644"/>
    <w:rsid w:val="00677596"/>
    <w:rsid w:val="00692257"/>
    <w:rsid w:val="006A3997"/>
    <w:rsid w:val="006A3DDF"/>
    <w:rsid w:val="006B31E0"/>
    <w:rsid w:val="006E4E11"/>
    <w:rsid w:val="007242A3"/>
    <w:rsid w:val="007457CD"/>
    <w:rsid w:val="007461B6"/>
    <w:rsid w:val="00746B9F"/>
    <w:rsid w:val="007E566F"/>
    <w:rsid w:val="007F136F"/>
    <w:rsid w:val="007F4004"/>
    <w:rsid w:val="00801B3E"/>
    <w:rsid w:val="00864B42"/>
    <w:rsid w:val="008A1C02"/>
    <w:rsid w:val="008B50D7"/>
    <w:rsid w:val="00912944"/>
    <w:rsid w:val="00951576"/>
    <w:rsid w:val="009610CC"/>
    <w:rsid w:val="00A10716"/>
    <w:rsid w:val="00A33EC5"/>
    <w:rsid w:val="00A37062"/>
    <w:rsid w:val="00A81E3E"/>
    <w:rsid w:val="00AB19A8"/>
    <w:rsid w:val="00B0090F"/>
    <w:rsid w:val="00B206C0"/>
    <w:rsid w:val="00B2646A"/>
    <w:rsid w:val="00B317E9"/>
    <w:rsid w:val="00B45753"/>
    <w:rsid w:val="00B704BC"/>
    <w:rsid w:val="00B83466"/>
    <w:rsid w:val="00B86BB8"/>
    <w:rsid w:val="00BD5A16"/>
    <w:rsid w:val="00BF3944"/>
    <w:rsid w:val="00C066A1"/>
    <w:rsid w:val="00C34CBD"/>
    <w:rsid w:val="00C92C68"/>
    <w:rsid w:val="00CE536E"/>
    <w:rsid w:val="00CE7C00"/>
    <w:rsid w:val="00D17E6E"/>
    <w:rsid w:val="00D55C3F"/>
    <w:rsid w:val="00D83D8A"/>
    <w:rsid w:val="00E03D9E"/>
    <w:rsid w:val="00E362F9"/>
    <w:rsid w:val="00E85BA2"/>
    <w:rsid w:val="00EA1F6A"/>
    <w:rsid w:val="00EB44B0"/>
    <w:rsid w:val="00EB5ADA"/>
    <w:rsid w:val="00EC25F9"/>
    <w:rsid w:val="00F36C16"/>
    <w:rsid w:val="00F474F4"/>
    <w:rsid w:val="00FE7C2F"/>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787CAB4-9C2C-42BF-9087-7250DA66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3500</Characters>
  <Application>Microsoft Office Word</Application>
  <DocSecurity>4</DocSecurity>
  <Lines>97</Lines>
  <Paragraphs>36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2009-03-24T12:23:00Z</cp:lastPrinted>
  <dcterms:created xsi:type="dcterms:W3CDTF">2025-12-18T00:00:00Z</dcterms:created>
  <dcterms:modified xsi:type="dcterms:W3CDTF">2025-12-18T00:00:00Z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y fmtid="{D5CDD505-2E9C-101B-9397-08002B2CF9AE}" pid="9" name="RKOrdnaDepartement">
    <vt:lpwstr>Justitiedepartementet</vt:lpwstr>
  </property>
  <property fmtid="{D5CDD505-2E9C-101B-9397-08002B2CF9AE}" pid="10" name="RKOrdnaActivityCategory">
    <vt:lpwstr>9.9. Migrerat</vt:lpwstr>
  </property>
</Properties>
</file>