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F5820" w:rsidTr="006515EB">
        <w:tblPrEx>
          <w:tblCellMar>
            <w:top w:w="0" w:type="dxa"/>
            <w:bottom w:w="0" w:type="dxa"/>
          </w:tblCellMar>
        </w:tblPrEx>
        <w:tc>
          <w:tcPr>
            <w:tcW w:w="2268" w:type="dxa"/>
          </w:tcPr>
          <w:p w:rsidR="006E4E11" w:rsidRPr="006F582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F5820" w:rsidRDefault="006E4E11" w:rsidP="007242A3">
            <w:pPr>
              <w:framePr w:w="5035" w:h="1644" w:wrap="notBeside" w:vAnchor="page" w:hAnchor="page" w:x="6573" w:y="721"/>
              <w:rPr>
                <w:rFonts w:ascii="TradeGothic" w:hAnsi="TradeGothic"/>
                <w:i/>
                <w:sz w:val="18"/>
              </w:rPr>
            </w:pPr>
          </w:p>
        </w:tc>
      </w:tr>
      <w:tr w:rsidR="006515EB" w:rsidRPr="006F5820" w:rsidTr="006515EB">
        <w:tblPrEx>
          <w:tblCellMar>
            <w:top w:w="0" w:type="dxa"/>
            <w:bottom w:w="0" w:type="dxa"/>
          </w:tblCellMar>
        </w:tblPrEx>
        <w:tc>
          <w:tcPr>
            <w:tcW w:w="5267" w:type="dxa"/>
            <w:gridSpan w:val="3"/>
          </w:tcPr>
          <w:p w:rsidR="006515EB" w:rsidRPr="006F5820" w:rsidRDefault="006515EB" w:rsidP="007242A3">
            <w:pPr>
              <w:framePr w:w="5035" w:h="1644" w:wrap="notBeside" w:vAnchor="page" w:hAnchor="page" w:x="6573" w:y="721"/>
              <w:rPr>
                <w:rFonts w:ascii="TradeGothic" w:hAnsi="TradeGothic"/>
                <w:b/>
                <w:sz w:val="22"/>
              </w:rPr>
            </w:pPr>
            <w:r w:rsidRPr="006F5820">
              <w:rPr>
                <w:rFonts w:ascii="TradeGothic" w:hAnsi="TradeGothic"/>
                <w:b/>
                <w:sz w:val="22"/>
              </w:rPr>
              <w:t>Rådspromemoria</w:t>
            </w:r>
          </w:p>
        </w:tc>
      </w:tr>
      <w:tr w:rsidR="006E4E11" w:rsidRPr="006F5820" w:rsidTr="006515EB">
        <w:tblPrEx>
          <w:tblCellMar>
            <w:top w:w="0" w:type="dxa"/>
            <w:bottom w:w="0" w:type="dxa"/>
          </w:tblCellMar>
        </w:tblPrEx>
        <w:tc>
          <w:tcPr>
            <w:tcW w:w="3402" w:type="dxa"/>
            <w:gridSpan w:val="2"/>
          </w:tcPr>
          <w:p w:rsidR="006E4E11" w:rsidRPr="006F5820" w:rsidRDefault="006E4E11" w:rsidP="007242A3">
            <w:pPr>
              <w:framePr w:w="5035" w:h="1644" w:wrap="notBeside" w:vAnchor="page" w:hAnchor="page" w:x="6573" w:y="721"/>
            </w:pPr>
          </w:p>
        </w:tc>
        <w:tc>
          <w:tcPr>
            <w:tcW w:w="1865" w:type="dxa"/>
          </w:tcPr>
          <w:p w:rsidR="006E4E11" w:rsidRPr="006F5820" w:rsidRDefault="006E4E11" w:rsidP="007242A3">
            <w:pPr>
              <w:framePr w:w="5035" w:h="1644" w:wrap="notBeside" w:vAnchor="page" w:hAnchor="page" w:x="6573" w:y="721"/>
            </w:pPr>
          </w:p>
        </w:tc>
      </w:tr>
      <w:tr w:rsidR="006E4E11" w:rsidRPr="006F5820" w:rsidTr="006515EB">
        <w:tblPrEx>
          <w:tblCellMar>
            <w:top w:w="0" w:type="dxa"/>
            <w:bottom w:w="0" w:type="dxa"/>
          </w:tblCellMar>
        </w:tblPrEx>
        <w:tc>
          <w:tcPr>
            <w:tcW w:w="2268" w:type="dxa"/>
          </w:tcPr>
          <w:p w:rsidR="006E4E11" w:rsidRPr="006F5820" w:rsidRDefault="006515EB" w:rsidP="007242A3">
            <w:pPr>
              <w:framePr w:w="5035" w:h="1644" w:wrap="notBeside" w:vAnchor="page" w:hAnchor="page" w:x="6573" w:y="721"/>
            </w:pPr>
            <w:r w:rsidRPr="006F5820">
              <w:t>2010-11-1</w:t>
            </w:r>
            <w:r w:rsidR="009B1AAD" w:rsidRPr="006F5820">
              <w:t>8</w:t>
            </w:r>
          </w:p>
        </w:tc>
        <w:tc>
          <w:tcPr>
            <w:tcW w:w="2999" w:type="dxa"/>
            <w:gridSpan w:val="2"/>
          </w:tcPr>
          <w:p w:rsidR="006E4E11" w:rsidRPr="006F5820" w:rsidRDefault="006E4E11" w:rsidP="007242A3">
            <w:pPr>
              <w:framePr w:w="5035" w:h="1644" w:wrap="notBeside" w:vAnchor="page" w:hAnchor="page" w:x="6573" w:y="721"/>
            </w:pPr>
          </w:p>
        </w:tc>
      </w:tr>
      <w:tr w:rsidR="006E4E11" w:rsidRPr="006F5820" w:rsidTr="006515EB">
        <w:tblPrEx>
          <w:tblCellMar>
            <w:top w:w="0" w:type="dxa"/>
            <w:bottom w:w="0" w:type="dxa"/>
          </w:tblCellMar>
        </w:tblPrEx>
        <w:tc>
          <w:tcPr>
            <w:tcW w:w="2268" w:type="dxa"/>
          </w:tcPr>
          <w:p w:rsidR="006E4E11" w:rsidRPr="006F5820" w:rsidRDefault="006E4E11" w:rsidP="007242A3">
            <w:pPr>
              <w:framePr w:w="5035" w:h="1644" w:wrap="notBeside" w:vAnchor="page" w:hAnchor="page" w:x="6573" w:y="721"/>
            </w:pPr>
          </w:p>
        </w:tc>
        <w:tc>
          <w:tcPr>
            <w:tcW w:w="2999" w:type="dxa"/>
            <w:gridSpan w:val="2"/>
          </w:tcPr>
          <w:p w:rsidR="006E4E11" w:rsidRPr="006F582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F5820">
        <w:tblPrEx>
          <w:tblCellMar>
            <w:top w:w="0" w:type="dxa"/>
            <w:bottom w:w="0" w:type="dxa"/>
          </w:tblCellMar>
        </w:tblPrEx>
        <w:trPr>
          <w:trHeight w:val="284"/>
        </w:trPr>
        <w:tc>
          <w:tcPr>
            <w:tcW w:w="4911" w:type="dxa"/>
          </w:tcPr>
          <w:p w:rsidR="006E4E11" w:rsidRPr="006F5820" w:rsidRDefault="006515EB">
            <w:pPr>
              <w:pStyle w:val="Avsndare"/>
              <w:framePr w:h="2483" w:wrap="notBeside" w:x="1504"/>
              <w:rPr>
                <w:b/>
                <w:i w:val="0"/>
                <w:sz w:val="22"/>
              </w:rPr>
            </w:pPr>
            <w:r w:rsidRPr="006F5820">
              <w:rPr>
                <w:b/>
                <w:i w:val="0"/>
                <w:sz w:val="22"/>
              </w:rPr>
              <w:t>Justitiedepartementet</w:t>
            </w: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r w:rsidR="006E4E11" w:rsidRPr="006F5820">
        <w:tblPrEx>
          <w:tblCellMar>
            <w:top w:w="0" w:type="dxa"/>
            <w:bottom w:w="0" w:type="dxa"/>
          </w:tblCellMar>
        </w:tblPrEx>
        <w:trPr>
          <w:trHeight w:val="284"/>
        </w:trPr>
        <w:tc>
          <w:tcPr>
            <w:tcW w:w="4911" w:type="dxa"/>
          </w:tcPr>
          <w:p w:rsidR="006515EB" w:rsidRPr="006F5820" w:rsidRDefault="006515EB">
            <w:pPr>
              <w:pStyle w:val="Avsndare"/>
              <w:framePr w:h="2483" w:wrap="notBeside" w:x="1504"/>
              <w:rPr>
                <w:bCs/>
                <w:iCs/>
              </w:rPr>
            </w:pPr>
            <w:r w:rsidRPr="006F5820">
              <w:rPr>
                <w:bCs/>
                <w:iCs/>
              </w:rPr>
              <w:t>Enheten för brottmålsärenden och</w:t>
            </w:r>
          </w:p>
          <w:p w:rsidR="006E4E11" w:rsidRPr="006F5820" w:rsidRDefault="006515EB">
            <w:pPr>
              <w:pStyle w:val="Avsndare"/>
              <w:framePr w:h="2483" w:wrap="notBeside" w:x="1504"/>
              <w:rPr>
                <w:bCs/>
                <w:iCs/>
              </w:rPr>
            </w:pPr>
            <w:r w:rsidRPr="006F5820">
              <w:rPr>
                <w:bCs/>
                <w:iCs/>
              </w:rPr>
              <w:t>internationellt rättsligt samarbete (BIRS)</w:t>
            </w: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r w:rsidR="006E4E11" w:rsidRPr="006F5820">
        <w:tblPrEx>
          <w:tblCellMar>
            <w:top w:w="0" w:type="dxa"/>
            <w:bottom w:w="0" w:type="dxa"/>
          </w:tblCellMar>
        </w:tblPrEx>
        <w:trPr>
          <w:trHeight w:val="284"/>
        </w:trPr>
        <w:tc>
          <w:tcPr>
            <w:tcW w:w="4911" w:type="dxa"/>
          </w:tcPr>
          <w:p w:rsidR="006E4E11" w:rsidRPr="006F5820" w:rsidRDefault="006E4E11">
            <w:pPr>
              <w:pStyle w:val="Avsndare"/>
              <w:framePr w:h="2483" w:wrap="notBeside" w:x="1504"/>
              <w:rPr>
                <w:bCs/>
                <w:iCs/>
              </w:rPr>
            </w:pPr>
          </w:p>
        </w:tc>
      </w:tr>
    </w:tbl>
    <w:p w:rsidR="006E4E11" w:rsidRPr="006F5820" w:rsidRDefault="006E4E11">
      <w:pPr>
        <w:framePr w:w="4400" w:h="2523" w:wrap="notBeside" w:vAnchor="page" w:hAnchor="page" w:x="6453" w:y="2445"/>
        <w:ind w:left="142"/>
        <w:rPr>
          <w:b/>
        </w:rPr>
      </w:pPr>
    </w:p>
    <w:p w:rsidR="006515EB" w:rsidRPr="006F5820" w:rsidRDefault="006515EB">
      <w:pPr>
        <w:pStyle w:val="RKrubrik"/>
        <w:pBdr>
          <w:bottom w:val="single" w:sz="6" w:space="1" w:color="auto"/>
        </w:pBdr>
      </w:pPr>
      <w:bookmarkStart w:id="0" w:name="bRubrik"/>
      <w:bookmarkEnd w:id="0"/>
      <w:r w:rsidRPr="006F5820">
        <w:t>Rådets möte (rättsliga och inrikes frågor) i Bryssel den 2-3 december 2010</w:t>
      </w:r>
    </w:p>
    <w:p w:rsidR="006515EB" w:rsidRPr="006F5820" w:rsidRDefault="006515EB">
      <w:pPr>
        <w:pStyle w:val="RKnormal"/>
      </w:pPr>
    </w:p>
    <w:p w:rsidR="006515EB" w:rsidRPr="006F5820" w:rsidRDefault="006515EB" w:rsidP="006515EB">
      <w:pPr>
        <w:pStyle w:val="RKnormal"/>
        <w:rPr>
          <w:b/>
        </w:rPr>
      </w:pPr>
      <w:r w:rsidRPr="006F5820">
        <w:rPr>
          <w:b/>
        </w:rPr>
        <w:t>Dagordningspunkt 7</w:t>
      </w:r>
    </w:p>
    <w:p w:rsidR="006515EB" w:rsidRPr="006F5820" w:rsidRDefault="006515EB" w:rsidP="006515EB">
      <w:pPr>
        <w:pStyle w:val="RKnormal"/>
      </w:pPr>
    </w:p>
    <w:p w:rsidR="006515EB" w:rsidRPr="006F5820" w:rsidRDefault="006515EB" w:rsidP="006515EB">
      <w:pPr>
        <w:pStyle w:val="RKnormal"/>
        <w:rPr>
          <w:b/>
        </w:rPr>
      </w:pPr>
      <w:r w:rsidRPr="006F5820">
        <w:rPr>
          <w:b/>
        </w:rPr>
        <w:t>Förslag till direktiv om en europeisk utredningsorde</w:t>
      </w:r>
      <w:r w:rsidR="00077F66" w:rsidRPr="006F5820">
        <w:rPr>
          <w:b/>
        </w:rPr>
        <w:t>r</w:t>
      </w:r>
    </w:p>
    <w:p w:rsidR="006515EB" w:rsidRPr="006F5820" w:rsidRDefault="006515EB" w:rsidP="006515EB">
      <w:pPr>
        <w:pStyle w:val="RKnormal"/>
      </w:pPr>
    </w:p>
    <w:p w:rsidR="006515EB" w:rsidRPr="006F5820" w:rsidRDefault="006515EB" w:rsidP="006515EB">
      <w:pPr>
        <w:pStyle w:val="RKnormal"/>
      </w:pPr>
      <w:r w:rsidRPr="006F5820">
        <w:rPr>
          <w:b/>
        </w:rPr>
        <w:t xml:space="preserve">Dokument: </w:t>
      </w:r>
      <w:r w:rsidR="00D85282" w:rsidRPr="006F5820">
        <w:t>det har ännu inte presenterats något dokument för behandlingen i rådet.</w:t>
      </w:r>
    </w:p>
    <w:p w:rsidR="006515EB" w:rsidRPr="006F5820" w:rsidRDefault="006515EB" w:rsidP="006515EB">
      <w:pPr>
        <w:pStyle w:val="RKnormal"/>
      </w:pPr>
    </w:p>
    <w:p w:rsidR="006515EB" w:rsidRPr="006F5820" w:rsidRDefault="006515EB" w:rsidP="006515EB">
      <w:pPr>
        <w:pStyle w:val="RKnormal"/>
        <w:rPr>
          <w:b/>
        </w:rPr>
      </w:pPr>
      <w:r w:rsidRPr="006F5820">
        <w:rPr>
          <w:b/>
        </w:rPr>
        <w:t>Tidigare dokument:</w:t>
      </w:r>
    </w:p>
    <w:p w:rsidR="006515EB" w:rsidRPr="006F5820" w:rsidRDefault="006515EB" w:rsidP="006515EB">
      <w:pPr>
        <w:pStyle w:val="RKnormal"/>
      </w:pPr>
      <w:r w:rsidRPr="006F5820">
        <w:t>9288/10 COPEN 117EUROJUST 49EJN 13PARLNAT 13CODEC 384 (ursprungliga förslaget)</w:t>
      </w:r>
    </w:p>
    <w:p w:rsidR="006515EB" w:rsidRPr="006F5820" w:rsidRDefault="006515EB" w:rsidP="006515EB">
      <w:pPr>
        <w:pStyle w:val="RKnormal"/>
      </w:pPr>
    </w:p>
    <w:p w:rsidR="006515EB" w:rsidRPr="006F5820" w:rsidRDefault="006515EB" w:rsidP="006515EB">
      <w:pPr>
        <w:pStyle w:val="RKnormal"/>
      </w:pPr>
      <w:r w:rsidRPr="006F5820">
        <w:rPr>
          <w:b/>
        </w:rPr>
        <w:t>Fakta-PM:</w:t>
      </w:r>
      <w:r w:rsidRPr="006F5820">
        <w:t xml:space="preserve"> Justitiedepartementet 2009/10:FPM94</w:t>
      </w:r>
    </w:p>
    <w:p w:rsidR="006515EB" w:rsidRPr="006F5820" w:rsidRDefault="006515EB" w:rsidP="006515EB">
      <w:pPr>
        <w:pStyle w:val="RKnormal"/>
      </w:pPr>
    </w:p>
    <w:p w:rsidR="006515EB" w:rsidRPr="006F5820" w:rsidRDefault="006515EB" w:rsidP="006515EB">
      <w:pPr>
        <w:pStyle w:val="RKnormal"/>
      </w:pPr>
      <w:r w:rsidRPr="006F5820">
        <w:rPr>
          <w:b/>
        </w:rPr>
        <w:t xml:space="preserve">Tidigare behandlad vid samråd med EU-nämnden: </w:t>
      </w:r>
      <w:r w:rsidRPr="006F5820">
        <w:t>5 november 2010</w:t>
      </w:r>
    </w:p>
    <w:p w:rsidR="006515EB" w:rsidRPr="006F5820" w:rsidRDefault="006515EB" w:rsidP="006515EB">
      <w:pPr>
        <w:pStyle w:val="RKnormal"/>
      </w:pPr>
    </w:p>
    <w:p w:rsidR="006515EB" w:rsidRPr="006F5820" w:rsidRDefault="006515EB" w:rsidP="006515EB">
      <w:pPr>
        <w:pStyle w:val="RKnormal"/>
      </w:pPr>
      <w:r w:rsidRPr="006F5820">
        <w:t>Tidigare behandlad vid överläggning med Justitieutskottet: 19 oktober och den 4 november 2010</w:t>
      </w:r>
    </w:p>
    <w:p w:rsidR="006515EB" w:rsidRPr="006F5820" w:rsidRDefault="006515EB" w:rsidP="006515EB">
      <w:pPr>
        <w:pStyle w:val="RKrubrik"/>
      </w:pPr>
      <w:r w:rsidRPr="006F5820">
        <w:t>Bakgrund (inkl. syftet med behandlingen i rådet)</w:t>
      </w:r>
    </w:p>
    <w:p w:rsidR="006515EB" w:rsidRPr="006F5820" w:rsidRDefault="006515EB" w:rsidP="006515EB">
      <w:pPr>
        <w:pStyle w:val="RKnormal"/>
      </w:pPr>
      <w:bookmarkStart w:id="1" w:name="Text9"/>
      <w:r w:rsidRPr="006F5820">
        <w:t>Belgien har tillsammans med Sverige och fem andra medlemsstater lagt fram ett förslag till nytt direktiv inom ramen för det straffrättsliga sam</w:t>
      </w:r>
      <w:r w:rsidRPr="006F5820">
        <w:softHyphen/>
        <w:t>arbetet inom Europeiska unionen (EU). Direktivet syftar till att förbätt</w:t>
      </w:r>
      <w:r w:rsidRPr="006F5820">
        <w:softHyphen/>
        <w:t>ra samarbetet om bevisinhämtning mellan medlemsstaterna. Det straff</w:t>
      </w:r>
      <w:r w:rsidRPr="006F5820">
        <w:softHyphen/>
        <w:t>rättsliga samarbetet om bevisinhämtning inom EU är i dag baserat på både traditionell ömsesidig rättslig hjälp och principen om ömsesidigt erkännande. Direktivet avser att ersätta rambeslutet om en europeisk bevisinhämtningsorder (2008/978/RIF) samt rambeslutet om frysning av egendom eller bevismaterial (2003/577/RIF) och de olika instrument som avser ömsesidig rättslig hjälp i brottmål i den mån de behandlar inhämtande av bevis som ska användas i straffrätts</w:t>
      </w:r>
      <w:r w:rsidRPr="006F5820">
        <w:lastRenderedPageBreak/>
        <w:t>liga för</w:t>
      </w:r>
      <w:r w:rsidRPr="006F5820">
        <w:softHyphen/>
        <w:t>faranden. Direktivet syftar alltså till att åstadkomma en heltäckande reg</w:t>
      </w:r>
      <w:r w:rsidRPr="006F5820">
        <w:softHyphen/>
        <w:t>lering baserad på principen om ömsesidigt erkännande, vilket är en av målsättningarna i Stockholmsprogrammet. Sverige är som medförslags</w:t>
      </w:r>
      <w:r w:rsidRPr="006F5820">
        <w:softHyphen/>
        <w:t xml:space="preserve">ställare positivt till direktivets syfte och innehåll. </w:t>
      </w:r>
    </w:p>
    <w:p w:rsidR="006515EB" w:rsidRPr="006F5820" w:rsidRDefault="006515EB" w:rsidP="006515EB">
      <w:pPr>
        <w:pStyle w:val="RKnormal"/>
      </w:pPr>
    </w:p>
    <w:p w:rsidR="006515EB" w:rsidRPr="006F5820" w:rsidRDefault="006515EB" w:rsidP="006515EB">
      <w:pPr>
        <w:pStyle w:val="RKnormal"/>
      </w:pPr>
      <w:r w:rsidRPr="006F5820">
        <w:t>Förhandlingar om förslaget inleddes i juli i år på rådsarbetsgruppsnivå och ett flertal möten har hållits. Medlemsstaterna har uttalat stöd för förslagets syfte.</w:t>
      </w:r>
    </w:p>
    <w:p w:rsidR="006515EB" w:rsidRPr="006F5820" w:rsidRDefault="006515EB" w:rsidP="006515EB">
      <w:pPr>
        <w:pStyle w:val="RKnormal"/>
      </w:pPr>
    </w:p>
    <w:p w:rsidR="006515EB" w:rsidRPr="006F5820" w:rsidRDefault="006515EB" w:rsidP="006515EB">
      <w:pPr>
        <w:pStyle w:val="RKnormal"/>
      </w:pPr>
      <w:r w:rsidRPr="006F5820">
        <w:t>Direktivet behandlades i rådet den 8-9 november, varvid en rikt</w:t>
      </w:r>
      <w:r w:rsidRPr="006F5820">
        <w:softHyphen/>
        <w:t xml:space="preserve">linjedebatt fördes beträffande viktiga frågor som rör vägransgrunder. </w:t>
      </w:r>
    </w:p>
    <w:p w:rsidR="006515EB" w:rsidRPr="006F5820" w:rsidRDefault="006515EB" w:rsidP="006515EB">
      <w:pPr>
        <w:pStyle w:val="RKnormal"/>
      </w:pPr>
    </w:p>
    <w:p w:rsidR="006515EB" w:rsidRPr="006F5820" w:rsidRDefault="006515EB" w:rsidP="006515EB">
      <w:pPr>
        <w:pStyle w:val="RKnormal"/>
      </w:pPr>
      <w:r w:rsidRPr="006F5820">
        <w:t>Vilka frågor som rådet avser att behandla vid nu aktuellt möte är i skrivande stund oklart då något dokument ännu inte har distribuerats.</w:t>
      </w:r>
    </w:p>
    <w:bookmarkEnd w:id="1"/>
    <w:p w:rsidR="006515EB" w:rsidRPr="006F5820" w:rsidRDefault="006515EB" w:rsidP="006515EB">
      <w:pPr>
        <w:pStyle w:val="RKrubrik"/>
      </w:pPr>
      <w:r w:rsidRPr="006F5820">
        <w:t>Rättslig grund och beslutsförfarande</w:t>
      </w:r>
    </w:p>
    <w:p w:rsidR="006515EB" w:rsidRPr="006F5820" w:rsidRDefault="006515EB" w:rsidP="006515EB">
      <w:pPr>
        <w:pStyle w:val="RKnormal"/>
      </w:pPr>
      <w:r w:rsidRPr="006F5820">
        <w:t>Det föreslagna direktivet grundar sig på artikel 82.1 a i EUF-fördraget och har lagts fram av en grupp medlemsstater som utgör (minst) en fjärdedel av medlemsstaterna i enlighet med artikel 76 b, samma fördrag. Texten har översänts till Europaparlamentet och kommissionen inom ramen för unionens ordinarie lagstiftningsförfarande enligt artikel 294 EUF-fördraget. Texten har också översänts till medlemsstaternas na</w:t>
      </w:r>
      <w:r w:rsidRPr="006F5820">
        <w:softHyphen/>
        <w:t>tionella parlament med tillämpning av artikel 2 i protokollet om de na</w:t>
      </w:r>
      <w:r w:rsidRPr="006F5820">
        <w:softHyphen/>
        <w:t>tionella parlamentens roll i Europeiska unionen och artikel 4 i proto</w:t>
      </w:r>
      <w:r w:rsidRPr="006F5820">
        <w:softHyphen/>
        <w:t>kollet om tillämpning av subsidiaritets- och proportionalitetsprinciperna till Lissabonfördraget, så att det blir möjligt att bedöma initiativets för</w:t>
      </w:r>
      <w:r w:rsidRPr="006F5820">
        <w:softHyphen/>
        <w:t xml:space="preserve">enlighet med subsidiaritetsprincipen. Av utdrag ur protokoll från utskottssammanträde 2009/10:39 framgår att Justitieutskottet ansåg att förslaget inte strider mot subsidiaritetsprincipen. </w:t>
      </w:r>
    </w:p>
    <w:p w:rsidR="006515EB" w:rsidRPr="006F5820" w:rsidRDefault="006515EB" w:rsidP="006515EB">
      <w:pPr>
        <w:pStyle w:val="RKrubrik"/>
        <w:rPr>
          <w:i/>
          <w:iCs/>
        </w:rPr>
      </w:pPr>
      <w:r w:rsidRPr="006F5820">
        <w:rPr>
          <w:i/>
          <w:iCs/>
        </w:rPr>
        <w:t>Svensk ståndpunkt</w:t>
      </w:r>
    </w:p>
    <w:p w:rsidR="006515EB" w:rsidRPr="006F5820" w:rsidRDefault="006515EB" w:rsidP="006515EB">
      <w:pPr>
        <w:pStyle w:val="RKnormal"/>
      </w:pPr>
      <w:r w:rsidRPr="006F5820">
        <w:t>Sverige är positivt till direktivets syfte, dvs. att effektivisera och förbättra det rättsliga samarbetet inom EU när det gäller bevisinhämtning i straff</w:t>
      </w:r>
      <w:r w:rsidRPr="006F5820">
        <w:softHyphen/>
        <w:t>rättsliga förfaranden. Förbättrade möjligheter för de brottsutredande myndigheterna bidrar till en förbättrad brottsbekämpning. Sverige är vidare positivt till ett enhetligt instrument med en heltäckande reglering som bygger på principen om ömsesidigt erkännande men även tar hän</w:t>
      </w:r>
      <w:r w:rsidRPr="006F5820">
        <w:softHyphen/>
        <w:t>syn till den flexibilitet som finns i samarbetet som sker med stöd av traditionell rättslig hjälp. Förslaget har många fördelar jämfört med vad som gäller i dag, med bl.a. tidsfrister för verkställighet. De olika typerna av inhämtande av bevis, dvs. de olika straffprocessuella tvångsmedel som används, kräver dock en reglering som tar hänsyn till deras olika karaktär och skilda förutsättningar. Det är också av stor vikt att regleringen ut</w:t>
      </w:r>
      <w:r w:rsidRPr="006F5820">
        <w:softHyphen/>
        <w:t>formas på ett flexibelt och ändamålsenligt sätt, som skapar förutsättning</w:t>
      </w:r>
      <w:r w:rsidRPr="006F5820">
        <w:softHyphen/>
        <w:t xml:space="preserve">ar för att den ska kunna tillämpas effektivt. </w:t>
      </w:r>
    </w:p>
    <w:p w:rsidR="006515EB" w:rsidRPr="006F5820" w:rsidRDefault="006515EB" w:rsidP="006515EB">
      <w:pPr>
        <w:pStyle w:val="RKnormal"/>
      </w:pPr>
    </w:p>
    <w:p w:rsidR="006515EB" w:rsidRPr="006F5820" w:rsidRDefault="006515EB" w:rsidP="006515EB">
      <w:pPr>
        <w:pStyle w:val="RKrubrik"/>
      </w:pPr>
      <w:r w:rsidRPr="006F5820">
        <w:t>Europaparlamentets inställning</w:t>
      </w:r>
    </w:p>
    <w:p w:rsidR="006515EB" w:rsidRPr="006F5820" w:rsidRDefault="006515EB" w:rsidP="006515EB">
      <w:pPr>
        <w:pStyle w:val="RKnormal"/>
      </w:pPr>
      <w:r w:rsidRPr="006F5820">
        <w:t xml:space="preserve">Europaparlamentet har ännu inte behandlat förslaget. </w:t>
      </w:r>
    </w:p>
    <w:p w:rsidR="006515EB" w:rsidRPr="006F5820" w:rsidRDefault="006515EB" w:rsidP="006515EB">
      <w:pPr>
        <w:pStyle w:val="RKrubrik"/>
        <w:rPr>
          <w:i/>
          <w:iCs/>
        </w:rPr>
      </w:pPr>
      <w:r w:rsidRPr="006F5820">
        <w:t>Förslaget</w:t>
      </w:r>
    </w:p>
    <w:p w:rsidR="006515EB" w:rsidRPr="006F5820" w:rsidRDefault="006515EB" w:rsidP="006515EB">
      <w:pPr>
        <w:pStyle w:val="RKnormal"/>
      </w:pPr>
      <w:r w:rsidRPr="006F5820">
        <w:t>Direktivet om den europeiska utredningsordern syftar till att ge en samlad reglering för all bevisinhämtning i det straffrättsliga samarbetet mellan medlemsstaterna. En europeisk utredningsorder ska utfärdas så att en eller flera utredningsåtgärder kan vidtas i bevisinhämtningssyfte i den verkställande staten. Detta omfattar inhämtande av bevis som den verkställande myndigheten redan har i sin besittning men även inhämt</w:t>
      </w:r>
      <w:r w:rsidRPr="006F5820">
        <w:softHyphen/>
        <w:t>ande av ny bevisning, t.ex. beslag, förhör och hemlig teleavlyssning. Förslaget är i princip grundat på en skyldighet för den verkställande staten att erkänna och verkställa en utredningsorder. Det föreslås emellertid också vissa vägransgrunder samt möjligheter för den verk</w:t>
      </w:r>
      <w:r w:rsidRPr="006F5820">
        <w:softHyphen/>
        <w:t>ställande staten att tillämpa nationella villkor som gäller för motsvarande åtgärd. Direktivet innehåller också bestämmelser om tidsfrister för verk</w:t>
      </w:r>
      <w:r w:rsidRPr="006F5820">
        <w:softHyphen/>
        <w:t>ställighet och den europeiska utredningsorderns innehåll och form. I direktivet ges vidare ytterligare, mer detaljerade, regler för vissa typer av utredningsåtgärder, såsom t.ex. tillfälligt överförande av frihetsberövade personer i utredningssyfte eller hörande genom video- och telefonkon</w:t>
      </w:r>
      <w:r w:rsidRPr="006F5820">
        <w:softHyphen/>
        <w:t>ferens. Ett antal utredningsåtgärder är undantagna från tillämpningsom</w:t>
      </w:r>
      <w:r w:rsidRPr="006F5820">
        <w:softHyphen/>
        <w:t xml:space="preserve">rådet, såsom t.ex. inrättandet av gemensam utredningsgrupp. </w:t>
      </w:r>
    </w:p>
    <w:p w:rsidR="006515EB" w:rsidRPr="006F5820" w:rsidRDefault="006515EB" w:rsidP="006515EB">
      <w:pPr>
        <w:pStyle w:val="RKrubrik"/>
        <w:rPr>
          <w:i/>
          <w:iCs/>
        </w:rPr>
      </w:pPr>
      <w:r w:rsidRPr="006F5820">
        <w:rPr>
          <w:i/>
          <w:iCs/>
        </w:rPr>
        <w:t>Gällande svenska regler och förslagets effekter på dessa</w:t>
      </w:r>
    </w:p>
    <w:p w:rsidR="006515EB" w:rsidRPr="006F5820" w:rsidRDefault="006515EB" w:rsidP="006515EB">
      <w:pPr>
        <w:pStyle w:val="RKnormal"/>
      </w:pPr>
      <w:r w:rsidRPr="006F5820">
        <w:t>Det finns flera lagar som innehåller bestämmelser om internationellt rättsligt samarbete. Av särskilt intresse i detta sammanhang är bestäm</w:t>
      </w:r>
      <w:r w:rsidRPr="006F5820">
        <w:softHyphen/>
        <w:t>melserna i lagen (2000:562) om internationell rättslig hjälp i brottmål. Bestäm</w:t>
      </w:r>
      <w:r w:rsidRPr="006F5820">
        <w:softHyphen/>
        <w:t>melserna bygger i stor utsträckning på 1959 års europeiska konvention om ömsesidig rättslig hjälp i brottmål och dess protokoll från år 1978. Vidare genomför lagen Schengenkonventionens bestäm</w:t>
      </w:r>
      <w:r w:rsidRPr="006F5820">
        <w:softHyphen/>
        <w:t>melser om rättslig hjälp i brottmål samt vissa bestämmelser i EU:s kon</w:t>
      </w:r>
      <w:r w:rsidRPr="006F5820">
        <w:softHyphen/>
        <w:t>vention från år 2000 om ömse</w:t>
      </w:r>
      <w:r w:rsidRPr="006F5820">
        <w:softHyphen/>
        <w:t xml:space="preserve">sidig rättslig hjälp i brottmål och dess tilläggsprotokoll från år 2001. Dessa bestämmelser bygger på den traditionella formen av rättslig hjälp. </w:t>
      </w:r>
    </w:p>
    <w:p w:rsidR="006515EB" w:rsidRPr="006F5820" w:rsidRDefault="006515EB" w:rsidP="006515EB">
      <w:pPr>
        <w:pStyle w:val="RKnormal"/>
      </w:pPr>
    </w:p>
    <w:p w:rsidR="006515EB" w:rsidRPr="006F5820" w:rsidRDefault="006515EB" w:rsidP="006515EB">
      <w:pPr>
        <w:pStyle w:val="RKnormal"/>
      </w:pPr>
      <w:r w:rsidRPr="006F5820">
        <w:t>Lagen om internationell rättslig hjälp i brottmål innehåller bestämmelser om rättslig hjälp som svenska åklagare och domstolar kan lämna på ut</w:t>
      </w:r>
      <w:r w:rsidRPr="006F5820">
        <w:softHyphen/>
        <w:t>ländsk begäran eller begära utomlands. Rättslig hjälp enligt denna lag omfattar bl.a. åtgärder som förhör i samband med förundersökning i brottmål, bevisupptagning vid domstol, telefonförhör, förhör genom videokonferens, kvarstad, beslag samt husrannsakan och andra åtgärder som avses i 28 kap. rättegångsbalken, hemlig teleavlyssning och hemlig teleövervakning, överförande av frihetsberövande för förhör m.m. En grundtanke är att alla åtgärder som kan vidtas i en svensk förunder</w:t>
      </w:r>
      <w:r w:rsidRPr="006F5820">
        <w:softHyphen/>
        <w:t>sökning eller rättegång också ska kunna vidtas för att bistå utländska myndigheter. Åtgärderna ska då lämnas under i huvudsak samma för</w:t>
      </w:r>
      <w:r w:rsidRPr="006F5820">
        <w:softHyphen/>
        <w:t>utsättningar som vid en svensk förundersökning eller rättegång, dvs. huvudsakligen enligt rättegångsbalkens bestämmelser om inhämtande av bevisning. För åtgärder som innebär användande av tvångsåtgärder gäller ett generellt krav på dubbel straffbarhet. Ett undantag från detta krav gäller dock för beslag och husrannsakan som sker på begäran av bl.a. en medlemsstat i EU. Svenska ansökningar om rättslig hjälp följer i huvud</w:t>
      </w:r>
      <w:r w:rsidRPr="006F5820">
        <w:softHyphen/>
        <w:t>sak de regler som gäller i den anmodade staten och i lagen finns därför bara några grundläggande bestämmelser för dessa fall. Lagen innehåller ett antal obligatoriska respektive fakultativa avslagsgrunder, vilka överensstämmer med de internationella förpliktelser som Sverige har åtagit sig. Vissa förfaranderegler finns i lagen och i övrigt ska samma förfarande tillämpas som när en motsvarande åtgärd vidtas i en svensk förundersökning eller rättegång. För rättslig hjälp med beslag, överläm</w:t>
      </w:r>
      <w:r w:rsidRPr="006F5820">
        <w:softHyphen/>
        <w:t>nande av egendom som har tagits i beslag till en annan stat samt husrann</w:t>
      </w:r>
      <w:r w:rsidRPr="006F5820">
        <w:softHyphen/>
        <w:t xml:space="preserve">sakan och andra åtgärder som avses i 28 kap. rättegångsbalken, t.ex. kroppsvisitation, finns särskilda bestämmelser. Ansökningar om sådana åtgärder i Sverige handläggs av åklagare och prövas i vissa fall av domstol. Det är alltid domstol som prövar om ett beslag är lagligen grundat och om egendomen ska överlämnas till den ansökande staten. Beslutet att överlämna beslagtagen egendom till en annan stat verkställs av åklagaren. </w:t>
      </w:r>
    </w:p>
    <w:p w:rsidR="006515EB" w:rsidRPr="006F5820" w:rsidRDefault="006515EB" w:rsidP="006515EB">
      <w:pPr>
        <w:pStyle w:val="RKnormal"/>
      </w:pPr>
    </w:p>
    <w:p w:rsidR="006515EB" w:rsidRPr="006F5820" w:rsidRDefault="006515EB" w:rsidP="006515EB">
      <w:pPr>
        <w:pStyle w:val="RKnormal"/>
      </w:pPr>
      <w:r w:rsidRPr="006F5820">
        <w:t>När det gäller inhämtande av information angående bankkonton och banktransaktioner finns det i ett flertal lagar, t.ex. enligt 1 kap. 11 § lagen (2004:297) om bank- och finansieringsrörelse en skyldighet för t.ex. ett kreditinstitut att lämna ut uppgifter om enskildas förhållanden till insti</w:t>
      </w:r>
      <w:r w:rsidRPr="006F5820">
        <w:softHyphen/>
        <w:t>tutet, om det under en utredning enligt bestämmelserna om förunder</w:t>
      </w:r>
      <w:r w:rsidRPr="006F5820">
        <w:softHyphen/>
        <w:t>sökning i brottmål begärs av undersökningsledare eller om det i ett ärende om rättslig hjälp i brottmål på framställning av en annan stat eller en mellanfolklig domstol begärs av åklagare.</w:t>
      </w:r>
    </w:p>
    <w:p w:rsidR="006515EB" w:rsidRPr="006F5820" w:rsidRDefault="006515EB" w:rsidP="006515EB">
      <w:pPr>
        <w:pStyle w:val="RKnormal"/>
      </w:pPr>
    </w:p>
    <w:p w:rsidR="006515EB" w:rsidRPr="006F5820" w:rsidRDefault="006515EB" w:rsidP="006515EB">
      <w:pPr>
        <w:pStyle w:val="RKnormal"/>
      </w:pPr>
      <w:r w:rsidRPr="006F5820">
        <w:t xml:space="preserve">Av intresse är också reglerna i lagen (2005:500) om erkännande och verkställighet inom Europeiska unionen av frysningsbeslut, som utgår från principen om ömsesidigt erkännande. Lagen reglerar både beslut om frysning som meddelas i Sverige och erkännande och verkställighet här av frysningsbeslut som har översänts hit från andra medlemsstater. Med frysningsbeslut avses i lagen sådana beslut som har fattats i syfte att säkra bevismaterial eller verkställighet av förverkandebeslut, för svensk del närmast beslag eller kvarstad som har meddelats i ett sådant syfte. </w:t>
      </w:r>
    </w:p>
    <w:p w:rsidR="006515EB" w:rsidRPr="006F5820" w:rsidRDefault="006515EB" w:rsidP="006515EB">
      <w:pPr>
        <w:pStyle w:val="RKnormal"/>
      </w:pPr>
      <w:r w:rsidRPr="006F5820">
        <w:t>Samarbetet mellan EU:s medlemsstater bygger huvudsakligen på ömse</w:t>
      </w:r>
      <w:r w:rsidRPr="006F5820">
        <w:softHyphen/>
        <w:t>sidig rättslig hjälp. Detta gäller även den svenska lagstiftningen. Direk</w:t>
      </w:r>
      <w:r w:rsidRPr="006F5820">
        <w:softHyphen/>
        <w:t>tivet föreslår ett i princip heltäckande system för straffrättsligt samar</w:t>
      </w:r>
      <w:r w:rsidRPr="006F5820">
        <w:softHyphen/>
        <w:t>bete med bevisinhämtning som i stället bygger på principen om ömse</w:t>
      </w:r>
      <w:r w:rsidRPr="006F5820">
        <w:softHyphen/>
        <w:t>sidigt erkännande. Den nya ordning för europeiskt samarbete om bevis</w:t>
      </w:r>
      <w:r w:rsidRPr="006F5820">
        <w:softHyphen/>
        <w:t>inhämtning som föreslås i direktivet kommer således att kräva genom</w:t>
      </w:r>
      <w:r w:rsidRPr="006F5820">
        <w:softHyphen/>
        <w:t>gripande förändringar i svensk lagstiftning. Det är emellertid i mycket formerna för samarbetet, inte dess materiella innehåll i något grund</w:t>
      </w:r>
      <w:r w:rsidRPr="006F5820">
        <w:softHyphen/>
        <w:t>läggande avseende, som förändras genom direktivet. De åtaganden som följer av direktivet innebär inte några principiella svårigheter för svensk del. Däremot medför direktivet övergången till en ny form av samarbete och vissa processuella nyheter. Det kommer därför att krävas lagstiftning för att reglera förfarandet för den delvis nya samarbetsformen. Den tryck- och yttrandefrihetsrättsliga regleringen i tryckfrihetsförordningen och yttrandefrihetsgrundlagen påverkas däremot inte av förslaget.</w:t>
      </w:r>
    </w:p>
    <w:p w:rsidR="006515EB" w:rsidRPr="006F5820" w:rsidRDefault="006515EB" w:rsidP="006515EB">
      <w:pPr>
        <w:pStyle w:val="RKrubrik"/>
      </w:pPr>
      <w:r w:rsidRPr="006F5820">
        <w:t>Ekonomiska konsekvenser</w:t>
      </w:r>
    </w:p>
    <w:p w:rsidR="006515EB" w:rsidRPr="006F5820" w:rsidRDefault="006515EB" w:rsidP="006515EB">
      <w:pPr>
        <w:pStyle w:val="RKnormal"/>
      </w:pPr>
      <w:r w:rsidRPr="006F5820">
        <w:t>Direktivet är avsett att effektivisera och förbättra det rättsliga samarbetet inom EU när det gäller bevisinhämtning i straffrättsliga förfaranden. Förbättrade möjligheter för de brottsutredande myndigheterna bidrar till en förbättrad brottsbekämpning, vilket i sig kan medföra positiva sam</w:t>
      </w:r>
      <w:r w:rsidRPr="006F5820">
        <w:softHyphen/>
        <w:t xml:space="preserve">hällsekonomiska konsekvenser. </w:t>
      </w:r>
    </w:p>
    <w:p w:rsidR="006515EB" w:rsidRPr="006F5820" w:rsidRDefault="006515EB" w:rsidP="006515EB">
      <w:pPr>
        <w:pStyle w:val="RKnormal"/>
      </w:pPr>
      <w:r w:rsidRPr="006F5820">
        <w:t>Det är fråga om åtgärder som staterna redan i dag bistår varandra med, men som nu ska genomföras på ett annat sätt. Den nya samarbetsformen är avsedd att vara enklare, snabbare och mer effektiv än dagens samarbe</w:t>
      </w:r>
      <w:r w:rsidRPr="006F5820">
        <w:softHyphen/>
        <w:t>te. Det gäller de berörda myndigheternas arbete såväl när de begär ut</w:t>
      </w:r>
      <w:r w:rsidRPr="006F5820">
        <w:softHyphen/>
        <w:t>ländskt bistånd som när de bistår sina utländska motsvarigheter. Ett för</w:t>
      </w:r>
      <w:r w:rsidRPr="006F5820">
        <w:softHyphen/>
        <w:t>bättrat internationellt samarbete kan visserligen leda till fler ärenden av detta slag än i dag, men detta torde kompenseras av de effektivitets</w:t>
      </w:r>
      <w:r w:rsidRPr="006F5820">
        <w:softHyphen/>
        <w:t>vinster som kan förväntas. I dagsläget är det inte dock inte möjligt att närmare bedöma vilka budgetära konsekvenser ett genomförande av direktivet kommer att få. Det bör dock kunna förutsättas att eventuella budgetära konsekvenser, såväl nationella som inom EU, ska kunna finansieras genom omprioriteringar inom befintliga budgetramar.</w:t>
      </w:r>
    </w:p>
    <w:p w:rsidR="006515EB" w:rsidRPr="006F5820" w:rsidRDefault="006515EB" w:rsidP="006515EB">
      <w:pPr>
        <w:pStyle w:val="RKnormal"/>
        <w:jc w:val="center"/>
      </w:pPr>
      <w:r w:rsidRPr="006F5820">
        <w:t>_____________________</w:t>
      </w:r>
    </w:p>
    <w:sectPr w:rsidR="006515EB" w:rsidRPr="006F582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D92" w:rsidRPr="006F5820" w:rsidRDefault="000E4D92">
      <w:r w:rsidRPr="006F5820">
        <w:separator/>
      </w:r>
    </w:p>
  </w:endnote>
  <w:endnote w:type="continuationSeparator" w:id="0">
    <w:p w:rsidR="000E4D92" w:rsidRPr="006F5820" w:rsidRDefault="000E4D92">
      <w:r w:rsidRPr="006F5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D92" w:rsidRPr="006F5820" w:rsidRDefault="000E4D92">
      <w:r w:rsidRPr="006F5820">
        <w:separator/>
      </w:r>
    </w:p>
  </w:footnote>
  <w:footnote w:type="continuationSeparator" w:id="0">
    <w:p w:rsidR="000E4D92" w:rsidRPr="006F5820" w:rsidRDefault="000E4D92">
      <w:r w:rsidRPr="006F5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F5820" w:rsidRDefault="00EC25F9">
    <w:pPr>
      <w:pStyle w:val="Sidhuvud"/>
      <w:framePr w:wrap="around" w:vAnchor="text" w:hAnchor="margin" w:xAlign="right" w:y="1"/>
      <w:rPr>
        <w:rStyle w:val="Sidnummer"/>
      </w:rPr>
    </w:pPr>
    <w:r w:rsidRPr="006F5820">
      <w:rPr>
        <w:rStyle w:val="Sidnummer"/>
      </w:rPr>
      <w:fldChar w:fldCharType="begin" w:fldLock="1"/>
    </w:r>
    <w:r w:rsidRPr="006F5820">
      <w:rPr>
        <w:rStyle w:val="Sidnummer"/>
      </w:rPr>
      <w:instrText xml:space="preserve">PAGE  </w:instrText>
    </w:r>
    <w:r w:rsidRPr="006F5820">
      <w:rPr>
        <w:rStyle w:val="Sidnummer"/>
      </w:rPr>
      <w:fldChar w:fldCharType="separate"/>
    </w:r>
    <w:r w:rsidR="00E3345B" w:rsidRPr="006F5820">
      <w:rPr>
        <w:rStyle w:val="Sidnummer"/>
      </w:rPr>
      <w:t>4</w:t>
    </w:r>
    <w:r w:rsidRPr="006F58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F5820">
      <w:tblPrEx>
        <w:tblCellMar>
          <w:top w:w="0" w:type="dxa"/>
          <w:bottom w:w="0" w:type="dxa"/>
        </w:tblCellMar>
      </w:tblPrEx>
      <w:trPr>
        <w:cantSplit/>
      </w:trPr>
      <w:tc>
        <w:tcPr>
          <w:tcW w:w="3119" w:type="dxa"/>
        </w:tcPr>
        <w:p w:rsidR="00EC25F9" w:rsidRPr="006F5820"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F5820" w:rsidRDefault="00EC25F9">
          <w:pPr>
            <w:pStyle w:val="Sidhuvud"/>
            <w:ind w:right="360"/>
          </w:pPr>
        </w:p>
      </w:tc>
      <w:tc>
        <w:tcPr>
          <w:tcW w:w="1525" w:type="dxa"/>
        </w:tcPr>
        <w:p w:rsidR="00EC25F9" w:rsidRPr="006F5820" w:rsidRDefault="00EC25F9">
          <w:pPr>
            <w:pStyle w:val="Sidhuvud"/>
            <w:ind w:right="360"/>
          </w:pPr>
        </w:p>
      </w:tc>
    </w:tr>
  </w:tbl>
  <w:p w:rsidR="00EC25F9" w:rsidRPr="006F5820"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F5820" w:rsidRDefault="00EC25F9">
    <w:pPr>
      <w:pStyle w:val="Sidhuvud"/>
      <w:framePr w:wrap="around" w:vAnchor="text" w:hAnchor="margin" w:xAlign="right" w:y="1"/>
      <w:rPr>
        <w:rStyle w:val="Sidnummer"/>
      </w:rPr>
    </w:pPr>
    <w:r w:rsidRPr="006F5820">
      <w:rPr>
        <w:rStyle w:val="Sidnummer"/>
      </w:rPr>
      <w:fldChar w:fldCharType="begin" w:fldLock="1"/>
    </w:r>
    <w:r w:rsidRPr="006F5820">
      <w:rPr>
        <w:rStyle w:val="Sidnummer"/>
      </w:rPr>
      <w:instrText xml:space="preserve">PAGE  </w:instrText>
    </w:r>
    <w:r w:rsidRPr="006F5820">
      <w:rPr>
        <w:rStyle w:val="Sidnummer"/>
      </w:rPr>
      <w:fldChar w:fldCharType="separate"/>
    </w:r>
    <w:r w:rsidR="00E3345B" w:rsidRPr="006F5820">
      <w:rPr>
        <w:rStyle w:val="Sidnummer"/>
      </w:rPr>
      <w:t>5</w:t>
    </w:r>
    <w:r w:rsidRPr="006F58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F5820">
      <w:tblPrEx>
        <w:tblCellMar>
          <w:top w:w="0" w:type="dxa"/>
          <w:bottom w:w="0" w:type="dxa"/>
        </w:tblCellMar>
      </w:tblPrEx>
      <w:trPr>
        <w:cantSplit/>
      </w:trPr>
      <w:tc>
        <w:tcPr>
          <w:tcW w:w="3119" w:type="dxa"/>
        </w:tcPr>
        <w:p w:rsidR="00EC25F9" w:rsidRPr="006F5820"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F5820" w:rsidRDefault="00EC25F9">
          <w:pPr>
            <w:pStyle w:val="Sidhuvud"/>
            <w:ind w:right="360"/>
          </w:pPr>
        </w:p>
      </w:tc>
      <w:tc>
        <w:tcPr>
          <w:tcW w:w="1525" w:type="dxa"/>
        </w:tcPr>
        <w:p w:rsidR="00EC25F9" w:rsidRPr="006F5820" w:rsidRDefault="00EC25F9">
          <w:pPr>
            <w:pStyle w:val="Sidhuvud"/>
            <w:ind w:right="360"/>
          </w:pPr>
        </w:p>
      </w:tc>
    </w:tr>
  </w:tbl>
  <w:p w:rsidR="00EC25F9" w:rsidRPr="006F5820"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5EB" w:rsidRPr="006F5820" w:rsidRDefault="006F5820">
    <w:pPr>
      <w:framePr w:w="2948" w:h="1321" w:hRule="exact" w:wrap="notBeside" w:vAnchor="page" w:hAnchor="page" w:x="1362" w:y="653"/>
    </w:pPr>
    <w:r w:rsidRPr="006F582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6F5820" w:rsidRDefault="00EC25F9">
    <w:pPr>
      <w:pStyle w:val="RKrubrik"/>
      <w:keepNext w:val="0"/>
      <w:tabs>
        <w:tab w:val="clear" w:pos="1134"/>
        <w:tab w:val="clear" w:pos="2835"/>
      </w:tabs>
      <w:spacing w:before="0" w:after="0" w:line="320" w:lineRule="atLeast"/>
      <w:rPr>
        <w:bCs/>
      </w:rPr>
    </w:pPr>
  </w:p>
  <w:p w:rsidR="00EC25F9" w:rsidRPr="006F5820" w:rsidRDefault="00EC25F9">
    <w:pPr>
      <w:rPr>
        <w:rFonts w:ascii="TradeGothic" w:hAnsi="TradeGothic"/>
        <w:b/>
        <w:bCs/>
        <w:spacing w:val="12"/>
        <w:sz w:val="22"/>
      </w:rPr>
    </w:pPr>
  </w:p>
  <w:p w:rsidR="00EC25F9" w:rsidRPr="006F5820" w:rsidRDefault="00EC25F9">
    <w:pPr>
      <w:pStyle w:val="RKrubrik"/>
      <w:keepNext w:val="0"/>
      <w:tabs>
        <w:tab w:val="clear" w:pos="1134"/>
        <w:tab w:val="clear" w:pos="2835"/>
      </w:tabs>
      <w:spacing w:before="0" w:after="0" w:line="320" w:lineRule="atLeast"/>
      <w:rPr>
        <w:bCs/>
      </w:rPr>
    </w:pPr>
  </w:p>
  <w:p w:rsidR="00EC25F9" w:rsidRPr="006F5820"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515EB"/>
    <w:rsid w:val="00077F66"/>
    <w:rsid w:val="000E4D92"/>
    <w:rsid w:val="00150384"/>
    <w:rsid w:val="001805B7"/>
    <w:rsid w:val="004A328D"/>
    <w:rsid w:val="006515EB"/>
    <w:rsid w:val="006E4E11"/>
    <w:rsid w:val="006F5820"/>
    <w:rsid w:val="007242A3"/>
    <w:rsid w:val="009B1AAD"/>
    <w:rsid w:val="00D85282"/>
    <w:rsid w:val="00E3345B"/>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42F7BD-6204-4CD5-B581-E3F8FB95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33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1600</Words>
  <Characters>10198</Characters>
  <Application>Microsoft Office Word</Application>
  <DocSecurity>4</DocSecurity>
  <Lines>221</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2010-11-22T12:28:00Z</cp:lastPrinted>
  <dcterms:created xsi:type="dcterms:W3CDTF">2025-12-18T03:50:00Z</dcterms:created>
  <dcterms:modified xsi:type="dcterms:W3CDTF">2025-12-18T03:50:00Z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