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86F0C" w14:textId="77777777" w:rsidR="00FB32B9" w:rsidRDefault="00711F85" w:rsidP="00FB32B9">
      <w:pPr>
        <w:pStyle w:val="UDrubrik"/>
        <w:tabs>
          <w:tab w:val="left" w:pos="1701"/>
          <w:tab w:val="left" w:pos="1985"/>
        </w:tabs>
        <w:rPr>
          <w:rFonts w:cs="Arial"/>
          <w:sz w:val="28"/>
        </w:rPr>
      </w:pPr>
      <w:bookmarkStart w:id="0" w:name="_GoBack"/>
      <w:bookmarkEnd w:id="0"/>
    </w:p>
    <w:p w14:paraId="22F86F0D" w14:textId="77777777" w:rsidR="00FB32B9" w:rsidRDefault="00711F85" w:rsidP="00FB32B9">
      <w:pPr>
        <w:pStyle w:val="UDrubrik"/>
        <w:tabs>
          <w:tab w:val="left" w:pos="1701"/>
          <w:tab w:val="left" w:pos="1985"/>
        </w:tabs>
        <w:rPr>
          <w:rFonts w:cs="Arial"/>
          <w:sz w:val="28"/>
        </w:rPr>
      </w:pPr>
    </w:p>
    <w:p w14:paraId="22F86F0E" w14:textId="77777777" w:rsidR="00FB32B9" w:rsidRDefault="00711F85" w:rsidP="00FB32B9">
      <w:pPr>
        <w:pStyle w:val="UDrubrik"/>
        <w:tabs>
          <w:tab w:val="left" w:pos="1701"/>
          <w:tab w:val="left" w:pos="1985"/>
        </w:tabs>
        <w:rPr>
          <w:rFonts w:cs="Arial"/>
          <w:sz w:val="28"/>
        </w:rPr>
      </w:pPr>
    </w:p>
    <w:p w14:paraId="22F86F0F" w14:textId="77777777" w:rsidR="00FB32B9" w:rsidRDefault="00711F85" w:rsidP="00FB32B9">
      <w:pPr>
        <w:pStyle w:val="UDrubrik"/>
        <w:tabs>
          <w:tab w:val="left" w:pos="1701"/>
          <w:tab w:val="left" w:pos="1985"/>
        </w:tabs>
        <w:rPr>
          <w:rFonts w:cs="Arial"/>
          <w:sz w:val="28"/>
        </w:rPr>
      </w:pPr>
    </w:p>
    <w:p w14:paraId="22F86F10" w14:textId="40A19F27" w:rsidR="00FB32B9" w:rsidRDefault="003A0C43" w:rsidP="00FB32B9">
      <w:pPr>
        <w:pStyle w:val="UDrubrik"/>
        <w:tabs>
          <w:tab w:val="left" w:pos="1701"/>
          <w:tab w:val="left" w:pos="1985"/>
        </w:tabs>
        <w:rPr>
          <w:rFonts w:cs="Arial"/>
          <w:sz w:val="28"/>
        </w:rPr>
      </w:pPr>
      <w:r>
        <w:rPr>
          <w:rFonts w:cs="Arial"/>
          <w:sz w:val="28"/>
        </w:rPr>
        <w:t>Troliga A-punkter inför kommande rådsmöten som godkändes vid Coreper I onsdagen den 3 februari 2016, vecka 5.</w:t>
      </w:r>
    </w:p>
    <w:p w14:paraId="22F86F11" w14:textId="77777777" w:rsidR="00FB32B9" w:rsidRDefault="00711F85" w:rsidP="00FB32B9">
      <w:pPr>
        <w:pStyle w:val="Brdtext"/>
      </w:pPr>
    </w:p>
    <w:p w14:paraId="22F86F12" w14:textId="19B19225" w:rsidR="00FB32B9" w:rsidRDefault="003A0C43" w:rsidP="00FB32B9">
      <w:pPr>
        <w:pStyle w:val="Brdtext"/>
      </w:pPr>
      <w:r>
        <w:t>Överlämnas för skriftligt samråd till fredagen den 5 februari 2016, kl 12.00.</w:t>
      </w:r>
    </w:p>
    <w:p w14:paraId="22F86F13" w14:textId="77777777" w:rsidR="00FB32B9" w:rsidRDefault="003A0C43">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22F86F14" w14:textId="77777777" w:rsidR="00D957FB" w:rsidRPr="00FB32B9" w:rsidRDefault="003A0C43">
          <w:pPr>
            <w:pStyle w:val="Innehllsfrteckningsrubrik"/>
            <w:rPr>
              <w:color w:val="auto"/>
            </w:rPr>
          </w:pPr>
          <w:r w:rsidRPr="00FB32B9">
            <w:rPr>
              <w:color w:val="auto"/>
            </w:rPr>
            <w:t>Innehållsförteckning</w:t>
          </w:r>
        </w:p>
        <w:p w14:paraId="22F86F15" w14:textId="77777777" w:rsidR="00DA7250" w:rsidRPr="00DA7250" w:rsidRDefault="00711F85" w:rsidP="00DA7250">
          <w:pPr>
            <w:rPr>
              <w:lang w:val="en-US" w:eastAsia="ja-JP"/>
            </w:rPr>
          </w:pPr>
        </w:p>
        <w:p w14:paraId="22F86F16" w14:textId="77777777" w:rsidR="00A44137" w:rsidRDefault="003A0C43">
          <w:pPr>
            <w:pStyle w:val="Innehll1"/>
            <w:tabs>
              <w:tab w:val="left" w:pos="440"/>
              <w:tab w:val="right" w:leader="dot" w:pos="9062"/>
            </w:tabs>
            <w:rPr>
              <w:rFonts w:ascii="Calibri" w:hAnsi="Calibri"/>
              <w:noProof/>
            </w:rPr>
          </w:pPr>
          <w:r>
            <w:fldChar w:fldCharType="begin"/>
          </w:r>
          <w:r>
            <w:instrText xml:space="preserve"> TOC \o "1-1" \h \z \u </w:instrText>
          </w:r>
          <w:r>
            <w:fldChar w:fldCharType="separate"/>
          </w:r>
          <w:r>
            <w:rPr>
              <w:b/>
              <w:bCs/>
              <w:noProof/>
            </w:rPr>
            <w:fldChar w:fldCharType="begin"/>
          </w:r>
          <w:r>
            <w:rPr>
              <w:rStyle w:val="Hyperlnk"/>
              <w:b/>
              <w:bCs/>
              <w:noProof/>
            </w:rPr>
            <w:instrText xml:space="preserve"> HYPERLINK \l "_Toc256000003" </w:instrText>
          </w:r>
          <w:r>
            <w:rPr>
              <w:b/>
              <w:bCs/>
              <w:noProof/>
            </w:rPr>
            <w:fldChar w:fldCharType="separate"/>
          </w:r>
          <w:r>
            <w:rPr>
              <w:rStyle w:val="Hyperlnk"/>
            </w:rPr>
            <w:t>1.</w:t>
          </w:r>
          <w:r>
            <w:rPr>
              <w:rStyle w:val="Hyperlnk"/>
              <w:rFonts w:ascii="Calibri" w:hAnsi="Calibri"/>
              <w:noProof/>
            </w:rPr>
            <w:tab/>
          </w:r>
          <w:r>
            <w:rPr>
              <w:rStyle w:val="Hyperlnk"/>
              <w:noProof/>
            </w:rPr>
            <w:t>Replies to written questions put to the Council by Members of the European Parliament</w:t>
          </w:r>
          <w:r>
            <w:rPr>
              <w:rStyle w:val="Hyperlnk"/>
            </w:rPr>
            <w:tab/>
          </w:r>
          <w:r>
            <w:fldChar w:fldCharType="begin"/>
          </w:r>
          <w:r>
            <w:rPr>
              <w:rStyle w:val="Hyperlnk"/>
            </w:rPr>
            <w:instrText xml:space="preserve"> PAGEREF _Toc256000003 \h </w:instrText>
          </w:r>
          <w:r>
            <w:fldChar w:fldCharType="separate"/>
          </w:r>
          <w:r>
            <w:rPr>
              <w:rStyle w:val="Hyperlnk"/>
            </w:rPr>
            <w:t>3</w:t>
          </w:r>
          <w:r>
            <w:fldChar w:fldCharType="end"/>
          </w:r>
        </w:p>
        <w:p w14:paraId="22F86F17" w14:textId="77777777" w:rsidR="00A44137" w:rsidRDefault="003A0C43">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"_Toc256000004" </w:instrText>
          </w:r>
          <w:r>
            <w:rPr>
              <w:b/>
              <w:bCs/>
              <w:noProof/>
            </w:rPr>
            <w:fldChar w:fldCharType="separate"/>
          </w:r>
          <w:r>
            <w:rPr>
              <w:rStyle w:val="Hyperlnk"/>
            </w:rPr>
            <w:t>2.</w:t>
          </w:r>
          <w:r>
            <w:rPr>
              <w:rStyle w:val="Hyperlnk"/>
              <w:rFonts w:ascii="Calibri" w:hAnsi="Calibri"/>
              <w:noProof/>
            </w:rPr>
            <w:tab/>
          </w:r>
          <w:r>
            <w:rPr>
              <w:rStyle w:val="Hyperlnk"/>
              <w:noProof/>
            </w:rPr>
            <w:t>Case before the Court of Justice of the European Union Case C-5/16 (Republic of Poland v. European Parliament and Council of the European Union) Action for annulment of the decision of the European Parliament and the Council (EU) 2015/1814 on the establishment and operation of a market stability reserve for the Union greenhouse gas emissions trading scheme and amending Directive 2003/87/EC</w:t>
          </w:r>
          <w:r>
            <w:rPr>
              <w:rStyle w:val="Hyperlnk"/>
            </w:rPr>
            <w:tab/>
          </w:r>
          <w:r>
            <w:fldChar w:fldCharType="begin"/>
          </w:r>
          <w:r>
            <w:rPr>
              <w:rStyle w:val="Hyperlnk"/>
            </w:rPr>
            <w:instrText xml:space="preserve"> PAGEREF _Toc256000004 \h </w:instrText>
          </w:r>
          <w:r>
            <w:fldChar w:fldCharType="separate"/>
          </w:r>
          <w:r>
            <w:rPr>
              <w:rStyle w:val="Hyperlnk"/>
            </w:rPr>
            <w:t>3</w:t>
          </w:r>
          <w:r>
            <w:fldChar w:fldCharType="end"/>
          </w:r>
        </w:p>
        <w:p w14:paraId="22F86F18" w14:textId="77777777" w:rsidR="00A44137" w:rsidRDefault="003A0C43">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"_Toc256000005" </w:instrText>
          </w:r>
          <w:r>
            <w:rPr>
              <w:b/>
              <w:bCs/>
              <w:noProof/>
            </w:rPr>
            <w:fldChar w:fldCharType="separate"/>
          </w:r>
          <w:r>
            <w:rPr>
              <w:rStyle w:val="Hyperlnk"/>
            </w:rPr>
            <w:t>3.</w:t>
          </w:r>
          <w:r>
            <w:rPr>
              <w:rStyle w:val="Hyperlnk"/>
              <w:rFonts w:ascii="Calibri" w:hAnsi="Calibri"/>
              <w:noProof/>
            </w:rPr>
            <w:tab/>
          </w:r>
          <w:r>
            <w:rPr>
              <w:rStyle w:val="Hyperlnk"/>
              <w:noProof/>
            </w:rPr>
            <w:t>Commission Regulation (EU) …/… of XXX amending Annex II to Regulation (EC) No 1333/2008 of the European Parliament and of the Council as regards the use of Steviol glycosides (E 960) as a sweetener in certain energy-reduced or with no added sugars beverages</w:t>
          </w:r>
          <w:r>
            <w:rPr>
              <w:rStyle w:val="Hyperlnk"/>
            </w:rPr>
            <w:tab/>
          </w:r>
          <w:r>
            <w:fldChar w:fldCharType="begin"/>
          </w:r>
          <w:r>
            <w:rPr>
              <w:rStyle w:val="Hyperlnk"/>
            </w:rPr>
            <w:instrText xml:space="preserve"> PAGEREF _Toc256000005 \h </w:instrText>
          </w:r>
          <w:r>
            <w:fldChar w:fldCharType="separate"/>
          </w:r>
          <w:r>
            <w:rPr>
              <w:rStyle w:val="Hyperlnk"/>
            </w:rPr>
            <w:t>4</w:t>
          </w:r>
          <w:r>
            <w:fldChar w:fldCharType="end"/>
          </w:r>
        </w:p>
        <w:p w14:paraId="22F86F19" w14:textId="77777777" w:rsidR="00A44137" w:rsidRDefault="003A0C43">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"_Toc256000006" </w:instrText>
          </w:r>
          <w:r>
            <w:rPr>
              <w:b/>
              <w:bCs/>
              <w:noProof/>
            </w:rPr>
            <w:fldChar w:fldCharType="separate"/>
          </w:r>
          <w:r>
            <w:rPr>
              <w:rStyle w:val="Hyperlnk"/>
            </w:rPr>
            <w:t>4.</w:t>
          </w:r>
          <w:r>
            <w:rPr>
              <w:rStyle w:val="Hyperlnk"/>
              <w:rFonts w:ascii="Calibri" w:hAnsi="Calibri"/>
              <w:noProof/>
            </w:rPr>
            <w:tab/>
          </w:r>
          <w:r>
            <w:rPr>
              <w:rStyle w:val="Hyperlnk"/>
              <w:noProof/>
            </w:rPr>
            <w:t>Commission Regulation (EU) …/… of XXX amending Annex II to Regulation (EC) No 1333/2008 of the European Parliament and of the Council as regards the use of Steviol glycosides (E 960) as a sweetener in mustard</w:t>
          </w:r>
          <w:r>
            <w:rPr>
              <w:rStyle w:val="Hyperlnk"/>
            </w:rPr>
            <w:tab/>
          </w:r>
          <w:r>
            <w:fldChar w:fldCharType="begin"/>
          </w:r>
          <w:r>
            <w:rPr>
              <w:rStyle w:val="Hyperlnk"/>
            </w:rPr>
            <w:instrText xml:space="preserve"> PAGEREF _Toc256000006 \h </w:instrText>
          </w:r>
          <w:r>
            <w:fldChar w:fldCharType="separate"/>
          </w:r>
          <w:r>
            <w:rPr>
              <w:rStyle w:val="Hyperlnk"/>
            </w:rPr>
            <w:t>4</w:t>
          </w:r>
          <w:r>
            <w:fldChar w:fldCharType="end"/>
          </w:r>
        </w:p>
        <w:p w14:paraId="22F86F1A" w14:textId="77777777" w:rsidR="00A44137" w:rsidRDefault="003A0C43">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"_Toc256000007" </w:instrText>
          </w:r>
          <w:r>
            <w:rPr>
              <w:b/>
              <w:bCs/>
              <w:noProof/>
            </w:rPr>
            <w:fldChar w:fldCharType="separate"/>
          </w:r>
          <w:r>
            <w:rPr>
              <w:rStyle w:val="Hyperlnk"/>
            </w:rPr>
            <w:t>5.</w:t>
          </w:r>
          <w:r>
            <w:rPr>
              <w:rStyle w:val="Hyperlnk"/>
              <w:rFonts w:ascii="Calibri" w:hAnsi="Calibri"/>
              <w:noProof/>
            </w:rPr>
            <w:tab/>
          </w:r>
          <w:r>
            <w:rPr>
              <w:rStyle w:val="Hyperlnk"/>
              <w:noProof/>
            </w:rPr>
            <w:t>Commission Regulation (EU) No …/.. of XXX supplementing Regulation (EC) No 1071/2009 of the European Parliament and of the Council with regard to the classification of serious infringements of the Union rules, which may lead to the loss of good repute by the road transport operator and amending Annex III to Directive 2006/22/EC of the European Parliament and of the Council (Text with EEA relevance)</w:t>
          </w:r>
          <w:r>
            <w:rPr>
              <w:rStyle w:val="Hyperlnk"/>
            </w:rPr>
            <w:tab/>
          </w:r>
          <w:r>
            <w:fldChar w:fldCharType="begin"/>
          </w:r>
          <w:r>
            <w:rPr>
              <w:rStyle w:val="Hyperlnk"/>
            </w:rPr>
            <w:instrText xml:space="preserve"> PAGEREF _Toc256000007 \h </w:instrText>
          </w:r>
          <w:r>
            <w:fldChar w:fldCharType="separate"/>
          </w:r>
          <w:r>
            <w:rPr>
              <w:rStyle w:val="Hyperlnk"/>
            </w:rPr>
            <w:t>5</w:t>
          </w:r>
          <w:r>
            <w:fldChar w:fldCharType="end"/>
          </w:r>
        </w:p>
        <w:p w14:paraId="22F86F1B" w14:textId="77777777" w:rsidR="00A44137" w:rsidRDefault="003A0C43">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"_Toc256000008" </w:instrText>
          </w:r>
          <w:r>
            <w:rPr>
              <w:b/>
              <w:bCs/>
              <w:noProof/>
            </w:rPr>
            <w:fldChar w:fldCharType="separate"/>
          </w:r>
          <w:r>
            <w:rPr>
              <w:rStyle w:val="Hyperlnk"/>
            </w:rPr>
            <w:t>6.</w:t>
          </w:r>
          <w:r>
            <w:rPr>
              <w:rStyle w:val="Hyperlnk"/>
              <w:rFonts w:ascii="Calibri" w:hAnsi="Calibri"/>
              <w:noProof/>
            </w:rPr>
            <w:tab/>
          </w:r>
          <w:r>
            <w:rPr>
              <w:rStyle w:val="Hyperlnk"/>
              <w:noProof/>
            </w:rPr>
            <w:t>Draft Recommendation for a Council Decision approving the renewal of the participation of the European Atomic Energy Community (Euratom) in the Framework Agreement for international collaboration on research and development of Generation IV nuclear energy systems</w:t>
          </w:r>
          <w:r>
            <w:rPr>
              <w:rStyle w:val="Hyperlnk"/>
            </w:rPr>
            <w:tab/>
          </w:r>
          <w:r>
            <w:fldChar w:fldCharType="begin"/>
          </w:r>
          <w:r>
            <w:rPr>
              <w:rStyle w:val="Hyperlnk"/>
            </w:rPr>
            <w:instrText xml:space="preserve"> PAGEREF _Toc256000008 \h </w:instrText>
          </w:r>
          <w:r>
            <w:fldChar w:fldCharType="separate"/>
          </w:r>
          <w:r>
            <w:rPr>
              <w:rStyle w:val="Hyperlnk"/>
            </w:rPr>
            <w:t>5</w:t>
          </w:r>
          <w:r>
            <w:fldChar w:fldCharType="end"/>
          </w:r>
        </w:p>
        <w:p w14:paraId="22F86F1C" w14:textId="77777777" w:rsidR="00A44137" w:rsidRDefault="003A0C43">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"_Toc256000009" </w:instrText>
          </w:r>
          <w:r>
            <w:rPr>
              <w:b/>
              <w:bCs/>
              <w:noProof/>
            </w:rPr>
            <w:fldChar w:fldCharType="separate"/>
          </w:r>
          <w:r>
            <w:rPr>
              <w:rStyle w:val="Hyperlnk"/>
            </w:rPr>
            <w:t>7.</w:t>
          </w:r>
          <w:r>
            <w:rPr>
              <w:rStyle w:val="Hyperlnk"/>
              <w:rFonts w:ascii="Calibri" w:hAnsi="Calibri"/>
              <w:noProof/>
            </w:rPr>
            <w:tab/>
          </w:r>
          <w:r>
            <w:rPr>
              <w:rStyle w:val="Hyperlnk"/>
              <w:noProof/>
            </w:rPr>
            <w:t>Draft Regulation of the European Parliament and of the Council on cableway installations and repealing Directive 2000/9/EC (First reading) (LA)</w:t>
          </w:r>
          <w:r>
            <w:rPr>
              <w:rStyle w:val="Hyperlnk"/>
            </w:rPr>
            <w:tab/>
          </w:r>
          <w:r>
            <w:fldChar w:fldCharType="begin"/>
          </w:r>
          <w:r>
            <w:rPr>
              <w:rStyle w:val="Hyperlnk"/>
            </w:rPr>
            <w:instrText xml:space="preserve"> PAGEREF _Toc256000009 \h </w:instrText>
          </w:r>
          <w:r>
            <w:fldChar w:fldCharType="separate"/>
          </w:r>
          <w:r>
            <w:rPr>
              <w:rStyle w:val="Hyperlnk"/>
            </w:rPr>
            <w:t>7</w:t>
          </w:r>
          <w:r>
            <w:fldChar w:fldCharType="end"/>
          </w:r>
        </w:p>
        <w:p w14:paraId="22F86F1D" w14:textId="77777777" w:rsidR="00A44137" w:rsidRDefault="003A0C43">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"_Toc256000010" </w:instrText>
          </w:r>
          <w:r>
            <w:rPr>
              <w:b/>
              <w:bCs/>
              <w:noProof/>
            </w:rPr>
            <w:fldChar w:fldCharType="separate"/>
          </w:r>
          <w:r>
            <w:rPr>
              <w:rStyle w:val="Hyperlnk"/>
            </w:rPr>
            <w:t>8.</w:t>
          </w:r>
          <w:r>
            <w:rPr>
              <w:rStyle w:val="Hyperlnk"/>
              <w:rFonts w:ascii="Calibri" w:hAnsi="Calibri"/>
              <w:noProof/>
            </w:rPr>
            <w:tab/>
          </w:r>
          <w:r>
            <w:rPr>
              <w:rStyle w:val="Hyperlnk"/>
              <w:noProof/>
            </w:rPr>
            <w:t>Draft Regulation of the European Parliament and of the Council on personal protective equipment and repealing Council Directive 89/686/EEC (First reading) (LA)</w:t>
          </w:r>
          <w:r>
            <w:rPr>
              <w:rStyle w:val="Hyperlnk"/>
            </w:rPr>
            <w:tab/>
          </w:r>
          <w:r>
            <w:fldChar w:fldCharType="begin"/>
          </w:r>
          <w:r>
            <w:rPr>
              <w:rStyle w:val="Hyperlnk"/>
            </w:rPr>
            <w:instrText xml:space="preserve"> PAGEREF _Toc256000010 \h </w:instrText>
          </w:r>
          <w:r>
            <w:fldChar w:fldCharType="separate"/>
          </w:r>
          <w:r>
            <w:rPr>
              <w:rStyle w:val="Hyperlnk"/>
            </w:rPr>
            <w:t>7</w:t>
          </w:r>
          <w:r>
            <w:fldChar w:fldCharType="end"/>
          </w:r>
        </w:p>
        <w:p w14:paraId="22F86F1E" w14:textId="77777777" w:rsidR="00A44137" w:rsidRDefault="003A0C43">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"_Toc256000011" </w:instrText>
          </w:r>
          <w:r>
            <w:rPr>
              <w:b/>
              <w:bCs/>
              <w:noProof/>
            </w:rPr>
            <w:fldChar w:fldCharType="separate"/>
          </w:r>
          <w:r>
            <w:rPr>
              <w:rStyle w:val="Hyperlnk"/>
            </w:rPr>
            <w:t>9.</w:t>
          </w:r>
          <w:r>
            <w:rPr>
              <w:rStyle w:val="Hyperlnk"/>
              <w:rFonts w:ascii="Calibri" w:hAnsi="Calibri"/>
              <w:noProof/>
            </w:rPr>
            <w:tab/>
          </w:r>
          <w:r>
            <w:rPr>
              <w:rStyle w:val="Hyperlnk"/>
              <w:noProof/>
            </w:rPr>
            <w:t>Draft Regulation of the European Parliament and of the Council on appliances burning gaseous fuels and repealing Directive 2009/142/EC (First reading) (LA)</w:t>
          </w:r>
          <w:r>
            <w:rPr>
              <w:rStyle w:val="Hyperlnk"/>
            </w:rPr>
            <w:tab/>
          </w:r>
          <w:r>
            <w:fldChar w:fldCharType="begin"/>
          </w:r>
          <w:r>
            <w:rPr>
              <w:rStyle w:val="Hyperlnk"/>
            </w:rPr>
            <w:instrText xml:space="preserve"> PAGEREF _Toc256000011 \h </w:instrText>
          </w:r>
          <w:r>
            <w:fldChar w:fldCharType="separate"/>
          </w:r>
          <w:r>
            <w:rPr>
              <w:rStyle w:val="Hyperlnk"/>
            </w:rPr>
            <w:t>8</w:t>
          </w:r>
          <w:r>
            <w:fldChar w:fldCharType="end"/>
          </w:r>
        </w:p>
        <w:p w14:paraId="22F86F1F" w14:textId="77777777" w:rsidR="00D957FB" w:rsidRDefault="003A0C43">
          <w:r>
            <w:rPr>
              <w:b/>
              <w:bCs/>
              <w:noProof/>
            </w:rPr>
            <w:fldChar w:fldCharType="end"/>
          </w:r>
          <w:r>
            <w:rPr>
              <w:b/>
              <w:bCs/>
              <w:noProof/>
            </w:rPr>
            <w:fldChar w:fldCharType="end"/>
          </w:r>
        </w:p>
      </w:sdtContent>
    </w:sdt>
    <w:p w14:paraId="22F86F20" w14:textId="77777777" w:rsidR="00D957FB" w:rsidRDefault="003A0C43">
      <w:pPr>
        <w:ind w:left="0"/>
      </w:pPr>
      <w:r>
        <w:br w:type="page"/>
      </w:r>
    </w:p>
    <w:p w14:paraId="22F86F21" w14:textId="77777777" w:rsidR="00643D86" w:rsidRDefault="00711F85" w:rsidP="00643D86">
      <w:pPr>
        <w:pStyle w:val="Rubrik1"/>
        <w:numPr>
          <w:ilvl w:val="0"/>
          <w:numId w:val="0"/>
        </w:numPr>
      </w:pPr>
      <w:bookmarkStart w:id="1" w:name="_Toc364854645"/>
    </w:p>
    <w:p w14:paraId="22F86F22" w14:textId="77777777" w:rsidR="00643D86" w:rsidRDefault="003A0C43" w:rsidP="00643D86">
      <w:pPr>
        <w:pStyle w:val="Rubrik1"/>
      </w:pPr>
      <w:bookmarkStart w:id="2" w:name="_Toc256000003"/>
      <w:r>
        <w:rPr>
          <w:noProof/>
        </w:rPr>
        <w:t>Replies to written questions put to the Council by Members of the European Parliament</w:t>
      </w:r>
      <w:bookmarkEnd w:id="2"/>
      <w:r>
        <w:rPr>
          <w:noProof/>
        </w:rPr>
        <w:t xml:space="preserve"> </w:t>
      </w:r>
    </w:p>
    <w:p w14:paraId="2981F127" w14:textId="7C3E66CD" w:rsidR="003A0C43" w:rsidRDefault="003A0C43" w:rsidP="00643D86">
      <w:pPr>
        <w:rPr>
          <w:lang w:val="en-US"/>
        </w:rPr>
      </w:pPr>
      <w:r>
        <w:rPr>
          <w:noProof/>
          <w:lang w:val="en-US"/>
        </w:rPr>
        <w:t>a</w:t>
      </w:r>
      <w:r>
        <w:rPr>
          <w:lang w:val="en-US"/>
        </w:rPr>
        <w:t xml:space="preserve">) E-009350/2015 - Gianluca Buonanno (NI) The US has helped ISIS 5132/16 PE-QE 3 </w:t>
      </w:r>
      <w:r>
        <w:rPr>
          <w:lang w:val="en-US"/>
        </w:rPr>
        <w:br/>
        <w:t xml:space="preserve">b) E-010170/2015 - Fulvio Martusciello (PPE) Funds allocated to immigration management operations 5168/16 PE-QE 5 </w:t>
      </w:r>
      <w:r>
        <w:rPr>
          <w:lang w:val="en-US"/>
        </w:rPr>
        <w:br/>
        <w:t xml:space="preserve">c) E-012205/2015 - Hans-Olaf Henkel (ECR) Distribution of refugees within the EU 5167/16 PE-QE 4 </w:t>
      </w:r>
      <w:r>
        <w:rPr>
          <w:lang w:val="en-US"/>
        </w:rPr>
        <w:br/>
        <w:t xml:space="preserve">d) E-012513/2015 - Josu Juaristi Abaunz (GUE/NGL) Urgent need for an EU asylum policy as a response to the humanitarian refugee crisis 5176/16 PE-QE 8 </w:t>
      </w:r>
      <w:r>
        <w:rPr>
          <w:lang w:val="en-US"/>
        </w:rPr>
        <w:br/>
        <w:t xml:space="preserve">e) E-014135/2015 - Aymeric Chauprade (ENF) Draft budget linked to the management of the refugee crisis 5174/16 PE-QE 7 </w:t>
      </w:r>
      <w:r>
        <w:rPr>
          <w:lang w:val="en-US"/>
        </w:rPr>
        <w:br/>
        <w:t>f) E-014315/2015 - Georgios Epitideios (NI) Statements by Mr Dijsselbloem to the Frankfurter Allgemeine Zeitung 5169/16 PE-QE 6</w:t>
      </w:r>
    </w:p>
    <w:p w14:paraId="22F86F24" w14:textId="790D1F3C" w:rsidR="00643D86" w:rsidRDefault="003A0C43" w:rsidP="00643D86">
      <w:r>
        <w:rPr>
          <w:b/>
        </w:rPr>
        <w:t>Ansvarigt statsråd</w:t>
      </w:r>
      <w:r>
        <w:rPr>
          <w:b/>
        </w:rPr>
        <w:br/>
      </w:r>
      <w:r>
        <w:rPr>
          <w:noProof/>
        </w:rPr>
        <w:t>Stefan Löfven</w:t>
      </w:r>
    </w:p>
    <w:p w14:paraId="22F86F27" w14:textId="77777777" w:rsidR="00643D86" w:rsidRDefault="003A0C43" w:rsidP="00643D86">
      <w:r w:rsidRPr="00B44CE2">
        <w:rPr>
          <w:b/>
        </w:rPr>
        <w:t>Annotering</w:t>
      </w:r>
      <w:r>
        <w:rPr>
          <w:b/>
        </w:rPr>
        <w:br/>
      </w:r>
      <w:r>
        <w:t>Föranleder ingen annotering.</w:t>
      </w:r>
    </w:p>
    <w:p w14:paraId="22F86F28" w14:textId="77777777" w:rsidR="00643D86" w:rsidRDefault="003A0C43" w:rsidP="00643D86">
      <w:pPr>
        <w:pStyle w:val="Rubrik1"/>
      </w:pPr>
      <w:bookmarkStart w:id="3" w:name="_Toc256000004"/>
      <w:r>
        <w:rPr>
          <w:noProof/>
        </w:rPr>
        <w:t>Case before the Court of Justice of the European Union</w:t>
      </w:r>
      <w:r>
        <w:rPr>
          <w:noProof/>
        </w:rPr>
        <w:br/>
        <w:t>Case C-5/16 (Republic of Poland v. European Parliament and Council of the European Union) Action for annulment of the decision of the European Parliament and the Council (EU) 2015/1814 on the establishment and operation of a market stability reserve for the Union greenhouse gas emissions trading scheme and amending Directive 2003/87/EC</w:t>
      </w:r>
      <w:bookmarkEnd w:id="3"/>
    </w:p>
    <w:p w14:paraId="22F86F29" w14:textId="68205D62" w:rsidR="00643D86" w:rsidRDefault="003A0C43" w:rsidP="00643D86">
      <w:pPr>
        <w:rPr>
          <w:lang w:val="en-US"/>
        </w:rPr>
      </w:pPr>
      <w:r>
        <w:rPr>
          <w:noProof/>
          <w:lang w:val="en-US"/>
        </w:rPr>
        <w:t>Information</w:t>
      </w:r>
      <w:r>
        <w:rPr>
          <w:lang w:val="en-US"/>
        </w:rPr>
        <w:t xml:space="preserve"> note for the Permanent Representatives Committee (Part 1) </w:t>
      </w:r>
      <w:r>
        <w:rPr>
          <w:lang w:val="en-US"/>
        </w:rPr>
        <w:br/>
      </w:r>
      <w:r>
        <w:rPr>
          <w:noProof/>
          <w:lang w:val="en-US"/>
        </w:rPr>
        <w:t>5473</w:t>
      </w:r>
      <w:r>
        <w:rPr>
          <w:lang w:val="en-US"/>
        </w:rPr>
        <w:t>/16 JUR 37 CLIMA 2 ENV 21 CODEC 61 MI 28 IND 8 ENER 9ECOFIN 37 TRANS 18 COMPET 17</w:t>
      </w:r>
    </w:p>
    <w:p w14:paraId="22F86F2A" w14:textId="77777777" w:rsidR="00643D86" w:rsidRDefault="003A0C43" w:rsidP="00643D86">
      <w:r>
        <w:rPr>
          <w:b/>
        </w:rPr>
        <w:t>Ansvarigt statsråd</w:t>
      </w:r>
      <w:r>
        <w:rPr>
          <w:b/>
        </w:rPr>
        <w:br/>
      </w:r>
      <w:r>
        <w:rPr>
          <w:noProof/>
        </w:rPr>
        <w:t>Margot Wallström</w:t>
      </w:r>
    </w:p>
    <w:p w14:paraId="22F86F2D" w14:textId="77777777" w:rsidR="00643D86" w:rsidRDefault="003A0C43" w:rsidP="00643D86">
      <w:r w:rsidRPr="00B44CE2">
        <w:rPr>
          <w:b/>
        </w:rPr>
        <w:t>Annotering</w:t>
      </w:r>
      <w:r>
        <w:rPr>
          <w:b/>
        </w:rPr>
        <w:br/>
      </w:r>
      <w:r>
        <w:rPr>
          <w:b/>
          <w:bCs/>
        </w:rPr>
        <w:t>Avsikt med behandlingen i rådet:</w:t>
      </w:r>
      <w:r>
        <w:t xml:space="preserve"> Information om ett mål vid EU-domstolen där rådet har utsett ombud.</w:t>
      </w:r>
      <w:r>
        <w:rPr>
          <w:b/>
          <w:bCs/>
        </w:rPr>
        <w:t> </w:t>
      </w:r>
      <w:r>
        <w:t xml:space="preserve">  </w:t>
      </w:r>
    </w:p>
    <w:p w14:paraId="22F86F2E" w14:textId="77777777" w:rsidR="00A44137" w:rsidRDefault="003A0C43">
      <w:pPr>
        <w:spacing w:after="280" w:afterAutospacing="1"/>
      </w:pPr>
      <w:r>
        <w:rPr>
          <w:b/>
          <w:bCs/>
        </w:rPr>
        <w:t>Hur regeringen ställer sig till den blivande A-punkten:</w:t>
      </w:r>
      <w:r>
        <w:t xml:space="preserve"> Regeringen har ingen erinran mot denna informationspunkt. </w:t>
      </w:r>
    </w:p>
    <w:p w14:paraId="22F86F2F" w14:textId="77777777" w:rsidR="00A44137" w:rsidRDefault="003A0C43">
      <w:pPr>
        <w:spacing w:after="280" w:afterAutospacing="1"/>
      </w:pPr>
      <w:r>
        <w:rPr>
          <w:b/>
          <w:bCs/>
        </w:rPr>
        <w:t>Bakgrund:</w:t>
      </w:r>
      <w:r>
        <w:t xml:space="preserve"> Målet rör en ogiltighetstalan som Polen har väckt avseende Europaparlamentets och rådets beslut (EU) 2015/1814 av den 6 oktober 2015 om upprättande och användning av en reserv för marknadsstabilitet för unionens utsläppshandelssystem och om ändring av direktiv 2003/87/EG.</w:t>
      </w:r>
    </w:p>
    <w:p w14:paraId="22F86F30" w14:textId="77777777" w:rsidR="00FB32B9" w:rsidRDefault="00711F85">
      <w:pPr>
        <w:spacing w:after="280" w:afterAutospacing="1"/>
        <w:rPr>
          <w:noProof/>
        </w:rPr>
      </w:pPr>
    </w:p>
    <w:p w14:paraId="22F86F31" w14:textId="77777777" w:rsidR="00643D86" w:rsidRDefault="003A0C43" w:rsidP="00643D86">
      <w:pPr>
        <w:pStyle w:val="Rubrik1"/>
      </w:pPr>
      <w:bookmarkStart w:id="4" w:name="_Toc256000005"/>
      <w:r>
        <w:rPr>
          <w:noProof/>
        </w:rPr>
        <w:lastRenderedPageBreak/>
        <w:t>Commission Regulation (EU) …/… of XXX amending Annex II to Regulation (EC) No 1333/2008 of the European Parliament and of the Council as regards the use of Steviol glycosides (E 960) as a sweetener in certain energy-reduced or with no added sugars beverages</w:t>
      </w:r>
      <w:bookmarkEnd w:id="4"/>
    </w:p>
    <w:p w14:paraId="22F86F32" w14:textId="2D9F32DA" w:rsidR="00643D86" w:rsidRDefault="003A0C43" w:rsidP="00643D86">
      <w:pPr>
        <w:rPr>
          <w:lang w:val="en-US"/>
        </w:rPr>
      </w:pPr>
      <w:r>
        <w:rPr>
          <w:noProof/>
          <w:lang w:val="en-US"/>
        </w:rPr>
        <w:t>Decision</w:t>
      </w:r>
      <w:r>
        <w:rPr>
          <w:lang w:val="en-US"/>
        </w:rPr>
        <w:t xml:space="preserve"> not to oppose adoption </w:t>
      </w:r>
      <w:r>
        <w:rPr>
          <w:lang w:val="en-US"/>
        </w:rPr>
        <w:br/>
      </w:r>
      <w:r>
        <w:rPr>
          <w:noProof/>
          <w:lang w:val="en-US"/>
        </w:rPr>
        <w:t>5459</w:t>
      </w:r>
      <w:r>
        <w:rPr>
          <w:lang w:val="en-US"/>
        </w:rPr>
        <w:t>/16 DENLEG 8 AGRI 22 SAN 27 5241/16 DENLEG 4 AGRI 11 SAN 9 + ADD 1</w:t>
      </w:r>
    </w:p>
    <w:p w14:paraId="22F86F33" w14:textId="77777777" w:rsidR="00643D86" w:rsidRDefault="003A0C43" w:rsidP="00643D86">
      <w:r>
        <w:rPr>
          <w:b/>
        </w:rPr>
        <w:t>Ansvarigt statsråd</w:t>
      </w:r>
      <w:r>
        <w:rPr>
          <w:b/>
        </w:rPr>
        <w:br/>
      </w:r>
      <w:r>
        <w:rPr>
          <w:noProof/>
        </w:rPr>
        <w:t>Sven-Erik Bucht</w:t>
      </w:r>
    </w:p>
    <w:p w14:paraId="22F86F36" w14:textId="77777777" w:rsidR="00643D86" w:rsidRDefault="003A0C43" w:rsidP="00643D86">
      <w:r w:rsidRPr="00B44CE2">
        <w:rPr>
          <w:b/>
        </w:rPr>
        <w:t>Annotering</w:t>
      </w:r>
      <w:r>
        <w:rPr>
          <w:b/>
        </w:rPr>
        <w:br/>
      </w:r>
      <w:r>
        <w:t>Föranleder ingen annotering.</w:t>
      </w:r>
    </w:p>
    <w:p w14:paraId="22F86F37" w14:textId="77777777" w:rsidR="00643D86" w:rsidRDefault="003A0C43" w:rsidP="00643D86">
      <w:pPr>
        <w:pStyle w:val="Rubrik1"/>
      </w:pPr>
      <w:bookmarkStart w:id="5" w:name="_Toc256000006"/>
      <w:r>
        <w:rPr>
          <w:noProof/>
        </w:rPr>
        <w:t>Commission Regulation (EU) …/… of XXX amending Annex II to Regulation (EC) No 1333/2008 of the European Parliament and of the Council as regards the use of Steviol glycosides (E 960) as a sweetener in mustard</w:t>
      </w:r>
      <w:bookmarkEnd w:id="5"/>
    </w:p>
    <w:p w14:paraId="22F86F38" w14:textId="168703B9" w:rsidR="00643D86" w:rsidRDefault="003A0C43" w:rsidP="00643D86">
      <w:pPr>
        <w:rPr>
          <w:lang w:val="en-US"/>
        </w:rPr>
      </w:pPr>
      <w:r>
        <w:rPr>
          <w:noProof/>
          <w:lang w:val="en-US"/>
        </w:rPr>
        <w:t>Decision</w:t>
      </w:r>
      <w:r>
        <w:rPr>
          <w:lang w:val="en-US"/>
        </w:rPr>
        <w:t xml:space="preserve"> not to oppose adoption </w:t>
      </w:r>
      <w:r>
        <w:rPr>
          <w:lang w:val="en-US"/>
        </w:rPr>
        <w:br/>
      </w:r>
      <w:r>
        <w:rPr>
          <w:noProof/>
          <w:lang w:val="en-US"/>
        </w:rPr>
        <w:t>5458</w:t>
      </w:r>
      <w:r>
        <w:rPr>
          <w:lang w:val="en-US"/>
        </w:rPr>
        <w:t>/16 DENLEG 7 AGRI 21 SAN 26 5234/16 DENLEG 3 AGRI 10 SAN 8 + ADD 1</w:t>
      </w:r>
    </w:p>
    <w:p w14:paraId="22F86F39" w14:textId="77777777" w:rsidR="00643D86" w:rsidRDefault="003A0C43" w:rsidP="00643D86">
      <w:r>
        <w:rPr>
          <w:b/>
        </w:rPr>
        <w:t>Ansvarigt statsråd</w:t>
      </w:r>
      <w:r>
        <w:rPr>
          <w:b/>
        </w:rPr>
        <w:br/>
      </w:r>
      <w:r>
        <w:rPr>
          <w:noProof/>
        </w:rPr>
        <w:t>Sven-Erik Bucht</w:t>
      </w:r>
    </w:p>
    <w:p w14:paraId="22F86F3C" w14:textId="77777777" w:rsidR="00643D86" w:rsidRDefault="003A0C43" w:rsidP="00643D86">
      <w:r w:rsidRPr="00B44CE2">
        <w:rPr>
          <w:b/>
        </w:rPr>
        <w:t>Annotering</w:t>
      </w:r>
      <w:r>
        <w:rPr>
          <w:b/>
        </w:rPr>
        <w:br/>
      </w:r>
      <w:r>
        <w:t>Föranleder ingen annotering.</w:t>
      </w:r>
    </w:p>
    <w:p w14:paraId="22F86F3D" w14:textId="77777777" w:rsidR="00643D86" w:rsidRDefault="003A0C43" w:rsidP="00643D86">
      <w:pPr>
        <w:pStyle w:val="Rubrik1"/>
      </w:pPr>
      <w:bookmarkStart w:id="6" w:name="_Toc256000007"/>
      <w:r>
        <w:rPr>
          <w:noProof/>
        </w:rPr>
        <w:t>Commission Regulation (EU) No …/.. of XXX supplementing Regulation (EC) No 1071/2009 of the European Parliament and of the Council with regard to the classification of serious infringements of the Union rules, which may lead to the loss of good repute by the road transport operator and amending Annex III to Directive 2006/22/EC of the European Parliament and of the Council (Text with EEA relevance)</w:t>
      </w:r>
      <w:bookmarkEnd w:id="6"/>
    </w:p>
    <w:p w14:paraId="22F86F3E" w14:textId="0FC1C463" w:rsidR="00643D86" w:rsidRDefault="003A0C43" w:rsidP="00643D86">
      <w:pPr>
        <w:rPr>
          <w:lang w:val="en-US"/>
        </w:rPr>
      </w:pPr>
      <w:r>
        <w:rPr>
          <w:noProof/>
          <w:lang w:val="en-US"/>
        </w:rPr>
        <w:t>Decision</w:t>
      </w:r>
      <w:r>
        <w:rPr>
          <w:lang w:val="en-US"/>
        </w:rPr>
        <w:t xml:space="preserve"> not to oppose adoption </w:t>
      </w:r>
      <w:r>
        <w:rPr>
          <w:lang w:val="en-US"/>
        </w:rPr>
        <w:br/>
      </w:r>
      <w:r>
        <w:rPr>
          <w:noProof/>
          <w:lang w:val="en-US"/>
        </w:rPr>
        <w:t>5688</w:t>
      </w:r>
      <w:r>
        <w:rPr>
          <w:lang w:val="en-US"/>
        </w:rPr>
        <w:t>/16 TRANS 33+ ADD 1 14877/15 TRANS 397 + ADD 1+ ADD 1 REV 1 (es)</w:t>
      </w:r>
    </w:p>
    <w:p w14:paraId="22F86F3F" w14:textId="77777777" w:rsidR="00643D86" w:rsidRDefault="003A0C43" w:rsidP="00643D86">
      <w:r>
        <w:rPr>
          <w:b/>
        </w:rPr>
        <w:t>Ansvarigt statsråd</w:t>
      </w:r>
      <w:r>
        <w:rPr>
          <w:b/>
        </w:rPr>
        <w:br/>
      </w:r>
      <w:r>
        <w:rPr>
          <w:noProof/>
        </w:rPr>
        <w:t>Anna Johansson</w:t>
      </w:r>
    </w:p>
    <w:p w14:paraId="22F86F41" w14:textId="77777777" w:rsidR="00643D86" w:rsidRPr="00643D86" w:rsidRDefault="003A0C43" w:rsidP="00643D86">
      <w:r w:rsidRPr="00643D86">
        <w:rPr>
          <w:b/>
        </w:rPr>
        <w:t>Tidigare behandling vid rådsmöte</w:t>
      </w:r>
      <w:r>
        <w:rPr>
          <w:b/>
        </w:rPr>
        <w:br/>
      </w:r>
      <w:r>
        <w:rPr>
          <w:noProof/>
        </w:rPr>
        <w:t>2015-10-30</w:t>
      </w:r>
    </w:p>
    <w:p w14:paraId="22F86F42" w14:textId="77777777" w:rsidR="00643D86" w:rsidRDefault="003A0C43" w:rsidP="00643D86">
      <w:r w:rsidRPr="00B44CE2">
        <w:rPr>
          <w:b/>
        </w:rPr>
        <w:t>Annotering</w:t>
      </w:r>
      <w:r>
        <w:rPr>
          <w:b/>
        </w:rPr>
        <w:br/>
      </w:r>
      <w:r>
        <w:rPr>
          <w:b/>
          <w:bCs/>
        </w:rPr>
        <w:t>Avsikt med behandlingen i rådet:</w:t>
      </w:r>
      <w:r>
        <w:t xml:space="preserve"> Besluta om ett antagande av rättsakten som tidigare antagits efter omröstning i Kommittén för vägtransporter </w:t>
      </w:r>
    </w:p>
    <w:p w14:paraId="22F86F43" w14:textId="77777777" w:rsidR="00A44137" w:rsidRDefault="003A0C43">
      <w:pPr>
        <w:spacing w:after="280" w:afterAutospacing="1"/>
      </w:pPr>
      <w:r>
        <w:rPr>
          <w:b/>
          <w:bCs/>
        </w:rPr>
        <w:t>Hur regeringen ställer sig till den blivande A-punkten:</w:t>
      </w:r>
      <w:r>
        <w:t xml:space="preserve"> SE är positiva till förslaget och har även tidigare röstat för förslaget efter GB inom Regeringskansliet. </w:t>
      </w:r>
    </w:p>
    <w:p w14:paraId="22F86F45" w14:textId="611C9FBB" w:rsidR="00FB32B9" w:rsidRDefault="003A0C43">
      <w:pPr>
        <w:spacing w:after="280" w:afterAutospacing="1"/>
        <w:rPr>
          <w:noProof/>
        </w:rPr>
      </w:pPr>
      <w:r>
        <w:rPr>
          <w:b/>
          <w:bCs/>
        </w:rPr>
        <w:t xml:space="preserve">Bakgrund: </w:t>
      </w:r>
      <w:r>
        <w:t xml:space="preserve">Ärendet gäller KOM implementeringsakt om tillägg till Förordning (EG) nr 1071/2009 om klassificering av allvarliga överträdelser inom vägtransportområdet som kan påverka det goda anseendet för den trafikansvarige i företaget.  Kort innehåller förslaget att </w:t>
      </w:r>
      <w:r>
        <w:lastRenderedPageBreak/>
        <w:t xml:space="preserve">vissa överträdelser (brott) inom vägtransportområdet delas in i olika nivåer varav de mest allvarliga överträdelserna kommer att påverka företagets goda anseende vilket kan medföra att de förlorar sitt tillstånd för att få utföra vägtransporter. </w:t>
      </w:r>
    </w:p>
    <w:p w14:paraId="22F86F46" w14:textId="77777777" w:rsidR="00643D86" w:rsidRDefault="003A0C43" w:rsidP="00643D86">
      <w:pPr>
        <w:pStyle w:val="Rubrik1"/>
      </w:pPr>
      <w:bookmarkStart w:id="7" w:name="_Toc256000008"/>
      <w:r>
        <w:rPr>
          <w:noProof/>
        </w:rPr>
        <w:t>Draft Recommendation for a Council Decision approving the renewal of the participation of the European Atomic Energy Community (Euratom) in the Framework Agreement for international collaboration on research and development of Generation IV nuclear energy systems</w:t>
      </w:r>
      <w:bookmarkEnd w:id="7"/>
    </w:p>
    <w:p w14:paraId="22F86F47" w14:textId="3EF337D0" w:rsidR="00643D86" w:rsidRDefault="003A0C43" w:rsidP="00643D86">
      <w:pPr>
        <w:rPr>
          <w:lang w:val="en-US"/>
        </w:rPr>
      </w:pPr>
      <w:r>
        <w:rPr>
          <w:noProof/>
          <w:lang w:val="en-US"/>
        </w:rPr>
        <w:t xml:space="preserve">Adoption </w:t>
      </w:r>
      <w:r>
        <w:rPr>
          <w:lang w:val="en-US"/>
        </w:rPr>
        <w:br/>
      </w:r>
      <w:r>
        <w:rPr>
          <w:noProof/>
          <w:lang w:val="en-US"/>
        </w:rPr>
        <w:t>5552</w:t>
      </w:r>
      <w:r>
        <w:rPr>
          <w:lang w:val="en-US"/>
        </w:rPr>
        <w:t>/16 RECH 10 ATO 5 5297/16 RECH 5 ATO 1 + ADD 1</w:t>
      </w:r>
    </w:p>
    <w:p w14:paraId="22F86F48" w14:textId="77777777" w:rsidR="00643D86" w:rsidRDefault="003A0C43" w:rsidP="00643D86">
      <w:r>
        <w:rPr>
          <w:b/>
        </w:rPr>
        <w:t>Ansvarigt statsråd</w:t>
      </w:r>
      <w:r>
        <w:rPr>
          <w:b/>
        </w:rPr>
        <w:br/>
      </w:r>
      <w:r>
        <w:rPr>
          <w:noProof/>
        </w:rPr>
        <w:t>Helene Hellmark Knutsson</w:t>
      </w:r>
    </w:p>
    <w:p w14:paraId="615D5EB8" w14:textId="522ED41F" w:rsidR="006004F9" w:rsidRPr="006004F9" w:rsidRDefault="003A0C43" w:rsidP="006004F9">
      <w:pPr>
        <w:pStyle w:val="Normalwebb"/>
        <w:shd w:val="clear" w:color="auto" w:fill="FFFFFF"/>
        <w:ind w:left="714"/>
        <w:textAlignment w:val="top"/>
        <w:rPr>
          <w:rFonts w:eastAsia="Calibri"/>
          <w:noProof/>
          <w:sz w:val="22"/>
          <w:szCs w:val="22"/>
          <w:lang w:val="en-US" w:eastAsia="en-US"/>
        </w:rPr>
      </w:pPr>
      <w:r w:rsidRPr="00B44CE2">
        <w:rPr>
          <w:b/>
        </w:rPr>
        <w:t>Annotering</w:t>
      </w:r>
      <w:r>
        <w:rPr>
          <w:b/>
        </w:rPr>
        <w:br/>
      </w:r>
      <w:r w:rsidR="006004F9" w:rsidRPr="006004F9">
        <w:rPr>
          <w:rFonts w:eastAsia="Calibri"/>
          <w:b/>
          <w:noProof/>
          <w:sz w:val="22"/>
          <w:szCs w:val="22"/>
          <w:lang w:val="en-US" w:eastAsia="en-US"/>
        </w:rPr>
        <w:t>Avsikt med behandlingen i rådet:</w:t>
      </w:r>
      <w:r w:rsidR="006004F9">
        <w:rPr>
          <w:rFonts w:eastAsia="Calibri"/>
          <w:noProof/>
          <w:sz w:val="22"/>
          <w:szCs w:val="22"/>
          <w:lang w:val="en-US" w:eastAsia="en-US"/>
        </w:rPr>
        <w:t xml:space="preserve"> </w:t>
      </w:r>
      <w:r w:rsidR="006004F9" w:rsidRPr="00F90D7F">
        <w:rPr>
          <w:rFonts w:eastAsia="Calibri"/>
          <w:sz w:val="22"/>
          <w:szCs w:val="22"/>
          <w:lang w:eastAsia="en-US"/>
        </w:rPr>
        <w:t>Rådsbeslut om förnyat deltagande av Euratom i internationellt forskningssamarbete om 4:e generationens kärnkraftssyst</w:t>
      </w:r>
      <w:r w:rsidR="006004F9" w:rsidRPr="006004F9">
        <w:rPr>
          <w:rFonts w:eastAsia="Calibri"/>
          <w:noProof/>
          <w:sz w:val="22"/>
          <w:szCs w:val="22"/>
          <w:lang w:val="en-US" w:eastAsia="en-US"/>
        </w:rPr>
        <w:t>em</w:t>
      </w:r>
    </w:p>
    <w:p w14:paraId="56079CCC" w14:textId="698C77C9" w:rsidR="006004F9" w:rsidRPr="006004F9" w:rsidRDefault="006004F9" w:rsidP="006004F9">
      <w:pPr>
        <w:pStyle w:val="Normalwebb"/>
        <w:shd w:val="clear" w:color="auto" w:fill="FFFFFF"/>
        <w:ind w:left="714"/>
        <w:textAlignment w:val="top"/>
        <w:rPr>
          <w:rFonts w:eastAsia="Calibri"/>
          <w:noProof/>
          <w:sz w:val="22"/>
          <w:szCs w:val="22"/>
          <w:lang w:val="en-US" w:eastAsia="en-US"/>
        </w:rPr>
      </w:pPr>
      <w:r w:rsidRPr="006004F9">
        <w:rPr>
          <w:rFonts w:eastAsia="Calibri"/>
          <w:b/>
          <w:noProof/>
          <w:sz w:val="22"/>
          <w:szCs w:val="22"/>
          <w:lang w:val="en-US" w:eastAsia="en-US"/>
        </w:rPr>
        <w:t>Hur regeringen ställer sig till den blivande A-punkten:</w:t>
      </w:r>
      <w:r>
        <w:rPr>
          <w:rFonts w:eastAsia="Calibri"/>
          <w:noProof/>
          <w:sz w:val="22"/>
          <w:szCs w:val="22"/>
          <w:lang w:val="en-US" w:eastAsia="en-US"/>
        </w:rPr>
        <w:t xml:space="preserve"> </w:t>
      </w:r>
      <w:r w:rsidRPr="006004F9">
        <w:rPr>
          <w:rFonts w:eastAsia="Calibri"/>
          <w:noProof/>
          <w:sz w:val="22"/>
          <w:szCs w:val="22"/>
          <w:lang w:val="en-US" w:eastAsia="en-US"/>
        </w:rPr>
        <w:t>Sverige stödjer förslaget om en förlängning av Euroatoms medverkan i ramavtalet för internationellt samarbete om forskning och utveckling avseende fjärde generationens kärnenergisystem.</w:t>
      </w:r>
    </w:p>
    <w:p w14:paraId="7D1723C9" w14:textId="77777777" w:rsidR="006004F9" w:rsidRPr="006004F9" w:rsidRDefault="006004F9" w:rsidP="006004F9">
      <w:pPr>
        <w:pStyle w:val="Normalwebb"/>
        <w:shd w:val="clear" w:color="auto" w:fill="FFFFFF"/>
        <w:ind w:left="714"/>
        <w:textAlignment w:val="top"/>
        <w:rPr>
          <w:rFonts w:eastAsia="Calibri"/>
          <w:noProof/>
          <w:sz w:val="22"/>
          <w:szCs w:val="22"/>
          <w:lang w:val="en-US" w:eastAsia="en-US"/>
        </w:rPr>
      </w:pPr>
      <w:r w:rsidRPr="006004F9">
        <w:rPr>
          <w:rFonts w:eastAsia="Calibri"/>
          <w:noProof/>
          <w:sz w:val="22"/>
          <w:szCs w:val="22"/>
          <w:lang w:val="en-US" w:eastAsia="en-US"/>
        </w:rPr>
        <w:t>Det aktuella beslutet innebär att rådet godkänner att Euratom skriver under det nya ramavtalet. Deltagandet kommer fortsatt att vara inom ramen för rådets förordningar om Euratoms forskningsprogram, vilket ingår i Horisont 2020-paketet. Varje medlem beslutar individuellt hur man vill delta i aktiviteterna.</w:t>
      </w:r>
    </w:p>
    <w:p w14:paraId="7BC4C283" w14:textId="77777777" w:rsidR="006004F9" w:rsidRPr="006004F9" w:rsidRDefault="006004F9" w:rsidP="006004F9">
      <w:pPr>
        <w:pStyle w:val="Normalwebb"/>
        <w:shd w:val="clear" w:color="auto" w:fill="FFFFFF"/>
        <w:ind w:left="714"/>
        <w:textAlignment w:val="top"/>
        <w:rPr>
          <w:rFonts w:eastAsia="Calibri"/>
          <w:noProof/>
          <w:sz w:val="22"/>
          <w:szCs w:val="22"/>
          <w:lang w:val="en-US" w:eastAsia="en-US"/>
        </w:rPr>
      </w:pPr>
      <w:r w:rsidRPr="006004F9">
        <w:rPr>
          <w:rFonts w:eastAsia="Calibri"/>
          <w:noProof/>
          <w:sz w:val="22"/>
          <w:szCs w:val="22"/>
          <w:lang w:val="en-US" w:eastAsia="en-US"/>
        </w:rPr>
        <w:t xml:space="preserve">Att Euratom ska delta i GIF är även angett i de beslut som rådet fattat om Euratom forskningsprogram där det anges att JRC ska fortsätta att vara koordinator för EU:s deltagande. </w:t>
      </w:r>
    </w:p>
    <w:p w14:paraId="46671C64" w14:textId="77777777" w:rsidR="006004F9" w:rsidRPr="006004F9" w:rsidRDefault="006004F9" w:rsidP="006004F9">
      <w:pPr>
        <w:rPr>
          <w:noProof/>
          <w:lang w:val="en-US"/>
        </w:rPr>
      </w:pPr>
      <w:r w:rsidRPr="006004F9">
        <w:rPr>
          <w:b/>
          <w:noProof/>
          <w:lang w:val="en-US"/>
        </w:rPr>
        <w:t>Bakgrund</w:t>
      </w:r>
      <w:r w:rsidRPr="006004F9">
        <w:rPr>
          <w:noProof/>
          <w:lang w:val="en-US"/>
        </w:rPr>
        <w:t xml:space="preserve">: ”Generation IV International Forum” (GIF) är ett ramverk för internationellt samarbete inom forskning och utveckling gällande 4:e generationens kärnkraft. </w:t>
      </w:r>
    </w:p>
    <w:p w14:paraId="7CB90B74" w14:textId="77777777" w:rsidR="006004F9" w:rsidRPr="006004F9" w:rsidRDefault="006004F9" w:rsidP="006004F9">
      <w:pPr>
        <w:rPr>
          <w:noProof/>
          <w:lang w:val="en-US"/>
        </w:rPr>
      </w:pPr>
      <w:r w:rsidRPr="006004F9">
        <w:rPr>
          <w:noProof/>
          <w:lang w:val="en-US"/>
        </w:rPr>
        <w:t xml:space="preserve">Syftet är att pola ansträngningarna för att utveckla nya nukleära energisystem med pålitlig energiproduktion samtidigt som man adresserar frågor om kärnsäkerhet, avfalls-minimering, icke-spridning och allmänhetens intresse. </w:t>
      </w:r>
    </w:p>
    <w:p w14:paraId="61F96D41" w14:textId="77777777" w:rsidR="006004F9" w:rsidRPr="006004F9" w:rsidRDefault="006004F9" w:rsidP="006004F9">
      <w:pPr>
        <w:rPr>
          <w:noProof/>
          <w:lang w:val="en-US"/>
        </w:rPr>
      </w:pPr>
      <w:r w:rsidRPr="006004F9">
        <w:rPr>
          <w:noProof/>
          <w:lang w:val="en-US"/>
        </w:rPr>
        <w:t>European Atomic Energy Community (Euratom) anslöt sig till GIF år 2003 och förlängde sitt deltagande år 2011 för en obegränsad framtid.</w:t>
      </w:r>
    </w:p>
    <w:p w14:paraId="38E14A14" w14:textId="77777777" w:rsidR="006004F9" w:rsidRPr="006004F9" w:rsidRDefault="006004F9" w:rsidP="006004F9">
      <w:pPr>
        <w:rPr>
          <w:noProof/>
          <w:lang w:val="en-US"/>
        </w:rPr>
      </w:pPr>
      <w:r w:rsidRPr="006004F9">
        <w:rPr>
          <w:noProof/>
          <w:lang w:val="en-US"/>
        </w:rPr>
        <w:t xml:space="preserve">För att implementera GIF finns ett legalt bindande ramavtal som anger villkoren för samarbetet. </w:t>
      </w:r>
    </w:p>
    <w:p w14:paraId="35E3B795" w14:textId="77777777" w:rsidR="006004F9" w:rsidRPr="006004F9" w:rsidRDefault="006004F9" w:rsidP="006004F9">
      <w:pPr>
        <w:rPr>
          <w:noProof/>
          <w:lang w:val="en-US"/>
        </w:rPr>
      </w:pPr>
      <w:r w:rsidRPr="006004F9">
        <w:rPr>
          <w:noProof/>
          <w:lang w:val="en-US"/>
        </w:rPr>
        <w:t>Euratom anslöt sig till ramavtalet 2006. EU:s ”Joint Research Centre” är koordinator för EU:s deltagande. Ramavtalet trädde i kraft 28 februari 2005 för en 10-årsperiod. Det förlängdes den 26 februari 2015 när fyra parter godkände detta. Euratom och andra parter som inte var redo att godkänna avtalet då har möjlighet att göra detta i efterhand.</w:t>
      </w:r>
    </w:p>
    <w:p w14:paraId="22F86F58" w14:textId="4CDC41A5" w:rsidR="00FB32B9" w:rsidRDefault="006004F9" w:rsidP="006004F9">
      <w:pPr>
        <w:rPr>
          <w:noProof/>
        </w:rPr>
      </w:pPr>
      <w:r w:rsidRPr="006004F9">
        <w:rPr>
          <w:noProof/>
          <w:lang w:val="en-US"/>
        </w:rPr>
        <w:t>Euratom har varit väldigt aktivt i GIF senaste decenniet och deltagit i alla sex reaktorsystem och i alla tre horisontella samarbeten. Euratom är ordförande i tre av de sex systemen.</w:t>
      </w:r>
      <w:r w:rsidR="003A0C43">
        <w:t>.</w:t>
      </w:r>
    </w:p>
    <w:p w14:paraId="22F86F59" w14:textId="77777777" w:rsidR="00643D86" w:rsidRDefault="003A0C43" w:rsidP="00643D86">
      <w:pPr>
        <w:pStyle w:val="Rubrik1"/>
      </w:pPr>
      <w:bookmarkStart w:id="8" w:name="_Toc256000009"/>
      <w:r>
        <w:rPr>
          <w:noProof/>
        </w:rPr>
        <w:lastRenderedPageBreak/>
        <w:t>Draft Regulation of the European Parliament and of the Council on cableway installations and repealing Directive 2000/9/EC (First reading) (LA)</w:t>
      </w:r>
      <w:bookmarkEnd w:id="8"/>
    </w:p>
    <w:p w14:paraId="22F86F5A" w14:textId="39E98BDC" w:rsidR="00643D86" w:rsidRDefault="003A0C43" w:rsidP="00643D86">
      <w:pPr>
        <w:rPr>
          <w:lang w:val="en-US"/>
        </w:rPr>
      </w:pPr>
      <w:r>
        <w:rPr>
          <w:noProof/>
          <w:lang w:val="en-US"/>
        </w:rPr>
        <w:t>Adoption</w:t>
      </w:r>
      <w:r>
        <w:rPr>
          <w:lang w:val="en-US"/>
        </w:rPr>
        <w:t xml:space="preserve"> of the legislative act </w:t>
      </w:r>
      <w:r>
        <w:rPr>
          <w:lang w:val="en-US"/>
        </w:rPr>
        <w:br/>
      </w:r>
      <w:r>
        <w:rPr>
          <w:noProof/>
          <w:lang w:val="en-US"/>
        </w:rPr>
        <w:t>5555</w:t>
      </w:r>
      <w:r>
        <w:rPr>
          <w:lang w:val="en-US"/>
        </w:rPr>
        <w:t>/16 CODEC 71 ENT 15 TRANS 22 MI 34 ECO 6 IND 11PE-CONS 57/15 ENT 208 TRANS 320 MI 620 ECO 120 IND 149 CODEC 1316</w:t>
      </w:r>
    </w:p>
    <w:p w14:paraId="22F86F5B" w14:textId="77777777" w:rsidR="00643D86" w:rsidRDefault="003A0C43" w:rsidP="00643D86">
      <w:r>
        <w:rPr>
          <w:b/>
        </w:rPr>
        <w:t>Ansvarigt statsråd</w:t>
      </w:r>
      <w:r>
        <w:rPr>
          <w:b/>
        </w:rPr>
        <w:br/>
      </w:r>
      <w:r>
        <w:rPr>
          <w:noProof/>
        </w:rPr>
        <w:t>Mehmet Kaplan</w:t>
      </w:r>
    </w:p>
    <w:p w14:paraId="22F86F5E" w14:textId="77777777" w:rsidR="00643D86" w:rsidRDefault="003A0C43" w:rsidP="00643D86">
      <w:r w:rsidRPr="00B44CE2">
        <w:rPr>
          <w:b/>
        </w:rPr>
        <w:t>Annotering</w:t>
      </w:r>
      <w:r>
        <w:rPr>
          <w:b/>
        </w:rPr>
        <w:br/>
      </w:r>
      <w:r>
        <w:rPr>
          <w:b/>
          <w:bCs/>
        </w:rPr>
        <w:t>Avsikt med behandlingen i rådet: </w:t>
      </w:r>
      <w:r>
        <w:t xml:space="preserve">Att besluta att inte motsätta sig ett ikraftträdande av ny EU-förordning om linbaneanläggningar istället för dagens EU-direktiv.  </w:t>
      </w:r>
    </w:p>
    <w:p w14:paraId="22F86F5F" w14:textId="77777777" w:rsidR="00A44137" w:rsidRDefault="003A0C43">
      <w:pPr>
        <w:spacing w:after="280" w:afterAutospacing="1"/>
      </w:pPr>
      <w:r>
        <w:rPr>
          <w:b/>
          <w:bCs/>
        </w:rPr>
        <w:t>Hur regeringen ställer sig till den blivande A-punkten:</w:t>
      </w:r>
      <w:r>
        <w:t xml:space="preserve"> Regeringen avser att rösta ja till förslaget. </w:t>
      </w:r>
    </w:p>
    <w:p w14:paraId="22F86F60" w14:textId="77777777" w:rsidR="00A44137" w:rsidRDefault="003A0C43">
      <w:pPr>
        <w:spacing w:after="280" w:afterAutospacing="1"/>
      </w:pPr>
      <w:r>
        <w:rPr>
          <w:b/>
          <w:bCs/>
        </w:rPr>
        <w:t>Bakgrund:</w:t>
      </w:r>
      <w:r>
        <w:t xml:space="preserve"> Förslaget till en översyn av direktivet för linbaneanläggningar och att gå från direktiv till förordning har två huvudsyften. Den ena är att anpassa den nuvarande rättsakten till det s.k. varupaketet som anger en gemensam ram för saluföring av produkter. Det andra syftet är att åtgärda vissa problem som uppstått i samband med genomförandet av nuvarande direktiv. Förslaget innehåller inga ändringar av de grundläggande kraven på linbaneanläggningar.</w:t>
      </w:r>
    </w:p>
    <w:p w14:paraId="22F86F62" w14:textId="3B06E0A5" w:rsidR="00FB32B9" w:rsidRDefault="003A0C43">
      <w:pPr>
        <w:spacing w:after="280" w:afterAutospacing="1"/>
        <w:rPr>
          <w:noProof/>
        </w:rPr>
      </w:pPr>
      <w:r>
        <w:t>Europaparlamentet har behandlat frågan.</w:t>
      </w:r>
    </w:p>
    <w:p w14:paraId="22F86F63" w14:textId="77777777" w:rsidR="00643D86" w:rsidRDefault="003A0C43" w:rsidP="00643D86">
      <w:pPr>
        <w:pStyle w:val="Rubrik1"/>
      </w:pPr>
      <w:bookmarkStart w:id="9" w:name="_Toc256000010"/>
      <w:r>
        <w:rPr>
          <w:noProof/>
        </w:rPr>
        <w:t>Draft Regulation of the European Parliament and of the Council on personal protective equipment and repealing Council Directive 89/686/EEC (First reading) (LA)</w:t>
      </w:r>
      <w:bookmarkEnd w:id="9"/>
    </w:p>
    <w:p w14:paraId="22F86F64" w14:textId="4CCA6CCC" w:rsidR="00643D86" w:rsidRDefault="003A0C43" w:rsidP="00643D86">
      <w:pPr>
        <w:rPr>
          <w:lang w:val="en-US"/>
        </w:rPr>
      </w:pPr>
      <w:r>
        <w:rPr>
          <w:noProof/>
          <w:lang w:val="en-US"/>
        </w:rPr>
        <w:t>Adoption</w:t>
      </w:r>
      <w:r>
        <w:rPr>
          <w:lang w:val="en-US"/>
        </w:rPr>
        <w:t xml:space="preserve"> of the legislative act </w:t>
      </w:r>
      <w:r>
        <w:rPr>
          <w:lang w:val="en-US"/>
        </w:rPr>
        <w:br/>
      </w:r>
      <w:r>
        <w:rPr>
          <w:noProof/>
          <w:lang w:val="en-US"/>
        </w:rPr>
        <w:t>5558</w:t>
      </w:r>
      <w:r>
        <w:rPr>
          <w:lang w:val="en-US"/>
        </w:rPr>
        <w:t>/16 CODEC 74 ENT 16 MI 35 ECO 7 SOC 39 CONSOM 12 IND 12PE-CONS 58/15 ENT 209 CONSOM 163 SOC 575 MI 621 ECO 121 IND 150CODEC 1317</w:t>
      </w:r>
    </w:p>
    <w:p w14:paraId="22F86F65" w14:textId="77777777" w:rsidR="00643D86" w:rsidRDefault="003A0C43" w:rsidP="00643D86">
      <w:r>
        <w:rPr>
          <w:b/>
        </w:rPr>
        <w:t>Ansvarigt statsråd</w:t>
      </w:r>
      <w:r>
        <w:rPr>
          <w:b/>
        </w:rPr>
        <w:br/>
      </w:r>
      <w:r>
        <w:rPr>
          <w:noProof/>
        </w:rPr>
        <w:t>Per Bolund</w:t>
      </w:r>
    </w:p>
    <w:p w14:paraId="22F86F66" w14:textId="77777777" w:rsidR="00643D86" w:rsidRPr="00643D86" w:rsidRDefault="003A0C43" w:rsidP="00643D86">
      <w:r w:rsidRPr="00643D86">
        <w:rPr>
          <w:b/>
        </w:rPr>
        <w:t>Tidigare behandling i riksdagen</w:t>
      </w:r>
      <w:r>
        <w:rPr>
          <w:b/>
        </w:rPr>
        <w:br/>
      </w:r>
      <w:r>
        <w:rPr>
          <w:noProof/>
        </w:rPr>
        <w:t>2014-11-28</w:t>
      </w:r>
    </w:p>
    <w:p w14:paraId="22F86F67" w14:textId="77777777" w:rsidR="00643D86" w:rsidRPr="00643D86" w:rsidRDefault="003A0C43" w:rsidP="00643D86">
      <w:r w:rsidRPr="00643D86">
        <w:rPr>
          <w:b/>
        </w:rPr>
        <w:t>Tidigare behandling vid rådsmöte</w:t>
      </w:r>
      <w:r>
        <w:rPr>
          <w:b/>
        </w:rPr>
        <w:br/>
      </w:r>
      <w:r>
        <w:rPr>
          <w:noProof/>
        </w:rPr>
        <w:t>2014-12-04</w:t>
      </w:r>
    </w:p>
    <w:p w14:paraId="22F86F69" w14:textId="7E2B1405" w:rsidR="00A44137" w:rsidRDefault="003A0C43" w:rsidP="003A0C43">
      <w:r w:rsidRPr="00B44CE2">
        <w:rPr>
          <w:b/>
        </w:rPr>
        <w:t>Annotering</w:t>
      </w:r>
      <w:r>
        <w:rPr>
          <w:b/>
        </w:rPr>
        <w:br/>
      </w:r>
      <w:r>
        <w:rPr>
          <w:b/>
          <w:bCs/>
        </w:rPr>
        <w:t>Avsikt med behandlingen i rådet:</w:t>
      </w:r>
      <w:r>
        <w:t xml:space="preserve"> Rådet föreslås anta Europaparlamentets och rådets förordning om personlig skyddsutrustning. </w:t>
      </w:r>
    </w:p>
    <w:p w14:paraId="22F86F6B" w14:textId="631EED3B" w:rsidR="00A44137" w:rsidRDefault="003A0C43">
      <w:pPr>
        <w:spacing w:after="280" w:afterAutospacing="1"/>
      </w:pPr>
      <w:r>
        <w:rPr>
          <w:b/>
          <w:bCs/>
        </w:rPr>
        <w:t>Hur regeringen ställer sig till den blivande A-punkten:</w:t>
      </w:r>
      <w:r>
        <w:t xml:space="preserve"> Regeringen avser att rösta ja till att rådet antar förordningen om personlig skyddsutrustning.</w:t>
      </w:r>
    </w:p>
    <w:p w14:paraId="22F86F6D" w14:textId="3F71A695" w:rsidR="00A44137" w:rsidRDefault="003A0C43">
      <w:pPr>
        <w:spacing w:after="280" w:afterAutospacing="1"/>
      </w:pPr>
      <w:r>
        <w:rPr>
          <w:b/>
          <w:bCs/>
        </w:rPr>
        <w:t xml:space="preserve">Bakgrund: </w:t>
      </w:r>
      <w:r>
        <w:t xml:space="preserve">Europeiska kommissionen presenterade den 1 april 2014 ett förslag till en förordning om personlig skyddsutrustning. Syftet med förslaget är att modernisera </w:t>
      </w:r>
      <w:r>
        <w:lastRenderedPageBreak/>
        <w:t xml:space="preserve">lagstiftningen och anpassa bestämmelserna i nuvarande direktiv 89/686/EEG till det s.k. varupaketets bestämmelser som reglerar saluföring av varor på den inre marknaden. </w:t>
      </w:r>
    </w:p>
    <w:p w14:paraId="22F86F6F" w14:textId="714B3F49" w:rsidR="00FB32B9" w:rsidRDefault="003A0C43">
      <w:pPr>
        <w:spacing w:after="280" w:afterAutospacing="1"/>
        <w:rPr>
          <w:noProof/>
        </w:rPr>
      </w:pPr>
      <w:r>
        <w:t xml:space="preserve">Rådet beslutade om en allmän inriktning i konkurrenskraftrådet den 4 december 2014. Under 2015 har trilogförhandlingar ägt rum och efter den tredje informella trilogen nåddes en överenskommelse mellan rådet och Europaparlamentet. </w:t>
      </w:r>
    </w:p>
    <w:p w14:paraId="22F86F70" w14:textId="77777777" w:rsidR="00643D86" w:rsidRDefault="003A0C43" w:rsidP="00643D86">
      <w:pPr>
        <w:pStyle w:val="Rubrik1"/>
      </w:pPr>
      <w:bookmarkStart w:id="10" w:name="_Toc256000011"/>
      <w:r>
        <w:rPr>
          <w:noProof/>
        </w:rPr>
        <w:t>Draft Regulation of the European Parliament and of the Council on appliances burning gaseous fuels and repealing Directive 2009/142/EC (First reading) (LA)</w:t>
      </w:r>
      <w:bookmarkEnd w:id="10"/>
    </w:p>
    <w:p w14:paraId="22F86F71" w14:textId="3E2670EF" w:rsidR="00643D86" w:rsidRDefault="003A0C43" w:rsidP="00643D86">
      <w:pPr>
        <w:rPr>
          <w:lang w:val="en-US"/>
        </w:rPr>
      </w:pPr>
      <w:r>
        <w:rPr>
          <w:noProof/>
          <w:lang w:val="en-US"/>
        </w:rPr>
        <w:t>Adoption</w:t>
      </w:r>
      <w:r>
        <w:rPr>
          <w:lang w:val="en-US"/>
        </w:rPr>
        <w:t xml:space="preserve"> of the legislative act </w:t>
      </w:r>
      <w:r>
        <w:rPr>
          <w:lang w:val="en-US"/>
        </w:rPr>
        <w:br/>
      </w:r>
      <w:r>
        <w:rPr>
          <w:noProof/>
          <w:lang w:val="en-US"/>
        </w:rPr>
        <w:t>5560</w:t>
      </w:r>
      <w:r>
        <w:rPr>
          <w:lang w:val="en-US"/>
        </w:rPr>
        <w:t>/16 CODEC 75 ENT 17 MI 36 ECO 8 IND 13 CONSOM 13PE-CONS 59/15 ENT 210 MI 622 ECO 122 IND 151 CONSOM 164CODEC 1319</w:t>
      </w:r>
    </w:p>
    <w:p w14:paraId="22F86F72" w14:textId="77777777" w:rsidR="00643D86" w:rsidRDefault="003A0C43" w:rsidP="00643D86">
      <w:r>
        <w:rPr>
          <w:b/>
        </w:rPr>
        <w:t>Ansvarigt statsråd</w:t>
      </w:r>
      <w:r>
        <w:rPr>
          <w:b/>
        </w:rPr>
        <w:br/>
      </w:r>
      <w:r>
        <w:rPr>
          <w:noProof/>
        </w:rPr>
        <w:t>Anders Ygeman</w:t>
      </w:r>
    </w:p>
    <w:p w14:paraId="22F86F76" w14:textId="27007B3E" w:rsidR="00A44137" w:rsidRDefault="003A0C43" w:rsidP="003A0C43">
      <w:r w:rsidRPr="00B44CE2">
        <w:rPr>
          <w:b/>
        </w:rPr>
        <w:t>Annotering</w:t>
      </w:r>
      <w:r>
        <w:rPr>
          <w:b/>
        </w:rPr>
        <w:br/>
      </w:r>
      <w:r>
        <w:rPr>
          <w:b/>
          <w:bCs/>
        </w:rPr>
        <w:t xml:space="preserve">Avsikt med behandlingen i rådet: </w:t>
      </w:r>
      <w:r>
        <w:t>Rådet föreslås anta förordningen om anordningar för förbränning av gasformiga bränslen och om upphävande av direktiv 2009/142/EG</w:t>
      </w:r>
    </w:p>
    <w:p w14:paraId="22F86F77" w14:textId="09A2A2BC" w:rsidR="00A44137" w:rsidRDefault="003A0C43">
      <w:pPr>
        <w:spacing w:after="280" w:afterAutospacing="1"/>
      </w:pPr>
      <w:r>
        <w:rPr>
          <w:b/>
          <w:bCs/>
        </w:rPr>
        <w:t>Hur regeringen ställer sig till den blivande A-punkten:</w:t>
      </w:r>
      <w:r>
        <w:t xml:space="preserve"> Regeringen avser rösta ja till att rådet antar förordningen om anordningar för förbränning av gasformiga bränslen och om upphävande av direktiv 2009/142/EG.</w:t>
      </w:r>
    </w:p>
    <w:p w14:paraId="22F86F78" w14:textId="69056CF2" w:rsidR="00A44137" w:rsidRDefault="003A0C43">
      <w:pPr>
        <w:spacing w:after="280" w:afterAutospacing="1"/>
      </w:pPr>
      <w:r>
        <w:rPr>
          <w:b/>
          <w:bCs/>
        </w:rPr>
        <w:t>Bakgrund:</w:t>
      </w:r>
      <w:r>
        <w:t xml:space="preserve"> I direktiv 2009/142/EG, som upphävs genom förslaget till </w:t>
      </w:r>
      <w:r w:rsidR="00315DF7">
        <w:t>förordning</w:t>
      </w:r>
      <w:r>
        <w:t xml:space="preserve"> om andordningar för förbränning av gasformiga bränslen, fastställs regler för utsläppande på marknaden och ibruktagande av anordningar för förbränning av gasformiga bränslen. Erfarenheterna från genomförandet av direktiv 2009/142/EG har visat på behovet att ändra vissa av direktivets bestämmelser för att klargöra och uppdatera dem och därigenom skapa rättslig säkerhet i fråga om definitionerna för tillämpningsområdet, innehållet i medlemsstaternas meddelanden om vilka</w:t>
      </w:r>
      <w:r w:rsidR="006004F9">
        <w:t xml:space="preserve"> </w:t>
      </w:r>
      <w:r>
        <w:t>deras gastyper av gas och motsvarande anslutningstryck som används på deras territorium och vissa väsentliga kravgrundläggande krav. Syftet med förordningen bör vara att åstadkomma en fungerande inre marknad för anordningar och för tillbehör i fråga om gassäkerhetsrisker och energieffektivitet.</w:t>
      </w:r>
    </w:p>
    <w:p w14:paraId="22F86F7B" w14:textId="6F516E38" w:rsidR="00643D86" w:rsidRPr="00643D86" w:rsidRDefault="003A0C43" w:rsidP="003A0C43">
      <w:pPr>
        <w:spacing w:after="280" w:afterAutospacing="1"/>
        <w:rPr>
          <w:lang w:val="en-US"/>
        </w:rPr>
      </w:pPr>
      <w:r>
        <w:t xml:space="preserve">Förslag om förordning om anordningar för förbränning av gasformiga bränslen var ett av de övriga ärenden som togs upp vid Europaparlamentets plenarsession med möten i Strasbourg den 18-21 januari. </w:t>
      </w:r>
      <w:bookmarkEnd w:id="1"/>
    </w:p>
    <w:sectPr w:rsidR="00643D86" w:rsidRPr="00643D86"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C814B" w14:textId="77777777" w:rsidR="00711F85" w:rsidRDefault="00711F85">
      <w:pPr>
        <w:spacing w:after="0" w:line="240" w:lineRule="auto"/>
      </w:pPr>
      <w:r>
        <w:separator/>
      </w:r>
    </w:p>
  </w:endnote>
  <w:endnote w:type="continuationSeparator" w:id="0">
    <w:p w14:paraId="04D92D7E" w14:textId="77777777" w:rsidR="00711F85" w:rsidRDefault="0071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87CAA" w14:textId="77777777" w:rsidR="00711F85" w:rsidRDefault="00711F85">
      <w:pPr>
        <w:spacing w:after="0" w:line="240" w:lineRule="auto"/>
      </w:pPr>
      <w:r>
        <w:separator/>
      </w:r>
    </w:p>
  </w:footnote>
  <w:footnote w:type="continuationSeparator" w:id="0">
    <w:p w14:paraId="1A640537" w14:textId="77777777" w:rsidR="00711F85" w:rsidRDefault="00711F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4314475"/>
      <w:docPartObj>
        <w:docPartGallery w:val="Page Numbers (Top of Page)"/>
        <w:docPartUnique/>
      </w:docPartObj>
    </w:sdtPr>
    <w:sdtEndPr/>
    <w:sdtContent>
      <w:p w14:paraId="534948FC" w14:textId="35282807" w:rsidR="00F90D7F" w:rsidRDefault="00F90D7F">
        <w:pPr>
          <w:pStyle w:val="Sidhuvud"/>
          <w:jc w:val="right"/>
        </w:pPr>
        <w:r>
          <w:fldChar w:fldCharType="begin"/>
        </w:r>
        <w:r>
          <w:instrText>PAGE   \* MERGEFORMAT</w:instrText>
        </w:r>
        <w:r>
          <w:fldChar w:fldCharType="separate"/>
        </w:r>
        <w:r w:rsidR="00455968">
          <w:rPr>
            <w:noProof/>
          </w:rPr>
          <w:t>7</w:t>
        </w:r>
        <w:r>
          <w:fldChar w:fldCharType="end"/>
        </w:r>
      </w:p>
    </w:sdtContent>
  </w:sdt>
  <w:p w14:paraId="22F86F7D" w14:textId="77777777" w:rsidR="006F1C0D" w:rsidRDefault="00711F85"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A44137" w14:paraId="22F86F83" w14:textId="77777777" w:rsidTr="006E71D7">
      <w:tc>
        <w:tcPr>
          <w:tcW w:w="4606" w:type="dxa"/>
        </w:tcPr>
        <w:p w14:paraId="22F86F7E" w14:textId="77777777" w:rsidR="006E71D7" w:rsidRDefault="003A0C43" w:rsidP="00752770">
          <w:pPr>
            <w:pStyle w:val="Sidhuvud"/>
            <w:ind w:left="0"/>
          </w:pPr>
          <w:r>
            <w:rPr>
              <w:noProof/>
              <w:lang w:eastAsia="sv-SE"/>
            </w:rPr>
            <w:drawing>
              <wp:inline distT="0" distB="0" distL="0" distR="0" wp14:anchorId="22F86F89" wp14:editId="22F86F8A">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22F86F7F" w14:textId="77777777" w:rsidR="00FB32B9" w:rsidRDefault="00711F85" w:rsidP="00FB32B9">
          <w:pPr>
            <w:ind w:right="916"/>
            <w:rPr>
              <w:rFonts w:ascii="TradeGothic" w:hAnsi="TradeGothic"/>
              <w:b/>
            </w:rPr>
          </w:pPr>
        </w:p>
        <w:p w14:paraId="22F86F80" w14:textId="77777777" w:rsidR="00FB32B9" w:rsidRDefault="003A0C43" w:rsidP="00FB32B9">
          <w:pPr>
            <w:ind w:right="916"/>
          </w:pPr>
          <w:r>
            <w:rPr>
              <w:rFonts w:ascii="TradeGothic" w:hAnsi="TradeGothic"/>
              <w:b/>
            </w:rPr>
            <w:t>Promemoria</w:t>
          </w:r>
        </w:p>
        <w:p w14:paraId="22F86F81" w14:textId="77777777" w:rsidR="00FB32B9" w:rsidRDefault="00711F85" w:rsidP="00FB32B9">
          <w:pPr>
            <w:jc w:val="right"/>
          </w:pPr>
        </w:p>
        <w:p w14:paraId="22F86F82" w14:textId="465BCE44" w:rsidR="006E71D7" w:rsidRDefault="003A0C43" w:rsidP="00FB32B9">
          <w:pPr>
            <w:ind w:right="916"/>
          </w:pPr>
          <w:r>
            <w:rPr>
              <w:rFonts w:ascii="TradeGothic" w:hAnsi="TradeGothic"/>
              <w:b/>
              <w:noProof/>
            </w:rPr>
            <w:t>2016-02-0</w:t>
          </w:r>
          <w:r w:rsidR="00F90D7F">
            <w:rPr>
              <w:rFonts w:ascii="TradeGothic" w:hAnsi="TradeGothic"/>
              <w:b/>
              <w:noProof/>
            </w:rPr>
            <w:t>4</w:t>
          </w:r>
          <w:r w:rsidRPr="00934953">
            <w:t xml:space="preserve"> </w:t>
          </w:r>
        </w:p>
      </w:tc>
    </w:tr>
  </w:tbl>
  <w:p w14:paraId="22F86F84" w14:textId="77777777" w:rsidR="00FB32B9" w:rsidRDefault="00711F85" w:rsidP="00FB32B9">
    <w:pPr>
      <w:pStyle w:val="Avsndare"/>
      <w:framePr w:w="0" w:hRule="auto" w:hSpace="0" w:wrap="auto" w:vAnchor="margin" w:hAnchor="text" w:xAlign="left" w:yAlign="inline"/>
      <w:rPr>
        <w:b/>
        <w:i w:val="0"/>
        <w:sz w:val="22"/>
      </w:rPr>
    </w:pPr>
  </w:p>
  <w:p w14:paraId="22F86F85" w14:textId="77777777" w:rsidR="00FB32B9" w:rsidRDefault="003A0C43" w:rsidP="00FB32B9">
    <w:pPr>
      <w:pStyle w:val="Avsndare"/>
      <w:framePr w:w="0" w:hRule="auto" w:hSpace="0" w:wrap="auto" w:vAnchor="margin" w:hAnchor="text" w:xAlign="left" w:yAlign="inline"/>
      <w:rPr>
        <w:b/>
        <w:i w:val="0"/>
        <w:sz w:val="22"/>
      </w:rPr>
    </w:pPr>
    <w:r>
      <w:rPr>
        <w:b/>
        <w:i w:val="0"/>
        <w:sz w:val="22"/>
      </w:rPr>
      <w:t>Statsrådsberedningen</w:t>
    </w:r>
  </w:p>
  <w:p w14:paraId="22F86F86" w14:textId="77777777" w:rsidR="00FB32B9" w:rsidRDefault="00711F85" w:rsidP="00FB32B9">
    <w:pPr>
      <w:pStyle w:val="Avsndare"/>
      <w:framePr w:w="0" w:hRule="auto" w:hSpace="0" w:wrap="auto" w:vAnchor="margin" w:hAnchor="text" w:xAlign="left" w:yAlign="inline"/>
    </w:pPr>
  </w:p>
  <w:p w14:paraId="22F86F87" w14:textId="77777777" w:rsidR="00FB32B9" w:rsidRDefault="003A0C43" w:rsidP="00FB32B9">
    <w:pPr>
      <w:pStyle w:val="Avsndare"/>
      <w:framePr w:w="0" w:hRule="auto" w:hSpace="0" w:wrap="auto" w:vAnchor="margin" w:hAnchor="text" w:xAlign="left" w:yAlign="inline"/>
    </w:pPr>
    <w:r>
      <w:t>EU-kansliet</w:t>
    </w:r>
  </w:p>
  <w:p w14:paraId="22F86F88" w14:textId="77777777" w:rsidR="0012376B" w:rsidRDefault="00711F85">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1346EAB4">
      <w:start w:val="1"/>
      <w:numFmt w:val="decimal"/>
      <w:pStyle w:val="Rubrik1"/>
      <w:lvlText w:val="%1."/>
      <w:lvlJc w:val="left"/>
      <w:pPr>
        <w:ind w:left="720" w:hanging="360"/>
      </w:pPr>
    </w:lvl>
    <w:lvl w:ilvl="1" w:tplc="8F3EAA78" w:tentative="1">
      <w:start w:val="1"/>
      <w:numFmt w:val="lowerLetter"/>
      <w:lvlText w:val="%2."/>
      <w:lvlJc w:val="left"/>
      <w:pPr>
        <w:ind w:left="1440" w:hanging="360"/>
      </w:pPr>
    </w:lvl>
    <w:lvl w:ilvl="2" w:tplc="3B78C7E6" w:tentative="1">
      <w:start w:val="1"/>
      <w:numFmt w:val="lowerRoman"/>
      <w:lvlText w:val="%3."/>
      <w:lvlJc w:val="right"/>
      <w:pPr>
        <w:ind w:left="2160" w:hanging="180"/>
      </w:pPr>
    </w:lvl>
    <w:lvl w:ilvl="3" w:tplc="763C37C0" w:tentative="1">
      <w:start w:val="1"/>
      <w:numFmt w:val="decimal"/>
      <w:lvlText w:val="%4."/>
      <w:lvlJc w:val="left"/>
      <w:pPr>
        <w:ind w:left="2880" w:hanging="360"/>
      </w:pPr>
    </w:lvl>
    <w:lvl w:ilvl="4" w:tplc="1C42854A" w:tentative="1">
      <w:start w:val="1"/>
      <w:numFmt w:val="lowerLetter"/>
      <w:lvlText w:val="%5."/>
      <w:lvlJc w:val="left"/>
      <w:pPr>
        <w:ind w:left="3600" w:hanging="360"/>
      </w:pPr>
    </w:lvl>
    <w:lvl w:ilvl="5" w:tplc="FDE4CA98" w:tentative="1">
      <w:start w:val="1"/>
      <w:numFmt w:val="lowerRoman"/>
      <w:lvlText w:val="%6."/>
      <w:lvlJc w:val="right"/>
      <w:pPr>
        <w:ind w:left="4320" w:hanging="180"/>
      </w:pPr>
    </w:lvl>
    <w:lvl w:ilvl="6" w:tplc="C1206B24" w:tentative="1">
      <w:start w:val="1"/>
      <w:numFmt w:val="decimal"/>
      <w:lvlText w:val="%7."/>
      <w:lvlJc w:val="left"/>
      <w:pPr>
        <w:ind w:left="5040" w:hanging="360"/>
      </w:pPr>
    </w:lvl>
    <w:lvl w:ilvl="7" w:tplc="ACB08FF4" w:tentative="1">
      <w:start w:val="1"/>
      <w:numFmt w:val="lowerLetter"/>
      <w:lvlText w:val="%8."/>
      <w:lvlJc w:val="left"/>
      <w:pPr>
        <w:ind w:left="5760" w:hanging="360"/>
      </w:pPr>
    </w:lvl>
    <w:lvl w:ilvl="8" w:tplc="2A8E12D0"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E92CC9A8">
      <w:start w:val="1"/>
      <w:numFmt w:val="decimal"/>
      <w:lvlText w:val="%1."/>
      <w:lvlJc w:val="left"/>
      <w:pPr>
        <w:ind w:left="360" w:hanging="360"/>
      </w:pPr>
      <w:rPr>
        <w:b w:val="0"/>
      </w:rPr>
    </w:lvl>
    <w:lvl w:ilvl="1" w:tplc="E6B8AE18" w:tentative="1">
      <w:start w:val="1"/>
      <w:numFmt w:val="lowerLetter"/>
      <w:lvlText w:val="%2."/>
      <w:lvlJc w:val="left"/>
      <w:pPr>
        <w:ind w:left="1080" w:hanging="360"/>
      </w:pPr>
    </w:lvl>
    <w:lvl w:ilvl="2" w:tplc="7F94E6A4" w:tentative="1">
      <w:start w:val="1"/>
      <w:numFmt w:val="lowerRoman"/>
      <w:lvlText w:val="%3."/>
      <w:lvlJc w:val="right"/>
      <w:pPr>
        <w:ind w:left="1800" w:hanging="180"/>
      </w:pPr>
    </w:lvl>
    <w:lvl w:ilvl="3" w:tplc="E8F8F45C" w:tentative="1">
      <w:start w:val="1"/>
      <w:numFmt w:val="decimal"/>
      <w:lvlText w:val="%4."/>
      <w:lvlJc w:val="left"/>
      <w:pPr>
        <w:ind w:left="2520" w:hanging="360"/>
      </w:pPr>
    </w:lvl>
    <w:lvl w:ilvl="4" w:tplc="08645CD8" w:tentative="1">
      <w:start w:val="1"/>
      <w:numFmt w:val="lowerLetter"/>
      <w:lvlText w:val="%5."/>
      <w:lvlJc w:val="left"/>
      <w:pPr>
        <w:ind w:left="3240" w:hanging="360"/>
      </w:pPr>
    </w:lvl>
    <w:lvl w:ilvl="5" w:tplc="2A4607D4" w:tentative="1">
      <w:start w:val="1"/>
      <w:numFmt w:val="lowerRoman"/>
      <w:lvlText w:val="%6."/>
      <w:lvlJc w:val="right"/>
      <w:pPr>
        <w:ind w:left="3960" w:hanging="180"/>
      </w:pPr>
    </w:lvl>
    <w:lvl w:ilvl="6" w:tplc="BCD49B94" w:tentative="1">
      <w:start w:val="1"/>
      <w:numFmt w:val="decimal"/>
      <w:lvlText w:val="%7."/>
      <w:lvlJc w:val="left"/>
      <w:pPr>
        <w:ind w:left="4680" w:hanging="360"/>
      </w:pPr>
    </w:lvl>
    <w:lvl w:ilvl="7" w:tplc="0E5C4132" w:tentative="1">
      <w:start w:val="1"/>
      <w:numFmt w:val="lowerLetter"/>
      <w:lvlText w:val="%8."/>
      <w:lvlJc w:val="left"/>
      <w:pPr>
        <w:ind w:left="5400" w:hanging="360"/>
      </w:pPr>
    </w:lvl>
    <w:lvl w:ilvl="8" w:tplc="9454F39A"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137"/>
    <w:rsid w:val="001A197F"/>
    <w:rsid w:val="00315DF7"/>
    <w:rsid w:val="003A0C43"/>
    <w:rsid w:val="00455968"/>
    <w:rsid w:val="006004F9"/>
    <w:rsid w:val="006C4E4A"/>
    <w:rsid w:val="00711F85"/>
    <w:rsid w:val="00A44137"/>
    <w:rsid w:val="00F90D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86F0C"/>
  <w15:docId w15:val="{9E78AD13-4331-4798-AF22-3DE99160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3A0C43"/>
    <w:pPr>
      <w:ind w:left="720"/>
      <w:contextualSpacing/>
    </w:pPr>
  </w:style>
  <w:style w:type="paragraph" w:styleId="Normalwebb">
    <w:name w:val="Normal (Web)"/>
    <w:basedOn w:val="Normal"/>
    <w:uiPriority w:val="99"/>
    <w:unhideWhenUsed/>
    <w:rsid w:val="006004F9"/>
    <w:pPr>
      <w:spacing w:before="100" w:beforeAutospacing="1" w:after="100" w:afterAutospacing="1" w:line="240" w:lineRule="auto"/>
      <w:ind w:left="0"/>
    </w:pPr>
    <w:rPr>
      <w:rFonts w:eastAsia="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6951501">
      <w:bodyDiv w:val="1"/>
      <w:marLeft w:val="0"/>
      <w:marRight w:val="0"/>
      <w:marTop w:val="0"/>
      <w:marBottom w:val="0"/>
      <w:divBdr>
        <w:top w:val="none" w:sz="0" w:space="0" w:color="auto"/>
        <w:left w:val="none" w:sz="0" w:space="0" w:color="auto"/>
        <w:bottom w:val="none" w:sz="0" w:space="0" w:color="auto"/>
        <w:right w:val="none" w:sz="0" w:space="0" w:color="auto"/>
      </w:divBdr>
      <w:divsChild>
        <w:div w:id="955327794">
          <w:marLeft w:val="0"/>
          <w:marRight w:val="0"/>
          <w:marTop w:val="0"/>
          <w:marBottom w:val="0"/>
          <w:divBdr>
            <w:top w:val="none" w:sz="0" w:space="0" w:color="auto"/>
            <w:left w:val="none" w:sz="0" w:space="0" w:color="auto"/>
            <w:bottom w:val="none" w:sz="0" w:space="0" w:color="auto"/>
            <w:right w:val="none" w:sz="0" w:space="0" w:color="auto"/>
          </w:divBdr>
          <w:divsChild>
            <w:div w:id="604311528">
              <w:marLeft w:val="0"/>
              <w:marRight w:val="0"/>
              <w:marTop w:val="0"/>
              <w:marBottom w:val="0"/>
              <w:divBdr>
                <w:top w:val="none" w:sz="0" w:space="0" w:color="auto"/>
                <w:left w:val="none" w:sz="0" w:space="0" w:color="auto"/>
                <w:bottom w:val="none" w:sz="0" w:space="0" w:color="auto"/>
                <w:right w:val="none" w:sz="0" w:space="0" w:color="auto"/>
              </w:divBdr>
              <w:divsChild>
                <w:div w:id="299575633">
                  <w:marLeft w:val="0"/>
                  <w:marRight w:val="0"/>
                  <w:marTop w:val="0"/>
                  <w:marBottom w:val="0"/>
                  <w:divBdr>
                    <w:top w:val="none" w:sz="0" w:space="0" w:color="auto"/>
                    <w:left w:val="none" w:sz="0" w:space="0" w:color="auto"/>
                    <w:bottom w:val="none" w:sz="0" w:space="0" w:color="auto"/>
                    <w:right w:val="none" w:sz="0" w:space="0" w:color="auto"/>
                  </w:divBdr>
                  <w:divsChild>
                    <w:div w:id="1446073454">
                      <w:marLeft w:val="0"/>
                      <w:marRight w:val="0"/>
                      <w:marTop w:val="0"/>
                      <w:marBottom w:val="0"/>
                      <w:divBdr>
                        <w:top w:val="none" w:sz="0" w:space="0" w:color="auto"/>
                        <w:left w:val="none" w:sz="0" w:space="0" w:color="auto"/>
                        <w:bottom w:val="none" w:sz="0" w:space="0" w:color="auto"/>
                        <w:right w:val="none" w:sz="0" w:space="0" w:color="auto"/>
                      </w:divBdr>
                      <w:divsChild>
                        <w:div w:id="700590115">
                          <w:marLeft w:val="2325"/>
                          <w:marRight w:val="0"/>
                          <w:marTop w:val="0"/>
                          <w:marBottom w:val="0"/>
                          <w:divBdr>
                            <w:top w:val="none" w:sz="0" w:space="0" w:color="auto"/>
                            <w:left w:val="none" w:sz="0" w:space="0" w:color="auto"/>
                            <w:bottom w:val="none" w:sz="0" w:space="0" w:color="auto"/>
                            <w:right w:val="none" w:sz="0" w:space="0" w:color="auto"/>
                          </w:divBdr>
                          <w:divsChild>
                            <w:div w:id="657029570">
                              <w:marLeft w:val="0"/>
                              <w:marRight w:val="0"/>
                              <w:marTop w:val="0"/>
                              <w:marBottom w:val="0"/>
                              <w:divBdr>
                                <w:top w:val="none" w:sz="0" w:space="0" w:color="auto"/>
                                <w:left w:val="none" w:sz="0" w:space="0" w:color="auto"/>
                                <w:bottom w:val="none" w:sz="0" w:space="0" w:color="auto"/>
                                <w:right w:val="none" w:sz="0" w:space="0" w:color="auto"/>
                              </w:divBdr>
                              <w:divsChild>
                                <w:div w:id="1407266500">
                                  <w:marLeft w:val="0"/>
                                  <w:marRight w:val="0"/>
                                  <w:marTop w:val="0"/>
                                  <w:marBottom w:val="0"/>
                                  <w:divBdr>
                                    <w:top w:val="none" w:sz="0" w:space="0" w:color="auto"/>
                                    <w:left w:val="none" w:sz="0" w:space="0" w:color="auto"/>
                                    <w:bottom w:val="none" w:sz="0" w:space="0" w:color="auto"/>
                                    <w:right w:val="none" w:sz="0" w:space="0" w:color="auto"/>
                                  </w:divBdr>
                                  <w:divsChild>
                                    <w:div w:id="512963032">
                                      <w:marLeft w:val="0"/>
                                      <w:marRight w:val="0"/>
                                      <w:marTop w:val="0"/>
                                      <w:marBottom w:val="0"/>
                                      <w:divBdr>
                                        <w:top w:val="none" w:sz="0" w:space="0" w:color="auto"/>
                                        <w:left w:val="none" w:sz="0" w:space="0" w:color="auto"/>
                                        <w:bottom w:val="none" w:sz="0" w:space="0" w:color="auto"/>
                                        <w:right w:val="none" w:sz="0" w:space="0" w:color="auto"/>
                                      </w:divBdr>
                                      <w:divsChild>
                                        <w:div w:id="40372996">
                                          <w:marLeft w:val="480"/>
                                          <w:marRight w:val="0"/>
                                          <w:marTop w:val="0"/>
                                          <w:marBottom w:val="0"/>
                                          <w:divBdr>
                                            <w:top w:val="none" w:sz="0" w:space="0" w:color="auto"/>
                                            <w:left w:val="none" w:sz="0" w:space="0" w:color="auto"/>
                                            <w:bottom w:val="none" w:sz="0" w:space="0" w:color="auto"/>
                                            <w:right w:val="none" w:sz="0" w:space="0" w:color="auto"/>
                                          </w:divBdr>
                                          <w:divsChild>
                                            <w:div w:id="560947921">
                                              <w:marLeft w:val="0"/>
                                              <w:marRight w:val="0"/>
                                              <w:marTop w:val="0"/>
                                              <w:marBottom w:val="0"/>
                                              <w:divBdr>
                                                <w:top w:val="none" w:sz="0" w:space="0" w:color="auto"/>
                                                <w:left w:val="none" w:sz="0" w:space="0" w:color="auto"/>
                                                <w:bottom w:val="none" w:sz="0" w:space="0" w:color="auto"/>
                                                <w:right w:val="none" w:sz="0" w:space="0" w:color="auto"/>
                                              </w:divBdr>
                                              <w:divsChild>
                                                <w:div w:id="1879735719">
                                                  <w:marLeft w:val="0"/>
                                                  <w:marRight w:val="0"/>
                                                  <w:marTop w:val="0"/>
                                                  <w:marBottom w:val="0"/>
                                                  <w:divBdr>
                                                    <w:top w:val="none" w:sz="0" w:space="0" w:color="auto"/>
                                                    <w:left w:val="none" w:sz="0" w:space="0" w:color="auto"/>
                                                    <w:bottom w:val="none" w:sz="0" w:space="0" w:color="auto"/>
                                                    <w:right w:val="none" w:sz="0" w:space="0" w:color="auto"/>
                                                  </w:divBdr>
                                                  <w:divsChild>
                                                    <w:div w:id="805244918">
                                                      <w:marLeft w:val="0"/>
                                                      <w:marRight w:val="0"/>
                                                      <w:marTop w:val="0"/>
                                                      <w:marBottom w:val="0"/>
                                                      <w:divBdr>
                                                        <w:top w:val="none" w:sz="0" w:space="0" w:color="auto"/>
                                                        <w:left w:val="none" w:sz="0" w:space="0" w:color="auto"/>
                                                        <w:bottom w:val="none" w:sz="0" w:space="0" w:color="auto"/>
                                                        <w:right w:val="none" w:sz="0" w:space="0" w:color="auto"/>
                                                      </w:divBdr>
                                                      <w:divsChild>
                                                        <w:div w:id="449592295">
                                                          <w:marLeft w:val="0"/>
                                                          <w:marRight w:val="0"/>
                                                          <w:marTop w:val="0"/>
                                                          <w:marBottom w:val="0"/>
                                                          <w:divBdr>
                                                            <w:top w:val="none" w:sz="0" w:space="0" w:color="auto"/>
                                                            <w:left w:val="none" w:sz="0" w:space="0" w:color="auto"/>
                                                            <w:bottom w:val="none" w:sz="0" w:space="0" w:color="auto"/>
                                                            <w:right w:val="none" w:sz="0" w:space="0" w:color="auto"/>
                                                          </w:divBdr>
                                                          <w:divsChild>
                                                            <w:div w:id="1363287760">
                                                              <w:marLeft w:val="0"/>
                                                              <w:marRight w:val="0"/>
                                                              <w:marTop w:val="0"/>
                                                              <w:marBottom w:val="0"/>
                                                              <w:divBdr>
                                                                <w:top w:val="none" w:sz="0" w:space="0" w:color="auto"/>
                                                                <w:left w:val="none" w:sz="0" w:space="0" w:color="auto"/>
                                                                <w:bottom w:val="none" w:sz="0" w:space="0" w:color="auto"/>
                                                                <w:right w:val="none" w:sz="0" w:space="0" w:color="auto"/>
                                                              </w:divBdr>
                                                              <w:divsChild>
                                                                <w:div w:id="162858210">
                                                                  <w:marLeft w:val="0"/>
                                                                  <w:marRight w:val="0"/>
                                                                  <w:marTop w:val="0"/>
                                                                  <w:marBottom w:val="0"/>
                                                                  <w:divBdr>
                                                                    <w:top w:val="none" w:sz="0" w:space="0" w:color="auto"/>
                                                                    <w:left w:val="none" w:sz="0" w:space="0" w:color="auto"/>
                                                                    <w:bottom w:val="none" w:sz="0" w:space="0" w:color="auto"/>
                                                                    <w:right w:val="none" w:sz="0" w:space="0" w:color="auto"/>
                                                                  </w:divBdr>
                                                                  <w:divsChild>
                                                                    <w:div w:id="1387100152">
                                                                      <w:marLeft w:val="0"/>
                                                                      <w:marRight w:val="0"/>
                                                                      <w:marTop w:val="96"/>
                                                                      <w:marBottom w:val="0"/>
                                                                      <w:divBdr>
                                                                        <w:top w:val="none" w:sz="0" w:space="0" w:color="auto"/>
                                                                        <w:left w:val="none" w:sz="0" w:space="0" w:color="auto"/>
                                                                        <w:bottom w:val="none" w:sz="0" w:space="0" w:color="auto"/>
                                                                        <w:right w:val="none" w:sz="0" w:space="0" w:color="auto"/>
                                                                      </w:divBdr>
                                                                      <w:divsChild>
                                                                        <w:div w:id="1070931649">
                                                                          <w:marLeft w:val="0"/>
                                                                          <w:marRight w:val="0"/>
                                                                          <w:marTop w:val="72"/>
                                                                          <w:marBottom w:val="0"/>
                                                                          <w:divBdr>
                                                                            <w:top w:val="none" w:sz="0" w:space="0" w:color="auto"/>
                                                                            <w:left w:val="none" w:sz="0" w:space="0" w:color="auto"/>
                                                                            <w:bottom w:val="none" w:sz="0" w:space="0" w:color="auto"/>
                                                                            <w:right w:val="none" w:sz="0" w:space="0" w:color="auto"/>
                                                                          </w:divBdr>
                                                                          <w:divsChild>
                                                                            <w:div w:id="1405228005">
                                                                              <w:marLeft w:val="0"/>
                                                                              <w:marRight w:val="0"/>
                                                                              <w:marTop w:val="0"/>
                                                                              <w:marBottom w:val="0"/>
                                                                              <w:divBdr>
                                                                                <w:top w:val="none" w:sz="0" w:space="0" w:color="auto"/>
                                                                                <w:left w:val="none" w:sz="0" w:space="0" w:color="auto"/>
                                                                                <w:bottom w:val="none" w:sz="0" w:space="0" w:color="auto"/>
                                                                                <w:right w:val="none" w:sz="0" w:space="0" w:color="auto"/>
                                                                              </w:divBdr>
                                                                              <w:divsChild>
                                                                                <w:div w:id="95579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JE6N4JFJXNNF-17-41492</_dlc_DocId>
    <_dlc_DocIdUrl xmlns="8b66ae41-1ec6-402e-b662-35d1932ca064">
      <Url>http://rkdhs-sb/enhet/EUKansli/_layouts/DocIdRedir.aspx?ID=JE6N4JFJXNNF-17-41492</Url>
      <Description>JE6N4JFJXNNF-17-41492</Description>
    </_dlc_DocIdUrl>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7996D-FED2-4491-90F7-95CC5673DF7A}">
  <ds:schemaRefs>
    <ds:schemaRef ds:uri="http://schemas.microsoft.com/office/2006/metadata/customXsn"/>
  </ds:schemaRefs>
</ds:datastoreItem>
</file>

<file path=customXml/itemProps2.xml><?xml version="1.0" encoding="utf-8"?>
<ds:datastoreItem xmlns:ds="http://schemas.openxmlformats.org/officeDocument/2006/customXml" ds:itemID="{BCE50298-47C0-4960-AF76-87C5480C53EF}">
  <ds:schemaRefs>
    <ds:schemaRef ds:uri="http://schemas.microsoft.com/sharepoint/events"/>
  </ds:schemaRefs>
</ds:datastoreItem>
</file>

<file path=customXml/itemProps3.xml><?xml version="1.0" encoding="utf-8"?>
<ds:datastoreItem xmlns:ds="http://schemas.openxmlformats.org/officeDocument/2006/customXml" ds:itemID="{D506D508-EA2F-4610-A7A1-BDB9F7BA5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AF126F-DBD2-4547-8EBD-B212D9ED4695}">
  <ds:schemaRefs>
    <ds:schemaRef ds:uri="http://schemas.microsoft.com/sharepoint/v3/contenttype/forms"/>
  </ds:schemaRefs>
</ds:datastoreItem>
</file>

<file path=customXml/itemProps5.xml><?xml version="1.0" encoding="utf-8"?>
<ds:datastoreItem xmlns:ds="http://schemas.openxmlformats.org/officeDocument/2006/customXml" ds:itemID="{35CB61BD-EABF-4ACC-BB91-2B2C7FD0C87C}">
  <ds:schemaRefs>
    <ds:schemaRef ds:uri="http://schemas.microsoft.com/office/2006/metadata/properties"/>
    <ds:schemaRef ds:uri="http://schemas.microsoft.com/office/infopath/2007/PartnerControls"/>
    <ds:schemaRef ds:uri="8b66ae41-1ec6-402e-b662-35d1932ca064"/>
  </ds:schemaRefs>
</ds:datastoreItem>
</file>

<file path=customXml/itemProps6.xml><?xml version="1.0" encoding="utf-8"?>
<ds:datastoreItem xmlns:ds="http://schemas.openxmlformats.org/officeDocument/2006/customXml" ds:itemID="{D81F4996-9DE0-4A84-8438-C5635AFDAB38}">
  <ds:schemaRefs>
    <ds:schemaRef ds:uri="http://schemas.microsoft.com/sharepoint/v3/contenttype/forms/url"/>
  </ds:schemaRefs>
</ds:datastoreItem>
</file>

<file path=customXml/itemProps7.xml><?xml version="1.0" encoding="utf-8"?>
<ds:datastoreItem xmlns:ds="http://schemas.openxmlformats.org/officeDocument/2006/customXml" ds:itemID="{2BEE777A-D614-45CB-BAE0-CCD00F910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2177</Words>
  <Characters>11544</Characters>
  <Application>Microsoft Office Word</Application>
  <DocSecurity>0</DocSecurity>
  <Lines>96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Sara Lindberg</cp:lastModifiedBy>
  <cp:revision>2</cp:revision>
  <dcterms:created xsi:type="dcterms:W3CDTF">2016-02-04T11:18:00Z</dcterms:created>
  <dcterms:modified xsi:type="dcterms:W3CDTF">2016-02-04T11:18:00Z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67134cc2-c9f2-4db6-83d3-8327f77d3733</vt:lpwstr>
  </property>
</Properties>
</file>