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70AE1D8D" w14:textId="6E972C32" w:rsidR="0056532C" w:rsidRDefault="0056532C" w:rsidP="00F65DF8"/>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507C946"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514EC1">
              <w:rPr>
                <w:b/>
              </w:rPr>
              <w:t>1</w:t>
            </w:r>
            <w:r w:rsidR="00A835DD">
              <w:rPr>
                <w:b/>
              </w:rPr>
              <w:t>1</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3170E696" w:rsidR="00F65DF8" w:rsidRPr="0012669A" w:rsidRDefault="00D46F51" w:rsidP="005F596C">
            <w:r w:rsidRPr="0012669A">
              <w:t>20</w:t>
            </w:r>
            <w:r w:rsidR="00F053F8" w:rsidRPr="0012669A">
              <w:t>2</w:t>
            </w:r>
            <w:r w:rsidR="00684CF7">
              <w:t>2</w:t>
            </w:r>
            <w:r w:rsidRPr="0012669A">
              <w:t>-</w:t>
            </w:r>
            <w:r w:rsidR="00A74A3A">
              <w:t>1</w:t>
            </w:r>
            <w:r w:rsidR="004C16AC">
              <w:t>1</w:t>
            </w:r>
            <w:r w:rsidR="004D2A50">
              <w:t>-</w:t>
            </w:r>
            <w:r w:rsidR="00514EC1">
              <w:t>2</w:t>
            </w:r>
            <w:r w:rsidR="00A835DD">
              <w:t>4</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65ED3571" w:rsidR="00141DA2" w:rsidRPr="0012669A" w:rsidRDefault="00044F5A" w:rsidP="008C57B9">
            <w:r>
              <w:t>1</w:t>
            </w:r>
            <w:r w:rsidR="00A835DD">
              <w:t>0</w:t>
            </w:r>
            <w:r w:rsidR="006A30F1">
              <w:t>.</w:t>
            </w:r>
            <w:r w:rsidR="00AC75E3">
              <w:t>00</w:t>
            </w:r>
            <w:r w:rsidR="0073639C">
              <w:t>–</w:t>
            </w:r>
            <w:r w:rsidR="00440513">
              <w:t>11.10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9B6378" w:rsidRPr="0012669A" w14:paraId="6266A987" w14:textId="77777777" w:rsidTr="00D7630C">
        <w:trPr>
          <w:trHeight w:val="950"/>
        </w:trPr>
        <w:tc>
          <w:tcPr>
            <w:tcW w:w="567" w:type="dxa"/>
          </w:tcPr>
          <w:p w14:paraId="18C3276D" w14:textId="08D5BE18" w:rsidR="009B6378" w:rsidRDefault="009B6378" w:rsidP="00DC0D46">
            <w:pPr>
              <w:tabs>
                <w:tab w:val="left" w:pos="1701"/>
              </w:tabs>
              <w:rPr>
                <w:b/>
                <w:snapToGrid w:val="0"/>
              </w:rPr>
            </w:pPr>
            <w:r>
              <w:rPr>
                <w:b/>
                <w:snapToGrid w:val="0"/>
              </w:rPr>
              <w:t xml:space="preserve">§ </w:t>
            </w:r>
            <w:r w:rsidR="003F6142">
              <w:rPr>
                <w:b/>
                <w:snapToGrid w:val="0"/>
              </w:rPr>
              <w:t>1</w:t>
            </w:r>
          </w:p>
        </w:tc>
        <w:tc>
          <w:tcPr>
            <w:tcW w:w="7162" w:type="dxa"/>
          </w:tcPr>
          <w:p w14:paraId="54BA5562" w14:textId="77777777" w:rsidR="009B6378" w:rsidRPr="003D5258" w:rsidRDefault="009B6378" w:rsidP="009B6378">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0B6A66C6" w14:textId="77777777" w:rsidR="009B6378" w:rsidRPr="003D5258" w:rsidRDefault="009B6378" w:rsidP="009B6378">
            <w:pPr>
              <w:widowControl w:val="0"/>
              <w:tabs>
                <w:tab w:val="left" w:pos="1701"/>
              </w:tabs>
              <w:rPr>
                <w:rFonts w:eastAsiaTheme="minorHAnsi"/>
                <w:b/>
                <w:bCs/>
                <w:color w:val="000000"/>
                <w:lang w:eastAsia="en-US"/>
              </w:rPr>
            </w:pPr>
          </w:p>
          <w:p w14:paraId="11CC3700" w14:textId="3F2062B2" w:rsidR="009B6378" w:rsidRPr="009B6378" w:rsidRDefault="009B6378" w:rsidP="009B6378">
            <w:pPr>
              <w:widowControl w:val="0"/>
              <w:tabs>
                <w:tab w:val="left" w:pos="1701"/>
              </w:tabs>
              <w:rPr>
                <w:rFonts w:eastAsiaTheme="minorHAnsi"/>
                <w:color w:val="000000"/>
                <w:lang w:eastAsia="en-US"/>
              </w:rPr>
            </w:pPr>
            <w:r w:rsidRPr="003D5258">
              <w:t>Utskottet justerade protokoll 202</w:t>
            </w:r>
            <w:r>
              <w:t>2</w:t>
            </w:r>
            <w:r w:rsidRPr="003D5258">
              <w:t>/2</w:t>
            </w:r>
            <w:r>
              <w:t>3</w:t>
            </w:r>
            <w:r w:rsidRPr="003D5258">
              <w:t>:</w:t>
            </w:r>
            <w:r w:rsidR="00A835DD">
              <w:t>10</w:t>
            </w:r>
            <w:r w:rsidRPr="003D5258">
              <w:t>.</w:t>
            </w:r>
            <w:r>
              <w:br/>
            </w:r>
          </w:p>
        </w:tc>
      </w:tr>
      <w:tr w:rsidR="00300D60" w:rsidRPr="0012669A" w14:paraId="49E38896" w14:textId="77777777" w:rsidTr="00D7630C">
        <w:trPr>
          <w:trHeight w:val="950"/>
        </w:trPr>
        <w:tc>
          <w:tcPr>
            <w:tcW w:w="567" w:type="dxa"/>
          </w:tcPr>
          <w:p w14:paraId="76004653" w14:textId="77958227" w:rsidR="00300D60" w:rsidRDefault="00300D60" w:rsidP="00DC0D46">
            <w:pPr>
              <w:tabs>
                <w:tab w:val="left" w:pos="1701"/>
              </w:tabs>
              <w:rPr>
                <w:b/>
                <w:snapToGrid w:val="0"/>
              </w:rPr>
            </w:pPr>
            <w:r>
              <w:rPr>
                <w:b/>
                <w:snapToGrid w:val="0"/>
              </w:rPr>
              <w:t xml:space="preserve">§ </w:t>
            </w:r>
            <w:r w:rsidR="00A835DD">
              <w:rPr>
                <w:b/>
                <w:snapToGrid w:val="0"/>
              </w:rPr>
              <w:t>2</w:t>
            </w:r>
          </w:p>
        </w:tc>
        <w:tc>
          <w:tcPr>
            <w:tcW w:w="7162" w:type="dxa"/>
          </w:tcPr>
          <w:p w14:paraId="36D210CD" w14:textId="77777777" w:rsidR="00514EC1" w:rsidRDefault="00514EC1" w:rsidP="00514EC1">
            <w:pPr>
              <w:widowControl w:val="0"/>
              <w:rPr>
                <w:snapToGrid w:val="0"/>
                <w:szCs w:val="20"/>
              </w:rPr>
            </w:pPr>
            <w:r>
              <w:rPr>
                <w:b/>
              </w:rPr>
              <w:t>Upphovsrätten på den digitala inre marknaden (NU6)</w:t>
            </w:r>
            <w:r>
              <w:rPr>
                <w:b/>
              </w:rPr>
              <w:br/>
            </w:r>
          </w:p>
          <w:p w14:paraId="33DB53DA" w14:textId="1912BC63" w:rsidR="00514EC1" w:rsidRDefault="00514EC1" w:rsidP="00514EC1">
            <w:pPr>
              <w:widowControl w:val="0"/>
              <w:tabs>
                <w:tab w:val="left" w:pos="1701"/>
              </w:tabs>
              <w:rPr>
                <w:bCs/>
                <w:snapToGrid w:val="0"/>
                <w:szCs w:val="20"/>
              </w:rPr>
            </w:pPr>
            <w:r>
              <w:rPr>
                <w:bCs/>
                <w:snapToGrid w:val="0"/>
                <w:szCs w:val="20"/>
              </w:rPr>
              <w:t>Utskottet fortsatte beredningen av proposition 2021/22:278 och motioner.</w:t>
            </w:r>
          </w:p>
          <w:p w14:paraId="002CA1B3" w14:textId="77777777" w:rsidR="00514EC1" w:rsidRDefault="00514EC1" w:rsidP="00514EC1">
            <w:pPr>
              <w:widowControl w:val="0"/>
              <w:tabs>
                <w:tab w:val="left" w:pos="1701"/>
              </w:tabs>
              <w:rPr>
                <w:bCs/>
                <w:snapToGrid w:val="0"/>
                <w:szCs w:val="20"/>
              </w:rPr>
            </w:pPr>
          </w:p>
          <w:p w14:paraId="4B43F8CA" w14:textId="6FBE13E4" w:rsidR="00514EC1" w:rsidRDefault="00A835DD" w:rsidP="00514EC1">
            <w:pPr>
              <w:widowControl w:val="0"/>
              <w:tabs>
                <w:tab w:val="left" w:pos="1701"/>
              </w:tabs>
              <w:rPr>
                <w:bCs/>
                <w:snapToGrid w:val="0"/>
                <w:szCs w:val="20"/>
              </w:rPr>
            </w:pPr>
            <w:r>
              <w:rPr>
                <w:bCs/>
                <w:snapToGrid w:val="0"/>
                <w:szCs w:val="20"/>
              </w:rPr>
              <w:t>Utskottet justerade betänkande 2022/23:NU6.</w:t>
            </w:r>
          </w:p>
          <w:p w14:paraId="6A0E054A" w14:textId="36EDE4A4" w:rsidR="00A835DD" w:rsidRDefault="00A835DD" w:rsidP="00514EC1">
            <w:pPr>
              <w:widowControl w:val="0"/>
              <w:tabs>
                <w:tab w:val="left" w:pos="1701"/>
              </w:tabs>
              <w:rPr>
                <w:bCs/>
                <w:snapToGrid w:val="0"/>
                <w:szCs w:val="20"/>
              </w:rPr>
            </w:pPr>
          </w:p>
          <w:p w14:paraId="5F692B9D" w14:textId="62C886A2" w:rsidR="00A835DD" w:rsidRDefault="00A835DD" w:rsidP="00514EC1">
            <w:pPr>
              <w:widowControl w:val="0"/>
              <w:tabs>
                <w:tab w:val="left" w:pos="1701"/>
              </w:tabs>
              <w:rPr>
                <w:bCs/>
                <w:snapToGrid w:val="0"/>
                <w:szCs w:val="20"/>
              </w:rPr>
            </w:pPr>
            <w:r>
              <w:rPr>
                <w:bCs/>
                <w:snapToGrid w:val="0"/>
                <w:szCs w:val="20"/>
              </w:rPr>
              <w:t>V- och MP-ledamöterna anmälde reservationer.</w:t>
            </w:r>
          </w:p>
          <w:p w14:paraId="41E1E17F" w14:textId="1194AD84" w:rsidR="00A835DD" w:rsidRDefault="00A835DD" w:rsidP="00514EC1">
            <w:pPr>
              <w:widowControl w:val="0"/>
              <w:tabs>
                <w:tab w:val="left" w:pos="1701"/>
              </w:tabs>
              <w:rPr>
                <w:bCs/>
                <w:snapToGrid w:val="0"/>
                <w:szCs w:val="20"/>
              </w:rPr>
            </w:pPr>
          </w:p>
          <w:p w14:paraId="0FD15568" w14:textId="29C8BA73" w:rsidR="00A835DD" w:rsidRDefault="00A835DD" w:rsidP="00514EC1">
            <w:pPr>
              <w:widowControl w:val="0"/>
              <w:tabs>
                <w:tab w:val="left" w:pos="1701"/>
              </w:tabs>
              <w:rPr>
                <w:bCs/>
                <w:snapToGrid w:val="0"/>
                <w:szCs w:val="20"/>
              </w:rPr>
            </w:pPr>
            <w:r>
              <w:rPr>
                <w:bCs/>
                <w:snapToGrid w:val="0"/>
                <w:szCs w:val="20"/>
              </w:rPr>
              <w:t>C-ledamoten anmälde ett särskilt yttrande.</w:t>
            </w:r>
          </w:p>
          <w:p w14:paraId="0396C3D6" w14:textId="4010D9E7" w:rsidR="0018013C" w:rsidRPr="00300D60" w:rsidRDefault="0018013C" w:rsidP="00300D60">
            <w:pPr>
              <w:tabs>
                <w:tab w:val="left" w:pos="1701"/>
              </w:tabs>
              <w:rPr>
                <w:bCs/>
              </w:rPr>
            </w:pPr>
          </w:p>
        </w:tc>
      </w:tr>
      <w:tr w:rsidR="00D7630C" w:rsidRPr="0012669A" w14:paraId="3676668D" w14:textId="77777777" w:rsidTr="00D7630C">
        <w:trPr>
          <w:trHeight w:val="950"/>
        </w:trPr>
        <w:tc>
          <w:tcPr>
            <w:tcW w:w="567" w:type="dxa"/>
          </w:tcPr>
          <w:p w14:paraId="761353C6" w14:textId="7EB44B99" w:rsidR="00D7630C" w:rsidRDefault="00D7630C" w:rsidP="00DC0D46">
            <w:pPr>
              <w:tabs>
                <w:tab w:val="left" w:pos="1701"/>
              </w:tabs>
              <w:rPr>
                <w:b/>
                <w:snapToGrid w:val="0"/>
              </w:rPr>
            </w:pPr>
            <w:r>
              <w:rPr>
                <w:b/>
                <w:snapToGrid w:val="0"/>
              </w:rPr>
              <w:t xml:space="preserve">§ </w:t>
            </w:r>
            <w:r w:rsidR="00A835DD">
              <w:rPr>
                <w:b/>
                <w:snapToGrid w:val="0"/>
              </w:rPr>
              <w:t>3</w:t>
            </w:r>
          </w:p>
        </w:tc>
        <w:tc>
          <w:tcPr>
            <w:tcW w:w="7162" w:type="dxa"/>
          </w:tcPr>
          <w:p w14:paraId="2573EAF5" w14:textId="77777777" w:rsidR="00D7630C" w:rsidRPr="00AD64E6" w:rsidRDefault="00825675" w:rsidP="00514EC1">
            <w:pPr>
              <w:widowControl w:val="0"/>
              <w:rPr>
                <w:b/>
              </w:rPr>
            </w:pPr>
            <w:r w:rsidRPr="00AD64E6">
              <w:rPr>
                <w:b/>
              </w:rPr>
              <w:t>Förslag till direktiv om tillbörlig aktsamhet för företag i fråga om hållbarhet</w:t>
            </w:r>
          </w:p>
          <w:p w14:paraId="68EBBECB" w14:textId="77777777" w:rsidR="00825675" w:rsidRPr="00AD64E6" w:rsidRDefault="00825675" w:rsidP="00514EC1">
            <w:pPr>
              <w:widowControl w:val="0"/>
              <w:rPr>
                <w:bCs/>
              </w:rPr>
            </w:pPr>
          </w:p>
          <w:p w14:paraId="6F49470B" w14:textId="77777777" w:rsidR="00825675" w:rsidRPr="00AD64E6" w:rsidRDefault="00825675" w:rsidP="00825675">
            <w:pPr>
              <w:tabs>
                <w:tab w:val="left" w:pos="1701"/>
              </w:tabs>
              <w:rPr>
                <w:bCs/>
              </w:rPr>
            </w:pPr>
            <w:r w:rsidRPr="00AD64E6">
              <w:rPr>
                <w:bCs/>
              </w:rPr>
              <w:t xml:space="preserve">Utskottet överlade med statssekreterare </w:t>
            </w:r>
            <w:r w:rsidRPr="00AD64E6">
              <w:t>Sara Modig</w:t>
            </w:r>
            <w:r w:rsidRPr="00AD64E6">
              <w:rPr>
                <w:bCs/>
              </w:rPr>
              <w:t>, åtföljd av medarbetare från Näringsdepartementet.</w:t>
            </w:r>
          </w:p>
          <w:p w14:paraId="6937527A" w14:textId="77777777" w:rsidR="00825675" w:rsidRPr="00AD64E6" w:rsidRDefault="00825675" w:rsidP="00825675">
            <w:pPr>
              <w:tabs>
                <w:tab w:val="left" w:pos="1701"/>
              </w:tabs>
              <w:rPr>
                <w:bCs/>
              </w:rPr>
            </w:pPr>
          </w:p>
          <w:p w14:paraId="0A63F84D" w14:textId="544C9DB1" w:rsidR="00825675" w:rsidRPr="00AD64E6" w:rsidRDefault="00825675" w:rsidP="00825675">
            <w:pPr>
              <w:pStyle w:val="Default"/>
            </w:pPr>
            <w:r w:rsidRPr="00AD64E6">
              <w:rPr>
                <w:bCs/>
              </w:rPr>
              <w:t xml:space="preserve">Underlaget utgjordes av </w:t>
            </w:r>
            <w:bookmarkStart w:id="0" w:name="_Hlk119412521"/>
            <w:r w:rsidRPr="00AD64E6">
              <w:rPr>
                <w:bCs/>
              </w:rPr>
              <w:t xml:space="preserve">kommissionens förslag till direktiv om tillbörlig aktsamhet för företag i fråga om hållbarhet, </w:t>
            </w:r>
            <w:proofErr w:type="gramStart"/>
            <w:r w:rsidRPr="00AD64E6">
              <w:rPr>
                <w:bCs/>
              </w:rPr>
              <w:t>COM(</w:t>
            </w:r>
            <w:proofErr w:type="gramEnd"/>
            <w:r w:rsidRPr="00AD64E6">
              <w:rPr>
                <w:bCs/>
              </w:rPr>
              <w:t xml:space="preserve">2022) </w:t>
            </w:r>
            <w:bookmarkEnd w:id="0"/>
            <w:r w:rsidRPr="00AD64E6">
              <w:rPr>
                <w:bCs/>
              </w:rPr>
              <w:t>71 och regeringens överläggningspromemoria (dnr. NU-1.8.4-967-2022/23):</w:t>
            </w:r>
          </w:p>
          <w:p w14:paraId="38395D9E" w14:textId="77777777" w:rsidR="00825675" w:rsidRPr="00AD64E6" w:rsidRDefault="00825675" w:rsidP="00825675">
            <w:pPr>
              <w:tabs>
                <w:tab w:val="left" w:pos="1701"/>
              </w:tabs>
              <w:rPr>
                <w:bCs/>
              </w:rPr>
            </w:pPr>
          </w:p>
          <w:p w14:paraId="0BC9405B" w14:textId="1A4A7F06" w:rsidR="00825675" w:rsidRPr="00AD64E6" w:rsidRDefault="00825675" w:rsidP="00825675">
            <w:pPr>
              <w:tabs>
                <w:tab w:val="left" w:pos="1701"/>
              </w:tabs>
              <w:rPr>
                <w:bCs/>
              </w:rPr>
            </w:pPr>
            <w:r w:rsidRPr="00AD64E6">
              <w:rPr>
                <w:bCs/>
              </w:rPr>
              <w:t>Statssekreteraren redogjorde för regeringens ståndpunkt i enlighet med överläggningspromemorian:</w:t>
            </w:r>
          </w:p>
          <w:p w14:paraId="36F7B5FD" w14:textId="580D7636" w:rsidR="00825675" w:rsidRPr="00AD64E6" w:rsidRDefault="00825675" w:rsidP="00825675">
            <w:pPr>
              <w:tabs>
                <w:tab w:val="left" w:pos="1701"/>
              </w:tabs>
              <w:rPr>
                <w:bCs/>
              </w:rPr>
            </w:pPr>
          </w:p>
          <w:p w14:paraId="44BC5B08" w14:textId="79EC9761" w:rsidR="00825675" w:rsidRPr="00AD64E6" w:rsidRDefault="00825675" w:rsidP="00825675">
            <w:pPr>
              <w:tabs>
                <w:tab w:val="left" w:pos="1701"/>
              </w:tabs>
              <w:spacing w:after="120"/>
              <w:ind w:left="572"/>
              <w:rPr>
                <w:bCs/>
              </w:rPr>
            </w:pPr>
            <w:r w:rsidRPr="00AD64E6">
              <w:rPr>
                <w:bCs/>
              </w:rPr>
              <w:t>Regeringen anser att näringslivet har en viktig roll att spela i arbe</w:t>
            </w:r>
            <w:r w:rsidR="00C45E43" w:rsidRPr="00AD64E6">
              <w:rPr>
                <w:bCs/>
              </w:rPr>
              <w:softHyphen/>
            </w:r>
            <w:r w:rsidRPr="00AD64E6">
              <w:rPr>
                <w:bCs/>
              </w:rPr>
              <w:t>tet för en hållbar utveckling och för många svenska företag är håll</w:t>
            </w:r>
            <w:r w:rsidR="00C45E43" w:rsidRPr="00AD64E6">
              <w:rPr>
                <w:bCs/>
              </w:rPr>
              <w:softHyphen/>
            </w:r>
            <w:r w:rsidRPr="00AD64E6">
              <w:rPr>
                <w:bCs/>
              </w:rPr>
              <w:t>barhetsfrågorna viktiga ur ett konkurrensperspektiv. Ambitionen att söka skapa harmoniserade EU-regler på området istället för det lapptäcke av nationella regler som håller på att uppstå på området är lovvärd. Det behöver dock göras på ett smart sätt och på ett sätt där de administrativa bördorna som direktivet ger upphov till står i proportion till de problem som förslaget tar sikte på.</w:t>
            </w:r>
          </w:p>
          <w:p w14:paraId="680FBA9D" w14:textId="164034BF" w:rsidR="00825675" w:rsidRPr="00AD64E6" w:rsidRDefault="00825675" w:rsidP="00825675">
            <w:pPr>
              <w:tabs>
                <w:tab w:val="left" w:pos="1701"/>
              </w:tabs>
              <w:spacing w:after="120"/>
              <w:ind w:left="572"/>
              <w:rPr>
                <w:bCs/>
              </w:rPr>
            </w:pPr>
            <w:r w:rsidRPr="00AD64E6">
              <w:rPr>
                <w:bCs/>
              </w:rPr>
              <w:lastRenderedPageBreak/>
              <w:t>Därvidlag är regeringen kritisk till delar av kommissionens förslag till direktiv om tillbörlig aktsamhet för företag i fråga om hållbar</w:t>
            </w:r>
            <w:r w:rsidR="00C45E43" w:rsidRPr="00AD64E6">
              <w:rPr>
                <w:bCs/>
              </w:rPr>
              <w:softHyphen/>
            </w:r>
            <w:r w:rsidRPr="00AD64E6">
              <w:rPr>
                <w:bCs/>
              </w:rPr>
              <w:t>het. Det är problematiskt att direktivet skulle riskera att leda till betydande ökade administrativa bördor för berörda företag inklu</w:t>
            </w:r>
            <w:r w:rsidR="00C45E43" w:rsidRPr="00AD64E6">
              <w:rPr>
                <w:bCs/>
              </w:rPr>
              <w:softHyphen/>
            </w:r>
            <w:r w:rsidRPr="00AD64E6">
              <w:rPr>
                <w:bCs/>
              </w:rPr>
              <w:t>sive för små</w:t>
            </w:r>
            <w:r w:rsidR="00C45E43" w:rsidRPr="00AD64E6">
              <w:rPr>
                <w:bCs/>
              </w:rPr>
              <w:t>-</w:t>
            </w:r>
            <w:r w:rsidRPr="00AD64E6">
              <w:rPr>
                <w:bCs/>
              </w:rPr>
              <w:t xml:space="preserve"> och medelstora</w:t>
            </w:r>
            <w:r w:rsidR="00C45E43" w:rsidRPr="00AD64E6">
              <w:rPr>
                <w:bCs/>
              </w:rPr>
              <w:t xml:space="preserve"> </w:t>
            </w:r>
            <w:r w:rsidRPr="00AD64E6">
              <w:rPr>
                <w:bCs/>
              </w:rPr>
              <w:t xml:space="preserve">företag som företagen som omfattas har en etablerad affärsrelation med. </w:t>
            </w:r>
          </w:p>
          <w:p w14:paraId="3E76F712" w14:textId="20252CAC" w:rsidR="00825675" w:rsidRPr="00AD64E6" w:rsidRDefault="00825675" w:rsidP="00825675">
            <w:pPr>
              <w:tabs>
                <w:tab w:val="left" w:pos="1701"/>
              </w:tabs>
              <w:spacing w:after="120"/>
              <w:ind w:left="572"/>
              <w:rPr>
                <w:bCs/>
              </w:rPr>
            </w:pPr>
            <w:r w:rsidRPr="00AD64E6">
              <w:rPr>
                <w:bCs/>
              </w:rPr>
              <w:t>För att begränsa dessa driver regeringen att direktivets omfattning och skyldigheter väsentligt begränsas. Regeringen anser att trös</w:t>
            </w:r>
            <w:r w:rsidR="00C45E43" w:rsidRPr="00AD64E6">
              <w:rPr>
                <w:bCs/>
              </w:rPr>
              <w:softHyphen/>
            </w:r>
            <w:r w:rsidRPr="00AD64E6">
              <w:rPr>
                <w:bCs/>
              </w:rPr>
              <w:t>kelvärden för antal anställda och omsättning bör höjas så att färre företag omfattas av direktivet. Skyldigheter att upprätta och verk</w:t>
            </w:r>
            <w:r w:rsidR="00C45E43" w:rsidRPr="00AD64E6">
              <w:rPr>
                <w:bCs/>
              </w:rPr>
              <w:softHyphen/>
            </w:r>
            <w:r w:rsidRPr="00AD64E6">
              <w:rPr>
                <w:bCs/>
              </w:rPr>
              <w:t xml:space="preserve">ställa </w:t>
            </w:r>
            <w:proofErr w:type="spellStart"/>
            <w:r w:rsidRPr="00AD64E6">
              <w:rPr>
                <w:bCs/>
              </w:rPr>
              <w:t>due-diligence</w:t>
            </w:r>
            <w:proofErr w:type="spellEnd"/>
            <w:r w:rsidRPr="00AD64E6">
              <w:rPr>
                <w:bCs/>
              </w:rPr>
              <w:t xml:space="preserve"> processer bör begränsas till företagets leveran</w:t>
            </w:r>
            <w:r w:rsidR="00C45E43" w:rsidRPr="00AD64E6">
              <w:rPr>
                <w:bCs/>
              </w:rPr>
              <w:softHyphen/>
            </w:r>
            <w:r w:rsidRPr="00AD64E6">
              <w:rPr>
                <w:bCs/>
              </w:rPr>
              <w:t>törskedja i stället för att omfatta hela värdekedjan. Även i övrigt bör företagens skyldigheter enligt direktivet tydliggöras, begränsas och förenklas.</w:t>
            </w:r>
          </w:p>
          <w:p w14:paraId="70B3E4D7" w14:textId="6DD63D0B" w:rsidR="00825675" w:rsidRPr="00AD64E6" w:rsidRDefault="00825675" w:rsidP="00825675">
            <w:pPr>
              <w:tabs>
                <w:tab w:val="left" w:pos="1701"/>
              </w:tabs>
              <w:spacing w:after="120"/>
              <w:ind w:left="572"/>
              <w:rPr>
                <w:bCs/>
              </w:rPr>
            </w:pPr>
            <w:r w:rsidRPr="00AD64E6">
              <w:rPr>
                <w:bCs/>
              </w:rPr>
              <w:t>Kommissionens förslag på utformningen av ett civilrättsligt skade</w:t>
            </w:r>
            <w:r w:rsidR="00C45E43" w:rsidRPr="00AD64E6">
              <w:rPr>
                <w:bCs/>
              </w:rPr>
              <w:softHyphen/>
            </w:r>
            <w:r w:rsidRPr="00AD64E6">
              <w:rPr>
                <w:bCs/>
              </w:rPr>
              <w:t>ståndsansvar är därtill problematisk. Bedömningen av hur långt företagens ansvar sträcker sig är både oförutsägbart och rättsosä</w:t>
            </w:r>
            <w:r w:rsidR="00C45E43" w:rsidRPr="00AD64E6">
              <w:rPr>
                <w:bCs/>
              </w:rPr>
              <w:softHyphen/>
            </w:r>
            <w:r w:rsidRPr="00AD64E6">
              <w:rPr>
                <w:bCs/>
              </w:rPr>
              <w:t>kert. Regeringen anser i första hand att det civilrättsliga skade</w:t>
            </w:r>
            <w:r w:rsidR="00C45E43" w:rsidRPr="00AD64E6">
              <w:rPr>
                <w:bCs/>
              </w:rPr>
              <w:softHyphen/>
            </w:r>
            <w:r w:rsidRPr="00AD64E6">
              <w:rPr>
                <w:bCs/>
              </w:rPr>
              <w:t xml:space="preserve">ståndsansvaret bör utgå från direktivet. Det är positivt att dessa delar har begränsats i rådets förhandlingar och regeringen verkar för att de aktuella bestämmelserna ytterligare snävas in. </w:t>
            </w:r>
          </w:p>
          <w:p w14:paraId="07512830" w14:textId="4EF0CEE6" w:rsidR="00825675" w:rsidRPr="00AD64E6" w:rsidRDefault="00825675" w:rsidP="00825675">
            <w:pPr>
              <w:tabs>
                <w:tab w:val="left" w:pos="1701"/>
              </w:tabs>
              <w:spacing w:after="120"/>
              <w:ind w:left="572"/>
              <w:rPr>
                <w:bCs/>
              </w:rPr>
            </w:pPr>
            <w:r w:rsidRPr="00AD64E6">
              <w:rPr>
                <w:bCs/>
              </w:rPr>
              <w:t>Den för nordiska förhållanden välfungerande, välförankrade och flexibla bolagsstyrningsmodellen bör värnas genom att regleringen på området alltjämt förbehålls medlemsstaterna. Det är därför väl</w:t>
            </w:r>
            <w:r w:rsidR="00C45E43" w:rsidRPr="00AD64E6">
              <w:rPr>
                <w:bCs/>
              </w:rPr>
              <w:softHyphen/>
            </w:r>
            <w:r w:rsidRPr="00AD64E6">
              <w:rPr>
                <w:bCs/>
              </w:rPr>
              <w:t>kommet att bestämmelserna om bolagsstyrning har strukits i det senaste kompromissförslag som föreligger.</w:t>
            </w:r>
          </w:p>
          <w:p w14:paraId="177CE484" w14:textId="684AE878" w:rsidR="00825675" w:rsidRPr="00AD64E6" w:rsidRDefault="00825675" w:rsidP="00825675">
            <w:pPr>
              <w:tabs>
                <w:tab w:val="left" w:pos="1701"/>
              </w:tabs>
              <w:spacing w:after="120"/>
              <w:ind w:left="572"/>
              <w:rPr>
                <w:bCs/>
              </w:rPr>
            </w:pPr>
            <w:r w:rsidRPr="00AD64E6">
              <w:rPr>
                <w:bCs/>
              </w:rPr>
              <w:t>Det förefaller finnas förutsättningar för det tjeckiska ordförande</w:t>
            </w:r>
            <w:r w:rsidR="00C45E43" w:rsidRPr="00AD64E6">
              <w:rPr>
                <w:bCs/>
              </w:rPr>
              <w:softHyphen/>
            </w:r>
            <w:r w:rsidRPr="00AD64E6">
              <w:rPr>
                <w:bCs/>
              </w:rPr>
              <w:t>skapet att uppnå sin målsättning att samla en kvalificerad majoritet för en allmän riktlinje. För att fortsatt kunna driva på för ett direk</w:t>
            </w:r>
            <w:r w:rsidR="00C45E43" w:rsidRPr="00AD64E6">
              <w:rPr>
                <w:bCs/>
              </w:rPr>
              <w:softHyphen/>
            </w:r>
            <w:r w:rsidRPr="00AD64E6">
              <w:rPr>
                <w:bCs/>
              </w:rPr>
              <w:t>tiv som så bra som möjligt motsvarar svenska synpunkter, framför allt när det gäller de administrativa bördorna för de företag som omfattas, anser regeringen att Sverige bör ställa sig bakom en all</w:t>
            </w:r>
            <w:r w:rsidR="00C45E43" w:rsidRPr="00AD64E6">
              <w:rPr>
                <w:bCs/>
              </w:rPr>
              <w:softHyphen/>
            </w:r>
            <w:r w:rsidRPr="00AD64E6">
              <w:rPr>
                <w:bCs/>
              </w:rPr>
              <w:t>män riktlinje om en sådan verkligen aktualiseras. På så sätt säker</w:t>
            </w:r>
            <w:r w:rsidR="00C45E43" w:rsidRPr="00AD64E6">
              <w:rPr>
                <w:bCs/>
              </w:rPr>
              <w:softHyphen/>
            </w:r>
            <w:r w:rsidRPr="00AD64E6">
              <w:rPr>
                <w:bCs/>
              </w:rPr>
              <w:t>ställs bästa möjliga utgångspunkt för att värna svenska intressen i det fortsatta förhandlingarna.</w:t>
            </w:r>
          </w:p>
          <w:p w14:paraId="3C2B1238" w14:textId="5B66B91F" w:rsidR="00825675" w:rsidRPr="00AD64E6" w:rsidRDefault="00825675" w:rsidP="00825675">
            <w:pPr>
              <w:tabs>
                <w:tab w:val="left" w:pos="1701"/>
              </w:tabs>
              <w:rPr>
                <w:bCs/>
              </w:rPr>
            </w:pPr>
          </w:p>
          <w:p w14:paraId="572F75A8" w14:textId="77777777" w:rsidR="00825675" w:rsidRPr="00AD64E6" w:rsidRDefault="00825675" w:rsidP="00825675">
            <w:pPr>
              <w:tabs>
                <w:tab w:val="left" w:pos="1701"/>
              </w:tabs>
              <w:rPr>
                <w:bCs/>
              </w:rPr>
            </w:pPr>
            <w:r w:rsidRPr="00AD64E6">
              <w:rPr>
                <w:bCs/>
              </w:rPr>
              <w:t>Ordföranden konstaterade att det fanns stöd för regeringens ståndpunkt.</w:t>
            </w:r>
          </w:p>
          <w:p w14:paraId="0ED8BEBE" w14:textId="6B78DDF6" w:rsidR="00825675" w:rsidRPr="00AD64E6" w:rsidRDefault="00825675" w:rsidP="00825675">
            <w:pPr>
              <w:tabs>
                <w:tab w:val="left" w:pos="1701"/>
              </w:tabs>
              <w:rPr>
                <w:bCs/>
              </w:rPr>
            </w:pPr>
          </w:p>
          <w:p w14:paraId="16E81AF5" w14:textId="29BB44FA" w:rsidR="00825675" w:rsidRPr="00AD64E6" w:rsidRDefault="00825675" w:rsidP="00825675">
            <w:pPr>
              <w:tabs>
                <w:tab w:val="left" w:pos="1701"/>
              </w:tabs>
              <w:spacing w:after="120"/>
              <w:rPr>
                <w:bCs/>
              </w:rPr>
            </w:pPr>
            <w:r w:rsidRPr="00AD64E6">
              <w:rPr>
                <w:bCs/>
              </w:rPr>
              <w:t>S-ledamöterna anmälde följande avvikande ståndpunkt:</w:t>
            </w:r>
          </w:p>
          <w:p w14:paraId="0EB27FBF" w14:textId="0C95D630" w:rsidR="00825675" w:rsidRPr="00AD64E6" w:rsidRDefault="00825675" w:rsidP="00825675">
            <w:pPr>
              <w:tabs>
                <w:tab w:val="left" w:pos="1701"/>
              </w:tabs>
              <w:spacing w:after="120"/>
              <w:ind w:left="573"/>
              <w:rPr>
                <w:bCs/>
              </w:rPr>
            </w:pPr>
            <w:r w:rsidRPr="00AD64E6">
              <w:rPr>
                <w:bCs/>
              </w:rPr>
              <w:t>Vi menar att näringslivet har en viktig roll att spela i arbetet för en hållbar utveckling och bidrar redan i</w:t>
            </w:r>
            <w:r w:rsidR="00F258ED">
              <w:rPr>
                <w:bCs/>
              </w:rPr>
              <w:t xml:space="preserve"> </w:t>
            </w:r>
            <w:r w:rsidRPr="00AD64E6">
              <w:rPr>
                <w:bCs/>
              </w:rPr>
              <w:t>dag i stor utsträckning till lös</w:t>
            </w:r>
            <w:r w:rsidR="00C45E43" w:rsidRPr="00AD64E6">
              <w:rPr>
                <w:bCs/>
              </w:rPr>
              <w:softHyphen/>
            </w:r>
            <w:r w:rsidRPr="00AD64E6">
              <w:rPr>
                <w:bCs/>
              </w:rPr>
              <w:t>ningar för ökad hållbarhet. För många svenska företag är hållbar</w:t>
            </w:r>
            <w:r w:rsidR="00C45E43" w:rsidRPr="00AD64E6">
              <w:rPr>
                <w:bCs/>
              </w:rPr>
              <w:softHyphen/>
            </w:r>
            <w:r w:rsidRPr="00AD64E6">
              <w:rPr>
                <w:bCs/>
              </w:rPr>
              <w:t xml:space="preserve">hetsfrågorna viktiga ur ett konkurrensperspektiv. </w:t>
            </w:r>
          </w:p>
          <w:p w14:paraId="2EF1E933" w14:textId="2AAB5BDC" w:rsidR="00825675" w:rsidRPr="00AD64E6" w:rsidRDefault="00825675" w:rsidP="00825675">
            <w:pPr>
              <w:tabs>
                <w:tab w:val="left" w:pos="1701"/>
              </w:tabs>
              <w:spacing w:after="120"/>
              <w:ind w:left="573"/>
              <w:rPr>
                <w:bCs/>
              </w:rPr>
            </w:pPr>
            <w:r w:rsidRPr="00AD64E6">
              <w:rPr>
                <w:bCs/>
              </w:rPr>
              <w:t>Harmoniserade regler på området har fördelar i förhållande till en splittrad nationell regelgivning och kan bidra till konkurrensneut</w:t>
            </w:r>
            <w:r w:rsidR="00C45E43" w:rsidRPr="00AD64E6">
              <w:rPr>
                <w:bCs/>
              </w:rPr>
              <w:softHyphen/>
            </w:r>
            <w:r w:rsidRPr="00AD64E6">
              <w:rPr>
                <w:bCs/>
              </w:rPr>
              <w:t>ralitet och rättssäkerhet för företag på den inre marknaden. För att uppnå dessa mål är det av stor betydelse att regelverket också om</w:t>
            </w:r>
            <w:r w:rsidR="00C45E43" w:rsidRPr="00AD64E6">
              <w:rPr>
                <w:bCs/>
              </w:rPr>
              <w:softHyphen/>
            </w:r>
            <w:r w:rsidRPr="00AD64E6">
              <w:rPr>
                <w:bCs/>
              </w:rPr>
              <w:t xml:space="preserve">fattar företag från tredje land som verkar på den inre marknaden. </w:t>
            </w:r>
          </w:p>
          <w:p w14:paraId="459ABCD3" w14:textId="1E8E8F53" w:rsidR="00825675" w:rsidRPr="00AD64E6" w:rsidRDefault="00825675" w:rsidP="00825675">
            <w:pPr>
              <w:tabs>
                <w:tab w:val="left" w:pos="1701"/>
              </w:tabs>
              <w:spacing w:after="120"/>
              <w:ind w:left="573"/>
              <w:rPr>
                <w:bCs/>
              </w:rPr>
            </w:pPr>
            <w:r w:rsidRPr="00AD64E6">
              <w:rPr>
                <w:bCs/>
              </w:rPr>
              <w:t>Det är viktigt att syftet med direktivet uppnås så effektivt som möjligt. Krav och åtgärder ska vara proportionerliga och ända</w:t>
            </w:r>
            <w:r w:rsidR="00C45E43" w:rsidRPr="00AD64E6">
              <w:rPr>
                <w:bCs/>
              </w:rPr>
              <w:softHyphen/>
            </w:r>
            <w:r w:rsidRPr="00AD64E6">
              <w:rPr>
                <w:bCs/>
              </w:rPr>
              <w:lastRenderedPageBreak/>
              <w:t>målsenliga och exempelvis inte hamna i strid med svenska princi</w:t>
            </w:r>
            <w:r w:rsidR="00C45E43" w:rsidRPr="00AD64E6">
              <w:rPr>
                <w:bCs/>
              </w:rPr>
              <w:softHyphen/>
            </w:r>
            <w:r w:rsidRPr="00AD64E6">
              <w:rPr>
                <w:bCs/>
              </w:rPr>
              <w:t>per inom civilrätten. Direktivet får inte heller medföra oproportio</w:t>
            </w:r>
            <w:r w:rsidR="00C45E43" w:rsidRPr="00AD64E6">
              <w:rPr>
                <w:bCs/>
              </w:rPr>
              <w:softHyphen/>
            </w:r>
            <w:r w:rsidRPr="00AD64E6">
              <w:rPr>
                <w:bCs/>
              </w:rPr>
              <w:t>nerliga kostnad eller administrativ börda för svenska förtag och särskild hänsyn ska i sammanhanget tas till små och medelstora företag. De föreslagna tröskelvärdena för antal anställa och om</w:t>
            </w:r>
            <w:r w:rsidR="00C45E43" w:rsidRPr="00AD64E6">
              <w:rPr>
                <w:bCs/>
              </w:rPr>
              <w:softHyphen/>
            </w:r>
            <w:r w:rsidRPr="00AD64E6">
              <w:rPr>
                <w:bCs/>
              </w:rPr>
              <w:t xml:space="preserve">sättning kan accepteras. Företagens skyldigheter enligt direktivet bör så lång som möjligt tydliggöras och förenklas. </w:t>
            </w:r>
          </w:p>
          <w:p w14:paraId="3ADCAD65" w14:textId="428937D4" w:rsidR="00825675" w:rsidRPr="00AD64E6" w:rsidRDefault="00825675" w:rsidP="00825675">
            <w:pPr>
              <w:tabs>
                <w:tab w:val="left" w:pos="1701"/>
              </w:tabs>
              <w:spacing w:after="120"/>
              <w:ind w:left="573"/>
              <w:rPr>
                <w:bCs/>
              </w:rPr>
            </w:pPr>
            <w:r w:rsidRPr="00AD64E6">
              <w:rPr>
                <w:bCs/>
              </w:rPr>
              <w:t>Den för nordiska förhållanden väl fungerande bolagsstyrningsmo</w:t>
            </w:r>
            <w:r w:rsidR="00C45E43" w:rsidRPr="00AD64E6">
              <w:rPr>
                <w:bCs/>
              </w:rPr>
              <w:softHyphen/>
            </w:r>
            <w:r w:rsidRPr="00AD64E6">
              <w:rPr>
                <w:bCs/>
              </w:rPr>
              <w:t>dellen värnas genom att regleringen förbehålls medlemsstaterna.</w:t>
            </w:r>
          </w:p>
          <w:p w14:paraId="1051FED1" w14:textId="0CC4C34B" w:rsidR="00825675" w:rsidRPr="00AD64E6" w:rsidRDefault="00825675" w:rsidP="00825675">
            <w:pPr>
              <w:tabs>
                <w:tab w:val="left" w:pos="1701"/>
              </w:tabs>
              <w:spacing w:after="120"/>
              <w:ind w:left="573"/>
              <w:rPr>
                <w:bCs/>
              </w:rPr>
            </w:pPr>
            <w:r w:rsidRPr="00AD64E6">
              <w:rPr>
                <w:bCs/>
              </w:rPr>
              <w:t>Vi menar att det är viktigt att de delar i förslaget som ger fackför</w:t>
            </w:r>
            <w:r w:rsidR="00C45E43" w:rsidRPr="00AD64E6">
              <w:rPr>
                <w:bCs/>
              </w:rPr>
              <w:softHyphen/>
            </w:r>
            <w:r w:rsidRPr="00AD64E6">
              <w:rPr>
                <w:bCs/>
              </w:rPr>
              <w:t>eningar och andra arbetstagarrepresentanter en roll i arbetet</w:t>
            </w:r>
            <w:r w:rsidR="0099649B" w:rsidRPr="00AD64E6">
              <w:rPr>
                <w:bCs/>
              </w:rPr>
              <w:t xml:space="preserve"> </w:t>
            </w:r>
            <w:r w:rsidRPr="00AD64E6">
              <w:rPr>
                <w:bCs/>
              </w:rPr>
              <w:t>värnas i de fortsatta förhandlingarna.</w:t>
            </w:r>
          </w:p>
          <w:p w14:paraId="3FF75CF7" w14:textId="0FB65869" w:rsidR="00825675" w:rsidRPr="00AD64E6" w:rsidRDefault="00825675" w:rsidP="00825675">
            <w:pPr>
              <w:tabs>
                <w:tab w:val="left" w:pos="1701"/>
              </w:tabs>
              <w:rPr>
                <w:bCs/>
              </w:rPr>
            </w:pPr>
          </w:p>
          <w:p w14:paraId="616A5E1A" w14:textId="386F9D19" w:rsidR="00825675" w:rsidRPr="00AD64E6" w:rsidRDefault="00825675" w:rsidP="00825675">
            <w:pPr>
              <w:tabs>
                <w:tab w:val="left" w:pos="1701"/>
              </w:tabs>
              <w:rPr>
                <w:bCs/>
              </w:rPr>
            </w:pPr>
            <w:r w:rsidRPr="00AD64E6">
              <w:rPr>
                <w:bCs/>
              </w:rPr>
              <w:t>V-ledamoten anmälde följande avvikande ståndpunkt:</w:t>
            </w:r>
          </w:p>
          <w:p w14:paraId="1B294131" w14:textId="77777777" w:rsidR="00825675" w:rsidRPr="00AD64E6" w:rsidRDefault="00825675" w:rsidP="00825675"/>
          <w:p w14:paraId="59858E3A" w14:textId="2AD1EFC5" w:rsidR="00825675" w:rsidRPr="00AD64E6" w:rsidRDefault="00F258ED" w:rsidP="00825675">
            <w:pPr>
              <w:spacing w:after="120"/>
              <w:ind w:left="573"/>
            </w:pPr>
            <w:r>
              <w:t>Jag</w:t>
            </w:r>
            <w:r w:rsidR="00825675" w:rsidRPr="00AD64E6">
              <w:t xml:space="preserve"> ser framemot implementeringen av direktivet om tillbörlig akt</w:t>
            </w:r>
            <w:r w:rsidR="00C45E43" w:rsidRPr="00AD64E6">
              <w:softHyphen/>
            </w:r>
            <w:r w:rsidR="00825675" w:rsidRPr="00AD64E6">
              <w:t xml:space="preserve">samhet för företag i fråga om hållbarhet, </w:t>
            </w:r>
            <w:r>
              <w:t>och</w:t>
            </w:r>
            <w:r w:rsidR="00825675" w:rsidRPr="00AD64E6">
              <w:t xml:space="preserve"> tror att det kommer att stärka svenska företags konkurrensfördelar både i EU:s inre marknad och globalt. Flera svenska företag har krävt införandet av ett direktiv som innefattar mänskliga rättigheter och miljö. Regel</w:t>
            </w:r>
            <w:r>
              <w:softHyphen/>
            </w:r>
            <w:r w:rsidR="00825675" w:rsidRPr="00AD64E6">
              <w:t>verket ska syfta till att skapa harmoniserade regler, konkurrens</w:t>
            </w:r>
            <w:r>
              <w:softHyphen/>
            </w:r>
            <w:r w:rsidR="00825675" w:rsidRPr="00AD64E6">
              <w:t xml:space="preserve">neutralitet och rättssäkerhet för företag på EU:s inre marknad. </w:t>
            </w:r>
          </w:p>
          <w:p w14:paraId="7A67F9DB" w14:textId="33326B7F" w:rsidR="00825675" w:rsidRPr="00AD64E6" w:rsidRDefault="00825675" w:rsidP="00825675">
            <w:pPr>
              <w:spacing w:after="120"/>
              <w:ind w:left="573"/>
            </w:pPr>
            <w:r w:rsidRPr="00AD64E6">
              <w:t>Regelverket bör även omfatta företag från tredje land som verkar på den inre marknaden under samma villkor som EU:s företag. Tröskeln bör likställas. Genom att ge tredjeländers företag konkur</w:t>
            </w:r>
            <w:r w:rsidR="00C45E43" w:rsidRPr="00AD64E6">
              <w:softHyphen/>
            </w:r>
            <w:r w:rsidRPr="00AD64E6">
              <w:t xml:space="preserve">rensfördelar så underminerar man möjligheten för EU:s företag, som respekterar mänskliga rättigheter och miljömål, att skapa konkurrensfördelar och på det sättet driva fram arbetet för detta även på global nivå. </w:t>
            </w:r>
          </w:p>
          <w:p w14:paraId="6D01BBF2" w14:textId="5377BA49" w:rsidR="00825675" w:rsidRPr="00AD64E6" w:rsidRDefault="00825675" w:rsidP="00825675">
            <w:pPr>
              <w:spacing w:after="120"/>
              <w:ind w:left="573"/>
            </w:pPr>
            <w:r w:rsidRPr="00AD64E6">
              <w:t>Det finns en oro kring den administrativa bördan och det är viktigt att medlemsländerna skapar strukturer och transparens som mins</w:t>
            </w:r>
            <w:r w:rsidR="00C45E43" w:rsidRPr="00AD64E6">
              <w:softHyphen/>
            </w:r>
            <w:r w:rsidRPr="00AD64E6">
              <w:t>kar företagens administrativa bördor generellt. Mänskliga rättighe</w:t>
            </w:r>
            <w:r w:rsidR="00C45E43" w:rsidRPr="00AD64E6">
              <w:softHyphen/>
            </w:r>
            <w:r w:rsidRPr="00AD64E6">
              <w:t>ter och miljömål får dock inte betraktas som hinder utan det är snarare ett sätt att modernisera och utveckla näringslivet. Regel</w:t>
            </w:r>
            <w:r w:rsidR="00C45E43" w:rsidRPr="00AD64E6">
              <w:softHyphen/>
            </w:r>
            <w:r w:rsidRPr="00AD64E6">
              <w:t xml:space="preserve">verket bör ta hänsyn till företagens storlek men i bemärkelsen av information och rapportering. </w:t>
            </w:r>
          </w:p>
          <w:p w14:paraId="2E43511B" w14:textId="052D5A91" w:rsidR="00825675" w:rsidRPr="00AD64E6" w:rsidRDefault="00825675" w:rsidP="00825675">
            <w:pPr>
              <w:spacing w:after="120"/>
              <w:ind w:left="573"/>
            </w:pPr>
            <w:r w:rsidRPr="00AD64E6">
              <w:t>Det är positivt att det föreslagna direktivet innefattar hållbarhets</w:t>
            </w:r>
            <w:r w:rsidR="00C45E43" w:rsidRPr="00AD64E6">
              <w:softHyphen/>
            </w:r>
            <w:r w:rsidRPr="00AD64E6">
              <w:t xml:space="preserve">rapportering och andra relaterade EU-förordningar för bl.a. den gröna taxonomin, hållbarhetsrelaterade upplysningar inom den finansiella tjänstesektorn, och konfliktmineraler samt förslagen om en ny batteriförordning och förordning mot avskogning. Det är även positivt att ambitionen i den gröna given och kommissionens arbete för att öka takten i klimatomställningen och omställningen till en cirkulär ekonomi beaktas. </w:t>
            </w:r>
          </w:p>
          <w:p w14:paraId="66CBFD87" w14:textId="4EBFAE9B" w:rsidR="00825675" w:rsidRPr="00AD64E6" w:rsidRDefault="00F258ED" w:rsidP="00825675">
            <w:pPr>
              <w:spacing w:after="120"/>
              <w:ind w:left="573"/>
            </w:pPr>
            <w:r>
              <w:t>Jag</w:t>
            </w:r>
            <w:r w:rsidR="00825675" w:rsidRPr="00AD64E6">
              <w:t xml:space="preserve"> ser positivt på att internationella standarder för näringsverk</w:t>
            </w:r>
            <w:r w:rsidR="00C45E43" w:rsidRPr="00AD64E6">
              <w:softHyphen/>
            </w:r>
            <w:r w:rsidR="00825675" w:rsidRPr="00AD64E6">
              <w:t>samhet, särskilt FN:s vägledande principer för företagande och mänskliga rättigheter och OECD:s riktlinjer för multinationella företag har beaktats i förslaget men anser att detta bör stärkas och tydliggöras ytterligare. Vidare bör alla företag och hela värdeked</w:t>
            </w:r>
            <w:r w:rsidR="00C45E43" w:rsidRPr="00AD64E6">
              <w:softHyphen/>
            </w:r>
            <w:r w:rsidR="00825675" w:rsidRPr="00AD64E6">
              <w:t xml:space="preserve">jan omfattas oavsett sektor eller storlek samt finanssektorn, men </w:t>
            </w:r>
            <w:r w:rsidR="00825675" w:rsidRPr="00AD64E6">
              <w:lastRenderedPageBreak/>
              <w:t>med en enklare version för små företag. Även förslagen om avslu</w:t>
            </w:r>
            <w:r w:rsidR="00C45E43" w:rsidRPr="00AD64E6">
              <w:softHyphen/>
            </w:r>
            <w:r w:rsidR="00825675" w:rsidRPr="00AD64E6">
              <w:t>tande av affärsrelationer bör stärkas för att säkerställa mänskliga rättigheter. Det är grundläggande för regeringen att regelverket utgår från en riskbaserad analys och vedertagna begrepp och pro</w:t>
            </w:r>
            <w:r w:rsidR="00C45E43" w:rsidRPr="00AD64E6">
              <w:t>-</w:t>
            </w:r>
            <w:proofErr w:type="spellStart"/>
            <w:r w:rsidR="00825675" w:rsidRPr="00AD64E6">
              <w:t>cesser</w:t>
            </w:r>
            <w:proofErr w:type="spellEnd"/>
            <w:r w:rsidR="00825675" w:rsidRPr="00AD64E6">
              <w:t xml:space="preserve"> som företag redan använder för att genomföra tillbörlig akt</w:t>
            </w:r>
            <w:r w:rsidR="00C45E43" w:rsidRPr="00AD64E6">
              <w:softHyphen/>
            </w:r>
            <w:r w:rsidR="00825675" w:rsidRPr="00AD64E6">
              <w:t>samhet i enlighet med de internationella instrumenten i sin verk</w:t>
            </w:r>
            <w:r w:rsidR="00C45E43" w:rsidRPr="00AD64E6">
              <w:softHyphen/>
            </w:r>
            <w:r w:rsidR="00825675" w:rsidRPr="00AD64E6">
              <w:t xml:space="preserve">samhet och sina värdekedjor. Direktivet bör utformas i enlighet med FN-principerna och begrepp som öppnar upp för tolkningar och därmed motverkar harmonisering bör undvikas, det gäller t ex ”etablerade affärsrelationer” kontraktsförsäkran med leverantörer och tredjepartsverifikation istället för egen </w:t>
            </w:r>
            <w:proofErr w:type="spellStart"/>
            <w:r w:rsidR="00825675" w:rsidRPr="00AD64E6">
              <w:t>due</w:t>
            </w:r>
            <w:proofErr w:type="spellEnd"/>
            <w:r w:rsidR="00825675" w:rsidRPr="00AD64E6">
              <w:t xml:space="preserve"> </w:t>
            </w:r>
            <w:proofErr w:type="spellStart"/>
            <w:r w:rsidR="00825675" w:rsidRPr="00AD64E6">
              <w:t>diligence</w:t>
            </w:r>
            <w:proofErr w:type="spellEnd"/>
            <w:r w:rsidR="00825675" w:rsidRPr="00AD64E6">
              <w:t>. Dess</w:t>
            </w:r>
            <w:r w:rsidR="00C45E43" w:rsidRPr="00AD64E6">
              <w:softHyphen/>
            </w:r>
            <w:r w:rsidR="00825675" w:rsidRPr="00AD64E6">
              <w:t xml:space="preserve">utom behöver arbetstagarnas ställning liksom perspektivet om jämställdhet i arbetslivet lyftas, och stärkas, genderanalys bör ingå i </w:t>
            </w:r>
            <w:proofErr w:type="spellStart"/>
            <w:r w:rsidR="00825675" w:rsidRPr="00AD64E6">
              <w:t>due</w:t>
            </w:r>
            <w:proofErr w:type="spellEnd"/>
            <w:r w:rsidR="00825675" w:rsidRPr="00AD64E6">
              <w:t xml:space="preserve"> </w:t>
            </w:r>
            <w:proofErr w:type="spellStart"/>
            <w:r w:rsidR="00825675" w:rsidRPr="00AD64E6">
              <w:t>diligence</w:t>
            </w:r>
            <w:proofErr w:type="spellEnd"/>
            <w:r w:rsidR="00825675" w:rsidRPr="00AD64E6">
              <w:t>, och arbetstagarorganisationernas och civilsamhällets roll bli tydligare.</w:t>
            </w:r>
          </w:p>
          <w:p w14:paraId="3ACA0886" w14:textId="2DC024D7" w:rsidR="00825675" w:rsidRPr="00AD64E6" w:rsidRDefault="00825675" w:rsidP="00825675">
            <w:pPr>
              <w:spacing w:after="120"/>
              <w:ind w:left="573"/>
            </w:pPr>
            <w:r w:rsidRPr="00AD64E6">
              <w:t xml:space="preserve">Annex 1 </w:t>
            </w:r>
            <w:r w:rsidR="00F258ED">
              <w:t xml:space="preserve">till förslaget </w:t>
            </w:r>
            <w:r w:rsidRPr="00AD64E6">
              <w:t xml:space="preserve">listar konventioner som ska omfattas av direktivet. </w:t>
            </w:r>
            <w:r w:rsidR="00F258ED">
              <w:t xml:space="preserve">Jag </w:t>
            </w:r>
            <w:r w:rsidR="00C45E43" w:rsidRPr="00AD64E6">
              <w:t xml:space="preserve">anser att det </w:t>
            </w:r>
            <w:r w:rsidRPr="00AD64E6">
              <w:t>bör utökas med Parisavtalet och även andra miljökonventioner (t</w:t>
            </w:r>
            <w:r w:rsidR="00AD64E6">
              <w:t>.</w:t>
            </w:r>
            <w:r w:rsidRPr="00AD64E6">
              <w:t>ex</w:t>
            </w:r>
            <w:r w:rsidR="00AD64E6">
              <w:t>.</w:t>
            </w:r>
            <w:r w:rsidRPr="00AD64E6">
              <w:t xml:space="preserve"> marint skydd, luftföroreningar och oljeutsläpp) samt ILO 169 och FN:s deklaration om människo</w:t>
            </w:r>
            <w:r w:rsidR="00F258ED">
              <w:softHyphen/>
            </w:r>
            <w:r w:rsidRPr="00AD64E6">
              <w:t>rättsförsvarare.</w:t>
            </w:r>
          </w:p>
          <w:p w14:paraId="7F6222FC" w14:textId="77777777" w:rsidR="00825675" w:rsidRPr="00AD64E6" w:rsidRDefault="00825675" w:rsidP="00825675">
            <w:pPr>
              <w:tabs>
                <w:tab w:val="left" w:pos="1701"/>
              </w:tabs>
              <w:rPr>
                <w:bCs/>
              </w:rPr>
            </w:pPr>
          </w:p>
          <w:p w14:paraId="4AC87073" w14:textId="087262CA" w:rsidR="00825675" w:rsidRDefault="00825675" w:rsidP="00825675">
            <w:pPr>
              <w:tabs>
                <w:tab w:val="left" w:pos="1701"/>
              </w:tabs>
              <w:rPr>
                <w:bCs/>
              </w:rPr>
            </w:pPr>
            <w:r w:rsidRPr="00AD64E6">
              <w:rPr>
                <w:bCs/>
              </w:rPr>
              <w:t>MP-ledamoten anmälde följande avvikande ståndpunkt:</w:t>
            </w:r>
          </w:p>
          <w:p w14:paraId="274491E3" w14:textId="0C9D7547" w:rsidR="00AD64E6" w:rsidRDefault="00AD64E6" w:rsidP="00825675">
            <w:pPr>
              <w:tabs>
                <w:tab w:val="left" w:pos="1701"/>
              </w:tabs>
              <w:rPr>
                <w:bCs/>
              </w:rPr>
            </w:pPr>
          </w:p>
          <w:p w14:paraId="11F28941" w14:textId="77777777" w:rsidR="00AD64E6" w:rsidRPr="00AD64E6" w:rsidRDefault="00AD64E6" w:rsidP="00AD64E6">
            <w:pPr>
              <w:tabs>
                <w:tab w:val="left" w:pos="1701"/>
              </w:tabs>
              <w:spacing w:after="120"/>
              <w:ind w:left="572"/>
              <w:rPr>
                <w:bCs/>
              </w:rPr>
            </w:pPr>
            <w:r w:rsidRPr="00AD64E6">
              <w:rPr>
                <w:bCs/>
              </w:rPr>
              <w:t>Jag anser att regeringens ståndpunkt bör vara följande:</w:t>
            </w:r>
          </w:p>
          <w:p w14:paraId="20884D52" w14:textId="65968D91" w:rsidR="00AD64E6" w:rsidRPr="00AD64E6" w:rsidRDefault="00AD64E6" w:rsidP="00AD64E6">
            <w:pPr>
              <w:tabs>
                <w:tab w:val="left" w:pos="1701"/>
              </w:tabs>
              <w:spacing w:after="120"/>
              <w:ind w:left="572"/>
              <w:rPr>
                <w:bCs/>
              </w:rPr>
            </w:pPr>
            <w:r w:rsidRPr="00AD64E6">
              <w:rPr>
                <w:bCs/>
              </w:rPr>
              <w:t>Regelverket ska syfta till att skapa harmoniserade regler, konkur</w:t>
            </w:r>
            <w:r>
              <w:rPr>
                <w:bCs/>
              </w:rPr>
              <w:softHyphen/>
            </w:r>
            <w:r w:rsidRPr="00AD64E6">
              <w:rPr>
                <w:bCs/>
              </w:rPr>
              <w:t>rensneutralitet och rättssäkerhet för företag på EU:s inre marknad. Regelverket bör även omfatta företag från tredje land som verkar på den inre marknaden. Regeringens utgångspunkt är att det ska föreligga samstämmighet mellan regelverken inom EU. Regelver</w:t>
            </w:r>
            <w:r>
              <w:rPr>
                <w:bCs/>
              </w:rPr>
              <w:softHyphen/>
            </w:r>
            <w:r w:rsidRPr="00AD64E6">
              <w:rPr>
                <w:bCs/>
              </w:rPr>
              <w:t>ket bör beakta det föreslagna direktivet om hållbarhetsrapportering och andra relaterade EU-förordningar för bl.a. den gröna taxono</w:t>
            </w:r>
            <w:r>
              <w:rPr>
                <w:bCs/>
              </w:rPr>
              <w:softHyphen/>
            </w:r>
            <w:r w:rsidRPr="00AD64E6">
              <w:rPr>
                <w:bCs/>
              </w:rPr>
              <w:t>min, hållbarhetsrelaterade upplysningar inom den finansiella tjän</w:t>
            </w:r>
            <w:r>
              <w:rPr>
                <w:bCs/>
              </w:rPr>
              <w:softHyphen/>
            </w:r>
            <w:r w:rsidRPr="00AD64E6">
              <w:rPr>
                <w:bCs/>
              </w:rPr>
              <w:t>stesektorn, och konfliktmineraler samt förslagen om en ny batteri</w:t>
            </w:r>
            <w:r>
              <w:rPr>
                <w:bCs/>
              </w:rPr>
              <w:softHyphen/>
            </w:r>
            <w:r w:rsidRPr="00AD64E6">
              <w:rPr>
                <w:bCs/>
              </w:rPr>
              <w:t>förordning och förordning mot avskogning. Även ambitionen i den gröna given och kommissionens arbete för att öka takten i klimat</w:t>
            </w:r>
            <w:r>
              <w:rPr>
                <w:bCs/>
              </w:rPr>
              <w:softHyphen/>
            </w:r>
            <w:r w:rsidRPr="00AD64E6">
              <w:rPr>
                <w:bCs/>
              </w:rPr>
              <w:t>omställningen och omställningen till en cirkulär ekonomi bör be</w:t>
            </w:r>
            <w:r>
              <w:rPr>
                <w:bCs/>
              </w:rPr>
              <w:softHyphen/>
            </w:r>
            <w:r w:rsidRPr="00AD64E6">
              <w:rPr>
                <w:bCs/>
              </w:rPr>
              <w:t xml:space="preserve">aktas. Direktivets skyldigheter bör ställas som krav vid offentlig upphandling och kreditgivning. </w:t>
            </w:r>
          </w:p>
          <w:p w14:paraId="280AF9F0" w14:textId="3AEF2CB4" w:rsidR="00AD64E6" w:rsidRPr="00AD64E6" w:rsidRDefault="00AD64E6" w:rsidP="00AD64E6">
            <w:pPr>
              <w:tabs>
                <w:tab w:val="left" w:pos="1701"/>
              </w:tabs>
              <w:spacing w:after="120"/>
              <w:ind w:left="572"/>
              <w:rPr>
                <w:bCs/>
              </w:rPr>
            </w:pPr>
            <w:r w:rsidRPr="00AD64E6">
              <w:rPr>
                <w:bCs/>
              </w:rPr>
              <w:t>Regeringen ser positivt på att internationella standarder för nä</w:t>
            </w:r>
            <w:r>
              <w:rPr>
                <w:bCs/>
              </w:rPr>
              <w:softHyphen/>
            </w:r>
            <w:r w:rsidRPr="00AD64E6">
              <w:rPr>
                <w:bCs/>
              </w:rPr>
              <w:t>ringsverksamhet, särskilt FN:s vägledande principer för företagan</w:t>
            </w:r>
            <w:r>
              <w:rPr>
                <w:bCs/>
              </w:rPr>
              <w:softHyphen/>
            </w:r>
            <w:r w:rsidRPr="00AD64E6">
              <w:rPr>
                <w:bCs/>
              </w:rPr>
              <w:t>de och mänskliga rättigheter och OECD:s riktlinjer för multinatio</w:t>
            </w:r>
            <w:r>
              <w:rPr>
                <w:bCs/>
              </w:rPr>
              <w:softHyphen/>
            </w:r>
            <w:r w:rsidRPr="00AD64E6">
              <w:rPr>
                <w:bCs/>
              </w:rPr>
              <w:t xml:space="preserve">nella företag har beaktats i förslaget men anser att detta bör stärkas ytterligare. T.ex. bör kraven på </w:t>
            </w:r>
            <w:proofErr w:type="spellStart"/>
            <w:r w:rsidRPr="00AD64E6">
              <w:rPr>
                <w:bCs/>
              </w:rPr>
              <w:t>due</w:t>
            </w:r>
            <w:proofErr w:type="spellEnd"/>
            <w:r w:rsidRPr="00AD64E6">
              <w:rPr>
                <w:bCs/>
              </w:rPr>
              <w:t xml:space="preserve"> </w:t>
            </w:r>
            <w:proofErr w:type="spellStart"/>
            <w:r w:rsidRPr="00AD64E6">
              <w:rPr>
                <w:bCs/>
              </w:rPr>
              <w:t>diligence</w:t>
            </w:r>
            <w:proofErr w:type="spellEnd"/>
            <w:r w:rsidRPr="00AD64E6">
              <w:rPr>
                <w:bCs/>
              </w:rPr>
              <w:t>, konsultationer, till</w:t>
            </w:r>
            <w:r>
              <w:rPr>
                <w:bCs/>
              </w:rPr>
              <w:softHyphen/>
            </w:r>
            <w:r w:rsidRPr="00AD64E6">
              <w:rPr>
                <w:bCs/>
              </w:rPr>
              <w:t>gång till rättvisa, klagomålsfunktion, bevisbörda och gottgörelse vara i enlighet med FN:s principer. Vidare bör alla företag och hela värdekedjan omfattas oavsett sektor eller storlek samt finans</w:t>
            </w:r>
            <w:r>
              <w:rPr>
                <w:bCs/>
              </w:rPr>
              <w:softHyphen/>
            </w:r>
            <w:r w:rsidRPr="00AD64E6">
              <w:rPr>
                <w:bCs/>
              </w:rPr>
              <w:t>sektorn, men med en enklare version för små företag. Även försla</w:t>
            </w:r>
            <w:r>
              <w:rPr>
                <w:bCs/>
              </w:rPr>
              <w:softHyphen/>
            </w:r>
            <w:r w:rsidRPr="00AD64E6">
              <w:rPr>
                <w:bCs/>
              </w:rPr>
              <w:t>gen om avslutande av affärsrelationer bör stärkas för att säkerställa mänskliga rättigheter. Det är grundläggande för regeringen att re</w:t>
            </w:r>
            <w:r>
              <w:rPr>
                <w:bCs/>
              </w:rPr>
              <w:softHyphen/>
            </w:r>
            <w:r w:rsidRPr="00AD64E6">
              <w:rPr>
                <w:bCs/>
              </w:rPr>
              <w:t>gelverket utgår från en riskbaserad analys och vedertagna begrepp och processer som företag redan använder för att genomföra till</w:t>
            </w:r>
            <w:r>
              <w:rPr>
                <w:bCs/>
              </w:rPr>
              <w:softHyphen/>
            </w:r>
            <w:r w:rsidRPr="00AD64E6">
              <w:rPr>
                <w:bCs/>
              </w:rPr>
              <w:t xml:space="preserve">börlig aktsamhet i enlighet med de internationella instrumenten i </w:t>
            </w:r>
            <w:r w:rsidRPr="00AD64E6">
              <w:rPr>
                <w:bCs/>
              </w:rPr>
              <w:lastRenderedPageBreak/>
              <w:t>sin verksamhet och sina värdekedjor. Direktivet bör utformas i en</w:t>
            </w:r>
            <w:r>
              <w:rPr>
                <w:bCs/>
              </w:rPr>
              <w:softHyphen/>
            </w:r>
            <w:r w:rsidRPr="00AD64E6">
              <w:rPr>
                <w:bCs/>
              </w:rPr>
              <w:t>lighet med FN-principerna och begrepp som öppnar upp för tolk</w:t>
            </w:r>
            <w:r>
              <w:rPr>
                <w:bCs/>
              </w:rPr>
              <w:softHyphen/>
            </w:r>
            <w:r w:rsidRPr="00AD64E6">
              <w:rPr>
                <w:bCs/>
              </w:rPr>
              <w:t xml:space="preserve">ningar och därmed motverkar harmonisering bör undvikas, det gäller t ex ”etablerade affärsrelationer” kontraktsförsäkran med leverantörer och tredjepartsverifikation istället för egen </w:t>
            </w:r>
            <w:proofErr w:type="spellStart"/>
            <w:r w:rsidRPr="00AD64E6">
              <w:rPr>
                <w:bCs/>
              </w:rPr>
              <w:t>due</w:t>
            </w:r>
            <w:proofErr w:type="spellEnd"/>
            <w:r w:rsidRPr="00AD64E6">
              <w:rPr>
                <w:bCs/>
              </w:rPr>
              <w:t xml:space="preserve"> </w:t>
            </w:r>
            <w:proofErr w:type="spellStart"/>
            <w:r w:rsidRPr="00AD64E6">
              <w:rPr>
                <w:bCs/>
              </w:rPr>
              <w:t>diligence</w:t>
            </w:r>
            <w:proofErr w:type="spellEnd"/>
            <w:r w:rsidRPr="00AD64E6">
              <w:rPr>
                <w:bCs/>
              </w:rPr>
              <w:t>. Vidare bör systemet med ekonomiska sanktioner harmo</w:t>
            </w:r>
            <w:r>
              <w:rPr>
                <w:bCs/>
              </w:rPr>
              <w:softHyphen/>
            </w:r>
            <w:r w:rsidRPr="00AD64E6">
              <w:rPr>
                <w:bCs/>
              </w:rPr>
              <w:t>niseras med ändamålsenliga intervall som leder till att FN-princi</w:t>
            </w:r>
            <w:r>
              <w:rPr>
                <w:bCs/>
              </w:rPr>
              <w:softHyphen/>
            </w:r>
            <w:r w:rsidRPr="00AD64E6">
              <w:rPr>
                <w:bCs/>
              </w:rPr>
              <w:t>perna följs. Dessutom behöver arbetstagarnas ställning liksom per</w:t>
            </w:r>
            <w:r>
              <w:rPr>
                <w:bCs/>
              </w:rPr>
              <w:softHyphen/>
            </w:r>
            <w:r w:rsidRPr="00AD64E6">
              <w:rPr>
                <w:bCs/>
              </w:rPr>
              <w:t>spektivet om jämställdhet i arbetslivet lyftas, och stärkas, gender</w:t>
            </w:r>
            <w:r>
              <w:rPr>
                <w:bCs/>
              </w:rPr>
              <w:softHyphen/>
            </w:r>
            <w:r w:rsidRPr="00AD64E6">
              <w:rPr>
                <w:bCs/>
              </w:rPr>
              <w:t xml:space="preserve">analys bör ingå i </w:t>
            </w:r>
            <w:proofErr w:type="spellStart"/>
            <w:r w:rsidRPr="00AD64E6">
              <w:rPr>
                <w:bCs/>
              </w:rPr>
              <w:t>due</w:t>
            </w:r>
            <w:proofErr w:type="spellEnd"/>
            <w:r w:rsidRPr="00AD64E6">
              <w:rPr>
                <w:bCs/>
              </w:rPr>
              <w:t xml:space="preserve"> </w:t>
            </w:r>
            <w:proofErr w:type="spellStart"/>
            <w:r w:rsidRPr="00AD64E6">
              <w:rPr>
                <w:bCs/>
              </w:rPr>
              <w:t>diligence</w:t>
            </w:r>
            <w:proofErr w:type="spellEnd"/>
            <w:r w:rsidRPr="00AD64E6">
              <w:rPr>
                <w:bCs/>
              </w:rPr>
              <w:t>, och arbetstagarorganisationernas och civilsamhällets roll bli tydligare.</w:t>
            </w:r>
          </w:p>
          <w:p w14:paraId="0FA8E708" w14:textId="4148DC6A" w:rsidR="00AD64E6" w:rsidRDefault="00F258ED" w:rsidP="00AD64E6">
            <w:pPr>
              <w:tabs>
                <w:tab w:val="left" w:pos="1701"/>
              </w:tabs>
              <w:spacing w:after="120"/>
              <w:ind w:left="572"/>
              <w:rPr>
                <w:bCs/>
              </w:rPr>
            </w:pPr>
            <w:r w:rsidRPr="00AD64E6">
              <w:t xml:space="preserve">Annex 1 </w:t>
            </w:r>
            <w:r>
              <w:t xml:space="preserve">till förslaget listar </w:t>
            </w:r>
            <w:r w:rsidR="00AD64E6" w:rsidRPr="00AD64E6">
              <w:rPr>
                <w:bCs/>
              </w:rPr>
              <w:t>konventioner som ska omfattas av direktivet. Det bör utökas med Parisavtalet och även andra miljö</w:t>
            </w:r>
            <w:r>
              <w:rPr>
                <w:bCs/>
              </w:rPr>
              <w:softHyphen/>
            </w:r>
            <w:r w:rsidR="00AD64E6" w:rsidRPr="00AD64E6">
              <w:rPr>
                <w:bCs/>
              </w:rPr>
              <w:t>konventioner (t</w:t>
            </w:r>
            <w:r w:rsidR="00AD64E6">
              <w:rPr>
                <w:bCs/>
              </w:rPr>
              <w:t>.</w:t>
            </w:r>
            <w:r w:rsidR="00AD64E6" w:rsidRPr="00AD64E6">
              <w:rPr>
                <w:bCs/>
              </w:rPr>
              <w:t>ex</w:t>
            </w:r>
            <w:r w:rsidR="00AD64E6">
              <w:rPr>
                <w:bCs/>
              </w:rPr>
              <w:t>.</w:t>
            </w:r>
            <w:r w:rsidR="00AD64E6" w:rsidRPr="00AD64E6">
              <w:rPr>
                <w:bCs/>
              </w:rPr>
              <w:t xml:space="preserve"> marint skydd, luftföroreningar och oljeutsläpp) samt ILO 169 och FN:s deklaration om människorättsförsvarare.</w:t>
            </w:r>
          </w:p>
          <w:p w14:paraId="7A7084DC" w14:textId="77777777" w:rsidR="00AD64E6" w:rsidRPr="00AD64E6" w:rsidRDefault="00AD64E6" w:rsidP="00AD64E6">
            <w:pPr>
              <w:tabs>
                <w:tab w:val="left" w:pos="1701"/>
              </w:tabs>
              <w:rPr>
                <w:bCs/>
              </w:rPr>
            </w:pPr>
          </w:p>
          <w:p w14:paraId="56016F5E" w14:textId="77777777" w:rsidR="003D5D35" w:rsidRPr="00AD64E6" w:rsidRDefault="003D5D35" w:rsidP="003D5D35">
            <w:pPr>
              <w:widowControl w:val="0"/>
              <w:tabs>
                <w:tab w:val="left" w:pos="1701"/>
              </w:tabs>
            </w:pPr>
            <w:r w:rsidRPr="00EA6DA0">
              <w:t>Denna paragraf förklarades omedelbart justerad.</w:t>
            </w:r>
          </w:p>
          <w:p w14:paraId="160EEF5D" w14:textId="77777777" w:rsidR="003D5D35" w:rsidRPr="00AD64E6" w:rsidRDefault="003D5D35" w:rsidP="00825675">
            <w:pPr>
              <w:tabs>
                <w:tab w:val="left" w:pos="1701"/>
              </w:tabs>
              <w:rPr>
                <w:bCs/>
              </w:rPr>
            </w:pPr>
          </w:p>
          <w:p w14:paraId="27DB05D6" w14:textId="77777777" w:rsidR="00825675" w:rsidRPr="00AD64E6" w:rsidRDefault="00825675" w:rsidP="00825675">
            <w:pPr>
              <w:tabs>
                <w:tab w:val="left" w:pos="1701"/>
              </w:tabs>
              <w:rPr>
                <w:bCs/>
              </w:rPr>
            </w:pPr>
            <w:r w:rsidRPr="00AD64E6">
              <w:rPr>
                <w:bCs/>
              </w:rPr>
              <w:t>Vid sammanträdet närvarade även en tjänsteman från EU-nämndens kansli.</w:t>
            </w:r>
          </w:p>
          <w:p w14:paraId="5E81D933" w14:textId="6B099025" w:rsidR="00825675" w:rsidRPr="00AD64E6" w:rsidRDefault="00825675" w:rsidP="00514EC1">
            <w:pPr>
              <w:widowControl w:val="0"/>
              <w:rPr>
                <w:bCs/>
              </w:rPr>
            </w:pPr>
          </w:p>
        </w:tc>
      </w:tr>
      <w:tr w:rsidR="00A835DD" w:rsidRPr="0012669A" w14:paraId="3BCFE3B7" w14:textId="77777777" w:rsidTr="00D7630C">
        <w:trPr>
          <w:trHeight w:val="950"/>
        </w:trPr>
        <w:tc>
          <w:tcPr>
            <w:tcW w:w="567" w:type="dxa"/>
          </w:tcPr>
          <w:p w14:paraId="248552CE" w14:textId="583F9BB1" w:rsidR="00A835DD" w:rsidRDefault="00A835DD" w:rsidP="00DC0D46">
            <w:pPr>
              <w:tabs>
                <w:tab w:val="left" w:pos="1701"/>
              </w:tabs>
              <w:rPr>
                <w:b/>
                <w:snapToGrid w:val="0"/>
              </w:rPr>
            </w:pPr>
            <w:r>
              <w:rPr>
                <w:b/>
                <w:snapToGrid w:val="0"/>
              </w:rPr>
              <w:lastRenderedPageBreak/>
              <w:t>§ 4</w:t>
            </w:r>
          </w:p>
        </w:tc>
        <w:tc>
          <w:tcPr>
            <w:tcW w:w="7162" w:type="dxa"/>
          </w:tcPr>
          <w:p w14:paraId="5BF81E43" w14:textId="357B5448" w:rsidR="00A835DD" w:rsidRDefault="00A835DD" w:rsidP="00514EC1">
            <w:pPr>
              <w:widowControl w:val="0"/>
              <w:rPr>
                <w:bCs/>
              </w:rPr>
            </w:pPr>
            <w:r w:rsidRPr="00A835DD">
              <w:rPr>
                <w:b/>
              </w:rPr>
              <w:t>Konkurrenskraftsrådet (KKR)</w:t>
            </w:r>
            <w:r>
              <w:rPr>
                <w:b/>
              </w:rPr>
              <w:br/>
            </w:r>
            <w:r>
              <w:rPr>
                <w:b/>
              </w:rPr>
              <w:br/>
            </w:r>
            <w:r>
              <w:rPr>
                <w:bCs/>
              </w:rPr>
              <w:t xml:space="preserve">Statssekreterare Sara Modig, </w:t>
            </w:r>
            <w:r>
              <w:t xml:space="preserve">åtföljd av medarbetare från </w:t>
            </w:r>
            <w:r>
              <w:rPr>
                <w:bCs/>
              </w:rPr>
              <w:t>Näringsdepartementet, lämnade</w:t>
            </w:r>
          </w:p>
          <w:p w14:paraId="1EE4505E" w14:textId="77777777" w:rsidR="00A835DD" w:rsidRDefault="00A835DD" w:rsidP="00514EC1">
            <w:pPr>
              <w:widowControl w:val="0"/>
              <w:rPr>
                <w:bCs/>
              </w:rPr>
            </w:pPr>
          </w:p>
          <w:p w14:paraId="6FEB8B11" w14:textId="106A09F9" w:rsidR="00A835DD" w:rsidRDefault="00A835DD" w:rsidP="00A835DD">
            <w:pPr>
              <w:tabs>
                <w:tab w:val="left" w:pos="1701"/>
              </w:tabs>
              <w:rPr>
                <w:bCs/>
              </w:rPr>
            </w:pPr>
            <w:r w:rsidRPr="00417D9F">
              <w:rPr>
                <w:bCs/>
              </w:rPr>
              <w:t xml:space="preserve">a) återrapport från rådsmöte den </w:t>
            </w:r>
            <w:r>
              <w:rPr>
                <w:bCs/>
              </w:rPr>
              <w:t>29 september</w:t>
            </w:r>
            <w:r w:rsidRPr="00417D9F">
              <w:rPr>
                <w:bCs/>
              </w:rPr>
              <w:t xml:space="preserve"> 202</w:t>
            </w:r>
            <w:r>
              <w:rPr>
                <w:bCs/>
              </w:rPr>
              <w:t xml:space="preserve">2 </w:t>
            </w:r>
          </w:p>
          <w:p w14:paraId="4F0D3E11" w14:textId="77777777" w:rsidR="00A835DD" w:rsidRPr="00417D9F" w:rsidRDefault="00A835DD" w:rsidP="00A835DD">
            <w:pPr>
              <w:tabs>
                <w:tab w:val="left" w:pos="1701"/>
              </w:tabs>
              <w:rPr>
                <w:bCs/>
              </w:rPr>
            </w:pPr>
          </w:p>
          <w:p w14:paraId="3A430922" w14:textId="504DC6F6" w:rsidR="00A835DD" w:rsidRPr="00417D9F" w:rsidRDefault="00A835DD" w:rsidP="00A835DD">
            <w:pPr>
              <w:tabs>
                <w:tab w:val="left" w:pos="1701"/>
              </w:tabs>
              <w:rPr>
                <w:bCs/>
              </w:rPr>
            </w:pPr>
            <w:r w:rsidRPr="00417D9F">
              <w:rPr>
                <w:bCs/>
              </w:rPr>
              <w:t xml:space="preserve">b) information inför rådsmötet den </w:t>
            </w:r>
            <w:r>
              <w:rPr>
                <w:bCs/>
              </w:rPr>
              <w:t>1 december</w:t>
            </w:r>
            <w:r w:rsidRPr="00417D9F">
              <w:rPr>
                <w:bCs/>
              </w:rPr>
              <w:t xml:space="preserve"> 2022</w:t>
            </w:r>
            <w:r>
              <w:rPr>
                <w:bCs/>
              </w:rPr>
              <w:br/>
            </w:r>
            <w:r>
              <w:rPr>
                <w:bCs/>
              </w:rPr>
              <w:br/>
              <w:t>c) information inför det kommande svenska ordförandeskapet 2023.</w:t>
            </w:r>
          </w:p>
          <w:p w14:paraId="38C21DDE" w14:textId="77777777" w:rsidR="00A835DD" w:rsidRPr="00417D9F" w:rsidRDefault="00A835DD" w:rsidP="00A835DD">
            <w:pPr>
              <w:tabs>
                <w:tab w:val="left" w:pos="1701"/>
              </w:tabs>
              <w:rPr>
                <w:bCs/>
              </w:rPr>
            </w:pPr>
          </w:p>
          <w:p w14:paraId="0A009030" w14:textId="77777777" w:rsidR="00A835DD" w:rsidRDefault="00A835DD" w:rsidP="00A835DD">
            <w:pPr>
              <w:tabs>
                <w:tab w:val="left" w:pos="1701"/>
              </w:tabs>
              <w:rPr>
                <w:bCs/>
              </w:rPr>
            </w:pPr>
            <w:r w:rsidRPr="00417D9F">
              <w:rPr>
                <w:bCs/>
              </w:rPr>
              <w:t>Vid sammanträdet närvarade även en tjänsteman från EU-nämndens kansli.</w:t>
            </w:r>
          </w:p>
          <w:p w14:paraId="29C669A7" w14:textId="58ADCED3" w:rsidR="00A835DD" w:rsidRPr="00A835DD" w:rsidRDefault="00A835DD" w:rsidP="00514EC1">
            <w:pPr>
              <w:widowControl w:val="0"/>
              <w:rPr>
                <w:bCs/>
              </w:rPr>
            </w:pPr>
          </w:p>
        </w:tc>
      </w:tr>
      <w:tr w:rsidR="00573FA9" w:rsidRPr="0012669A" w14:paraId="6A4EB779" w14:textId="77777777" w:rsidTr="00D7630C">
        <w:trPr>
          <w:trHeight w:val="950"/>
        </w:trPr>
        <w:tc>
          <w:tcPr>
            <w:tcW w:w="567" w:type="dxa"/>
          </w:tcPr>
          <w:p w14:paraId="008BF388" w14:textId="72379F02" w:rsidR="00573FA9" w:rsidRDefault="00573FA9" w:rsidP="00DC0D46">
            <w:pPr>
              <w:tabs>
                <w:tab w:val="left" w:pos="1701"/>
              </w:tabs>
              <w:rPr>
                <w:b/>
                <w:snapToGrid w:val="0"/>
              </w:rPr>
            </w:pPr>
            <w:r>
              <w:rPr>
                <w:b/>
                <w:snapToGrid w:val="0"/>
              </w:rPr>
              <w:t>§ 5</w:t>
            </w:r>
          </w:p>
        </w:tc>
        <w:tc>
          <w:tcPr>
            <w:tcW w:w="7162" w:type="dxa"/>
          </w:tcPr>
          <w:p w14:paraId="739FA1B3" w14:textId="77777777" w:rsidR="00573FA9" w:rsidRDefault="00573FA9" w:rsidP="00514EC1">
            <w:pPr>
              <w:widowControl w:val="0"/>
              <w:rPr>
                <w:b/>
              </w:rPr>
            </w:pPr>
            <w:r>
              <w:rPr>
                <w:b/>
              </w:rPr>
              <w:t>Utskottets arbete med uppföljning, utvärdering, forsknings- och framtidsfrågor</w:t>
            </w:r>
          </w:p>
          <w:p w14:paraId="1F268664" w14:textId="77777777" w:rsidR="00573FA9" w:rsidRDefault="00573FA9" w:rsidP="00514EC1">
            <w:pPr>
              <w:widowControl w:val="0"/>
              <w:rPr>
                <w:b/>
              </w:rPr>
            </w:pPr>
          </w:p>
          <w:p w14:paraId="709BDD53" w14:textId="77777777" w:rsidR="00573FA9" w:rsidRDefault="00573FA9" w:rsidP="00573FA9">
            <w:pPr>
              <w:widowControl w:val="0"/>
              <w:rPr>
                <w:bCs/>
              </w:rPr>
            </w:pPr>
            <w:r w:rsidRPr="002F6DA9">
              <w:t xml:space="preserve">Sekretariatschef Thomas Larue, </w:t>
            </w:r>
            <w:r w:rsidRPr="006D0C2E">
              <w:rPr>
                <w:color w:val="000000"/>
                <w:shd w:val="clear" w:color="auto" w:fill="FFFFFF"/>
              </w:rPr>
              <w:t>Riksdagens utvärderings- och forskningssekretariat (RUFS)</w:t>
            </w:r>
            <w:r>
              <w:rPr>
                <w:color w:val="000000"/>
                <w:shd w:val="clear" w:color="auto" w:fill="FFFFFF"/>
              </w:rPr>
              <w:t>, lämnade information om u</w:t>
            </w:r>
            <w:r w:rsidRPr="00573FA9">
              <w:rPr>
                <w:bCs/>
              </w:rPr>
              <w:t>tskottets arbete med uppföljning, utvärdering, forsknings- och framtidsfrågor</w:t>
            </w:r>
            <w:r>
              <w:rPr>
                <w:bCs/>
              </w:rPr>
              <w:t>.</w:t>
            </w:r>
          </w:p>
          <w:p w14:paraId="140A4D93" w14:textId="596AC888" w:rsidR="0074126F" w:rsidRPr="00A835DD" w:rsidRDefault="0074126F" w:rsidP="00573FA9">
            <w:pPr>
              <w:widowControl w:val="0"/>
              <w:rPr>
                <w:b/>
              </w:rPr>
            </w:pPr>
          </w:p>
        </w:tc>
      </w:tr>
      <w:tr w:rsidR="00573FA9" w:rsidRPr="0012669A" w14:paraId="11E1388C" w14:textId="77777777" w:rsidTr="00D7630C">
        <w:trPr>
          <w:trHeight w:val="950"/>
        </w:trPr>
        <w:tc>
          <w:tcPr>
            <w:tcW w:w="567" w:type="dxa"/>
          </w:tcPr>
          <w:p w14:paraId="668E8B21" w14:textId="1909F8CD" w:rsidR="00573FA9" w:rsidRDefault="00573FA9" w:rsidP="00DC0D46">
            <w:pPr>
              <w:tabs>
                <w:tab w:val="left" w:pos="1701"/>
              </w:tabs>
              <w:rPr>
                <w:b/>
                <w:snapToGrid w:val="0"/>
              </w:rPr>
            </w:pPr>
            <w:r>
              <w:rPr>
                <w:b/>
                <w:snapToGrid w:val="0"/>
              </w:rPr>
              <w:t>§ 6</w:t>
            </w:r>
          </w:p>
        </w:tc>
        <w:tc>
          <w:tcPr>
            <w:tcW w:w="7162" w:type="dxa"/>
          </w:tcPr>
          <w:p w14:paraId="15B42A99" w14:textId="77777777" w:rsidR="006D3CF4" w:rsidRDefault="00573FA9" w:rsidP="00A74A3A">
            <w:pPr>
              <w:widowControl w:val="0"/>
              <w:tabs>
                <w:tab w:val="left" w:pos="1701"/>
              </w:tabs>
              <w:rPr>
                <w:b/>
                <w:bCs/>
              </w:rPr>
            </w:pPr>
            <w:r w:rsidRPr="002F6DA9">
              <w:rPr>
                <w:b/>
                <w:bCs/>
              </w:rPr>
              <w:t xml:space="preserve">Arbetsgrupp </w:t>
            </w:r>
            <w:r>
              <w:rPr>
                <w:b/>
                <w:bCs/>
              </w:rPr>
              <w:t xml:space="preserve">för </w:t>
            </w:r>
            <w:r w:rsidRPr="002F6DA9">
              <w:rPr>
                <w:b/>
                <w:bCs/>
              </w:rPr>
              <w:t>uppföljning, utvärdering, forsknings- och framtidsfrågor</w:t>
            </w:r>
          </w:p>
          <w:p w14:paraId="6A665E1A" w14:textId="77777777" w:rsidR="006D3CF4" w:rsidRPr="006D3CF4" w:rsidRDefault="006D3CF4" w:rsidP="006D3CF4">
            <w:pPr>
              <w:widowControl w:val="0"/>
              <w:tabs>
                <w:tab w:val="left" w:pos="1701"/>
              </w:tabs>
              <w:rPr>
                <w:b/>
                <w:bCs/>
              </w:rPr>
            </w:pPr>
          </w:p>
          <w:p w14:paraId="057C6FFF" w14:textId="38E1F098" w:rsidR="00573FA9" w:rsidRPr="006D3CF4" w:rsidRDefault="006D3CF4" w:rsidP="00A74A3A">
            <w:pPr>
              <w:widowControl w:val="0"/>
              <w:tabs>
                <w:tab w:val="left" w:pos="1701"/>
              </w:tabs>
            </w:pPr>
            <w:r w:rsidRPr="006D3CF4">
              <w:t xml:space="preserve">Utskottet beslutade att för valperioden inrätta en arbetsgrupp </w:t>
            </w:r>
            <w:r w:rsidR="0074126F">
              <w:t xml:space="preserve">bestående av en ledamot per parti </w:t>
            </w:r>
            <w:r w:rsidRPr="006D3CF4">
              <w:t>för att hantera frågor om uppföljning</w:t>
            </w:r>
            <w:r>
              <w:t xml:space="preserve">, </w:t>
            </w:r>
            <w:r w:rsidRPr="006D3CF4">
              <w:t>utvärdering</w:t>
            </w:r>
            <w:r>
              <w:t>, forsknings- och framtidsfrågor.</w:t>
            </w:r>
            <w:r w:rsidR="00573FA9" w:rsidRPr="006D3CF4">
              <w:br/>
            </w:r>
          </w:p>
        </w:tc>
      </w:tr>
      <w:tr w:rsidR="00573FA9" w:rsidRPr="0012669A" w14:paraId="667E3263" w14:textId="77777777" w:rsidTr="00D7630C">
        <w:trPr>
          <w:trHeight w:val="950"/>
        </w:trPr>
        <w:tc>
          <w:tcPr>
            <w:tcW w:w="567" w:type="dxa"/>
          </w:tcPr>
          <w:p w14:paraId="42D7718F" w14:textId="02FB2B57" w:rsidR="00573FA9" w:rsidRDefault="00573FA9" w:rsidP="00DC0D46">
            <w:pPr>
              <w:tabs>
                <w:tab w:val="left" w:pos="1701"/>
              </w:tabs>
              <w:rPr>
                <w:b/>
                <w:snapToGrid w:val="0"/>
              </w:rPr>
            </w:pPr>
            <w:r>
              <w:rPr>
                <w:b/>
                <w:snapToGrid w:val="0"/>
              </w:rPr>
              <w:t>§ 7</w:t>
            </w:r>
          </w:p>
        </w:tc>
        <w:tc>
          <w:tcPr>
            <w:tcW w:w="7162" w:type="dxa"/>
          </w:tcPr>
          <w:p w14:paraId="04039518" w14:textId="77777777" w:rsidR="00573FA9" w:rsidRPr="00573FA9" w:rsidRDefault="00573FA9" w:rsidP="00573FA9">
            <w:pPr>
              <w:widowControl w:val="0"/>
              <w:tabs>
                <w:tab w:val="left" w:pos="1701"/>
              </w:tabs>
              <w:rPr>
                <w:b/>
                <w:bCs/>
              </w:rPr>
            </w:pPr>
            <w:r w:rsidRPr="00573FA9">
              <w:rPr>
                <w:b/>
                <w:bCs/>
              </w:rPr>
              <w:t>Inkomna EU-dokument</w:t>
            </w:r>
          </w:p>
          <w:p w14:paraId="187B5957" w14:textId="77777777" w:rsidR="00573FA9" w:rsidRPr="00573FA9" w:rsidRDefault="00573FA9" w:rsidP="00573FA9">
            <w:pPr>
              <w:widowControl w:val="0"/>
              <w:tabs>
                <w:tab w:val="left" w:pos="1701"/>
              </w:tabs>
              <w:rPr>
                <w:b/>
                <w:bCs/>
              </w:rPr>
            </w:pPr>
          </w:p>
          <w:p w14:paraId="5E2C59CF" w14:textId="79C5961A" w:rsidR="00573FA9" w:rsidRPr="00573FA9" w:rsidRDefault="00573FA9" w:rsidP="00573FA9">
            <w:pPr>
              <w:widowControl w:val="0"/>
              <w:tabs>
                <w:tab w:val="left" w:pos="1701"/>
              </w:tabs>
            </w:pPr>
            <w:r w:rsidRPr="00573FA9">
              <w:t>Anmäldes sammanställning över inkomna EU-dokument.</w:t>
            </w:r>
            <w:r>
              <w:br/>
            </w:r>
          </w:p>
        </w:tc>
      </w:tr>
      <w:tr w:rsidR="00573FA9" w:rsidRPr="0012669A" w14:paraId="5DD4E016" w14:textId="77777777" w:rsidTr="00D7630C">
        <w:trPr>
          <w:trHeight w:val="950"/>
        </w:trPr>
        <w:tc>
          <w:tcPr>
            <w:tcW w:w="567" w:type="dxa"/>
          </w:tcPr>
          <w:p w14:paraId="23F461F6" w14:textId="0A8727E0" w:rsidR="00573FA9" w:rsidRDefault="00573FA9" w:rsidP="00DC0D46">
            <w:pPr>
              <w:tabs>
                <w:tab w:val="left" w:pos="1701"/>
              </w:tabs>
              <w:rPr>
                <w:b/>
                <w:snapToGrid w:val="0"/>
              </w:rPr>
            </w:pPr>
            <w:r>
              <w:rPr>
                <w:b/>
                <w:snapToGrid w:val="0"/>
              </w:rPr>
              <w:lastRenderedPageBreak/>
              <w:t>§ 8</w:t>
            </w:r>
          </w:p>
        </w:tc>
        <w:tc>
          <w:tcPr>
            <w:tcW w:w="7162" w:type="dxa"/>
          </w:tcPr>
          <w:p w14:paraId="23C9B0D4" w14:textId="77777777" w:rsidR="00573FA9" w:rsidRDefault="00573FA9" w:rsidP="00573FA9">
            <w:pPr>
              <w:widowControl w:val="0"/>
              <w:tabs>
                <w:tab w:val="left" w:pos="1701"/>
              </w:tabs>
              <w:rPr>
                <w:b/>
                <w:bCs/>
              </w:rPr>
            </w:pPr>
            <w:r>
              <w:rPr>
                <w:b/>
              </w:rPr>
              <w:t>Fråga om överläggning med regeringen</w:t>
            </w:r>
            <w:r>
              <w:rPr>
                <w:b/>
              </w:rPr>
              <w:br/>
            </w:r>
          </w:p>
          <w:p w14:paraId="18EB4243" w14:textId="41EF3B03" w:rsidR="00573FA9" w:rsidRDefault="00573FA9" w:rsidP="00573FA9">
            <w:pPr>
              <w:widowControl w:val="0"/>
              <w:tabs>
                <w:tab w:val="left" w:pos="1701"/>
              </w:tabs>
            </w:pPr>
            <w:r w:rsidRPr="00573FA9">
              <w:t xml:space="preserve">Utskottet beslutade att överlägga med regeringen </w:t>
            </w:r>
            <w:r>
              <w:t>dels om krisinstrument för den inre marknaden och tillhörande omnibusrättsakter</w:t>
            </w:r>
            <w:r w:rsidR="00825675">
              <w:t xml:space="preserve">, </w:t>
            </w:r>
            <w:proofErr w:type="gramStart"/>
            <w:r>
              <w:t>COM(</w:t>
            </w:r>
            <w:proofErr w:type="gramEnd"/>
            <w:r>
              <w:t>2022) 459, COM(2022) 461</w:t>
            </w:r>
            <w:r w:rsidR="00825675">
              <w:t xml:space="preserve"> och </w:t>
            </w:r>
            <w:r>
              <w:t>COM(2022) 462, dels om förordning om förbud mot produkter som tillverkats genom tvångsarbete</w:t>
            </w:r>
            <w:r w:rsidR="00825675">
              <w:t>,</w:t>
            </w:r>
            <w:r>
              <w:t xml:space="preserve"> COM(2022) 453.</w:t>
            </w:r>
          </w:p>
          <w:p w14:paraId="715ED316" w14:textId="01CBEB77" w:rsidR="00573FA9" w:rsidRPr="00573FA9" w:rsidRDefault="00573FA9" w:rsidP="0074126F">
            <w:pPr>
              <w:widowControl w:val="0"/>
              <w:tabs>
                <w:tab w:val="left" w:pos="1701"/>
              </w:tabs>
              <w:rPr>
                <w:b/>
                <w:bCs/>
              </w:rPr>
            </w:pPr>
          </w:p>
        </w:tc>
      </w:tr>
      <w:tr w:rsidR="00440513" w:rsidRPr="0012669A" w14:paraId="03ACCB15" w14:textId="77777777" w:rsidTr="00D7630C">
        <w:trPr>
          <w:trHeight w:val="950"/>
        </w:trPr>
        <w:tc>
          <w:tcPr>
            <w:tcW w:w="567" w:type="dxa"/>
          </w:tcPr>
          <w:p w14:paraId="0CAA09F5" w14:textId="06AE060F" w:rsidR="00440513" w:rsidRDefault="00440513" w:rsidP="00DC0D46">
            <w:pPr>
              <w:tabs>
                <w:tab w:val="left" w:pos="1701"/>
              </w:tabs>
              <w:rPr>
                <w:b/>
                <w:snapToGrid w:val="0"/>
              </w:rPr>
            </w:pPr>
            <w:r>
              <w:rPr>
                <w:b/>
                <w:snapToGrid w:val="0"/>
              </w:rPr>
              <w:t>§ 9</w:t>
            </w:r>
          </w:p>
        </w:tc>
        <w:tc>
          <w:tcPr>
            <w:tcW w:w="7162" w:type="dxa"/>
          </w:tcPr>
          <w:p w14:paraId="660D692E" w14:textId="77777777" w:rsidR="0074126F" w:rsidRPr="00A74A3A" w:rsidRDefault="0074126F" w:rsidP="0074126F">
            <w:pPr>
              <w:widowControl w:val="0"/>
              <w:tabs>
                <w:tab w:val="left" w:pos="1701"/>
              </w:tabs>
              <w:rPr>
                <w:b/>
              </w:rPr>
            </w:pPr>
            <w:r w:rsidRPr="00A74A3A">
              <w:rPr>
                <w:b/>
              </w:rPr>
              <w:t>Nästa sammanträde</w:t>
            </w:r>
          </w:p>
          <w:p w14:paraId="2B88F862" w14:textId="77777777" w:rsidR="0074126F" w:rsidRPr="00A74A3A" w:rsidRDefault="0074126F" w:rsidP="0074126F">
            <w:pPr>
              <w:widowControl w:val="0"/>
              <w:tabs>
                <w:tab w:val="left" w:pos="1701"/>
              </w:tabs>
              <w:rPr>
                <w:b/>
              </w:rPr>
            </w:pPr>
          </w:p>
          <w:p w14:paraId="40AD85F1" w14:textId="77777777" w:rsidR="0074126F" w:rsidRDefault="0074126F" w:rsidP="0074126F">
            <w:pPr>
              <w:widowControl w:val="0"/>
              <w:tabs>
                <w:tab w:val="left" w:pos="1701"/>
              </w:tabs>
              <w:rPr>
                <w:bCs/>
              </w:rPr>
            </w:pPr>
            <w:r w:rsidRPr="00A74A3A">
              <w:rPr>
                <w:bCs/>
              </w:rPr>
              <w:t xml:space="preserve">Nästa sammanträde äger rum </w:t>
            </w:r>
            <w:r>
              <w:rPr>
                <w:bCs/>
              </w:rPr>
              <w:t>tis</w:t>
            </w:r>
            <w:r w:rsidRPr="00A74A3A">
              <w:rPr>
                <w:bCs/>
              </w:rPr>
              <w:t xml:space="preserve">dagen den </w:t>
            </w:r>
            <w:r>
              <w:rPr>
                <w:bCs/>
              </w:rPr>
              <w:t>29</w:t>
            </w:r>
            <w:r w:rsidRPr="00A74A3A">
              <w:rPr>
                <w:bCs/>
              </w:rPr>
              <w:t xml:space="preserve"> </w:t>
            </w:r>
            <w:r>
              <w:rPr>
                <w:bCs/>
              </w:rPr>
              <w:t>november</w:t>
            </w:r>
            <w:r w:rsidRPr="00A74A3A">
              <w:rPr>
                <w:bCs/>
              </w:rPr>
              <w:t xml:space="preserve"> 2022 </w:t>
            </w:r>
          </w:p>
          <w:p w14:paraId="5BF84D2F" w14:textId="77777777" w:rsidR="0074126F" w:rsidRDefault="0074126F" w:rsidP="0074126F">
            <w:pPr>
              <w:widowControl w:val="0"/>
              <w:tabs>
                <w:tab w:val="left" w:pos="1701"/>
              </w:tabs>
              <w:rPr>
                <w:bCs/>
              </w:rPr>
            </w:pPr>
            <w:r w:rsidRPr="00A74A3A">
              <w:rPr>
                <w:bCs/>
              </w:rPr>
              <w:t xml:space="preserve">kl. </w:t>
            </w:r>
            <w:r>
              <w:rPr>
                <w:bCs/>
              </w:rPr>
              <w:t>11.</w:t>
            </w:r>
            <w:r w:rsidRPr="00A74A3A">
              <w:rPr>
                <w:bCs/>
              </w:rPr>
              <w:t>00.</w:t>
            </w:r>
          </w:p>
          <w:p w14:paraId="724CB446" w14:textId="5266CB7E" w:rsidR="00440513" w:rsidRPr="00440513" w:rsidRDefault="00440513" w:rsidP="0074126F">
            <w:pPr>
              <w:widowControl w:val="0"/>
              <w:tabs>
                <w:tab w:val="left" w:pos="1701"/>
              </w:tabs>
              <w:rPr>
                <w:bCs/>
              </w:rPr>
            </w:pPr>
          </w:p>
        </w:tc>
      </w:tr>
      <w:tr w:rsidR="00DC0D46" w:rsidRPr="0012669A" w14:paraId="448A3638" w14:textId="77777777" w:rsidTr="00D7630C">
        <w:tc>
          <w:tcPr>
            <w:tcW w:w="7729" w:type="dxa"/>
            <w:gridSpan w:val="2"/>
          </w:tcPr>
          <w:p w14:paraId="489DE833" w14:textId="77777777" w:rsidR="004C16AC" w:rsidRDefault="004C16AC" w:rsidP="00DC0D46">
            <w:pPr>
              <w:tabs>
                <w:tab w:val="left" w:pos="1701"/>
              </w:tabs>
            </w:pPr>
          </w:p>
          <w:p w14:paraId="26B44246" w14:textId="77777777" w:rsidR="00D7630C" w:rsidRDefault="00D7630C" w:rsidP="00DC0D46">
            <w:pPr>
              <w:tabs>
                <w:tab w:val="left" w:pos="1701"/>
              </w:tabs>
            </w:pPr>
          </w:p>
          <w:p w14:paraId="1AD56E42" w14:textId="77777777" w:rsidR="00D7630C" w:rsidRDefault="00D7630C" w:rsidP="00DC0D46">
            <w:pPr>
              <w:tabs>
                <w:tab w:val="left" w:pos="1701"/>
              </w:tabs>
            </w:pPr>
          </w:p>
          <w:p w14:paraId="0224B137" w14:textId="77777777" w:rsidR="00D7630C" w:rsidRDefault="00D7630C" w:rsidP="00DC0D46">
            <w:pPr>
              <w:tabs>
                <w:tab w:val="left" w:pos="1701"/>
              </w:tabs>
            </w:pPr>
          </w:p>
          <w:p w14:paraId="5FEAF7F9" w14:textId="77777777" w:rsidR="00D7630C" w:rsidRDefault="00D7630C" w:rsidP="00DC0D46">
            <w:pPr>
              <w:tabs>
                <w:tab w:val="left" w:pos="1701"/>
              </w:tabs>
            </w:pPr>
          </w:p>
          <w:p w14:paraId="016CAEE1" w14:textId="77777777" w:rsidR="00D7630C" w:rsidRDefault="00D7630C" w:rsidP="00DC0D46">
            <w:pPr>
              <w:tabs>
                <w:tab w:val="left" w:pos="1701"/>
              </w:tabs>
            </w:pPr>
          </w:p>
          <w:p w14:paraId="0900CACA" w14:textId="77777777" w:rsidR="00D7630C" w:rsidRDefault="00D7630C" w:rsidP="00DC0D46">
            <w:pPr>
              <w:tabs>
                <w:tab w:val="left" w:pos="1701"/>
              </w:tabs>
            </w:pPr>
          </w:p>
          <w:p w14:paraId="56126E41" w14:textId="417D8FC2"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148562A1" w:rsidR="00DC0D46" w:rsidRPr="0012669A" w:rsidRDefault="00DC0D46" w:rsidP="00DC0D46">
            <w:pPr>
              <w:tabs>
                <w:tab w:val="left" w:pos="1701"/>
              </w:tabs>
            </w:pPr>
            <w:r>
              <w:t>Bibi Junttila</w:t>
            </w:r>
          </w:p>
          <w:p w14:paraId="44E0A703" w14:textId="77777777" w:rsidR="00DC0D46" w:rsidRPr="0012669A" w:rsidRDefault="00DC0D46" w:rsidP="00DC0D46">
            <w:pPr>
              <w:tabs>
                <w:tab w:val="left" w:pos="1701"/>
              </w:tabs>
            </w:pPr>
          </w:p>
          <w:p w14:paraId="79740975" w14:textId="5B2A5356" w:rsidR="00DC0D46" w:rsidRPr="0012669A" w:rsidRDefault="00DC0D46" w:rsidP="00DC0D46">
            <w:pPr>
              <w:tabs>
                <w:tab w:val="left" w:pos="1701"/>
              </w:tabs>
            </w:pPr>
            <w:r w:rsidRPr="0012669A">
              <w:t xml:space="preserve">Justeras den </w:t>
            </w:r>
            <w:r w:rsidR="00A139B7">
              <w:t>2</w:t>
            </w:r>
            <w:r w:rsidR="00573FA9">
              <w:t>9</w:t>
            </w:r>
            <w:r w:rsidR="009B6378">
              <w:t xml:space="preserve"> </w:t>
            </w:r>
            <w:r w:rsidR="003F6142">
              <w:t>november</w:t>
            </w:r>
            <w:r w:rsidRPr="00210FD3">
              <w:t xml:space="preserve"> 202</w:t>
            </w:r>
            <w:r>
              <w:t>2</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372089BC" w:rsidR="00DC0D46" w:rsidRPr="00355D1B" w:rsidRDefault="00B8320F" w:rsidP="00DC0D46">
            <w:pPr>
              <w:tabs>
                <w:tab w:val="left" w:pos="1701"/>
              </w:tabs>
            </w:pPr>
            <w:r>
              <w:t>Tobias Andersson</w:t>
            </w:r>
          </w:p>
        </w:tc>
      </w:tr>
    </w:tbl>
    <w:p w14:paraId="63D40D5A" w14:textId="51409D91" w:rsidR="00417D9F" w:rsidRDefault="00417D9F">
      <w:bookmarkStart w:id="1" w:name="_Hlk97030853"/>
    </w:p>
    <w:p w14:paraId="36E99486" w14:textId="77777777" w:rsidR="00417D9F" w:rsidRDefault="00417D9F">
      <w:r>
        <w:br w:type="page"/>
      </w:r>
    </w:p>
    <w:p w14:paraId="5D1D89E9" w14:textId="77777777" w:rsidR="00300D60" w:rsidRDefault="00300D60"/>
    <w:tbl>
      <w:tblPr>
        <w:tblW w:w="873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55"/>
        <w:gridCol w:w="356"/>
        <w:gridCol w:w="357"/>
        <w:gridCol w:w="464"/>
        <w:gridCol w:w="252"/>
        <w:gridCol w:w="457"/>
        <w:gridCol w:w="354"/>
        <w:gridCol w:w="425"/>
        <w:gridCol w:w="283"/>
        <w:gridCol w:w="284"/>
        <w:gridCol w:w="425"/>
        <w:gridCol w:w="425"/>
        <w:gridCol w:w="426"/>
        <w:gridCol w:w="514"/>
      </w:tblGrid>
      <w:tr w:rsidR="00B8320F" w14:paraId="66CEFB4D" w14:textId="77777777" w:rsidTr="00FD0762">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br w:type="page"/>
            </w:r>
            <w:r>
              <w:rPr>
                <w:sz w:val="22"/>
                <w:szCs w:val="22"/>
              </w:rPr>
              <w:t>NÄRINGSUTSKOTTET</w:t>
            </w:r>
          </w:p>
        </w:tc>
        <w:tc>
          <w:tcPr>
            <w:tcW w:w="3626"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790" w:type="dxa"/>
            <w:gridSpan w:val="4"/>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34E97C8D" w:rsidR="00B8320F" w:rsidRDefault="00B8320F" w:rsidP="00FD0762">
            <w:pPr>
              <w:tabs>
                <w:tab w:val="left" w:pos="1701"/>
              </w:tabs>
            </w:pPr>
            <w:r>
              <w:rPr>
                <w:sz w:val="20"/>
              </w:rPr>
              <w:t>2022/23:</w:t>
            </w:r>
            <w:r w:rsidR="00514EC1">
              <w:rPr>
                <w:sz w:val="20"/>
              </w:rPr>
              <w:t>1</w:t>
            </w:r>
            <w:r w:rsidR="00573FA9">
              <w:rPr>
                <w:sz w:val="20"/>
              </w:rPr>
              <w:t>1</w:t>
            </w:r>
          </w:p>
        </w:tc>
      </w:tr>
      <w:tr w:rsidR="00B8320F" w14:paraId="0DF86746"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1" w:type="dxa"/>
            <w:gridSpan w:val="2"/>
            <w:tcBorders>
              <w:top w:val="single" w:sz="6" w:space="0" w:color="auto"/>
              <w:left w:val="single" w:sz="6" w:space="0" w:color="auto"/>
              <w:bottom w:val="single" w:sz="6" w:space="0" w:color="auto"/>
              <w:right w:val="single" w:sz="6" w:space="0" w:color="auto"/>
            </w:tcBorders>
          </w:tcPr>
          <w:p w14:paraId="606EF182" w14:textId="749247C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300D60">
              <w:rPr>
                <w:sz w:val="22"/>
                <w:szCs w:val="22"/>
              </w:rPr>
              <w:t>–</w:t>
            </w:r>
            <w:r w:rsidR="00440513">
              <w:rPr>
                <w:sz w:val="22"/>
                <w:szCs w:val="22"/>
              </w:rPr>
              <w:t>2</w:t>
            </w:r>
          </w:p>
        </w:tc>
        <w:tc>
          <w:tcPr>
            <w:tcW w:w="821" w:type="dxa"/>
            <w:gridSpan w:val="2"/>
            <w:tcBorders>
              <w:top w:val="single" w:sz="6" w:space="0" w:color="auto"/>
              <w:left w:val="single" w:sz="6" w:space="0" w:color="auto"/>
              <w:bottom w:val="single" w:sz="6" w:space="0" w:color="auto"/>
              <w:right w:val="single" w:sz="6" w:space="0" w:color="auto"/>
            </w:tcBorders>
          </w:tcPr>
          <w:p w14:paraId="1B33DFD2" w14:textId="5BE65AA0"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3–10</w:t>
            </w:r>
          </w:p>
        </w:tc>
        <w:tc>
          <w:tcPr>
            <w:tcW w:w="709" w:type="dxa"/>
            <w:gridSpan w:val="2"/>
            <w:tcBorders>
              <w:top w:val="single" w:sz="6" w:space="0" w:color="auto"/>
              <w:left w:val="single" w:sz="6" w:space="0" w:color="auto"/>
              <w:bottom w:val="single" w:sz="6" w:space="0" w:color="auto"/>
              <w:right w:val="single" w:sz="6" w:space="0" w:color="auto"/>
            </w:tcBorders>
          </w:tcPr>
          <w:p w14:paraId="301E3BBB" w14:textId="6E9746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79" w:type="dxa"/>
            <w:gridSpan w:val="2"/>
            <w:tcBorders>
              <w:top w:val="single" w:sz="6" w:space="0" w:color="auto"/>
              <w:left w:val="single" w:sz="6" w:space="0" w:color="auto"/>
              <w:bottom w:val="single" w:sz="6" w:space="0" w:color="auto"/>
              <w:right w:val="single" w:sz="6" w:space="0" w:color="auto"/>
            </w:tcBorders>
          </w:tcPr>
          <w:p w14:paraId="12E63081" w14:textId="7650D1C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23DF87DA" w14:textId="77777777"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40" w:type="dxa"/>
            <w:gridSpan w:val="2"/>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7" w:type="dxa"/>
            <w:tcBorders>
              <w:top w:val="single" w:sz="6" w:space="0" w:color="auto"/>
              <w:left w:val="single" w:sz="6" w:space="0" w:color="auto"/>
              <w:bottom w:val="single" w:sz="6" w:space="0" w:color="auto"/>
              <w:right w:val="single" w:sz="6" w:space="0" w:color="auto"/>
            </w:tcBorders>
          </w:tcPr>
          <w:p w14:paraId="0D94B8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64" w:type="dxa"/>
            <w:tcBorders>
              <w:top w:val="single" w:sz="6" w:space="0" w:color="auto"/>
              <w:left w:val="single" w:sz="6" w:space="0" w:color="auto"/>
              <w:bottom w:val="single" w:sz="6" w:space="0" w:color="auto"/>
              <w:right w:val="single" w:sz="6" w:space="0" w:color="auto"/>
            </w:tcBorders>
          </w:tcPr>
          <w:p w14:paraId="1D7BAB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52" w:type="dxa"/>
            <w:tcBorders>
              <w:top w:val="single" w:sz="6" w:space="0" w:color="auto"/>
              <w:left w:val="single" w:sz="6" w:space="0" w:color="auto"/>
              <w:bottom w:val="single" w:sz="6" w:space="0" w:color="auto"/>
              <w:right w:val="single" w:sz="6" w:space="0" w:color="auto"/>
            </w:tcBorders>
          </w:tcPr>
          <w:p w14:paraId="2C6715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7" w:type="dxa"/>
            <w:tcBorders>
              <w:top w:val="single" w:sz="6" w:space="0" w:color="auto"/>
              <w:left w:val="single" w:sz="6" w:space="0" w:color="auto"/>
              <w:bottom w:val="single" w:sz="6" w:space="0" w:color="auto"/>
              <w:right w:val="single" w:sz="6" w:space="0" w:color="auto"/>
            </w:tcBorders>
          </w:tcPr>
          <w:p w14:paraId="09B333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4" w:type="dxa"/>
            <w:tcBorders>
              <w:top w:val="single" w:sz="6" w:space="0" w:color="auto"/>
              <w:left w:val="single" w:sz="6" w:space="0" w:color="auto"/>
              <w:bottom w:val="single" w:sz="6" w:space="0" w:color="auto"/>
              <w:right w:val="single" w:sz="6" w:space="0" w:color="auto"/>
            </w:tcBorders>
          </w:tcPr>
          <w:p w14:paraId="3AD6BD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3482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086D32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6037C1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56196D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55" w:type="dxa"/>
            <w:tcBorders>
              <w:top w:val="single" w:sz="6" w:space="0" w:color="auto"/>
              <w:left w:val="single" w:sz="6" w:space="0" w:color="auto"/>
              <w:bottom w:val="single" w:sz="6" w:space="0" w:color="auto"/>
              <w:right w:val="single" w:sz="6" w:space="0" w:color="auto"/>
            </w:tcBorders>
          </w:tcPr>
          <w:p w14:paraId="5F24ACA1" w14:textId="4C388372"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0C436AC" w14:textId="024B6593"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7E9DC392" w14:textId="4D13117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01C98D9F" w14:textId="341685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C0846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F258ED" w14:paraId="1D2BC9BA"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08E24F7B" w14:textId="77777777"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vice </w:t>
            </w:r>
            <w:proofErr w:type="spellStart"/>
            <w:r w:rsidRPr="008F6BFD">
              <w:rPr>
                <w:sz w:val="20"/>
                <w:lang w:val="en-GB"/>
              </w:rPr>
              <w:t>ordf</w:t>
            </w:r>
            <w:proofErr w:type="spellEnd"/>
            <w:r w:rsidRPr="008F6BFD">
              <w:rPr>
                <w:sz w:val="20"/>
                <w:lang w:val="en-GB"/>
              </w:rPr>
              <w:t>.</w:t>
            </w:r>
          </w:p>
        </w:tc>
        <w:tc>
          <w:tcPr>
            <w:tcW w:w="355" w:type="dxa"/>
            <w:tcBorders>
              <w:top w:val="single" w:sz="6" w:space="0" w:color="auto"/>
              <w:left w:val="single" w:sz="6" w:space="0" w:color="auto"/>
              <w:bottom w:val="single" w:sz="6" w:space="0" w:color="auto"/>
              <w:right w:val="single" w:sz="6" w:space="0" w:color="auto"/>
            </w:tcBorders>
          </w:tcPr>
          <w:p w14:paraId="6D0FCABF" w14:textId="69327E28"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14:paraId="11E1E08A"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7" w:type="dxa"/>
            <w:tcBorders>
              <w:top w:val="single" w:sz="6" w:space="0" w:color="auto"/>
              <w:left w:val="single" w:sz="6" w:space="0" w:color="auto"/>
              <w:bottom w:val="single" w:sz="6" w:space="0" w:color="auto"/>
              <w:right w:val="single" w:sz="6" w:space="0" w:color="auto"/>
            </w:tcBorders>
          </w:tcPr>
          <w:p w14:paraId="216FCCB3" w14:textId="289A2E30"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64" w:type="dxa"/>
            <w:tcBorders>
              <w:top w:val="single" w:sz="6" w:space="0" w:color="auto"/>
              <w:left w:val="single" w:sz="6" w:space="0" w:color="auto"/>
              <w:bottom w:val="single" w:sz="6" w:space="0" w:color="auto"/>
              <w:right w:val="single" w:sz="6" w:space="0" w:color="auto"/>
            </w:tcBorders>
          </w:tcPr>
          <w:p w14:paraId="590CBC34"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52" w:type="dxa"/>
            <w:tcBorders>
              <w:top w:val="single" w:sz="6" w:space="0" w:color="auto"/>
              <w:left w:val="single" w:sz="6" w:space="0" w:color="auto"/>
              <w:bottom w:val="single" w:sz="6" w:space="0" w:color="auto"/>
              <w:right w:val="single" w:sz="6" w:space="0" w:color="auto"/>
            </w:tcBorders>
          </w:tcPr>
          <w:p w14:paraId="589CF42D" w14:textId="274BF8F2"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57" w:type="dxa"/>
            <w:tcBorders>
              <w:top w:val="single" w:sz="6" w:space="0" w:color="auto"/>
              <w:left w:val="single" w:sz="6" w:space="0" w:color="auto"/>
              <w:bottom w:val="single" w:sz="6" w:space="0" w:color="auto"/>
              <w:right w:val="single" w:sz="6" w:space="0" w:color="auto"/>
            </w:tcBorders>
          </w:tcPr>
          <w:p w14:paraId="185041A9"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4" w:type="dxa"/>
            <w:tcBorders>
              <w:top w:val="single" w:sz="6" w:space="0" w:color="auto"/>
              <w:left w:val="single" w:sz="6" w:space="0" w:color="auto"/>
              <w:bottom w:val="single" w:sz="6" w:space="0" w:color="auto"/>
              <w:right w:val="single" w:sz="6" w:space="0" w:color="auto"/>
            </w:tcBorders>
          </w:tcPr>
          <w:p w14:paraId="59F3A5AB" w14:textId="6259B09C"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73277094"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B16C757"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43EA2BE6"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9A2E17D"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514" w:type="dxa"/>
            <w:tcBorders>
              <w:top w:val="single" w:sz="6" w:space="0" w:color="auto"/>
              <w:left w:val="single" w:sz="6" w:space="0" w:color="auto"/>
              <w:bottom w:val="single" w:sz="6" w:space="0" w:color="auto"/>
              <w:right w:val="single" w:sz="6" w:space="0" w:color="auto"/>
            </w:tcBorders>
          </w:tcPr>
          <w:p w14:paraId="21177D39" w14:textId="77777777" w:rsidR="00B8320F" w:rsidRPr="00825675"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B8320F" w:rsidRPr="0021485D" w14:paraId="2D0DBF34"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366335F" w14:textId="2F1785CE"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563F8A2D" w14:textId="2184741F"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64"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52" w:type="dxa"/>
            <w:tcBorders>
              <w:top w:val="single" w:sz="6" w:space="0" w:color="auto"/>
              <w:left w:val="single" w:sz="6" w:space="0" w:color="auto"/>
              <w:bottom w:val="single" w:sz="6" w:space="0" w:color="auto"/>
              <w:right w:val="single" w:sz="6" w:space="0" w:color="auto"/>
            </w:tcBorders>
          </w:tcPr>
          <w:p w14:paraId="70B5930A" w14:textId="2A5D60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57"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4" w:type="dxa"/>
            <w:tcBorders>
              <w:top w:val="single" w:sz="6" w:space="0" w:color="auto"/>
              <w:left w:val="single" w:sz="6" w:space="0" w:color="auto"/>
              <w:bottom w:val="single" w:sz="6" w:space="0" w:color="auto"/>
              <w:right w:val="single" w:sz="6" w:space="0" w:color="auto"/>
            </w:tcBorders>
          </w:tcPr>
          <w:p w14:paraId="4B2F61DB" w14:textId="5E5325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25E237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14"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3DD9B83" w14:textId="3474FE10"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D4FA10A" w14:textId="71679A2F"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6750724A" w14:textId="4858BD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4D34E95" w14:textId="2BA929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973B1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55" w:type="dxa"/>
            <w:tcBorders>
              <w:top w:val="single" w:sz="6" w:space="0" w:color="auto"/>
              <w:left w:val="single" w:sz="6" w:space="0" w:color="auto"/>
              <w:bottom w:val="single" w:sz="6" w:space="0" w:color="auto"/>
              <w:right w:val="single" w:sz="6" w:space="0" w:color="auto"/>
            </w:tcBorders>
          </w:tcPr>
          <w:p w14:paraId="4CE452AC" w14:textId="07437792"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73920D" w14:textId="2E92F483"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0C32B0EC" w14:textId="28266BE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6C4657E0" w14:textId="5C4FC1D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CB8D6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55" w:type="dxa"/>
            <w:tcBorders>
              <w:top w:val="single" w:sz="6" w:space="0" w:color="auto"/>
              <w:left w:val="single" w:sz="6" w:space="0" w:color="auto"/>
              <w:bottom w:val="single" w:sz="6" w:space="0" w:color="auto"/>
              <w:right w:val="single" w:sz="6" w:space="0" w:color="auto"/>
            </w:tcBorders>
          </w:tcPr>
          <w:p w14:paraId="119454CF" w14:textId="424EC1A7"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2D56A63" w14:textId="56BB0DBF"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6416FA42" w14:textId="1151FC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67E4E4C8" w14:textId="241DAA0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8EC0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55" w:type="dxa"/>
            <w:tcBorders>
              <w:top w:val="single" w:sz="6" w:space="0" w:color="auto"/>
              <w:left w:val="single" w:sz="6" w:space="0" w:color="auto"/>
              <w:bottom w:val="single" w:sz="6" w:space="0" w:color="auto"/>
              <w:right w:val="single" w:sz="6" w:space="0" w:color="auto"/>
            </w:tcBorders>
          </w:tcPr>
          <w:p w14:paraId="723B6279" w14:textId="6268048C"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7B0A1F0" w14:textId="610B2F27"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7B526917" w14:textId="06EAB2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61D12B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58139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F2A689D" w14:textId="4B8369BE"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27E68A7" w14:textId="051CD20C"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64"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11287A17" w14:textId="74CA3C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390579A9" w14:textId="1C1345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7CA9A6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55" w:type="dxa"/>
            <w:tcBorders>
              <w:top w:val="single" w:sz="6" w:space="0" w:color="auto"/>
              <w:left w:val="single" w:sz="6" w:space="0" w:color="auto"/>
              <w:bottom w:val="single" w:sz="6" w:space="0" w:color="auto"/>
              <w:right w:val="single" w:sz="6" w:space="0" w:color="auto"/>
            </w:tcBorders>
          </w:tcPr>
          <w:p w14:paraId="37DC03D7" w14:textId="7E357B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24ADABE" w14:textId="03F58D2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7EEBFCC9" w14:textId="4A570C6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27B14CD" w14:textId="7AA4307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F4A1DD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2D69477D"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Alexander Christiansson (SD)</w:t>
            </w:r>
          </w:p>
        </w:tc>
        <w:tc>
          <w:tcPr>
            <w:tcW w:w="355" w:type="dxa"/>
            <w:tcBorders>
              <w:top w:val="single" w:sz="6" w:space="0" w:color="auto"/>
              <w:left w:val="single" w:sz="6" w:space="0" w:color="auto"/>
              <w:bottom w:val="single" w:sz="6" w:space="0" w:color="auto"/>
              <w:right w:val="single" w:sz="6" w:space="0" w:color="auto"/>
            </w:tcBorders>
          </w:tcPr>
          <w:p w14:paraId="3AE85469" w14:textId="66E8CB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5A20467" w14:textId="0AB1ED4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47829684" w14:textId="628B07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8762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55" w:type="dxa"/>
            <w:tcBorders>
              <w:top w:val="single" w:sz="6" w:space="0" w:color="auto"/>
              <w:left w:val="single" w:sz="6" w:space="0" w:color="auto"/>
              <w:bottom w:val="single" w:sz="6" w:space="0" w:color="auto"/>
              <w:right w:val="single" w:sz="6" w:space="0" w:color="auto"/>
            </w:tcBorders>
          </w:tcPr>
          <w:p w14:paraId="6FE2AD41" w14:textId="0B7C73AC"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57AE0EB" w14:textId="3DB2D8E5"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4E8CC899" w14:textId="6A2F87B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98CC2C8" w14:textId="4FCBDD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CFC16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55" w:type="dxa"/>
            <w:tcBorders>
              <w:top w:val="single" w:sz="6" w:space="0" w:color="auto"/>
              <w:left w:val="single" w:sz="6" w:space="0" w:color="auto"/>
              <w:bottom w:val="single" w:sz="6" w:space="0" w:color="auto"/>
              <w:right w:val="single" w:sz="6" w:space="0" w:color="auto"/>
            </w:tcBorders>
          </w:tcPr>
          <w:p w14:paraId="162330C2" w14:textId="406E3233"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B8C8234" w14:textId="1137AE6C"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201B1D47" w14:textId="6583AB6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6F1FFF2" w14:textId="143715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2C1D2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55" w:type="dxa"/>
            <w:tcBorders>
              <w:top w:val="single" w:sz="6" w:space="0" w:color="auto"/>
              <w:left w:val="single" w:sz="6" w:space="0" w:color="auto"/>
              <w:bottom w:val="single" w:sz="6" w:space="0" w:color="auto"/>
              <w:right w:val="single" w:sz="6" w:space="0" w:color="auto"/>
            </w:tcBorders>
          </w:tcPr>
          <w:p w14:paraId="3506A5F9" w14:textId="5E88A884"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35F66BE" w14:textId="202B27EC"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64"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53FD303B" w14:textId="564CA52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5AA41324" w14:textId="05F974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15709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55" w:type="dxa"/>
            <w:tcBorders>
              <w:top w:val="single" w:sz="6" w:space="0" w:color="auto"/>
              <w:left w:val="single" w:sz="6" w:space="0" w:color="auto"/>
              <w:bottom w:val="single" w:sz="6" w:space="0" w:color="auto"/>
              <w:right w:val="single" w:sz="6" w:space="0" w:color="auto"/>
            </w:tcBorders>
          </w:tcPr>
          <w:p w14:paraId="7F8A02B2" w14:textId="37A35C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63146BE0" w14:textId="3A8C68F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15CEC422" w14:textId="0E3E69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7D3EE0D" w14:textId="3F8914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FE0C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55" w:type="dxa"/>
            <w:tcBorders>
              <w:top w:val="single" w:sz="6" w:space="0" w:color="auto"/>
              <w:left w:val="single" w:sz="6" w:space="0" w:color="auto"/>
              <w:bottom w:val="single" w:sz="6" w:space="0" w:color="auto"/>
              <w:right w:val="single" w:sz="6" w:space="0" w:color="auto"/>
            </w:tcBorders>
          </w:tcPr>
          <w:p w14:paraId="7CA30006" w14:textId="3BB5AF90"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0306767" w14:textId="32A75589"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131C6FB2" w14:textId="12210AF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F457081" w14:textId="567F0F7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B606DE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55" w:type="dxa"/>
            <w:tcBorders>
              <w:top w:val="single" w:sz="6" w:space="0" w:color="auto"/>
              <w:left w:val="single" w:sz="6" w:space="0" w:color="auto"/>
              <w:bottom w:val="single" w:sz="6" w:space="0" w:color="auto"/>
              <w:right w:val="single" w:sz="6" w:space="0" w:color="auto"/>
            </w:tcBorders>
          </w:tcPr>
          <w:p w14:paraId="25A2B47F" w14:textId="441CF876"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7ED43B6" w14:textId="58894993"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6B1D0955" w14:textId="49C740D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04A1001F" w14:textId="68E13D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5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55" w:type="dxa"/>
            <w:tcBorders>
              <w:top w:val="single" w:sz="6" w:space="0" w:color="auto"/>
              <w:left w:val="single" w:sz="6" w:space="0" w:color="auto"/>
              <w:bottom w:val="single" w:sz="6" w:space="0" w:color="auto"/>
              <w:right w:val="single" w:sz="6" w:space="0" w:color="auto"/>
            </w:tcBorders>
          </w:tcPr>
          <w:p w14:paraId="25A2BC52" w14:textId="267495D8"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EE2E086" w14:textId="25D88051"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34E2448C" w14:textId="446C8A1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7D0EEB4" w14:textId="50C145C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F94A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52"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F6A2A33"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0129A88C" w14:textId="77777777" w:rsidR="00B8320F" w:rsidRDefault="00B8320F" w:rsidP="00FD0762">
            <w:pPr>
              <w:tabs>
                <w:tab w:val="left" w:pos="1985"/>
              </w:tabs>
              <w:rPr>
                <w:snapToGrid w:val="0"/>
                <w:color w:val="000000"/>
                <w:sz w:val="20"/>
              </w:rPr>
            </w:pPr>
            <w:r>
              <w:rPr>
                <w:snapToGrid w:val="0"/>
                <w:color w:val="000000"/>
                <w:sz w:val="20"/>
              </w:rPr>
              <w:t>Josef Fransson (SD)</w:t>
            </w:r>
          </w:p>
        </w:tc>
        <w:tc>
          <w:tcPr>
            <w:tcW w:w="355" w:type="dxa"/>
            <w:tcBorders>
              <w:top w:val="single" w:sz="6" w:space="0" w:color="auto"/>
              <w:left w:val="single" w:sz="6" w:space="0" w:color="auto"/>
              <w:bottom w:val="single" w:sz="6" w:space="0" w:color="auto"/>
              <w:right w:val="single" w:sz="6" w:space="0" w:color="auto"/>
            </w:tcBorders>
          </w:tcPr>
          <w:p w14:paraId="3633C373" w14:textId="5AE06C4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DDC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C58A2BB" w14:textId="2EC4FC3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5F679B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24B427A1" w14:textId="51F6E4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2E6100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5A501955" w14:textId="1E6B817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8B60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9D3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874D4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B92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680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5769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46B9CC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55" w:type="dxa"/>
            <w:tcBorders>
              <w:top w:val="single" w:sz="6" w:space="0" w:color="auto"/>
              <w:left w:val="single" w:sz="6" w:space="0" w:color="auto"/>
              <w:bottom w:val="single" w:sz="6" w:space="0" w:color="auto"/>
              <w:right w:val="single" w:sz="6" w:space="0" w:color="auto"/>
            </w:tcBorders>
          </w:tcPr>
          <w:p w14:paraId="202D0A56" w14:textId="61A5442D"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C50DBAB" w14:textId="7DBF7D30"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1E97AAB3" w14:textId="416C130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BC7F996" w14:textId="4BD8D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DD2E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Anna af Sillén</w:t>
            </w:r>
            <w:r w:rsidR="00B8320F">
              <w:rPr>
                <w:snapToGrid w:val="0"/>
                <w:color w:val="000000"/>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8D73A45" w14:textId="1C3561D8"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738E327" w14:textId="673581BC"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3208E681" w14:textId="7D70B6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2152FF3" w14:textId="469887A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D9C64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55" w:type="dxa"/>
            <w:tcBorders>
              <w:top w:val="single" w:sz="6" w:space="0" w:color="auto"/>
              <w:left w:val="single" w:sz="6" w:space="0" w:color="auto"/>
              <w:bottom w:val="single" w:sz="6" w:space="0" w:color="auto"/>
              <w:right w:val="single" w:sz="6" w:space="0" w:color="auto"/>
            </w:tcBorders>
          </w:tcPr>
          <w:p w14:paraId="7EF91ABC" w14:textId="46F759BC"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6B1D73F" w14:textId="4C1EB173"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4"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45EE1583" w14:textId="59F79CB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092D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D4C9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55" w:type="dxa"/>
            <w:tcBorders>
              <w:top w:val="single" w:sz="6" w:space="0" w:color="auto"/>
              <w:left w:val="single" w:sz="6" w:space="0" w:color="auto"/>
              <w:bottom w:val="single" w:sz="6" w:space="0" w:color="auto"/>
              <w:right w:val="single" w:sz="6" w:space="0" w:color="auto"/>
            </w:tcBorders>
          </w:tcPr>
          <w:p w14:paraId="3B253F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DD5EA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2082CE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55" w:type="dxa"/>
            <w:tcBorders>
              <w:top w:val="single" w:sz="6" w:space="0" w:color="auto"/>
              <w:left w:val="single" w:sz="6" w:space="0" w:color="auto"/>
              <w:bottom w:val="single" w:sz="6" w:space="0" w:color="auto"/>
              <w:right w:val="single" w:sz="6" w:space="0" w:color="auto"/>
            </w:tcBorders>
          </w:tcPr>
          <w:p w14:paraId="0A695F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42557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71E1E1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0F9F1E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55" w:type="dxa"/>
            <w:tcBorders>
              <w:top w:val="single" w:sz="6" w:space="0" w:color="auto"/>
              <w:left w:val="single" w:sz="6" w:space="0" w:color="auto"/>
              <w:bottom w:val="single" w:sz="6" w:space="0" w:color="auto"/>
              <w:right w:val="single" w:sz="6" w:space="0" w:color="auto"/>
            </w:tcBorders>
          </w:tcPr>
          <w:p w14:paraId="6F38EB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6C0DF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86426B1"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332FB69E"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Mattias Eriksson Falk (SD)</w:t>
            </w:r>
          </w:p>
        </w:tc>
        <w:tc>
          <w:tcPr>
            <w:tcW w:w="355" w:type="dxa"/>
            <w:tcBorders>
              <w:top w:val="single" w:sz="6" w:space="0" w:color="auto"/>
              <w:left w:val="single" w:sz="6" w:space="0" w:color="auto"/>
              <w:bottom w:val="single" w:sz="6" w:space="0" w:color="auto"/>
              <w:right w:val="single" w:sz="6" w:space="0" w:color="auto"/>
            </w:tcBorders>
          </w:tcPr>
          <w:p w14:paraId="487D9E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ED2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30E56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5810DC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19DA8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0BC14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A6FE60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D9C6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A51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6C4E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EAEB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80A0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9F22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200EB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7"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64"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52"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57"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4"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14"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74A79C7E"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Erik Ottoson (M)</w:t>
            </w:r>
          </w:p>
        </w:tc>
        <w:tc>
          <w:tcPr>
            <w:tcW w:w="355"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7"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64"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52"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57"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4"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14"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55" w:type="dxa"/>
            <w:tcBorders>
              <w:top w:val="single" w:sz="6" w:space="0" w:color="auto"/>
              <w:left w:val="single" w:sz="6" w:space="0" w:color="auto"/>
              <w:bottom w:val="single" w:sz="6" w:space="0" w:color="auto"/>
              <w:right w:val="single" w:sz="6" w:space="0" w:color="auto"/>
            </w:tcBorders>
          </w:tcPr>
          <w:p w14:paraId="39F75129" w14:textId="1A3A58F7"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B7CBFF1" w14:textId="0ABEEA42"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2228019C" w14:textId="372EA9E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6F92BF33" w14:textId="5688B6F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975E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7CE189C8" w14:textId="6D7C5331"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736FB1DE" w14:textId="52B84567"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EE0BC0B" w14:textId="592D9B19"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6A7DF282" w14:textId="477752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6DE7281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5827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55" w:type="dxa"/>
            <w:tcBorders>
              <w:top w:val="single" w:sz="6" w:space="0" w:color="auto"/>
              <w:left w:val="single" w:sz="6" w:space="0" w:color="auto"/>
              <w:bottom w:val="single" w:sz="6" w:space="0" w:color="auto"/>
              <w:right w:val="single" w:sz="6" w:space="0" w:color="auto"/>
            </w:tcBorders>
          </w:tcPr>
          <w:p w14:paraId="0CE1085D" w14:textId="4B73C323"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3111289" w14:textId="45A405F8" w:rsidR="00B8320F"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77B55B5F" w14:textId="1B15D59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44F5E3BF" w14:textId="2C0D928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71B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783BC6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7DC52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45DEE0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67AF34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55"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55" w:type="dxa"/>
            <w:tcBorders>
              <w:top w:val="single" w:sz="6" w:space="0" w:color="auto"/>
              <w:left w:val="single" w:sz="6" w:space="0" w:color="auto"/>
              <w:bottom w:val="single" w:sz="6" w:space="0" w:color="auto"/>
              <w:right w:val="single" w:sz="6" w:space="0" w:color="auto"/>
            </w:tcBorders>
          </w:tcPr>
          <w:p w14:paraId="061783F3" w14:textId="7AB0315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808FB73" w14:textId="352C2C6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3FF6E54E" w14:textId="06C761B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32DB5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3F9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55"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3ABE1945" w14:textId="77777777" w:rsidR="00B8320F" w:rsidRDefault="00B8320F" w:rsidP="00FD0762">
            <w:pPr>
              <w:rPr>
                <w:sz w:val="20"/>
              </w:rPr>
            </w:pPr>
            <w:r w:rsidRPr="007E2968">
              <w:rPr>
                <w:sz w:val="20"/>
              </w:rPr>
              <w:t>Niels Paarup-Petersen (C)</w:t>
            </w:r>
          </w:p>
        </w:tc>
        <w:tc>
          <w:tcPr>
            <w:tcW w:w="355" w:type="dxa"/>
            <w:tcBorders>
              <w:top w:val="single" w:sz="6" w:space="0" w:color="auto"/>
              <w:left w:val="single" w:sz="6" w:space="0" w:color="auto"/>
              <w:bottom w:val="single" w:sz="6" w:space="0" w:color="auto"/>
              <w:right w:val="single" w:sz="6" w:space="0" w:color="auto"/>
            </w:tcBorders>
          </w:tcPr>
          <w:p w14:paraId="29DC2FBA" w14:textId="7B223FD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2114866" w14:textId="37E22E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345393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55" w:type="dxa"/>
            <w:tcBorders>
              <w:top w:val="single" w:sz="6" w:space="0" w:color="auto"/>
              <w:left w:val="single" w:sz="6" w:space="0" w:color="auto"/>
              <w:bottom w:val="single" w:sz="6" w:space="0" w:color="auto"/>
              <w:right w:val="single" w:sz="6" w:space="0" w:color="auto"/>
            </w:tcBorders>
          </w:tcPr>
          <w:p w14:paraId="32CA92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FB82F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262F85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F5E2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49543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790DBC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55"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55"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55" w:type="dxa"/>
            <w:tcBorders>
              <w:top w:val="single" w:sz="6" w:space="0" w:color="auto"/>
              <w:left w:val="single" w:sz="6" w:space="0" w:color="auto"/>
              <w:bottom w:val="single" w:sz="6" w:space="0" w:color="auto"/>
              <w:right w:val="single" w:sz="6" w:space="0" w:color="auto"/>
            </w:tcBorders>
          </w:tcPr>
          <w:p w14:paraId="10FABC52" w14:textId="2E70A0C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153A57D" w14:textId="5461290C"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7104DF0D" w14:textId="7E3DD2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5B993285"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C68FB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0920" w14:paraId="307DFB56" w14:textId="77777777" w:rsidTr="00440513">
        <w:tc>
          <w:tcPr>
            <w:tcW w:w="3359" w:type="dxa"/>
            <w:gridSpan w:val="2"/>
            <w:tcBorders>
              <w:top w:val="single" w:sz="6" w:space="0" w:color="auto"/>
              <w:left w:val="single" w:sz="6" w:space="0" w:color="auto"/>
              <w:bottom w:val="single" w:sz="6" w:space="0" w:color="auto"/>
              <w:right w:val="single" w:sz="6" w:space="0" w:color="auto"/>
            </w:tcBorders>
          </w:tcPr>
          <w:p w14:paraId="6080F279" w14:textId="057EDA2C" w:rsidR="005D0920" w:rsidRDefault="005D0920" w:rsidP="00FD0762">
            <w:pPr>
              <w:rPr>
                <w:sz w:val="20"/>
              </w:rPr>
            </w:pPr>
            <w:r>
              <w:rPr>
                <w:sz w:val="20"/>
              </w:rPr>
              <w:t xml:space="preserve">Anette </w:t>
            </w:r>
            <w:proofErr w:type="spellStart"/>
            <w:r>
              <w:rPr>
                <w:sz w:val="20"/>
              </w:rPr>
              <w:t>Rangdag</w:t>
            </w:r>
            <w:proofErr w:type="spellEnd"/>
            <w:r>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DE2FAC7" w14:textId="3311F387" w:rsidR="005D0920"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BB7093"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CDA676F" w14:textId="4085C68C" w:rsidR="005D0920" w:rsidRDefault="0044051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31BED15C"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52" w:type="dxa"/>
            <w:tcBorders>
              <w:top w:val="single" w:sz="6" w:space="0" w:color="auto"/>
              <w:left w:val="single" w:sz="6" w:space="0" w:color="auto"/>
              <w:bottom w:val="single" w:sz="6" w:space="0" w:color="auto"/>
              <w:right w:val="single" w:sz="6" w:space="0" w:color="auto"/>
            </w:tcBorders>
          </w:tcPr>
          <w:p w14:paraId="00728D91"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45ADB0AB"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35F646B"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9C2912"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E08D54"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9A97AC"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97840"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621"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28B285"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4055A3E9" w14:textId="77777777" w:rsidR="005D0920" w:rsidRDefault="005D092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FD0762">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416" w:type="dxa"/>
            <w:gridSpan w:val="15"/>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FD0762">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416" w:type="dxa"/>
            <w:gridSpan w:val="15"/>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1"/>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5DD1" w14:textId="77777777" w:rsidR="00196E22" w:rsidRDefault="00196E22" w:rsidP="002130F1">
      <w:r>
        <w:separator/>
      </w:r>
    </w:p>
  </w:endnote>
  <w:endnote w:type="continuationSeparator" w:id="0">
    <w:p w14:paraId="200FCD77" w14:textId="77777777" w:rsidR="00196E22" w:rsidRDefault="00196E22"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altName w:val="Calibri"/>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0491" w14:textId="77777777" w:rsidR="00196E22" w:rsidRDefault="00196E22" w:rsidP="002130F1">
      <w:r>
        <w:separator/>
      </w:r>
    </w:p>
  </w:footnote>
  <w:footnote w:type="continuationSeparator" w:id="0">
    <w:p w14:paraId="7A101E30" w14:textId="77777777" w:rsidR="00196E22" w:rsidRDefault="00196E22"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3D74518F"/>
    <w:multiLevelType w:val="hybridMultilevel"/>
    <w:tmpl w:val="4A3C6BAA"/>
    <w:lvl w:ilvl="0" w:tplc="0FF0CA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30"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B02F24"/>
    <w:multiLevelType w:val="hybridMultilevel"/>
    <w:tmpl w:val="2578DC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9706C"/>
    <w:multiLevelType w:val="hybridMultilevel"/>
    <w:tmpl w:val="A4140F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
  </w:num>
  <w:num w:numId="3">
    <w:abstractNumId w:val="2"/>
  </w:num>
  <w:num w:numId="4">
    <w:abstractNumId w:val="21"/>
  </w:num>
  <w:num w:numId="5">
    <w:abstractNumId w:val="3"/>
  </w:num>
  <w:num w:numId="6">
    <w:abstractNumId w:val="16"/>
  </w:num>
  <w:num w:numId="7">
    <w:abstractNumId w:val="10"/>
  </w:num>
  <w:num w:numId="8">
    <w:abstractNumId w:val="35"/>
  </w:num>
  <w:num w:numId="9">
    <w:abstractNumId w:val="15"/>
  </w:num>
  <w:num w:numId="10">
    <w:abstractNumId w:val="32"/>
  </w:num>
  <w:num w:numId="11">
    <w:abstractNumId w:val="46"/>
  </w:num>
  <w:num w:numId="12">
    <w:abstractNumId w:val="41"/>
  </w:num>
  <w:num w:numId="13">
    <w:abstractNumId w:val="49"/>
  </w:num>
  <w:num w:numId="14">
    <w:abstractNumId w:val="5"/>
  </w:num>
  <w:num w:numId="15">
    <w:abstractNumId w:val="47"/>
  </w:num>
  <w:num w:numId="16">
    <w:abstractNumId w:val="20"/>
  </w:num>
  <w:num w:numId="17">
    <w:abstractNumId w:val="36"/>
  </w:num>
  <w:num w:numId="18">
    <w:abstractNumId w:val="43"/>
  </w:num>
  <w:num w:numId="19">
    <w:abstractNumId w:val="26"/>
  </w:num>
  <w:num w:numId="20">
    <w:abstractNumId w:val="0"/>
  </w:num>
  <w:num w:numId="21">
    <w:abstractNumId w:val="9"/>
  </w:num>
  <w:num w:numId="22">
    <w:abstractNumId w:val="37"/>
  </w:num>
  <w:num w:numId="23">
    <w:abstractNumId w:val="22"/>
  </w:num>
  <w:num w:numId="24">
    <w:abstractNumId w:val="40"/>
  </w:num>
  <w:num w:numId="25">
    <w:abstractNumId w:val="13"/>
  </w:num>
  <w:num w:numId="26">
    <w:abstractNumId w:val="28"/>
  </w:num>
  <w:num w:numId="27">
    <w:abstractNumId w:val="42"/>
  </w:num>
  <w:num w:numId="28">
    <w:abstractNumId w:val="11"/>
  </w:num>
  <w:num w:numId="29">
    <w:abstractNumId w:val="19"/>
  </w:num>
  <w:num w:numId="30">
    <w:abstractNumId w:val="44"/>
  </w:num>
  <w:num w:numId="31">
    <w:abstractNumId w:val="45"/>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9"/>
  </w:num>
  <w:num w:numId="39">
    <w:abstractNumId w:val="27"/>
  </w:num>
  <w:num w:numId="40">
    <w:abstractNumId w:val="38"/>
  </w:num>
  <w:num w:numId="41">
    <w:abstractNumId w:val="25"/>
  </w:num>
  <w:num w:numId="42">
    <w:abstractNumId w:val="17"/>
  </w:num>
  <w:num w:numId="43">
    <w:abstractNumId w:val="34"/>
  </w:num>
  <w:num w:numId="44">
    <w:abstractNumId w:val="12"/>
  </w:num>
  <w:num w:numId="45">
    <w:abstractNumId w:val="8"/>
  </w:num>
  <w:num w:numId="46">
    <w:abstractNumId w:val="30"/>
  </w:num>
  <w:num w:numId="47">
    <w:abstractNumId w:val="24"/>
  </w:num>
  <w:num w:numId="48">
    <w:abstractNumId w:val="48"/>
  </w:num>
  <w:num w:numId="49">
    <w:abstractNumId w:val="3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80A73"/>
    <w:rsid w:val="00080E7B"/>
    <w:rsid w:val="000816C5"/>
    <w:rsid w:val="00083B5C"/>
    <w:rsid w:val="00084198"/>
    <w:rsid w:val="00084B36"/>
    <w:rsid w:val="00085A2B"/>
    <w:rsid w:val="000861A8"/>
    <w:rsid w:val="0008637D"/>
    <w:rsid w:val="000915AB"/>
    <w:rsid w:val="00092337"/>
    <w:rsid w:val="000941E8"/>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416D"/>
    <w:rsid w:val="00175E5F"/>
    <w:rsid w:val="00176050"/>
    <w:rsid w:val="0018013C"/>
    <w:rsid w:val="00187C01"/>
    <w:rsid w:val="00187D30"/>
    <w:rsid w:val="0019256F"/>
    <w:rsid w:val="00192F1B"/>
    <w:rsid w:val="001933CF"/>
    <w:rsid w:val="00193522"/>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134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383"/>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6607"/>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858"/>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C1E"/>
    <w:rsid w:val="002C5A9C"/>
    <w:rsid w:val="002C5B13"/>
    <w:rsid w:val="002C7948"/>
    <w:rsid w:val="002C7F50"/>
    <w:rsid w:val="002D0CCA"/>
    <w:rsid w:val="002D0FA3"/>
    <w:rsid w:val="002D1551"/>
    <w:rsid w:val="002D1DB8"/>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47C08"/>
    <w:rsid w:val="003504FF"/>
    <w:rsid w:val="0035111E"/>
    <w:rsid w:val="00351127"/>
    <w:rsid w:val="00351535"/>
    <w:rsid w:val="00351EE5"/>
    <w:rsid w:val="0035348E"/>
    <w:rsid w:val="00353DB2"/>
    <w:rsid w:val="00353DE9"/>
    <w:rsid w:val="00354753"/>
    <w:rsid w:val="00355D1B"/>
    <w:rsid w:val="00360156"/>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6908"/>
    <w:rsid w:val="00381B13"/>
    <w:rsid w:val="00383280"/>
    <w:rsid w:val="00384E0C"/>
    <w:rsid w:val="00386485"/>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1F8B"/>
    <w:rsid w:val="003D2D24"/>
    <w:rsid w:val="003D32DA"/>
    <w:rsid w:val="003D39CC"/>
    <w:rsid w:val="003D5258"/>
    <w:rsid w:val="003D581F"/>
    <w:rsid w:val="003D5D35"/>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E2A"/>
    <w:rsid w:val="004250D2"/>
    <w:rsid w:val="004252B7"/>
    <w:rsid w:val="004259BF"/>
    <w:rsid w:val="00426377"/>
    <w:rsid w:val="00426A43"/>
    <w:rsid w:val="00427039"/>
    <w:rsid w:val="0042756E"/>
    <w:rsid w:val="004277B3"/>
    <w:rsid w:val="0042782B"/>
    <w:rsid w:val="00427FFB"/>
    <w:rsid w:val="004316D5"/>
    <w:rsid w:val="00433281"/>
    <w:rsid w:val="00435433"/>
    <w:rsid w:val="0043545F"/>
    <w:rsid w:val="00440513"/>
    <w:rsid w:val="00440A71"/>
    <w:rsid w:val="00441C92"/>
    <w:rsid w:val="00441F92"/>
    <w:rsid w:val="00443033"/>
    <w:rsid w:val="00443A3C"/>
    <w:rsid w:val="004446A8"/>
    <w:rsid w:val="00444C32"/>
    <w:rsid w:val="0044542E"/>
    <w:rsid w:val="004531D2"/>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D057E"/>
    <w:rsid w:val="004D078A"/>
    <w:rsid w:val="004D09A0"/>
    <w:rsid w:val="004D13A9"/>
    <w:rsid w:val="004D15DF"/>
    <w:rsid w:val="004D18B4"/>
    <w:rsid w:val="004D211B"/>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212"/>
    <w:rsid w:val="004E3CA8"/>
    <w:rsid w:val="004E4B8A"/>
    <w:rsid w:val="004E7F67"/>
    <w:rsid w:val="004F43CB"/>
    <w:rsid w:val="004F4AC8"/>
    <w:rsid w:val="004F6070"/>
    <w:rsid w:val="0050042C"/>
    <w:rsid w:val="00500D6F"/>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4EC1"/>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0C42"/>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2F0A"/>
    <w:rsid w:val="005C2F7A"/>
    <w:rsid w:val="005C3B1D"/>
    <w:rsid w:val="005C3E54"/>
    <w:rsid w:val="005C3EC5"/>
    <w:rsid w:val="005C4C7B"/>
    <w:rsid w:val="005C593E"/>
    <w:rsid w:val="005C73CC"/>
    <w:rsid w:val="005D01ED"/>
    <w:rsid w:val="005D0920"/>
    <w:rsid w:val="005D24C3"/>
    <w:rsid w:val="005D378B"/>
    <w:rsid w:val="005D608A"/>
    <w:rsid w:val="005D670F"/>
    <w:rsid w:val="005D75D5"/>
    <w:rsid w:val="005D7E97"/>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4293"/>
    <w:rsid w:val="00604400"/>
    <w:rsid w:val="0060455C"/>
    <w:rsid w:val="00605232"/>
    <w:rsid w:val="006055E9"/>
    <w:rsid w:val="0060686F"/>
    <w:rsid w:val="0060694D"/>
    <w:rsid w:val="00607C3C"/>
    <w:rsid w:val="00611A84"/>
    <w:rsid w:val="00612E31"/>
    <w:rsid w:val="00613548"/>
    <w:rsid w:val="00614FC8"/>
    <w:rsid w:val="0061673D"/>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534"/>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37"/>
    <w:rsid w:val="006902CA"/>
    <w:rsid w:val="0069055B"/>
    <w:rsid w:val="00690981"/>
    <w:rsid w:val="0069335E"/>
    <w:rsid w:val="00693DC7"/>
    <w:rsid w:val="00696210"/>
    <w:rsid w:val="00696516"/>
    <w:rsid w:val="00696F59"/>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77E1"/>
    <w:rsid w:val="006C1585"/>
    <w:rsid w:val="006C17F9"/>
    <w:rsid w:val="006C3067"/>
    <w:rsid w:val="006C4B9F"/>
    <w:rsid w:val="006C5854"/>
    <w:rsid w:val="006C68DD"/>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5833"/>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26F"/>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ACA"/>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030A"/>
    <w:rsid w:val="008111BD"/>
    <w:rsid w:val="0081157E"/>
    <w:rsid w:val="008142A7"/>
    <w:rsid w:val="008145C4"/>
    <w:rsid w:val="00814CD5"/>
    <w:rsid w:val="008153DC"/>
    <w:rsid w:val="008224FD"/>
    <w:rsid w:val="00823636"/>
    <w:rsid w:val="00823B30"/>
    <w:rsid w:val="008248B5"/>
    <w:rsid w:val="008250FA"/>
    <w:rsid w:val="00825675"/>
    <w:rsid w:val="00825DB9"/>
    <w:rsid w:val="008268A4"/>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81"/>
    <w:rsid w:val="008A3BD7"/>
    <w:rsid w:val="008A4611"/>
    <w:rsid w:val="008B05BD"/>
    <w:rsid w:val="008B1339"/>
    <w:rsid w:val="008B225D"/>
    <w:rsid w:val="008B2286"/>
    <w:rsid w:val="008B556E"/>
    <w:rsid w:val="008B72D2"/>
    <w:rsid w:val="008B734D"/>
    <w:rsid w:val="008B7A6E"/>
    <w:rsid w:val="008B7CDE"/>
    <w:rsid w:val="008C009F"/>
    <w:rsid w:val="008C0B0C"/>
    <w:rsid w:val="008C1D6D"/>
    <w:rsid w:val="008C355D"/>
    <w:rsid w:val="008C4947"/>
    <w:rsid w:val="008C4FD1"/>
    <w:rsid w:val="008C5385"/>
    <w:rsid w:val="008C57B9"/>
    <w:rsid w:val="008C6CC5"/>
    <w:rsid w:val="008D0376"/>
    <w:rsid w:val="008D058C"/>
    <w:rsid w:val="008D1AA3"/>
    <w:rsid w:val="008D1B1B"/>
    <w:rsid w:val="008D1BD7"/>
    <w:rsid w:val="008D2343"/>
    <w:rsid w:val="008D2698"/>
    <w:rsid w:val="008D3FB5"/>
    <w:rsid w:val="008D52DA"/>
    <w:rsid w:val="008D5685"/>
    <w:rsid w:val="008D649E"/>
    <w:rsid w:val="008D6FE2"/>
    <w:rsid w:val="008D7422"/>
    <w:rsid w:val="008D7A19"/>
    <w:rsid w:val="008E2702"/>
    <w:rsid w:val="008E3BA3"/>
    <w:rsid w:val="008E4900"/>
    <w:rsid w:val="008E6577"/>
    <w:rsid w:val="008E6CAF"/>
    <w:rsid w:val="008E77C4"/>
    <w:rsid w:val="008F0875"/>
    <w:rsid w:val="008F0C2C"/>
    <w:rsid w:val="008F0C8C"/>
    <w:rsid w:val="008F0F47"/>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CC5"/>
    <w:rsid w:val="00934E8C"/>
    <w:rsid w:val="00935D95"/>
    <w:rsid w:val="009379EF"/>
    <w:rsid w:val="009401AB"/>
    <w:rsid w:val="00940910"/>
    <w:rsid w:val="009425AD"/>
    <w:rsid w:val="009435A4"/>
    <w:rsid w:val="00944EFE"/>
    <w:rsid w:val="00945F30"/>
    <w:rsid w:val="00945FAF"/>
    <w:rsid w:val="0095093C"/>
    <w:rsid w:val="00951C9C"/>
    <w:rsid w:val="0095262A"/>
    <w:rsid w:val="00952C72"/>
    <w:rsid w:val="00952F58"/>
    <w:rsid w:val="009538FE"/>
    <w:rsid w:val="009541B3"/>
    <w:rsid w:val="0095434B"/>
    <w:rsid w:val="00956A74"/>
    <w:rsid w:val="009578C3"/>
    <w:rsid w:val="00957C1F"/>
    <w:rsid w:val="00957C21"/>
    <w:rsid w:val="00957FEC"/>
    <w:rsid w:val="009614A7"/>
    <w:rsid w:val="009639F9"/>
    <w:rsid w:val="00964FE8"/>
    <w:rsid w:val="00965288"/>
    <w:rsid w:val="00965875"/>
    <w:rsid w:val="00965E43"/>
    <w:rsid w:val="00966DFD"/>
    <w:rsid w:val="009678A0"/>
    <w:rsid w:val="00970071"/>
    <w:rsid w:val="009706AF"/>
    <w:rsid w:val="00972FB0"/>
    <w:rsid w:val="009738D1"/>
    <w:rsid w:val="0097401D"/>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9649B"/>
    <w:rsid w:val="009A1763"/>
    <w:rsid w:val="009A1A9C"/>
    <w:rsid w:val="009A1BFD"/>
    <w:rsid w:val="009A26AA"/>
    <w:rsid w:val="009A60B5"/>
    <w:rsid w:val="009A62F0"/>
    <w:rsid w:val="009A62F8"/>
    <w:rsid w:val="009B0293"/>
    <w:rsid w:val="009B0587"/>
    <w:rsid w:val="009B23C1"/>
    <w:rsid w:val="009B27B8"/>
    <w:rsid w:val="009B3D3D"/>
    <w:rsid w:val="009B4288"/>
    <w:rsid w:val="009B6378"/>
    <w:rsid w:val="009B6438"/>
    <w:rsid w:val="009B6981"/>
    <w:rsid w:val="009C0D35"/>
    <w:rsid w:val="009C2E2A"/>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699"/>
    <w:rsid w:val="009E271A"/>
    <w:rsid w:val="009E27B7"/>
    <w:rsid w:val="009E3A92"/>
    <w:rsid w:val="009E3D5F"/>
    <w:rsid w:val="009E3DED"/>
    <w:rsid w:val="009E4154"/>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6186"/>
    <w:rsid w:val="00A07620"/>
    <w:rsid w:val="00A126E8"/>
    <w:rsid w:val="00A1355C"/>
    <w:rsid w:val="00A13700"/>
    <w:rsid w:val="00A139B7"/>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1ED"/>
    <w:rsid w:val="00A7078E"/>
    <w:rsid w:val="00A718BD"/>
    <w:rsid w:val="00A7277C"/>
    <w:rsid w:val="00A737ED"/>
    <w:rsid w:val="00A74486"/>
    <w:rsid w:val="00A7449E"/>
    <w:rsid w:val="00A74A3A"/>
    <w:rsid w:val="00A75E66"/>
    <w:rsid w:val="00A76108"/>
    <w:rsid w:val="00A769E6"/>
    <w:rsid w:val="00A76AD4"/>
    <w:rsid w:val="00A81062"/>
    <w:rsid w:val="00A835DD"/>
    <w:rsid w:val="00A83CAF"/>
    <w:rsid w:val="00A8463C"/>
    <w:rsid w:val="00A8693F"/>
    <w:rsid w:val="00A87973"/>
    <w:rsid w:val="00A903B6"/>
    <w:rsid w:val="00A90913"/>
    <w:rsid w:val="00A91108"/>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5E3"/>
    <w:rsid w:val="00AC76E0"/>
    <w:rsid w:val="00AC7B3A"/>
    <w:rsid w:val="00AC7F49"/>
    <w:rsid w:val="00AD0048"/>
    <w:rsid w:val="00AD05B4"/>
    <w:rsid w:val="00AD2C9F"/>
    <w:rsid w:val="00AD355C"/>
    <w:rsid w:val="00AD5CC2"/>
    <w:rsid w:val="00AD5FE5"/>
    <w:rsid w:val="00AD64E6"/>
    <w:rsid w:val="00AE2211"/>
    <w:rsid w:val="00AE2321"/>
    <w:rsid w:val="00AE239C"/>
    <w:rsid w:val="00AE258C"/>
    <w:rsid w:val="00AE3FBE"/>
    <w:rsid w:val="00AE47E3"/>
    <w:rsid w:val="00AE48B3"/>
    <w:rsid w:val="00AE4E93"/>
    <w:rsid w:val="00AE6084"/>
    <w:rsid w:val="00AE6147"/>
    <w:rsid w:val="00AE79D3"/>
    <w:rsid w:val="00AE7E1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709"/>
    <w:rsid w:val="00B2197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C7D45"/>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5E43"/>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3BA0"/>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93E"/>
    <w:rsid w:val="00CF2A50"/>
    <w:rsid w:val="00CF4245"/>
    <w:rsid w:val="00CF47DC"/>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75A"/>
    <w:rsid w:val="00D16D31"/>
    <w:rsid w:val="00D17389"/>
    <w:rsid w:val="00D20968"/>
    <w:rsid w:val="00D255F7"/>
    <w:rsid w:val="00D26D90"/>
    <w:rsid w:val="00D273B9"/>
    <w:rsid w:val="00D27745"/>
    <w:rsid w:val="00D30B3B"/>
    <w:rsid w:val="00D31BB3"/>
    <w:rsid w:val="00D329FA"/>
    <w:rsid w:val="00D33744"/>
    <w:rsid w:val="00D3400D"/>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A3A"/>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652"/>
    <w:rsid w:val="00E94C32"/>
    <w:rsid w:val="00E9545E"/>
    <w:rsid w:val="00E96262"/>
    <w:rsid w:val="00E9631D"/>
    <w:rsid w:val="00EA0C08"/>
    <w:rsid w:val="00EA1031"/>
    <w:rsid w:val="00EA1822"/>
    <w:rsid w:val="00EA182F"/>
    <w:rsid w:val="00EA20F7"/>
    <w:rsid w:val="00EA2D27"/>
    <w:rsid w:val="00EA4307"/>
    <w:rsid w:val="00EA5038"/>
    <w:rsid w:val="00EA5B50"/>
    <w:rsid w:val="00EA6ACA"/>
    <w:rsid w:val="00EA6DA0"/>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D0585"/>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C7"/>
    <w:rsid w:val="00EF1FBC"/>
    <w:rsid w:val="00EF2CF4"/>
    <w:rsid w:val="00EF35A1"/>
    <w:rsid w:val="00EF49D1"/>
    <w:rsid w:val="00EF5215"/>
    <w:rsid w:val="00EF5D18"/>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58ED"/>
    <w:rsid w:val="00F262D2"/>
    <w:rsid w:val="00F266BB"/>
    <w:rsid w:val="00F26BFF"/>
    <w:rsid w:val="00F2706A"/>
    <w:rsid w:val="00F30136"/>
    <w:rsid w:val="00F30C62"/>
    <w:rsid w:val="00F30DD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5F5C"/>
    <w:rsid w:val="00F572EB"/>
    <w:rsid w:val="00F57734"/>
    <w:rsid w:val="00F57885"/>
    <w:rsid w:val="00F602BF"/>
    <w:rsid w:val="00F605EB"/>
    <w:rsid w:val="00F61602"/>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498C"/>
    <w:rsid w:val="00F8661E"/>
    <w:rsid w:val="00F91D45"/>
    <w:rsid w:val="00F94973"/>
    <w:rsid w:val="00F95F3F"/>
    <w:rsid w:val="00F97547"/>
    <w:rsid w:val="00FA0259"/>
    <w:rsid w:val="00FA0CA1"/>
    <w:rsid w:val="00FA3BEA"/>
    <w:rsid w:val="00FA52A5"/>
    <w:rsid w:val="00FA5D1B"/>
    <w:rsid w:val="00FA6778"/>
    <w:rsid w:val="00FA6F32"/>
    <w:rsid w:val="00FB08AE"/>
    <w:rsid w:val="00FB0C27"/>
    <w:rsid w:val="00FB1442"/>
    <w:rsid w:val="00FB1B12"/>
    <w:rsid w:val="00FB1F94"/>
    <w:rsid w:val="00FB2813"/>
    <w:rsid w:val="00FB40C0"/>
    <w:rsid w:val="00FB4B61"/>
    <w:rsid w:val="00FB4D72"/>
    <w:rsid w:val="00FB6F20"/>
    <w:rsid w:val="00FB731E"/>
    <w:rsid w:val="00FB744F"/>
    <w:rsid w:val="00FB7D91"/>
    <w:rsid w:val="00FB7DC5"/>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418D"/>
    <w:rsid w:val="00FE58C1"/>
    <w:rsid w:val="00FE7E2D"/>
    <w:rsid w:val="00FE7ED5"/>
    <w:rsid w:val="00FF0198"/>
    <w:rsid w:val="00FF0520"/>
    <w:rsid w:val="00FF16FC"/>
    <w:rsid w:val="00FF17DE"/>
    <w:rsid w:val="00FF29CE"/>
    <w:rsid w:val="00FF2D44"/>
    <w:rsid w:val="00FF355E"/>
    <w:rsid w:val="00FF3A01"/>
    <w:rsid w:val="00FF4284"/>
    <w:rsid w:val="00FF6E22"/>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1969</Words>
  <Characters>13261</Characters>
  <Application>Microsoft Office Word</Application>
  <DocSecurity>0</DocSecurity>
  <Lines>1205</Lines>
  <Paragraphs>227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11</cp:revision>
  <cp:lastPrinted>2023-02-09T13:15:00Z</cp:lastPrinted>
  <dcterms:created xsi:type="dcterms:W3CDTF">2022-11-24T10:44:00Z</dcterms:created>
  <dcterms:modified xsi:type="dcterms:W3CDTF">2023-02-09T13:15:00Z</dcterms:modified>
</cp:coreProperties>
</file>