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0414E" w14:textId="77777777" w:rsidR="00FB32B9" w:rsidRDefault="008D0098" w:rsidP="00FB32B9">
      <w:pPr>
        <w:pStyle w:val="UDrubrik"/>
        <w:tabs>
          <w:tab w:val="left" w:pos="1701"/>
          <w:tab w:val="left" w:pos="1985"/>
        </w:tabs>
        <w:rPr>
          <w:rFonts w:cs="Arial"/>
          <w:sz w:val="28"/>
        </w:rPr>
      </w:pPr>
    </w:p>
    <w:p w14:paraId="1BB0414F" w14:textId="77777777" w:rsidR="00FB32B9" w:rsidRDefault="008D0098" w:rsidP="00FB32B9">
      <w:pPr>
        <w:pStyle w:val="UDrubrik"/>
        <w:tabs>
          <w:tab w:val="left" w:pos="1701"/>
          <w:tab w:val="left" w:pos="1985"/>
        </w:tabs>
        <w:rPr>
          <w:rFonts w:cs="Arial"/>
          <w:sz w:val="28"/>
        </w:rPr>
      </w:pPr>
    </w:p>
    <w:p w14:paraId="1BB04150" w14:textId="77777777" w:rsidR="00FB32B9" w:rsidRDefault="008D0098" w:rsidP="00FB32B9">
      <w:pPr>
        <w:pStyle w:val="UDrubrik"/>
        <w:tabs>
          <w:tab w:val="left" w:pos="1701"/>
          <w:tab w:val="left" w:pos="1985"/>
        </w:tabs>
        <w:rPr>
          <w:rFonts w:cs="Arial"/>
          <w:sz w:val="28"/>
        </w:rPr>
      </w:pPr>
    </w:p>
    <w:p w14:paraId="1BB04151" w14:textId="77777777" w:rsidR="00FB32B9" w:rsidRDefault="008D0098" w:rsidP="00FB32B9">
      <w:pPr>
        <w:pStyle w:val="UDrubrik"/>
        <w:tabs>
          <w:tab w:val="left" w:pos="1701"/>
          <w:tab w:val="left" w:pos="1985"/>
        </w:tabs>
        <w:rPr>
          <w:rFonts w:cs="Arial"/>
          <w:sz w:val="28"/>
        </w:rPr>
      </w:pPr>
    </w:p>
    <w:p w14:paraId="1BB04152" w14:textId="1AE284C1" w:rsidR="00FB32B9" w:rsidRDefault="006C0811" w:rsidP="00FB32B9">
      <w:pPr>
        <w:pStyle w:val="UDrubrik"/>
        <w:tabs>
          <w:tab w:val="left" w:pos="1701"/>
          <w:tab w:val="left" w:pos="1985"/>
        </w:tabs>
        <w:rPr>
          <w:rFonts w:cs="Arial"/>
          <w:sz w:val="28"/>
        </w:rPr>
      </w:pPr>
      <w:r>
        <w:rPr>
          <w:rFonts w:cs="Arial"/>
          <w:sz w:val="28"/>
        </w:rPr>
        <w:t>Troliga A-punkter inför kommande rådsmöten som förväntas godkännas vid Coreper I den 20 april 2016.</w:t>
      </w:r>
    </w:p>
    <w:p w14:paraId="1BB04153" w14:textId="77777777" w:rsidR="00FB32B9" w:rsidRDefault="008D0098" w:rsidP="00FB32B9">
      <w:pPr>
        <w:pStyle w:val="Brdtext"/>
      </w:pPr>
    </w:p>
    <w:p w14:paraId="1BB04154" w14:textId="1893B0AB" w:rsidR="00FB32B9" w:rsidRDefault="006C0811" w:rsidP="00FB32B9">
      <w:pPr>
        <w:pStyle w:val="Brdtext"/>
      </w:pPr>
      <w:r>
        <w:t>Överlämnas för skriftligt samråd till EU-nämnden torsdag</w:t>
      </w:r>
      <w:r w:rsidR="008D0098">
        <w:t>en</w:t>
      </w:r>
      <w:bookmarkStart w:id="0" w:name="_GoBack"/>
      <w:bookmarkEnd w:id="0"/>
      <w:r>
        <w:t xml:space="preserve"> den 21 april, kl.09.00.</w:t>
      </w:r>
    </w:p>
    <w:p w14:paraId="1BB04155" w14:textId="77777777" w:rsidR="00FB32B9" w:rsidRDefault="006C081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BB04156" w14:textId="77777777" w:rsidR="00D957FB" w:rsidRPr="00283DF3" w:rsidRDefault="006C0811">
          <w:pPr>
            <w:pStyle w:val="Innehllsfrteckningsrubrik"/>
            <w:rPr>
              <w:color w:val="auto"/>
              <w:lang w:val="sv-SE"/>
            </w:rPr>
          </w:pPr>
          <w:r w:rsidRPr="00283DF3">
            <w:rPr>
              <w:color w:val="auto"/>
              <w:lang w:val="sv-SE"/>
            </w:rPr>
            <w:t>Innehållsförteckning</w:t>
          </w:r>
        </w:p>
        <w:p w14:paraId="1BB04157" w14:textId="77777777" w:rsidR="00DA7250" w:rsidRPr="00283DF3" w:rsidRDefault="008D0098" w:rsidP="00DA7250">
          <w:pPr>
            <w:rPr>
              <w:lang w:eastAsia="ja-JP"/>
            </w:rPr>
          </w:pPr>
        </w:p>
        <w:p w14:paraId="2E14758C" w14:textId="77777777" w:rsidR="006C0811" w:rsidRDefault="006C081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8838487" w:history="1">
            <w:r w:rsidRPr="004F5404">
              <w:rPr>
                <w:rStyle w:val="Hyperlnk"/>
                <w:noProof/>
              </w:rPr>
              <w:t>1.</w:t>
            </w:r>
            <w:r>
              <w:rPr>
                <w:rFonts w:asciiTheme="minorHAnsi" w:eastAsiaTheme="minorEastAsia" w:hAnsiTheme="minorHAnsi" w:cstheme="minorBidi"/>
                <w:noProof/>
                <w:lang w:eastAsia="sv-SE"/>
              </w:rPr>
              <w:tab/>
            </w:r>
            <w:r w:rsidRPr="004F5404">
              <w:rPr>
                <w:rStyle w:val="Hyperl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_Toc448838487 \h </w:instrText>
            </w:r>
            <w:r>
              <w:rPr>
                <w:noProof/>
                <w:webHidden/>
              </w:rPr>
            </w:r>
            <w:r>
              <w:rPr>
                <w:noProof/>
                <w:webHidden/>
              </w:rPr>
              <w:fldChar w:fldCharType="separate"/>
            </w:r>
            <w:r>
              <w:rPr>
                <w:noProof/>
                <w:webHidden/>
              </w:rPr>
              <w:t>3</w:t>
            </w:r>
            <w:r>
              <w:rPr>
                <w:noProof/>
                <w:webHidden/>
              </w:rPr>
              <w:fldChar w:fldCharType="end"/>
            </w:r>
          </w:hyperlink>
        </w:p>
        <w:p w14:paraId="61EE4237"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88" w:history="1">
            <w:r w:rsidR="006C0811" w:rsidRPr="004F5404">
              <w:rPr>
                <w:rStyle w:val="Hyperlnk"/>
                <w:noProof/>
              </w:rPr>
              <w:t>2.</w:t>
            </w:r>
            <w:r w:rsidR="006C0811">
              <w:rPr>
                <w:rFonts w:asciiTheme="minorHAnsi" w:eastAsiaTheme="minorEastAsia" w:hAnsiTheme="minorHAnsi" w:cstheme="minorBidi"/>
                <w:noProof/>
                <w:lang w:eastAsia="sv-SE"/>
              </w:rPr>
              <w:tab/>
            </w:r>
            <w:r w:rsidR="006C0811" w:rsidRPr="004F5404">
              <w:rPr>
                <w:rStyle w:val="Hyperlnk"/>
                <w:noProof/>
              </w:rPr>
              <w:t>Case before the Court of Justice Case C-365/15 (Wortmann-Hauptzollamt Bielefeld) Preliminary ruling - Article 241 of Regulation no 2913/92 of the Council of 12 October 1992 (Community Customs Code)</w:t>
            </w:r>
            <w:r w:rsidR="006C0811">
              <w:rPr>
                <w:noProof/>
                <w:webHidden/>
              </w:rPr>
              <w:tab/>
            </w:r>
            <w:r w:rsidR="006C0811">
              <w:rPr>
                <w:noProof/>
                <w:webHidden/>
              </w:rPr>
              <w:fldChar w:fldCharType="begin"/>
            </w:r>
            <w:r w:rsidR="006C0811">
              <w:rPr>
                <w:noProof/>
                <w:webHidden/>
              </w:rPr>
              <w:instrText xml:space="preserve"> PAGEREF _Toc448838488 \h </w:instrText>
            </w:r>
            <w:r w:rsidR="006C0811">
              <w:rPr>
                <w:noProof/>
                <w:webHidden/>
              </w:rPr>
            </w:r>
            <w:r w:rsidR="006C0811">
              <w:rPr>
                <w:noProof/>
                <w:webHidden/>
              </w:rPr>
              <w:fldChar w:fldCharType="separate"/>
            </w:r>
            <w:r w:rsidR="006C0811">
              <w:rPr>
                <w:noProof/>
                <w:webHidden/>
              </w:rPr>
              <w:t>3</w:t>
            </w:r>
            <w:r w:rsidR="006C0811">
              <w:rPr>
                <w:noProof/>
                <w:webHidden/>
              </w:rPr>
              <w:fldChar w:fldCharType="end"/>
            </w:r>
          </w:hyperlink>
        </w:p>
        <w:p w14:paraId="0C6F2754"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89" w:history="1">
            <w:r w:rsidR="006C0811" w:rsidRPr="004F5404">
              <w:rPr>
                <w:rStyle w:val="Hyperlnk"/>
                <w:noProof/>
              </w:rPr>
              <w:t>3.</w:t>
            </w:r>
            <w:r w:rsidR="006C0811">
              <w:rPr>
                <w:rFonts w:asciiTheme="minorHAnsi" w:eastAsiaTheme="minorEastAsia" w:hAnsiTheme="minorHAnsi" w:cstheme="minorBidi"/>
                <w:noProof/>
                <w:lang w:eastAsia="sv-SE"/>
              </w:rPr>
              <w:tab/>
            </w:r>
            <w:r w:rsidR="006C0811" w:rsidRPr="004F5404">
              <w:rPr>
                <w:rStyle w:val="Hyperlnk"/>
                <w:noProof/>
              </w:rPr>
              <w:t>Commission Regulation (EU) …/… of XXX amending Annex I to Regulation (EC) No 1334/2008 of the European Parliament and of the Council as regards certain flavouring substances from a group related with an alpha beta unsaturation structure</w:t>
            </w:r>
            <w:r w:rsidR="006C0811">
              <w:rPr>
                <w:noProof/>
                <w:webHidden/>
              </w:rPr>
              <w:tab/>
            </w:r>
            <w:r w:rsidR="006C0811">
              <w:rPr>
                <w:noProof/>
                <w:webHidden/>
              </w:rPr>
              <w:fldChar w:fldCharType="begin"/>
            </w:r>
            <w:r w:rsidR="006C0811">
              <w:rPr>
                <w:noProof/>
                <w:webHidden/>
              </w:rPr>
              <w:instrText xml:space="preserve"> PAGEREF _Toc448838489 \h </w:instrText>
            </w:r>
            <w:r w:rsidR="006C0811">
              <w:rPr>
                <w:noProof/>
                <w:webHidden/>
              </w:rPr>
            </w:r>
            <w:r w:rsidR="006C0811">
              <w:rPr>
                <w:noProof/>
                <w:webHidden/>
              </w:rPr>
              <w:fldChar w:fldCharType="separate"/>
            </w:r>
            <w:r w:rsidR="006C0811">
              <w:rPr>
                <w:noProof/>
                <w:webHidden/>
              </w:rPr>
              <w:t>4</w:t>
            </w:r>
            <w:r w:rsidR="006C0811">
              <w:rPr>
                <w:noProof/>
                <w:webHidden/>
              </w:rPr>
              <w:fldChar w:fldCharType="end"/>
            </w:r>
          </w:hyperlink>
        </w:p>
        <w:p w14:paraId="1F4471D9"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90" w:history="1">
            <w:r w:rsidR="006C0811" w:rsidRPr="004F5404">
              <w:rPr>
                <w:rStyle w:val="Hyperlnk"/>
                <w:noProof/>
              </w:rPr>
              <w:t>4.</w:t>
            </w:r>
            <w:r w:rsidR="006C0811">
              <w:rPr>
                <w:rFonts w:asciiTheme="minorHAnsi" w:eastAsiaTheme="minorEastAsia" w:hAnsiTheme="minorHAnsi" w:cstheme="minorBidi"/>
                <w:noProof/>
                <w:lang w:eastAsia="sv-SE"/>
              </w:rPr>
              <w:tab/>
            </w:r>
            <w:r w:rsidR="006C0811" w:rsidRPr="004F5404">
              <w:rPr>
                <w:rStyle w:val="Hyperlnk"/>
                <w:noProof/>
              </w:rPr>
              <w:t>Commission Regulation (EU) …/… of XXX amending Annex XVII to Regulation (EC) No 1907/2006 of the European Parliament and of the Council concerning the Registration, Evaluation, Authorisation and Restriction of Chemicals (REACH) as regards inorganic ammonium salts</w:t>
            </w:r>
            <w:r w:rsidR="006C0811">
              <w:rPr>
                <w:noProof/>
                <w:webHidden/>
              </w:rPr>
              <w:tab/>
            </w:r>
            <w:r w:rsidR="006C0811">
              <w:rPr>
                <w:noProof/>
                <w:webHidden/>
              </w:rPr>
              <w:fldChar w:fldCharType="begin"/>
            </w:r>
            <w:r w:rsidR="006C0811">
              <w:rPr>
                <w:noProof/>
                <w:webHidden/>
              </w:rPr>
              <w:instrText xml:space="preserve"> PAGEREF _Toc448838490 \h </w:instrText>
            </w:r>
            <w:r w:rsidR="006C0811">
              <w:rPr>
                <w:noProof/>
                <w:webHidden/>
              </w:rPr>
            </w:r>
            <w:r w:rsidR="006C0811">
              <w:rPr>
                <w:noProof/>
                <w:webHidden/>
              </w:rPr>
              <w:fldChar w:fldCharType="separate"/>
            </w:r>
            <w:r w:rsidR="006C0811">
              <w:rPr>
                <w:noProof/>
                <w:webHidden/>
              </w:rPr>
              <w:t>4</w:t>
            </w:r>
            <w:r w:rsidR="006C0811">
              <w:rPr>
                <w:noProof/>
                <w:webHidden/>
              </w:rPr>
              <w:fldChar w:fldCharType="end"/>
            </w:r>
          </w:hyperlink>
        </w:p>
        <w:p w14:paraId="1FD04B61"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91" w:history="1">
            <w:r w:rsidR="006C0811" w:rsidRPr="004F5404">
              <w:rPr>
                <w:rStyle w:val="Hyperlnk"/>
                <w:noProof/>
              </w:rPr>
              <w:t>5.</w:t>
            </w:r>
            <w:r w:rsidR="006C0811">
              <w:rPr>
                <w:rFonts w:asciiTheme="minorHAnsi" w:eastAsiaTheme="minorEastAsia" w:hAnsiTheme="minorHAnsi" w:cstheme="minorBidi"/>
                <w:noProof/>
                <w:lang w:eastAsia="sv-SE"/>
              </w:rPr>
              <w:tab/>
            </w:r>
            <w:r w:rsidR="006C0811" w:rsidRPr="004F5404">
              <w:rPr>
                <w:rStyle w:val="Hyperlnk"/>
                <w:noProof/>
              </w:rPr>
              <w:t>Commission Decision of XXX amending Decisions 2011/263/EU, 2011/264/EU, 2012/720/EU and 2012/721/EU in order to take account of developments in the classification of substances</w:t>
            </w:r>
            <w:r w:rsidR="006C0811">
              <w:rPr>
                <w:noProof/>
                <w:webHidden/>
              </w:rPr>
              <w:tab/>
            </w:r>
            <w:r w:rsidR="006C0811">
              <w:rPr>
                <w:noProof/>
                <w:webHidden/>
              </w:rPr>
              <w:fldChar w:fldCharType="begin"/>
            </w:r>
            <w:r w:rsidR="006C0811">
              <w:rPr>
                <w:noProof/>
                <w:webHidden/>
              </w:rPr>
              <w:instrText xml:space="preserve"> PAGEREF _Toc448838491 \h </w:instrText>
            </w:r>
            <w:r w:rsidR="006C0811">
              <w:rPr>
                <w:noProof/>
                <w:webHidden/>
              </w:rPr>
            </w:r>
            <w:r w:rsidR="006C0811">
              <w:rPr>
                <w:noProof/>
                <w:webHidden/>
              </w:rPr>
              <w:fldChar w:fldCharType="separate"/>
            </w:r>
            <w:r w:rsidR="006C0811">
              <w:rPr>
                <w:noProof/>
                <w:webHidden/>
              </w:rPr>
              <w:t>4</w:t>
            </w:r>
            <w:r w:rsidR="006C0811">
              <w:rPr>
                <w:noProof/>
                <w:webHidden/>
              </w:rPr>
              <w:fldChar w:fldCharType="end"/>
            </w:r>
          </w:hyperlink>
        </w:p>
        <w:p w14:paraId="14E88EE6"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92" w:history="1">
            <w:r w:rsidR="006C0811" w:rsidRPr="004F5404">
              <w:rPr>
                <w:rStyle w:val="Hyperlnk"/>
                <w:noProof/>
              </w:rPr>
              <w:t>6.</w:t>
            </w:r>
            <w:r w:rsidR="006C0811">
              <w:rPr>
                <w:rFonts w:asciiTheme="minorHAnsi" w:eastAsiaTheme="minorEastAsia" w:hAnsiTheme="minorHAnsi" w:cstheme="minorBidi"/>
                <w:noProof/>
                <w:lang w:eastAsia="sv-SE"/>
              </w:rPr>
              <w:tab/>
            </w:r>
            <w:r w:rsidR="006C0811" w:rsidRPr="004F5404">
              <w:rPr>
                <w:rStyle w:val="Hyperlnk"/>
                <w:noProof/>
              </w:rPr>
              <w:t>Commission Regulation (EU) …/… of XXX on the technical specification for interoperability relating to the "control-command and signalling" subsystems of the rail system in the European Union (Text with EEA relevance)</w:t>
            </w:r>
            <w:r w:rsidR="006C0811">
              <w:rPr>
                <w:noProof/>
                <w:webHidden/>
              </w:rPr>
              <w:tab/>
            </w:r>
            <w:r w:rsidR="006C0811">
              <w:rPr>
                <w:noProof/>
                <w:webHidden/>
              </w:rPr>
              <w:fldChar w:fldCharType="begin"/>
            </w:r>
            <w:r w:rsidR="006C0811">
              <w:rPr>
                <w:noProof/>
                <w:webHidden/>
              </w:rPr>
              <w:instrText xml:space="preserve"> PAGEREF _Toc448838492 \h </w:instrText>
            </w:r>
            <w:r w:rsidR="006C0811">
              <w:rPr>
                <w:noProof/>
                <w:webHidden/>
              </w:rPr>
            </w:r>
            <w:r w:rsidR="006C0811">
              <w:rPr>
                <w:noProof/>
                <w:webHidden/>
              </w:rPr>
              <w:fldChar w:fldCharType="separate"/>
            </w:r>
            <w:r w:rsidR="006C0811">
              <w:rPr>
                <w:noProof/>
                <w:webHidden/>
              </w:rPr>
              <w:t>5</w:t>
            </w:r>
            <w:r w:rsidR="006C0811">
              <w:rPr>
                <w:noProof/>
                <w:webHidden/>
              </w:rPr>
              <w:fldChar w:fldCharType="end"/>
            </w:r>
          </w:hyperlink>
        </w:p>
        <w:p w14:paraId="38BECC0C"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93" w:history="1">
            <w:r w:rsidR="006C0811" w:rsidRPr="004F5404">
              <w:rPr>
                <w:rStyle w:val="Hyperlnk"/>
                <w:noProof/>
              </w:rPr>
              <w:t>7.</w:t>
            </w:r>
            <w:r w:rsidR="006C0811">
              <w:rPr>
                <w:rFonts w:asciiTheme="minorHAnsi" w:eastAsiaTheme="minorEastAsia" w:hAnsiTheme="minorHAnsi" w:cstheme="minorBidi"/>
                <w:noProof/>
                <w:lang w:eastAsia="sv-SE"/>
              </w:rPr>
              <w:tab/>
            </w:r>
            <w:r w:rsidR="006C0811" w:rsidRPr="004F5404">
              <w:rPr>
                <w:rStyle w:val="Hyperlnk"/>
                <w:noProof/>
              </w:rPr>
              <w:t>Commission Directive (EU) .../… of XXX amending Directive 2006/126/EC of the European Parliament and of the Council on driving licences (Text with EEA relevance)</w:t>
            </w:r>
            <w:r w:rsidR="006C0811">
              <w:rPr>
                <w:noProof/>
                <w:webHidden/>
              </w:rPr>
              <w:tab/>
            </w:r>
            <w:r w:rsidR="006C0811">
              <w:rPr>
                <w:noProof/>
                <w:webHidden/>
              </w:rPr>
              <w:fldChar w:fldCharType="begin"/>
            </w:r>
            <w:r w:rsidR="006C0811">
              <w:rPr>
                <w:noProof/>
                <w:webHidden/>
              </w:rPr>
              <w:instrText xml:space="preserve"> PAGEREF _Toc448838493 \h </w:instrText>
            </w:r>
            <w:r w:rsidR="006C0811">
              <w:rPr>
                <w:noProof/>
                <w:webHidden/>
              </w:rPr>
            </w:r>
            <w:r w:rsidR="006C0811">
              <w:rPr>
                <w:noProof/>
                <w:webHidden/>
              </w:rPr>
              <w:fldChar w:fldCharType="separate"/>
            </w:r>
            <w:r w:rsidR="006C0811">
              <w:rPr>
                <w:noProof/>
                <w:webHidden/>
              </w:rPr>
              <w:t>6</w:t>
            </w:r>
            <w:r w:rsidR="006C0811">
              <w:rPr>
                <w:noProof/>
                <w:webHidden/>
              </w:rPr>
              <w:fldChar w:fldCharType="end"/>
            </w:r>
          </w:hyperlink>
        </w:p>
        <w:p w14:paraId="0AA6AE92" w14:textId="77777777" w:rsidR="006C0811" w:rsidRDefault="008D0098">
          <w:pPr>
            <w:pStyle w:val="Innehll1"/>
            <w:tabs>
              <w:tab w:val="left" w:pos="440"/>
              <w:tab w:val="right" w:leader="dot" w:pos="9062"/>
            </w:tabs>
            <w:rPr>
              <w:rFonts w:asciiTheme="minorHAnsi" w:eastAsiaTheme="minorEastAsia" w:hAnsiTheme="minorHAnsi" w:cstheme="minorBidi"/>
              <w:noProof/>
              <w:lang w:eastAsia="sv-SE"/>
            </w:rPr>
          </w:pPr>
          <w:hyperlink w:anchor="_Toc448838494" w:history="1">
            <w:r w:rsidR="006C0811" w:rsidRPr="004F5404">
              <w:rPr>
                <w:rStyle w:val="Hyperlnk"/>
                <w:noProof/>
              </w:rPr>
              <w:t>8.</w:t>
            </w:r>
            <w:r w:rsidR="006C0811">
              <w:rPr>
                <w:rFonts w:asciiTheme="minorHAnsi" w:eastAsiaTheme="minorEastAsia" w:hAnsiTheme="minorHAnsi" w:cstheme="minorBidi"/>
                <w:noProof/>
                <w:lang w:eastAsia="sv-SE"/>
              </w:rPr>
              <w:tab/>
            </w:r>
            <w:r w:rsidR="006C0811" w:rsidRPr="004F5404">
              <w:rPr>
                <w:rStyle w:val="Hyperlnk"/>
                <w:noProof/>
              </w:rPr>
              <w:t>Proposal for a Directive of the European Parliament and of the Council laying down technical requirements for inland waterway vessels, amending Directive 2009/100/EC and repealing Directive 2006/87/EC of the European Parliament and of the Council (First reading) (Legislative deliberation)</w:t>
            </w:r>
            <w:r w:rsidR="006C0811">
              <w:rPr>
                <w:noProof/>
                <w:webHidden/>
              </w:rPr>
              <w:tab/>
            </w:r>
            <w:r w:rsidR="006C0811">
              <w:rPr>
                <w:noProof/>
                <w:webHidden/>
              </w:rPr>
              <w:fldChar w:fldCharType="begin"/>
            </w:r>
            <w:r w:rsidR="006C0811">
              <w:rPr>
                <w:noProof/>
                <w:webHidden/>
              </w:rPr>
              <w:instrText xml:space="preserve"> PAGEREF _Toc448838494 \h </w:instrText>
            </w:r>
            <w:r w:rsidR="006C0811">
              <w:rPr>
                <w:noProof/>
                <w:webHidden/>
              </w:rPr>
            </w:r>
            <w:r w:rsidR="006C0811">
              <w:rPr>
                <w:noProof/>
                <w:webHidden/>
              </w:rPr>
              <w:fldChar w:fldCharType="separate"/>
            </w:r>
            <w:r w:rsidR="006C0811">
              <w:rPr>
                <w:noProof/>
                <w:webHidden/>
              </w:rPr>
              <w:t>6</w:t>
            </w:r>
            <w:r w:rsidR="006C0811">
              <w:rPr>
                <w:noProof/>
                <w:webHidden/>
              </w:rPr>
              <w:fldChar w:fldCharType="end"/>
            </w:r>
          </w:hyperlink>
        </w:p>
        <w:p w14:paraId="1BB04160" w14:textId="77777777" w:rsidR="00D957FB" w:rsidRDefault="006C0811">
          <w:r>
            <w:rPr>
              <w:b/>
              <w:bCs/>
              <w:noProof/>
            </w:rPr>
            <w:fldChar w:fldCharType="end"/>
          </w:r>
        </w:p>
      </w:sdtContent>
    </w:sdt>
    <w:p w14:paraId="1BB04161" w14:textId="77777777" w:rsidR="00D957FB" w:rsidRDefault="006C0811">
      <w:pPr>
        <w:ind w:left="0"/>
      </w:pPr>
      <w:r>
        <w:br w:type="page"/>
      </w:r>
    </w:p>
    <w:p w14:paraId="1BB04162" w14:textId="77777777" w:rsidR="00643D86" w:rsidRDefault="008D0098" w:rsidP="00643D86">
      <w:pPr>
        <w:pStyle w:val="Rubrik1"/>
        <w:numPr>
          <w:ilvl w:val="0"/>
          <w:numId w:val="0"/>
        </w:numPr>
      </w:pPr>
      <w:bookmarkStart w:id="1" w:name="_Toc364854645"/>
    </w:p>
    <w:p w14:paraId="1BB04163" w14:textId="77777777" w:rsidR="00643D86" w:rsidRDefault="006C0811" w:rsidP="00643D86">
      <w:pPr>
        <w:pStyle w:val="Rubrik1"/>
      </w:pPr>
      <w:bookmarkStart w:id="2" w:name="_Toc448838487"/>
      <w:r>
        <w:rPr>
          <w:noProof/>
        </w:rPr>
        <w:t>Replies to written questions put to the Council by Members of the European Parliament</w:t>
      </w:r>
      <w:bookmarkEnd w:id="2"/>
    </w:p>
    <w:p w14:paraId="1AFE8E5A" w14:textId="548F3D46" w:rsidR="006C0811" w:rsidRDefault="006C0811" w:rsidP="00643D86">
      <w:pPr>
        <w:rPr>
          <w:b/>
        </w:rPr>
      </w:pPr>
      <w:r>
        <w:rPr>
          <w:noProof/>
          <w:lang w:val="en-US"/>
        </w:rPr>
        <w:t>=</w:t>
      </w:r>
      <w:r>
        <w:rPr>
          <w:lang w:val="en-US"/>
        </w:rPr>
        <w:t xml:space="preserve">Adoption by silence procedure (+) </w:t>
      </w:r>
      <w:r>
        <w:rPr>
          <w:lang w:val="en-US"/>
        </w:rPr>
        <w:br/>
        <w:t>a)E-015657/2015 - Inês Cristina Zuber (GUE/NGL) Conclusions of the EU-Turkey Summit on managing the migrant crisis (29 November 2015)7187/16 PE-QE 111</w:t>
      </w:r>
      <w:r>
        <w:rPr>
          <w:lang w:val="en-US"/>
        </w:rPr>
        <w:br/>
        <w:t>b)E-000431/2016 - Kazimierz Michał Ujazdowski (ECR) Better application of the European Citizens' Initiative (ECI)7778/16 PE-QE 144</w:t>
      </w:r>
    </w:p>
    <w:p w14:paraId="1BB04165" w14:textId="32A7DC33" w:rsidR="00643D86" w:rsidRDefault="006C0811" w:rsidP="00643D86">
      <w:r>
        <w:rPr>
          <w:b/>
        </w:rPr>
        <w:t>Ansvarigt statsråd</w:t>
      </w:r>
      <w:r>
        <w:rPr>
          <w:b/>
        </w:rPr>
        <w:br/>
      </w:r>
      <w:r>
        <w:rPr>
          <w:noProof/>
        </w:rPr>
        <w:t>Stefan</w:t>
      </w:r>
      <w:r>
        <w:t xml:space="preserve"> Löfven</w:t>
      </w:r>
    </w:p>
    <w:p w14:paraId="1BB04166"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67"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68"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69"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6A"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6B"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6C"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6D"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6E"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6F" w14:textId="77777777" w:rsidR="00643D86" w:rsidRDefault="006C0811" w:rsidP="00643D86">
      <w:r>
        <w:instrText>"</w:instrText>
      </w:r>
      <w:r>
        <w:rPr>
          <w:b/>
        </w:rPr>
        <w:instrText xml:space="preserve"> </w:instrText>
      </w:r>
      <w:r>
        <w:rPr>
          <w:b/>
        </w:rPr>
        <w:fldChar w:fldCharType="end"/>
      </w:r>
      <w:r w:rsidRPr="00B44CE2">
        <w:rPr>
          <w:b/>
        </w:rPr>
        <w:t>Annotering</w:t>
      </w:r>
      <w:r>
        <w:rPr>
          <w:b/>
        </w:rPr>
        <w:br/>
      </w:r>
      <w:r>
        <w:t>Föranleder ingen annotering.</w:t>
      </w:r>
    </w:p>
    <w:p w14:paraId="1BB04170" w14:textId="77777777" w:rsidR="00643D86" w:rsidRDefault="006C0811" w:rsidP="00643D86">
      <w:pPr>
        <w:pStyle w:val="Rubrik1"/>
      </w:pPr>
      <w:bookmarkStart w:id="3" w:name="_Toc448838488"/>
      <w:r>
        <w:rPr>
          <w:noProof/>
        </w:rPr>
        <w:t>Case before the Court of Justice</w:t>
      </w:r>
      <w:r>
        <w:rPr>
          <w:noProof/>
        </w:rPr>
        <w:br/>
        <w:t>Case C-365/15 (Wortmann-Hauptzollamt Bielefeld)</w:t>
      </w:r>
      <w:r>
        <w:rPr>
          <w:noProof/>
        </w:rPr>
        <w:br/>
        <w:t>Preliminary ruling - Article 241 of Regulation no 2913/92 of the Council of 12 October 1992 (Community Customs Code)</w:t>
      </w:r>
      <w:bookmarkEnd w:id="3"/>
    </w:p>
    <w:p w14:paraId="1BB04171" w14:textId="77777777" w:rsidR="00643D86" w:rsidRDefault="006C0811" w:rsidP="00643D86">
      <w:pPr>
        <w:rPr>
          <w:lang w:val="en-US"/>
        </w:rPr>
      </w:pPr>
      <w:r>
        <w:rPr>
          <w:noProof/>
          <w:lang w:val="en-US"/>
        </w:rPr>
        <w:t>=</w:t>
      </w:r>
      <w:r>
        <w:rPr>
          <w:lang w:val="en-US"/>
        </w:rPr>
        <w:t>Information note for the Permanent Representatives Committee (Part 1)</w:t>
      </w:r>
      <w:r>
        <w:rPr>
          <w:lang w:val="en-US"/>
        </w:rPr>
        <w:br/>
      </w:r>
      <w:r>
        <w:rPr>
          <w:noProof/>
          <w:lang w:val="en-US"/>
        </w:rPr>
        <w:t>7888</w:t>
      </w:r>
      <w:r>
        <w:rPr>
          <w:lang w:val="en-US"/>
        </w:rPr>
        <w:t>/16 JUR 147 UD 82 ANTIDUMPING 1</w:t>
      </w:r>
    </w:p>
    <w:p w14:paraId="1BB04172" w14:textId="77777777" w:rsidR="00643D86" w:rsidRDefault="006C0811" w:rsidP="00643D86">
      <w:r>
        <w:rPr>
          <w:b/>
        </w:rPr>
        <w:t>Ansvarigt statsråd</w:t>
      </w:r>
      <w:r>
        <w:rPr>
          <w:b/>
        </w:rPr>
        <w:br/>
      </w:r>
      <w:r>
        <w:rPr>
          <w:noProof/>
        </w:rPr>
        <w:t>Margot</w:t>
      </w:r>
      <w:r>
        <w:t xml:space="preserve"> Wallström</w:t>
      </w:r>
    </w:p>
    <w:p w14:paraId="1BB04173"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74"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75"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76"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77"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78"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79"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7A"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7B"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7D" w14:textId="69D5FC1F" w:rsidR="009A03DA" w:rsidRDefault="006C0811" w:rsidP="006C081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mål vid EU-domstolen i vilket rådet skriftligen ska besvara frågor. </w:t>
      </w:r>
    </w:p>
    <w:p w14:paraId="1BB0417E" w14:textId="5525B190" w:rsidR="009A03DA" w:rsidRDefault="006C0811">
      <w:pPr>
        <w:spacing w:after="280" w:afterAutospacing="1"/>
      </w:pPr>
      <w:r>
        <w:rPr>
          <w:b/>
          <w:bCs/>
        </w:rPr>
        <w:t>Hur regeringen ställer sig till den blivande A-punkten:</w:t>
      </w:r>
      <w:r>
        <w:t xml:space="preserve"> Regeringen har ingen erinran mot informationen.</w:t>
      </w:r>
    </w:p>
    <w:p w14:paraId="611C9EB0" w14:textId="77777777" w:rsidR="006C0811" w:rsidRDefault="006C0811">
      <w:pPr>
        <w:spacing w:after="280" w:afterAutospacing="1"/>
      </w:pPr>
      <w:r>
        <w:rPr>
          <w:b/>
          <w:bCs/>
        </w:rPr>
        <w:t>Bakgrund:</w:t>
      </w:r>
      <w:r>
        <w:t xml:space="preserve"> I en begäran om förhandsavgörande till EU-domstolen vill en tysk domstol få veta hur artikel 241 i rådets förordning (EEG) nr 2913/92 av den 12 oktober 1992 om inrättandet av en tullkodex för gemenskapen ska tolkas i fråga om betalning av ränta. </w:t>
      </w:r>
      <w:r>
        <w:br/>
        <w:t>EU-domstolen har uppmanat rådet och parterna i målet att koncentrera sina argument kring förenligheten mellan artikel 241 i förordningen och domstolens rättspraxis om räntebetalningar och då särskilt frågan om giltigheten av denna bestämmelse i ljuset av rättspraxis.</w:t>
      </w:r>
    </w:p>
    <w:p w14:paraId="1BB0417F" w14:textId="2200B8CE" w:rsidR="009A03DA" w:rsidRDefault="006C0811">
      <w:pPr>
        <w:spacing w:after="280" w:afterAutospacing="1"/>
      </w:pPr>
      <w:r>
        <w:t>Rådet är skyldigt att besvara frågorna senast den 2 maj 2016 och har utsett ombud i målet.</w:t>
      </w:r>
    </w:p>
    <w:p w14:paraId="1BB04181" w14:textId="77777777" w:rsidR="00643D86" w:rsidRDefault="006C0811" w:rsidP="00643D86">
      <w:pPr>
        <w:pStyle w:val="Rubrik1"/>
      </w:pPr>
      <w:bookmarkStart w:id="4" w:name="_Toc448838489"/>
      <w:r>
        <w:rPr>
          <w:noProof/>
        </w:rPr>
        <w:lastRenderedPageBreak/>
        <w:t>Commission Regulation (EU) …/… of XXX amending Annex I to Regulation (EC) No 1334/2008 of the European Parliament and of the Council as regards certain flavouring substances from a group related with an alpha beta unsaturation structure</w:t>
      </w:r>
      <w:bookmarkEnd w:id="4"/>
    </w:p>
    <w:p w14:paraId="1BB04182" w14:textId="10BE7BC6" w:rsidR="00643D86" w:rsidRDefault="006C0811" w:rsidP="00643D86">
      <w:pPr>
        <w:rPr>
          <w:lang w:val="en-US"/>
        </w:rPr>
      </w:pPr>
      <w:r>
        <w:rPr>
          <w:noProof/>
          <w:lang w:val="en-US"/>
        </w:rPr>
        <w:t>=</w:t>
      </w:r>
      <w:r>
        <w:rPr>
          <w:lang w:val="en-US"/>
        </w:rPr>
        <w:t>Decision not to oppose adoption</w:t>
      </w:r>
      <w:r>
        <w:rPr>
          <w:lang w:val="en-US"/>
        </w:rPr>
        <w:br/>
      </w:r>
      <w:r>
        <w:rPr>
          <w:noProof/>
          <w:lang w:val="en-US"/>
        </w:rPr>
        <w:t>7703</w:t>
      </w:r>
      <w:r>
        <w:rPr>
          <w:lang w:val="en-US"/>
        </w:rPr>
        <w:t>/16 DENLEG 26 AGRI 172 SAN 125 7374/16 DENLEG 23 AGRI 154 SAN 104+ ADD 1</w:t>
      </w:r>
    </w:p>
    <w:p w14:paraId="1BB04183" w14:textId="77777777" w:rsidR="00643D86" w:rsidRDefault="006C0811" w:rsidP="00643D86">
      <w:r>
        <w:rPr>
          <w:b/>
        </w:rPr>
        <w:t>Ansvarigt statsråd</w:t>
      </w:r>
      <w:r>
        <w:rPr>
          <w:b/>
        </w:rPr>
        <w:br/>
      </w:r>
      <w:r>
        <w:rPr>
          <w:noProof/>
        </w:rPr>
        <w:t>Sven-Erik</w:t>
      </w:r>
      <w:r>
        <w:t xml:space="preserve"> Bucht</w:t>
      </w:r>
    </w:p>
    <w:p w14:paraId="1BB04184"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85"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86"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87"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88"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89"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8A"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8B"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8C"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8D" w14:textId="77777777" w:rsidR="00643D86" w:rsidRDefault="006C0811" w:rsidP="00643D86">
      <w:r>
        <w:instrText>"</w:instrText>
      </w:r>
      <w:r>
        <w:rPr>
          <w:b/>
        </w:rPr>
        <w:instrText xml:space="preserve"> </w:instrText>
      </w:r>
      <w:r>
        <w:rPr>
          <w:b/>
        </w:rPr>
        <w:fldChar w:fldCharType="end"/>
      </w:r>
      <w:r w:rsidRPr="00B44CE2">
        <w:rPr>
          <w:b/>
        </w:rPr>
        <w:t>Annotering</w:t>
      </w:r>
      <w:r>
        <w:rPr>
          <w:b/>
        </w:rPr>
        <w:br/>
      </w:r>
      <w:r>
        <w:t>Föranleder ingen annotering.</w:t>
      </w:r>
    </w:p>
    <w:p w14:paraId="1BB0418E" w14:textId="77777777" w:rsidR="00643D86" w:rsidRDefault="006C0811" w:rsidP="00643D86">
      <w:pPr>
        <w:pStyle w:val="Rubrik1"/>
      </w:pPr>
      <w:bookmarkStart w:id="5" w:name="_Toc448838490"/>
      <w:r>
        <w:rPr>
          <w:noProof/>
        </w:rPr>
        <w:t>Commission Regulation (EU) …/… of XXX amending Annex XVII to Regulation (EC) No 1907/2006 of the European Parliament and of the Council concerning the Registration, Evaluation, Authorisation and Restriction of Chemicals (REACH) as regards inorganic ammonium salts</w:t>
      </w:r>
      <w:bookmarkEnd w:id="5"/>
    </w:p>
    <w:p w14:paraId="1BB0418F" w14:textId="4D58CE68" w:rsidR="00643D86" w:rsidRDefault="006C0811" w:rsidP="00643D86">
      <w:pPr>
        <w:rPr>
          <w:lang w:val="en-US"/>
        </w:rPr>
      </w:pPr>
      <w:r>
        <w:rPr>
          <w:noProof/>
          <w:lang w:val="en-US"/>
        </w:rPr>
        <w:t>=</w:t>
      </w:r>
      <w:r>
        <w:rPr>
          <w:lang w:val="en-US"/>
        </w:rPr>
        <w:t>Decision not to oppose adoption</w:t>
      </w:r>
      <w:r>
        <w:rPr>
          <w:lang w:val="en-US"/>
        </w:rPr>
        <w:br/>
      </w:r>
      <w:r>
        <w:rPr>
          <w:noProof/>
          <w:lang w:val="en-US"/>
        </w:rPr>
        <w:t>7871</w:t>
      </w:r>
      <w:r>
        <w:rPr>
          <w:lang w:val="en-US"/>
        </w:rPr>
        <w:t>/16 COMPET 152 ENV 217 CHIMIE 24 MI 218 ENT 73 SAN 131CONSOM 79 6307/16 COMPET 65 ENV 83 CHIMIE 6 MI 97 ENT 37 SAN 57 CONSOM 38+ ADD 1</w:t>
      </w:r>
    </w:p>
    <w:p w14:paraId="1BB04190" w14:textId="77777777" w:rsidR="00643D86" w:rsidRDefault="006C0811" w:rsidP="00643D86">
      <w:r>
        <w:rPr>
          <w:b/>
        </w:rPr>
        <w:t>Ansvarigt statsråd</w:t>
      </w:r>
      <w:r>
        <w:rPr>
          <w:b/>
        </w:rPr>
        <w:br/>
      </w:r>
      <w:r>
        <w:rPr>
          <w:noProof/>
        </w:rPr>
        <w:t>Åsa</w:t>
      </w:r>
      <w:r>
        <w:t xml:space="preserve"> Romson</w:t>
      </w:r>
    </w:p>
    <w:p w14:paraId="1BB04191"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92"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93"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94"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95"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96"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97"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98"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99"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9B" w14:textId="71DC47A1" w:rsidR="009A03DA" w:rsidRDefault="006C0811" w:rsidP="006C081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anta förordning som ändrar i bilaga XVII, gällande användningsbegränsningar, till Reach. </w:t>
      </w:r>
    </w:p>
    <w:p w14:paraId="1BB0419C" w14:textId="778B43B4" w:rsidR="009A03DA" w:rsidRDefault="006C0811">
      <w:pPr>
        <w:spacing w:after="280" w:afterAutospacing="1"/>
      </w:pPr>
      <w:r>
        <w:rPr>
          <w:b/>
          <w:bCs/>
        </w:rPr>
        <w:t>Hur regeringen ställer sig till den blivande A-punkten:</w:t>
      </w:r>
      <w:r>
        <w:t xml:space="preserve"> Rösta ja.</w:t>
      </w:r>
    </w:p>
    <w:p w14:paraId="1BB0419E" w14:textId="079E187A" w:rsidR="00FB32B9" w:rsidRDefault="006C0811">
      <w:pPr>
        <w:spacing w:after="280" w:afterAutospacing="1"/>
        <w:rPr>
          <w:noProof/>
        </w:rPr>
      </w:pPr>
      <w:r>
        <w:rPr>
          <w:b/>
          <w:bCs/>
        </w:rPr>
        <w:t>Bakgrund:</w:t>
      </w:r>
      <w:r>
        <w:t xml:space="preserve"> Bilaga XVII till Reach uppdateras med jämna mellanrum med användningsbegränsningar för farliga ämnen. För att en användning ska begränsas ska den innebära en oacceptabel risk.</w:t>
      </w:r>
    </w:p>
    <w:p w14:paraId="1BB0419F" w14:textId="77777777" w:rsidR="00643D86" w:rsidRDefault="006C0811" w:rsidP="00643D86">
      <w:pPr>
        <w:pStyle w:val="Rubrik1"/>
      </w:pPr>
      <w:bookmarkStart w:id="6" w:name="_Toc448838491"/>
      <w:r>
        <w:rPr>
          <w:noProof/>
        </w:rPr>
        <w:t>Commission Decision of XXX amending Decisions 2011/263/EU, 2011/264/EU, 2012/720/EU and 2012/721/EU in order to take account of developments in the classification of substances</w:t>
      </w:r>
      <w:bookmarkEnd w:id="6"/>
    </w:p>
    <w:p w14:paraId="1BB041A0" w14:textId="571DB811" w:rsidR="00643D86" w:rsidRDefault="006C0811" w:rsidP="00643D86">
      <w:pPr>
        <w:rPr>
          <w:lang w:val="en-US"/>
        </w:rPr>
      </w:pPr>
      <w:r>
        <w:rPr>
          <w:noProof/>
          <w:lang w:val="en-US"/>
        </w:rPr>
        <w:t>=</w:t>
      </w:r>
      <w:r>
        <w:rPr>
          <w:lang w:val="en-US"/>
        </w:rPr>
        <w:t>Decision not to oppose adoption</w:t>
      </w:r>
      <w:r>
        <w:rPr>
          <w:lang w:val="en-US"/>
        </w:rPr>
        <w:br/>
      </w:r>
      <w:r>
        <w:rPr>
          <w:noProof/>
          <w:lang w:val="en-US"/>
        </w:rPr>
        <w:t>7723</w:t>
      </w:r>
      <w:r>
        <w:rPr>
          <w:lang w:val="en-US"/>
        </w:rPr>
        <w:t>/16 ENV 205 7253/16 ENV 177+ ADD 1</w:t>
      </w:r>
    </w:p>
    <w:p w14:paraId="1BB041A1" w14:textId="77777777" w:rsidR="00643D86" w:rsidRDefault="006C0811" w:rsidP="00643D86">
      <w:r>
        <w:rPr>
          <w:b/>
        </w:rPr>
        <w:t>Ansvarigt statsråd</w:t>
      </w:r>
      <w:r>
        <w:rPr>
          <w:b/>
        </w:rPr>
        <w:br/>
      </w:r>
      <w:r>
        <w:rPr>
          <w:noProof/>
        </w:rPr>
        <w:t>Åsa</w:t>
      </w:r>
      <w:r>
        <w:t xml:space="preserve"> Romson</w:t>
      </w:r>
    </w:p>
    <w:p w14:paraId="1BB041A2"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A3"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A4"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A5"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A6"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A7"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A8"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A9"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AA"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AC" w14:textId="73521E87" w:rsidR="009A03DA" w:rsidRDefault="006C0811" w:rsidP="006C081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finns någon grund för att motsätta sig kommissionens utkast till beslut om uppdatering av bilagorna I till IV till CLP.</w:t>
      </w:r>
    </w:p>
    <w:p w14:paraId="4D5CDCE1" w14:textId="580D443A" w:rsidR="006C0811" w:rsidRDefault="006C0811">
      <w:pPr>
        <w:spacing w:after="280" w:afterAutospacing="1"/>
        <w:rPr>
          <w:b/>
          <w:bCs/>
        </w:rPr>
      </w:pPr>
      <w:r>
        <w:rPr>
          <w:b/>
          <w:bCs/>
        </w:rPr>
        <w:t>Hur regeringen ställer sig till den blivande A-punkten:</w:t>
      </w:r>
      <w:r>
        <w:t xml:space="preserve"> Rösta ja</w:t>
      </w:r>
    </w:p>
    <w:p w14:paraId="1BB041AF" w14:textId="3DA414D3" w:rsidR="00FB32B9" w:rsidRDefault="006C0811">
      <w:pPr>
        <w:spacing w:after="280" w:afterAutospacing="1"/>
        <w:rPr>
          <w:noProof/>
        </w:rPr>
      </w:pPr>
      <w:r>
        <w:rPr>
          <w:b/>
          <w:bCs/>
        </w:rPr>
        <w:lastRenderedPageBreak/>
        <w:t>Bakgrund:</w:t>
      </w:r>
      <w:r>
        <w:t xml:space="preserve"> För att få använda EU-blomman finns vissa regler kring vilka klassificeringar som ingående ämnen inte får ha. Kommissionen har rätt att anta beslut som medger undantag från dessa regler. </w:t>
      </w:r>
    </w:p>
    <w:p w14:paraId="1BB041B0" w14:textId="77777777" w:rsidR="00643D86" w:rsidRDefault="006C0811" w:rsidP="00643D86">
      <w:pPr>
        <w:pStyle w:val="Rubrik1"/>
      </w:pPr>
      <w:bookmarkStart w:id="7" w:name="_Toc448838492"/>
      <w:r>
        <w:rPr>
          <w:noProof/>
        </w:rPr>
        <w:t>Commission Regulation (EU) …/… of XXX on the technical specification for interoperability relating to the "control-command and signalling" subsystems of the rail system in the European Union (Text with EEA relevance)</w:t>
      </w:r>
      <w:bookmarkEnd w:id="7"/>
    </w:p>
    <w:p w14:paraId="1BB041B1" w14:textId="5FA26E31" w:rsidR="00643D86" w:rsidRDefault="006C0811" w:rsidP="00643D86">
      <w:pPr>
        <w:rPr>
          <w:lang w:val="en-US"/>
        </w:rPr>
      </w:pPr>
      <w:r>
        <w:rPr>
          <w:noProof/>
          <w:lang w:val="en-US"/>
        </w:rPr>
        <w:t>=</w:t>
      </w:r>
      <w:r>
        <w:rPr>
          <w:lang w:val="en-US"/>
        </w:rPr>
        <w:t>Decision not to oppose adoption</w:t>
      </w:r>
      <w:r>
        <w:rPr>
          <w:lang w:val="en-US"/>
        </w:rPr>
        <w:br/>
      </w:r>
      <w:r>
        <w:rPr>
          <w:noProof/>
          <w:lang w:val="en-US"/>
        </w:rPr>
        <w:t>7886</w:t>
      </w:r>
      <w:r>
        <w:rPr>
          <w:lang w:val="en-US"/>
        </w:rPr>
        <w:t>/16 TRANS 108 6822/16 TRANS 67+ ADD 1</w:t>
      </w:r>
    </w:p>
    <w:p w14:paraId="1BB041B2" w14:textId="77777777" w:rsidR="00643D86" w:rsidRDefault="006C0811" w:rsidP="00643D86">
      <w:r>
        <w:rPr>
          <w:b/>
        </w:rPr>
        <w:t>Ansvarigt statsråd</w:t>
      </w:r>
      <w:r>
        <w:rPr>
          <w:b/>
        </w:rPr>
        <w:br/>
      </w:r>
      <w:r>
        <w:rPr>
          <w:noProof/>
        </w:rPr>
        <w:t>Anna</w:t>
      </w:r>
      <w:r>
        <w:t xml:space="preserve"> Johansson</w:t>
      </w:r>
    </w:p>
    <w:p w14:paraId="1BB041B3"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B4"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B5"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B6"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B7"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B8"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B9"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BA"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BB"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BD" w14:textId="4B2FF8DA" w:rsidR="009A03DA" w:rsidRDefault="006C0811" w:rsidP="006C081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att förslaget till EU-förordning om tekniska specifikationer för driftskompatibilitet (TSD) avseende delsystemen Trafikstyrning och signalering i järnvägssystemet i europeiska unionen antas. Denna förordning ersätter kommissionen beslut 2012/88/EG om TSD Trafikstyrning och signalering.</w:t>
      </w:r>
    </w:p>
    <w:p w14:paraId="1BB041BE" w14:textId="77777777" w:rsidR="009A03DA" w:rsidRDefault="006C0811">
      <w:pPr>
        <w:spacing w:after="280" w:afterAutospacing="1"/>
      </w:pPr>
      <w:r>
        <w:rPr>
          <w:b/>
          <w:bCs/>
        </w:rPr>
        <w:t>Hur regeringen ställer sig till den blivande A-punkten:</w:t>
      </w:r>
      <w:r>
        <w:t xml:space="preserve"> Regeringen avser att rösta för att förslaget till en ändring av EU-förordningen antas.</w:t>
      </w:r>
    </w:p>
    <w:p w14:paraId="1BB041BF" w14:textId="77777777" w:rsidR="009A03DA" w:rsidRDefault="006C0811">
      <w:pPr>
        <w:spacing w:after="280" w:afterAutospacing="1"/>
      </w:pPr>
      <w:r>
        <w:rPr>
          <w:b/>
          <w:bCs/>
        </w:rPr>
        <w:t>Bakgrund:</w:t>
      </w:r>
      <w:r>
        <w:t xml:space="preserve"> Förslaget innebär dels att TSD Trafikstyrning och signalering ges förordningsform, dels att en ytterligare uppdatering görs av dess materiella bestämmelser. Uppdateringen innebär i huvudsak att ett antal, men inte alla, s.k. öppna punkter i TSD:n stängs, att s.k. operational scenariotester tillåts inom ramen för godkännandeprocessen, att nya tekniska krav på viss GSM-R utrustning (tågradioutrustning) införs och att bilagorna med detaljerade tekniska krav för ERTMS uppdateras avseende den s.k. basversion 3. </w:t>
      </w:r>
    </w:p>
    <w:p w14:paraId="1BB041C0" w14:textId="77777777" w:rsidR="009A03DA" w:rsidRDefault="006C0811">
      <w:pPr>
        <w:spacing w:after="280" w:afterAutospacing="1"/>
      </w:pPr>
      <w:r>
        <w:t>Effekten av införandet av bestämmelser om s.k. ”operational scenario-tester” är en effektivisering av godkännandeprocessen, vilket bidrar till att minska administrativ börda och kostnader för sådana (fordonsägare, fordonstillverkare osv.) som söker godkännanden för användning av ERTMS-system. Effekten av de nya kraven på viss tågradioutrustning är en på sikt minskad risk för störningar mot tågradion och därmed även av tågtrafiken. Kraven gäller endast för nya tågradiosystem tillverkade från den dag den nya förordningen träder i kraft. De nya detaljerade tekniska kraven för den s.k. base line 3 innebär att ERTMS-system i denna "moderna" version blir väsentligt enklare och därmed billigare och snabbare att få godkända, bl.a. för att de ska vara garanterat kompatibla med samtliga tidigare versioner av ERTMS. </w:t>
      </w:r>
    </w:p>
    <w:p w14:paraId="1BB041C2" w14:textId="21602ACE" w:rsidR="00FB32B9" w:rsidRDefault="006C0811">
      <w:pPr>
        <w:spacing w:after="280" w:afterAutospacing="1"/>
        <w:rPr>
          <w:noProof/>
        </w:rPr>
      </w:pPr>
      <w:r>
        <w:t>Förslaget har behandlats av den s.k. driftskompatibilitets- och säkerhetskommittén, som godkände förslaget vid sitt möte i februari 2016. Transportstyrelsen, som har i uppdrag att följa ERA:s arbete, har informerat och diskuterat ERA:s rekommendation med den svenska järnvägssektorns aktörer och har inte haft något att erinra mot förslaget.</w:t>
      </w:r>
    </w:p>
    <w:p w14:paraId="1BB041C3" w14:textId="77777777" w:rsidR="00643D86" w:rsidRDefault="006C0811" w:rsidP="00643D86">
      <w:pPr>
        <w:pStyle w:val="Rubrik1"/>
      </w:pPr>
      <w:bookmarkStart w:id="8" w:name="_Toc448838493"/>
      <w:r>
        <w:rPr>
          <w:noProof/>
        </w:rPr>
        <w:lastRenderedPageBreak/>
        <w:t>Commission Directive (EU) .../… of XXX amending Directive 2006/126/EC of the European Parliament and of the Council on driving licences (Text with EEA relevance)</w:t>
      </w:r>
      <w:bookmarkEnd w:id="8"/>
    </w:p>
    <w:p w14:paraId="1BB041C4" w14:textId="261625E3" w:rsidR="00643D86" w:rsidRDefault="006C0811" w:rsidP="00643D86">
      <w:pPr>
        <w:rPr>
          <w:lang w:val="en-US"/>
        </w:rPr>
      </w:pPr>
      <w:r>
        <w:rPr>
          <w:noProof/>
          <w:lang w:val="en-US"/>
        </w:rPr>
        <w:t>=</w:t>
      </w:r>
      <w:r>
        <w:rPr>
          <w:lang w:val="en-US"/>
        </w:rPr>
        <w:t>Decision not to oppose adoption</w:t>
      </w:r>
      <w:r>
        <w:rPr>
          <w:lang w:val="en-US"/>
        </w:rPr>
        <w:br/>
      </w:r>
      <w:r>
        <w:rPr>
          <w:noProof/>
          <w:lang w:val="en-US"/>
        </w:rPr>
        <w:t>7887</w:t>
      </w:r>
      <w:r>
        <w:rPr>
          <w:lang w:val="en-US"/>
        </w:rPr>
        <w:t>/16 TRANS 109 6937/16 TRANS 72+ ADD 1</w:t>
      </w:r>
    </w:p>
    <w:p w14:paraId="1BB041C5" w14:textId="77777777" w:rsidR="00643D86" w:rsidRDefault="006C0811" w:rsidP="00643D86">
      <w:r>
        <w:rPr>
          <w:b/>
        </w:rPr>
        <w:t>Ansvarigt statsråd</w:t>
      </w:r>
      <w:r>
        <w:rPr>
          <w:b/>
        </w:rPr>
        <w:br/>
      </w:r>
      <w:r>
        <w:rPr>
          <w:noProof/>
        </w:rPr>
        <w:t>Anna</w:t>
      </w:r>
      <w:r>
        <w:t xml:space="preserve"> Johansson</w:t>
      </w:r>
    </w:p>
    <w:p w14:paraId="1BB041C6" w14:textId="77777777" w:rsidR="00E0653A" w:rsidRDefault="006C081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BB041C7"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BB041C8"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BB041C9"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BB041CA" w14:textId="77777777" w:rsidR="00E0653A" w:rsidRDefault="006C081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BB041CB"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BB041CC" w14:textId="77777777" w:rsidR="00E0653A" w:rsidRDefault="006C081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BB041CD" w14:textId="77777777" w:rsidR="00E0653A" w:rsidRDefault="006C081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BB041CE" w14:textId="77777777" w:rsidR="00E0653A" w:rsidRDefault="006C081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BB041CF" w14:textId="77777777" w:rsidR="00643D86" w:rsidRDefault="006C0811" w:rsidP="00643D86">
      <w:r>
        <w:instrText>"</w:instrText>
      </w:r>
      <w:r>
        <w:rPr>
          <w:b/>
        </w:rPr>
        <w:instrText xml:space="preserve"> </w:instrText>
      </w:r>
      <w:r>
        <w:rPr>
          <w:b/>
        </w:rPr>
        <w:fldChar w:fldCharType="end"/>
      </w:r>
      <w:r w:rsidRPr="00B44CE2">
        <w:rPr>
          <w:b/>
        </w:rPr>
        <w:t>Annotering</w:t>
      </w:r>
      <w:r>
        <w:rPr>
          <w:b/>
        </w:rPr>
        <w:br/>
      </w:r>
      <w:r>
        <w:t>Föranleder ingen annotering.</w:t>
      </w:r>
    </w:p>
    <w:p w14:paraId="1BB041D0" w14:textId="77777777" w:rsidR="00643D86" w:rsidRDefault="006C0811" w:rsidP="00643D86">
      <w:pPr>
        <w:pStyle w:val="Rubrik1"/>
      </w:pPr>
      <w:bookmarkStart w:id="9" w:name="_Toc448838494"/>
      <w:r>
        <w:rPr>
          <w:noProof/>
        </w:rPr>
        <w:t>Proposal for a Directive of the European Parliament and of the Council laying down technical requirements for inland waterway vessels, amending Directive 2009/100/EC and repealing Directive 2006/87/EC of the European Parliament and of the Council (First reading) (Legislative deliberation)</w:t>
      </w:r>
      <w:bookmarkEnd w:id="9"/>
    </w:p>
    <w:p w14:paraId="1BB041D1" w14:textId="77777777" w:rsidR="00643D86" w:rsidRDefault="006C0811" w:rsidP="00643D86">
      <w:pPr>
        <w:rPr>
          <w:lang w:val="en-US"/>
        </w:rPr>
      </w:pPr>
      <w:r>
        <w:rPr>
          <w:noProof/>
          <w:lang w:val="en-US"/>
        </w:rPr>
        <w:t>=</w:t>
      </w:r>
      <w:r>
        <w:rPr>
          <w:lang w:val="en-US"/>
        </w:rPr>
        <w:t>Political agreement</w:t>
      </w:r>
      <w:r>
        <w:rPr>
          <w:lang w:val="en-US"/>
        </w:rPr>
        <w:br/>
      </w:r>
      <w:r>
        <w:rPr>
          <w:noProof/>
          <w:lang w:val="en-US"/>
        </w:rPr>
        <w:t>7759</w:t>
      </w:r>
      <w:r>
        <w:rPr>
          <w:lang w:val="en-US"/>
        </w:rPr>
        <w:t>/1/16 TRANS 101 MAR 110 CODEC 406 REV 1</w:t>
      </w:r>
    </w:p>
    <w:p w14:paraId="1BB041D2" w14:textId="77777777" w:rsidR="00643D86" w:rsidRDefault="006C0811" w:rsidP="00643D86">
      <w:r>
        <w:rPr>
          <w:b/>
        </w:rPr>
        <w:t>Ansvarigt statsråd</w:t>
      </w:r>
      <w:r>
        <w:rPr>
          <w:b/>
        </w:rPr>
        <w:br/>
      </w:r>
      <w:r>
        <w:rPr>
          <w:noProof/>
        </w:rPr>
        <w:t>Anna</w:t>
      </w:r>
      <w:r>
        <w:t xml:space="preserve"> Johansson</w:t>
      </w:r>
    </w:p>
    <w:p w14:paraId="1BB041D3" w14:textId="77777777" w:rsidR="00E0653A" w:rsidRDefault="006C0811" w:rsidP="00C8338E">
      <w:r>
        <w:rPr>
          <w:b/>
        </w:rPr>
        <w:fldChar w:fldCharType="begin"/>
      </w:r>
      <w:r>
        <w:rPr>
          <w:b/>
        </w:rPr>
        <w:instrText xml:space="preserve"> IF "2015-06-05" = "-" </w:instrText>
      </w:r>
      <w:r>
        <w:rPr>
          <w:b/>
        </w:rPr>
        <w:fldChar w:fldCharType="begin"/>
      </w:r>
      <w:r>
        <w:rPr>
          <w:b/>
        </w:rPr>
        <w:instrText xml:space="preserve"> IF "2015-06-11" = "-" </w:instrText>
      </w:r>
      <w:r>
        <w:rPr>
          <w:b/>
        </w:rPr>
        <w:fldChar w:fldCharType="begin"/>
      </w:r>
      <w:r>
        <w:rPr>
          <w:b/>
        </w:rPr>
        <w:instrText xml:space="preserve"> IF "2015-06-02"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2015-06-05</w:instrText>
      </w:r>
    </w:p>
    <w:p w14:paraId="1BB041D4" w14:textId="77777777" w:rsidR="00E0653A" w:rsidRDefault="006C0811"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2015-06-05</w:instrText>
      </w:r>
    </w:p>
    <w:p w14:paraId="1BB041D5" w14:textId="77777777" w:rsidR="001F56AB" w:rsidRDefault="006C0811"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2015-06-05</w:instrText>
      </w:r>
    </w:p>
    <w:p w14:paraId="1BB041D6" w14:textId="77777777" w:rsidR="00E0653A" w:rsidRDefault="006C0811"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2015-06-05</w:instrText>
      </w:r>
    </w:p>
    <w:p w14:paraId="1BB041D7" w14:textId="77777777" w:rsidR="001F56AB" w:rsidRDefault="006C0811"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2015-06-05</w:instrText>
      </w:r>
    </w:p>
    <w:p w14:paraId="1BB041D8" w14:textId="77777777" w:rsidR="00E0653A" w:rsidRDefault="006C0811"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2015-06-05</w:t>
      </w:r>
    </w:p>
    <w:p w14:paraId="1BB041D9" w14:textId="77777777" w:rsidR="001F56AB" w:rsidRDefault="006C0811" w:rsidP="00C8338E">
      <w:pPr>
        <w:rPr>
          <w:b/>
        </w:rPr>
      </w:pPr>
      <w:r>
        <w:rPr>
          <w:b/>
        </w:rPr>
        <w:fldChar w:fldCharType="end"/>
      </w:r>
      <w:r>
        <w:rPr>
          <w:b/>
        </w:rPr>
        <w:fldChar w:fldCharType="begin"/>
      </w:r>
      <w:r>
        <w:rPr>
          <w:b/>
        </w:rPr>
        <w:instrText xml:space="preserve"> IF "2015-06-05" = "-" </w:instrText>
      </w:r>
      <w:r>
        <w:rPr>
          <w:b/>
        </w:rPr>
        <w:fldChar w:fldCharType="begin"/>
      </w:r>
      <w:r>
        <w:rPr>
          <w:b/>
        </w:rPr>
        <w:instrText xml:space="preserve"> IF "2015-06-11" = "-" </w:instrText>
      </w:r>
      <w:r>
        <w:rPr>
          <w:b/>
        </w:rPr>
        <w:fldChar w:fldCharType="begin"/>
      </w:r>
      <w:r>
        <w:rPr>
          <w:b/>
        </w:rPr>
        <w:instrText xml:space="preserve"> IF "2015-06-02" = "-" "" "Tidigare behandlat i </w:instrText>
      </w:r>
      <w:r w:rsidRPr="00643D86">
        <w:rPr>
          <w:b/>
        </w:rPr>
        <w:instrText>råde</w:instrText>
      </w:r>
      <w:r>
        <w:rPr>
          <w:b/>
        </w:rPr>
        <w:instrText xml:space="preserve">t </w:instrText>
      </w:r>
      <w:r>
        <w:rPr>
          <w:b/>
        </w:rPr>
        <w:br/>
      </w:r>
      <w:r w:rsidRPr="002F0461">
        <w:instrText>2015-06-11</w:instrText>
      </w:r>
    </w:p>
    <w:p w14:paraId="1BB041DA" w14:textId="77777777" w:rsidR="00E0653A" w:rsidRDefault="006C0811"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2015-06-11</w:instrText>
      </w:r>
    </w:p>
    <w:p w14:paraId="1BB041DB" w14:textId="77777777" w:rsidR="009A03DA" w:rsidRDefault="006C0811"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2015-06-11</w:instrText>
      </w:r>
    </w:p>
    <w:p w14:paraId="1BB041DC" w14:textId="77777777" w:rsidR="00E0653A" w:rsidRDefault="006C0811"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2015-06-11</w:instrText>
      </w:r>
    </w:p>
    <w:p w14:paraId="1BB041DD" w14:textId="77777777" w:rsidR="009A03DA" w:rsidRDefault="006C0811"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2015-06-11</w:instrText>
      </w:r>
    </w:p>
    <w:p w14:paraId="1BB041DE" w14:textId="77777777" w:rsidR="00E0653A" w:rsidRDefault="006C0811"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2015-06-11</w:t>
      </w:r>
    </w:p>
    <w:p w14:paraId="1BB041DF" w14:textId="77777777" w:rsidR="009A03DA" w:rsidRDefault="006C0811" w:rsidP="00C8338E">
      <w:pPr>
        <w:rPr>
          <w:b/>
        </w:rPr>
      </w:pPr>
      <w:r>
        <w:rPr>
          <w:b/>
        </w:rPr>
        <w:fldChar w:fldCharType="end"/>
      </w:r>
      <w:r>
        <w:rPr>
          <w:b/>
        </w:rPr>
        <w:fldChar w:fldCharType="begin"/>
      </w:r>
      <w:r>
        <w:rPr>
          <w:b/>
        </w:rPr>
        <w:instrText xml:space="preserve"> IF "2015-06-05" = "-" </w:instrText>
      </w:r>
      <w:r>
        <w:rPr>
          <w:b/>
        </w:rPr>
        <w:fldChar w:fldCharType="begin"/>
      </w:r>
      <w:r>
        <w:rPr>
          <w:b/>
        </w:rPr>
        <w:instrText xml:space="preserve"> IF "2015-06-11" = "-" </w:instrText>
      </w:r>
      <w:r>
        <w:rPr>
          <w:b/>
        </w:rPr>
        <w:fldChar w:fldCharType="begin"/>
      </w:r>
      <w:r>
        <w:rPr>
          <w:b/>
        </w:rPr>
        <w:instrText xml:space="preserve"> IF "2015-06-02" = "-" "" "Tidigare behandlat i utskottet </w:instrText>
      </w:r>
      <w:r>
        <w:rPr>
          <w:b/>
        </w:rPr>
        <w:br/>
      </w:r>
      <w:r w:rsidRPr="002F0461">
        <w:instrText>2015-06-02</w:instrText>
      </w:r>
    </w:p>
    <w:p w14:paraId="1BB041E0" w14:textId="77777777" w:rsidR="00E0653A" w:rsidRDefault="006C0811"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2015-06-02</w:instrText>
      </w:r>
    </w:p>
    <w:p w14:paraId="1BB041E1" w14:textId="77777777" w:rsidR="009A03DA" w:rsidRDefault="006C0811" w:rsidP="00C8338E">
      <w:pPr>
        <w:rPr>
          <w:b/>
        </w:rPr>
      </w:pPr>
      <w:r>
        <w:rPr>
          <w:b/>
        </w:rPr>
        <w:fldChar w:fldCharType="end"/>
      </w:r>
      <w:r>
        <w:rPr>
          <w:b/>
        </w:rPr>
        <w:instrText xml:space="preserve"> "Tidigare behandlat i utskottet</w:instrText>
      </w:r>
      <w:r>
        <w:rPr>
          <w:b/>
        </w:rPr>
        <w:br/>
      </w:r>
      <w:r w:rsidRPr="002F0461">
        <w:instrText>2015-06-02</w:instrText>
      </w:r>
    </w:p>
    <w:p w14:paraId="1BB041E2" w14:textId="77777777" w:rsidR="00E0653A" w:rsidRDefault="006C0811"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2015-06-02</w:instrText>
      </w:r>
    </w:p>
    <w:p w14:paraId="1BB041E3" w14:textId="77777777" w:rsidR="009A03DA" w:rsidRDefault="006C0811" w:rsidP="00C8338E">
      <w:pPr>
        <w:rPr>
          <w:b/>
        </w:rPr>
      </w:pPr>
      <w:r>
        <w:rPr>
          <w:b/>
        </w:rPr>
        <w:fldChar w:fldCharType="end"/>
      </w:r>
      <w:r>
        <w:rPr>
          <w:b/>
        </w:rPr>
        <w:instrText xml:space="preserve">  "Tidigare behandlat i utskottet</w:instrText>
      </w:r>
      <w:r>
        <w:rPr>
          <w:b/>
        </w:rPr>
        <w:br/>
      </w:r>
      <w:r>
        <w:instrText>2015-06-02</w:instrText>
      </w:r>
    </w:p>
    <w:p w14:paraId="1BB041E4" w14:textId="77777777" w:rsidR="00643D86" w:rsidRDefault="006C0811" w:rsidP="00643D86">
      <w:r>
        <w:instrText>"</w:instrText>
      </w:r>
      <w:r>
        <w:rPr>
          <w:b/>
        </w:rPr>
        <w:instrText xml:space="preserve"> </w:instrText>
      </w:r>
      <w:r>
        <w:rPr>
          <w:b/>
        </w:rPr>
        <w:fldChar w:fldCharType="separate"/>
      </w:r>
      <w:r>
        <w:rPr>
          <w:b/>
        </w:rPr>
        <w:t>Tidigare behandlat i utskottet</w:t>
      </w:r>
      <w:r>
        <w:rPr>
          <w:b/>
        </w:rPr>
        <w:br/>
      </w:r>
      <w:r>
        <w:t>2015-06-02</w:t>
      </w:r>
    </w:p>
    <w:p w14:paraId="1BB041E7" w14:textId="7A3ECC3C" w:rsidR="009A03DA" w:rsidRDefault="006C0811" w:rsidP="006C0811">
      <w:r>
        <w:rPr>
          <w:b/>
        </w:rPr>
        <w:fldChar w:fldCharType="end"/>
      </w:r>
      <w:r w:rsidRPr="00B44CE2">
        <w:rPr>
          <w:b/>
        </w:rPr>
        <w:t>Annotering</w:t>
      </w:r>
      <w:r>
        <w:rPr>
          <w:b/>
        </w:rPr>
        <w:br/>
      </w:r>
      <w:r>
        <w:rPr>
          <w:b/>
          <w:bCs/>
        </w:rPr>
        <w:t xml:space="preserve">Avsikt med behandlingen i rådet: </w:t>
      </w:r>
      <w:r>
        <w:t>Antagande av politisk överenskommelse.</w:t>
      </w:r>
    </w:p>
    <w:p w14:paraId="1BB041E9" w14:textId="316CD5B9" w:rsidR="009A03DA" w:rsidRDefault="006C0811" w:rsidP="006C0811">
      <w:pPr>
        <w:spacing w:after="280" w:afterAutospacing="1"/>
      </w:pPr>
      <w:r>
        <w:rPr>
          <w:b/>
          <w:bCs/>
        </w:rPr>
        <w:t xml:space="preserve">Hur regeringen ställer sig till den blivande A-punkten: </w:t>
      </w:r>
      <w:r>
        <w:t>Regeringen kan stödja den politiska överenskommelsen.</w:t>
      </w:r>
    </w:p>
    <w:p w14:paraId="1BB041EB" w14:textId="45476FC3" w:rsidR="009A03DA" w:rsidRDefault="006C0811" w:rsidP="006C0811">
      <w:pPr>
        <w:spacing w:after="280" w:afterAutospacing="1"/>
      </w:pPr>
      <w:r>
        <w:rPr>
          <w:b/>
          <w:bCs/>
        </w:rPr>
        <w:t xml:space="preserve">Bakgrund: </w:t>
      </w:r>
      <w:r>
        <w:t>I september 2013 presenterade kommissionen ett direktivförslag om tekniska föreskrifter för fartyg i inlandssjöfart (ersätter direktiv från 2006). Syftet med förslaget är att skapa en struktur på direktivet som underlättar framtagandet av tekniska standarder.  Direktivet föreslås organiseras om så att beslutsmekanismer återfinns i artiklar och tekniska bestämmelser i bilagor. Därmed underlättas en harmonisering av standarder antagna av den nya kommittén för standarder i inlandssjöfarten (CESNI) som inrättats i samarbete med Centralkommissionen för Rhensjöfarten (CCNR).</w:t>
      </w:r>
    </w:p>
    <w:p w14:paraId="1BB041EC" w14:textId="77777777" w:rsidR="009A03DA" w:rsidRDefault="006C0811">
      <w:pPr>
        <w:spacing w:after="280" w:afterAutospacing="1"/>
      </w:pPr>
      <w:r>
        <w:t>Europaparlamentet antog sin förstaläsningsståndpunkt i april 2014. I juni 2015 nåddes en allmän riktlinje vid TTE-rådet. Efter ett andra trepartsmöte i mars 2016 nåddes en överenskommelse.</w:t>
      </w:r>
    </w:p>
    <w:bookmarkEnd w:id="1"/>
    <w:sectPr w:rsidR="009A03DA"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04208" w14:textId="77777777" w:rsidR="0052168F" w:rsidRDefault="006C0811">
      <w:pPr>
        <w:spacing w:after="0" w:line="240" w:lineRule="auto"/>
      </w:pPr>
      <w:r>
        <w:separator/>
      </w:r>
    </w:p>
  </w:endnote>
  <w:endnote w:type="continuationSeparator" w:id="0">
    <w:p w14:paraId="1BB0420A" w14:textId="77777777" w:rsidR="0052168F" w:rsidRDefault="006C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BB041F3" w14:textId="77777777" w:rsidR="00283DF3" w:rsidRDefault="008D0098">
        <w:pPr>
          <w:pStyle w:val="Sidfot"/>
          <w:jc w:val="right"/>
        </w:pPr>
      </w:p>
    </w:sdtContent>
  </w:sdt>
  <w:p w14:paraId="1BB041F4" w14:textId="77777777" w:rsidR="00283DF3" w:rsidRDefault="008D00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4202" w14:textId="77777777" w:rsidR="00283DF3" w:rsidRDefault="008D0098">
    <w:pPr>
      <w:pStyle w:val="Sidfot"/>
      <w:jc w:val="right"/>
    </w:pPr>
  </w:p>
  <w:p w14:paraId="1BB04203" w14:textId="77777777" w:rsidR="00283DF3" w:rsidRDefault="008D009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04204" w14:textId="77777777" w:rsidR="0052168F" w:rsidRDefault="006C0811">
      <w:pPr>
        <w:spacing w:after="0" w:line="240" w:lineRule="auto"/>
      </w:pPr>
      <w:r>
        <w:separator/>
      </w:r>
    </w:p>
  </w:footnote>
  <w:footnote w:type="continuationSeparator" w:id="0">
    <w:p w14:paraId="1BB04206" w14:textId="77777777" w:rsidR="0052168F" w:rsidRDefault="006C0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BB041F0" w14:textId="77777777" w:rsidR="002F3A5A" w:rsidRDefault="006C0811" w:rsidP="002F3A5A">
        <w:pPr>
          <w:pStyle w:val="Sidhuvud"/>
          <w:jc w:val="right"/>
        </w:pPr>
        <w:r>
          <w:fldChar w:fldCharType="begin"/>
        </w:r>
        <w:r>
          <w:instrText xml:space="preserve"> PAGE   \* MERGEFORMAT </w:instrText>
        </w:r>
        <w:r>
          <w:fldChar w:fldCharType="separate"/>
        </w:r>
        <w:r w:rsidR="008D0098">
          <w:rPr>
            <w:noProof/>
          </w:rPr>
          <w:t>2</w:t>
        </w:r>
        <w:r>
          <w:rPr>
            <w:noProof/>
          </w:rPr>
          <w:fldChar w:fldCharType="end"/>
        </w:r>
      </w:p>
    </w:sdtContent>
  </w:sdt>
  <w:p w14:paraId="1BB041F1" w14:textId="77777777" w:rsidR="006F1C0D" w:rsidRDefault="008D009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A03DA" w14:paraId="1BB041FC" w14:textId="77777777" w:rsidTr="006E71D7">
      <w:tc>
        <w:tcPr>
          <w:tcW w:w="4606" w:type="dxa"/>
        </w:tcPr>
        <w:p w14:paraId="1BB041F5" w14:textId="77777777" w:rsidR="006E71D7" w:rsidRDefault="006C0811" w:rsidP="00752770">
          <w:pPr>
            <w:pStyle w:val="Sidhuvud"/>
            <w:ind w:left="0"/>
          </w:pPr>
          <w:r>
            <w:rPr>
              <w:noProof/>
              <w:lang w:eastAsia="sv-SE"/>
            </w:rPr>
            <w:drawing>
              <wp:inline distT="0" distB="0" distL="0" distR="0" wp14:anchorId="1BB04204" wp14:editId="1BB0420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BB041F6" w14:textId="77777777" w:rsidR="00FB32B9" w:rsidRDefault="008D0098"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9A03DA" w14:paraId="1BB041F9" w14:textId="77777777" w:rsidTr="00623763">
            <w:tc>
              <w:tcPr>
                <w:tcW w:w="1833" w:type="dxa"/>
              </w:tcPr>
              <w:p w14:paraId="1BB041F7" w14:textId="77777777" w:rsidR="00623763" w:rsidRPr="00623763" w:rsidRDefault="006C0811" w:rsidP="00623763">
                <w:pPr>
                  <w:ind w:left="0"/>
                </w:pPr>
                <w:r w:rsidRPr="00623763">
                  <w:rPr>
                    <w:rFonts w:ascii="TradeGothic" w:hAnsi="TradeGothic"/>
                    <w:b/>
                  </w:rPr>
                  <w:t>Promemoria</w:t>
                </w:r>
              </w:p>
            </w:tc>
            <w:tc>
              <w:tcPr>
                <w:tcW w:w="1833" w:type="dxa"/>
              </w:tcPr>
              <w:p w14:paraId="1BB041F8" w14:textId="77777777" w:rsidR="00623763" w:rsidRPr="00623763" w:rsidRDefault="006C0811"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16</w:t>
                </w:r>
                <w:r w:rsidRPr="00623763">
                  <w:rPr>
                    <w:rFonts w:ascii="TradeGothic" w:hAnsi="TradeGothic"/>
                    <w:b/>
                  </w:rPr>
                  <w:t>]</w:t>
                </w:r>
              </w:p>
            </w:tc>
          </w:tr>
        </w:tbl>
        <w:p w14:paraId="1BB041FA" w14:textId="77777777" w:rsidR="00FB32B9" w:rsidRDefault="008D0098" w:rsidP="00FB32B9">
          <w:pPr>
            <w:jc w:val="right"/>
          </w:pPr>
        </w:p>
        <w:p w14:paraId="1BB041FB" w14:textId="1FE8B7E7" w:rsidR="006E71D7" w:rsidRDefault="006C0811" w:rsidP="00FB32B9">
          <w:pPr>
            <w:ind w:right="916"/>
          </w:pPr>
          <w:r>
            <w:rPr>
              <w:rFonts w:ascii="TradeGothic" w:hAnsi="TradeGothic"/>
              <w:b/>
              <w:noProof/>
            </w:rPr>
            <w:t>2016-04-20</w:t>
          </w:r>
          <w:r w:rsidRPr="00934953">
            <w:t xml:space="preserve"> </w:t>
          </w:r>
        </w:p>
      </w:tc>
    </w:tr>
  </w:tbl>
  <w:p w14:paraId="1BB041FD" w14:textId="77777777" w:rsidR="00FB32B9" w:rsidRDefault="008D0098" w:rsidP="00FB32B9">
    <w:pPr>
      <w:pStyle w:val="Avsndare"/>
      <w:framePr w:w="0" w:hRule="auto" w:hSpace="0" w:wrap="auto" w:vAnchor="margin" w:hAnchor="text" w:xAlign="left" w:yAlign="inline"/>
      <w:rPr>
        <w:b/>
        <w:i w:val="0"/>
        <w:sz w:val="22"/>
      </w:rPr>
    </w:pPr>
  </w:p>
  <w:p w14:paraId="1BB041FE" w14:textId="77777777" w:rsidR="00FB32B9" w:rsidRDefault="006C0811" w:rsidP="00FB32B9">
    <w:pPr>
      <w:pStyle w:val="Avsndare"/>
      <w:framePr w:w="0" w:hRule="auto" w:hSpace="0" w:wrap="auto" w:vAnchor="margin" w:hAnchor="text" w:xAlign="left" w:yAlign="inline"/>
      <w:rPr>
        <w:b/>
        <w:i w:val="0"/>
        <w:sz w:val="22"/>
      </w:rPr>
    </w:pPr>
    <w:r>
      <w:rPr>
        <w:b/>
        <w:i w:val="0"/>
        <w:sz w:val="22"/>
      </w:rPr>
      <w:t>Statsrådsberedningen</w:t>
    </w:r>
  </w:p>
  <w:p w14:paraId="1BB041FF" w14:textId="77777777" w:rsidR="00FB32B9" w:rsidRDefault="008D0098" w:rsidP="00FB32B9">
    <w:pPr>
      <w:pStyle w:val="Avsndare"/>
      <w:framePr w:w="0" w:hRule="auto" w:hSpace="0" w:wrap="auto" w:vAnchor="margin" w:hAnchor="text" w:xAlign="left" w:yAlign="inline"/>
    </w:pPr>
  </w:p>
  <w:p w14:paraId="1BB04200" w14:textId="77777777" w:rsidR="00FB32B9" w:rsidRDefault="006C0811" w:rsidP="00FB32B9">
    <w:pPr>
      <w:pStyle w:val="Avsndare"/>
      <w:framePr w:w="0" w:hRule="auto" w:hSpace="0" w:wrap="auto" w:vAnchor="margin" w:hAnchor="text" w:xAlign="left" w:yAlign="inline"/>
    </w:pPr>
    <w:r>
      <w:t>EU-kansliet</w:t>
    </w:r>
  </w:p>
  <w:p w14:paraId="1BB04201" w14:textId="77777777" w:rsidR="0012376B" w:rsidRDefault="008D009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B4A7E0C">
      <w:start w:val="1"/>
      <w:numFmt w:val="decimal"/>
      <w:pStyle w:val="Rubrik1"/>
      <w:lvlText w:val="%1."/>
      <w:lvlJc w:val="left"/>
      <w:pPr>
        <w:ind w:left="720" w:hanging="360"/>
      </w:pPr>
    </w:lvl>
    <w:lvl w:ilvl="1" w:tplc="21820108" w:tentative="1">
      <w:start w:val="1"/>
      <w:numFmt w:val="lowerLetter"/>
      <w:lvlText w:val="%2."/>
      <w:lvlJc w:val="left"/>
      <w:pPr>
        <w:ind w:left="1440" w:hanging="360"/>
      </w:pPr>
    </w:lvl>
    <w:lvl w:ilvl="2" w:tplc="EB0A6C72" w:tentative="1">
      <w:start w:val="1"/>
      <w:numFmt w:val="lowerRoman"/>
      <w:lvlText w:val="%3."/>
      <w:lvlJc w:val="right"/>
      <w:pPr>
        <w:ind w:left="2160" w:hanging="180"/>
      </w:pPr>
    </w:lvl>
    <w:lvl w:ilvl="3" w:tplc="C4A699A6" w:tentative="1">
      <w:start w:val="1"/>
      <w:numFmt w:val="decimal"/>
      <w:lvlText w:val="%4."/>
      <w:lvlJc w:val="left"/>
      <w:pPr>
        <w:ind w:left="2880" w:hanging="360"/>
      </w:pPr>
    </w:lvl>
    <w:lvl w:ilvl="4" w:tplc="F1BC8006" w:tentative="1">
      <w:start w:val="1"/>
      <w:numFmt w:val="lowerLetter"/>
      <w:lvlText w:val="%5."/>
      <w:lvlJc w:val="left"/>
      <w:pPr>
        <w:ind w:left="3600" w:hanging="360"/>
      </w:pPr>
    </w:lvl>
    <w:lvl w:ilvl="5" w:tplc="D1F2BFA4" w:tentative="1">
      <w:start w:val="1"/>
      <w:numFmt w:val="lowerRoman"/>
      <w:lvlText w:val="%6."/>
      <w:lvlJc w:val="right"/>
      <w:pPr>
        <w:ind w:left="4320" w:hanging="180"/>
      </w:pPr>
    </w:lvl>
    <w:lvl w:ilvl="6" w:tplc="8D22CABE" w:tentative="1">
      <w:start w:val="1"/>
      <w:numFmt w:val="decimal"/>
      <w:lvlText w:val="%7."/>
      <w:lvlJc w:val="left"/>
      <w:pPr>
        <w:ind w:left="5040" w:hanging="360"/>
      </w:pPr>
    </w:lvl>
    <w:lvl w:ilvl="7" w:tplc="6E0430FE" w:tentative="1">
      <w:start w:val="1"/>
      <w:numFmt w:val="lowerLetter"/>
      <w:lvlText w:val="%8."/>
      <w:lvlJc w:val="left"/>
      <w:pPr>
        <w:ind w:left="5760" w:hanging="360"/>
      </w:pPr>
    </w:lvl>
    <w:lvl w:ilvl="8" w:tplc="0BA88342" w:tentative="1">
      <w:start w:val="1"/>
      <w:numFmt w:val="lowerRoman"/>
      <w:lvlText w:val="%9."/>
      <w:lvlJc w:val="right"/>
      <w:pPr>
        <w:ind w:left="6480" w:hanging="180"/>
      </w:pPr>
    </w:lvl>
  </w:abstractNum>
  <w:abstractNum w:abstractNumId="1">
    <w:nsid w:val="73990993"/>
    <w:multiLevelType w:val="hybridMultilevel"/>
    <w:tmpl w:val="3BD822EE"/>
    <w:lvl w:ilvl="0" w:tplc="B742F2D0">
      <w:start w:val="1"/>
      <w:numFmt w:val="decimal"/>
      <w:lvlText w:val="%1."/>
      <w:lvlJc w:val="left"/>
      <w:pPr>
        <w:ind w:left="360" w:hanging="360"/>
      </w:pPr>
      <w:rPr>
        <w:b w:val="0"/>
      </w:rPr>
    </w:lvl>
    <w:lvl w:ilvl="1" w:tplc="A7DC162C" w:tentative="1">
      <w:start w:val="1"/>
      <w:numFmt w:val="lowerLetter"/>
      <w:lvlText w:val="%2."/>
      <w:lvlJc w:val="left"/>
      <w:pPr>
        <w:ind w:left="1080" w:hanging="360"/>
      </w:pPr>
    </w:lvl>
    <w:lvl w:ilvl="2" w:tplc="D6F05E9E" w:tentative="1">
      <w:start w:val="1"/>
      <w:numFmt w:val="lowerRoman"/>
      <w:lvlText w:val="%3."/>
      <w:lvlJc w:val="right"/>
      <w:pPr>
        <w:ind w:left="1800" w:hanging="180"/>
      </w:pPr>
    </w:lvl>
    <w:lvl w:ilvl="3" w:tplc="41F6D2FE" w:tentative="1">
      <w:start w:val="1"/>
      <w:numFmt w:val="decimal"/>
      <w:lvlText w:val="%4."/>
      <w:lvlJc w:val="left"/>
      <w:pPr>
        <w:ind w:left="2520" w:hanging="360"/>
      </w:pPr>
    </w:lvl>
    <w:lvl w:ilvl="4" w:tplc="1BD89782" w:tentative="1">
      <w:start w:val="1"/>
      <w:numFmt w:val="lowerLetter"/>
      <w:lvlText w:val="%5."/>
      <w:lvlJc w:val="left"/>
      <w:pPr>
        <w:ind w:left="3240" w:hanging="360"/>
      </w:pPr>
    </w:lvl>
    <w:lvl w:ilvl="5" w:tplc="FD8EEEC4" w:tentative="1">
      <w:start w:val="1"/>
      <w:numFmt w:val="lowerRoman"/>
      <w:lvlText w:val="%6."/>
      <w:lvlJc w:val="right"/>
      <w:pPr>
        <w:ind w:left="3960" w:hanging="180"/>
      </w:pPr>
    </w:lvl>
    <w:lvl w:ilvl="6" w:tplc="544E8DAA" w:tentative="1">
      <w:start w:val="1"/>
      <w:numFmt w:val="decimal"/>
      <w:lvlText w:val="%7."/>
      <w:lvlJc w:val="left"/>
      <w:pPr>
        <w:ind w:left="4680" w:hanging="360"/>
      </w:pPr>
    </w:lvl>
    <w:lvl w:ilvl="7" w:tplc="3ED01ACA" w:tentative="1">
      <w:start w:val="1"/>
      <w:numFmt w:val="lowerLetter"/>
      <w:lvlText w:val="%8."/>
      <w:lvlJc w:val="left"/>
      <w:pPr>
        <w:ind w:left="5400" w:hanging="360"/>
      </w:pPr>
    </w:lvl>
    <w:lvl w:ilvl="8" w:tplc="FBD8405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DA"/>
    <w:rsid w:val="0052168F"/>
    <w:rsid w:val="006C0811"/>
    <w:rsid w:val="008D0098"/>
    <w:rsid w:val="009A0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JE6N4JFJXNNF-17-41840</_dlc_DocId>
    <_dlc_DocIdUrl xmlns="8b66ae41-1ec6-402e-b662-35d1932ca064">
      <Url>http://rkdhs-sb/enhet/EUKansli/_layouts/DocIdRedir.aspx?ID=JE6N4JFJXNNF-17-41840</Url>
      <Description>JE6N4JFJXNNF-17-41840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D8421-8BC7-402E-88C3-946F7BBFF703}"/>
</file>

<file path=customXml/itemProps2.xml><?xml version="1.0" encoding="utf-8"?>
<ds:datastoreItem xmlns:ds="http://schemas.openxmlformats.org/officeDocument/2006/customXml" ds:itemID="{1666CEED-7917-41F0-850F-7C1C2E687C80}"/>
</file>

<file path=customXml/itemProps3.xml><?xml version="1.0" encoding="utf-8"?>
<ds:datastoreItem xmlns:ds="http://schemas.openxmlformats.org/officeDocument/2006/customXml" ds:itemID="{CB58EC3A-6BE3-4774-9934-33692A707824}"/>
</file>

<file path=customXml/itemProps4.xml><?xml version="1.0" encoding="utf-8"?>
<ds:datastoreItem xmlns:ds="http://schemas.openxmlformats.org/officeDocument/2006/customXml" ds:itemID="{86BDC131-126F-42F1-8EA8-C27081090AA4}"/>
</file>

<file path=customXml/itemProps5.xml><?xml version="1.0" encoding="utf-8"?>
<ds:datastoreItem xmlns:ds="http://schemas.openxmlformats.org/officeDocument/2006/customXml" ds:itemID="{0EBD8ADB-DCDF-4DE5-AC30-256230D9972A}"/>
</file>

<file path=customXml/itemProps6.xml><?xml version="1.0" encoding="utf-8"?>
<ds:datastoreItem xmlns:ds="http://schemas.openxmlformats.org/officeDocument/2006/customXml" ds:itemID="{412E550B-8805-4AC1-81ED-624F97F0970B}"/>
</file>

<file path=customXml/itemProps7.xml><?xml version="1.0" encoding="utf-8"?>
<ds:datastoreItem xmlns:ds="http://schemas.openxmlformats.org/officeDocument/2006/customXml" ds:itemID="{F5356C25-8AE0-4819-A29F-0C3C12C88A19}"/>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12346</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2016-04-20T06:46:00Z</dcterms:created>
  <dcterms:modified xsi:type="dcterms:W3CDTF">2016-04-20T06:46:00Z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1,2,4,5,6,7,8,9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d94c4f69-d224-440d-aac7-b22b11a0a810</vt:lpwstr>
  </property>
</Properties>
</file>