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2860" w:rsidRDefault="00B02860">
      <w:pPr>
        <w:pStyle w:val="Rubrik1"/>
        <w:spacing w:before="0"/>
      </w:pPr>
      <w:bookmarkStart w:id="0" w:name="_Toc401396991"/>
      <w:r>
        <w:t>Till finansutskottet</w:t>
      </w:r>
      <w:bookmarkEnd w:id="0"/>
    </w:p>
    <w:p w:rsidR="00B02860" w:rsidRDefault="00B02860">
      <w:r>
        <w:t>Finansutskottet har berett näringsutskottet tillfälle att avge yttrande över budgetpropositionen för år 1998 (prop. 1997/98:1) jämte motioner, såvitt avser den ekonomiska politiken och förslag till statsbudget för budgetåret 1998, utgifternas fördelning på utgiftsområden och beräkningen av statsi</w:t>
      </w:r>
      <w:r>
        <w:t>n</w:t>
      </w:r>
      <w:r>
        <w:t>komsterna, låneramar m.m. i de delar som berör näringsutskottets bere</w:t>
      </w:r>
      <w:r>
        <w:t>d</w:t>
      </w:r>
      <w:r>
        <w:t>ningsområde.</w:t>
      </w:r>
    </w:p>
    <w:p w:rsidR="00B02860" w:rsidRDefault="00B02860">
      <w:pPr>
        <w:pStyle w:val="Rubrik2"/>
      </w:pPr>
      <w:r>
        <w:t>Propositionen</w:t>
      </w:r>
    </w:p>
    <w:p w:rsidR="00B02860" w:rsidRDefault="00B02860">
      <w:r>
        <w:t>Näringsutskottet behandlar i detta yttrande följande förslag till riksdagsb</w:t>
      </w:r>
      <w:r>
        <w:t>e</w:t>
      </w:r>
      <w:r>
        <w:t>slut:</w:t>
      </w:r>
    </w:p>
    <w:p w:rsidR="00B02860" w:rsidRDefault="00B02860">
      <w:pPr>
        <w:pStyle w:val="Normaltindrag"/>
      </w:pPr>
      <w:r>
        <w:rPr>
          <w:i/>
        </w:rPr>
        <w:t>såvitt avser den ekonomiska politiken och förslag till statsbudget för bu</w:t>
      </w:r>
      <w:r>
        <w:rPr>
          <w:i/>
        </w:rPr>
        <w:t>d</w:t>
      </w:r>
      <w:r>
        <w:rPr>
          <w:i/>
        </w:rPr>
        <w:t>getåret 1998</w:t>
      </w:r>
    </w:p>
    <w:p w:rsidR="00B02860" w:rsidRDefault="00B02860">
      <w:pPr>
        <w:pStyle w:val="Normaltindrag"/>
      </w:pPr>
      <w:r>
        <w:t>4. (delvis) att riksdagen beslutar om fördelning av utgifterna för budgetåret 1998 på utgiftsområden i enlighet med vad regeringen anfört (avsnitt 4.5.3, tabell 4.10),</w:t>
      </w:r>
    </w:p>
    <w:p w:rsidR="00B02860" w:rsidRDefault="00B02860">
      <w:pPr>
        <w:pStyle w:val="Normaltindrag"/>
      </w:pPr>
      <w:r>
        <w:t>5. (delvis) att riksdagen godkänner den preliminära fördelningen av utgi</w:t>
      </w:r>
      <w:r>
        <w:t>f</w:t>
      </w:r>
      <w:r>
        <w:t>terna på utgiftsområden för budgetåren 1999 och 2000 som riktlinjer för regerin</w:t>
      </w:r>
      <w:r>
        <w:t>g</w:t>
      </w:r>
      <w:r>
        <w:t>ens budgetarbete (avsnitt 4.5.3, tabell 4.10).</w:t>
      </w:r>
    </w:p>
    <w:p w:rsidR="00B02860" w:rsidRDefault="00B02860">
      <w:pPr>
        <w:pStyle w:val="Rubrik2"/>
      </w:pPr>
      <w:r>
        <w:t>Motionerna</w:t>
      </w:r>
    </w:p>
    <w:p w:rsidR="00B02860" w:rsidRDefault="00B02860">
      <w:r>
        <w:t>De motioner som behandlas här är följande:</w:t>
      </w:r>
    </w:p>
    <w:p w:rsidR="00B02860" w:rsidRDefault="00B02860">
      <w:r>
        <w:t xml:space="preserve">1997/98:Fi206 av Carl Bildt m.fl. (m) såvitt gäller yrkandena att riksdagen </w:t>
      </w:r>
    </w:p>
    <w:p w:rsidR="00B02860" w:rsidRDefault="00B02860">
      <w:pPr>
        <w:pStyle w:val="Normaltindrag"/>
      </w:pPr>
      <w:r>
        <w:t>4. (delvis) beslutar om fördelning av utgifterna för budgetåret 1998 på u</w:t>
      </w:r>
      <w:r>
        <w:t>t</w:t>
      </w:r>
      <w:r>
        <w:t>giftsområden i enlighet med vad som anförts i motionen (avsnitt 5.6),</w:t>
      </w:r>
    </w:p>
    <w:p w:rsidR="00B02860" w:rsidRDefault="00B02860">
      <w:pPr>
        <w:pStyle w:val="Normaltindrag"/>
      </w:pPr>
      <w:r>
        <w:t>5. (delvis) godkänner den preliminära fördelningen av utgifterna på u</w:t>
      </w:r>
      <w:r>
        <w:t>t</w:t>
      </w:r>
      <w:r>
        <w:t>giftsområden för budgetåren 1999 och 2000 som riktlinjer för regeringens budg</w:t>
      </w:r>
      <w:r>
        <w:t>e</w:t>
      </w:r>
      <w:r>
        <w:t>tarbete i enlighet med vad som anförts i motionen (avsnitt 5.6).</w:t>
      </w:r>
    </w:p>
    <w:p w:rsidR="00B02860" w:rsidRDefault="00B02860">
      <w:r>
        <w:t>1997/98:Fi212 av Lars Leijonborg m.fl. (fp) såvitt gäller yrkandena att rik</w:t>
      </w:r>
      <w:r>
        <w:t>s</w:t>
      </w:r>
      <w:r>
        <w:t>dagen</w:t>
      </w:r>
    </w:p>
    <w:p w:rsidR="00B02860" w:rsidRDefault="00B02860">
      <w:pPr>
        <w:pStyle w:val="Normaltindrag"/>
      </w:pPr>
      <w:r>
        <w:t>3. (delvis) för budgetåret 1998 beslutar om fördelning av utgifterna på u</w:t>
      </w:r>
      <w:r>
        <w:t>t</w:t>
      </w:r>
      <w:r>
        <w:t>giftsområden enligt vad som anförts i motionen (tabell A),</w:t>
      </w:r>
    </w:p>
    <w:p w:rsidR="00B02860" w:rsidRDefault="00B02860">
      <w:pPr>
        <w:pStyle w:val="Normaltindrag"/>
      </w:pPr>
      <w:r>
        <w:lastRenderedPageBreak/>
        <w:t>4. (delvis) för budgetåren 1999 och 2000 godkänner den preliminära fö</w:t>
      </w:r>
      <w:r>
        <w:t>r</w:t>
      </w:r>
      <w:r>
        <w:t>delningen av utgifterna på utgiftsområden som riktlinjer för regeringens budgetarbete enligt vad som anförts i motionen (tabell A).</w:t>
      </w:r>
    </w:p>
    <w:p w:rsidR="00B02860" w:rsidRDefault="00B02860">
      <w:r>
        <w:t>1997/98:Fi215 av Alf Svensson m.fl. (kd) såvitt gäller yrkandena att riksd</w:t>
      </w:r>
      <w:r>
        <w:t>a</w:t>
      </w:r>
      <w:r>
        <w:t>gen med avslag på regeringens förslag</w:t>
      </w:r>
    </w:p>
    <w:p w:rsidR="00B02860" w:rsidRDefault="00B02860">
      <w:pPr>
        <w:pStyle w:val="Normaltindrag"/>
      </w:pPr>
      <w:r>
        <w:t>2. (delvis) beslutar om fördelning av utgifterna för budgetåret 1998 på u</w:t>
      </w:r>
      <w:r>
        <w:t>t</w:t>
      </w:r>
      <w:r>
        <w:t>giftsområden i enlighet med vad i moti</w:t>
      </w:r>
      <w:r>
        <w:t>o</w:t>
      </w:r>
      <w:r>
        <w:t>nen anförts (avsnitt 7, tabell 7),</w:t>
      </w:r>
    </w:p>
    <w:p w:rsidR="00B02860" w:rsidRDefault="00B02860">
      <w:pPr>
        <w:pStyle w:val="Normaltindrag"/>
      </w:pPr>
      <w:r>
        <w:t>3. (delvis) godkänner den preliminära fördelningen av utgifterna på u</w:t>
      </w:r>
      <w:r>
        <w:t>t</w:t>
      </w:r>
      <w:r>
        <w:t>giftsområden för budgetåren 1999 och 2000 som riktlinjer för regeringens arbete i enlighet med motionen (tabell 7).</w:t>
      </w:r>
    </w:p>
    <w:p w:rsidR="00B02860" w:rsidRDefault="00B02860">
      <w:r>
        <w:t>1997/98:Fi218 av Olof Johansson m.fl. (c) såvitt gäller yrkandet 2 (delvis) att riksdagen för budgetåret 1998 beslutar om fördelning av utgifterna på u</w:t>
      </w:r>
      <w:r>
        <w:t>t</w:t>
      </w:r>
      <w:r>
        <w:t>giftsområden i enlighet med förslagen i proposition 1997/98:1.</w:t>
      </w:r>
    </w:p>
    <w:p w:rsidR="00B02860" w:rsidRDefault="00B02860">
      <w:r>
        <w:t>1997/98:Fi219 av Marianne Samuelsson m.fl. (mp) såvitt gäller yrkandena att riksdagen</w:t>
      </w:r>
    </w:p>
    <w:p w:rsidR="00B02860" w:rsidRDefault="00B02860">
      <w:pPr>
        <w:pStyle w:val="Normaltindrag"/>
      </w:pPr>
      <w:r>
        <w:t>19. (delvis) beslutar om fördelning av utgifterna för budgetåret 1998 på utgiftso</w:t>
      </w:r>
      <w:r>
        <w:t>m</w:t>
      </w:r>
      <w:r>
        <w:t>råden i enlighet med vad som anförts i motionen (tabell 2),</w:t>
      </w:r>
    </w:p>
    <w:p w:rsidR="00B02860" w:rsidRDefault="00B02860">
      <w:pPr>
        <w:pStyle w:val="Normaltindrag"/>
      </w:pPr>
      <w:r>
        <w:t>20. (delvis) godkänner den preliminära fördelningen av utgifterna på u</w:t>
      </w:r>
      <w:r>
        <w:t>t</w:t>
      </w:r>
      <w:r>
        <w:t>giftsområden för budgetåren 1999 och 2000 som riktlinjer för regeringens budgetarb</w:t>
      </w:r>
      <w:r>
        <w:t>e</w:t>
      </w:r>
      <w:r>
        <w:t>te (tabell 2).</w:t>
      </w:r>
    </w:p>
    <w:p w:rsidR="00B02860" w:rsidRDefault="00B02860">
      <w:r>
        <w:t>1997/98:Fi220 av Johan Lönnroth m.fl. (v) såvitt gäller yrkandet 4 (delvis) att riksdagen med avslag på regeringens förslag godkänner den fördelning av de statliga utgifterna på utgiftsområden för 1998 som anförts i motionen (tabell 1).</w:t>
      </w:r>
    </w:p>
    <w:p w:rsidR="00B02860" w:rsidRDefault="00B02860">
      <w:pPr>
        <w:pStyle w:val="Rubrik1"/>
      </w:pPr>
      <w:r>
        <w:t>Näringsutskottet</w:t>
      </w:r>
    </w:p>
    <w:p w:rsidR="00B02860" w:rsidRDefault="00B02860">
      <w:pPr>
        <w:pStyle w:val="Rubrik2"/>
        <w:spacing w:before="123"/>
      </w:pPr>
      <w:r>
        <w:t>Inledning</w:t>
      </w:r>
    </w:p>
    <w:p w:rsidR="00B02860" w:rsidRDefault="00B02860">
      <w:r>
        <w:t>Riksdagen beslöt våren 1997 – som riktlinjer för regeringens budgetarbete – att godkänna den preliminära fördelningen av utgifter på utgiftsområden åren 1998–2000 som redovisades i den ekonomiska vårpropositionen (prop. 1996/97:150, bet. FiU20). Näringsutskottet bereder ärenden om anslag inom utgiftsområdena 21 och 24. För utgiftsområde 21 Energi angavs utgiftsramen för år 1998 till 1 569 miljoner kronor, för år 1999 till 1 812 miljoner kronor och för år 2000 till 1 490 miljoner kronor. För utgiftsområdet 2</w:t>
      </w:r>
      <w:r>
        <w:t xml:space="preserve">4 Näringsliv var utgiftsramen 2 572 miljoner kronor för år 1998, 2 555 miljoner kronor för år 1999 och 2 602 miljoner kronor för år 2000. </w:t>
      </w:r>
    </w:p>
    <w:p w:rsidR="00B02860" w:rsidRDefault="00B02860">
      <w:pPr>
        <w:pStyle w:val="Rubrik2"/>
      </w:pPr>
      <w:r>
        <w:t>Utgiftsområde 21 Energi</w:t>
      </w:r>
    </w:p>
    <w:p w:rsidR="00B02860" w:rsidRDefault="00B02860">
      <w:pPr>
        <w:pStyle w:val="Rubrik3"/>
        <w:spacing w:before="123"/>
      </w:pPr>
      <w:r>
        <w:t>Propositionen</w:t>
      </w:r>
    </w:p>
    <w:p w:rsidR="00B02860" w:rsidRDefault="00B02860">
      <w:r>
        <w:t>Utgiftsområdet omfattar insatser för omställning och utveckling av energisy</w:t>
      </w:r>
      <w:r>
        <w:softHyphen/>
        <w:t>stemet samt insatser för att främja utvecklingen av effektiva energimarknader och en god försörjningsberedskap.</w:t>
      </w:r>
    </w:p>
    <w:p w:rsidR="00B02860" w:rsidRDefault="00B02860">
      <w:pPr>
        <w:pStyle w:val="Normaltindrag"/>
      </w:pPr>
      <w:r>
        <w:t>De viktigaste målen inom utgiftsområdet är följande:</w:t>
      </w:r>
    </w:p>
    <w:p w:rsidR="00B02860" w:rsidRDefault="00B02860">
      <w:pPr>
        <w:pStyle w:val="Normaltindrag"/>
      </w:pPr>
      <w:r>
        <w:sym w:font="Symbol" w:char="F02D"/>
      </w:r>
      <w:r>
        <w:t xml:space="preserve"> att på kort och lång sikt trygga tillgången till energi på med omvärlden konkurrenskraftiga villkor för att främja en god ekonomisk och social u</w:t>
      </w:r>
      <w:r>
        <w:t>t</w:t>
      </w:r>
      <w:r>
        <w:t>veckling i Sverige,</w:t>
      </w:r>
    </w:p>
    <w:p w:rsidR="00B02860" w:rsidRDefault="00B02860">
      <w:pPr>
        <w:pStyle w:val="Normaltindrag"/>
      </w:pPr>
      <w:r>
        <w:sym w:font="Symbol" w:char="F02D"/>
      </w:r>
      <w:r>
        <w:t xml:space="preserve"> att skapa villkor för en effektiv energianvändning och en kostnadseffe</w:t>
      </w:r>
      <w:r>
        <w:t>k</w:t>
      </w:r>
      <w:r>
        <w:t>tiv svensk energiförsörjning med låg negativ påverkan på hälsa, miljö och klimat,</w:t>
      </w:r>
    </w:p>
    <w:p w:rsidR="00B02860" w:rsidRDefault="00B02860">
      <w:pPr>
        <w:pStyle w:val="Normaltindrag"/>
      </w:pPr>
      <w:r>
        <w:sym w:font="Symbol" w:char="F02D"/>
      </w:r>
      <w:r>
        <w:t xml:space="preserve"> att underlätta omställningen till ett ekologiskt uthålligt samhälle.</w:t>
      </w:r>
    </w:p>
    <w:p w:rsidR="00B02860" w:rsidRDefault="00B02860">
      <w:r>
        <w:t>Inom utgiftsområdet prioriteras under år 1998 det energipolitiska program för omställningen av det svenska energisystemet som beslutats av riksdagen (prop. 1996/97:84, bet. NU12). Detta program omfattar totalt ca 9 miljarder kronor och avser tiden fram t.o.m. år 2004. Programmet innefattar åtgärder som syftar till att på ett kostnadseffektivt sätt minska användningen av el för uppvärmning, utnyttja det befintliga elsystemet effektivare och öka tillförseln av el och värme från förnybara energikällor. Särskil</w:t>
      </w:r>
      <w:r>
        <w:t>da åtgärder planeras för att utveckla el- och värmeförsörjningen i Sydsverige. Energipolitiska insatser på klimatområdet planeras. En ny central energimyndighet skall inrättas den 1 januari 1998. Besparingsåtgärder inom utgiftsområdet skall genomföras, i enli</w:t>
      </w:r>
      <w:r>
        <w:t>g</w:t>
      </w:r>
      <w:r>
        <w:t>het med vad som angavs i vårpropositionen (prop. 1996/97:150).</w:t>
      </w:r>
    </w:p>
    <w:p w:rsidR="00B02860" w:rsidRDefault="00B02860">
      <w:pPr>
        <w:pStyle w:val="Normaltindrag"/>
      </w:pPr>
      <w:r>
        <w:t>Ramen för utgiftsområdet föreslås för år 1998 till 1 583 miljoner kronor. För år 1999 beräknas ramen till 1 842 miljoner kronor och för år 2000 till 1 603 miljoner kronor. En sammanställning av regeringens och opposition</w:t>
      </w:r>
      <w:r>
        <w:t>s</w:t>
      </w:r>
      <w:r>
        <w:t>partiernas förslag till utgiftsramar finns i bilaga 1. Regeringens förslag till fördelning av ramen för år 1998 på olika anslag framgår av bilaga 2.</w:t>
      </w:r>
    </w:p>
    <w:p w:rsidR="00B02860" w:rsidRDefault="00B02860">
      <w:pPr>
        <w:pStyle w:val="Rubrik3"/>
      </w:pPr>
      <w:r>
        <w:t>Motionerna</w:t>
      </w:r>
    </w:p>
    <w:p w:rsidR="00B02860" w:rsidRDefault="00B02860">
      <w:r>
        <w:t>Regeringens förslag till femårigt omställningsprogram med stöd till invest</w:t>
      </w:r>
      <w:r>
        <w:t>e</w:t>
      </w:r>
      <w:r>
        <w:t>ringar på energiområdet är betingat av den förtida avvecklingen av kärnkra</w:t>
      </w:r>
      <w:r>
        <w:t>f</w:t>
      </w:r>
      <w:r>
        <w:t>ten och bör inte genomföras, anförs det i motion 1997/98:Fi206 (m). Även anslaget för energipolitiska åtgärder i Sydsverige och skapandet av en ny energimyndighet avvisas. Vidare föreslås i motionen att 15 miljoner kronor avsedda för energiforskning skall föras från utgiftsområdet till Naturvete</w:t>
      </w:r>
      <w:r>
        <w:t>n</w:t>
      </w:r>
      <w:r>
        <w:t>skapliga forskningsrådet (utgiftsområde 16). Härutöver skall ca 40 miljoner kronor överföras från utgiftsområdet till utgiftsområde 24 Näringsliv för att Närings- och teknikutvecklingsverkets (NUTEK:s) energienhet skall kunna kvarstå. Sammantaget föreslås i motionen en minskning av utgiftsramen med 956 miljoner kronor för år 1998, med 1 028 miljoner kronor för år 1999 och med 981 miljoner kronor för år 2000. Hur minskningen för år 1998 skall fördelas på olika anslag framgår av bilaga 2, där uppgifterna hämt</w:t>
      </w:r>
      <w:r>
        <w:t>ats från den här aktuella motionen.</w:t>
      </w:r>
    </w:p>
    <w:p w:rsidR="00B02860" w:rsidRDefault="00B02860">
      <w:r>
        <w:t>I och med energiuppgörelsen våren 1997 mellan Socialdemokraterna, Ce</w:t>
      </w:r>
      <w:r>
        <w:t>n</w:t>
      </w:r>
      <w:r>
        <w:t>terpartiet och Vänsterpartiet skrivs ett nytt kapitel i den svenska energipolit</w:t>
      </w:r>
      <w:r>
        <w:t>i</w:t>
      </w:r>
      <w:r>
        <w:t>ken, sägs det i motion 1997/98:Fi218 (c). Omställningen av energisystemet kommer nu att påbörjas i enlighet med svenska folkets besked år 1980, heter det vidare. Den första reaktorn skall stängas före valet år 1998 och den andra före halvårsskiftet år 2001, varefter avvecklingen skall fortsätta med beslut under kommande mandatperiod. Riksdagen har ställt sig bakom förslaget från regeringen, Centerpartiet och Vänsterpartiet avseende finansieringen av det energipolitiska programmet, konstateras det. Denna ska</w:t>
      </w:r>
      <w:r>
        <w:t>ll inledningsvis i huvudsak ske genom att befintliga reserverade medel från tidigare energipr</w:t>
      </w:r>
      <w:r>
        <w:t>o</w:t>
      </w:r>
      <w:r>
        <w:t>gram dras in. Sammanfattningsvis står Centerpartiet bakom regeringens förslag till fördelning av utgifterna på utgiftsområden för år 1998.</w:t>
      </w:r>
    </w:p>
    <w:p w:rsidR="00B02860" w:rsidRDefault="00B02860">
      <w:r>
        <w:t>I motion 1997/98:Fi212 (fp) föreslås sammantaget en minskning av ramen för utgiftsområdet med 863 miljoner kronor för år 1998, med 694 miljoner kronor för år 1999 och med 488 miljoner kronor för år 2000. Hur den för</w:t>
      </w:r>
      <w:r>
        <w:t>e</w:t>
      </w:r>
      <w:r>
        <w:t>slagna minskningen för år 1998 skall fördelas på olika anslag framgår av bilaga 2, där uppgifterna hämtats från yrkande 5 i kommittémotion 1997/98:</w:t>
      </w:r>
      <w:r>
        <w:br/>
        <w:t>Fi510 (fp), vilket hänvisats till näringsutskottet. Vid utskottsbehandlingen har företrädaren för Folkpartiet liberalerna gjort en korrigering av de i den sistnämnda motionen angivna beloppen för anslagen (B 3) Åtgärder för effektivare energianvändning och (B 5) Bidrag till Energiteknikfonden, och dessa korr</w:t>
      </w:r>
      <w:r>
        <w:t>i</w:t>
      </w:r>
      <w:r>
        <w:t>geringar har införts i tabellen i bilaga 2.</w:t>
      </w:r>
    </w:p>
    <w:p w:rsidR="00B02860" w:rsidRDefault="00B02860">
      <w:r>
        <w:t>Av motion 1997/98:Fi220 (v) framgår att Vänsterpartiet står bakom reg</w:t>
      </w:r>
      <w:r>
        <w:t>e</w:t>
      </w:r>
      <w:r>
        <w:t xml:space="preserve">ringens förslag till ram för utgiftsområde 21 Energi för år 1998.  </w:t>
      </w:r>
    </w:p>
    <w:p w:rsidR="00B02860" w:rsidRDefault="00B02860">
      <w:r>
        <w:t>Miljöpartiet de grönas förslag till ökade anslag för utgiftsområdet följer förslagen från partiets energimotion våren 1997, sägs det i motion 1997/98: Fi219 (mp). Förslaget innehåller bl.a. en ökad satsning på vindkraft och solvärme samt högre belopp än vad regeringen föreslår till åtgärder för min</w:t>
      </w:r>
      <w:r>
        <w:t>s</w:t>
      </w:r>
      <w:r>
        <w:t>kad elanvändning, effektivare energianvändning och introduktion av ny energiteknik. Sammantaget föreslås i motionen en ökning av utgiftsramen med 433 miljoner kronor för år 1998, med 470 miljoner kronor för år 1999 och med 455 miljoner kronor för år 2000. Hur ökningen för år 1998 skall fördelas på anslag framgår av bilaga 2, där uppgifterna hämtats från part</w:t>
      </w:r>
      <w:r>
        <w:t>i</w:t>
      </w:r>
      <w:r>
        <w:t>motion 1997/98:N283 (mp).</w:t>
      </w:r>
    </w:p>
    <w:p w:rsidR="00B02860" w:rsidRDefault="00B02860">
      <w:r>
        <w:t>I enlighet med Kristdemokraternas principiella ställningstagande till ene</w:t>
      </w:r>
      <w:r>
        <w:t>r</w:t>
      </w:r>
      <w:r>
        <w:t>giomställningsprogrammet föreslås i motion 1997/98:Fi215 (kd) ytterligare 30 miljoner kronor per år fr.o.m. år 1998 för ökat investeringsbidrag till vindkraft och småskalig vattenkraft. Den särskilda delegationen för energ</w:t>
      </w:r>
      <w:r>
        <w:t>i</w:t>
      </w:r>
      <w:r>
        <w:t xml:space="preserve">försörjningen i Sydsverige skall avvecklas, föreslår motionärerna vidare, varför ramen för utgiftsområdet sammantaget minskar med 150 miljoner kronor åren 1998, 1999 och 2000. Fördelningen på olika anslag för år 1998 framgår av bilaga 2, där uppgifterna hämtats från kommittémotion 1997/98:N216 (kd). </w:t>
      </w:r>
    </w:p>
    <w:p w:rsidR="00B02860" w:rsidRDefault="00B02860">
      <w:pPr>
        <w:pStyle w:val="Rubrik3"/>
      </w:pPr>
      <w:r>
        <w:t>Näringsutskottets ställningstagande</w:t>
      </w:r>
    </w:p>
    <w:p w:rsidR="00B02860" w:rsidRDefault="00B02860">
      <w:r>
        <w:t>Riksdagen beslöt våren 1997, som tidigare redovisats, om ett energipolitiskt program för omställning av det svenska energisystemet. Det förslag till ramar för utgiftsområde 21 Energi för åren 1998</w:t>
      </w:r>
      <w:r>
        <w:sym w:font="Symbol" w:char="F02D"/>
      </w:r>
      <w:r>
        <w:t>2000 som regeringen lägger fram i budgetpropositionen har detta program som utgångspunkt. Med hänvisning härtill tillstyrker näringsutskottet propositionen i aktuell del och avstyrker motionerna 1997/98:Fi206 (m), 1997/98:Fi212 (fp), 1997/98:Fi219 (mp) och 1997/98:Fi215 (kd) i berörda delar. Vad gäller kostnaderna för stängningen av kärnkraftverket i Barsebäck, som berörs i vissa av motionerna, noterar näringsutskottet att det – av förhandlingstekniska skäl – får betraktas som en självklarhet att någon prec</w:t>
      </w:r>
      <w:r>
        <w:t>isering inte görs.</w:t>
      </w:r>
    </w:p>
    <w:p w:rsidR="00B02860" w:rsidRDefault="00B02860">
      <w:pPr>
        <w:pStyle w:val="Rubrik2"/>
      </w:pPr>
      <w:r>
        <w:t>Utgiftsområde 24 Näringsliv</w:t>
      </w:r>
    </w:p>
    <w:p w:rsidR="00B02860" w:rsidRDefault="00B02860">
      <w:pPr>
        <w:pStyle w:val="Rubrik3"/>
        <w:spacing w:before="123"/>
      </w:pPr>
      <w:r>
        <w:t>Propositionen</w:t>
      </w:r>
    </w:p>
    <w:p w:rsidR="00B02860" w:rsidRDefault="00B02860">
      <w:r>
        <w:t>Utgiftsområdet omfattar näringspolitik, teknologisk infrastruktur, konku</w:t>
      </w:r>
      <w:r>
        <w:t>r</w:t>
      </w:r>
      <w:r>
        <w:t>rensfrågor, teknisk forskning och utveckling, utrikeshandel, export- och investeringsfrämjande, kooperativa frågor samt konsumentfrågor.</w:t>
      </w:r>
    </w:p>
    <w:p w:rsidR="00B02860" w:rsidRDefault="00B02860">
      <w:pPr>
        <w:pStyle w:val="Normaltindrag"/>
      </w:pPr>
      <w:r>
        <w:t>De viktigaste målen inom utgiftsområdet är följande:</w:t>
      </w:r>
    </w:p>
    <w:p w:rsidR="00B02860" w:rsidRDefault="00B02860">
      <w:pPr>
        <w:pStyle w:val="Normaltindrag"/>
      </w:pPr>
      <w:r>
        <w:sym w:font="Symbol" w:char="F02D"/>
      </w:r>
      <w:r>
        <w:t xml:space="preserve"> att bidra till att stärka näringslivets tillväxt och internationella konku</w:t>
      </w:r>
      <w:r>
        <w:t>r</w:t>
      </w:r>
      <w:r>
        <w:t>ren</w:t>
      </w:r>
      <w:r>
        <w:t>s</w:t>
      </w:r>
      <w:r>
        <w:t>kraft,</w:t>
      </w:r>
    </w:p>
    <w:p w:rsidR="00B02860" w:rsidRDefault="00B02860">
      <w:pPr>
        <w:pStyle w:val="Normaltindrag"/>
      </w:pPr>
      <w:r>
        <w:sym w:font="Symbol" w:char="F02D"/>
      </w:r>
      <w:r>
        <w:t xml:space="preserve"> att konsumenterna skall ha en stark ställning på marknaden och att deras intressen tillgodoses,</w:t>
      </w:r>
    </w:p>
    <w:p w:rsidR="00B02860" w:rsidRDefault="00B02860">
      <w:pPr>
        <w:pStyle w:val="Normaltindrag"/>
      </w:pPr>
      <w:r>
        <w:sym w:font="Symbol" w:char="F02D"/>
      </w:r>
      <w:r>
        <w:t xml:space="preserve"> att bidra till en långsiktigt hållbar utveckling genom att utveckla sådana konsumtions- och produktionsmönster som minskar påfrestningarna på mi</w:t>
      </w:r>
      <w:r>
        <w:t>l</w:t>
      </w:r>
      <w:r>
        <w:t>jön.</w:t>
      </w:r>
    </w:p>
    <w:p w:rsidR="00B02860" w:rsidRDefault="00B02860">
      <w:r>
        <w:t>Inom utgiftsområdet prioriteras följande under år 1998:</w:t>
      </w:r>
    </w:p>
    <w:p w:rsidR="00B02860" w:rsidRDefault="00B02860">
      <w:pPr>
        <w:pStyle w:val="Normaltindrag"/>
      </w:pPr>
      <w:r>
        <w:sym w:font="Symbol" w:char="F02D"/>
      </w:r>
      <w:r>
        <w:t xml:space="preserve"> insatser för att stimulera nyetablering av företag samt expansion av främst små och medelstora företag,</w:t>
      </w:r>
    </w:p>
    <w:p w:rsidR="00B02860" w:rsidRDefault="00B02860">
      <w:pPr>
        <w:pStyle w:val="Normaltindrag"/>
      </w:pPr>
      <w:r>
        <w:sym w:font="Symbol" w:char="F02D"/>
      </w:r>
      <w:r>
        <w:t xml:space="preserve"> fortsatta åtgärder för att utveckla turistnäringen,</w:t>
      </w:r>
    </w:p>
    <w:p w:rsidR="00B02860" w:rsidRDefault="00B02860">
      <w:pPr>
        <w:pStyle w:val="Normaltindrag"/>
      </w:pPr>
      <w:r>
        <w:sym w:font="Symbol" w:char="F02D"/>
      </w:r>
      <w:r>
        <w:t xml:space="preserve"> fortsatta insatser för att främja främst små och medelstora företags e</w:t>
      </w:r>
      <w:r>
        <w:t>x</w:t>
      </w:r>
      <w:r>
        <w:t>port,</w:t>
      </w:r>
    </w:p>
    <w:p w:rsidR="00B02860" w:rsidRDefault="00B02860">
      <w:pPr>
        <w:pStyle w:val="Normaltindrag"/>
      </w:pPr>
      <w:r>
        <w:sym w:font="Symbol" w:char="F02D"/>
      </w:r>
      <w:r>
        <w:t xml:space="preserve"> konkretisering av miljömålet inom konsumentpolitiken,</w:t>
      </w:r>
    </w:p>
    <w:p w:rsidR="00B02860" w:rsidRDefault="00B02860">
      <w:pPr>
        <w:pStyle w:val="Normaltindrag"/>
      </w:pPr>
      <w:r>
        <w:sym w:font="Symbol" w:char="F02D"/>
      </w:r>
      <w:r>
        <w:t xml:space="preserve"> stärkande av konsumenternas ställning som marknadsaktörer i Sverige och i EU.</w:t>
      </w:r>
    </w:p>
    <w:p w:rsidR="00B02860" w:rsidRDefault="00B02860">
      <w:r>
        <w:t>Besparingsåtgärder genomförs inom utgiftsområdet, i enlighet med vad som angavs i den ekonomiska vårpropositionen. Ramen för utgiftsområdet för</w:t>
      </w:r>
      <w:r>
        <w:t>e</w:t>
      </w:r>
      <w:r>
        <w:t>slås för år 1998 till 2 698 miljoner kronor. För år 1999 beräknas ramen till 2 590 miljoner kronor och för år 2000 till 2 572 miljoner kronor. En sa</w:t>
      </w:r>
      <w:r>
        <w:t>m</w:t>
      </w:r>
      <w:r>
        <w:t>manställning av regeringens och oppositionspartiernas förslag till utgiftsr</w:t>
      </w:r>
      <w:r>
        <w:t>a</w:t>
      </w:r>
      <w:r>
        <w:t>mar finns i bilaga 1. Regeringens förslag till fördelning av ramen för år 1998 på olika anslag framgår av bilaga 3.</w:t>
      </w:r>
    </w:p>
    <w:p w:rsidR="00B02860" w:rsidRDefault="00B02860">
      <w:pPr>
        <w:pStyle w:val="Rubrik3"/>
      </w:pPr>
      <w:r>
        <w:t>Motionerna</w:t>
      </w:r>
    </w:p>
    <w:p w:rsidR="00B02860" w:rsidRDefault="00B02860">
      <w:r>
        <w:t>Sammantaget föreslås i motion 1997/98:Fi206 (m) en ökning av utgiftsramen med 139,5 miljoner kronor för vardera åren 1998, 1999 och 2000. Hur ö</w:t>
      </w:r>
      <w:r>
        <w:t>k</w:t>
      </w:r>
      <w:r>
        <w:t>ningen för år 1998 skall fördelas på olika anslag framgår av bilaga 3, där uppgifterna hämtats från den här aktuella motionen. Energienheten vid NUTEK bör behållas i en bantad och mer effektiv form, genom att NUTEK återfår 75 av de 108 miljoner kronor som förs över till energimyndigheten enligt regeringens förslag, anser motionärerna. De föreslår vidare att ver</w:t>
      </w:r>
      <w:r>
        <w:t>k</w:t>
      </w:r>
      <w:r>
        <w:t>samheten med såddfinansiering vid NUTEK skall få ett tillskott på 3 milj</w:t>
      </w:r>
      <w:r>
        <w:t>o</w:t>
      </w:r>
      <w:r>
        <w:t>ner kronor. Besparingen på anslaget för teknisk forskning och utveckling bör avvisas, liksom besparingen på anslaget till Stiftelsen Sveriges teknisk-vetenskapliga attachéverksamhet, anför motionärerna vidare. De anser att konkurrensforskningen bör tillföras ytterligare medel och att besparingar bör göras på anslagen för kooperativ utveckling, omstrukturering av statliga företag och Konsumentverket. Vid utskottsbehandlingen har företrädarna för Moderata samlingspartiet klargjort att de ökade medel för såddf</w:t>
      </w:r>
      <w:r>
        <w:t>inansiering som föreslås i motionen felaktigt tagits upp under A 1-anslaget i stället för under A 2-anslaget. I bilaga 3 har korrig</w:t>
      </w:r>
      <w:r>
        <w:t>e</w:t>
      </w:r>
      <w:r>
        <w:t>ring gjorts för detta.</w:t>
      </w:r>
    </w:p>
    <w:p w:rsidR="00B02860" w:rsidRDefault="00B02860">
      <w:r>
        <w:t>Småföretagen har en viktig roll för sysselsättning och förnyelse av näringsl</w:t>
      </w:r>
      <w:r>
        <w:t>i</w:t>
      </w:r>
      <w:r>
        <w:t>vet, konstateras det i motion 1997/98:Fi218 (c). Mot bakgrund av detta är det tillfredsställande att arbetsgivaravgifterna sänks ytterligare den 1 januari 1998, med inriktning främst mot de mindre företagen, anser motionärerna. De erinrar vidare om förslagen att skatten skall sänkas för fåmansföretagen och att sjuklöneperioden skall halveras. Sammanfattningsvis står Centerpa</w:t>
      </w:r>
      <w:r>
        <w:t>r</w:t>
      </w:r>
      <w:r>
        <w:t>tiet bakom regeringens förslag till fördelning av utgifterna på utgiftsområden för år 1998.</w:t>
      </w:r>
    </w:p>
    <w:p w:rsidR="00B02860" w:rsidRDefault="00B02860">
      <w:r>
        <w:t>I motion 1997/98:Fi212 (fp) föreslås en ökning av ramen för utgiftsområdet med 118 miljoner kronor för år 1998, med 124 miljoner kronor för år 1999 och med 128 miljoner kronor för år 2000. Hur ökningen skall fördelas på olika anslag framgår av bilaga 3, där uppgifterna hämtats från kommittém</w:t>
      </w:r>
      <w:r>
        <w:t>o</w:t>
      </w:r>
      <w:r>
        <w:t>tion 1997/98:N306 (fp). Vid utskottsbehandlingen har företrädaren för Fol</w:t>
      </w:r>
      <w:r>
        <w:t>k</w:t>
      </w:r>
      <w:r>
        <w:t>partiet liberalerna klargjort att den ökning av anslaget (A 2) Småföretagsu</w:t>
      </w:r>
      <w:r>
        <w:t>t</w:t>
      </w:r>
      <w:r>
        <w:t xml:space="preserve">veckling som i den sistnämnda motionen tagits upp med 136 miljoner kronor bör vara 18 miljoner kronor. Dessa medel är avsedda för ökade insatser inom verksamheten med såddfinansiering. Vidare bör en ökning med 118 miljoner kronor tas upp under anslaget (A 1) NUTEK: Förvaltningskostnader. Dessa medel är avsedda för att bibehålla energienheten vid NUTEK, mot bakgrund av att Folkpartiet avvisat inrättandet av en ny energimyndighet. Dessa två korrigeringar har gjorts i bilaga 3. </w:t>
      </w:r>
    </w:p>
    <w:p w:rsidR="00B02860" w:rsidRDefault="00B02860">
      <w:r>
        <w:t>Vänsterpartiet föreslår i motion 1997/98:Fi220 (v) att 350 miljoner kronor utöver regeringens förslag skall anvisas till utgiftsområde 24 Näringsliv. Hur denna ökning skall fördelas på olika anslag framgår av bilaga 3, där uppgi</w:t>
      </w:r>
      <w:r>
        <w:t>f</w:t>
      </w:r>
      <w:r>
        <w:t>terna hämtats från partimotion 1997/98:N312 (v). För att åstadkomma fler företag och högre sysselsättning krävs det, enligt motionärerna, olika åtgä</w:t>
      </w:r>
      <w:r>
        <w:t>r</w:t>
      </w:r>
      <w:r>
        <w:t>der på det näringspolitiska området. I motionen föreslås en satsning på en</w:t>
      </w:r>
      <w:r>
        <w:t>t</w:t>
      </w:r>
      <w:r>
        <w:t>reprenörer genom ökade medel till verksamheten med såddfinansiering med 50 miljoner kronor, ökade medel till teknisk forskning och utveckling med 147,5 miljoner kronor och till turistfrämjande med 20 miljoner kronor. Vid</w:t>
      </w:r>
      <w:r>
        <w:t>a</w:t>
      </w:r>
      <w:r>
        <w:t>re föreslås att ett varvsstöd skall införas för att möjliggöra för de svenska varven att konkurrera med de subventionerade varven i resten av Europa, och att ett anslag på 80 miljoner kronor skall tas upp för detta ändamål. Kons</w:t>
      </w:r>
      <w:r>
        <w:t>u</w:t>
      </w:r>
      <w:r>
        <w:t xml:space="preserve">mentverket och stödet till kooperativ utveckling föreslås slutligen få ökade medel med 20 respektive 6,5 miljoner kronor. </w:t>
      </w:r>
    </w:p>
    <w:p w:rsidR="00B02860" w:rsidRDefault="00B02860">
      <w:r>
        <w:t>I motion 1997/98:Fi219 (mp) föreslås en minskning av ramen för utgiftso</w:t>
      </w:r>
      <w:r>
        <w:t>m</w:t>
      </w:r>
      <w:r>
        <w:t>råde 24 Näringsliv med 193 miljoner kronor för år 1998, med 204 miljoner kronor för år 1999 och med 205 miljoner kronor för år 2000. Hur mins</w:t>
      </w:r>
      <w:r>
        <w:t>k</w:t>
      </w:r>
      <w:r>
        <w:t>ningen för år 1998 skall fördelas på anslag framgår av bilaga 3, där uppgi</w:t>
      </w:r>
      <w:r>
        <w:t>f</w:t>
      </w:r>
      <w:r>
        <w:t>terna hämtats från partimotion 1997/98:N259 (mp). Motionärerna föreslår besparingar på bl.a. anslagen för teknisk forskning och utveckling (medel från stiftelser bör, enligt motionärerna, kunna utnyttjas i större utsträckning på detta område), rymdverksamhet, investeringsfrämjande, turistfrämjande och NUTEK:s förvaltningskostnader. I flera fall bör det vara möjligt för berörda företag och branscher att själva finansiera dessa former av stöd, anser motionärerna. Däremot menar de att stödet bör ökas till loka</w:t>
      </w:r>
      <w:r>
        <w:t>l kooper</w:t>
      </w:r>
      <w:r>
        <w:t>a</w:t>
      </w:r>
      <w:r>
        <w:t>tiv utveckling och till småföretagsutveckling – det sistnämnda bl.a. avseende verksamheten med såddfinansiering och för införande av en kvinnlig nä</w:t>
      </w:r>
      <w:r>
        <w:t>t</w:t>
      </w:r>
      <w:r>
        <w:t>verkskredit.</w:t>
      </w:r>
    </w:p>
    <w:p w:rsidR="00B02860" w:rsidRDefault="00B02860">
      <w:r>
        <w:t xml:space="preserve">Ramen för utgiftsområde 24 Näringsliv föreslås i motion 1997/98:Fi215 (kd) ökas med 337 miljoner kronor för år 1998, med 487 miljoner kronor för år 1999 och med 787 miljoner kronor för år 2000. Hur ökningen för år 1998 fördelar sig på olika anslag framgår av bilaga 3, där uppgifterna hämtats från partimotion 1997/98:N274 (kd). </w:t>
      </w:r>
    </w:p>
    <w:p w:rsidR="00B02860" w:rsidRDefault="00B02860">
      <w:pPr>
        <w:pStyle w:val="Normaltindrag"/>
      </w:pPr>
      <w:r>
        <w:t>Många av framtidens arbetstillfällen kommer, om rätt politik förs, att til</w:t>
      </w:r>
      <w:r>
        <w:t>l</w:t>
      </w:r>
      <w:r>
        <w:t>komma inom tjänstesektorn, sägs det i motionen. De trösklar som i dag mo</w:t>
      </w:r>
      <w:r>
        <w:t>t</w:t>
      </w:r>
      <w:r>
        <w:t>verkar en kraftig expansion på detta område måste identifieras och elimin</w:t>
      </w:r>
      <w:r>
        <w:t>e</w:t>
      </w:r>
      <w:r>
        <w:t>ras, anför motionärerna. De anser att utformningen av arbetsrätten är ett hinder för tillväxt, men att det främsta problemet är de mycket stora skattek</w:t>
      </w:r>
      <w:r>
        <w:t>i</w:t>
      </w:r>
      <w:r>
        <w:t>larna som motverkar efterfrågan på tjänster i reguljära former. Hindren leder till att många arbetsuppgifter inte blir utförda eller att de utförs svart. Kris</w:t>
      </w:r>
      <w:r>
        <w:t>t</w:t>
      </w:r>
      <w:r>
        <w:t>demokraterna förordar en kraftfull satsning på den personalintensiva privata tjänstesektorn, erinras det om. Detta avses ske dels genom införande av en modell som har likhet med det s.k. ROT-avdraget, dels genom införande av en modell för hushållstjänster som med framgång praktiseras i Danmark. Det senare förslaget har budgetmässigt placerats under det här aktuella utgiftso</w:t>
      </w:r>
      <w:r>
        <w:t>m</w:t>
      </w:r>
      <w:r>
        <w:t>r</w:t>
      </w:r>
      <w:r>
        <w:t>å</w:t>
      </w:r>
      <w:r>
        <w:t>det.</w:t>
      </w:r>
    </w:p>
    <w:p w:rsidR="00B02860" w:rsidRDefault="00B02860">
      <w:pPr>
        <w:pStyle w:val="Normaltindrag"/>
      </w:pPr>
      <w:r>
        <w:t>Kristdemokraterna vill vidare, i förhållande till regeringen, satsa mer på teknisk forskning, Sveriges teknisk-vetenskapliga attachéverksamhet, ko</w:t>
      </w:r>
      <w:r>
        <w:t>n</w:t>
      </w:r>
      <w:r>
        <w:t>kurrensforskning och såddfinansiering. Besparingar föreslås på anslagen för omstrukturering av statliga företag och för Konsumentverket. Vid utskott</w:t>
      </w:r>
      <w:r>
        <w:t>s</w:t>
      </w:r>
      <w:r>
        <w:t xml:space="preserve">behandlingen har företrädaren för Kristdemokraterna gjort en korrigering av den i motion 1997/98:N274 (kd) angivna föreslagna ökningen av anslaget  (D 1) till teknisk forskning och utveckling. Ökningen skall vara 90 miljoner kronor i stället för 110 miljoner kronor. Korrigeringen har införts i tabellen i bilaga 3.  </w:t>
      </w:r>
    </w:p>
    <w:p w:rsidR="00B02860" w:rsidRDefault="00B02860">
      <w:pPr>
        <w:pStyle w:val="Rubrik3"/>
      </w:pPr>
      <w:r>
        <w:t>Näringsutskottets ställningstagande</w:t>
      </w:r>
    </w:p>
    <w:p w:rsidR="00B02860" w:rsidRDefault="00B02860">
      <w:r>
        <w:t>De insatser som görs inom utgiftsområde 24 Näringsliv har stor betydelse för den förnyelse av näringslivet som är nödvändig om arbetslösheten skall minska. Näringspolitiken måste härvid vara inriktad på att främja nyföret</w:t>
      </w:r>
      <w:r>
        <w:t>a</w:t>
      </w:r>
      <w:r>
        <w:t>gande och tillväxt i befintliga småföretag, eftersom de små företagen har en avgörande roll för förnyelsen av näringslivet och därmed för sysselsättnin</w:t>
      </w:r>
      <w:r>
        <w:t>g</w:t>
      </w:r>
      <w:r>
        <w:t>en. Näringsutskottet har mot denna bakgrund förståelse för de olika förslag om ökade anslag inom utgiftsområdet som läggs fram i flera av de här aktue</w:t>
      </w:r>
      <w:r>
        <w:t>l</w:t>
      </w:r>
      <w:r>
        <w:t>la motionerna. Samtidigt måste en avvägning göras mot det överordnade målet att balans i de offentliga finanserna skall nås och upprätthållas. Med det anförda tillstyrker näringsutskottet de ramar för utgiftsområdet som för</w:t>
      </w:r>
      <w:r>
        <w:t>e</w:t>
      </w:r>
      <w:r>
        <w:t>slås i budgetpropositionen och avstyrker samtliga här aktuella motioner med förslag om än</w:t>
      </w:r>
      <w:r>
        <w:t>d</w:t>
      </w:r>
      <w:r>
        <w:t xml:space="preserve">rade utgiftsramar. </w:t>
      </w:r>
    </w:p>
    <w:p w:rsidR="00B02860" w:rsidRDefault="00B02860">
      <w:pPr>
        <w:pStyle w:val="Normaltindrag"/>
      </w:pPr>
    </w:p>
    <w:p w:rsidR="00B02860" w:rsidRDefault="00B02860">
      <w:pPr>
        <w:pStyle w:val="Stockholm"/>
      </w:pPr>
      <w:r>
        <w:t>Stockholm den 23 oktober 1997</w:t>
      </w:r>
    </w:p>
    <w:p w:rsidR="00B02860" w:rsidRDefault="00B02860">
      <w:pPr>
        <w:pStyle w:val="Vgnar"/>
      </w:pPr>
      <w:r>
        <w:t>På näringsutskottets vägnar</w:t>
      </w:r>
    </w:p>
    <w:p w:rsidR="00B02860" w:rsidRDefault="00B02860">
      <w:pPr>
        <w:pStyle w:val="Ordfnamn"/>
      </w:pPr>
      <w:bookmarkStart w:id="1" w:name="Ordförande"/>
      <w:bookmarkEnd w:id="1"/>
      <w:r>
        <w:t xml:space="preserve">Birgitta Johansson </w:t>
      </w:r>
    </w:p>
    <w:p w:rsidR="00B02860" w:rsidRDefault="00B02860">
      <w:pPr>
        <w:pStyle w:val="Deltagare"/>
        <w:spacing w:before="480"/>
      </w:pPr>
      <w:bookmarkStart w:id="2" w:name="Deltagare"/>
      <w:bookmarkStart w:id="3" w:name="Nästa_Reservation"/>
      <w:bookmarkEnd w:id="2"/>
      <w:bookmarkEnd w:id="3"/>
      <w:r>
        <w:t>I beslutet har deltagit: Birgitta Johansson (s), Christer Eirefelt (fp), Reynoldh Furustrand (s), Karin Falkmer (m), Sylvia Lindgren (s), Mikael Odenberg (m), Barbro Andersson (s), Kjell Ericsson (c), Marie Granlund (s), Dag Eri</w:t>
      </w:r>
      <w:r>
        <w:t>c</w:t>
      </w:r>
      <w:r>
        <w:t>son (s), Lennart Beijer (v), Nils-Göran Holmqvist (s), Ola Karlsson (m), Göran Hägglund (kd), Laila Bäck (s), Sten Tolgfors (m) och Ronny Korsberg (mp).</w:t>
      </w:r>
    </w:p>
    <w:p w:rsidR="00B02860" w:rsidRDefault="00B02860">
      <w:pPr>
        <w:pStyle w:val="Rubrik1"/>
      </w:pPr>
      <w:r>
        <w:t>Avvikande meningar</w:t>
      </w:r>
    </w:p>
    <w:p w:rsidR="00B02860" w:rsidRDefault="00B02860">
      <w:pPr>
        <w:pStyle w:val="Rubrik2"/>
      </w:pPr>
      <w:r>
        <w:t>1. Kostnaderna för stängningen av kärnkraftverket i Barsebäck</w:t>
      </w:r>
    </w:p>
    <w:p w:rsidR="00B02860" w:rsidRDefault="00B02860">
      <w:r>
        <w:t>Christer Eirefelt (fp), Karin Falkmer (m), Mikael Odenberg (m), Ola Karl</w:t>
      </w:r>
      <w:r>
        <w:t>s</w:t>
      </w:r>
      <w:r>
        <w:t>son (m), Göran Hägglund (kd) och Sten Tolgfors (m) anser att näringsutsko</w:t>
      </w:r>
      <w:r>
        <w:t>t</w:t>
      </w:r>
      <w:r>
        <w:t>tets ställningstagande i avsnittet om utgiftsområde 21 Energi bort ha inletts med ett avsnitt av följande lydelse:</w:t>
      </w:r>
    </w:p>
    <w:p w:rsidR="00B02860" w:rsidRDefault="00B02860">
      <w:pPr>
        <w:pStyle w:val="Normaltindrag"/>
      </w:pPr>
      <w:r>
        <w:t>Näringsutskottet noterar att förslagen till ramar för utgiftsområde 21 Energi tar sin utgångspunkt i det energipolitiska program för omställning av det svenska energisystemet som riksdagen beslöt om våren 1997. Utskottets ställningstagande i dessa delar redovisas längre fram i yttrandet.</w:t>
      </w:r>
    </w:p>
    <w:p w:rsidR="00B02860" w:rsidRDefault="00B02860">
      <w:pPr>
        <w:pStyle w:val="Normaltindrag"/>
      </w:pPr>
      <w:r>
        <w:t>Vid näringsutskottets behandling av 1997 års ekonomiska vårproposition anfördes i en avvikande mening (m, fp, kd) i utskottets yttrande (1996/97:NU8y) till finansutskottet att regeringens underlåtenhet att göra någon form av uppskattning av kostnaderna för stängningen av kärnkraftve</w:t>
      </w:r>
      <w:r>
        <w:t>r</w:t>
      </w:r>
      <w:r>
        <w:t>ket i Barsebäck var djupt otillfredsställande och i strid mot intentionerna bakom den nya budgetprocessen. Denna bedömning äger fortfarande sin giltighet. Som konstaterades i den avvikande meningen är det uppenbart att det energipolitiska programmet endast svarar för en mycket liten del av den budgetpåverkan som uppkommer till följd av regeringens nya energipolitik. Den stora effekten uppkommer i stället som en följd av förslaget att stänga kärnkraftverket i Barsebäck i förtid. Synpunkten att s.k. förhandli</w:t>
      </w:r>
      <w:r>
        <w:t>ngstekniska skäl omöjliggör att kostnaderna för en sådan stängning tas in i budgeten kan näringsutskottet ha förståelse för. Detta stärker dock bara riktigheten i n</w:t>
      </w:r>
      <w:r>
        <w:t>ä</w:t>
      </w:r>
      <w:r>
        <w:t>ringsutskottets uppfattning att den naturliga ordningen hade varit att reg</w:t>
      </w:r>
      <w:r>
        <w:t>e</w:t>
      </w:r>
      <w:r>
        <w:t>ringen först hade förhandlat med Sydkraft AB och därefter kommit till rik</w:t>
      </w:r>
      <w:r>
        <w:t>s</w:t>
      </w:r>
      <w:r>
        <w:t>dagen med förslag till beslut i frågan. Med hänvisning till det anförda anser näringsutskottet att finansutskottet bör ägna frågan om regeringens bristande kostnadsredovi</w:t>
      </w:r>
      <w:r>
        <w:t>s</w:t>
      </w:r>
      <w:r>
        <w:t>ning särskild uppmärksamhet.</w:t>
      </w:r>
    </w:p>
    <w:p w:rsidR="00B02860" w:rsidRDefault="00B02860">
      <w:pPr>
        <w:pStyle w:val="R2"/>
      </w:pPr>
      <w:r>
        <w:t>2. Utgiftsområde 21 Energi</w:t>
      </w:r>
    </w:p>
    <w:p w:rsidR="00B02860" w:rsidRDefault="00B02860">
      <w:r>
        <w:t>Karin Falkmer, Mikael Odenberg, Ola Karlsson och Sten Tolgfors (alla m) anser att den del av yttrandet – under rubriken Näringsutskottets ställningst</w:t>
      </w:r>
      <w:r>
        <w:t>a</w:t>
      </w:r>
      <w:r>
        <w:t>gande i avsnittet om utgiftsområde 21 Energi – som börjar med ”Riksdagen  beslöt” och slutar med ”inte görs” bort ha följande lydelse:</w:t>
      </w:r>
    </w:p>
    <w:p w:rsidR="00B02860" w:rsidRDefault="00B02860">
      <w:pPr>
        <w:pStyle w:val="Normaltindrag"/>
      </w:pPr>
      <w:r>
        <w:t>Förslaget till ett femårigt omställningsprogram med stöd till investeringar på energiområdet är betingat av den förtida avvecklingen av kärnkraften och bör, enlig näringsutskottets mening och i likhet med vad som anförs i motion 1997/98:Fi206 (m), inte genomföras. Detta innebär vidare att anslaget (B 9) Åtgärder för el- och värmeförsörjningen i Sydsverige kan utgå, liksom de två anslagen som avser inrättande av en ny energimyndighet (A 1 och A 2). Härutöver anser näringsutskottet att 15 miljoner kronor avse</w:t>
      </w:r>
      <w:r>
        <w:t>dda för energ</w:t>
      </w:r>
      <w:r>
        <w:t>i</w:t>
      </w:r>
      <w:r>
        <w:t>forskning skall föras till Naturvetenskapliga forskningsrådet inom utgiftso</w:t>
      </w:r>
      <w:r>
        <w:t>m</w:t>
      </w:r>
      <w:r>
        <w:t>råde 16 Utbildning och universitetsforskning och att ca 40 miljoner kronor skall föras från det här aktuella utgiftsområdet till utgiftsområde 24 Näring</w:t>
      </w:r>
      <w:r>
        <w:t>s</w:t>
      </w:r>
      <w:r>
        <w:t>liv för att möjliggöra fortsatt verksamhet vid NUTEK:s energienhet. Sa</w:t>
      </w:r>
      <w:r>
        <w:t>m</w:t>
      </w:r>
      <w:r>
        <w:t>mantaget föreslår näringsutskottet en minskning av ramen för utgiftsområde 21 Energi med 956 miljoner kronor för år 1998, med 1 028 miljoner kronor för år 1999 och med 981 miljoner kronor för år 2000. Med det anförda til</w:t>
      </w:r>
      <w:r>
        <w:t>l</w:t>
      </w:r>
      <w:r>
        <w:t>styrks motion 1997/98:Fi206 (m) i berörd del, medan propositionen och övriga här aktuella motioner avstyrks i motsvara</w:t>
      </w:r>
      <w:r>
        <w:t>n</w:t>
      </w:r>
      <w:r>
        <w:t>de delar.</w:t>
      </w:r>
    </w:p>
    <w:p w:rsidR="00B02860" w:rsidRDefault="00B02860">
      <w:pPr>
        <w:pStyle w:val="Rubrik2"/>
      </w:pPr>
      <w:r>
        <w:t>3. Utgiftsområde 21 Energi</w:t>
      </w:r>
    </w:p>
    <w:p w:rsidR="00B02860" w:rsidRDefault="00B02860">
      <w:r>
        <w:t>Christer Eirefelt (fp) anser att den del av yttrandet – under rubriken N</w:t>
      </w:r>
      <w:r>
        <w:t>ä</w:t>
      </w:r>
      <w:r>
        <w:t>ringsutskottets ställningstagande i avsnittet om utgiftsområde 21 Energi –  som börjar med ”Riksdagen beslöt” och slutar med ”inte görs” bort ha fö</w:t>
      </w:r>
      <w:r>
        <w:t>l</w:t>
      </w:r>
      <w:r>
        <w:t>jande lydelse:</w:t>
      </w:r>
    </w:p>
    <w:p w:rsidR="00B02860" w:rsidRDefault="00B02860">
      <w:pPr>
        <w:pStyle w:val="Normaltindrag"/>
      </w:pPr>
      <w:r>
        <w:t>Näringsutskottet anser – i likhet med vad som anförs i motion 1997/98:</w:t>
      </w:r>
      <w:r>
        <w:br/>
        <w:t>Fi212 (fp) – att ramen för utgiftsområde 21 Energi bör minskas med 863 miljoner kronor för år 1998, med 694 miljoner kronor för år 1999 och med 488 miljoner kronor för år 2000. Enligt näringsutskottets mening bör någon snabbstängning av kärnkraftverket i Barsebäck inte komma i fråga. Mot denna bakgrund bör det beslutade energiomställningsprogrammet, avseende anslagen B1–B 6, inte genomföras i den forcerade takt som regeringen för</w:t>
      </w:r>
      <w:r>
        <w:t>e</w:t>
      </w:r>
      <w:r>
        <w:t>slår, utan det kan utsträckas över ytterligare åtminstone två år. Vidare bör en ny energimyndighet inte inrättas, och de särskilda åtgärderna för el- och värmeförsörjningen i Sydsverige kan slopas. Med det anförda tillstyrks m</w:t>
      </w:r>
      <w:r>
        <w:t>o</w:t>
      </w:r>
      <w:r>
        <w:t>tion 1997/98:Fi212 (fp) i berörd del, medan propositionen och övriga här aktuella motioner avstyrks i motsvara</w:t>
      </w:r>
      <w:r>
        <w:t>n</w:t>
      </w:r>
      <w:r>
        <w:t>de delar.</w:t>
      </w:r>
    </w:p>
    <w:p w:rsidR="00B02860" w:rsidRDefault="00B02860">
      <w:pPr>
        <w:pStyle w:val="Rubrik2"/>
      </w:pPr>
      <w:r>
        <w:t>4. Utgiftsområde 21 Energi</w:t>
      </w:r>
    </w:p>
    <w:p w:rsidR="00B02860" w:rsidRDefault="00B02860">
      <w:r>
        <w:t>Ronny Korsberg (mp) anser att näringsutskottets ställningstagande i avsnittet om utgiftsområde 21 Energi bort ha följande lydelse:</w:t>
      </w:r>
    </w:p>
    <w:p w:rsidR="00B02860" w:rsidRDefault="00B02860">
      <w:pPr>
        <w:pStyle w:val="Normaltindrag"/>
      </w:pPr>
      <w:r>
        <w:t>Näringsutskottet anser – i likhet med vad som anförs i motion 1997/98:</w:t>
      </w:r>
      <w:r>
        <w:br/>
        <w:t>Fi219 (mp) – att ramen för utgiftsområde 21 Energi bör ökas med 433 milj</w:t>
      </w:r>
      <w:r>
        <w:t>o</w:t>
      </w:r>
      <w:r>
        <w:t>ner kronor för år 1998, med 470 miljoner kronor för år 1999 och med 455 miljoner kronor för år 2000. Genom den föreslagna ökningen möjliggörs ökade satsningar på vindkraft och solvärme samt ökade insatser för att min</w:t>
      </w:r>
      <w:r>
        <w:t>s</w:t>
      </w:r>
      <w:r>
        <w:t>ka elanvändningen, effektivisera energianvändningen och främja introdu</w:t>
      </w:r>
      <w:r>
        <w:t>k</w:t>
      </w:r>
      <w:r>
        <w:t>tionen av ny energiteknik. Med det anförda tillstyrks motion 1997/98:Fi219 (mp) i berörd del, medan propositionen och övriga här aktuella motioner avstyrks i motsvara</w:t>
      </w:r>
      <w:r>
        <w:t>n</w:t>
      </w:r>
      <w:r>
        <w:t>de delar.</w:t>
      </w:r>
    </w:p>
    <w:p w:rsidR="00B02860" w:rsidRDefault="00B02860">
      <w:pPr>
        <w:pStyle w:val="Rubrik2"/>
      </w:pPr>
      <w:r>
        <w:t>5. Utgiftsområde 21 Energi</w:t>
      </w:r>
    </w:p>
    <w:p w:rsidR="00B02860" w:rsidRDefault="00B02860">
      <w:r>
        <w:t>Göran Hägglund (kd) anser att den del av yttrandet – under rubriken N</w:t>
      </w:r>
      <w:r>
        <w:t>ä</w:t>
      </w:r>
      <w:r>
        <w:t>ringsutskottets ställningstagande i avsnittet om utgiftsområde 21 Energi – som börjar med ”Riksdagen beslöt” och slutar med ”inte görs” bort ha fö</w:t>
      </w:r>
      <w:r>
        <w:t>l</w:t>
      </w:r>
      <w:r>
        <w:t>jande lydelse:</w:t>
      </w:r>
    </w:p>
    <w:p w:rsidR="00B02860" w:rsidRDefault="00B02860">
      <w:pPr>
        <w:pStyle w:val="Normaltindrag"/>
      </w:pPr>
      <w:r>
        <w:t>Näringsutskottet anser – i likhet med vad som anförs i motion 1997/98:</w:t>
      </w:r>
      <w:r>
        <w:br/>
        <w:t>Fi215 (kd) – att ramen för utgiftsområde 21 Energi bör minskas med 150 miljoner kronor åren 1998, 1999 och 2000. Regeringens beslut – i samve</w:t>
      </w:r>
      <w:r>
        <w:t>r</w:t>
      </w:r>
      <w:r>
        <w:t>kan med Centerpartiet och Vänsterpartiet – om att stänga en reaktor utan att veta hur det skall gå till i praktiken, vilka miljökonsekvenser det får och vilka samhällsekonomiska kostnader det medför är, enligt näringsutskottets m</w:t>
      </w:r>
      <w:r>
        <w:t>e</w:t>
      </w:r>
      <w:r>
        <w:t>ning, en oansvarig politik som inte bör genomföras. Mot bakgrund härav anser utskottet att den särskilda delegationen för energiförsörjningen i Sy</w:t>
      </w:r>
      <w:r>
        <w:t>d</w:t>
      </w:r>
      <w:r>
        <w:t>sverige skall avvecklas. För att påskynda omställningen av energisystemet bör ytterligare 30 miljoner kronor anvisas för ökat investeringsbidrag till vindkraft och småskalig vattenkraft, anser näringsutskottet. Med det anförda tillstyrks motion 1997/98:Fi215 (kd) i berörd del, medan propositionen och övriga här aktuella motioner avstyrks i motsvara</w:t>
      </w:r>
      <w:r>
        <w:t>n</w:t>
      </w:r>
      <w:r>
        <w:t>de delar.</w:t>
      </w:r>
    </w:p>
    <w:p w:rsidR="00B02860" w:rsidRDefault="00B02860">
      <w:pPr>
        <w:pStyle w:val="Rubrik2"/>
      </w:pPr>
      <w:r>
        <w:t>6. Utgiftsområde 24 Näringsliv</w:t>
      </w:r>
    </w:p>
    <w:p w:rsidR="00B02860" w:rsidRDefault="00B02860">
      <w:r>
        <w:t>Karin Falkmer, Mikael Odenberg, Ola Karlsson och Sten Tolgfors (alla m) anser att näringsutskottets ställningstagande i avsnittet om utgiftsområde 24 Näring</w:t>
      </w:r>
      <w:r>
        <w:t>s</w:t>
      </w:r>
      <w:r>
        <w:t>liv bort ha följande lydelse:</w:t>
      </w:r>
    </w:p>
    <w:p w:rsidR="00B02860" w:rsidRDefault="00B02860">
      <w:pPr>
        <w:pStyle w:val="Normaltindrag"/>
      </w:pPr>
      <w:r>
        <w:t>Enligt näringsutskottets mening – och i likhet med vad som anförs i m</w:t>
      </w:r>
      <w:r>
        <w:t>o</w:t>
      </w:r>
      <w:r>
        <w:t>tion 1997/98:Fi206 (m) – bör ramen för utgiftsområde 24 Näringsliv ökas med 139,5 miljoner kronor för åren 1998, 1999 och 2000. Energienheten vid NUTEK bör behållas i en bantad och mer effektiv form genom att anslaget NUTEK: Förvaltningskostnader (A 1) tillförs 75 miljoner kronor. Verksa</w:t>
      </w:r>
      <w:r>
        <w:t>m</w:t>
      </w:r>
      <w:r>
        <w:t>heten med såddfinansiering inom anslaget Småföretagsutveckling (A 2), liksom konkurrensforskningen (C 2), bör tillföras ytterligare medel. De av regeringen föreslagna besparingarna avseende anslagen till teknisk forskning och utveckling (D 1) och till Stiftelsen Sveriges teknisk-vetenskapliga att</w:t>
      </w:r>
      <w:r>
        <w:t>a</w:t>
      </w:r>
      <w:r>
        <w:t>chéverksamhet (D 4) bör, enligt näringsutskottets mening, avvisas. Slutligen anser näringsutskottet att besparingar kan göras på anslagen till kooperativ utveckling (A 3), omstrukturering av statliga företag (A 7) och Konsumen</w:t>
      </w:r>
      <w:r>
        <w:t>t</w:t>
      </w:r>
      <w:r>
        <w:t>verket (F 2). Med det anförda tillstyrks motion 1997/98:Fi206 (m) i berörd del, medan propositionen och övriga här aktuella motioner avstyrks i motsv</w:t>
      </w:r>
      <w:r>
        <w:t>a</w:t>
      </w:r>
      <w:r>
        <w:t>ra</w:t>
      </w:r>
      <w:r>
        <w:t>n</w:t>
      </w:r>
      <w:r>
        <w:t>de delar.</w:t>
      </w:r>
    </w:p>
    <w:p w:rsidR="00B02860" w:rsidRDefault="00B02860">
      <w:pPr>
        <w:pStyle w:val="Rubrik2"/>
      </w:pPr>
      <w:r>
        <w:t>7. Utgiftsområde 24 Näringsliv</w:t>
      </w:r>
    </w:p>
    <w:p w:rsidR="00B02860" w:rsidRDefault="00B02860">
      <w:r>
        <w:t>Christer Eirefelt (fp) anser att näringsutskottets ställningstagande i avsnittet om utgiftsområde 24 Näringsliv bort ha följande lydelse:</w:t>
      </w:r>
    </w:p>
    <w:p w:rsidR="00B02860" w:rsidRDefault="00B02860">
      <w:pPr>
        <w:pStyle w:val="Normaltindrag"/>
      </w:pPr>
      <w:r>
        <w:t>Enligt näringsutskottets mening – och i likhet med vad som anförs i m</w:t>
      </w:r>
      <w:r>
        <w:t>o</w:t>
      </w:r>
      <w:r>
        <w:t>tion 1997/98:Fi212 (fp) – bör ramen för utgiftsområde 24 Näringsliv ökas med 118 miljoner kronor för år 1998, med 124 miljoner kronor för år 1999 och med 128 miljoner kronor för år 2000. För att bibehålla verksamheten vid energienheten vid NUTEK anser näringsutskottet att 118 miljoner kronor skall tillföras NUTEK:s förvaltningsanslag (A 1). Vidare bör, enligt utsko</w:t>
      </w:r>
      <w:r>
        <w:t>t</w:t>
      </w:r>
      <w:r>
        <w:t>tets mening, ökade medel tillföras anslagen Småföretagsutveckling (A 2) – för verksamheten med såddfinansiering, Konkurrensverket (C 1), Konku</w:t>
      </w:r>
      <w:r>
        <w:t>r</w:t>
      </w:r>
      <w:r>
        <w:t>rensforskning (C 2) och Bidrag till Stiftelsen Sveriges teknisk-vetenskapliga attachéverksamhet (D 4). Samtidigt bör en besparing göras på anslaget för omstrukturering av vissa statligt ägda företag, m.m. (A 7). Med det anförda tillstyrks motion 1997/98:Fi212 (fp) i berörd del, medan propositionen och övriga här aktuella motioner avstyrks i motsvara</w:t>
      </w:r>
      <w:r>
        <w:t>n</w:t>
      </w:r>
      <w:r>
        <w:t>de delar.</w:t>
      </w:r>
    </w:p>
    <w:p w:rsidR="00B02860" w:rsidRDefault="00B02860">
      <w:pPr>
        <w:pStyle w:val="Rubrik2"/>
      </w:pPr>
      <w:r>
        <w:t>8. Utgiftsområde 24 Näringsliv</w:t>
      </w:r>
    </w:p>
    <w:p w:rsidR="00B02860" w:rsidRDefault="00B02860">
      <w:r>
        <w:t>Lennart Beijer (v) anser att näringsutskottets ställningstagande i avsnittet om utgiftsområde 24 Näringsliv bort ha följande lydelse:</w:t>
      </w:r>
    </w:p>
    <w:p w:rsidR="00B02860" w:rsidRDefault="00B02860">
      <w:pPr>
        <w:pStyle w:val="Normaltindrag"/>
      </w:pPr>
      <w:r>
        <w:t>Enligt näringsutskottets mening – och i likhet med vad som anförs i m</w:t>
      </w:r>
      <w:r>
        <w:t>o</w:t>
      </w:r>
      <w:r>
        <w:t>tion 1997/98:Fi220 (v) – bör ramen för utgiftsområde 24 Näringsliv ökas med 350 miljoner kronor för år 1998. För att främja tillkomst av nya företag och en ökad sysselsättning bör ökade medel tillföras anslagen Småföretag</w:t>
      </w:r>
      <w:r>
        <w:t>s</w:t>
      </w:r>
      <w:r>
        <w:t>utveckling (A 2) – för verksamheten med såddfinansiering, Teknisk fors</w:t>
      </w:r>
      <w:r>
        <w:t>k</w:t>
      </w:r>
      <w:r>
        <w:t>ning och utveckling (D 1) och Turistfrämjande (A 4). Vidare bör ett varv</w:t>
      </w:r>
      <w:r>
        <w:t>s</w:t>
      </w:r>
      <w:r>
        <w:t>stöd införas för att ge de svenska varven likartade konkurrensvillkor som gäller för övriga varv i Europa; för detta ändamål bör 80 miljoner kronor anslås. Ökade medel bör också tillföras anslagen Konsumentverket (F 2) och Stöd till kooperativ utveckling (A 3). Med det anförda tillstyrks motion 1997/98:Fi220 (v) i berörd del, medan propositionen och övriga här aktuella motioner avstyrks i motsvara</w:t>
      </w:r>
      <w:r>
        <w:t>n</w:t>
      </w:r>
      <w:r>
        <w:t>de delar.</w:t>
      </w:r>
    </w:p>
    <w:p w:rsidR="00B02860" w:rsidRDefault="00B02860">
      <w:pPr>
        <w:pStyle w:val="Rubrik2"/>
      </w:pPr>
      <w:r>
        <w:t>9. Utgiftsområde 24 Näringsliv</w:t>
      </w:r>
    </w:p>
    <w:p w:rsidR="00B02860" w:rsidRDefault="00B02860">
      <w:r>
        <w:t>Ronny Korsberg (mp) anser att näringsutskottets ställningstagande i avsnittet om utgiftsområde 24 Näringsliv bort ha följande lydelse:</w:t>
      </w:r>
    </w:p>
    <w:p w:rsidR="00B02860" w:rsidRDefault="00B02860">
      <w:pPr>
        <w:pStyle w:val="Normaltindrag"/>
      </w:pPr>
      <w:r>
        <w:t>Enligt näringsutskottets mening – och i likhet med vad som anförs i m</w:t>
      </w:r>
      <w:r>
        <w:t>o</w:t>
      </w:r>
      <w:r>
        <w:t>tion 1997/98:Fi219 (mp) – bör ramen för utgiftsområde 24 Näringsliv min</w:t>
      </w:r>
      <w:r>
        <w:t>s</w:t>
      </w:r>
      <w:r>
        <w:t>kas med 193 miljoner kronor för år 1998, med 204 miljoner kronor för år 1999 och med 205 miljoner kronor för år 2000. Näringsutskottet anser s</w:t>
      </w:r>
      <w:r>
        <w:t>å</w:t>
      </w:r>
      <w:r>
        <w:t>lunda att besparingar kan göras på följande anslag: Teknisk forskning och utveckling (D 1), Rymdverksamhet (D 3), Investeringsfrämjande (E 5), T</w:t>
      </w:r>
      <w:r>
        <w:t>u</w:t>
      </w:r>
      <w:r>
        <w:t>ristfrämjande (A 4) och NUTEK:s förvaltningskostnader (A 1). När det gä</w:t>
      </w:r>
      <w:r>
        <w:t>l</w:t>
      </w:r>
      <w:r>
        <w:t>ler verksamheten med teknisk forskning och utveckling bör medel från forskningsstiftelserna kunna utnyttjas i större utsträckning. Vidare är det, generellt sett, rimligt att berörda företag och branscher i större utsträckning än för närvarande själva finansierar de här aktuella stöden. Beträffande de två anslagen Stöd till kooperativ utveckling (A 3) och Småföretagsutveckling (A 2) anser näringsutskottet dock att ytterligare medel bör tillföras. I det sistnämnda fallet är de ökade medlen avsedda för bl.a. v</w:t>
      </w:r>
      <w:r>
        <w:t>erksamheten med såddfinansiering och inrättande av en nätverkskredit för kvinnliga företagare. Med det anförda tillstyrks motion 1997/98:Fi219 (mp) i berörd del, medan propositionen och övriga här aktuella motioner avstyrks i motsvara</w:t>
      </w:r>
      <w:r>
        <w:t>n</w:t>
      </w:r>
      <w:r>
        <w:t>de delar.</w:t>
      </w:r>
    </w:p>
    <w:p w:rsidR="00B02860" w:rsidRDefault="00B02860">
      <w:pPr>
        <w:pStyle w:val="Rubrik2"/>
      </w:pPr>
      <w:r>
        <w:t>10. Utgiftsområde 24 Näringsliv</w:t>
      </w:r>
    </w:p>
    <w:p w:rsidR="00B02860" w:rsidRDefault="00B02860">
      <w:r>
        <w:t>Göran Hägglund (kd) anser att näringsutskottets ställningstagande i avsnittet om utgiftsområde 24 Näringsliv bort ha följande lydelse:</w:t>
      </w:r>
    </w:p>
    <w:p w:rsidR="00B02860" w:rsidRDefault="00B02860">
      <w:pPr>
        <w:pStyle w:val="Normaltindrag"/>
      </w:pPr>
      <w:r>
        <w:t>Enligt näringsutskottets mening – och i likhet med vad som anförs i m</w:t>
      </w:r>
      <w:r>
        <w:t>o</w:t>
      </w:r>
      <w:r>
        <w:t>tion 1997/98:Fi215 (kd) – bör ramen för utgiftsområde 24 Näringsliv ökas med 337 miljoner kronor för år 1998, med 487 miljoner kronor för år 1999 och med 787 miljoner kronor för år 2000. Den framtida, nödvändiga sysse</w:t>
      </w:r>
      <w:r>
        <w:t>l</w:t>
      </w:r>
      <w:r>
        <w:t>sättningsökningen kan förväntas komma till stånd inom den privata tjänst</w:t>
      </w:r>
      <w:r>
        <w:t>e</w:t>
      </w:r>
      <w:r>
        <w:t>sektorn. Detta förutsätter dock att rätt politik förs. Därvid måste de hinder som för närvarande motverkar en expansion  av sysselsättningen inom tjän</w:t>
      </w:r>
      <w:r>
        <w:t>s</w:t>
      </w:r>
      <w:r>
        <w:t>tesektorn identifieras och elimineras. Det främsta hindret är de stora skattek</w:t>
      </w:r>
      <w:r>
        <w:t>i</w:t>
      </w:r>
      <w:r>
        <w:t>larna, men också arbetsrättens utformning har betydelse. Förekomsten av dessa hinder leder till att många av de aktuella arbetsuppgifterna inte alls blir utförda eller att de utförs inom den svarta sektorn. För att komma till rätta med de här beskrivna problemen vill näringsutskottet genomföra åtgärder på två områden. Det ena rör införandet av en modell som har likhet med det nuvarande s.k. ROT-avdraget och som inte berör detta utgiftsområde. Det andra gäller införandet av en modell för hushållstjänster som</w:t>
      </w:r>
      <w:r>
        <w:t xml:space="preserve"> tillämpas i Danmark – detta tillhör budgetmässigt utgiftsområde 24 Näringsliv, och ett nytt anslag bör införas för ändamålet.</w:t>
      </w:r>
    </w:p>
    <w:p w:rsidR="00B02860" w:rsidRDefault="00B02860">
      <w:pPr>
        <w:pStyle w:val="Normaltindrag"/>
      </w:pPr>
      <w:r>
        <w:t>Näringsutskottet anser vidare att ökade medel bör tillföras anslagen Te</w:t>
      </w:r>
      <w:r>
        <w:t>k</w:t>
      </w:r>
      <w:r>
        <w:t>nisk forskning och utveckling (D 1), Bidrag till Stiftelsen Sveriges teknisk-vetenskapliga attachéverksamhet (D 4), Konkurrensforskning (C 2) och Småföretagsutveckling (A 2) – det sistnämnda avseende verksamheten med såddfinansiering. Slutligen bör besparingar kunna göras på anslagen Kostn</w:t>
      </w:r>
      <w:r>
        <w:t>a</w:t>
      </w:r>
      <w:r>
        <w:t>der för omstrukturering av vissa statligt ägda företag, m.m. (A 7) och Ko</w:t>
      </w:r>
      <w:r>
        <w:t>n</w:t>
      </w:r>
      <w:r>
        <w:t>sumentverket (F 2). Med det anförda tillstyrks motion 1997/98:Fi215 (kd) i berörd del, medan propositionen och övriga här aktuella motioner avstyrks i motsvara</w:t>
      </w:r>
      <w:r>
        <w:t>n</w:t>
      </w:r>
      <w:r>
        <w:t>de delar.</w:t>
      </w:r>
    </w:p>
    <w:p w:rsidR="00B02860" w:rsidRDefault="00B02860">
      <w:pPr>
        <w:pStyle w:val="Deltagare"/>
        <w:sectPr w:rsidR="00000000">
          <w:headerReference w:type="default" r:id="rId6"/>
          <w:footerReference w:type="default" r:id="rId7"/>
          <w:headerReference w:type="first" r:id="rId8"/>
          <w:footerReference w:type="first" r:id="rId9"/>
          <w:endnotePr>
            <w:numFmt w:val="decimal"/>
            <w:numRestart w:val="eachSect"/>
          </w:endnotePr>
          <w:pgSz w:w="11906" w:h="16838" w:code="9"/>
          <w:pgMar w:top="567" w:right="4876" w:bottom="4508" w:left="1134" w:header="0" w:footer="0" w:gutter="0"/>
          <w:cols w:space="397"/>
          <w:titlePg/>
        </w:sectPr>
      </w:pPr>
    </w:p>
    <w:p w:rsidR="00B02860" w:rsidRDefault="00B02860">
      <w:pPr>
        <w:pStyle w:val="Rubrik1"/>
        <w:spacing w:before="0"/>
      </w:pPr>
      <w:r>
        <w:t>Förslag till ramar för utgiftsområdena 21 Energi och 24 Näringsliv för åren 1998 – 2000</w:t>
      </w:r>
    </w:p>
    <w:p w:rsidR="00B02860" w:rsidRDefault="00B02860"/>
    <w:p w:rsidR="00B02860" w:rsidRDefault="00B02860">
      <w:r>
        <w:t>Belopp i miljoner kronor</w:t>
      </w:r>
    </w:p>
    <w:p w:rsidR="00B02860" w:rsidRDefault="00B02860"/>
    <w:tbl>
      <w:tblPr>
        <w:tblW w:w="0" w:type="auto"/>
        <w:tblInd w:w="-70" w:type="dxa"/>
        <w:tblLayout w:type="fixed"/>
        <w:tblCellMar>
          <w:left w:w="70" w:type="dxa"/>
          <w:right w:w="70" w:type="dxa"/>
        </w:tblCellMar>
        <w:tblLook w:val="0000" w:firstRow="0" w:lastRow="0" w:firstColumn="0" w:lastColumn="0" w:noHBand="0" w:noVBand="0"/>
      </w:tblPr>
      <w:tblGrid>
        <w:gridCol w:w="496"/>
        <w:gridCol w:w="692"/>
        <w:gridCol w:w="1150"/>
        <w:gridCol w:w="790"/>
        <w:gridCol w:w="527"/>
        <w:gridCol w:w="595"/>
        <w:gridCol w:w="595"/>
        <w:gridCol w:w="595"/>
        <w:gridCol w:w="595"/>
      </w:tblGrid>
      <w:tr w:rsidR="00000000">
        <w:tblPrEx>
          <w:tblCellMar>
            <w:top w:w="0" w:type="dxa"/>
            <w:bottom w:w="0" w:type="dxa"/>
          </w:tblCellMar>
        </w:tblPrEx>
        <w:tc>
          <w:tcPr>
            <w:tcW w:w="496" w:type="dxa"/>
            <w:tcBorders>
              <w:top w:val="single" w:sz="6" w:space="0" w:color="auto"/>
              <w:bottom w:val="single" w:sz="6" w:space="0" w:color="auto"/>
            </w:tcBorders>
          </w:tcPr>
          <w:p w:rsidR="00B02860" w:rsidRDefault="00B02860">
            <w:pPr>
              <w:pStyle w:val="Normaltindrag"/>
              <w:ind w:firstLine="0"/>
            </w:pPr>
            <w:r>
              <w:t>UO</w:t>
            </w:r>
          </w:p>
        </w:tc>
        <w:tc>
          <w:tcPr>
            <w:tcW w:w="692" w:type="dxa"/>
            <w:tcBorders>
              <w:top w:val="single" w:sz="6" w:space="0" w:color="auto"/>
              <w:bottom w:val="single" w:sz="6" w:space="0" w:color="auto"/>
            </w:tcBorders>
          </w:tcPr>
          <w:p w:rsidR="00B02860" w:rsidRDefault="00B02860">
            <w:pPr>
              <w:pStyle w:val="Normaltindrag"/>
              <w:ind w:firstLine="0"/>
              <w:jc w:val="center"/>
            </w:pPr>
            <w:r>
              <w:t>År</w:t>
            </w:r>
          </w:p>
        </w:tc>
        <w:tc>
          <w:tcPr>
            <w:tcW w:w="1150" w:type="dxa"/>
            <w:tcBorders>
              <w:top w:val="single" w:sz="6" w:space="0" w:color="auto"/>
              <w:bottom w:val="single" w:sz="6" w:space="0" w:color="auto"/>
            </w:tcBorders>
          </w:tcPr>
          <w:p w:rsidR="00B02860" w:rsidRDefault="00B02860">
            <w:pPr>
              <w:pStyle w:val="Normaltindrag"/>
              <w:ind w:firstLine="0"/>
              <w:jc w:val="center"/>
            </w:pPr>
            <w:r>
              <w:t>Regeringens fö</w:t>
            </w:r>
            <w:r>
              <w:t>r</w:t>
            </w:r>
            <w:r>
              <w:t>slag</w:t>
            </w:r>
          </w:p>
        </w:tc>
        <w:tc>
          <w:tcPr>
            <w:tcW w:w="790" w:type="dxa"/>
            <w:tcBorders>
              <w:top w:val="single" w:sz="6" w:space="0" w:color="auto"/>
              <w:bottom w:val="single" w:sz="6" w:space="0" w:color="auto"/>
            </w:tcBorders>
          </w:tcPr>
          <w:p w:rsidR="00B02860" w:rsidRDefault="00B02860">
            <w:pPr>
              <w:pStyle w:val="Normaltindrag"/>
              <w:ind w:firstLine="0"/>
              <w:jc w:val="center"/>
            </w:pPr>
            <w:r>
              <w:t xml:space="preserve"> m</w:t>
            </w:r>
          </w:p>
        </w:tc>
        <w:tc>
          <w:tcPr>
            <w:tcW w:w="527" w:type="dxa"/>
            <w:tcBorders>
              <w:top w:val="single" w:sz="6" w:space="0" w:color="auto"/>
              <w:bottom w:val="single" w:sz="6" w:space="0" w:color="auto"/>
            </w:tcBorders>
          </w:tcPr>
          <w:p w:rsidR="00B02860" w:rsidRDefault="00B02860">
            <w:pPr>
              <w:pStyle w:val="Normaltindrag"/>
              <w:ind w:firstLine="0"/>
              <w:jc w:val="center"/>
            </w:pPr>
            <w:r>
              <w:t>c</w:t>
            </w:r>
          </w:p>
        </w:tc>
        <w:tc>
          <w:tcPr>
            <w:tcW w:w="595" w:type="dxa"/>
            <w:tcBorders>
              <w:top w:val="single" w:sz="6" w:space="0" w:color="auto"/>
              <w:bottom w:val="single" w:sz="6" w:space="0" w:color="auto"/>
            </w:tcBorders>
          </w:tcPr>
          <w:p w:rsidR="00B02860" w:rsidRDefault="00B02860">
            <w:pPr>
              <w:pStyle w:val="Normaltindrag"/>
              <w:ind w:firstLine="0"/>
              <w:jc w:val="center"/>
            </w:pPr>
            <w:r>
              <w:t>fp</w:t>
            </w:r>
          </w:p>
        </w:tc>
        <w:tc>
          <w:tcPr>
            <w:tcW w:w="595" w:type="dxa"/>
            <w:tcBorders>
              <w:top w:val="single" w:sz="6" w:space="0" w:color="auto"/>
              <w:bottom w:val="single" w:sz="6" w:space="0" w:color="auto"/>
            </w:tcBorders>
          </w:tcPr>
          <w:p w:rsidR="00B02860" w:rsidRDefault="00B02860">
            <w:pPr>
              <w:pStyle w:val="Normaltindrag"/>
              <w:ind w:firstLine="0"/>
              <w:jc w:val="center"/>
            </w:pPr>
            <w:r>
              <w:t>v</w:t>
            </w:r>
          </w:p>
        </w:tc>
        <w:tc>
          <w:tcPr>
            <w:tcW w:w="595" w:type="dxa"/>
            <w:tcBorders>
              <w:top w:val="single" w:sz="6" w:space="0" w:color="auto"/>
              <w:bottom w:val="single" w:sz="6" w:space="0" w:color="auto"/>
            </w:tcBorders>
          </w:tcPr>
          <w:p w:rsidR="00B02860" w:rsidRDefault="00B02860">
            <w:pPr>
              <w:pStyle w:val="Normaltindrag"/>
              <w:ind w:firstLine="0"/>
              <w:jc w:val="center"/>
            </w:pPr>
            <w:r>
              <w:t>mp</w:t>
            </w:r>
          </w:p>
        </w:tc>
        <w:tc>
          <w:tcPr>
            <w:tcW w:w="595" w:type="dxa"/>
            <w:tcBorders>
              <w:top w:val="single" w:sz="6" w:space="0" w:color="auto"/>
              <w:bottom w:val="single" w:sz="6" w:space="0" w:color="auto"/>
            </w:tcBorders>
          </w:tcPr>
          <w:p w:rsidR="00B02860" w:rsidRDefault="00B02860">
            <w:pPr>
              <w:pStyle w:val="Normaltindrag"/>
              <w:ind w:firstLine="0"/>
              <w:jc w:val="center"/>
            </w:pPr>
            <w:r>
              <w:t>kd</w:t>
            </w:r>
          </w:p>
        </w:tc>
      </w:tr>
      <w:tr w:rsidR="00000000">
        <w:tblPrEx>
          <w:tblCellMar>
            <w:top w:w="0" w:type="dxa"/>
            <w:bottom w:w="0" w:type="dxa"/>
          </w:tblCellMar>
        </w:tblPrEx>
        <w:tc>
          <w:tcPr>
            <w:tcW w:w="496" w:type="dxa"/>
          </w:tcPr>
          <w:p w:rsidR="00B02860" w:rsidRDefault="00B02860">
            <w:pPr>
              <w:pStyle w:val="Normaltindrag"/>
              <w:ind w:firstLine="0"/>
            </w:pPr>
            <w:r>
              <w:t>21</w:t>
            </w:r>
          </w:p>
        </w:tc>
        <w:tc>
          <w:tcPr>
            <w:tcW w:w="692" w:type="dxa"/>
          </w:tcPr>
          <w:p w:rsidR="00B02860" w:rsidRDefault="00B02860">
            <w:pPr>
              <w:pStyle w:val="Normaltindrag"/>
              <w:ind w:firstLine="0"/>
              <w:jc w:val="center"/>
            </w:pPr>
            <w:r>
              <w:t>1998</w:t>
            </w:r>
          </w:p>
        </w:tc>
        <w:tc>
          <w:tcPr>
            <w:tcW w:w="1150" w:type="dxa"/>
          </w:tcPr>
          <w:p w:rsidR="00B02860" w:rsidRDefault="00B02860">
            <w:pPr>
              <w:pStyle w:val="Normaltindrag"/>
              <w:ind w:firstLine="0"/>
              <w:jc w:val="center"/>
            </w:pPr>
            <w:r>
              <w:t>1 583</w:t>
            </w:r>
          </w:p>
        </w:tc>
        <w:tc>
          <w:tcPr>
            <w:tcW w:w="790" w:type="dxa"/>
          </w:tcPr>
          <w:p w:rsidR="00B02860" w:rsidRDefault="00B02860">
            <w:pPr>
              <w:pStyle w:val="Normaltindrag"/>
              <w:ind w:firstLine="0"/>
              <w:jc w:val="center"/>
            </w:pPr>
            <w:r>
              <w:t xml:space="preserve">   </w:t>
            </w:r>
            <w:r>
              <w:sym w:font="Symbol" w:char="F02D"/>
            </w:r>
            <w:r>
              <w:t>956</w:t>
            </w:r>
          </w:p>
        </w:tc>
        <w:tc>
          <w:tcPr>
            <w:tcW w:w="527" w:type="dxa"/>
          </w:tcPr>
          <w:p w:rsidR="00B02860" w:rsidRDefault="00B02860">
            <w:pPr>
              <w:pStyle w:val="Normaltindrag"/>
              <w:ind w:firstLine="0"/>
              <w:jc w:val="center"/>
            </w:pPr>
            <w:r>
              <w:sym w:font="Symbol" w:char="F0B1"/>
            </w:r>
            <w:r>
              <w:t>0</w:t>
            </w:r>
          </w:p>
        </w:tc>
        <w:tc>
          <w:tcPr>
            <w:tcW w:w="595" w:type="dxa"/>
          </w:tcPr>
          <w:p w:rsidR="00B02860" w:rsidRDefault="00B02860">
            <w:pPr>
              <w:pStyle w:val="Normaltindrag"/>
              <w:ind w:firstLine="0"/>
              <w:jc w:val="center"/>
            </w:pPr>
            <w:r>
              <w:sym w:font="Symbol" w:char="F02D"/>
            </w:r>
            <w:r>
              <w:t>863</w:t>
            </w:r>
          </w:p>
        </w:tc>
        <w:tc>
          <w:tcPr>
            <w:tcW w:w="595" w:type="dxa"/>
          </w:tcPr>
          <w:p w:rsidR="00B02860" w:rsidRDefault="00B02860">
            <w:pPr>
              <w:pStyle w:val="Normaltindrag"/>
              <w:ind w:firstLine="0"/>
              <w:jc w:val="center"/>
            </w:pPr>
            <w:r>
              <w:sym w:font="Symbol" w:char="F0B1"/>
            </w:r>
            <w:r>
              <w:t>0</w:t>
            </w:r>
          </w:p>
        </w:tc>
        <w:tc>
          <w:tcPr>
            <w:tcW w:w="595" w:type="dxa"/>
          </w:tcPr>
          <w:p w:rsidR="00B02860" w:rsidRDefault="00B02860">
            <w:pPr>
              <w:pStyle w:val="Normaltindrag"/>
              <w:ind w:firstLine="0"/>
              <w:jc w:val="center"/>
            </w:pPr>
            <w:r>
              <w:t>+433</w:t>
            </w:r>
          </w:p>
        </w:tc>
        <w:tc>
          <w:tcPr>
            <w:tcW w:w="595" w:type="dxa"/>
          </w:tcPr>
          <w:p w:rsidR="00B02860" w:rsidRDefault="00B02860">
            <w:pPr>
              <w:pStyle w:val="Normaltindrag"/>
              <w:ind w:firstLine="0"/>
              <w:jc w:val="center"/>
            </w:pPr>
            <w:r>
              <w:sym w:font="Symbol" w:char="F02D"/>
            </w:r>
            <w:r>
              <w:t>150</w:t>
            </w:r>
          </w:p>
        </w:tc>
      </w:tr>
      <w:tr w:rsidR="00000000">
        <w:tblPrEx>
          <w:tblCellMar>
            <w:top w:w="0" w:type="dxa"/>
            <w:bottom w:w="0" w:type="dxa"/>
          </w:tblCellMar>
        </w:tblPrEx>
        <w:tc>
          <w:tcPr>
            <w:tcW w:w="496" w:type="dxa"/>
          </w:tcPr>
          <w:p w:rsidR="00B02860" w:rsidRDefault="00B02860">
            <w:pPr>
              <w:pStyle w:val="Normaltindrag"/>
              <w:ind w:firstLine="0"/>
            </w:pPr>
          </w:p>
        </w:tc>
        <w:tc>
          <w:tcPr>
            <w:tcW w:w="692" w:type="dxa"/>
          </w:tcPr>
          <w:p w:rsidR="00B02860" w:rsidRDefault="00B02860">
            <w:pPr>
              <w:pStyle w:val="Normaltindrag"/>
              <w:ind w:firstLine="0"/>
              <w:jc w:val="center"/>
            </w:pPr>
            <w:r>
              <w:t>1999</w:t>
            </w:r>
          </w:p>
        </w:tc>
        <w:tc>
          <w:tcPr>
            <w:tcW w:w="1150" w:type="dxa"/>
          </w:tcPr>
          <w:p w:rsidR="00B02860" w:rsidRDefault="00B02860">
            <w:pPr>
              <w:pStyle w:val="Normaltindrag"/>
              <w:ind w:firstLine="0"/>
              <w:jc w:val="center"/>
            </w:pPr>
            <w:r>
              <w:t>1 842</w:t>
            </w:r>
          </w:p>
        </w:tc>
        <w:tc>
          <w:tcPr>
            <w:tcW w:w="790" w:type="dxa"/>
          </w:tcPr>
          <w:p w:rsidR="00B02860" w:rsidRDefault="00B02860">
            <w:pPr>
              <w:pStyle w:val="Normaltindrag"/>
              <w:ind w:firstLine="0"/>
              <w:jc w:val="center"/>
            </w:pPr>
            <w:r>
              <w:sym w:font="Symbol" w:char="F02D"/>
            </w:r>
            <w:r>
              <w:t>1 028</w:t>
            </w:r>
          </w:p>
        </w:tc>
        <w:tc>
          <w:tcPr>
            <w:tcW w:w="527" w:type="dxa"/>
          </w:tcPr>
          <w:p w:rsidR="00B02860" w:rsidRDefault="00B02860">
            <w:pPr>
              <w:pStyle w:val="Normaltindrag"/>
              <w:ind w:firstLine="0"/>
              <w:jc w:val="center"/>
            </w:pPr>
            <w:r>
              <w:t>..</w:t>
            </w:r>
          </w:p>
        </w:tc>
        <w:tc>
          <w:tcPr>
            <w:tcW w:w="595" w:type="dxa"/>
          </w:tcPr>
          <w:p w:rsidR="00B02860" w:rsidRDefault="00B02860">
            <w:pPr>
              <w:pStyle w:val="Normaltindrag"/>
              <w:ind w:firstLine="0"/>
              <w:jc w:val="center"/>
            </w:pPr>
            <w:r>
              <w:sym w:font="Symbol" w:char="F02D"/>
            </w:r>
            <w:r>
              <w:t>694</w:t>
            </w:r>
          </w:p>
        </w:tc>
        <w:tc>
          <w:tcPr>
            <w:tcW w:w="595" w:type="dxa"/>
          </w:tcPr>
          <w:p w:rsidR="00B02860" w:rsidRDefault="00B02860">
            <w:pPr>
              <w:pStyle w:val="Normaltindrag"/>
              <w:ind w:firstLine="0"/>
              <w:jc w:val="center"/>
            </w:pPr>
            <w:r>
              <w:t>..</w:t>
            </w:r>
          </w:p>
        </w:tc>
        <w:tc>
          <w:tcPr>
            <w:tcW w:w="595" w:type="dxa"/>
          </w:tcPr>
          <w:p w:rsidR="00B02860" w:rsidRDefault="00B02860">
            <w:pPr>
              <w:pStyle w:val="Normaltindrag"/>
              <w:ind w:firstLine="0"/>
              <w:jc w:val="center"/>
            </w:pPr>
            <w:r>
              <w:t>+470</w:t>
            </w:r>
          </w:p>
        </w:tc>
        <w:tc>
          <w:tcPr>
            <w:tcW w:w="595" w:type="dxa"/>
          </w:tcPr>
          <w:p w:rsidR="00B02860" w:rsidRDefault="00B02860">
            <w:pPr>
              <w:pStyle w:val="Normaltindrag"/>
              <w:ind w:firstLine="0"/>
              <w:jc w:val="center"/>
            </w:pPr>
            <w:r>
              <w:sym w:font="Symbol" w:char="F02D"/>
            </w:r>
            <w:r>
              <w:t>150</w:t>
            </w:r>
          </w:p>
        </w:tc>
      </w:tr>
      <w:tr w:rsidR="00000000">
        <w:tblPrEx>
          <w:tblCellMar>
            <w:top w:w="0" w:type="dxa"/>
            <w:bottom w:w="0" w:type="dxa"/>
          </w:tblCellMar>
        </w:tblPrEx>
        <w:tc>
          <w:tcPr>
            <w:tcW w:w="496" w:type="dxa"/>
          </w:tcPr>
          <w:p w:rsidR="00B02860" w:rsidRDefault="00B02860">
            <w:pPr>
              <w:pStyle w:val="Normaltindrag"/>
              <w:ind w:firstLine="0"/>
            </w:pPr>
          </w:p>
        </w:tc>
        <w:tc>
          <w:tcPr>
            <w:tcW w:w="692" w:type="dxa"/>
          </w:tcPr>
          <w:p w:rsidR="00B02860" w:rsidRDefault="00B02860">
            <w:pPr>
              <w:pStyle w:val="Normaltindrag"/>
              <w:ind w:firstLine="0"/>
              <w:jc w:val="center"/>
            </w:pPr>
            <w:r>
              <w:t>2000</w:t>
            </w:r>
          </w:p>
        </w:tc>
        <w:tc>
          <w:tcPr>
            <w:tcW w:w="1150" w:type="dxa"/>
          </w:tcPr>
          <w:p w:rsidR="00B02860" w:rsidRDefault="00B02860">
            <w:pPr>
              <w:pStyle w:val="Normaltindrag"/>
              <w:ind w:firstLine="0"/>
              <w:jc w:val="center"/>
            </w:pPr>
            <w:r>
              <w:t>1 603</w:t>
            </w:r>
          </w:p>
        </w:tc>
        <w:tc>
          <w:tcPr>
            <w:tcW w:w="790" w:type="dxa"/>
          </w:tcPr>
          <w:p w:rsidR="00B02860" w:rsidRDefault="00B02860">
            <w:pPr>
              <w:pStyle w:val="Normaltindrag"/>
              <w:ind w:firstLine="0"/>
              <w:jc w:val="center"/>
            </w:pPr>
            <w:r>
              <w:t xml:space="preserve">  </w:t>
            </w:r>
            <w:r>
              <w:sym w:font="Symbol" w:char="F02D"/>
            </w:r>
            <w:r>
              <w:t>981</w:t>
            </w:r>
          </w:p>
        </w:tc>
        <w:tc>
          <w:tcPr>
            <w:tcW w:w="527" w:type="dxa"/>
          </w:tcPr>
          <w:p w:rsidR="00B02860" w:rsidRDefault="00B02860">
            <w:pPr>
              <w:pStyle w:val="Normaltindrag"/>
              <w:ind w:firstLine="0"/>
              <w:jc w:val="center"/>
            </w:pPr>
            <w:r>
              <w:t>..</w:t>
            </w:r>
          </w:p>
        </w:tc>
        <w:tc>
          <w:tcPr>
            <w:tcW w:w="595" w:type="dxa"/>
          </w:tcPr>
          <w:p w:rsidR="00B02860" w:rsidRDefault="00B02860">
            <w:pPr>
              <w:pStyle w:val="Normaltindrag"/>
              <w:ind w:firstLine="0"/>
              <w:jc w:val="center"/>
            </w:pPr>
            <w:r>
              <w:sym w:font="Symbol" w:char="F02D"/>
            </w:r>
            <w:r>
              <w:t>488</w:t>
            </w:r>
          </w:p>
        </w:tc>
        <w:tc>
          <w:tcPr>
            <w:tcW w:w="595" w:type="dxa"/>
          </w:tcPr>
          <w:p w:rsidR="00B02860" w:rsidRDefault="00B02860">
            <w:pPr>
              <w:pStyle w:val="Normaltindrag"/>
              <w:ind w:firstLine="0"/>
              <w:jc w:val="center"/>
            </w:pPr>
            <w:r>
              <w:t>..</w:t>
            </w:r>
          </w:p>
        </w:tc>
        <w:tc>
          <w:tcPr>
            <w:tcW w:w="595" w:type="dxa"/>
          </w:tcPr>
          <w:p w:rsidR="00B02860" w:rsidRDefault="00B02860">
            <w:pPr>
              <w:pStyle w:val="Normaltindrag"/>
              <w:ind w:firstLine="0"/>
              <w:jc w:val="center"/>
            </w:pPr>
            <w:r>
              <w:t>+455</w:t>
            </w:r>
          </w:p>
        </w:tc>
        <w:tc>
          <w:tcPr>
            <w:tcW w:w="595" w:type="dxa"/>
          </w:tcPr>
          <w:p w:rsidR="00B02860" w:rsidRDefault="00B02860">
            <w:pPr>
              <w:pStyle w:val="Normaltindrag"/>
              <w:ind w:firstLine="0"/>
              <w:jc w:val="center"/>
            </w:pPr>
            <w:r>
              <w:sym w:font="Symbol" w:char="F02D"/>
            </w:r>
            <w:r>
              <w:t>150</w:t>
            </w:r>
          </w:p>
        </w:tc>
      </w:tr>
      <w:tr w:rsidR="00000000">
        <w:tblPrEx>
          <w:tblCellMar>
            <w:top w:w="0" w:type="dxa"/>
            <w:bottom w:w="0" w:type="dxa"/>
          </w:tblCellMar>
        </w:tblPrEx>
        <w:tc>
          <w:tcPr>
            <w:tcW w:w="496" w:type="dxa"/>
          </w:tcPr>
          <w:p w:rsidR="00B02860" w:rsidRDefault="00B02860">
            <w:pPr>
              <w:pStyle w:val="Normaltindrag"/>
              <w:ind w:firstLine="0"/>
            </w:pPr>
          </w:p>
        </w:tc>
        <w:tc>
          <w:tcPr>
            <w:tcW w:w="692" w:type="dxa"/>
          </w:tcPr>
          <w:p w:rsidR="00B02860" w:rsidRDefault="00B02860">
            <w:pPr>
              <w:pStyle w:val="Normaltindrag"/>
              <w:ind w:firstLine="0"/>
              <w:jc w:val="center"/>
            </w:pPr>
          </w:p>
        </w:tc>
        <w:tc>
          <w:tcPr>
            <w:tcW w:w="1150" w:type="dxa"/>
          </w:tcPr>
          <w:p w:rsidR="00B02860" w:rsidRDefault="00B02860">
            <w:pPr>
              <w:pStyle w:val="Normaltindrag"/>
              <w:ind w:firstLine="0"/>
              <w:jc w:val="center"/>
            </w:pPr>
          </w:p>
        </w:tc>
        <w:tc>
          <w:tcPr>
            <w:tcW w:w="790" w:type="dxa"/>
          </w:tcPr>
          <w:p w:rsidR="00B02860" w:rsidRDefault="00B02860">
            <w:pPr>
              <w:pStyle w:val="Normaltindrag"/>
              <w:ind w:firstLine="0"/>
              <w:jc w:val="right"/>
            </w:pPr>
          </w:p>
        </w:tc>
        <w:tc>
          <w:tcPr>
            <w:tcW w:w="527" w:type="dxa"/>
          </w:tcPr>
          <w:p w:rsidR="00B02860" w:rsidRDefault="00B02860">
            <w:pPr>
              <w:pStyle w:val="Normaltindrag"/>
              <w:ind w:firstLine="0"/>
              <w:jc w:val="center"/>
            </w:pPr>
          </w:p>
        </w:tc>
        <w:tc>
          <w:tcPr>
            <w:tcW w:w="595" w:type="dxa"/>
          </w:tcPr>
          <w:p w:rsidR="00B02860" w:rsidRDefault="00B02860">
            <w:pPr>
              <w:pStyle w:val="Normaltindrag"/>
              <w:ind w:firstLine="0"/>
              <w:jc w:val="center"/>
            </w:pPr>
          </w:p>
        </w:tc>
        <w:tc>
          <w:tcPr>
            <w:tcW w:w="595" w:type="dxa"/>
          </w:tcPr>
          <w:p w:rsidR="00B02860" w:rsidRDefault="00B02860">
            <w:pPr>
              <w:pStyle w:val="Normaltindrag"/>
              <w:ind w:firstLine="0"/>
              <w:jc w:val="center"/>
            </w:pPr>
          </w:p>
        </w:tc>
        <w:tc>
          <w:tcPr>
            <w:tcW w:w="595" w:type="dxa"/>
          </w:tcPr>
          <w:p w:rsidR="00B02860" w:rsidRDefault="00B02860">
            <w:pPr>
              <w:pStyle w:val="Normaltindrag"/>
              <w:ind w:firstLine="0"/>
              <w:jc w:val="center"/>
            </w:pPr>
          </w:p>
        </w:tc>
        <w:tc>
          <w:tcPr>
            <w:tcW w:w="595" w:type="dxa"/>
          </w:tcPr>
          <w:p w:rsidR="00B02860" w:rsidRDefault="00B02860">
            <w:pPr>
              <w:pStyle w:val="Normaltindrag"/>
              <w:ind w:firstLine="0"/>
              <w:jc w:val="center"/>
            </w:pPr>
          </w:p>
        </w:tc>
      </w:tr>
      <w:tr w:rsidR="00000000">
        <w:tblPrEx>
          <w:tblCellMar>
            <w:top w:w="0" w:type="dxa"/>
            <w:bottom w:w="0" w:type="dxa"/>
          </w:tblCellMar>
        </w:tblPrEx>
        <w:tc>
          <w:tcPr>
            <w:tcW w:w="496" w:type="dxa"/>
          </w:tcPr>
          <w:p w:rsidR="00B02860" w:rsidRDefault="00B02860">
            <w:pPr>
              <w:pStyle w:val="Normaltindrag"/>
              <w:ind w:firstLine="0"/>
            </w:pPr>
            <w:r>
              <w:t>24</w:t>
            </w:r>
          </w:p>
        </w:tc>
        <w:tc>
          <w:tcPr>
            <w:tcW w:w="692" w:type="dxa"/>
          </w:tcPr>
          <w:p w:rsidR="00B02860" w:rsidRDefault="00B02860">
            <w:pPr>
              <w:pStyle w:val="Normaltindrag"/>
              <w:ind w:firstLine="0"/>
              <w:jc w:val="center"/>
            </w:pPr>
            <w:r>
              <w:t>1998</w:t>
            </w:r>
          </w:p>
        </w:tc>
        <w:tc>
          <w:tcPr>
            <w:tcW w:w="1150" w:type="dxa"/>
          </w:tcPr>
          <w:p w:rsidR="00B02860" w:rsidRDefault="00B02860">
            <w:pPr>
              <w:pStyle w:val="Normaltindrag"/>
              <w:ind w:firstLine="0"/>
              <w:jc w:val="center"/>
            </w:pPr>
            <w:r>
              <w:t>2 698</w:t>
            </w:r>
          </w:p>
        </w:tc>
        <w:tc>
          <w:tcPr>
            <w:tcW w:w="790" w:type="dxa"/>
          </w:tcPr>
          <w:p w:rsidR="00B02860" w:rsidRDefault="00B02860">
            <w:pPr>
              <w:pStyle w:val="Normaltindrag"/>
              <w:ind w:firstLine="0"/>
              <w:jc w:val="right"/>
            </w:pPr>
            <w:r>
              <w:t>+139,5</w:t>
            </w:r>
          </w:p>
        </w:tc>
        <w:tc>
          <w:tcPr>
            <w:tcW w:w="527" w:type="dxa"/>
          </w:tcPr>
          <w:p w:rsidR="00B02860" w:rsidRDefault="00B02860">
            <w:pPr>
              <w:pStyle w:val="Normaltindrag"/>
              <w:ind w:firstLine="0"/>
              <w:jc w:val="center"/>
            </w:pPr>
            <w:r>
              <w:sym w:font="Symbol" w:char="F0B1"/>
            </w:r>
            <w:r>
              <w:t>0</w:t>
            </w:r>
          </w:p>
        </w:tc>
        <w:tc>
          <w:tcPr>
            <w:tcW w:w="595" w:type="dxa"/>
          </w:tcPr>
          <w:p w:rsidR="00B02860" w:rsidRDefault="00B02860">
            <w:pPr>
              <w:pStyle w:val="Normaltindrag"/>
              <w:ind w:firstLine="0"/>
              <w:jc w:val="center"/>
            </w:pPr>
            <w:r>
              <w:t>+118</w:t>
            </w:r>
          </w:p>
        </w:tc>
        <w:tc>
          <w:tcPr>
            <w:tcW w:w="595" w:type="dxa"/>
          </w:tcPr>
          <w:p w:rsidR="00B02860" w:rsidRDefault="00B02860">
            <w:pPr>
              <w:pStyle w:val="Normaltindrag"/>
              <w:ind w:firstLine="0"/>
              <w:jc w:val="center"/>
            </w:pPr>
            <w:r>
              <w:t>+350</w:t>
            </w:r>
          </w:p>
        </w:tc>
        <w:tc>
          <w:tcPr>
            <w:tcW w:w="595" w:type="dxa"/>
          </w:tcPr>
          <w:p w:rsidR="00B02860" w:rsidRDefault="00B02860">
            <w:pPr>
              <w:pStyle w:val="Normaltindrag"/>
              <w:ind w:firstLine="0"/>
              <w:jc w:val="center"/>
            </w:pPr>
            <w:r>
              <w:sym w:font="Symbol" w:char="F02D"/>
            </w:r>
            <w:r>
              <w:t>193</w:t>
            </w:r>
          </w:p>
        </w:tc>
        <w:tc>
          <w:tcPr>
            <w:tcW w:w="595" w:type="dxa"/>
          </w:tcPr>
          <w:p w:rsidR="00B02860" w:rsidRDefault="00B02860">
            <w:pPr>
              <w:pStyle w:val="Normaltindrag"/>
              <w:ind w:firstLine="0"/>
              <w:jc w:val="center"/>
            </w:pPr>
            <w:r>
              <w:t>+337</w:t>
            </w:r>
          </w:p>
        </w:tc>
      </w:tr>
      <w:tr w:rsidR="00000000">
        <w:tblPrEx>
          <w:tblCellMar>
            <w:top w:w="0" w:type="dxa"/>
            <w:bottom w:w="0" w:type="dxa"/>
          </w:tblCellMar>
        </w:tblPrEx>
        <w:tc>
          <w:tcPr>
            <w:tcW w:w="496" w:type="dxa"/>
          </w:tcPr>
          <w:p w:rsidR="00B02860" w:rsidRDefault="00B02860">
            <w:pPr>
              <w:pStyle w:val="Normaltindrag"/>
              <w:ind w:firstLine="0"/>
            </w:pPr>
          </w:p>
        </w:tc>
        <w:tc>
          <w:tcPr>
            <w:tcW w:w="692" w:type="dxa"/>
          </w:tcPr>
          <w:p w:rsidR="00B02860" w:rsidRDefault="00B02860">
            <w:pPr>
              <w:pStyle w:val="Normaltindrag"/>
              <w:ind w:firstLine="0"/>
              <w:jc w:val="center"/>
            </w:pPr>
            <w:r>
              <w:t>1999</w:t>
            </w:r>
          </w:p>
        </w:tc>
        <w:tc>
          <w:tcPr>
            <w:tcW w:w="1150" w:type="dxa"/>
          </w:tcPr>
          <w:p w:rsidR="00B02860" w:rsidRDefault="00B02860">
            <w:pPr>
              <w:pStyle w:val="Normaltindrag"/>
              <w:ind w:firstLine="0"/>
              <w:jc w:val="center"/>
            </w:pPr>
            <w:r>
              <w:t>2 590</w:t>
            </w:r>
          </w:p>
        </w:tc>
        <w:tc>
          <w:tcPr>
            <w:tcW w:w="790" w:type="dxa"/>
          </w:tcPr>
          <w:p w:rsidR="00B02860" w:rsidRDefault="00B02860">
            <w:pPr>
              <w:pStyle w:val="Normaltindrag"/>
              <w:ind w:firstLine="0"/>
              <w:jc w:val="right"/>
            </w:pPr>
            <w:r>
              <w:t>+139,5</w:t>
            </w:r>
          </w:p>
        </w:tc>
        <w:tc>
          <w:tcPr>
            <w:tcW w:w="527" w:type="dxa"/>
          </w:tcPr>
          <w:p w:rsidR="00B02860" w:rsidRDefault="00B02860">
            <w:pPr>
              <w:pStyle w:val="Normaltindrag"/>
              <w:ind w:firstLine="0"/>
              <w:jc w:val="center"/>
            </w:pPr>
            <w:r>
              <w:t>..</w:t>
            </w:r>
          </w:p>
        </w:tc>
        <w:tc>
          <w:tcPr>
            <w:tcW w:w="595" w:type="dxa"/>
          </w:tcPr>
          <w:p w:rsidR="00B02860" w:rsidRDefault="00B02860">
            <w:pPr>
              <w:pStyle w:val="Normaltindrag"/>
              <w:ind w:firstLine="0"/>
              <w:jc w:val="center"/>
            </w:pPr>
            <w:r>
              <w:t>+124</w:t>
            </w:r>
          </w:p>
        </w:tc>
        <w:tc>
          <w:tcPr>
            <w:tcW w:w="595" w:type="dxa"/>
          </w:tcPr>
          <w:p w:rsidR="00B02860" w:rsidRDefault="00B02860">
            <w:pPr>
              <w:pStyle w:val="Normaltindrag"/>
              <w:ind w:firstLine="0"/>
              <w:jc w:val="center"/>
            </w:pPr>
            <w:r>
              <w:t>..</w:t>
            </w:r>
          </w:p>
        </w:tc>
        <w:tc>
          <w:tcPr>
            <w:tcW w:w="595" w:type="dxa"/>
          </w:tcPr>
          <w:p w:rsidR="00B02860" w:rsidRDefault="00B02860">
            <w:pPr>
              <w:pStyle w:val="Normaltindrag"/>
              <w:ind w:firstLine="0"/>
              <w:jc w:val="center"/>
            </w:pPr>
            <w:r>
              <w:sym w:font="Symbol" w:char="F02D"/>
            </w:r>
            <w:r>
              <w:t>204</w:t>
            </w:r>
          </w:p>
        </w:tc>
        <w:tc>
          <w:tcPr>
            <w:tcW w:w="595" w:type="dxa"/>
          </w:tcPr>
          <w:p w:rsidR="00B02860" w:rsidRDefault="00B02860">
            <w:pPr>
              <w:pStyle w:val="Normaltindrag"/>
              <w:ind w:firstLine="0"/>
              <w:jc w:val="center"/>
            </w:pPr>
            <w:r>
              <w:t>+487</w:t>
            </w:r>
          </w:p>
        </w:tc>
      </w:tr>
      <w:tr w:rsidR="00000000">
        <w:tblPrEx>
          <w:tblCellMar>
            <w:top w:w="0" w:type="dxa"/>
            <w:bottom w:w="0" w:type="dxa"/>
          </w:tblCellMar>
        </w:tblPrEx>
        <w:tc>
          <w:tcPr>
            <w:tcW w:w="496" w:type="dxa"/>
            <w:tcBorders>
              <w:bottom w:val="single" w:sz="6" w:space="0" w:color="auto"/>
            </w:tcBorders>
          </w:tcPr>
          <w:p w:rsidR="00B02860" w:rsidRDefault="00B02860">
            <w:pPr>
              <w:pStyle w:val="Normaltindrag"/>
              <w:ind w:firstLine="0"/>
            </w:pPr>
          </w:p>
        </w:tc>
        <w:tc>
          <w:tcPr>
            <w:tcW w:w="692" w:type="dxa"/>
            <w:tcBorders>
              <w:bottom w:val="single" w:sz="6" w:space="0" w:color="auto"/>
            </w:tcBorders>
          </w:tcPr>
          <w:p w:rsidR="00B02860" w:rsidRDefault="00B02860">
            <w:pPr>
              <w:pStyle w:val="Normaltindrag"/>
              <w:ind w:firstLine="0"/>
              <w:jc w:val="center"/>
            </w:pPr>
            <w:r>
              <w:t>2000</w:t>
            </w:r>
          </w:p>
        </w:tc>
        <w:tc>
          <w:tcPr>
            <w:tcW w:w="1150" w:type="dxa"/>
            <w:tcBorders>
              <w:bottom w:val="single" w:sz="6" w:space="0" w:color="auto"/>
            </w:tcBorders>
          </w:tcPr>
          <w:p w:rsidR="00B02860" w:rsidRDefault="00B02860">
            <w:pPr>
              <w:pStyle w:val="Normaltindrag"/>
              <w:ind w:firstLine="0"/>
              <w:jc w:val="center"/>
            </w:pPr>
            <w:r>
              <w:t>2 572</w:t>
            </w:r>
          </w:p>
        </w:tc>
        <w:tc>
          <w:tcPr>
            <w:tcW w:w="790" w:type="dxa"/>
            <w:tcBorders>
              <w:bottom w:val="single" w:sz="6" w:space="0" w:color="auto"/>
            </w:tcBorders>
          </w:tcPr>
          <w:p w:rsidR="00B02860" w:rsidRDefault="00B02860">
            <w:pPr>
              <w:pStyle w:val="Normaltindrag"/>
              <w:ind w:firstLine="0"/>
              <w:jc w:val="right"/>
            </w:pPr>
            <w:r>
              <w:t>+139,5</w:t>
            </w:r>
          </w:p>
        </w:tc>
        <w:tc>
          <w:tcPr>
            <w:tcW w:w="527" w:type="dxa"/>
            <w:tcBorders>
              <w:bottom w:val="single" w:sz="6" w:space="0" w:color="auto"/>
            </w:tcBorders>
          </w:tcPr>
          <w:p w:rsidR="00B02860" w:rsidRDefault="00B02860">
            <w:pPr>
              <w:pStyle w:val="Normaltindrag"/>
              <w:ind w:firstLine="0"/>
              <w:jc w:val="center"/>
            </w:pPr>
            <w:r>
              <w:t>..</w:t>
            </w:r>
          </w:p>
        </w:tc>
        <w:tc>
          <w:tcPr>
            <w:tcW w:w="595" w:type="dxa"/>
            <w:tcBorders>
              <w:bottom w:val="single" w:sz="6" w:space="0" w:color="auto"/>
            </w:tcBorders>
          </w:tcPr>
          <w:p w:rsidR="00B02860" w:rsidRDefault="00B02860">
            <w:pPr>
              <w:pStyle w:val="Normaltindrag"/>
              <w:ind w:firstLine="0"/>
              <w:jc w:val="center"/>
            </w:pPr>
            <w:r>
              <w:t>+128</w:t>
            </w:r>
          </w:p>
        </w:tc>
        <w:tc>
          <w:tcPr>
            <w:tcW w:w="595" w:type="dxa"/>
            <w:tcBorders>
              <w:bottom w:val="single" w:sz="6" w:space="0" w:color="auto"/>
            </w:tcBorders>
          </w:tcPr>
          <w:p w:rsidR="00B02860" w:rsidRDefault="00B02860">
            <w:pPr>
              <w:pStyle w:val="Normaltindrag"/>
              <w:ind w:firstLine="0"/>
              <w:jc w:val="center"/>
            </w:pPr>
            <w:r>
              <w:t>..</w:t>
            </w:r>
          </w:p>
        </w:tc>
        <w:tc>
          <w:tcPr>
            <w:tcW w:w="595" w:type="dxa"/>
            <w:tcBorders>
              <w:bottom w:val="single" w:sz="6" w:space="0" w:color="auto"/>
            </w:tcBorders>
          </w:tcPr>
          <w:p w:rsidR="00B02860" w:rsidRDefault="00B02860">
            <w:pPr>
              <w:pStyle w:val="Normaltindrag"/>
              <w:ind w:firstLine="0"/>
              <w:jc w:val="center"/>
            </w:pPr>
            <w:r>
              <w:sym w:font="Symbol" w:char="F02D"/>
            </w:r>
            <w:r>
              <w:t>205</w:t>
            </w:r>
          </w:p>
        </w:tc>
        <w:tc>
          <w:tcPr>
            <w:tcW w:w="595" w:type="dxa"/>
            <w:tcBorders>
              <w:bottom w:val="single" w:sz="6" w:space="0" w:color="auto"/>
            </w:tcBorders>
          </w:tcPr>
          <w:p w:rsidR="00B02860" w:rsidRDefault="00B02860">
            <w:pPr>
              <w:pStyle w:val="Normaltindrag"/>
              <w:ind w:firstLine="0"/>
              <w:jc w:val="center"/>
            </w:pPr>
            <w:r>
              <w:t>+787</w:t>
            </w:r>
          </w:p>
        </w:tc>
      </w:tr>
    </w:tbl>
    <w:p w:rsidR="00B02860" w:rsidRDefault="00B02860">
      <w:pPr>
        <w:pStyle w:val="Normaltindrag"/>
        <w:keepNext/>
        <w:keepLines/>
        <w:suppressAutoHyphens/>
        <w:spacing w:before="360" w:line="256" w:lineRule="exact"/>
        <w:ind w:firstLine="0"/>
        <w:jc w:val="left"/>
        <w:sectPr w:rsidR="00000000">
          <w:headerReference w:type="default" r:id="rId10"/>
          <w:endnotePr>
            <w:numFmt w:val="decimal"/>
            <w:numRestart w:val="eachSect"/>
          </w:endnotePr>
          <w:pgSz w:w="11906" w:h="16838" w:code="9"/>
          <w:pgMar w:top="567" w:right="4876" w:bottom="4508" w:left="1134" w:header="0" w:footer="0" w:gutter="0"/>
          <w:cols w:space="397"/>
        </w:sectPr>
      </w:pPr>
    </w:p>
    <w:p w:rsidR="00B02860" w:rsidRDefault="00B02860">
      <w:pPr>
        <w:pStyle w:val="Rubrik1"/>
      </w:pPr>
      <w:r>
        <w:t>Förslag till anslag inom utgiftsområde 21 Energi för år 1998</w:t>
      </w:r>
    </w:p>
    <w:p w:rsidR="00B02860" w:rsidRDefault="00B02860">
      <w:pPr>
        <w:rPr>
          <w:color w:val="000000"/>
          <w:sz w:val="16"/>
        </w:rPr>
      </w:pPr>
      <w:r>
        <w:rPr>
          <w:color w:val="000000"/>
          <w:sz w:val="16"/>
        </w:rPr>
        <w:t>Belopp i 1000-tal kronor</w:t>
      </w:r>
    </w:p>
    <w:p w:rsidR="00B02860" w:rsidRDefault="00B02860">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738"/>
        <w:gridCol w:w="3686"/>
        <w:gridCol w:w="992"/>
        <w:gridCol w:w="850"/>
        <w:gridCol w:w="409"/>
        <w:gridCol w:w="953"/>
        <w:gridCol w:w="436"/>
        <w:gridCol w:w="873"/>
        <w:gridCol w:w="1016"/>
      </w:tblGrid>
      <w:tr w:rsidR="00000000">
        <w:tblPrEx>
          <w:tblCellMar>
            <w:top w:w="0" w:type="dxa"/>
            <w:bottom w:w="0" w:type="dxa"/>
          </w:tblCellMar>
        </w:tblPrEx>
        <w:trPr>
          <w:trHeight w:val="246"/>
        </w:trPr>
        <w:tc>
          <w:tcPr>
            <w:tcW w:w="4425" w:type="dxa"/>
            <w:hMerge w:val="restart"/>
            <w:tcBorders>
              <w:top w:val="single" w:sz="6" w:space="0" w:color="000000"/>
              <w:bottom w:val="single" w:sz="6" w:space="0" w:color="000000"/>
            </w:tcBorders>
          </w:tcPr>
          <w:p w:rsidR="00B02860" w:rsidRDefault="00B02860">
            <w:pPr>
              <w:pStyle w:val="Tabell"/>
              <w:spacing w:before="40"/>
              <w:rPr>
                <w:b/>
              </w:rPr>
            </w:pPr>
            <w:r>
              <w:rPr>
                <w:b/>
              </w:rPr>
              <w:t>Anslag</w:t>
            </w:r>
          </w:p>
        </w:tc>
        <w:tc>
          <w:tcPr>
            <w:gridSpan w:val="2"/>
            <w:hMerge/>
            <w:tcBorders>
              <w:top w:val="single" w:sz="6" w:space="0" w:color="000000"/>
              <w:bottom w:val="single" w:sz="6" w:space="0" w:color="000000"/>
            </w:tcBorders>
          </w:tcPr>
          <w:p w:rsidR="00B02860" w:rsidRDefault="00B02860">
            <w:pPr>
              <w:pStyle w:val="Tabell"/>
              <w:spacing w:before="40"/>
              <w:rPr>
                <w:b/>
              </w:rPr>
            </w:pPr>
          </w:p>
        </w:tc>
        <w:tc>
          <w:tcPr>
            <w:tcW w:w="992" w:type="dxa"/>
            <w:tcBorders>
              <w:top w:val="single" w:sz="6" w:space="0" w:color="000000"/>
              <w:bottom w:val="single" w:sz="6" w:space="0" w:color="000000"/>
            </w:tcBorders>
          </w:tcPr>
          <w:p w:rsidR="00B02860" w:rsidRDefault="00B02860">
            <w:pPr>
              <w:pStyle w:val="Tabell"/>
              <w:spacing w:before="40"/>
              <w:jc w:val="center"/>
              <w:rPr>
                <w:b/>
              </w:rPr>
            </w:pPr>
            <w:r>
              <w:rPr>
                <w:b/>
              </w:rPr>
              <w:t>Regeringens</w:t>
            </w:r>
          </w:p>
          <w:p w:rsidR="00B02860" w:rsidRDefault="00B02860">
            <w:pPr>
              <w:pStyle w:val="Tabell"/>
              <w:spacing w:before="40"/>
              <w:jc w:val="center"/>
              <w:rPr>
                <w:b/>
              </w:rPr>
            </w:pPr>
            <w:r>
              <w:rPr>
                <w:b/>
              </w:rPr>
              <w:t>förslag</w:t>
            </w:r>
          </w:p>
        </w:tc>
        <w:tc>
          <w:tcPr>
            <w:tcW w:w="850" w:type="dxa"/>
            <w:tcBorders>
              <w:top w:val="single" w:sz="6" w:space="0" w:color="000000"/>
              <w:bottom w:val="single" w:sz="6" w:space="0" w:color="000000"/>
            </w:tcBorders>
          </w:tcPr>
          <w:p w:rsidR="00B02860" w:rsidRDefault="00B02860">
            <w:pPr>
              <w:pStyle w:val="Tabell"/>
              <w:spacing w:before="40"/>
              <w:jc w:val="center"/>
              <w:rPr>
                <w:b/>
              </w:rPr>
            </w:pPr>
            <w:r>
              <w:rPr>
                <w:b/>
              </w:rPr>
              <w:t xml:space="preserve">     m</w:t>
            </w:r>
          </w:p>
        </w:tc>
        <w:tc>
          <w:tcPr>
            <w:tcW w:w="409" w:type="dxa"/>
            <w:tcBorders>
              <w:top w:val="single" w:sz="6" w:space="0" w:color="000000"/>
              <w:bottom w:val="single" w:sz="6" w:space="0" w:color="000000"/>
            </w:tcBorders>
          </w:tcPr>
          <w:p w:rsidR="00B02860" w:rsidRDefault="00B02860">
            <w:pPr>
              <w:pStyle w:val="Tabell"/>
              <w:spacing w:before="40"/>
              <w:jc w:val="center"/>
              <w:rPr>
                <w:b/>
              </w:rPr>
            </w:pPr>
            <w:r>
              <w:rPr>
                <w:b/>
              </w:rPr>
              <w:t xml:space="preserve">    c</w:t>
            </w:r>
          </w:p>
        </w:tc>
        <w:tc>
          <w:tcPr>
            <w:tcW w:w="953" w:type="dxa"/>
            <w:tcBorders>
              <w:top w:val="single" w:sz="6" w:space="0" w:color="000000"/>
              <w:bottom w:val="single" w:sz="6" w:space="0" w:color="000000"/>
            </w:tcBorders>
          </w:tcPr>
          <w:p w:rsidR="00B02860" w:rsidRDefault="00B02860">
            <w:pPr>
              <w:pStyle w:val="Tabell"/>
              <w:spacing w:before="40"/>
              <w:jc w:val="center"/>
              <w:rPr>
                <w:b/>
              </w:rPr>
            </w:pPr>
            <w:r>
              <w:rPr>
                <w:b/>
              </w:rPr>
              <w:t xml:space="preserve">       fp</w:t>
            </w:r>
          </w:p>
        </w:tc>
        <w:tc>
          <w:tcPr>
            <w:tcW w:w="436" w:type="dxa"/>
            <w:tcBorders>
              <w:top w:val="single" w:sz="6" w:space="0" w:color="000000"/>
              <w:bottom w:val="single" w:sz="6" w:space="0" w:color="000000"/>
            </w:tcBorders>
          </w:tcPr>
          <w:p w:rsidR="00B02860" w:rsidRDefault="00B02860">
            <w:pPr>
              <w:pStyle w:val="Tabell"/>
              <w:spacing w:before="40"/>
              <w:jc w:val="center"/>
              <w:rPr>
                <w:b/>
              </w:rPr>
            </w:pPr>
            <w:r>
              <w:rPr>
                <w:b/>
              </w:rPr>
              <w:t xml:space="preserve">   v</w:t>
            </w:r>
          </w:p>
        </w:tc>
        <w:tc>
          <w:tcPr>
            <w:tcW w:w="873" w:type="dxa"/>
            <w:tcBorders>
              <w:top w:val="single" w:sz="6" w:space="0" w:color="000000"/>
              <w:bottom w:val="single" w:sz="6" w:space="0" w:color="000000"/>
            </w:tcBorders>
          </w:tcPr>
          <w:p w:rsidR="00B02860" w:rsidRDefault="00B02860">
            <w:pPr>
              <w:pStyle w:val="Tabell"/>
              <w:spacing w:before="40"/>
              <w:jc w:val="center"/>
              <w:rPr>
                <w:b/>
              </w:rPr>
            </w:pPr>
            <w:r>
              <w:rPr>
                <w:b/>
              </w:rPr>
              <w:t xml:space="preserve">    mp</w:t>
            </w:r>
          </w:p>
        </w:tc>
        <w:tc>
          <w:tcPr>
            <w:tcW w:w="1016" w:type="dxa"/>
            <w:tcBorders>
              <w:top w:val="single" w:sz="6" w:space="0" w:color="000000"/>
              <w:bottom w:val="single" w:sz="6" w:space="0" w:color="000000"/>
            </w:tcBorders>
          </w:tcPr>
          <w:p w:rsidR="00B02860" w:rsidRDefault="00B02860">
            <w:pPr>
              <w:pStyle w:val="Tabell"/>
              <w:spacing w:before="40"/>
              <w:jc w:val="center"/>
              <w:rPr>
                <w:b/>
              </w:rPr>
            </w:pPr>
            <w:r>
              <w:rPr>
                <w:b/>
              </w:rPr>
              <w:t xml:space="preserve">       kd</w:t>
            </w:r>
          </w:p>
        </w:tc>
      </w:tr>
      <w:tr w:rsidR="00000000">
        <w:tblPrEx>
          <w:tblCellMar>
            <w:top w:w="0" w:type="dxa"/>
            <w:bottom w:w="0" w:type="dxa"/>
          </w:tblCellMar>
        </w:tblPrEx>
        <w:trPr>
          <w:trHeight w:val="115"/>
        </w:trPr>
        <w:tc>
          <w:tcPr>
            <w:tcW w:w="739" w:type="dxa"/>
            <w:gridSpan w:val="2"/>
          </w:tcPr>
          <w:p w:rsidR="00B02860" w:rsidRDefault="00B02860">
            <w:pPr>
              <w:pStyle w:val="Tabell"/>
            </w:pPr>
          </w:p>
        </w:tc>
        <w:tc>
          <w:tcPr>
            <w:tcW w:w="3686" w:type="dxa"/>
          </w:tcPr>
          <w:p w:rsidR="00B02860" w:rsidRDefault="00B02860">
            <w:pPr>
              <w:pStyle w:val="Tabell"/>
            </w:pPr>
          </w:p>
        </w:tc>
        <w:tc>
          <w:tcPr>
            <w:tcW w:w="992" w:type="dxa"/>
          </w:tcPr>
          <w:p w:rsidR="00B02860" w:rsidRDefault="00B02860">
            <w:pPr>
              <w:pStyle w:val="Tabell"/>
              <w:jc w:val="center"/>
            </w:pPr>
          </w:p>
        </w:tc>
        <w:tc>
          <w:tcPr>
            <w:tcW w:w="850" w:type="dxa"/>
          </w:tcPr>
          <w:p w:rsidR="00B02860" w:rsidRDefault="00B02860">
            <w:pPr>
              <w:pStyle w:val="Tabell"/>
            </w:pPr>
          </w:p>
        </w:tc>
        <w:tc>
          <w:tcPr>
            <w:tcW w:w="409" w:type="dxa"/>
          </w:tcPr>
          <w:p w:rsidR="00B02860" w:rsidRDefault="00B02860">
            <w:pPr>
              <w:pStyle w:val="Tabell"/>
            </w:pPr>
          </w:p>
        </w:tc>
        <w:tc>
          <w:tcPr>
            <w:tcW w:w="953" w:type="dxa"/>
          </w:tcPr>
          <w:p w:rsidR="00B02860" w:rsidRDefault="00B02860">
            <w:pPr>
              <w:pStyle w:val="Tabell"/>
            </w:pPr>
          </w:p>
        </w:tc>
        <w:tc>
          <w:tcPr>
            <w:tcW w:w="436" w:type="dxa"/>
          </w:tcPr>
          <w:p w:rsidR="00B02860" w:rsidRDefault="00B02860">
            <w:pPr>
              <w:pStyle w:val="Tabell"/>
            </w:pPr>
          </w:p>
        </w:tc>
        <w:tc>
          <w:tcPr>
            <w:tcW w:w="873" w:type="dxa"/>
          </w:tcPr>
          <w:p w:rsidR="00B02860" w:rsidRDefault="00B02860">
            <w:pPr>
              <w:pStyle w:val="Tabell"/>
            </w:pPr>
          </w:p>
        </w:tc>
        <w:tc>
          <w:tcPr>
            <w:tcW w:w="1016" w:type="dxa"/>
          </w:tcPr>
          <w:p w:rsidR="00B02860" w:rsidRDefault="00B02860">
            <w:pPr>
              <w:pStyle w:val="Tabell"/>
            </w:pPr>
          </w:p>
        </w:tc>
      </w:tr>
      <w:tr w:rsidR="00000000">
        <w:tblPrEx>
          <w:tblCellMar>
            <w:top w:w="0" w:type="dxa"/>
            <w:bottom w:w="0" w:type="dxa"/>
          </w:tblCellMar>
        </w:tblPrEx>
        <w:trPr>
          <w:trHeight w:val="246"/>
        </w:trPr>
        <w:tc>
          <w:tcPr>
            <w:tcW w:w="739" w:type="dxa"/>
            <w:gridSpan w:val="2"/>
          </w:tcPr>
          <w:p w:rsidR="00B02860" w:rsidRDefault="00B02860">
            <w:pPr>
              <w:pStyle w:val="Tabell"/>
            </w:pPr>
            <w:r>
              <w:t>A 1</w:t>
            </w:r>
          </w:p>
        </w:tc>
        <w:tc>
          <w:tcPr>
            <w:tcW w:w="3686" w:type="dxa"/>
          </w:tcPr>
          <w:p w:rsidR="00B02860" w:rsidRDefault="00B02860">
            <w:pPr>
              <w:pStyle w:val="Tabell"/>
            </w:pPr>
            <w:r>
              <w:t>Energimyndighet: Förvaltningskostnader</w:t>
            </w:r>
          </w:p>
        </w:tc>
        <w:tc>
          <w:tcPr>
            <w:tcW w:w="992" w:type="dxa"/>
          </w:tcPr>
          <w:p w:rsidR="00B02860" w:rsidRDefault="00B02860">
            <w:pPr>
              <w:pStyle w:val="Tabell"/>
              <w:jc w:val="center"/>
            </w:pPr>
            <w:r>
              <w:t>138 041</w:t>
            </w:r>
          </w:p>
        </w:tc>
        <w:tc>
          <w:tcPr>
            <w:tcW w:w="850" w:type="dxa"/>
          </w:tcPr>
          <w:p w:rsidR="00B02860" w:rsidRDefault="00B02860">
            <w:pPr>
              <w:pStyle w:val="Tabell"/>
              <w:jc w:val="right"/>
            </w:pPr>
            <w:r>
              <w:sym w:font="Symbol" w:char="F02D"/>
            </w:r>
            <w:r>
              <w:t>138 041</w:t>
            </w:r>
          </w:p>
        </w:tc>
        <w:tc>
          <w:tcPr>
            <w:tcW w:w="409" w:type="dxa"/>
          </w:tcPr>
          <w:p w:rsidR="00B02860" w:rsidRDefault="00B02860">
            <w:pPr>
              <w:pStyle w:val="Tabell"/>
              <w:jc w:val="right"/>
            </w:pPr>
          </w:p>
        </w:tc>
        <w:tc>
          <w:tcPr>
            <w:tcW w:w="953" w:type="dxa"/>
          </w:tcPr>
          <w:p w:rsidR="00B02860" w:rsidRDefault="00B02860">
            <w:pPr>
              <w:pStyle w:val="Tabell"/>
              <w:jc w:val="right"/>
            </w:pPr>
            <w:r>
              <w:sym w:font="Symbol" w:char="F02D"/>
            </w:r>
            <w:r>
              <w:t>138 000</w:t>
            </w:r>
          </w:p>
        </w:tc>
        <w:tc>
          <w:tcPr>
            <w:tcW w:w="436" w:type="dxa"/>
          </w:tcPr>
          <w:p w:rsidR="00B02860" w:rsidRDefault="00B02860">
            <w:pPr>
              <w:pStyle w:val="Tabell"/>
              <w:jc w:val="right"/>
            </w:pPr>
          </w:p>
        </w:tc>
        <w:tc>
          <w:tcPr>
            <w:tcW w:w="873" w:type="dxa"/>
          </w:tcPr>
          <w:p w:rsidR="00B02860" w:rsidRDefault="00B02860">
            <w:pPr>
              <w:pStyle w:val="Tabell"/>
              <w:jc w:val="right"/>
            </w:pPr>
          </w:p>
        </w:tc>
        <w:tc>
          <w:tcPr>
            <w:tcW w:w="1016"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A 2</w:t>
            </w:r>
          </w:p>
        </w:tc>
        <w:tc>
          <w:tcPr>
            <w:tcW w:w="3686" w:type="dxa"/>
          </w:tcPr>
          <w:p w:rsidR="00B02860" w:rsidRDefault="00B02860">
            <w:pPr>
              <w:pStyle w:val="Tabell"/>
            </w:pPr>
            <w:r>
              <w:t>Kostnader för bildandet av en ny energimyndighet</w:t>
            </w:r>
          </w:p>
        </w:tc>
        <w:tc>
          <w:tcPr>
            <w:tcW w:w="992" w:type="dxa"/>
          </w:tcPr>
          <w:p w:rsidR="00B02860" w:rsidRDefault="00B02860">
            <w:pPr>
              <w:pStyle w:val="Tabell"/>
              <w:jc w:val="center"/>
            </w:pPr>
            <w:r>
              <w:t>25 000</w:t>
            </w:r>
          </w:p>
        </w:tc>
        <w:tc>
          <w:tcPr>
            <w:tcW w:w="850" w:type="dxa"/>
          </w:tcPr>
          <w:p w:rsidR="00B02860" w:rsidRDefault="00B02860">
            <w:pPr>
              <w:pStyle w:val="Tabell"/>
              <w:jc w:val="right"/>
            </w:pPr>
            <w:r>
              <w:sym w:font="Symbol" w:char="F02D"/>
            </w:r>
            <w:r>
              <w:t>25 000</w:t>
            </w:r>
          </w:p>
        </w:tc>
        <w:tc>
          <w:tcPr>
            <w:tcW w:w="409" w:type="dxa"/>
          </w:tcPr>
          <w:p w:rsidR="00B02860" w:rsidRDefault="00B02860">
            <w:pPr>
              <w:pStyle w:val="Tabell"/>
              <w:jc w:val="right"/>
            </w:pPr>
          </w:p>
        </w:tc>
        <w:tc>
          <w:tcPr>
            <w:tcW w:w="953" w:type="dxa"/>
          </w:tcPr>
          <w:p w:rsidR="00B02860" w:rsidRDefault="00B02860">
            <w:pPr>
              <w:pStyle w:val="Tabell"/>
              <w:jc w:val="right"/>
            </w:pPr>
            <w:r>
              <w:sym w:font="Symbol" w:char="F02D"/>
            </w:r>
            <w:r>
              <w:t>25 000</w:t>
            </w:r>
          </w:p>
        </w:tc>
        <w:tc>
          <w:tcPr>
            <w:tcW w:w="436" w:type="dxa"/>
          </w:tcPr>
          <w:p w:rsidR="00B02860" w:rsidRDefault="00B02860">
            <w:pPr>
              <w:pStyle w:val="Tabell"/>
              <w:jc w:val="right"/>
            </w:pPr>
          </w:p>
        </w:tc>
        <w:tc>
          <w:tcPr>
            <w:tcW w:w="873" w:type="dxa"/>
          </w:tcPr>
          <w:p w:rsidR="00B02860" w:rsidRDefault="00B02860">
            <w:pPr>
              <w:pStyle w:val="Tabell"/>
              <w:jc w:val="right"/>
            </w:pPr>
          </w:p>
          <w:p w:rsidR="00B02860" w:rsidRDefault="00B02860">
            <w:pPr>
              <w:pStyle w:val="Tabell"/>
              <w:jc w:val="right"/>
            </w:pPr>
          </w:p>
        </w:tc>
        <w:tc>
          <w:tcPr>
            <w:tcW w:w="1016"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B 1</w:t>
            </w:r>
          </w:p>
        </w:tc>
        <w:tc>
          <w:tcPr>
            <w:tcW w:w="3686" w:type="dxa"/>
          </w:tcPr>
          <w:p w:rsidR="00B02860" w:rsidRDefault="00B02860">
            <w:pPr>
              <w:pStyle w:val="Tabell"/>
            </w:pPr>
            <w:r>
              <w:t>Bidrag för att minska elanvändningen</w:t>
            </w:r>
          </w:p>
        </w:tc>
        <w:tc>
          <w:tcPr>
            <w:tcW w:w="992" w:type="dxa"/>
          </w:tcPr>
          <w:p w:rsidR="00B02860" w:rsidRDefault="00B02860">
            <w:pPr>
              <w:pStyle w:val="Tabell"/>
              <w:jc w:val="center"/>
            </w:pPr>
            <w:r>
              <w:t>290 000</w:t>
            </w:r>
          </w:p>
        </w:tc>
        <w:tc>
          <w:tcPr>
            <w:tcW w:w="850" w:type="dxa"/>
          </w:tcPr>
          <w:p w:rsidR="00B02860" w:rsidRDefault="00B02860">
            <w:pPr>
              <w:pStyle w:val="Tabell"/>
              <w:jc w:val="right"/>
            </w:pPr>
            <w:r>
              <w:sym w:font="Symbol" w:char="F02D"/>
            </w:r>
            <w:r>
              <w:t>290 000</w:t>
            </w:r>
          </w:p>
        </w:tc>
        <w:tc>
          <w:tcPr>
            <w:tcW w:w="409" w:type="dxa"/>
          </w:tcPr>
          <w:p w:rsidR="00B02860" w:rsidRDefault="00B02860">
            <w:pPr>
              <w:pStyle w:val="Tabell"/>
              <w:jc w:val="right"/>
            </w:pPr>
          </w:p>
        </w:tc>
        <w:tc>
          <w:tcPr>
            <w:tcW w:w="953" w:type="dxa"/>
          </w:tcPr>
          <w:p w:rsidR="00B02860" w:rsidRDefault="00B02860">
            <w:pPr>
              <w:pStyle w:val="Tabell"/>
              <w:jc w:val="right"/>
            </w:pPr>
            <w:r>
              <w:sym w:font="Symbol" w:char="F02D"/>
            </w:r>
            <w:r>
              <w:t>140 000</w:t>
            </w:r>
          </w:p>
        </w:tc>
        <w:tc>
          <w:tcPr>
            <w:tcW w:w="436" w:type="dxa"/>
          </w:tcPr>
          <w:p w:rsidR="00B02860" w:rsidRDefault="00B02860">
            <w:pPr>
              <w:pStyle w:val="Tabell"/>
              <w:jc w:val="right"/>
            </w:pPr>
          </w:p>
        </w:tc>
        <w:tc>
          <w:tcPr>
            <w:tcW w:w="873" w:type="dxa"/>
          </w:tcPr>
          <w:p w:rsidR="00B02860" w:rsidRDefault="00B02860">
            <w:pPr>
              <w:pStyle w:val="Tabell"/>
              <w:jc w:val="right"/>
            </w:pPr>
            <w:r>
              <w:t>+80 000</w:t>
            </w:r>
          </w:p>
        </w:tc>
        <w:tc>
          <w:tcPr>
            <w:tcW w:w="1016" w:type="dxa"/>
          </w:tcPr>
          <w:p w:rsidR="00B02860" w:rsidRDefault="00B02860">
            <w:pPr>
              <w:pStyle w:val="Tabell"/>
              <w:jc w:val="right"/>
            </w:pPr>
          </w:p>
        </w:tc>
      </w:tr>
      <w:tr w:rsidR="00000000">
        <w:tblPrEx>
          <w:tblCellMar>
            <w:top w:w="0" w:type="dxa"/>
            <w:bottom w:w="0" w:type="dxa"/>
          </w:tblCellMar>
        </w:tblPrEx>
        <w:trPr>
          <w:trHeight w:val="400"/>
        </w:trPr>
        <w:tc>
          <w:tcPr>
            <w:tcW w:w="739" w:type="dxa"/>
            <w:gridSpan w:val="2"/>
          </w:tcPr>
          <w:p w:rsidR="00B02860" w:rsidRDefault="00B02860">
            <w:pPr>
              <w:pStyle w:val="Tabell"/>
            </w:pPr>
            <w:r>
              <w:t>B 2</w:t>
            </w:r>
          </w:p>
        </w:tc>
        <w:tc>
          <w:tcPr>
            <w:tcW w:w="3686" w:type="dxa"/>
          </w:tcPr>
          <w:p w:rsidR="00B02860" w:rsidRDefault="00B02860">
            <w:pPr>
              <w:pStyle w:val="Tabell"/>
            </w:pPr>
            <w:r>
              <w:t xml:space="preserve">Bidrag till investeringar i elproduktion från </w:t>
            </w:r>
          </w:p>
          <w:p w:rsidR="00B02860" w:rsidRDefault="00B02860">
            <w:pPr>
              <w:pStyle w:val="Tabell"/>
            </w:pPr>
            <w:r>
              <w:t xml:space="preserve">  förnybara energikällor</w:t>
            </w:r>
          </w:p>
        </w:tc>
        <w:tc>
          <w:tcPr>
            <w:tcW w:w="992" w:type="dxa"/>
          </w:tcPr>
          <w:p w:rsidR="00B02860" w:rsidRDefault="00B02860">
            <w:pPr>
              <w:pStyle w:val="Tabell"/>
              <w:jc w:val="center"/>
            </w:pPr>
          </w:p>
          <w:p w:rsidR="00B02860" w:rsidRDefault="00B02860">
            <w:pPr>
              <w:pStyle w:val="Tabell"/>
              <w:jc w:val="center"/>
            </w:pPr>
            <w:r>
              <w:t>215 000</w:t>
            </w:r>
          </w:p>
        </w:tc>
        <w:tc>
          <w:tcPr>
            <w:tcW w:w="850" w:type="dxa"/>
          </w:tcPr>
          <w:p w:rsidR="00B02860" w:rsidRDefault="00B02860">
            <w:pPr>
              <w:pStyle w:val="Tabell"/>
              <w:jc w:val="right"/>
            </w:pPr>
          </w:p>
          <w:p w:rsidR="00B02860" w:rsidRDefault="00B02860">
            <w:pPr>
              <w:pStyle w:val="Tabell"/>
              <w:jc w:val="right"/>
            </w:pPr>
            <w:r>
              <w:sym w:font="Symbol" w:char="F02D"/>
            </w:r>
            <w:r>
              <w:t>215 000</w:t>
            </w:r>
          </w:p>
        </w:tc>
        <w:tc>
          <w:tcPr>
            <w:tcW w:w="409" w:type="dxa"/>
          </w:tcPr>
          <w:p w:rsidR="00B02860" w:rsidRDefault="00B02860">
            <w:pPr>
              <w:pStyle w:val="Tabell"/>
              <w:jc w:val="right"/>
            </w:pPr>
          </w:p>
        </w:tc>
        <w:tc>
          <w:tcPr>
            <w:tcW w:w="953" w:type="dxa"/>
          </w:tcPr>
          <w:p w:rsidR="00B02860" w:rsidRDefault="00B02860">
            <w:pPr>
              <w:pStyle w:val="Tabell"/>
              <w:jc w:val="right"/>
            </w:pPr>
          </w:p>
          <w:p w:rsidR="00B02860" w:rsidRDefault="00B02860">
            <w:pPr>
              <w:pStyle w:val="Tabell"/>
              <w:jc w:val="right"/>
            </w:pPr>
            <w:r>
              <w:sym w:font="Symbol" w:char="F02D"/>
            </w:r>
            <w:r>
              <w:t>103 000</w:t>
            </w:r>
          </w:p>
        </w:tc>
        <w:tc>
          <w:tcPr>
            <w:tcW w:w="436" w:type="dxa"/>
          </w:tcPr>
          <w:p w:rsidR="00B02860" w:rsidRDefault="00B02860">
            <w:pPr>
              <w:pStyle w:val="Tabell"/>
              <w:jc w:val="right"/>
            </w:pPr>
          </w:p>
        </w:tc>
        <w:tc>
          <w:tcPr>
            <w:tcW w:w="873" w:type="dxa"/>
          </w:tcPr>
          <w:p w:rsidR="00B02860" w:rsidRDefault="00B02860">
            <w:pPr>
              <w:pStyle w:val="Tabell"/>
              <w:jc w:val="right"/>
            </w:pPr>
          </w:p>
          <w:p w:rsidR="00B02860" w:rsidRDefault="00B02860">
            <w:pPr>
              <w:pStyle w:val="Tabell"/>
              <w:jc w:val="right"/>
            </w:pPr>
            <w:r>
              <w:t>+160 000</w:t>
            </w:r>
          </w:p>
        </w:tc>
        <w:tc>
          <w:tcPr>
            <w:tcW w:w="1016" w:type="dxa"/>
          </w:tcPr>
          <w:p w:rsidR="00B02860" w:rsidRDefault="00B02860">
            <w:pPr>
              <w:pStyle w:val="Tabell"/>
              <w:jc w:val="right"/>
            </w:pPr>
          </w:p>
          <w:p w:rsidR="00B02860" w:rsidRDefault="00B02860">
            <w:pPr>
              <w:pStyle w:val="Tabell"/>
              <w:jc w:val="right"/>
            </w:pPr>
            <w:r>
              <w:t>+30 000</w:t>
            </w:r>
          </w:p>
        </w:tc>
      </w:tr>
      <w:tr w:rsidR="00000000">
        <w:tblPrEx>
          <w:tblCellMar>
            <w:top w:w="0" w:type="dxa"/>
            <w:bottom w:w="0" w:type="dxa"/>
          </w:tblCellMar>
        </w:tblPrEx>
        <w:trPr>
          <w:trHeight w:val="246"/>
        </w:trPr>
        <w:tc>
          <w:tcPr>
            <w:tcW w:w="739" w:type="dxa"/>
            <w:gridSpan w:val="2"/>
          </w:tcPr>
          <w:p w:rsidR="00B02860" w:rsidRDefault="00B02860">
            <w:pPr>
              <w:pStyle w:val="Tabell"/>
            </w:pPr>
            <w:r>
              <w:t>B 3</w:t>
            </w:r>
          </w:p>
        </w:tc>
        <w:tc>
          <w:tcPr>
            <w:tcW w:w="3686" w:type="dxa"/>
          </w:tcPr>
          <w:p w:rsidR="00B02860" w:rsidRDefault="00B02860">
            <w:pPr>
              <w:pStyle w:val="Tabell"/>
            </w:pPr>
            <w:r>
              <w:t>Åtgärder för effektivare energianvändning</w:t>
            </w:r>
          </w:p>
        </w:tc>
        <w:tc>
          <w:tcPr>
            <w:tcW w:w="992" w:type="dxa"/>
          </w:tcPr>
          <w:p w:rsidR="00B02860" w:rsidRDefault="00B02860">
            <w:pPr>
              <w:pStyle w:val="Tabell"/>
              <w:jc w:val="center"/>
            </w:pPr>
            <w:r>
              <w:t>90 000</w:t>
            </w:r>
          </w:p>
        </w:tc>
        <w:tc>
          <w:tcPr>
            <w:tcW w:w="850" w:type="dxa"/>
          </w:tcPr>
          <w:p w:rsidR="00B02860" w:rsidRDefault="00B02860">
            <w:pPr>
              <w:pStyle w:val="Tabell"/>
              <w:jc w:val="right"/>
            </w:pPr>
            <w:r>
              <w:sym w:font="Symbol" w:char="F02D"/>
            </w:r>
            <w:r>
              <w:t>58 000</w:t>
            </w:r>
          </w:p>
        </w:tc>
        <w:tc>
          <w:tcPr>
            <w:tcW w:w="409" w:type="dxa"/>
          </w:tcPr>
          <w:p w:rsidR="00B02860" w:rsidRDefault="00B02860">
            <w:pPr>
              <w:pStyle w:val="Tabell"/>
              <w:jc w:val="right"/>
            </w:pPr>
          </w:p>
        </w:tc>
        <w:tc>
          <w:tcPr>
            <w:tcW w:w="953" w:type="dxa"/>
          </w:tcPr>
          <w:p w:rsidR="00B02860" w:rsidRDefault="00B02860">
            <w:pPr>
              <w:pStyle w:val="Tabell"/>
              <w:jc w:val="right"/>
            </w:pPr>
            <w:r>
              <w:sym w:font="Symbol" w:char="F02D"/>
            </w:r>
            <w:r>
              <w:t>43 000</w:t>
            </w:r>
          </w:p>
        </w:tc>
        <w:tc>
          <w:tcPr>
            <w:tcW w:w="436" w:type="dxa"/>
          </w:tcPr>
          <w:p w:rsidR="00B02860" w:rsidRDefault="00B02860">
            <w:pPr>
              <w:pStyle w:val="Tabell"/>
              <w:jc w:val="right"/>
            </w:pPr>
          </w:p>
        </w:tc>
        <w:tc>
          <w:tcPr>
            <w:tcW w:w="873" w:type="dxa"/>
          </w:tcPr>
          <w:p w:rsidR="00B02860" w:rsidRDefault="00B02860">
            <w:pPr>
              <w:pStyle w:val="Tabell"/>
              <w:jc w:val="right"/>
            </w:pPr>
            <w:r>
              <w:t>+65 000</w:t>
            </w:r>
          </w:p>
        </w:tc>
        <w:tc>
          <w:tcPr>
            <w:tcW w:w="1016"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B 4</w:t>
            </w:r>
          </w:p>
        </w:tc>
        <w:tc>
          <w:tcPr>
            <w:tcW w:w="3686" w:type="dxa"/>
          </w:tcPr>
          <w:p w:rsidR="00B02860" w:rsidRDefault="00B02860">
            <w:pPr>
              <w:pStyle w:val="Tabell"/>
            </w:pPr>
            <w:r>
              <w:t>Energiforskning</w:t>
            </w:r>
          </w:p>
        </w:tc>
        <w:tc>
          <w:tcPr>
            <w:tcW w:w="992" w:type="dxa"/>
          </w:tcPr>
          <w:p w:rsidR="00B02860" w:rsidRDefault="00B02860">
            <w:pPr>
              <w:pStyle w:val="Tabell"/>
              <w:jc w:val="center"/>
            </w:pPr>
            <w:r>
              <w:t>320 000</w:t>
            </w:r>
          </w:p>
        </w:tc>
        <w:tc>
          <w:tcPr>
            <w:tcW w:w="850" w:type="dxa"/>
          </w:tcPr>
          <w:p w:rsidR="00B02860" w:rsidRDefault="00B02860">
            <w:pPr>
              <w:pStyle w:val="Tabell"/>
              <w:jc w:val="right"/>
            </w:pPr>
            <w:r>
              <w:sym w:font="Symbol" w:char="F02D"/>
            </w:r>
            <w:r>
              <w:t>30 000</w:t>
            </w:r>
          </w:p>
        </w:tc>
        <w:tc>
          <w:tcPr>
            <w:tcW w:w="409" w:type="dxa"/>
          </w:tcPr>
          <w:p w:rsidR="00B02860" w:rsidRDefault="00B02860">
            <w:pPr>
              <w:pStyle w:val="Tabell"/>
              <w:jc w:val="right"/>
            </w:pPr>
          </w:p>
        </w:tc>
        <w:tc>
          <w:tcPr>
            <w:tcW w:w="953" w:type="dxa"/>
          </w:tcPr>
          <w:p w:rsidR="00B02860" w:rsidRDefault="00B02860">
            <w:pPr>
              <w:pStyle w:val="Tabell"/>
              <w:jc w:val="right"/>
            </w:pPr>
            <w:r>
              <w:sym w:font="Symbol" w:char="F02D"/>
            </w:r>
            <w:r>
              <w:t>120 000</w:t>
            </w:r>
          </w:p>
        </w:tc>
        <w:tc>
          <w:tcPr>
            <w:tcW w:w="436" w:type="dxa"/>
          </w:tcPr>
          <w:p w:rsidR="00B02860" w:rsidRDefault="00B02860">
            <w:pPr>
              <w:pStyle w:val="Tabell"/>
              <w:jc w:val="right"/>
            </w:pPr>
          </w:p>
        </w:tc>
        <w:tc>
          <w:tcPr>
            <w:tcW w:w="873" w:type="dxa"/>
          </w:tcPr>
          <w:p w:rsidR="00B02860" w:rsidRDefault="00B02860">
            <w:pPr>
              <w:pStyle w:val="Tabell"/>
              <w:jc w:val="right"/>
            </w:pPr>
            <w:r>
              <w:t>+10 000</w:t>
            </w:r>
          </w:p>
        </w:tc>
        <w:tc>
          <w:tcPr>
            <w:tcW w:w="1016"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B 5</w:t>
            </w:r>
          </w:p>
        </w:tc>
        <w:tc>
          <w:tcPr>
            <w:tcW w:w="3686" w:type="dxa"/>
          </w:tcPr>
          <w:p w:rsidR="00B02860" w:rsidRDefault="00B02860">
            <w:pPr>
              <w:pStyle w:val="Tabell"/>
            </w:pPr>
            <w:r>
              <w:t>Bidrag till Energiteknikfonden</w:t>
            </w:r>
          </w:p>
        </w:tc>
        <w:tc>
          <w:tcPr>
            <w:tcW w:w="992" w:type="dxa"/>
          </w:tcPr>
          <w:p w:rsidR="00B02860" w:rsidRDefault="00B02860">
            <w:pPr>
              <w:pStyle w:val="Tabell"/>
              <w:jc w:val="center"/>
            </w:pPr>
            <w:r>
              <w:t>90 000</w:t>
            </w:r>
          </w:p>
        </w:tc>
        <w:tc>
          <w:tcPr>
            <w:tcW w:w="850" w:type="dxa"/>
          </w:tcPr>
          <w:p w:rsidR="00B02860" w:rsidRDefault="00B02860">
            <w:pPr>
              <w:pStyle w:val="Tabell"/>
              <w:jc w:val="right"/>
            </w:pPr>
          </w:p>
        </w:tc>
        <w:tc>
          <w:tcPr>
            <w:tcW w:w="409" w:type="dxa"/>
          </w:tcPr>
          <w:p w:rsidR="00B02860" w:rsidRDefault="00B02860">
            <w:pPr>
              <w:pStyle w:val="Tabell"/>
              <w:jc w:val="right"/>
            </w:pPr>
          </w:p>
        </w:tc>
        <w:tc>
          <w:tcPr>
            <w:tcW w:w="953" w:type="dxa"/>
          </w:tcPr>
          <w:p w:rsidR="00B02860" w:rsidRDefault="00B02860">
            <w:pPr>
              <w:pStyle w:val="Tabell"/>
              <w:jc w:val="right"/>
            </w:pPr>
            <w:r>
              <w:sym w:font="Symbol" w:char="F02D"/>
            </w:r>
            <w:r>
              <w:t>34 000</w:t>
            </w:r>
          </w:p>
        </w:tc>
        <w:tc>
          <w:tcPr>
            <w:tcW w:w="436" w:type="dxa"/>
          </w:tcPr>
          <w:p w:rsidR="00B02860" w:rsidRDefault="00B02860">
            <w:pPr>
              <w:pStyle w:val="Tabell"/>
              <w:jc w:val="right"/>
            </w:pPr>
          </w:p>
        </w:tc>
        <w:tc>
          <w:tcPr>
            <w:tcW w:w="873" w:type="dxa"/>
          </w:tcPr>
          <w:p w:rsidR="00B02860" w:rsidRDefault="00B02860">
            <w:pPr>
              <w:pStyle w:val="Tabell"/>
              <w:jc w:val="right"/>
            </w:pPr>
            <w:r>
              <w:t>+13 000</w:t>
            </w:r>
          </w:p>
        </w:tc>
        <w:tc>
          <w:tcPr>
            <w:tcW w:w="1016"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B 6</w:t>
            </w:r>
          </w:p>
        </w:tc>
        <w:tc>
          <w:tcPr>
            <w:tcW w:w="3686" w:type="dxa"/>
          </w:tcPr>
          <w:p w:rsidR="00B02860" w:rsidRDefault="00B02860">
            <w:pPr>
              <w:pStyle w:val="Tabell"/>
            </w:pPr>
            <w:r>
              <w:t>Introduktion av ny energiteknik</w:t>
            </w:r>
          </w:p>
        </w:tc>
        <w:tc>
          <w:tcPr>
            <w:tcW w:w="992" w:type="dxa"/>
          </w:tcPr>
          <w:p w:rsidR="00B02860" w:rsidRDefault="00B02860">
            <w:pPr>
              <w:pStyle w:val="Tabell"/>
              <w:jc w:val="center"/>
            </w:pPr>
            <w:r>
              <w:t>160 000</w:t>
            </w:r>
          </w:p>
        </w:tc>
        <w:tc>
          <w:tcPr>
            <w:tcW w:w="850" w:type="dxa"/>
          </w:tcPr>
          <w:p w:rsidR="00B02860" w:rsidRDefault="00B02860">
            <w:pPr>
              <w:pStyle w:val="Tabell"/>
              <w:jc w:val="right"/>
            </w:pPr>
          </w:p>
        </w:tc>
        <w:tc>
          <w:tcPr>
            <w:tcW w:w="409" w:type="dxa"/>
          </w:tcPr>
          <w:p w:rsidR="00B02860" w:rsidRDefault="00B02860">
            <w:pPr>
              <w:pStyle w:val="Tabell"/>
              <w:jc w:val="right"/>
            </w:pPr>
          </w:p>
        </w:tc>
        <w:tc>
          <w:tcPr>
            <w:tcW w:w="953" w:type="dxa"/>
          </w:tcPr>
          <w:p w:rsidR="00B02860" w:rsidRDefault="00B02860">
            <w:pPr>
              <w:pStyle w:val="Tabell"/>
              <w:jc w:val="right"/>
            </w:pPr>
            <w:r>
              <w:sym w:font="Symbol" w:char="F02D"/>
            </w:r>
            <w:r>
              <w:t>60 000</w:t>
            </w:r>
          </w:p>
        </w:tc>
        <w:tc>
          <w:tcPr>
            <w:tcW w:w="436" w:type="dxa"/>
          </w:tcPr>
          <w:p w:rsidR="00B02860" w:rsidRDefault="00B02860">
            <w:pPr>
              <w:pStyle w:val="Tabell"/>
              <w:jc w:val="right"/>
            </w:pPr>
          </w:p>
        </w:tc>
        <w:tc>
          <w:tcPr>
            <w:tcW w:w="873" w:type="dxa"/>
          </w:tcPr>
          <w:p w:rsidR="00B02860" w:rsidRDefault="00B02860">
            <w:pPr>
              <w:pStyle w:val="Tabell"/>
              <w:jc w:val="right"/>
            </w:pPr>
            <w:r>
              <w:t>+55 000</w:t>
            </w:r>
          </w:p>
        </w:tc>
        <w:tc>
          <w:tcPr>
            <w:tcW w:w="1016" w:type="dxa"/>
          </w:tcPr>
          <w:p w:rsidR="00B02860" w:rsidRDefault="00B02860">
            <w:pPr>
              <w:pStyle w:val="Tabell"/>
              <w:jc w:val="right"/>
            </w:pPr>
          </w:p>
        </w:tc>
      </w:tr>
      <w:tr w:rsidR="00000000">
        <w:tblPrEx>
          <w:tblCellMar>
            <w:top w:w="0" w:type="dxa"/>
            <w:bottom w:w="0" w:type="dxa"/>
          </w:tblCellMar>
        </w:tblPrEx>
        <w:trPr>
          <w:trHeight w:val="400"/>
        </w:trPr>
        <w:tc>
          <w:tcPr>
            <w:tcW w:w="739" w:type="dxa"/>
            <w:gridSpan w:val="2"/>
          </w:tcPr>
          <w:p w:rsidR="00B02860" w:rsidRDefault="00B02860">
            <w:pPr>
              <w:pStyle w:val="Tabell"/>
            </w:pPr>
            <w:r>
              <w:t>B 7</w:t>
            </w:r>
          </w:p>
        </w:tc>
        <w:tc>
          <w:tcPr>
            <w:tcW w:w="3686" w:type="dxa"/>
          </w:tcPr>
          <w:p w:rsidR="00B02860" w:rsidRDefault="00B02860">
            <w:pPr>
              <w:pStyle w:val="Tabell"/>
            </w:pPr>
            <w:r>
              <w:t>Energipolitiskt motiverade internationella</w:t>
            </w:r>
          </w:p>
          <w:p w:rsidR="00B02860" w:rsidRDefault="00B02860">
            <w:pPr>
              <w:pStyle w:val="Tabell"/>
            </w:pPr>
            <w:r>
              <w:t xml:space="preserve">  klimatinsatser</w:t>
            </w:r>
          </w:p>
        </w:tc>
        <w:tc>
          <w:tcPr>
            <w:tcW w:w="992" w:type="dxa"/>
          </w:tcPr>
          <w:p w:rsidR="00B02860" w:rsidRDefault="00B02860">
            <w:pPr>
              <w:pStyle w:val="Tabell"/>
              <w:jc w:val="center"/>
            </w:pPr>
          </w:p>
          <w:p w:rsidR="00B02860" w:rsidRDefault="00B02860">
            <w:pPr>
              <w:pStyle w:val="Tabell"/>
              <w:jc w:val="center"/>
            </w:pPr>
            <w:r>
              <w:t>50 000</w:t>
            </w:r>
          </w:p>
        </w:tc>
        <w:tc>
          <w:tcPr>
            <w:tcW w:w="850" w:type="dxa"/>
          </w:tcPr>
          <w:p w:rsidR="00B02860" w:rsidRDefault="00B02860">
            <w:pPr>
              <w:pStyle w:val="Tabell"/>
              <w:jc w:val="right"/>
            </w:pPr>
          </w:p>
        </w:tc>
        <w:tc>
          <w:tcPr>
            <w:tcW w:w="409" w:type="dxa"/>
          </w:tcPr>
          <w:p w:rsidR="00B02860" w:rsidRDefault="00B02860">
            <w:pPr>
              <w:pStyle w:val="Tabell"/>
              <w:jc w:val="right"/>
            </w:pPr>
          </w:p>
        </w:tc>
        <w:tc>
          <w:tcPr>
            <w:tcW w:w="953" w:type="dxa"/>
          </w:tcPr>
          <w:p w:rsidR="00B02860" w:rsidRDefault="00B02860">
            <w:pPr>
              <w:pStyle w:val="Tabell"/>
              <w:jc w:val="right"/>
            </w:pPr>
          </w:p>
        </w:tc>
        <w:tc>
          <w:tcPr>
            <w:tcW w:w="436" w:type="dxa"/>
          </w:tcPr>
          <w:p w:rsidR="00B02860" w:rsidRDefault="00B02860">
            <w:pPr>
              <w:pStyle w:val="Tabell"/>
              <w:jc w:val="right"/>
            </w:pPr>
          </w:p>
        </w:tc>
        <w:tc>
          <w:tcPr>
            <w:tcW w:w="873" w:type="dxa"/>
          </w:tcPr>
          <w:p w:rsidR="00B02860" w:rsidRDefault="00B02860">
            <w:pPr>
              <w:pStyle w:val="Tabell"/>
              <w:jc w:val="right"/>
            </w:pPr>
          </w:p>
        </w:tc>
        <w:tc>
          <w:tcPr>
            <w:tcW w:w="1016" w:type="dxa"/>
          </w:tcPr>
          <w:p w:rsidR="00B02860" w:rsidRDefault="00B02860">
            <w:pPr>
              <w:pStyle w:val="Tabell"/>
              <w:jc w:val="right"/>
            </w:pPr>
          </w:p>
        </w:tc>
      </w:tr>
      <w:tr w:rsidR="00000000">
        <w:tblPrEx>
          <w:tblCellMar>
            <w:top w:w="0" w:type="dxa"/>
            <w:bottom w:w="0" w:type="dxa"/>
          </w:tblCellMar>
        </w:tblPrEx>
        <w:trPr>
          <w:trHeight w:val="400"/>
        </w:trPr>
        <w:tc>
          <w:tcPr>
            <w:tcW w:w="739" w:type="dxa"/>
            <w:gridSpan w:val="2"/>
          </w:tcPr>
          <w:p w:rsidR="00B02860" w:rsidRDefault="00B02860">
            <w:pPr>
              <w:pStyle w:val="Tabell"/>
            </w:pPr>
            <w:r>
              <w:t>B 8</w:t>
            </w:r>
          </w:p>
        </w:tc>
        <w:tc>
          <w:tcPr>
            <w:tcW w:w="3686" w:type="dxa"/>
          </w:tcPr>
          <w:p w:rsidR="00B02860" w:rsidRDefault="00B02860">
            <w:pPr>
              <w:pStyle w:val="Tabell"/>
            </w:pPr>
            <w:r>
              <w:t>Täckande av förluster i anledning av statliga</w:t>
            </w:r>
          </w:p>
          <w:p w:rsidR="00B02860" w:rsidRDefault="00B02860">
            <w:pPr>
              <w:pStyle w:val="Tabell"/>
            </w:pPr>
            <w:r>
              <w:t xml:space="preserve">  garantier inom energiområdet</w:t>
            </w:r>
          </w:p>
        </w:tc>
        <w:tc>
          <w:tcPr>
            <w:tcW w:w="992" w:type="dxa"/>
          </w:tcPr>
          <w:p w:rsidR="00B02860" w:rsidRDefault="00B02860">
            <w:pPr>
              <w:pStyle w:val="Tabell"/>
              <w:jc w:val="center"/>
            </w:pPr>
          </w:p>
          <w:p w:rsidR="00B02860" w:rsidRDefault="00B02860">
            <w:pPr>
              <w:pStyle w:val="Tabell"/>
              <w:jc w:val="center"/>
            </w:pPr>
            <w:r>
              <w:t>5 000</w:t>
            </w:r>
          </w:p>
        </w:tc>
        <w:tc>
          <w:tcPr>
            <w:tcW w:w="850" w:type="dxa"/>
          </w:tcPr>
          <w:p w:rsidR="00B02860" w:rsidRDefault="00B02860">
            <w:pPr>
              <w:pStyle w:val="Tabell"/>
              <w:jc w:val="right"/>
            </w:pPr>
          </w:p>
        </w:tc>
        <w:tc>
          <w:tcPr>
            <w:tcW w:w="409" w:type="dxa"/>
          </w:tcPr>
          <w:p w:rsidR="00B02860" w:rsidRDefault="00B02860">
            <w:pPr>
              <w:pStyle w:val="Tabell"/>
              <w:jc w:val="right"/>
            </w:pPr>
          </w:p>
        </w:tc>
        <w:tc>
          <w:tcPr>
            <w:tcW w:w="953" w:type="dxa"/>
          </w:tcPr>
          <w:p w:rsidR="00B02860" w:rsidRDefault="00B02860">
            <w:pPr>
              <w:pStyle w:val="Tabell"/>
              <w:jc w:val="right"/>
            </w:pPr>
          </w:p>
        </w:tc>
        <w:tc>
          <w:tcPr>
            <w:tcW w:w="436" w:type="dxa"/>
          </w:tcPr>
          <w:p w:rsidR="00B02860" w:rsidRDefault="00B02860">
            <w:pPr>
              <w:pStyle w:val="Tabell"/>
              <w:jc w:val="right"/>
            </w:pPr>
          </w:p>
        </w:tc>
        <w:tc>
          <w:tcPr>
            <w:tcW w:w="873" w:type="dxa"/>
          </w:tcPr>
          <w:p w:rsidR="00B02860" w:rsidRDefault="00B02860">
            <w:pPr>
              <w:pStyle w:val="Tabell"/>
              <w:jc w:val="right"/>
            </w:pPr>
          </w:p>
        </w:tc>
        <w:tc>
          <w:tcPr>
            <w:tcW w:w="1016" w:type="dxa"/>
          </w:tcPr>
          <w:p w:rsidR="00B02860" w:rsidRDefault="00B02860">
            <w:pPr>
              <w:pStyle w:val="Tabell"/>
              <w:jc w:val="right"/>
            </w:pPr>
          </w:p>
        </w:tc>
      </w:tr>
      <w:tr w:rsidR="00000000">
        <w:tblPrEx>
          <w:tblCellMar>
            <w:top w:w="0" w:type="dxa"/>
            <w:bottom w:w="0" w:type="dxa"/>
          </w:tblCellMar>
        </w:tblPrEx>
        <w:trPr>
          <w:trHeight w:val="400"/>
        </w:trPr>
        <w:tc>
          <w:tcPr>
            <w:tcW w:w="739" w:type="dxa"/>
            <w:gridSpan w:val="2"/>
          </w:tcPr>
          <w:p w:rsidR="00B02860" w:rsidRDefault="00B02860">
            <w:pPr>
              <w:pStyle w:val="Tabell"/>
            </w:pPr>
            <w:r>
              <w:t>B 9</w:t>
            </w:r>
          </w:p>
        </w:tc>
        <w:tc>
          <w:tcPr>
            <w:tcW w:w="3686" w:type="dxa"/>
          </w:tcPr>
          <w:p w:rsidR="00B02860" w:rsidRDefault="00B02860">
            <w:pPr>
              <w:pStyle w:val="Tabell"/>
            </w:pPr>
            <w:r>
              <w:t xml:space="preserve">Åtgärder för el- och värmeförsörjningen i </w:t>
            </w:r>
          </w:p>
          <w:p w:rsidR="00B02860" w:rsidRDefault="00B02860">
            <w:pPr>
              <w:pStyle w:val="Tabell"/>
            </w:pPr>
            <w:r>
              <w:t xml:space="preserve">  Sydsverige</w:t>
            </w:r>
          </w:p>
        </w:tc>
        <w:tc>
          <w:tcPr>
            <w:tcW w:w="992" w:type="dxa"/>
          </w:tcPr>
          <w:p w:rsidR="00B02860" w:rsidRDefault="00B02860">
            <w:pPr>
              <w:pStyle w:val="Tabell"/>
              <w:jc w:val="center"/>
            </w:pPr>
          </w:p>
          <w:p w:rsidR="00B02860" w:rsidRDefault="00B02860">
            <w:pPr>
              <w:pStyle w:val="Tabell"/>
              <w:jc w:val="center"/>
            </w:pPr>
            <w:r>
              <w:t>200 000</w:t>
            </w:r>
          </w:p>
        </w:tc>
        <w:tc>
          <w:tcPr>
            <w:tcW w:w="850" w:type="dxa"/>
          </w:tcPr>
          <w:p w:rsidR="00B02860" w:rsidRDefault="00B02860">
            <w:pPr>
              <w:pStyle w:val="Tabell"/>
              <w:jc w:val="right"/>
            </w:pPr>
          </w:p>
          <w:p w:rsidR="00B02860" w:rsidRDefault="00B02860">
            <w:pPr>
              <w:pStyle w:val="Tabell"/>
              <w:jc w:val="right"/>
            </w:pPr>
            <w:r>
              <w:sym w:font="Symbol" w:char="F02D"/>
            </w:r>
            <w:r>
              <w:t>200 000</w:t>
            </w:r>
          </w:p>
        </w:tc>
        <w:tc>
          <w:tcPr>
            <w:tcW w:w="409" w:type="dxa"/>
          </w:tcPr>
          <w:p w:rsidR="00B02860" w:rsidRDefault="00B02860">
            <w:pPr>
              <w:pStyle w:val="Tabell"/>
              <w:jc w:val="right"/>
            </w:pPr>
          </w:p>
        </w:tc>
        <w:tc>
          <w:tcPr>
            <w:tcW w:w="953" w:type="dxa"/>
          </w:tcPr>
          <w:p w:rsidR="00B02860" w:rsidRDefault="00B02860">
            <w:pPr>
              <w:pStyle w:val="Tabell"/>
              <w:jc w:val="right"/>
            </w:pPr>
          </w:p>
          <w:p w:rsidR="00B02860" w:rsidRDefault="00B02860">
            <w:pPr>
              <w:pStyle w:val="Tabell"/>
              <w:jc w:val="right"/>
            </w:pPr>
            <w:r>
              <w:sym w:font="Symbol" w:char="F02D"/>
            </w:r>
            <w:r>
              <w:t>200 000</w:t>
            </w:r>
          </w:p>
        </w:tc>
        <w:tc>
          <w:tcPr>
            <w:tcW w:w="436" w:type="dxa"/>
          </w:tcPr>
          <w:p w:rsidR="00B02860" w:rsidRDefault="00B02860">
            <w:pPr>
              <w:pStyle w:val="Tabell"/>
              <w:jc w:val="right"/>
            </w:pPr>
          </w:p>
        </w:tc>
        <w:tc>
          <w:tcPr>
            <w:tcW w:w="873" w:type="dxa"/>
          </w:tcPr>
          <w:p w:rsidR="00B02860" w:rsidRDefault="00B02860">
            <w:pPr>
              <w:pStyle w:val="Tabell"/>
              <w:jc w:val="right"/>
            </w:pPr>
          </w:p>
        </w:tc>
        <w:tc>
          <w:tcPr>
            <w:tcW w:w="1016" w:type="dxa"/>
          </w:tcPr>
          <w:p w:rsidR="00B02860" w:rsidRDefault="00B02860">
            <w:pPr>
              <w:pStyle w:val="Tabell"/>
              <w:jc w:val="right"/>
            </w:pPr>
          </w:p>
          <w:p w:rsidR="00B02860" w:rsidRDefault="00B02860">
            <w:pPr>
              <w:pStyle w:val="Tabell"/>
              <w:jc w:val="right"/>
            </w:pPr>
            <w:r>
              <w:sym w:font="Symbol" w:char="F02D"/>
            </w:r>
            <w:r>
              <w:t>180 000</w:t>
            </w:r>
          </w:p>
        </w:tc>
      </w:tr>
      <w:tr w:rsidR="00000000">
        <w:tblPrEx>
          <w:tblCellMar>
            <w:top w:w="0" w:type="dxa"/>
            <w:bottom w:w="0" w:type="dxa"/>
          </w:tblCellMar>
        </w:tblPrEx>
        <w:trPr>
          <w:trHeight w:val="246"/>
        </w:trPr>
        <w:tc>
          <w:tcPr>
            <w:tcW w:w="739" w:type="dxa"/>
            <w:gridSpan w:val="2"/>
          </w:tcPr>
          <w:p w:rsidR="00B02860" w:rsidRDefault="00B02860">
            <w:pPr>
              <w:pStyle w:val="Tabell"/>
            </w:pPr>
            <w:r>
              <w:t>B 10</w:t>
            </w:r>
          </w:p>
        </w:tc>
        <w:tc>
          <w:tcPr>
            <w:tcW w:w="3686" w:type="dxa"/>
          </w:tcPr>
          <w:p w:rsidR="00B02860" w:rsidRDefault="00B02860">
            <w:pPr>
              <w:pStyle w:val="Tabell"/>
            </w:pPr>
            <w:r>
              <w:t>Nytt anslag: Bidrag till investeringar i solvärme</w:t>
            </w:r>
          </w:p>
        </w:tc>
        <w:tc>
          <w:tcPr>
            <w:tcW w:w="992" w:type="dxa"/>
          </w:tcPr>
          <w:p w:rsidR="00B02860" w:rsidRDefault="00B02860">
            <w:pPr>
              <w:pStyle w:val="Tabell"/>
              <w:jc w:val="center"/>
            </w:pPr>
          </w:p>
        </w:tc>
        <w:tc>
          <w:tcPr>
            <w:tcW w:w="850" w:type="dxa"/>
          </w:tcPr>
          <w:p w:rsidR="00B02860" w:rsidRDefault="00B02860">
            <w:pPr>
              <w:pStyle w:val="Tabell"/>
              <w:jc w:val="right"/>
            </w:pPr>
          </w:p>
        </w:tc>
        <w:tc>
          <w:tcPr>
            <w:tcW w:w="409" w:type="dxa"/>
          </w:tcPr>
          <w:p w:rsidR="00B02860" w:rsidRDefault="00B02860">
            <w:pPr>
              <w:pStyle w:val="Tabell"/>
              <w:jc w:val="right"/>
            </w:pPr>
          </w:p>
        </w:tc>
        <w:tc>
          <w:tcPr>
            <w:tcW w:w="953" w:type="dxa"/>
          </w:tcPr>
          <w:p w:rsidR="00B02860" w:rsidRDefault="00B02860">
            <w:pPr>
              <w:pStyle w:val="Tabell"/>
              <w:jc w:val="right"/>
            </w:pPr>
          </w:p>
        </w:tc>
        <w:tc>
          <w:tcPr>
            <w:tcW w:w="436" w:type="dxa"/>
          </w:tcPr>
          <w:p w:rsidR="00B02860" w:rsidRDefault="00B02860">
            <w:pPr>
              <w:pStyle w:val="Tabell"/>
              <w:jc w:val="right"/>
            </w:pPr>
          </w:p>
        </w:tc>
        <w:tc>
          <w:tcPr>
            <w:tcW w:w="873" w:type="dxa"/>
          </w:tcPr>
          <w:p w:rsidR="00B02860" w:rsidRDefault="00B02860">
            <w:pPr>
              <w:pStyle w:val="Tabell"/>
              <w:jc w:val="right"/>
            </w:pPr>
            <w:r>
              <w:t>+50 000</w:t>
            </w:r>
          </w:p>
        </w:tc>
        <w:tc>
          <w:tcPr>
            <w:tcW w:w="1016" w:type="dxa"/>
          </w:tcPr>
          <w:p w:rsidR="00B02860" w:rsidRDefault="00B02860">
            <w:pPr>
              <w:pStyle w:val="Tabell"/>
              <w:jc w:val="right"/>
            </w:pPr>
          </w:p>
        </w:tc>
      </w:tr>
      <w:tr w:rsidR="00000000">
        <w:tblPrEx>
          <w:tblCellMar>
            <w:top w:w="0" w:type="dxa"/>
            <w:bottom w:w="0" w:type="dxa"/>
          </w:tblCellMar>
        </w:tblPrEx>
        <w:trPr>
          <w:trHeight w:val="246"/>
        </w:trPr>
        <w:tc>
          <w:tcPr>
            <w:tcW w:w="4425" w:type="dxa"/>
            <w:hMerge w:val="restart"/>
            <w:tcBorders>
              <w:bottom w:val="single" w:sz="6" w:space="0" w:color="auto"/>
            </w:tcBorders>
          </w:tcPr>
          <w:p w:rsidR="00B02860" w:rsidRDefault="00B02860">
            <w:pPr>
              <w:pStyle w:val="Tabell"/>
              <w:spacing w:before="40"/>
              <w:rPr>
                <w:b/>
              </w:rPr>
            </w:pPr>
            <w:r>
              <w:rPr>
                <w:b/>
              </w:rPr>
              <w:t>TOTAL</w:t>
            </w:r>
          </w:p>
        </w:tc>
        <w:tc>
          <w:tcPr>
            <w:gridSpan w:val="2"/>
            <w:hMerge/>
            <w:tcBorders>
              <w:bottom w:val="single" w:sz="6" w:space="0" w:color="auto"/>
            </w:tcBorders>
          </w:tcPr>
          <w:p w:rsidR="00B02860" w:rsidRDefault="00B02860">
            <w:pPr>
              <w:pStyle w:val="Tabell"/>
              <w:spacing w:before="40"/>
              <w:rPr>
                <w:b/>
              </w:rPr>
            </w:pPr>
          </w:p>
        </w:tc>
        <w:tc>
          <w:tcPr>
            <w:tcW w:w="992" w:type="dxa"/>
            <w:tcBorders>
              <w:bottom w:val="single" w:sz="6" w:space="0" w:color="auto"/>
            </w:tcBorders>
          </w:tcPr>
          <w:p w:rsidR="00B02860" w:rsidRDefault="00B02860">
            <w:pPr>
              <w:pStyle w:val="Tabell"/>
              <w:spacing w:before="40"/>
              <w:jc w:val="center"/>
              <w:rPr>
                <w:b/>
              </w:rPr>
            </w:pPr>
            <w:r>
              <w:rPr>
                <w:b/>
              </w:rPr>
              <w:t>1 583 041</w:t>
            </w:r>
          </w:p>
        </w:tc>
        <w:tc>
          <w:tcPr>
            <w:tcW w:w="850" w:type="dxa"/>
            <w:tcBorders>
              <w:bottom w:val="single" w:sz="6" w:space="0" w:color="auto"/>
            </w:tcBorders>
          </w:tcPr>
          <w:p w:rsidR="00B02860" w:rsidRDefault="00B02860">
            <w:pPr>
              <w:pStyle w:val="Tabell"/>
              <w:spacing w:before="40"/>
              <w:jc w:val="right"/>
              <w:rPr>
                <w:b/>
              </w:rPr>
            </w:pPr>
            <w:r>
              <w:rPr>
                <w:b/>
              </w:rPr>
              <w:sym w:font="Symbol" w:char="F02D"/>
            </w:r>
            <w:r>
              <w:rPr>
                <w:b/>
              </w:rPr>
              <w:t>956 041</w:t>
            </w:r>
          </w:p>
        </w:tc>
        <w:tc>
          <w:tcPr>
            <w:tcW w:w="409" w:type="dxa"/>
            <w:tcBorders>
              <w:bottom w:val="single" w:sz="6" w:space="0" w:color="auto"/>
            </w:tcBorders>
          </w:tcPr>
          <w:p w:rsidR="00B02860" w:rsidRDefault="00B02860">
            <w:pPr>
              <w:pStyle w:val="Tabell"/>
              <w:spacing w:before="40"/>
              <w:jc w:val="center"/>
              <w:rPr>
                <w:b/>
              </w:rPr>
            </w:pPr>
            <w:r>
              <w:rPr>
                <w:b/>
              </w:rPr>
              <w:t xml:space="preserve">   ±0</w:t>
            </w:r>
          </w:p>
        </w:tc>
        <w:tc>
          <w:tcPr>
            <w:tcW w:w="953" w:type="dxa"/>
            <w:tcBorders>
              <w:bottom w:val="single" w:sz="6" w:space="0" w:color="auto"/>
            </w:tcBorders>
          </w:tcPr>
          <w:p w:rsidR="00B02860" w:rsidRDefault="00B02860">
            <w:pPr>
              <w:pStyle w:val="Tabell"/>
              <w:spacing w:before="40"/>
              <w:jc w:val="right"/>
              <w:rPr>
                <w:b/>
              </w:rPr>
            </w:pPr>
            <w:r>
              <w:rPr>
                <w:b/>
              </w:rPr>
              <w:sym w:font="Symbol" w:char="F02D"/>
            </w:r>
            <w:r>
              <w:rPr>
                <w:b/>
              </w:rPr>
              <w:t>863 000</w:t>
            </w:r>
          </w:p>
        </w:tc>
        <w:tc>
          <w:tcPr>
            <w:tcW w:w="436" w:type="dxa"/>
            <w:tcBorders>
              <w:bottom w:val="single" w:sz="6" w:space="0" w:color="auto"/>
            </w:tcBorders>
          </w:tcPr>
          <w:p w:rsidR="00B02860" w:rsidRDefault="00B02860">
            <w:pPr>
              <w:pStyle w:val="Tabell"/>
              <w:spacing w:before="40"/>
              <w:jc w:val="center"/>
              <w:rPr>
                <w:b/>
              </w:rPr>
            </w:pPr>
            <w:r>
              <w:rPr>
                <w:b/>
              </w:rPr>
              <w:t xml:space="preserve">   ±0</w:t>
            </w:r>
          </w:p>
        </w:tc>
        <w:tc>
          <w:tcPr>
            <w:tcW w:w="873" w:type="dxa"/>
            <w:tcBorders>
              <w:bottom w:val="single" w:sz="6" w:space="0" w:color="auto"/>
            </w:tcBorders>
          </w:tcPr>
          <w:p w:rsidR="00B02860" w:rsidRDefault="00B02860">
            <w:pPr>
              <w:pStyle w:val="Tabell"/>
              <w:spacing w:before="40"/>
              <w:jc w:val="right"/>
              <w:rPr>
                <w:b/>
              </w:rPr>
            </w:pPr>
            <w:r>
              <w:rPr>
                <w:b/>
              </w:rPr>
              <w:t>+433 000</w:t>
            </w:r>
          </w:p>
        </w:tc>
        <w:tc>
          <w:tcPr>
            <w:tcW w:w="1016" w:type="dxa"/>
            <w:tcBorders>
              <w:bottom w:val="single" w:sz="6" w:space="0" w:color="auto"/>
            </w:tcBorders>
          </w:tcPr>
          <w:p w:rsidR="00B02860" w:rsidRDefault="00B02860">
            <w:pPr>
              <w:pStyle w:val="Tabell"/>
              <w:spacing w:before="40"/>
              <w:jc w:val="right"/>
              <w:rPr>
                <w:b/>
              </w:rPr>
            </w:pPr>
            <w:r>
              <w:rPr>
                <w:b/>
              </w:rPr>
              <w:sym w:font="Symbol" w:char="F02D"/>
            </w:r>
            <w:r>
              <w:rPr>
                <w:b/>
              </w:rPr>
              <w:t>150 000</w:t>
            </w:r>
          </w:p>
        </w:tc>
      </w:tr>
    </w:tbl>
    <w:p w:rsidR="00B02860" w:rsidRDefault="00B02860">
      <w:pPr>
        <w:pStyle w:val="Normaltindrag"/>
        <w:keepNext/>
        <w:keepLines/>
        <w:suppressAutoHyphens/>
        <w:spacing w:before="360" w:line="256" w:lineRule="exact"/>
        <w:ind w:firstLine="0"/>
        <w:jc w:val="left"/>
        <w:sectPr w:rsidR="00000000">
          <w:headerReference w:type="default" r:id="rId11"/>
          <w:footerReference w:type="default" r:id="rId12"/>
          <w:endnotePr>
            <w:numFmt w:val="decimal"/>
            <w:numRestart w:val="eachSect"/>
          </w:endnotePr>
          <w:pgSz w:w="16840" w:h="11907" w:orient="landscape" w:code="9"/>
          <w:pgMar w:top="1134" w:right="567" w:bottom="4876" w:left="4508" w:header="0" w:footer="0" w:gutter="0"/>
          <w:cols w:space="397"/>
        </w:sectPr>
      </w:pPr>
    </w:p>
    <w:p w:rsidR="00B02860" w:rsidRDefault="00B02860">
      <w:pPr>
        <w:pStyle w:val="Rubrik1"/>
      </w:pPr>
      <w:r>
        <w:t>Förslag till anslag inom utgiftsområde 24 Näringsliv för år 1998</w:t>
      </w:r>
    </w:p>
    <w:p w:rsidR="00B02860" w:rsidRDefault="00B02860">
      <w:r>
        <w:rPr>
          <w:sz w:val="16"/>
        </w:rPr>
        <w:t>Belopp i 1000-tal kronor</w:t>
      </w:r>
    </w:p>
    <w:p w:rsidR="00B02860" w:rsidRDefault="00B02860">
      <w:pPr>
        <w:pStyle w:val="Normaltindrag"/>
      </w:pPr>
    </w:p>
    <w:tbl>
      <w:tblPr>
        <w:tblW w:w="0" w:type="auto"/>
        <w:tblInd w:w="-31" w:type="dxa"/>
        <w:tblLayout w:type="fixed"/>
        <w:tblCellMar>
          <w:left w:w="31" w:type="dxa"/>
          <w:right w:w="31" w:type="dxa"/>
        </w:tblCellMar>
        <w:tblLook w:val="0000" w:firstRow="0" w:lastRow="0" w:firstColumn="0" w:lastColumn="0" w:noHBand="0" w:noVBand="0"/>
      </w:tblPr>
      <w:tblGrid>
        <w:gridCol w:w="1"/>
        <w:gridCol w:w="738"/>
        <w:gridCol w:w="3687"/>
        <w:gridCol w:w="1160"/>
        <w:gridCol w:w="871"/>
        <w:gridCol w:w="378"/>
        <w:gridCol w:w="993"/>
        <w:gridCol w:w="992"/>
        <w:gridCol w:w="992"/>
        <w:gridCol w:w="852"/>
      </w:tblGrid>
      <w:tr w:rsidR="00000000">
        <w:tblPrEx>
          <w:tblCellMar>
            <w:top w:w="0" w:type="dxa"/>
            <w:bottom w:w="0" w:type="dxa"/>
          </w:tblCellMar>
        </w:tblPrEx>
        <w:trPr>
          <w:trHeight w:val="246"/>
          <w:tblHeader/>
        </w:trPr>
        <w:tc>
          <w:tcPr>
            <w:tcW w:w="4426" w:type="dxa"/>
            <w:hMerge w:val="restart"/>
            <w:tcBorders>
              <w:top w:val="single" w:sz="6" w:space="0" w:color="000000"/>
              <w:bottom w:val="single" w:sz="6" w:space="0" w:color="000000"/>
            </w:tcBorders>
          </w:tcPr>
          <w:p w:rsidR="00B02860" w:rsidRDefault="00B02860">
            <w:pPr>
              <w:pStyle w:val="Tabell"/>
              <w:spacing w:before="40"/>
              <w:rPr>
                <w:b/>
              </w:rPr>
            </w:pPr>
            <w:r>
              <w:rPr>
                <w:b/>
              </w:rPr>
              <w:t>Anslag</w:t>
            </w:r>
          </w:p>
        </w:tc>
        <w:tc>
          <w:tcPr>
            <w:gridSpan w:val="2"/>
            <w:hMerge/>
            <w:tcBorders>
              <w:top w:val="single" w:sz="6" w:space="0" w:color="000000"/>
              <w:bottom w:val="single" w:sz="6" w:space="0" w:color="000000"/>
            </w:tcBorders>
          </w:tcPr>
          <w:p w:rsidR="00B02860" w:rsidRDefault="00B02860">
            <w:pPr>
              <w:pStyle w:val="Tabell"/>
              <w:spacing w:before="40"/>
            </w:pPr>
          </w:p>
        </w:tc>
        <w:tc>
          <w:tcPr>
            <w:tcW w:w="1160" w:type="dxa"/>
            <w:tcBorders>
              <w:top w:val="single" w:sz="6" w:space="0" w:color="000000"/>
              <w:bottom w:val="single" w:sz="6" w:space="0" w:color="000000"/>
            </w:tcBorders>
          </w:tcPr>
          <w:p w:rsidR="00B02860" w:rsidRDefault="00B02860">
            <w:pPr>
              <w:pStyle w:val="Tabell"/>
              <w:spacing w:before="40"/>
              <w:jc w:val="center"/>
              <w:rPr>
                <w:b/>
              </w:rPr>
            </w:pPr>
            <w:r>
              <w:rPr>
                <w:b/>
              </w:rPr>
              <w:t>Regeringens</w:t>
            </w:r>
          </w:p>
          <w:p w:rsidR="00B02860" w:rsidRDefault="00B02860">
            <w:pPr>
              <w:pStyle w:val="Tabell"/>
              <w:spacing w:before="40"/>
              <w:jc w:val="center"/>
              <w:rPr>
                <w:b/>
              </w:rPr>
            </w:pPr>
            <w:r>
              <w:rPr>
                <w:b/>
              </w:rPr>
              <w:t>förslag</w:t>
            </w:r>
          </w:p>
        </w:tc>
        <w:tc>
          <w:tcPr>
            <w:tcW w:w="871" w:type="dxa"/>
            <w:tcBorders>
              <w:top w:val="single" w:sz="6" w:space="0" w:color="000000"/>
              <w:bottom w:val="single" w:sz="6" w:space="0" w:color="000000"/>
            </w:tcBorders>
          </w:tcPr>
          <w:p w:rsidR="00B02860" w:rsidRDefault="00B02860">
            <w:pPr>
              <w:pStyle w:val="Tabell"/>
              <w:spacing w:before="40"/>
              <w:jc w:val="center"/>
              <w:rPr>
                <w:b/>
              </w:rPr>
            </w:pPr>
            <w:r>
              <w:rPr>
                <w:b/>
              </w:rPr>
              <w:t xml:space="preserve">    m</w:t>
            </w:r>
          </w:p>
        </w:tc>
        <w:tc>
          <w:tcPr>
            <w:tcW w:w="378" w:type="dxa"/>
            <w:tcBorders>
              <w:top w:val="single" w:sz="6" w:space="0" w:color="000000"/>
              <w:bottom w:val="single" w:sz="6" w:space="0" w:color="000000"/>
            </w:tcBorders>
          </w:tcPr>
          <w:p w:rsidR="00B02860" w:rsidRDefault="00B02860">
            <w:pPr>
              <w:pStyle w:val="Tabell"/>
              <w:spacing w:before="40"/>
              <w:jc w:val="center"/>
              <w:rPr>
                <w:b/>
              </w:rPr>
            </w:pPr>
            <w:r>
              <w:rPr>
                <w:b/>
              </w:rPr>
              <w:t xml:space="preserve">    c</w:t>
            </w:r>
          </w:p>
        </w:tc>
        <w:tc>
          <w:tcPr>
            <w:tcW w:w="993" w:type="dxa"/>
            <w:tcBorders>
              <w:top w:val="single" w:sz="6" w:space="0" w:color="000000"/>
              <w:bottom w:val="single" w:sz="6" w:space="0" w:color="000000"/>
            </w:tcBorders>
          </w:tcPr>
          <w:p w:rsidR="00B02860" w:rsidRDefault="00B02860">
            <w:pPr>
              <w:pStyle w:val="Tabell"/>
              <w:spacing w:before="40"/>
              <w:jc w:val="center"/>
              <w:rPr>
                <w:b/>
              </w:rPr>
            </w:pPr>
            <w:r>
              <w:rPr>
                <w:b/>
              </w:rPr>
              <w:t xml:space="preserve">       fp</w:t>
            </w:r>
          </w:p>
        </w:tc>
        <w:tc>
          <w:tcPr>
            <w:tcW w:w="992" w:type="dxa"/>
            <w:tcBorders>
              <w:top w:val="single" w:sz="6" w:space="0" w:color="000000"/>
              <w:bottom w:val="single" w:sz="6" w:space="0" w:color="000000"/>
            </w:tcBorders>
          </w:tcPr>
          <w:p w:rsidR="00B02860" w:rsidRDefault="00B02860">
            <w:pPr>
              <w:pStyle w:val="Tabell"/>
              <w:spacing w:before="40"/>
              <w:jc w:val="center"/>
              <w:rPr>
                <w:b/>
              </w:rPr>
            </w:pPr>
            <w:r>
              <w:rPr>
                <w:b/>
              </w:rPr>
              <w:t xml:space="preserve">        v</w:t>
            </w:r>
          </w:p>
        </w:tc>
        <w:tc>
          <w:tcPr>
            <w:tcW w:w="992" w:type="dxa"/>
            <w:tcBorders>
              <w:top w:val="single" w:sz="6" w:space="0" w:color="000000"/>
              <w:bottom w:val="single" w:sz="6" w:space="0" w:color="000000"/>
            </w:tcBorders>
          </w:tcPr>
          <w:p w:rsidR="00B02860" w:rsidRDefault="00B02860">
            <w:pPr>
              <w:pStyle w:val="Tabell"/>
              <w:spacing w:before="40"/>
              <w:jc w:val="center"/>
              <w:rPr>
                <w:b/>
              </w:rPr>
            </w:pPr>
            <w:r>
              <w:rPr>
                <w:b/>
              </w:rPr>
              <w:t xml:space="preserve">       mp</w:t>
            </w:r>
          </w:p>
        </w:tc>
        <w:tc>
          <w:tcPr>
            <w:tcW w:w="852" w:type="dxa"/>
            <w:tcBorders>
              <w:top w:val="single" w:sz="6" w:space="0" w:color="000000"/>
              <w:bottom w:val="single" w:sz="6" w:space="0" w:color="000000"/>
            </w:tcBorders>
          </w:tcPr>
          <w:p w:rsidR="00B02860" w:rsidRDefault="00B02860">
            <w:pPr>
              <w:pStyle w:val="Tabell"/>
              <w:spacing w:before="40"/>
              <w:jc w:val="center"/>
              <w:rPr>
                <w:b/>
              </w:rPr>
            </w:pPr>
            <w:r>
              <w:rPr>
                <w:b/>
              </w:rPr>
              <w:t xml:space="preserve">   kd</w:t>
            </w:r>
          </w:p>
        </w:tc>
      </w:tr>
      <w:tr w:rsidR="00000000">
        <w:tblPrEx>
          <w:tblCellMar>
            <w:top w:w="0" w:type="dxa"/>
            <w:bottom w:w="0" w:type="dxa"/>
          </w:tblCellMar>
        </w:tblPrEx>
        <w:trPr>
          <w:trHeight w:val="115"/>
          <w:tblHeader/>
        </w:trPr>
        <w:tc>
          <w:tcPr>
            <w:tcW w:w="739" w:type="dxa"/>
            <w:gridSpan w:val="2"/>
          </w:tcPr>
          <w:p w:rsidR="00B02860" w:rsidRDefault="00B02860">
            <w:pPr>
              <w:pStyle w:val="Tabell"/>
              <w:rPr>
                <w:b/>
              </w:rPr>
            </w:pPr>
          </w:p>
        </w:tc>
        <w:tc>
          <w:tcPr>
            <w:tcW w:w="3687" w:type="dxa"/>
          </w:tcPr>
          <w:p w:rsidR="00B02860" w:rsidRDefault="00B02860">
            <w:pPr>
              <w:pStyle w:val="Tabell"/>
            </w:pPr>
          </w:p>
        </w:tc>
        <w:tc>
          <w:tcPr>
            <w:tcW w:w="1160" w:type="dxa"/>
          </w:tcPr>
          <w:p w:rsidR="00B02860" w:rsidRDefault="00B02860">
            <w:pPr>
              <w:pStyle w:val="Tabell"/>
              <w:jc w:val="right"/>
              <w:rPr>
                <w:b/>
              </w:rPr>
            </w:pPr>
          </w:p>
        </w:tc>
        <w:tc>
          <w:tcPr>
            <w:tcW w:w="871" w:type="dxa"/>
          </w:tcPr>
          <w:p w:rsidR="00B02860" w:rsidRDefault="00B02860">
            <w:pPr>
              <w:pStyle w:val="Tabell"/>
              <w:jc w:val="right"/>
              <w:rPr>
                <w:b/>
              </w:rPr>
            </w:pPr>
          </w:p>
        </w:tc>
        <w:tc>
          <w:tcPr>
            <w:tcW w:w="378" w:type="dxa"/>
          </w:tcPr>
          <w:p w:rsidR="00B02860" w:rsidRDefault="00B02860">
            <w:pPr>
              <w:pStyle w:val="Tabell"/>
              <w:jc w:val="right"/>
              <w:rPr>
                <w:b/>
              </w:rPr>
            </w:pPr>
          </w:p>
        </w:tc>
        <w:tc>
          <w:tcPr>
            <w:tcW w:w="993" w:type="dxa"/>
          </w:tcPr>
          <w:p w:rsidR="00B02860" w:rsidRDefault="00B02860">
            <w:pPr>
              <w:pStyle w:val="Tabell"/>
              <w:jc w:val="right"/>
              <w:rPr>
                <w:b/>
              </w:rPr>
            </w:pPr>
          </w:p>
        </w:tc>
        <w:tc>
          <w:tcPr>
            <w:tcW w:w="992" w:type="dxa"/>
          </w:tcPr>
          <w:p w:rsidR="00B02860" w:rsidRDefault="00B02860">
            <w:pPr>
              <w:pStyle w:val="Tabell"/>
              <w:jc w:val="right"/>
              <w:rPr>
                <w:b/>
              </w:rPr>
            </w:pPr>
          </w:p>
        </w:tc>
        <w:tc>
          <w:tcPr>
            <w:tcW w:w="992" w:type="dxa"/>
          </w:tcPr>
          <w:p w:rsidR="00B02860" w:rsidRDefault="00B02860">
            <w:pPr>
              <w:pStyle w:val="Tabell"/>
              <w:jc w:val="right"/>
              <w:rPr>
                <w:b/>
              </w:rPr>
            </w:pPr>
          </w:p>
        </w:tc>
        <w:tc>
          <w:tcPr>
            <w:tcW w:w="852" w:type="dxa"/>
          </w:tcPr>
          <w:p w:rsidR="00B02860" w:rsidRDefault="00B02860">
            <w:pPr>
              <w:pStyle w:val="Tabell"/>
              <w:jc w:val="right"/>
              <w:rPr>
                <w:b/>
              </w:rPr>
            </w:pPr>
          </w:p>
        </w:tc>
      </w:tr>
      <w:tr w:rsidR="00000000">
        <w:tblPrEx>
          <w:tblCellMar>
            <w:top w:w="0" w:type="dxa"/>
            <w:bottom w:w="0" w:type="dxa"/>
          </w:tblCellMar>
        </w:tblPrEx>
        <w:trPr>
          <w:trHeight w:val="400"/>
        </w:trPr>
        <w:tc>
          <w:tcPr>
            <w:tcW w:w="739" w:type="dxa"/>
            <w:gridSpan w:val="2"/>
          </w:tcPr>
          <w:p w:rsidR="00B02860" w:rsidRDefault="00B02860">
            <w:pPr>
              <w:pStyle w:val="Tabell"/>
            </w:pPr>
            <w:r>
              <w:t>A 1</w:t>
            </w:r>
          </w:p>
        </w:tc>
        <w:tc>
          <w:tcPr>
            <w:tcW w:w="3687" w:type="dxa"/>
          </w:tcPr>
          <w:p w:rsidR="00B02860" w:rsidRDefault="00B02860">
            <w:pPr>
              <w:pStyle w:val="Tabell"/>
            </w:pPr>
            <w:r>
              <w:t xml:space="preserve">Närings- och teknikutvecklingsverket: </w:t>
            </w:r>
          </w:p>
          <w:p w:rsidR="00B02860" w:rsidRDefault="00B02860">
            <w:pPr>
              <w:pStyle w:val="Tabell"/>
            </w:pPr>
            <w:r>
              <w:t xml:space="preserve">  Förvaltningskostnader</w:t>
            </w:r>
          </w:p>
        </w:tc>
        <w:tc>
          <w:tcPr>
            <w:tcW w:w="1160" w:type="dxa"/>
          </w:tcPr>
          <w:p w:rsidR="00B02860" w:rsidRDefault="00B02860">
            <w:pPr>
              <w:pStyle w:val="Tabell"/>
              <w:jc w:val="center"/>
            </w:pPr>
          </w:p>
          <w:p w:rsidR="00B02860" w:rsidRDefault="00B02860">
            <w:pPr>
              <w:pStyle w:val="Tabell"/>
              <w:jc w:val="center"/>
            </w:pPr>
            <w:r>
              <w:t>208 355</w:t>
            </w:r>
          </w:p>
        </w:tc>
        <w:tc>
          <w:tcPr>
            <w:tcW w:w="871" w:type="dxa"/>
          </w:tcPr>
          <w:p w:rsidR="00B02860" w:rsidRDefault="00B02860">
            <w:pPr>
              <w:pStyle w:val="Tabell"/>
              <w:jc w:val="right"/>
            </w:pPr>
          </w:p>
          <w:p w:rsidR="00B02860" w:rsidRDefault="00B02860">
            <w:pPr>
              <w:pStyle w:val="Tabell"/>
              <w:jc w:val="right"/>
            </w:pPr>
            <w:r>
              <w:t>+75 000</w:t>
            </w:r>
          </w:p>
        </w:tc>
        <w:tc>
          <w:tcPr>
            <w:tcW w:w="378" w:type="dxa"/>
          </w:tcPr>
          <w:p w:rsidR="00B02860" w:rsidRDefault="00B02860">
            <w:pPr>
              <w:pStyle w:val="Tabell"/>
              <w:jc w:val="right"/>
            </w:pPr>
          </w:p>
        </w:tc>
        <w:tc>
          <w:tcPr>
            <w:tcW w:w="993" w:type="dxa"/>
          </w:tcPr>
          <w:p w:rsidR="00B02860" w:rsidRDefault="00B02860">
            <w:pPr>
              <w:pStyle w:val="Tabell"/>
              <w:jc w:val="right"/>
            </w:pPr>
          </w:p>
          <w:p w:rsidR="00B02860" w:rsidRDefault="00B02860">
            <w:pPr>
              <w:pStyle w:val="Tabell"/>
              <w:jc w:val="right"/>
            </w:pPr>
            <w:r>
              <w:t>+118 000</w:t>
            </w:r>
          </w:p>
        </w:tc>
        <w:tc>
          <w:tcPr>
            <w:tcW w:w="992" w:type="dxa"/>
          </w:tcPr>
          <w:p w:rsidR="00B02860" w:rsidRDefault="00B02860">
            <w:pPr>
              <w:pStyle w:val="Tabell"/>
              <w:jc w:val="right"/>
            </w:pPr>
          </w:p>
          <w:p w:rsidR="00B02860" w:rsidRDefault="00B02860">
            <w:pPr>
              <w:pStyle w:val="Tabell"/>
              <w:jc w:val="right"/>
            </w:pPr>
            <w:r>
              <w:t>+26 000</w:t>
            </w:r>
          </w:p>
        </w:tc>
        <w:tc>
          <w:tcPr>
            <w:tcW w:w="992" w:type="dxa"/>
          </w:tcPr>
          <w:p w:rsidR="00B02860" w:rsidRDefault="00B02860">
            <w:pPr>
              <w:pStyle w:val="Tabell"/>
              <w:jc w:val="right"/>
            </w:pPr>
          </w:p>
          <w:p w:rsidR="00B02860" w:rsidRDefault="00B02860">
            <w:pPr>
              <w:pStyle w:val="Tabell"/>
              <w:jc w:val="right"/>
            </w:pPr>
            <w:r>
              <w:sym w:font="Symbol" w:char="F02D"/>
            </w:r>
            <w:r>
              <w:t>33 000</w:t>
            </w: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A 2</w:t>
            </w:r>
          </w:p>
        </w:tc>
        <w:tc>
          <w:tcPr>
            <w:tcW w:w="3687" w:type="dxa"/>
          </w:tcPr>
          <w:p w:rsidR="00B02860" w:rsidRDefault="00B02860">
            <w:pPr>
              <w:pStyle w:val="Tabell"/>
            </w:pPr>
            <w:r>
              <w:t>Småföretagsutveckling</w:t>
            </w:r>
          </w:p>
        </w:tc>
        <w:tc>
          <w:tcPr>
            <w:tcW w:w="1160" w:type="dxa"/>
          </w:tcPr>
          <w:p w:rsidR="00B02860" w:rsidRDefault="00B02860">
            <w:pPr>
              <w:pStyle w:val="Tabell"/>
              <w:jc w:val="center"/>
            </w:pPr>
            <w:r>
              <w:t>134 062</w:t>
            </w:r>
          </w:p>
        </w:tc>
        <w:tc>
          <w:tcPr>
            <w:tcW w:w="871" w:type="dxa"/>
          </w:tcPr>
          <w:p w:rsidR="00B02860" w:rsidRDefault="00B02860">
            <w:pPr>
              <w:pStyle w:val="Tabell"/>
              <w:jc w:val="right"/>
            </w:pPr>
            <w:r>
              <w:t>+3 000</w:t>
            </w:r>
          </w:p>
        </w:tc>
        <w:tc>
          <w:tcPr>
            <w:tcW w:w="378" w:type="dxa"/>
          </w:tcPr>
          <w:p w:rsidR="00B02860" w:rsidRDefault="00B02860">
            <w:pPr>
              <w:pStyle w:val="Tabell"/>
              <w:jc w:val="right"/>
            </w:pPr>
          </w:p>
        </w:tc>
        <w:tc>
          <w:tcPr>
            <w:tcW w:w="993" w:type="dxa"/>
          </w:tcPr>
          <w:p w:rsidR="00B02860" w:rsidRDefault="00B02860">
            <w:pPr>
              <w:pStyle w:val="Tabell"/>
              <w:jc w:val="right"/>
            </w:pPr>
            <w:r>
              <w:t>+18 000</w:t>
            </w:r>
          </w:p>
        </w:tc>
        <w:tc>
          <w:tcPr>
            <w:tcW w:w="992" w:type="dxa"/>
          </w:tcPr>
          <w:p w:rsidR="00B02860" w:rsidRDefault="00B02860">
            <w:pPr>
              <w:pStyle w:val="Tabell"/>
              <w:jc w:val="right"/>
            </w:pPr>
            <w:r>
              <w:t>+50 000</w:t>
            </w:r>
          </w:p>
        </w:tc>
        <w:tc>
          <w:tcPr>
            <w:tcW w:w="992" w:type="dxa"/>
          </w:tcPr>
          <w:p w:rsidR="00B02860" w:rsidRDefault="00B02860">
            <w:pPr>
              <w:pStyle w:val="Tabell"/>
              <w:jc w:val="right"/>
            </w:pPr>
            <w:r>
              <w:t>+40 000</w:t>
            </w:r>
          </w:p>
        </w:tc>
        <w:tc>
          <w:tcPr>
            <w:tcW w:w="852" w:type="dxa"/>
          </w:tcPr>
          <w:p w:rsidR="00B02860" w:rsidRDefault="00B02860">
            <w:pPr>
              <w:pStyle w:val="Tabell"/>
              <w:jc w:val="right"/>
            </w:pPr>
            <w:r>
              <w:t>+20 000</w:t>
            </w:r>
          </w:p>
        </w:tc>
      </w:tr>
      <w:tr w:rsidR="00000000">
        <w:tblPrEx>
          <w:tblCellMar>
            <w:top w:w="0" w:type="dxa"/>
            <w:bottom w:w="0" w:type="dxa"/>
          </w:tblCellMar>
        </w:tblPrEx>
        <w:trPr>
          <w:trHeight w:val="246"/>
        </w:trPr>
        <w:tc>
          <w:tcPr>
            <w:tcW w:w="739" w:type="dxa"/>
            <w:gridSpan w:val="2"/>
          </w:tcPr>
          <w:p w:rsidR="00B02860" w:rsidRDefault="00B02860">
            <w:pPr>
              <w:pStyle w:val="Tabell"/>
            </w:pPr>
            <w:r>
              <w:t>A 3</w:t>
            </w:r>
          </w:p>
        </w:tc>
        <w:tc>
          <w:tcPr>
            <w:tcW w:w="3687" w:type="dxa"/>
          </w:tcPr>
          <w:p w:rsidR="00B02860" w:rsidRDefault="00B02860">
            <w:pPr>
              <w:pStyle w:val="Tabell"/>
            </w:pPr>
            <w:r>
              <w:t>Stöd till kooperativ utveckling</w:t>
            </w:r>
          </w:p>
        </w:tc>
        <w:tc>
          <w:tcPr>
            <w:tcW w:w="1160" w:type="dxa"/>
          </w:tcPr>
          <w:p w:rsidR="00B02860" w:rsidRDefault="00B02860">
            <w:pPr>
              <w:pStyle w:val="Tabell"/>
              <w:jc w:val="center"/>
            </w:pPr>
            <w:r>
              <w:t>16 500</w:t>
            </w:r>
          </w:p>
        </w:tc>
        <w:tc>
          <w:tcPr>
            <w:tcW w:w="871" w:type="dxa"/>
          </w:tcPr>
          <w:p w:rsidR="00B02860" w:rsidRDefault="00B02860">
            <w:pPr>
              <w:pStyle w:val="Tabell"/>
              <w:jc w:val="right"/>
            </w:pPr>
            <w:r>
              <w:sym w:font="Symbol" w:char="F02D"/>
            </w:r>
            <w:r>
              <w:t>16 500</w:t>
            </w: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r>
              <w:t>+6 500</w:t>
            </w:r>
          </w:p>
        </w:tc>
        <w:tc>
          <w:tcPr>
            <w:tcW w:w="992" w:type="dxa"/>
          </w:tcPr>
          <w:p w:rsidR="00B02860" w:rsidRDefault="00B02860">
            <w:pPr>
              <w:pStyle w:val="Tabell"/>
              <w:jc w:val="right"/>
            </w:pPr>
            <w:r>
              <w:t>+9 000</w:t>
            </w: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A 4</w:t>
            </w:r>
          </w:p>
        </w:tc>
        <w:tc>
          <w:tcPr>
            <w:tcW w:w="3687" w:type="dxa"/>
          </w:tcPr>
          <w:p w:rsidR="00B02860" w:rsidRDefault="00B02860">
            <w:pPr>
              <w:pStyle w:val="Tabell"/>
            </w:pPr>
            <w:r>
              <w:t>Turistfrämjande</w:t>
            </w:r>
          </w:p>
        </w:tc>
        <w:tc>
          <w:tcPr>
            <w:tcW w:w="1160" w:type="dxa"/>
          </w:tcPr>
          <w:p w:rsidR="00B02860" w:rsidRDefault="00B02860">
            <w:pPr>
              <w:pStyle w:val="Tabell"/>
              <w:jc w:val="center"/>
            </w:pPr>
            <w:r>
              <w:t>80 096</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r>
              <w:t>+20 000</w:t>
            </w:r>
          </w:p>
        </w:tc>
        <w:tc>
          <w:tcPr>
            <w:tcW w:w="992" w:type="dxa"/>
          </w:tcPr>
          <w:p w:rsidR="00B02860" w:rsidRDefault="00B02860">
            <w:pPr>
              <w:pStyle w:val="Tabell"/>
              <w:jc w:val="right"/>
            </w:pPr>
            <w:r>
              <w:sym w:font="Symbol" w:char="F02D"/>
            </w:r>
            <w:r>
              <w:t>50 000</w:t>
            </w: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A 5</w:t>
            </w:r>
          </w:p>
        </w:tc>
        <w:tc>
          <w:tcPr>
            <w:tcW w:w="3687" w:type="dxa"/>
          </w:tcPr>
          <w:p w:rsidR="00B02860" w:rsidRDefault="00B02860">
            <w:pPr>
              <w:pStyle w:val="Tabell"/>
            </w:pPr>
            <w:r>
              <w:t>Täckande av förluster vid viss garantigivning m.m.</w:t>
            </w:r>
          </w:p>
        </w:tc>
        <w:tc>
          <w:tcPr>
            <w:tcW w:w="1160" w:type="dxa"/>
          </w:tcPr>
          <w:p w:rsidR="00B02860" w:rsidRDefault="00B02860">
            <w:pPr>
              <w:pStyle w:val="Tabell"/>
              <w:jc w:val="center"/>
            </w:pPr>
            <w:r>
              <w:t>12 000</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00"/>
        </w:trPr>
        <w:tc>
          <w:tcPr>
            <w:tcW w:w="739" w:type="dxa"/>
            <w:gridSpan w:val="2"/>
          </w:tcPr>
          <w:p w:rsidR="00B02860" w:rsidRDefault="00B02860">
            <w:pPr>
              <w:pStyle w:val="Tabell"/>
            </w:pPr>
            <w:r>
              <w:t>A 6</w:t>
            </w:r>
          </w:p>
        </w:tc>
        <w:tc>
          <w:tcPr>
            <w:tcW w:w="3687" w:type="dxa"/>
          </w:tcPr>
          <w:p w:rsidR="00B02860" w:rsidRDefault="00B02860">
            <w:pPr>
              <w:pStyle w:val="Tabell"/>
            </w:pPr>
            <w:r>
              <w:t xml:space="preserve">Medel till AB Göta kanalbolag för upprustning och </w:t>
            </w:r>
          </w:p>
          <w:p w:rsidR="00B02860" w:rsidRDefault="00B02860">
            <w:pPr>
              <w:pStyle w:val="Tabell"/>
            </w:pPr>
            <w:r>
              <w:t xml:space="preserve">  drift av kanalen</w:t>
            </w:r>
          </w:p>
        </w:tc>
        <w:tc>
          <w:tcPr>
            <w:tcW w:w="1160" w:type="dxa"/>
          </w:tcPr>
          <w:p w:rsidR="00B02860" w:rsidRDefault="00B02860">
            <w:pPr>
              <w:pStyle w:val="Tabell"/>
              <w:jc w:val="center"/>
            </w:pPr>
          </w:p>
          <w:p w:rsidR="00B02860" w:rsidRDefault="00B02860">
            <w:pPr>
              <w:pStyle w:val="Tabell"/>
              <w:jc w:val="center"/>
            </w:pPr>
            <w:r>
              <w:t>15 000</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00"/>
        </w:trPr>
        <w:tc>
          <w:tcPr>
            <w:tcW w:w="739" w:type="dxa"/>
            <w:gridSpan w:val="2"/>
          </w:tcPr>
          <w:p w:rsidR="00B02860" w:rsidRDefault="00B02860">
            <w:pPr>
              <w:pStyle w:val="Tabell"/>
            </w:pPr>
            <w:r>
              <w:t>A 7</w:t>
            </w:r>
          </w:p>
        </w:tc>
        <w:tc>
          <w:tcPr>
            <w:tcW w:w="3687" w:type="dxa"/>
          </w:tcPr>
          <w:p w:rsidR="00B02860" w:rsidRDefault="00B02860">
            <w:pPr>
              <w:pStyle w:val="Tabell"/>
            </w:pPr>
            <w:r>
              <w:t xml:space="preserve">Kostnader för omstrukturering av vissa statligt </w:t>
            </w:r>
          </w:p>
          <w:p w:rsidR="00B02860" w:rsidRDefault="00B02860">
            <w:pPr>
              <w:pStyle w:val="Tabell"/>
            </w:pPr>
            <w:r>
              <w:t xml:space="preserve">  ägda företag, m.m.</w:t>
            </w:r>
          </w:p>
        </w:tc>
        <w:tc>
          <w:tcPr>
            <w:tcW w:w="1160" w:type="dxa"/>
          </w:tcPr>
          <w:p w:rsidR="00B02860" w:rsidRDefault="00B02860">
            <w:pPr>
              <w:pStyle w:val="Tabell"/>
              <w:jc w:val="center"/>
            </w:pPr>
          </w:p>
          <w:p w:rsidR="00B02860" w:rsidRDefault="00B02860">
            <w:pPr>
              <w:pStyle w:val="Tabell"/>
              <w:jc w:val="center"/>
            </w:pPr>
            <w:r>
              <w:t>25 000</w:t>
            </w:r>
          </w:p>
        </w:tc>
        <w:tc>
          <w:tcPr>
            <w:tcW w:w="871" w:type="dxa"/>
          </w:tcPr>
          <w:p w:rsidR="00B02860" w:rsidRDefault="00B02860">
            <w:pPr>
              <w:pStyle w:val="Tabell"/>
              <w:jc w:val="right"/>
            </w:pPr>
          </w:p>
          <w:p w:rsidR="00B02860" w:rsidRDefault="00B02860">
            <w:pPr>
              <w:pStyle w:val="Tabell"/>
              <w:jc w:val="right"/>
            </w:pPr>
            <w:r>
              <w:sym w:font="Symbol" w:char="F02D"/>
            </w:r>
            <w:r>
              <w:t>25 000</w:t>
            </w:r>
          </w:p>
        </w:tc>
        <w:tc>
          <w:tcPr>
            <w:tcW w:w="378" w:type="dxa"/>
          </w:tcPr>
          <w:p w:rsidR="00B02860" w:rsidRDefault="00B02860">
            <w:pPr>
              <w:pStyle w:val="Tabell"/>
              <w:jc w:val="right"/>
            </w:pPr>
          </w:p>
        </w:tc>
        <w:tc>
          <w:tcPr>
            <w:tcW w:w="993" w:type="dxa"/>
          </w:tcPr>
          <w:p w:rsidR="00B02860" w:rsidRDefault="00B02860">
            <w:pPr>
              <w:pStyle w:val="Tabell"/>
              <w:jc w:val="right"/>
            </w:pPr>
          </w:p>
          <w:p w:rsidR="00B02860" w:rsidRDefault="00B02860">
            <w:pPr>
              <w:pStyle w:val="Tabell"/>
              <w:jc w:val="right"/>
            </w:pPr>
            <w:r>
              <w:sym w:font="Symbol" w:char="F02D"/>
            </w:r>
            <w:r>
              <w:t>25 000</w:t>
            </w: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p w:rsidR="00B02860" w:rsidRDefault="00B02860">
            <w:pPr>
              <w:pStyle w:val="Tabell"/>
              <w:jc w:val="right"/>
            </w:pPr>
            <w:r>
              <w:sym w:font="Symbol" w:char="F02D"/>
            </w:r>
            <w:r>
              <w:t>25 000</w:t>
            </w:r>
          </w:p>
        </w:tc>
      </w:tr>
      <w:tr w:rsidR="00000000">
        <w:tblPrEx>
          <w:tblCellMar>
            <w:top w:w="0" w:type="dxa"/>
            <w:bottom w:w="0" w:type="dxa"/>
          </w:tblCellMar>
        </w:tblPrEx>
        <w:trPr>
          <w:trHeight w:val="246"/>
        </w:trPr>
        <w:tc>
          <w:tcPr>
            <w:tcW w:w="739" w:type="dxa"/>
            <w:gridSpan w:val="2"/>
          </w:tcPr>
          <w:p w:rsidR="00B02860" w:rsidRDefault="00B02860">
            <w:pPr>
              <w:pStyle w:val="Tabell"/>
            </w:pPr>
            <w:r>
              <w:t>A 8</w:t>
            </w:r>
          </w:p>
        </w:tc>
        <w:tc>
          <w:tcPr>
            <w:tcW w:w="3687" w:type="dxa"/>
          </w:tcPr>
          <w:p w:rsidR="00B02860" w:rsidRDefault="00B02860">
            <w:pPr>
              <w:pStyle w:val="Tabell"/>
            </w:pPr>
            <w:r>
              <w:t>Avgifter till vissa internationella organisationer</w:t>
            </w:r>
          </w:p>
        </w:tc>
        <w:tc>
          <w:tcPr>
            <w:tcW w:w="1160" w:type="dxa"/>
          </w:tcPr>
          <w:p w:rsidR="00B02860" w:rsidRDefault="00B02860">
            <w:pPr>
              <w:pStyle w:val="Tabell"/>
              <w:jc w:val="center"/>
            </w:pPr>
            <w:r>
              <w:t>24 329</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A 9</w:t>
            </w:r>
          </w:p>
        </w:tc>
        <w:tc>
          <w:tcPr>
            <w:tcW w:w="3687" w:type="dxa"/>
          </w:tcPr>
          <w:p w:rsidR="00B02860" w:rsidRDefault="00B02860">
            <w:pPr>
              <w:pStyle w:val="Tabell"/>
            </w:pPr>
            <w:r>
              <w:t xml:space="preserve">Sveriges geologiska undersökning: Geologisk </w:t>
            </w:r>
          </w:p>
          <w:p w:rsidR="00B02860" w:rsidRDefault="00B02860">
            <w:pPr>
              <w:pStyle w:val="Tabell"/>
            </w:pPr>
            <w:r>
              <w:t xml:space="preserve"> undersökningsverksamhet m.m.</w:t>
            </w:r>
          </w:p>
        </w:tc>
        <w:tc>
          <w:tcPr>
            <w:tcW w:w="1160" w:type="dxa"/>
          </w:tcPr>
          <w:p w:rsidR="00B02860" w:rsidRDefault="00B02860">
            <w:pPr>
              <w:pStyle w:val="Tabell"/>
              <w:jc w:val="center"/>
            </w:pPr>
          </w:p>
          <w:p w:rsidR="00B02860" w:rsidRDefault="00B02860">
            <w:pPr>
              <w:pStyle w:val="Tabell"/>
              <w:jc w:val="center"/>
            </w:pPr>
            <w:r>
              <w:t>184 093</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A 10</w:t>
            </w:r>
          </w:p>
        </w:tc>
        <w:tc>
          <w:tcPr>
            <w:tcW w:w="3687" w:type="dxa"/>
          </w:tcPr>
          <w:p w:rsidR="00B02860" w:rsidRDefault="00B02860">
            <w:pPr>
              <w:pStyle w:val="Tabell"/>
            </w:pPr>
            <w:r>
              <w:t xml:space="preserve">Sveriges geologiska undersökning: </w:t>
            </w:r>
          </w:p>
          <w:p w:rsidR="00B02860" w:rsidRDefault="00B02860">
            <w:pPr>
              <w:pStyle w:val="Tabell"/>
            </w:pPr>
            <w:r>
              <w:t xml:space="preserve">  Geovetenskaplig forskning</w:t>
            </w:r>
          </w:p>
        </w:tc>
        <w:tc>
          <w:tcPr>
            <w:tcW w:w="1160" w:type="dxa"/>
          </w:tcPr>
          <w:p w:rsidR="00B02860" w:rsidRDefault="00B02860">
            <w:pPr>
              <w:pStyle w:val="Tabell"/>
              <w:jc w:val="center"/>
            </w:pPr>
          </w:p>
          <w:p w:rsidR="00B02860" w:rsidRDefault="00B02860">
            <w:pPr>
              <w:pStyle w:val="Tabell"/>
              <w:jc w:val="center"/>
            </w:pPr>
            <w:r>
              <w:t>4 687</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A 11</w:t>
            </w:r>
          </w:p>
        </w:tc>
        <w:tc>
          <w:tcPr>
            <w:tcW w:w="3687" w:type="dxa"/>
          </w:tcPr>
          <w:p w:rsidR="00B02860" w:rsidRDefault="00B02860">
            <w:pPr>
              <w:pStyle w:val="Tabell"/>
            </w:pPr>
            <w:r>
              <w:t xml:space="preserve">Sveriges geologiska undersökning: Miljösäkring </w:t>
            </w:r>
          </w:p>
          <w:p w:rsidR="00B02860" w:rsidRDefault="00B02860">
            <w:pPr>
              <w:pStyle w:val="Tabell"/>
            </w:pPr>
            <w:r>
              <w:t xml:space="preserve">  av oljelagringsanläggningar, m.m.</w:t>
            </w:r>
          </w:p>
        </w:tc>
        <w:tc>
          <w:tcPr>
            <w:tcW w:w="1160" w:type="dxa"/>
          </w:tcPr>
          <w:p w:rsidR="00B02860" w:rsidRDefault="00B02860">
            <w:pPr>
              <w:pStyle w:val="Tabell"/>
              <w:jc w:val="center"/>
            </w:pPr>
          </w:p>
          <w:p w:rsidR="00B02860" w:rsidRDefault="00B02860">
            <w:pPr>
              <w:pStyle w:val="Tabell"/>
              <w:jc w:val="center"/>
            </w:pPr>
            <w:r>
              <w:t>77 000</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A 12</w:t>
            </w:r>
          </w:p>
        </w:tc>
        <w:tc>
          <w:tcPr>
            <w:tcW w:w="3687" w:type="dxa"/>
          </w:tcPr>
          <w:p w:rsidR="00B02860" w:rsidRDefault="00B02860">
            <w:pPr>
              <w:pStyle w:val="Tabell"/>
            </w:pPr>
            <w:r>
              <w:t xml:space="preserve">Fortsatt statlig medverkan vid finansiering av ett </w:t>
            </w:r>
          </w:p>
          <w:p w:rsidR="00B02860" w:rsidRDefault="00B02860">
            <w:pPr>
              <w:pStyle w:val="Tabell"/>
            </w:pPr>
            <w:r>
              <w:t xml:space="preserve">  civilt flygplansprojekt</w:t>
            </w:r>
          </w:p>
        </w:tc>
        <w:tc>
          <w:tcPr>
            <w:tcW w:w="1160" w:type="dxa"/>
          </w:tcPr>
          <w:p w:rsidR="00B02860" w:rsidRDefault="00B02860">
            <w:pPr>
              <w:pStyle w:val="Tabell"/>
              <w:jc w:val="center"/>
            </w:pPr>
          </w:p>
          <w:p w:rsidR="00B02860" w:rsidRDefault="00B02860">
            <w:pPr>
              <w:pStyle w:val="Tabell"/>
              <w:jc w:val="center"/>
            </w:pPr>
            <w:r>
              <w:t>74 100</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A 13</w:t>
            </w:r>
          </w:p>
        </w:tc>
        <w:tc>
          <w:tcPr>
            <w:tcW w:w="3687" w:type="dxa"/>
          </w:tcPr>
          <w:p w:rsidR="00B02860" w:rsidRDefault="00B02860">
            <w:pPr>
              <w:pStyle w:val="Tabell"/>
            </w:pPr>
            <w:r>
              <w:t>Nytt anslag: Varvsstöd</w:t>
            </w:r>
          </w:p>
        </w:tc>
        <w:tc>
          <w:tcPr>
            <w:tcW w:w="1160" w:type="dxa"/>
          </w:tcPr>
          <w:p w:rsidR="00B02860" w:rsidRDefault="00B02860">
            <w:pPr>
              <w:pStyle w:val="Tabell"/>
              <w:jc w:val="center"/>
            </w:pP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r>
              <w:t>+80 000</w:t>
            </w: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spacing w:after="120"/>
            </w:pPr>
            <w:r>
              <w:t>B 1</w:t>
            </w:r>
          </w:p>
        </w:tc>
        <w:tc>
          <w:tcPr>
            <w:tcW w:w="3687" w:type="dxa"/>
          </w:tcPr>
          <w:p w:rsidR="00B02860" w:rsidRDefault="00B02860">
            <w:pPr>
              <w:pStyle w:val="Tabell"/>
            </w:pPr>
            <w:r>
              <w:t>Patentbesvärsrätten</w:t>
            </w:r>
          </w:p>
        </w:tc>
        <w:tc>
          <w:tcPr>
            <w:tcW w:w="1160" w:type="dxa"/>
          </w:tcPr>
          <w:p w:rsidR="00B02860" w:rsidRDefault="00B02860">
            <w:pPr>
              <w:pStyle w:val="Tabell"/>
              <w:jc w:val="center"/>
            </w:pPr>
            <w:r>
              <w:t>12 237</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B 2</w:t>
            </w:r>
          </w:p>
        </w:tc>
        <w:tc>
          <w:tcPr>
            <w:tcW w:w="3687" w:type="dxa"/>
          </w:tcPr>
          <w:p w:rsidR="00B02860" w:rsidRDefault="00B02860">
            <w:pPr>
              <w:pStyle w:val="Tabell"/>
            </w:pPr>
            <w:r>
              <w:t xml:space="preserve">Styrelsen för ackreditering och teknisk kontroll: </w:t>
            </w:r>
          </w:p>
          <w:p w:rsidR="00B02860" w:rsidRDefault="00B02860">
            <w:pPr>
              <w:pStyle w:val="Tabell"/>
            </w:pPr>
            <w:r>
              <w:t xml:space="preserve">  Myndighetsverksamhet</w:t>
            </w:r>
          </w:p>
        </w:tc>
        <w:tc>
          <w:tcPr>
            <w:tcW w:w="1160" w:type="dxa"/>
          </w:tcPr>
          <w:p w:rsidR="00B02860" w:rsidRDefault="00B02860">
            <w:pPr>
              <w:pStyle w:val="Tabell"/>
              <w:jc w:val="center"/>
            </w:pPr>
          </w:p>
          <w:p w:rsidR="00B02860" w:rsidRDefault="00B02860">
            <w:pPr>
              <w:pStyle w:val="Tabell"/>
              <w:jc w:val="center"/>
            </w:pPr>
            <w:r>
              <w:t>12 536</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B 3</w:t>
            </w:r>
          </w:p>
        </w:tc>
        <w:tc>
          <w:tcPr>
            <w:tcW w:w="3687" w:type="dxa"/>
          </w:tcPr>
          <w:p w:rsidR="00B02860" w:rsidRDefault="00B02860">
            <w:pPr>
              <w:pStyle w:val="Tabell"/>
            </w:pPr>
            <w:r>
              <w:t xml:space="preserve">Styrelsen för ackreditering och teknisk kontroll: </w:t>
            </w:r>
          </w:p>
          <w:p w:rsidR="00B02860" w:rsidRDefault="00B02860">
            <w:pPr>
              <w:pStyle w:val="Tabell"/>
            </w:pPr>
            <w:r>
              <w:t xml:space="preserve">  Bidrag till riksmätplatser</w:t>
            </w:r>
          </w:p>
        </w:tc>
        <w:tc>
          <w:tcPr>
            <w:tcW w:w="1160" w:type="dxa"/>
          </w:tcPr>
          <w:p w:rsidR="00B02860" w:rsidRDefault="00B02860">
            <w:pPr>
              <w:pStyle w:val="Tabell"/>
              <w:jc w:val="center"/>
            </w:pPr>
          </w:p>
          <w:p w:rsidR="00B02860" w:rsidRDefault="00B02860">
            <w:pPr>
              <w:pStyle w:val="Tabell"/>
              <w:jc w:val="center"/>
            </w:pPr>
            <w:r>
              <w:t>8 271</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B 4</w:t>
            </w:r>
          </w:p>
        </w:tc>
        <w:tc>
          <w:tcPr>
            <w:tcW w:w="3687" w:type="dxa"/>
          </w:tcPr>
          <w:p w:rsidR="00B02860" w:rsidRDefault="00B02860">
            <w:pPr>
              <w:pStyle w:val="Tabell"/>
            </w:pPr>
            <w:r>
              <w:t>Elsäkerhetsverket</w:t>
            </w:r>
          </w:p>
        </w:tc>
        <w:tc>
          <w:tcPr>
            <w:tcW w:w="1160" w:type="dxa"/>
          </w:tcPr>
          <w:p w:rsidR="00B02860" w:rsidRDefault="00B02860">
            <w:pPr>
              <w:pStyle w:val="Tabell"/>
              <w:jc w:val="center"/>
            </w:pPr>
            <w:r>
              <w:t>36 961</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B 5</w:t>
            </w:r>
          </w:p>
        </w:tc>
        <w:tc>
          <w:tcPr>
            <w:tcW w:w="3687" w:type="dxa"/>
          </w:tcPr>
          <w:p w:rsidR="00B02860" w:rsidRDefault="00B02860">
            <w:pPr>
              <w:pStyle w:val="Tabell"/>
            </w:pPr>
            <w:r>
              <w:t>Sprängämnesinspektionen</w:t>
            </w:r>
          </w:p>
        </w:tc>
        <w:tc>
          <w:tcPr>
            <w:tcW w:w="1160" w:type="dxa"/>
          </w:tcPr>
          <w:p w:rsidR="00B02860" w:rsidRDefault="00B02860">
            <w:pPr>
              <w:pStyle w:val="Tabell"/>
              <w:jc w:val="center"/>
            </w:pPr>
            <w:r>
              <w:t>14 943</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B 6</w:t>
            </w:r>
          </w:p>
        </w:tc>
        <w:tc>
          <w:tcPr>
            <w:tcW w:w="3687" w:type="dxa"/>
          </w:tcPr>
          <w:p w:rsidR="00B02860" w:rsidRDefault="00B02860">
            <w:pPr>
              <w:pStyle w:val="Tabell"/>
            </w:pPr>
            <w:r>
              <w:t xml:space="preserve">Bidrag till standardisering, provnings- och </w:t>
            </w:r>
          </w:p>
          <w:p w:rsidR="00B02860" w:rsidRDefault="00B02860">
            <w:pPr>
              <w:pStyle w:val="Tabell"/>
            </w:pPr>
            <w:r>
              <w:t xml:space="preserve">  mätteknisk FoU m.m.</w:t>
            </w:r>
          </w:p>
        </w:tc>
        <w:tc>
          <w:tcPr>
            <w:tcW w:w="1160" w:type="dxa"/>
          </w:tcPr>
          <w:p w:rsidR="00B02860" w:rsidRDefault="00B02860">
            <w:pPr>
              <w:pStyle w:val="Tabell"/>
              <w:jc w:val="center"/>
            </w:pPr>
          </w:p>
          <w:p w:rsidR="00B02860" w:rsidRDefault="00B02860">
            <w:pPr>
              <w:pStyle w:val="Tabell"/>
              <w:jc w:val="center"/>
            </w:pPr>
            <w:r>
              <w:t>70 589</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C 1</w:t>
            </w:r>
          </w:p>
        </w:tc>
        <w:tc>
          <w:tcPr>
            <w:tcW w:w="3687" w:type="dxa"/>
          </w:tcPr>
          <w:p w:rsidR="00B02860" w:rsidRDefault="00B02860">
            <w:pPr>
              <w:pStyle w:val="Tabell"/>
            </w:pPr>
            <w:r>
              <w:t>Konkurrensverket</w:t>
            </w:r>
          </w:p>
        </w:tc>
        <w:tc>
          <w:tcPr>
            <w:tcW w:w="1160" w:type="dxa"/>
          </w:tcPr>
          <w:p w:rsidR="00B02860" w:rsidRDefault="00B02860">
            <w:pPr>
              <w:pStyle w:val="Tabell"/>
              <w:jc w:val="center"/>
            </w:pPr>
            <w:r>
              <w:t>62 106</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r>
              <w:t>+4 000</w:t>
            </w: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C 2</w:t>
            </w:r>
          </w:p>
        </w:tc>
        <w:tc>
          <w:tcPr>
            <w:tcW w:w="3687" w:type="dxa"/>
          </w:tcPr>
          <w:p w:rsidR="00B02860" w:rsidRDefault="00B02860">
            <w:pPr>
              <w:pStyle w:val="Tabell"/>
            </w:pPr>
            <w:r>
              <w:t>Konkurrensforskning</w:t>
            </w:r>
          </w:p>
        </w:tc>
        <w:tc>
          <w:tcPr>
            <w:tcW w:w="1160" w:type="dxa"/>
          </w:tcPr>
          <w:p w:rsidR="00B02860" w:rsidRDefault="00B02860">
            <w:pPr>
              <w:pStyle w:val="Tabell"/>
              <w:jc w:val="center"/>
            </w:pPr>
            <w:r>
              <w:t>3 473</w:t>
            </w:r>
          </w:p>
        </w:tc>
        <w:tc>
          <w:tcPr>
            <w:tcW w:w="871" w:type="dxa"/>
          </w:tcPr>
          <w:p w:rsidR="00B02860" w:rsidRDefault="00B02860">
            <w:pPr>
              <w:pStyle w:val="Tabell"/>
              <w:jc w:val="right"/>
            </w:pPr>
            <w:r>
              <w:t>+1 000</w:t>
            </w:r>
          </w:p>
        </w:tc>
        <w:tc>
          <w:tcPr>
            <w:tcW w:w="378" w:type="dxa"/>
          </w:tcPr>
          <w:p w:rsidR="00B02860" w:rsidRDefault="00B02860">
            <w:pPr>
              <w:pStyle w:val="Tabell"/>
              <w:jc w:val="right"/>
            </w:pPr>
          </w:p>
        </w:tc>
        <w:tc>
          <w:tcPr>
            <w:tcW w:w="993" w:type="dxa"/>
          </w:tcPr>
          <w:p w:rsidR="00B02860" w:rsidRDefault="00B02860">
            <w:pPr>
              <w:pStyle w:val="Tabell"/>
              <w:jc w:val="right"/>
            </w:pPr>
            <w:r>
              <w:t>+1 000</w:t>
            </w: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r>
              <w:t>+3 000</w:t>
            </w:r>
          </w:p>
        </w:tc>
      </w:tr>
      <w:tr w:rsidR="00000000">
        <w:tblPrEx>
          <w:tblCellMar>
            <w:top w:w="0" w:type="dxa"/>
            <w:bottom w:w="0" w:type="dxa"/>
          </w:tblCellMar>
        </w:tblPrEx>
        <w:trPr>
          <w:trHeight w:val="246"/>
        </w:trPr>
        <w:tc>
          <w:tcPr>
            <w:tcW w:w="739" w:type="dxa"/>
            <w:gridSpan w:val="2"/>
          </w:tcPr>
          <w:p w:rsidR="00B02860" w:rsidRDefault="00B02860">
            <w:pPr>
              <w:pStyle w:val="Tabell"/>
            </w:pPr>
            <w:r>
              <w:t>D 1</w:t>
            </w:r>
          </w:p>
        </w:tc>
        <w:tc>
          <w:tcPr>
            <w:tcW w:w="3687" w:type="dxa"/>
          </w:tcPr>
          <w:p w:rsidR="00B02860" w:rsidRDefault="00B02860">
            <w:pPr>
              <w:pStyle w:val="Tabell"/>
            </w:pPr>
            <w:r>
              <w:t>Teknisk forskning och utveckling</w:t>
            </w:r>
          </w:p>
        </w:tc>
        <w:tc>
          <w:tcPr>
            <w:tcW w:w="1160" w:type="dxa"/>
          </w:tcPr>
          <w:p w:rsidR="00B02860" w:rsidRDefault="00B02860">
            <w:pPr>
              <w:pStyle w:val="Tabell"/>
              <w:jc w:val="center"/>
            </w:pPr>
            <w:r>
              <w:t>672 953</w:t>
            </w:r>
          </w:p>
        </w:tc>
        <w:tc>
          <w:tcPr>
            <w:tcW w:w="871" w:type="dxa"/>
          </w:tcPr>
          <w:p w:rsidR="00B02860" w:rsidRDefault="00B02860">
            <w:pPr>
              <w:pStyle w:val="Tabell"/>
              <w:jc w:val="right"/>
            </w:pPr>
            <w:r>
              <w:t>+110 000</w:t>
            </w: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r>
              <w:t>+147 500</w:t>
            </w:r>
          </w:p>
        </w:tc>
        <w:tc>
          <w:tcPr>
            <w:tcW w:w="992" w:type="dxa"/>
          </w:tcPr>
          <w:p w:rsidR="00B02860" w:rsidRDefault="00B02860">
            <w:pPr>
              <w:pStyle w:val="Tabell"/>
              <w:jc w:val="right"/>
            </w:pPr>
            <w:r>
              <w:sym w:font="Symbol" w:char="F02D"/>
            </w:r>
            <w:r>
              <w:t>90 000</w:t>
            </w:r>
          </w:p>
        </w:tc>
        <w:tc>
          <w:tcPr>
            <w:tcW w:w="852" w:type="dxa"/>
          </w:tcPr>
          <w:p w:rsidR="00B02860" w:rsidRDefault="00B02860">
            <w:pPr>
              <w:pStyle w:val="Tabell"/>
              <w:jc w:val="right"/>
            </w:pPr>
            <w:r>
              <w:t>+90 000</w:t>
            </w:r>
          </w:p>
        </w:tc>
      </w:tr>
      <w:tr w:rsidR="00000000">
        <w:tblPrEx>
          <w:tblCellMar>
            <w:top w:w="0" w:type="dxa"/>
            <w:bottom w:w="0" w:type="dxa"/>
          </w:tblCellMar>
        </w:tblPrEx>
        <w:trPr>
          <w:trHeight w:val="246"/>
        </w:trPr>
        <w:tc>
          <w:tcPr>
            <w:tcW w:w="739" w:type="dxa"/>
            <w:gridSpan w:val="2"/>
          </w:tcPr>
          <w:p w:rsidR="00B02860" w:rsidRDefault="00B02860">
            <w:pPr>
              <w:pStyle w:val="Tabell"/>
            </w:pPr>
            <w:r>
              <w:t>D 2</w:t>
            </w:r>
          </w:p>
        </w:tc>
        <w:tc>
          <w:tcPr>
            <w:tcW w:w="3687" w:type="dxa"/>
          </w:tcPr>
          <w:p w:rsidR="00B02860" w:rsidRDefault="00B02860">
            <w:pPr>
              <w:pStyle w:val="Tabell"/>
            </w:pPr>
            <w:r>
              <w:t>Rymdstyrelsen: Förvaltningskostnader</w:t>
            </w:r>
          </w:p>
        </w:tc>
        <w:tc>
          <w:tcPr>
            <w:tcW w:w="1160" w:type="dxa"/>
          </w:tcPr>
          <w:p w:rsidR="00B02860" w:rsidRDefault="00B02860">
            <w:pPr>
              <w:pStyle w:val="Tabell"/>
              <w:jc w:val="center"/>
            </w:pPr>
            <w:r>
              <w:t>14 351</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D 3</w:t>
            </w:r>
          </w:p>
        </w:tc>
        <w:tc>
          <w:tcPr>
            <w:tcW w:w="3687" w:type="dxa"/>
          </w:tcPr>
          <w:p w:rsidR="00B02860" w:rsidRDefault="00B02860">
            <w:pPr>
              <w:pStyle w:val="Tabell"/>
            </w:pPr>
            <w:r>
              <w:t>Rymdverksamhet</w:t>
            </w:r>
          </w:p>
        </w:tc>
        <w:tc>
          <w:tcPr>
            <w:tcW w:w="1160" w:type="dxa"/>
          </w:tcPr>
          <w:p w:rsidR="00B02860" w:rsidRDefault="00B02860">
            <w:pPr>
              <w:pStyle w:val="Tabell"/>
              <w:jc w:val="center"/>
            </w:pPr>
            <w:r>
              <w:t>524 013</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r>
              <w:sym w:font="Symbol" w:char="F02D"/>
            </w:r>
            <w:r>
              <w:t>30 000</w:t>
            </w: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D 4</w:t>
            </w:r>
          </w:p>
        </w:tc>
        <w:tc>
          <w:tcPr>
            <w:tcW w:w="3687" w:type="dxa"/>
          </w:tcPr>
          <w:p w:rsidR="00B02860" w:rsidRDefault="00B02860">
            <w:pPr>
              <w:pStyle w:val="Tabell"/>
            </w:pPr>
            <w:r>
              <w:t>Bidrag till Stiftelsen Sveriges teknisk-</w:t>
            </w:r>
          </w:p>
          <w:p w:rsidR="00B02860" w:rsidRDefault="00B02860">
            <w:pPr>
              <w:pStyle w:val="Tabell"/>
            </w:pPr>
            <w:r>
              <w:t xml:space="preserve">  vetenskapliga attachéverksamhet</w:t>
            </w:r>
          </w:p>
        </w:tc>
        <w:tc>
          <w:tcPr>
            <w:tcW w:w="1160" w:type="dxa"/>
          </w:tcPr>
          <w:p w:rsidR="00B02860" w:rsidRDefault="00B02860">
            <w:pPr>
              <w:pStyle w:val="Tabell"/>
              <w:jc w:val="center"/>
            </w:pPr>
          </w:p>
          <w:p w:rsidR="00B02860" w:rsidRDefault="00B02860">
            <w:pPr>
              <w:pStyle w:val="Tabell"/>
              <w:jc w:val="center"/>
            </w:pPr>
            <w:r>
              <w:t>29 892</w:t>
            </w:r>
          </w:p>
        </w:tc>
        <w:tc>
          <w:tcPr>
            <w:tcW w:w="871" w:type="dxa"/>
          </w:tcPr>
          <w:p w:rsidR="00B02860" w:rsidRDefault="00B02860">
            <w:pPr>
              <w:pStyle w:val="Tabell"/>
              <w:jc w:val="right"/>
            </w:pPr>
          </w:p>
          <w:p w:rsidR="00B02860" w:rsidRDefault="00B02860">
            <w:pPr>
              <w:pStyle w:val="Tabell"/>
              <w:jc w:val="right"/>
            </w:pPr>
            <w:r>
              <w:t>+2 000</w:t>
            </w:r>
          </w:p>
        </w:tc>
        <w:tc>
          <w:tcPr>
            <w:tcW w:w="378" w:type="dxa"/>
          </w:tcPr>
          <w:p w:rsidR="00B02860" w:rsidRDefault="00B02860">
            <w:pPr>
              <w:pStyle w:val="Tabell"/>
              <w:jc w:val="right"/>
            </w:pPr>
          </w:p>
        </w:tc>
        <w:tc>
          <w:tcPr>
            <w:tcW w:w="993" w:type="dxa"/>
          </w:tcPr>
          <w:p w:rsidR="00B02860" w:rsidRDefault="00B02860">
            <w:pPr>
              <w:pStyle w:val="Tabell"/>
              <w:jc w:val="right"/>
            </w:pPr>
          </w:p>
          <w:p w:rsidR="00B02860" w:rsidRDefault="00B02860">
            <w:pPr>
              <w:pStyle w:val="Tabell"/>
              <w:jc w:val="right"/>
            </w:pPr>
            <w:r>
              <w:t>+2 000</w:t>
            </w: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p w:rsidR="00B02860" w:rsidRDefault="00B02860">
            <w:pPr>
              <w:pStyle w:val="Tabell"/>
              <w:jc w:val="right"/>
            </w:pPr>
            <w:r>
              <w:t>+2 000</w:t>
            </w:r>
          </w:p>
        </w:tc>
      </w:tr>
      <w:tr w:rsidR="00000000">
        <w:tblPrEx>
          <w:tblCellMar>
            <w:top w:w="0" w:type="dxa"/>
            <w:bottom w:w="0" w:type="dxa"/>
          </w:tblCellMar>
        </w:tblPrEx>
        <w:trPr>
          <w:trHeight w:val="246"/>
        </w:trPr>
        <w:tc>
          <w:tcPr>
            <w:tcW w:w="739" w:type="dxa"/>
            <w:gridSpan w:val="2"/>
          </w:tcPr>
          <w:p w:rsidR="00B02860" w:rsidRDefault="00B02860">
            <w:pPr>
              <w:pStyle w:val="Tabell"/>
            </w:pPr>
            <w:r>
              <w:t>D 5</w:t>
            </w:r>
          </w:p>
        </w:tc>
        <w:tc>
          <w:tcPr>
            <w:tcW w:w="3687" w:type="dxa"/>
          </w:tcPr>
          <w:p w:rsidR="00B02860" w:rsidRDefault="00B02860">
            <w:pPr>
              <w:pStyle w:val="Tabell"/>
            </w:pPr>
            <w:r>
              <w:t>Bidrag till Ingenjörsvetenskapsakademien</w:t>
            </w:r>
          </w:p>
        </w:tc>
        <w:tc>
          <w:tcPr>
            <w:tcW w:w="1160" w:type="dxa"/>
          </w:tcPr>
          <w:p w:rsidR="00B02860" w:rsidRDefault="00B02860">
            <w:pPr>
              <w:pStyle w:val="Tabell"/>
              <w:jc w:val="center"/>
            </w:pPr>
            <w:r>
              <w:t>5 359</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r>
              <w:sym w:font="Symbol" w:char="F02D"/>
            </w:r>
            <w:r>
              <w:t>2 000</w:t>
            </w: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E 1</w:t>
            </w:r>
          </w:p>
        </w:tc>
        <w:tc>
          <w:tcPr>
            <w:tcW w:w="3687" w:type="dxa"/>
          </w:tcPr>
          <w:p w:rsidR="00B02860" w:rsidRDefault="00B02860">
            <w:pPr>
              <w:pStyle w:val="Tabell"/>
            </w:pPr>
            <w:r>
              <w:t>Kommerskollegium</w:t>
            </w:r>
          </w:p>
        </w:tc>
        <w:tc>
          <w:tcPr>
            <w:tcW w:w="1160" w:type="dxa"/>
          </w:tcPr>
          <w:p w:rsidR="00B02860" w:rsidRDefault="00B02860">
            <w:pPr>
              <w:pStyle w:val="Tabell"/>
              <w:jc w:val="center"/>
            </w:pPr>
            <w:r>
              <w:t>46 533</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E 2</w:t>
            </w:r>
          </w:p>
        </w:tc>
        <w:tc>
          <w:tcPr>
            <w:tcW w:w="3687" w:type="dxa"/>
          </w:tcPr>
          <w:p w:rsidR="00B02860" w:rsidRDefault="00B02860">
            <w:pPr>
              <w:pStyle w:val="Tabell"/>
            </w:pPr>
            <w:r>
              <w:t>Exportfrämjande verksamhet</w:t>
            </w:r>
          </w:p>
        </w:tc>
        <w:tc>
          <w:tcPr>
            <w:tcW w:w="1160" w:type="dxa"/>
          </w:tcPr>
          <w:p w:rsidR="00B02860" w:rsidRDefault="00B02860">
            <w:pPr>
              <w:pStyle w:val="Tabell"/>
              <w:jc w:val="center"/>
            </w:pPr>
            <w:r>
              <w:t>127 656</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E 3</w:t>
            </w:r>
          </w:p>
        </w:tc>
        <w:tc>
          <w:tcPr>
            <w:tcW w:w="3687" w:type="dxa"/>
          </w:tcPr>
          <w:p w:rsidR="00B02860" w:rsidRDefault="00B02860">
            <w:pPr>
              <w:pStyle w:val="Tabell"/>
            </w:pPr>
            <w:r>
              <w:t>Exportkreditnämnden</w:t>
            </w:r>
          </w:p>
        </w:tc>
        <w:tc>
          <w:tcPr>
            <w:tcW w:w="1160" w:type="dxa"/>
          </w:tcPr>
          <w:p w:rsidR="00B02860" w:rsidRDefault="00B02860">
            <w:pPr>
              <w:pStyle w:val="Tabell"/>
              <w:jc w:val="center"/>
            </w:pPr>
            <w:r>
              <w:t>50 000</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493"/>
        </w:trPr>
        <w:tc>
          <w:tcPr>
            <w:tcW w:w="739" w:type="dxa"/>
            <w:gridSpan w:val="2"/>
          </w:tcPr>
          <w:p w:rsidR="00B02860" w:rsidRDefault="00B02860">
            <w:pPr>
              <w:pStyle w:val="Tabell"/>
            </w:pPr>
            <w:r>
              <w:t>E 4</w:t>
            </w:r>
          </w:p>
        </w:tc>
        <w:tc>
          <w:tcPr>
            <w:tcW w:w="3687" w:type="dxa"/>
          </w:tcPr>
          <w:p w:rsidR="00B02860" w:rsidRDefault="00B02860">
            <w:pPr>
              <w:pStyle w:val="Tabell"/>
            </w:pPr>
            <w:r>
              <w:t xml:space="preserve">AB Svensk Exportkredits statsstödda </w:t>
            </w:r>
          </w:p>
          <w:p w:rsidR="00B02860" w:rsidRDefault="00B02860">
            <w:pPr>
              <w:pStyle w:val="Tabell"/>
            </w:pPr>
            <w:r>
              <w:t xml:space="preserve">  exportkreditgivning</w:t>
            </w:r>
          </w:p>
        </w:tc>
        <w:tc>
          <w:tcPr>
            <w:tcW w:w="1160" w:type="dxa"/>
          </w:tcPr>
          <w:p w:rsidR="00B02860" w:rsidRDefault="00B02860">
            <w:pPr>
              <w:pStyle w:val="Tabell"/>
              <w:jc w:val="center"/>
            </w:pPr>
          </w:p>
          <w:p w:rsidR="00B02860" w:rsidRDefault="00B02860">
            <w:pPr>
              <w:pStyle w:val="Tabell"/>
              <w:jc w:val="center"/>
            </w:pPr>
            <w:r>
              <w:t>9 063</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E 5</w:t>
            </w:r>
          </w:p>
        </w:tc>
        <w:tc>
          <w:tcPr>
            <w:tcW w:w="3687" w:type="dxa"/>
          </w:tcPr>
          <w:p w:rsidR="00B02860" w:rsidRDefault="00B02860">
            <w:pPr>
              <w:pStyle w:val="Tabell"/>
            </w:pPr>
            <w:r>
              <w:t>Investeringsfrämjande</w:t>
            </w:r>
          </w:p>
        </w:tc>
        <w:tc>
          <w:tcPr>
            <w:tcW w:w="1160" w:type="dxa"/>
          </w:tcPr>
          <w:p w:rsidR="00B02860" w:rsidRDefault="00B02860">
            <w:pPr>
              <w:pStyle w:val="Tabell"/>
              <w:jc w:val="center"/>
            </w:pPr>
            <w:r>
              <w:t>39 168</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r>
              <w:sym w:font="Symbol" w:char="F02D"/>
            </w:r>
            <w:r>
              <w:t>39 000</w:t>
            </w: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F 1</w:t>
            </w:r>
          </w:p>
        </w:tc>
        <w:tc>
          <w:tcPr>
            <w:tcW w:w="3687" w:type="dxa"/>
          </w:tcPr>
          <w:p w:rsidR="00B02860" w:rsidRDefault="00B02860">
            <w:pPr>
              <w:pStyle w:val="Tabell"/>
            </w:pPr>
            <w:r>
              <w:t>Marknadsdomstolen</w:t>
            </w:r>
          </w:p>
        </w:tc>
        <w:tc>
          <w:tcPr>
            <w:tcW w:w="1160" w:type="dxa"/>
          </w:tcPr>
          <w:p w:rsidR="00B02860" w:rsidRDefault="00B02860">
            <w:pPr>
              <w:pStyle w:val="Tabell"/>
              <w:jc w:val="center"/>
            </w:pPr>
            <w:r>
              <w:t>4 686</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F 2</w:t>
            </w:r>
          </w:p>
        </w:tc>
        <w:tc>
          <w:tcPr>
            <w:tcW w:w="3687" w:type="dxa"/>
          </w:tcPr>
          <w:p w:rsidR="00B02860" w:rsidRDefault="00B02860">
            <w:pPr>
              <w:pStyle w:val="Tabell"/>
            </w:pPr>
            <w:r>
              <w:t>Konsumentverket</w:t>
            </w:r>
          </w:p>
        </w:tc>
        <w:tc>
          <w:tcPr>
            <w:tcW w:w="1160" w:type="dxa"/>
          </w:tcPr>
          <w:p w:rsidR="00B02860" w:rsidRDefault="00B02860">
            <w:pPr>
              <w:pStyle w:val="Tabell"/>
              <w:jc w:val="center"/>
            </w:pPr>
            <w:r>
              <w:t>67 876</w:t>
            </w:r>
          </w:p>
        </w:tc>
        <w:tc>
          <w:tcPr>
            <w:tcW w:w="871" w:type="dxa"/>
          </w:tcPr>
          <w:p w:rsidR="00B02860" w:rsidRDefault="00B02860">
            <w:pPr>
              <w:pStyle w:val="Tabell"/>
              <w:jc w:val="right"/>
            </w:pPr>
            <w:r>
              <w:sym w:font="Symbol" w:char="F02D"/>
            </w:r>
            <w:r>
              <w:t>10 000</w:t>
            </w: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r>
              <w:t>+20 000</w:t>
            </w:r>
          </w:p>
        </w:tc>
        <w:tc>
          <w:tcPr>
            <w:tcW w:w="992" w:type="dxa"/>
          </w:tcPr>
          <w:p w:rsidR="00B02860" w:rsidRDefault="00B02860">
            <w:pPr>
              <w:pStyle w:val="Tabell"/>
              <w:jc w:val="right"/>
            </w:pPr>
          </w:p>
        </w:tc>
        <w:tc>
          <w:tcPr>
            <w:tcW w:w="852" w:type="dxa"/>
          </w:tcPr>
          <w:p w:rsidR="00B02860" w:rsidRDefault="00B02860">
            <w:pPr>
              <w:pStyle w:val="Tabell"/>
              <w:jc w:val="right"/>
            </w:pPr>
            <w:r>
              <w:sym w:font="Symbol" w:char="F02D"/>
            </w:r>
            <w:r>
              <w:t>3 000</w:t>
            </w:r>
          </w:p>
        </w:tc>
      </w:tr>
      <w:tr w:rsidR="00000000">
        <w:tblPrEx>
          <w:tblCellMar>
            <w:top w:w="0" w:type="dxa"/>
            <w:bottom w:w="0" w:type="dxa"/>
          </w:tblCellMar>
        </w:tblPrEx>
        <w:trPr>
          <w:trHeight w:val="246"/>
        </w:trPr>
        <w:tc>
          <w:tcPr>
            <w:tcW w:w="739" w:type="dxa"/>
            <w:gridSpan w:val="2"/>
          </w:tcPr>
          <w:p w:rsidR="00B02860" w:rsidRDefault="00B02860">
            <w:pPr>
              <w:pStyle w:val="Tabell"/>
            </w:pPr>
            <w:r>
              <w:t>F 3</w:t>
            </w:r>
          </w:p>
        </w:tc>
        <w:tc>
          <w:tcPr>
            <w:tcW w:w="3687" w:type="dxa"/>
          </w:tcPr>
          <w:p w:rsidR="00B02860" w:rsidRDefault="00B02860">
            <w:pPr>
              <w:pStyle w:val="Tabell"/>
            </w:pPr>
            <w:r>
              <w:t>Allmänna reklamationsnämnden</w:t>
            </w:r>
          </w:p>
        </w:tc>
        <w:tc>
          <w:tcPr>
            <w:tcW w:w="1160" w:type="dxa"/>
          </w:tcPr>
          <w:p w:rsidR="00B02860" w:rsidRDefault="00B02860">
            <w:pPr>
              <w:pStyle w:val="Tabell"/>
              <w:jc w:val="center"/>
            </w:pPr>
            <w:r>
              <w:t>13 560</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F 4</w:t>
            </w:r>
          </w:p>
        </w:tc>
        <w:tc>
          <w:tcPr>
            <w:tcW w:w="3687" w:type="dxa"/>
          </w:tcPr>
          <w:p w:rsidR="00B02860" w:rsidRDefault="00B02860">
            <w:pPr>
              <w:pStyle w:val="Tabell"/>
            </w:pPr>
            <w:r>
              <w:t>Fastighetsmäklarnämnden</w:t>
            </w:r>
          </w:p>
        </w:tc>
        <w:tc>
          <w:tcPr>
            <w:tcW w:w="1160" w:type="dxa"/>
          </w:tcPr>
          <w:p w:rsidR="00B02860" w:rsidRDefault="00B02860">
            <w:pPr>
              <w:pStyle w:val="Tabell"/>
              <w:jc w:val="center"/>
            </w:pPr>
            <w:r>
              <w:t>6 068</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F 5</w:t>
            </w:r>
          </w:p>
        </w:tc>
        <w:tc>
          <w:tcPr>
            <w:tcW w:w="3687" w:type="dxa"/>
          </w:tcPr>
          <w:p w:rsidR="00B02860" w:rsidRDefault="00B02860">
            <w:pPr>
              <w:pStyle w:val="Tabell"/>
            </w:pPr>
            <w:r>
              <w:t>Stöd till konsumentorganisationer</w:t>
            </w:r>
          </w:p>
        </w:tc>
        <w:tc>
          <w:tcPr>
            <w:tcW w:w="1160" w:type="dxa"/>
          </w:tcPr>
          <w:p w:rsidR="00B02860" w:rsidRDefault="00B02860">
            <w:pPr>
              <w:pStyle w:val="Tabell"/>
              <w:jc w:val="center"/>
            </w:pPr>
            <w:r>
              <w:t>4 100</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r>
              <w:t>+2 000</w:t>
            </w: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F 6</w:t>
            </w:r>
          </w:p>
        </w:tc>
        <w:tc>
          <w:tcPr>
            <w:tcW w:w="3687" w:type="dxa"/>
          </w:tcPr>
          <w:p w:rsidR="00B02860" w:rsidRDefault="00B02860">
            <w:pPr>
              <w:pStyle w:val="Tabell"/>
            </w:pPr>
            <w:r>
              <w:t>Stöd till konsumentforskning</w:t>
            </w:r>
          </w:p>
        </w:tc>
        <w:tc>
          <w:tcPr>
            <w:tcW w:w="1160" w:type="dxa"/>
          </w:tcPr>
          <w:p w:rsidR="00B02860" w:rsidRDefault="00B02860">
            <w:pPr>
              <w:pStyle w:val="Tabell"/>
              <w:jc w:val="center"/>
            </w:pPr>
            <w:r>
              <w:t>2 114</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F 7</w:t>
            </w:r>
          </w:p>
        </w:tc>
        <w:tc>
          <w:tcPr>
            <w:tcW w:w="3687" w:type="dxa"/>
          </w:tcPr>
          <w:p w:rsidR="00B02860" w:rsidRDefault="00B02860">
            <w:pPr>
              <w:pStyle w:val="Tabell"/>
            </w:pPr>
            <w:r>
              <w:t>Bidrag till miljömärkning av produkter</w:t>
            </w:r>
          </w:p>
        </w:tc>
        <w:tc>
          <w:tcPr>
            <w:tcW w:w="1160" w:type="dxa"/>
          </w:tcPr>
          <w:p w:rsidR="00B02860" w:rsidRDefault="00B02860">
            <w:pPr>
              <w:pStyle w:val="Tabell"/>
              <w:jc w:val="center"/>
            </w:pPr>
            <w:r>
              <w:t>4 600</w:t>
            </w: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r w:rsidR="00000000">
        <w:tblPrEx>
          <w:tblCellMar>
            <w:top w:w="0" w:type="dxa"/>
            <w:bottom w:w="0" w:type="dxa"/>
          </w:tblCellMar>
        </w:tblPrEx>
        <w:trPr>
          <w:trHeight w:val="246"/>
        </w:trPr>
        <w:tc>
          <w:tcPr>
            <w:tcW w:w="739" w:type="dxa"/>
            <w:gridSpan w:val="2"/>
          </w:tcPr>
          <w:p w:rsidR="00B02860" w:rsidRDefault="00B02860">
            <w:pPr>
              <w:pStyle w:val="Tabell"/>
            </w:pPr>
            <w:r>
              <w:t>F 8</w:t>
            </w:r>
          </w:p>
        </w:tc>
        <w:tc>
          <w:tcPr>
            <w:tcW w:w="3687" w:type="dxa"/>
          </w:tcPr>
          <w:p w:rsidR="00B02860" w:rsidRDefault="00B02860">
            <w:pPr>
              <w:pStyle w:val="Tabell"/>
            </w:pPr>
            <w:r>
              <w:t>Nytt anslag: Hushållstjänster</w:t>
            </w:r>
          </w:p>
        </w:tc>
        <w:tc>
          <w:tcPr>
            <w:tcW w:w="1160" w:type="dxa"/>
          </w:tcPr>
          <w:p w:rsidR="00B02860" w:rsidRDefault="00B02860">
            <w:pPr>
              <w:pStyle w:val="Tabell"/>
              <w:jc w:val="center"/>
            </w:pP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r>
              <w:t>+250 000</w:t>
            </w:r>
          </w:p>
        </w:tc>
      </w:tr>
      <w:tr w:rsidR="00000000">
        <w:tblPrEx>
          <w:tblCellMar>
            <w:top w:w="0" w:type="dxa"/>
            <w:bottom w:w="0" w:type="dxa"/>
          </w:tblCellMar>
        </w:tblPrEx>
        <w:trPr>
          <w:trHeight w:val="246"/>
        </w:trPr>
        <w:tc>
          <w:tcPr>
            <w:tcW w:w="4426" w:type="dxa"/>
            <w:hMerge w:val="restart"/>
            <w:tcBorders>
              <w:bottom w:val="single" w:sz="6" w:space="0" w:color="auto"/>
            </w:tcBorders>
          </w:tcPr>
          <w:p w:rsidR="00B02860" w:rsidRDefault="00B02860">
            <w:pPr>
              <w:pStyle w:val="Tabell"/>
              <w:rPr>
                <w:b/>
              </w:rPr>
            </w:pPr>
            <w:r>
              <w:rPr>
                <w:b/>
              </w:rPr>
              <w:t>TOTAL</w:t>
            </w:r>
          </w:p>
        </w:tc>
        <w:tc>
          <w:tcPr>
            <w:gridSpan w:val="2"/>
            <w:hMerge/>
            <w:tcBorders>
              <w:bottom w:val="single" w:sz="6" w:space="0" w:color="auto"/>
            </w:tcBorders>
          </w:tcPr>
          <w:p w:rsidR="00B02860" w:rsidRDefault="00B02860">
            <w:pPr>
              <w:pStyle w:val="Tabell"/>
            </w:pPr>
          </w:p>
        </w:tc>
        <w:tc>
          <w:tcPr>
            <w:tcW w:w="1160" w:type="dxa"/>
            <w:tcBorders>
              <w:bottom w:val="single" w:sz="6" w:space="0" w:color="auto"/>
            </w:tcBorders>
          </w:tcPr>
          <w:p w:rsidR="00B02860" w:rsidRDefault="00B02860">
            <w:pPr>
              <w:pStyle w:val="Tabell"/>
              <w:jc w:val="center"/>
              <w:rPr>
                <w:b/>
              </w:rPr>
            </w:pPr>
            <w:r>
              <w:rPr>
                <w:b/>
              </w:rPr>
              <w:t>2 698 330</w:t>
            </w:r>
          </w:p>
        </w:tc>
        <w:tc>
          <w:tcPr>
            <w:tcW w:w="871" w:type="dxa"/>
            <w:tcBorders>
              <w:bottom w:val="single" w:sz="6" w:space="0" w:color="auto"/>
            </w:tcBorders>
          </w:tcPr>
          <w:p w:rsidR="00B02860" w:rsidRDefault="00B02860">
            <w:pPr>
              <w:pStyle w:val="Tabell"/>
              <w:jc w:val="right"/>
              <w:rPr>
                <w:b/>
              </w:rPr>
            </w:pPr>
            <w:r>
              <w:rPr>
                <w:b/>
              </w:rPr>
              <w:t>+139 500</w:t>
            </w:r>
          </w:p>
        </w:tc>
        <w:tc>
          <w:tcPr>
            <w:tcW w:w="378" w:type="dxa"/>
            <w:tcBorders>
              <w:bottom w:val="single" w:sz="6" w:space="0" w:color="auto"/>
            </w:tcBorders>
          </w:tcPr>
          <w:p w:rsidR="00B02860" w:rsidRDefault="00B02860">
            <w:pPr>
              <w:pStyle w:val="Tabell"/>
              <w:jc w:val="right"/>
              <w:rPr>
                <w:b/>
              </w:rPr>
            </w:pPr>
            <w:r>
              <w:rPr>
                <w:b/>
              </w:rPr>
              <w:t>±0</w:t>
            </w:r>
          </w:p>
        </w:tc>
        <w:tc>
          <w:tcPr>
            <w:tcW w:w="993" w:type="dxa"/>
            <w:tcBorders>
              <w:bottom w:val="single" w:sz="6" w:space="0" w:color="auto"/>
            </w:tcBorders>
          </w:tcPr>
          <w:p w:rsidR="00B02860" w:rsidRDefault="00B02860">
            <w:pPr>
              <w:pStyle w:val="Tabell"/>
              <w:jc w:val="right"/>
              <w:rPr>
                <w:b/>
              </w:rPr>
            </w:pPr>
            <w:r>
              <w:rPr>
                <w:b/>
              </w:rPr>
              <w:t>+118 000</w:t>
            </w:r>
          </w:p>
        </w:tc>
        <w:tc>
          <w:tcPr>
            <w:tcW w:w="992" w:type="dxa"/>
            <w:tcBorders>
              <w:bottom w:val="single" w:sz="6" w:space="0" w:color="auto"/>
            </w:tcBorders>
          </w:tcPr>
          <w:p w:rsidR="00B02860" w:rsidRDefault="00B02860">
            <w:pPr>
              <w:pStyle w:val="Tabell"/>
              <w:jc w:val="right"/>
              <w:rPr>
                <w:b/>
              </w:rPr>
            </w:pPr>
            <w:r>
              <w:rPr>
                <w:b/>
              </w:rPr>
              <w:t>+350 000</w:t>
            </w:r>
          </w:p>
        </w:tc>
        <w:tc>
          <w:tcPr>
            <w:tcW w:w="992" w:type="dxa"/>
            <w:tcBorders>
              <w:bottom w:val="single" w:sz="6" w:space="0" w:color="auto"/>
            </w:tcBorders>
          </w:tcPr>
          <w:p w:rsidR="00B02860" w:rsidRDefault="00B02860">
            <w:pPr>
              <w:pStyle w:val="Tabell"/>
              <w:jc w:val="right"/>
              <w:rPr>
                <w:b/>
              </w:rPr>
            </w:pPr>
            <w:r>
              <w:rPr>
                <w:b/>
              </w:rPr>
              <w:sym w:font="Symbol" w:char="F02D"/>
            </w:r>
            <w:r>
              <w:rPr>
                <w:b/>
              </w:rPr>
              <w:t>193 000</w:t>
            </w:r>
          </w:p>
        </w:tc>
        <w:tc>
          <w:tcPr>
            <w:tcW w:w="852" w:type="dxa"/>
            <w:tcBorders>
              <w:bottom w:val="single" w:sz="6" w:space="0" w:color="auto"/>
            </w:tcBorders>
          </w:tcPr>
          <w:p w:rsidR="00B02860" w:rsidRDefault="00B02860">
            <w:pPr>
              <w:pStyle w:val="Tabell"/>
              <w:jc w:val="right"/>
              <w:rPr>
                <w:b/>
              </w:rPr>
            </w:pPr>
            <w:r>
              <w:rPr>
                <w:b/>
              </w:rPr>
              <w:t>+337 000</w:t>
            </w:r>
          </w:p>
        </w:tc>
      </w:tr>
      <w:tr w:rsidR="00000000">
        <w:tblPrEx>
          <w:tblCellMar>
            <w:top w:w="0" w:type="dxa"/>
            <w:bottom w:w="0" w:type="dxa"/>
          </w:tblCellMar>
        </w:tblPrEx>
        <w:trPr>
          <w:trHeight w:val="246"/>
        </w:trPr>
        <w:tc>
          <w:tcPr>
            <w:tcW w:w="739" w:type="dxa"/>
            <w:gridSpan w:val="2"/>
          </w:tcPr>
          <w:p w:rsidR="00B02860" w:rsidRDefault="00B02860">
            <w:pPr>
              <w:pStyle w:val="Tabell"/>
            </w:pPr>
          </w:p>
        </w:tc>
        <w:tc>
          <w:tcPr>
            <w:tcW w:w="3687" w:type="dxa"/>
          </w:tcPr>
          <w:p w:rsidR="00B02860" w:rsidRDefault="00B02860">
            <w:pPr>
              <w:pStyle w:val="Tabell"/>
            </w:pPr>
          </w:p>
        </w:tc>
        <w:tc>
          <w:tcPr>
            <w:tcW w:w="1160" w:type="dxa"/>
          </w:tcPr>
          <w:p w:rsidR="00B02860" w:rsidRDefault="00B02860">
            <w:pPr>
              <w:pStyle w:val="Tabell"/>
              <w:jc w:val="center"/>
            </w:pPr>
          </w:p>
        </w:tc>
        <w:tc>
          <w:tcPr>
            <w:tcW w:w="871" w:type="dxa"/>
          </w:tcPr>
          <w:p w:rsidR="00B02860" w:rsidRDefault="00B02860">
            <w:pPr>
              <w:pStyle w:val="Tabell"/>
              <w:jc w:val="right"/>
            </w:pPr>
          </w:p>
        </w:tc>
        <w:tc>
          <w:tcPr>
            <w:tcW w:w="378" w:type="dxa"/>
          </w:tcPr>
          <w:p w:rsidR="00B02860" w:rsidRDefault="00B02860">
            <w:pPr>
              <w:pStyle w:val="Tabell"/>
              <w:jc w:val="right"/>
            </w:pPr>
          </w:p>
        </w:tc>
        <w:tc>
          <w:tcPr>
            <w:tcW w:w="993" w:type="dxa"/>
          </w:tcPr>
          <w:p w:rsidR="00B02860" w:rsidRDefault="00B02860">
            <w:pPr>
              <w:pStyle w:val="Tabell"/>
              <w:jc w:val="right"/>
            </w:pPr>
          </w:p>
        </w:tc>
        <w:tc>
          <w:tcPr>
            <w:tcW w:w="992" w:type="dxa"/>
          </w:tcPr>
          <w:p w:rsidR="00B02860" w:rsidRDefault="00B02860">
            <w:pPr>
              <w:pStyle w:val="Tabell"/>
              <w:jc w:val="right"/>
            </w:pPr>
          </w:p>
        </w:tc>
        <w:tc>
          <w:tcPr>
            <w:tcW w:w="992" w:type="dxa"/>
          </w:tcPr>
          <w:p w:rsidR="00B02860" w:rsidRDefault="00B02860">
            <w:pPr>
              <w:pStyle w:val="Tabell"/>
              <w:jc w:val="right"/>
            </w:pPr>
          </w:p>
        </w:tc>
        <w:tc>
          <w:tcPr>
            <w:tcW w:w="852" w:type="dxa"/>
          </w:tcPr>
          <w:p w:rsidR="00B02860" w:rsidRDefault="00B02860">
            <w:pPr>
              <w:pStyle w:val="Tabell"/>
              <w:jc w:val="right"/>
            </w:pPr>
          </w:p>
        </w:tc>
      </w:tr>
    </w:tbl>
    <w:p w:rsidR="00B02860" w:rsidRDefault="00B02860">
      <w:pPr>
        <w:pStyle w:val="Normaltindrag"/>
        <w:keepNext/>
        <w:keepLines/>
        <w:suppressAutoHyphens/>
        <w:spacing w:before="360" w:line="256" w:lineRule="exact"/>
        <w:ind w:firstLine="0"/>
        <w:jc w:val="left"/>
        <w:sectPr w:rsidR="00000000">
          <w:headerReference w:type="default" r:id="rId13"/>
          <w:footerReference w:type="default" r:id="rId14"/>
          <w:endnotePr>
            <w:numFmt w:val="decimal"/>
            <w:numRestart w:val="eachSect"/>
          </w:endnotePr>
          <w:pgSz w:w="16840" w:h="11907" w:orient="landscape" w:code="9"/>
          <w:pgMar w:top="1134" w:right="567" w:bottom="4876" w:left="4508" w:header="0" w:footer="0" w:gutter="0"/>
          <w:cols w:space="397"/>
        </w:sectPr>
      </w:pPr>
    </w:p>
    <w:p w:rsidR="00B02860" w:rsidRDefault="00B02860">
      <w:pPr>
        <w:pStyle w:val="Normaltindrag"/>
        <w:keepNext/>
        <w:keepLines/>
        <w:suppressAutoHyphens/>
        <w:spacing w:before="360" w:line="256" w:lineRule="exact"/>
        <w:ind w:firstLine="0"/>
        <w:jc w:val="lef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p>
    <w:p w:rsidR="00B02860" w:rsidRDefault="00B02860">
      <w:pPr>
        <w:pStyle w:val="Tryckort"/>
      </w:pPr>
      <w:r>
        <w:t>Gotab, Stockholm  1997</w:t>
      </w:r>
    </w:p>
    <w:sectPr w:rsidR="00B02860">
      <w:headerReference w:type="default" r:id="rId15"/>
      <w:footerReference w:type="default" r:id="rId16"/>
      <w:endnotePr>
        <w:numFmt w:val="decimal"/>
        <w:numRestart w:val="eachSect"/>
      </w:endnotePr>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860" w:rsidRDefault="00B02860">
      <w:pPr>
        <w:spacing w:before="0" w:line="240" w:lineRule="auto"/>
      </w:pPr>
      <w:r>
        <w:separator/>
      </w:r>
    </w:p>
  </w:endnote>
  <w:endnote w:type="continuationSeparator" w:id="0">
    <w:p w:rsidR="00B02860" w:rsidRDefault="00B028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13</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fotH"/>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860" w:rsidRDefault="00B02860">
      <w:pPr>
        <w:spacing w:before="0" w:line="240" w:lineRule="auto"/>
      </w:pPr>
      <w:r>
        <w:separator/>
      </w:r>
    </w:p>
  </w:footnote>
  <w:footnote w:type="continuationSeparator" w:id="0">
    <w:p w:rsidR="00B02860" w:rsidRDefault="00B028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huvudKant"/>
      <w:framePr w:hSpace="284" w:wrap="around"/>
    </w:pPr>
    <w:r>
      <w:rPr>
        <w:sz w:val="21"/>
      </w:rPr>
      <w:t>1997/98:NU1y</w:t>
    </w:r>
  </w:p>
  <w:p w:rsidR="00B02860" w:rsidRDefault="00B02860">
    <w:pPr>
      <w:pStyle w:val="SidhuvudKant"/>
      <w:framePr w:hSpace="284" w:wrap="around"/>
      <w:rPr>
        <w:vanish/>
      </w:rPr>
    </w:pPr>
    <w:r>
      <w:rPr>
        <w:vanish/>
      </w:rPr>
      <w:t>&gt;B</w:t>
    </w:r>
  </w:p>
  <w:p w:rsidR="00B02860" w:rsidRDefault="00B02860">
    <w:pPr>
      <w:pStyle w:val="SidhuvudKant"/>
      <w:framePr w:hSpace="284" w:wrap="around"/>
    </w:pPr>
    <w:r>
      <w:rPr>
        <w:vanish/>
      </w:rPr>
      <w:t>&gt;U</w:t>
    </w:r>
  </w:p>
  <w:p w:rsidR="00B02860" w:rsidRDefault="00B028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52" r:id="rId2"/>
      </w:object>
    </w:r>
  </w:p>
  <w:p w:rsidR="00B02860" w:rsidRDefault="00B02860">
    <w:pPr>
      <w:pStyle w:val="SidhuvudFVapen"/>
      <w:framePr w:wrap="notBeside" w:x="7253" w:y="188"/>
      <w:spacing w:line="230" w:lineRule="auto"/>
      <w:rPr>
        <w:sz w:val="24"/>
      </w:rPr>
    </w:pPr>
    <w:bookmarkStart w:id="4" w:name="BnrVapen"/>
    <w:r>
      <w:rPr>
        <w:sz w:val="24"/>
      </w:rPr>
      <w:t>1997/98</w:t>
    </w:r>
  </w:p>
  <w:p w:rsidR="00B02860" w:rsidRDefault="00B02860">
    <w:pPr>
      <w:pStyle w:val="SidhuvudFVapen"/>
      <w:framePr w:wrap="notBeside" w:x="7253" w:y="188"/>
      <w:spacing w:line="230" w:lineRule="auto"/>
      <w:rPr>
        <w:sz w:val="24"/>
      </w:rPr>
    </w:pPr>
    <w:r>
      <w:rPr>
        <w:sz w:val="24"/>
      </w:rPr>
      <w:t xml:space="preserve">NU1y </w:t>
    </w:r>
    <w:bookmarkEnd w:id="4"/>
    <w:r w:rsidR="001155F8">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5854756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B25EAC"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02860" w:rsidRDefault="00B02860">
    <w:pPr>
      <w:pStyle w:val="SidhuvudFText"/>
      <w:framePr w:w="5727" w:h="2722" w:hRule="exact" w:hSpace="0" w:wrap="notBeside" w:hAnchor="page" w:x="1135" w:y="568"/>
      <w:spacing w:line="400" w:lineRule="exact"/>
      <w:ind w:right="629"/>
      <w:rPr>
        <w:sz w:val="36"/>
      </w:rPr>
    </w:pPr>
    <w:bookmarkStart w:id="5" w:name="DokumentTyp"/>
    <w:r>
      <w:rPr>
        <w:sz w:val="36"/>
      </w:rPr>
      <w:t xml:space="preserve">Näringsutskottets yttrande </w:t>
    </w:r>
    <w:bookmarkEnd w:id="5"/>
  </w:p>
  <w:p w:rsidR="00B02860" w:rsidRDefault="00B02860">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1997/98:NU1y </w:t>
    </w:r>
    <w:bookmarkEnd w:id="6"/>
    <w:r>
      <w:rPr>
        <w:sz w:val="36"/>
      </w:rPr>
      <w:t xml:space="preserve">       </w:t>
    </w:r>
    <w:bookmarkStart w:id="7" w:name="Utkast"/>
    <w:r>
      <w:rPr>
        <w:sz w:val="36"/>
      </w:rPr>
      <w:t xml:space="preserve"> </w:t>
    </w:r>
  </w:p>
  <w:p w:rsidR="00B02860" w:rsidRDefault="00B02860">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 xml:space="preserve">Utgiftsramar för Energi och Näringsliv (utgiftsområdena 21 och 24)  </w:t>
    </w:r>
    <w:r>
      <w:rPr>
        <w:sz w:val="26"/>
      </w:rPr>
      <w:t xml:space="preserve"> </w:t>
    </w:r>
    <w:bookmarkEnd w:id="8"/>
    <w:r>
      <w:rPr>
        <w:sz w:val="26"/>
      </w:rPr>
      <w:t xml:space="preserve"> </w:t>
    </w:r>
  </w:p>
  <w:p w:rsidR="00B02860" w:rsidRDefault="00B02860">
    <w:pPr>
      <w:pStyle w:val="SidhuvudFText"/>
      <w:framePr w:w="5727" w:h="2722" w:hRule="exact" w:hSpace="0" w:wrap="notBeside" w:hAnchor="page" w:x="1135" w:y="568"/>
      <w:spacing w:line="460" w:lineRule="exact"/>
      <w:ind w:right="629"/>
      <w:rPr>
        <w:sz w:val="36"/>
      </w:rPr>
    </w:pPr>
  </w:p>
  <w:p w:rsidR="00B02860" w:rsidRDefault="00B02860">
    <w:pPr>
      <w:pStyle w:val="SidhuvudFText"/>
      <w:framePr w:w="5727" w:h="2722" w:hRule="exact" w:hSpace="0" w:wrap="notBeside" w:hAnchor="page" w:x="1135" w:y="568"/>
      <w:spacing w:before="40" w:after="900" w:line="300" w:lineRule="exact"/>
      <w:ind w:right="629"/>
      <w:rPr>
        <w:sz w:val="26"/>
      </w:rPr>
    </w:pPr>
    <w:r>
      <w:rPr>
        <w:sz w:val="26"/>
      </w:rPr>
      <w:t xml:space="preserve"> </w:t>
    </w:r>
  </w:p>
  <w:p w:rsidR="00B02860" w:rsidRDefault="00B02860">
    <w:pPr>
      <w:pStyle w:val="SidhuvudFText"/>
      <w:framePr w:hSpace="0" w:wrap="auto" w:vAnchor="margin" w:yAlign="inline"/>
      <w:spacing w:line="400" w:lineRule="exact"/>
      <w:ind w:right="629"/>
    </w:pPr>
  </w:p>
  <w:p w:rsidR="00B02860" w:rsidRDefault="00B028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huvudKant"/>
      <w:framePr w:wrap="notBeside"/>
      <w:rPr>
        <w:sz w:val="21"/>
      </w:rPr>
    </w:pPr>
    <w:r>
      <w:rPr>
        <w:sz w:val="21"/>
      </w:rPr>
      <w:t>1997/98:NU1y</w:t>
    </w:r>
  </w:p>
  <w:p w:rsidR="00B02860" w:rsidRDefault="00B02860">
    <w:pPr>
      <w:pStyle w:val="SidhuvudKant"/>
      <w:framePr w:wrap="notBeside"/>
      <w:rPr>
        <w:sz w:val="20"/>
      </w:rPr>
    </w:pPr>
    <w:r>
      <w:rPr>
        <w:vanish/>
      </w:rPr>
      <w:t>&gt;B</w:t>
    </w:r>
    <w:r>
      <w:t>B</w:t>
    </w:r>
    <w:r>
      <w:rPr>
        <w:sz w:val="20"/>
      </w:rPr>
      <w:t>ilaga 1</w:t>
    </w:r>
  </w:p>
  <w:p w:rsidR="00B02860" w:rsidRDefault="00B02860">
    <w:pPr>
      <w:pStyle w:val="SidhuvudKant"/>
      <w:framePr w:wrap="notBeside"/>
      <w:rPr>
        <w:sz w:val="21"/>
      </w:rPr>
    </w:pPr>
    <w:r>
      <w:rPr>
        <w:vanish/>
        <w:sz w:val="20"/>
      </w:rPr>
      <w:t>&gt;U</w:t>
    </w:r>
  </w:p>
  <w:p w:rsidR="00B02860" w:rsidRDefault="00B02860">
    <w:pPr>
      <w:pStyle w:val="SidhuvudKant"/>
      <w:framePr w:wrap="notBesid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huvud"/>
    </w:pPr>
    <w:r>
      <w:fldChar w:fldCharType="begin" w:fldLock="1"/>
    </w:r>
    <w:r>
      <w:instrText xml:space="preserve"> </w:instrText>
    </w:r>
    <w:r>
      <w:instrText>PRINT</w:instrText>
    </w:r>
    <w:r>
      <w:instrText xml:space="preserve"> \p page "/titel {(1997/98:NU1y)} def /bilaga {(Bilaga 2)} def /Times-Roman findfont 10.5 scalefont setfont 369.07 801.29 moveto titel show /Times-Roman findfont 10 scalefont setfont 369.07 801.29 moveto 0 -12.25 rmoveto bilaga show" </w:instrText>
    </w:r>
    <w:r>
      <w:fldChar w:fldCharType="end"/>
    </w:r>
    <w:r>
      <w:fldChar w:fldCharType="begin" w:fldLock="1"/>
    </w:r>
    <w:r>
      <w:instrText xml:space="preserve"> </w:instrText>
    </w:r>
    <w:r>
      <w:instrText>PRINT</w:instrText>
    </w:r>
    <w:r>
      <w:instrText xml:space="preserve"> \p page "/pageno {wp$fpage} def /Times-Roman findfont 9.5 scalefont setfont /stringlength {pageno stringwidth pop} def 447.59 stringlength sub 226.77 moveto pageno show " </w:instrText>
    </w:r>
    <w:r>
      <w:fldChar w:fldCharType="end"/>
    </w:r>
  </w:p>
  <w:p w:rsidR="00B02860" w:rsidRDefault="00B0286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huvud"/>
    </w:pPr>
    <w:r>
      <w:fldChar w:fldCharType="begin" w:fldLock="1"/>
    </w:r>
    <w:r>
      <w:instrText xml:space="preserve"> </w:instrText>
    </w:r>
    <w:r>
      <w:instrText>PRINT</w:instrText>
    </w:r>
    <w:r>
      <w:instrText xml:space="preserve"> \p page "/titel {(1997/98:NU1y)} def /bilaga {(Bilaga 3)} def /Times-Roman findfont 10.5 scalefont setfont 369.07 801.29 moveto titel show /Times-Roman findfont 10 scalefont setfont 369.07 801.29 moveto 0 -12.25 rmoveto bilaga show" </w:instrText>
    </w:r>
    <w:r>
      <w:fldChar w:fldCharType="end"/>
    </w:r>
    <w:r>
      <w:fldChar w:fldCharType="begin" w:fldLock="1"/>
    </w:r>
    <w:r>
      <w:instrText xml:space="preserve"> </w:instrText>
    </w:r>
    <w:r>
      <w:instrText>PRINT</w:instrText>
    </w:r>
    <w:r>
      <w:instrText xml:space="preserve"> \p page "/pageno {wp$fpage} def /Times-Roman findfont 9.5 scalefont setfont /stringlength {pageno stringwidth pop} def 447.59 stringlength sub 226.77 moveto pageno show " </w:instrText>
    </w:r>
    <w:r>
      <w:fldChar w:fldCharType="end"/>
    </w:r>
  </w:p>
  <w:p w:rsidR="00B02860" w:rsidRDefault="00B02860">
    <w:pPr>
      <w:pStyle w:val="Sidhuvud"/>
    </w:pPr>
  </w:p>
  <w:p w:rsidR="00B02860" w:rsidRDefault="00B02860">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860" w:rsidRDefault="00B02860">
    <w:pPr>
      <w:pStyle w:val="SidhuvudKant"/>
      <w:framePr w:wrap="notBeside"/>
      <w:rPr>
        <w:sz w:val="21"/>
      </w:rPr>
    </w:pPr>
  </w:p>
  <w:p w:rsidR="00B02860" w:rsidRDefault="00B02860">
    <w:pPr>
      <w:pStyle w:val="SidhuvudKant"/>
      <w:framePr w:wrap="notBesid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pos w:val="sectEnd"/>
    <w:numFmt w:val="decimal"/>
    <w:numRestart w:val="eachSect"/>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1y"/>
    <w:docVar w:name="Flyttförsök" w:val="JA"/>
    <w:docVar w:name="HelaNamnet" w:val="1997/98:NU1y"/>
    <w:docVar w:name="NR" w:val="1y"/>
    <w:docVar w:name="RUBRIK" w:val="Utgiftsramar för Energi och Näringsliv (utgiftsområdena 21 och 24)  "/>
    <w:docVar w:name="SkapVERSION" w:val="V7.4 970430"/>
    <w:docVar w:name="SkapÅr" w:val="9798"/>
    <w:docVar w:name="Typer" w:val="SSS"/>
    <w:docVar w:name="USK" w:val="NU"/>
    <w:docVar w:name="USKKORT" w:val="NU"/>
    <w:docVar w:name="USKNAMN" w:val="Näringsutskottets"/>
    <w:docVar w:name="USKNAMNG" w:val="näringsutskottets"/>
    <w:docVar w:name="Utkast" w:val="Utkast "/>
    <w:docVar w:name="ÅR" w:val="1997/98"/>
  </w:docVars>
  <w:rsids>
    <w:rsidRoot w:val="005B750B"/>
    <w:rsid w:val="001155F8"/>
    <w:rsid w:val="005B750B"/>
    <w:rsid w:val="00B028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335F7C-97DA-450D-8793-BC604BA1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5459</Words>
  <Characters>32428</Characters>
  <Application>Microsoft Office Word</Application>
  <DocSecurity>4</DocSecurity>
  <Lines>1297</Lines>
  <Paragraphs>511</Paragraphs>
  <ScaleCrop>false</ScaleCrop>
  <Company/>
  <LinksUpToDate>false</LinksUpToDate>
  <CharactersWithSpaces>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1y</dc:title>
  <dc:subject>Näringsutskottets betänkande nr 1y</dc:subject>
  <dc:creator>Riksdagen</dc:creator>
  <cp:keywords>Riksdagen</cp:keywords>
  <cp:lastModifiedBy>Lars Brink</cp:lastModifiedBy>
  <cp:revision>2</cp:revision>
  <cp:lastPrinted>1997-11-11T08:07:00Z</cp:lastPrinted>
  <dcterms:created xsi:type="dcterms:W3CDTF">2025-12-15T18:54:00Z</dcterms:created>
  <dcterms:modified xsi:type="dcterms:W3CDTF">2025-12-15T18:54:00Z</dcterms:modified>
</cp:coreProperties>
</file>