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FC5" w:rsidRPr="00C77FC5" w:rsidRDefault="00C77FC5">
      <w:pPr>
        <w:pStyle w:val="Hemstlrubrik"/>
      </w:pPr>
      <w:r w:rsidRPr="00C77FC5">
        <w:t>Förslag till riksdagsbeslut</w:t>
      </w:r>
    </w:p>
    <w:p w:rsidR="00C77FC5" w:rsidRPr="00C77FC5" w:rsidRDefault="00C77FC5">
      <w:pPr>
        <w:pStyle w:val="Hemstlatt"/>
        <w:numPr>
          <w:ilvl w:val="0"/>
          <w:numId w:val="1"/>
        </w:numPr>
      </w:pPr>
      <w:r w:rsidRPr="00C77FC5">
        <w:t>Riksdagen tillkännager för regeringen som sin mening vad som anförs i motionen om att historiskt ansvar och ekon</w:t>
      </w:r>
      <w:r w:rsidRPr="00C77FC5">
        <w:t>o</w:t>
      </w:r>
      <w:r w:rsidRPr="00C77FC5">
        <w:t>misk förmåga erkänns som viktiga principer i svenska positioner och analyser kring vårt ansvar att bekämpa fattigdomen.</w:t>
      </w:r>
    </w:p>
    <w:p w:rsidR="00C77FC5" w:rsidRPr="00C77FC5" w:rsidRDefault="00C77FC5">
      <w:pPr>
        <w:pStyle w:val="Hemstlatt"/>
        <w:numPr>
          <w:ilvl w:val="0"/>
          <w:numId w:val="1"/>
        </w:numPr>
      </w:pPr>
      <w:r w:rsidRPr="00C77FC5">
        <w:t xml:space="preserve">Riksdagen tillkännager för regeringen som sin mening vad som anförs i motionen om att regeringen bör utreda i vilken grad </w:t>
      </w:r>
      <w:r w:rsidRPr="00C77FC5">
        <w:rPr>
          <w:bCs/>
        </w:rPr>
        <w:t>Gree</w:t>
      </w:r>
      <w:r w:rsidRPr="00C77FC5">
        <w:rPr>
          <w:bCs/>
        </w:rPr>
        <w:t>n</w:t>
      </w:r>
      <w:r w:rsidRPr="00C77FC5">
        <w:rPr>
          <w:bCs/>
        </w:rPr>
        <w:t>house Development Rights</w:t>
      </w:r>
      <w:r w:rsidRPr="00C77FC5">
        <w:rPr>
          <w:b/>
          <w:bCs/>
        </w:rPr>
        <w:t xml:space="preserve">, </w:t>
      </w:r>
      <w:r w:rsidRPr="00C77FC5">
        <w:t>GDR-konceptet, kan utgöra en del av de svenska positionerna i arbetet med att bekämpa fattigdom orsakad av klimatförändring.</w:t>
      </w:r>
    </w:p>
    <w:p w:rsidR="00C77FC5" w:rsidRPr="00C77FC5" w:rsidRDefault="00C77FC5">
      <w:pPr>
        <w:pStyle w:val="Rubrik1"/>
      </w:pPr>
      <w:r w:rsidRPr="00C77FC5">
        <w:t>Motivering</w:t>
      </w:r>
    </w:p>
    <w:p w:rsidR="00C77FC5" w:rsidRPr="00C77FC5" w:rsidRDefault="00C77FC5">
      <w:r w:rsidRPr="00C77FC5">
        <w:t>”Greenhouse Development Rights”, att en modell som presenterats av Stoc</w:t>
      </w:r>
      <w:r w:rsidRPr="00C77FC5">
        <w:t>k</w:t>
      </w:r>
      <w:r w:rsidRPr="00C77FC5">
        <w:t>holm Environment Institute, kan vara en möjlighet att komma ut ur klimatp</w:t>
      </w:r>
      <w:r w:rsidRPr="00C77FC5">
        <w:t>o</w:t>
      </w:r>
      <w:r w:rsidRPr="00C77FC5">
        <w:t>litikens återvändsgränd. Den sätter rätten till utveckling i centrum för kampen mot klimatförändringarna och fördelar ansvaret mellan rika och fattiga länder och människor.</w:t>
      </w:r>
    </w:p>
    <w:p w:rsidR="00C77FC5" w:rsidRPr="00C77FC5" w:rsidRDefault="00C77FC5">
      <w:pPr>
        <w:pStyle w:val="Normaltindrag"/>
      </w:pPr>
      <w:r w:rsidRPr="00C77FC5">
        <w:t>GRD-ramverket visar på ett sätt att bemöta detta: en klimatöverensko</w:t>
      </w:r>
      <w:r w:rsidRPr="00C77FC5">
        <w:t>m</w:t>
      </w:r>
      <w:r w:rsidRPr="00C77FC5">
        <w:t>melse som sätter rätten till utveckling i centrum. Detta möjliggörs i tre steg.</w:t>
      </w:r>
    </w:p>
    <w:p w:rsidR="00C77FC5" w:rsidRPr="00C77FC5" w:rsidRDefault="00C77FC5">
      <w:pPr>
        <w:pStyle w:val="Normaltindrag"/>
      </w:pPr>
      <w:r w:rsidRPr="00C77FC5">
        <w:t>Först sätter GDR en ”</w:t>
      </w:r>
      <w:r w:rsidRPr="00C77FC5">
        <w:rPr>
          <w:bCs/>
        </w:rPr>
        <w:t>utvecklingströskel</w:t>
      </w:r>
      <w:r w:rsidRPr="00C77FC5">
        <w:t>” vid vilken de värsta av fattigd</w:t>
      </w:r>
      <w:r w:rsidRPr="00C77FC5">
        <w:t>o</w:t>
      </w:r>
      <w:r w:rsidRPr="00C77FC5">
        <w:t>mens farsoter övervunnits. Det motsvarar ungefär 20 dollar per person och dag, eller 7 500 dollar om året (justerad för köpkraft). Under denna nivå te</w:t>
      </w:r>
      <w:r w:rsidRPr="00C77FC5">
        <w:t>n</w:t>
      </w:r>
      <w:r w:rsidRPr="00C77FC5">
        <w:t>derar människors prioritet att vara fokuserad på de grundläggande behoven.</w:t>
      </w:r>
    </w:p>
    <w:p w:rsidR="00C77FC5" w:rsidRPr="00C77FC5" w:rsidRDefault="00C77FC5">
      <w:pPr>
        <w:pStyle w:val="Normaltindrag"/>
      </w:pPr>
      <w:r w:rsidRPr="00C77FC5">
        <w:t xml:space="preserve">”Utvecklingströskeln” används sedan för att beräkna nationell </w:t>
      </w:r>
      <w:r w:rsidRPr="00C77FC5">
        <w:rPr>
          <w:bCs/>
        </w:rPr>
        <w:t>kapacitet</w:t>
      </w:r>
      <w:r w:rsidRPr="00C77FC5">
        <w:t>. Kapaciteten beräknas genom att använda nationella uppgifter om inkomst per capita, och återspeglar ett lands möjlighet att betala för att motverka klima</w:t>
      </w:r>
      <w:r w:rsidRPr="00C77FC5">
        <w:t>t</w:t>
      </w:r>
      <w:r w:rsidRPr="00C77FC5">
        <w:t xml:space="preserve">förändringarna och för klimatanpassning. Ett lands kapacitet grundas på dess </w:t>
      </w:r>
      <w:r w:rsidRPr="00C77FC5">
        <w:lastRenderedPageBreak/>
        <w:t>inkomst, men utesluter inkomst för de personer som befinner sig under u</w:t>
      </w:r>
      <w:r w:rsidRPr="00C77FC5">
        <w:t>t</w:t>
      </w:r>
      <w:r w:rsidRPr="00C77FC5">
        <w:t>vecklingströskeln.</w:t>
      </w:r>
    </w:p>
    <w:p w:rsidR="00C77FC5" w:rsidRPr="00C77FC5" w:rsidRDefault="00C77FC5">
      <w:pPr>
        <w:pStyle w:val="Normaltindrag"/>
      </w:pPr>
      <w:r w:rsidRPr="00C77FC5">
        <w:t xml:space="preserve">Slutligen beräknas det nationella </w:t>
      </w:r>
      <w:r w:rsidRPr="00C77FC5">
        <w:rPr>
          <w:bCs/>
        </w:rPr>
        <w:t>ansvaret</w:t>
      </w:r>
      <w:r w:rsidRPr="00C77FC5">
        <w:t>, som baseras på varje lands tot</w:t>
      </w:r>
      <w:r w:rsidRPr="00C77FC5">
        <w:t>a</w:t>
      </w:r>
      <w:r w:rsidRPr="00C77FC5">
        <w:t xml:space="preserve">la utsläpp sedan 1990. Men </w:t>
      </w:r>
      <w:r w:rsidRPr="00C77FC5">
        <w:rPr>
          <w:i/>
          <w:iCs/>
        </w:rPr>
        <w:t>de utsläpp som motsvarar konsumtionen under utvecklingströskeln exkluderas.</w:t>
      </w:r>
      <w:r w:rsidRPr="00C77FC5">
        <w:t xml:space="preserve"> Både kapacitet och ansvar definieras på ind</w:t>
      </w:r>
      <w:r w:rsidRPr="00C77FC5">
        <w:t>i</w:t>
      </w:r>
      <w:r w:rsidRPr="00C77FC5">
        <w:t>viduell basis, och på ett sätt som tar hänsyn till ojämlik inkomstfördelning inom länderna. Konventionell analys, som förlitar sig på varje lands geno</w:t>
      </w:r>
      <w:r w:rsidRPr="00C77FC5">
        <w:t>m</w:t>
      </w:r>
      <w:r w:rsidRPr="00C77FC5">
        <w:t>snittliga per capitainkomst, misslyckas antingen med att beskriva ett lands akuta behov av utveckling eller att vara ett mått av dess egentliga välstånd. Den tillåter den ri</w:t>
      </w:r>
      <w:r w:rsidRPr="00C77FC5">
        <w:t>kare, storutsläppande minoriteten i länderna att gömma sig bakom den fattigare majoriteten med lägre utsläpp. Genom GDR-modellen måste växande ekonomier också ta sitt ansvar.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7FC5">
        <w:trPr>
          <w:cantSplit/>
        </w:trPr>
        <w:tc>
          <w:tcPr>
            <w:tcW w:w="3046" w:type="dxa"/>
          </w:tcPr>
          <w:p w:rsidR="00C77FC5" w:rsidRPr="00C77FC5" w:rsidRDefault="00C77FC5">
            <w:pPr>
              <w:pStyle w:val="UnderskriftDatum"/>
              <w:spacing w:before="240"/>
            </w:pPr>
            <w:r w:rsidRPr="00C77FC5">
              <w:t>Stockholm den 1 oktober 2008</w:t>
            </w:r>
          </w:p>
        </w:tc>
        <w:tc>
          <w:tcPr>
            <w:tcW w:w="3047" w:type="dxa"/>
          </w:tcPr>
          <w:p w:rsidR="00C77FC5" w:rsidRPr="00C77FC5" w:rsidRDefault="00C77FC5">
            <w:pPr>
              <w:pStyle w:val="Underskrifter"/>
              <w:spacing w:before="240"/>
            </w:pPr>
          </w:p>
        </w:tc>
      </w:tr>
      <w:tr w:rsidR="00000000" w:rsidRPr="00C77FC5">
        <w:trPr>
          <w:cantSplit/>
        </w:trPr>
        <w:tc>
          <w:tcPr>
            <w:tcW w:w="3046" w:type="dxa"/>
          </w:tcPr>
          <w:p w:rsidR="00C77FC5" w:rsidRPr="00C77FC5" w:rsidRDefault="00C77FC5">
            <w:pPr>
              <w:pStyle w:val="Underskrifter"/>
            </w:pPr>
            <w:r w:rsidRPr="00C77FC5">
              <w:t>Anita Brodén (fp)</w:t>
            </w:r>
          </w:p>
        </w:tc>
        <w:tc>
          <w:tcPr>
            <w:tcW w:w="3046" w:type="dxa"/>
          </w:tcPr>
          <w:p w:rsidR="00C77FC5" w:rsidRPr="00C77FC5" w:rsidRDefault="00C77FC5">
            <w:pPr>
              <w:pStyle w:val="Underskrifter"/>
            </w:pPr>
            <w:r w:rsidRPr="00C77FC5">
              <w:t>Christer Winbäck (fp)</w:t>
            </w:r>
          </w:p>
        </w:tc>
      </w:tr>
    </w:tbl>
    <w:p w:rsidR="00C77FC5" w:rsidRPr="00C77FC5" w:rsidRDefault="00C77FC5">
      <w:pPr>
        <w:pStyle w:val="Normaltindrag"/>
      </w:pPr>
    </w:p>
    <w:sectPr w:rsidR="00000000" w:rsidRPr="00C77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FC5" w:rsidRPr="00C77FC5" w:rsidRDefault="00C77FC5">
      <w:r w:rsidRPr="00C77FC5">
        <w:separator/>
      </w:r>
    </w:p>
  </w:endnote>
  <w:endnote w:type="continuationSeparator" w:id="0">
    <w:p w:rsidR="00C77FC5" w:rsidRPr="00C77FC5" w:rsidRDefault="00C77FC5">
      <w:r w:rsidRPr="00C77F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FC5" w:rsidRPr="00C77FC5" w:rsidRDefault="00C77FC5">
    <w:pPr>
      <w:pStyle w:val="Sidfot"/>
    </w:pPr>
    <w:r w:rsidRPr="00C77F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61302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FC5" w:rsidRDefault="00C77F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7FC5" w:rsidRDefault="00C77F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FC5" w:rsidRPr="00C77FC5" w:rsidRDefault="00C77FC5">
    <w:pPr>
      <w:pStyle w:val="Sidfot"/>
    </w:pPr>
    <w:r w:rsidRPr="00C77F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05458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FC5" w:rsidRDefault="00C77F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7FC5" w:rsidRDefault="00C77F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FC5" w:rsidRPr="00C77FC5" w:rsidRDefault="00C77FC5">
    <w:pPr>
      <w:pStyle w:val="Sidfot"/>
    </w:pPr>
    <w:r w:rsidRPr="00C77F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47297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FC5" w:rsidRDefault="00C77F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7FC5" w:rsidRDefault="00C77F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FC5" w:rsidRPr="00C77FC5" w:rsidRDefault="00C77FC5">
      <w:r w:rsidRPr="00C77FC5">
        <w:separator/>
      </w:r>
    </w:p>
  </w:footnote>
  <w:footnote w:type="continuationSeparator" w:id="0">
    <w:p w:rsidR="00C77FC5" w:rsidRPr="00C77FC5" w:rsidRDefault="00C77FC5">
      <w:r w:rsidRPr="00C77F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FC5" w:rsidRPr="00C77FC5" w:rsidRDefault="00C77FC5">
    <w:pPr>
      <w:pStyle w:val="Sidhuvud"/>
    </w:pPr>
    <w:r w:rsidRPr="00C77F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73985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FC5" w:rsidRDefault="00C77F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7FC5" w:rsidRDefault="00C77F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FC5" w:rsidRPr="00C77FC5" w:rsidRDefault="00C77FC5">
    <w:pPr>
      <w:pStyle w:val="Sidhuvud"/>
    </w:pPr>
    <w:r w:rsidRPr="00C77F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89574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FC5" w:rsidRDefault="00C77F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7FC5" w:rsidRDefault="00C77F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FC5" w:rsidRPr="00C77FC5" w:rsidRDefault="00C77FC5">
    <w:pPr>
      <w:pStyle w:val="FSHNormal"/>
      <w:tabs>
        <w:tab w:val="right" w:pos="5840"/>
      </w:tabs>
    </w:pPr>
    <w:r w:rsidRPr="00C77FC5">
      <w:br/>
    </w:r>
    <w:r w:rsidRPr="00C77FC5">
      <w:fldChar w:fldCharType="begin" w:fldLock="1"/>
    </w:r>
    <w:r w:rsidRPr="00C77FC5">
      <w:instrText xml:space="preserve"> DOCPROPERTY</w:instrText>
    </w:r>
    <w:r w:rsidRPr="00C77FC5">
      <w:rPr>
        <w:sz w:val="18"/>
      </w:rPr>
      <w:instrText xml:space="preserve"> "YearUser" *\charformat </w:instrText>
    </w:r>
    <w:r w:rsidRPr="00C77FC5">
      <w:fldChar w:fldCharType="separate"/>
    </w:r>
    <w:r w:rsidRPr="00C77FC5">
      <w:t>2008/09</w:t>
    </w:r>
    <w:r w:rsidRPr="00C77FC5">
      <w:fldChar w:fldCharType="end"/>
    </w:r>
    <w:r w:rsidRPr="00C77FC5">
      <w:t xml:space="preserve"> </w:t>
    </w:r>
    <w:r w:rsidRPr="00C77FC5">
      <w:tab/>
      <w:t xml:space="preserve">mnr: </w:t>
    </w:r>
    <w:r w:rsidRPr="00C77FC5">
      <w:fldChar w:fldCharType="begin" w:fldLock="1"/>
    </w:r>
    <w:r w:rsidRPr="00C77FC5">
      <w:instrText xml:space="preserve"> DOCPROPERTY</w:instrText>
    </w:r>
    <w:r w:rsidRPr="00C77FC5">
      <w:rPr>
        <w:sz w:val="18"/>
      </w:rPr>
      <w:instrText xml:space="preserve"> "Motionsnummer" *\charformat </w:instrText>
    </w:r>
    <w:r w:rsidRPr="00C77FC5">
      <w:fldChar w:fldCharType="separate"/>
    </w:r>
    <w:r w:rsidRPr="00C77FC5">
      <w:t>U296</w:t>
    </w:r>
    <w:r w:rsidRPr="00C77FC5">
      <w:fldChar w:fldCharType="end"/>
    </w:r>
    <w:r w:rsidRPr="00C77FC5">
      <w:br/>
    </w:r>
    <w:r w:rsidRPr="00C77FC5">
      <w:fldChar w:fldCharType="begin" w:fldLock="1"/>
    </w:r>
    <w:r w:rsidRPr="00C77FC5">
      <w:instrText xml:space="preserve"> DOCPROPERTY</w:instrText>
    </w:r>
    <w:r w:rsidRPr="00C77FC5">
      <w:rPr>
        <w:sz w:val="18"/>
      </w:rPr>
      <w:instrText xml:space="preserve"> "Samling" *\charformat </w:instrText>
    </w:r>
    <w:r w:rsidRPr="00C77FC5">
      <w:fldChar w:fldCharType="end"/>
    </w:r>
    <w:r w:rsidRPr="00C77FC5">
      <w:tab/>
      <w:t xml:space="preserve">pnr: </w:t>
    </w:r>
    <w:r w:rsidRPr="00C77FC5">
      <w:fldChar w:fldCharType="begin" w:fldLock="1"/>
    </w:r>
    <w:r w:rsidRPr="00C77FC5">
      <w:instrText xml:space="preserve"> DOCPROPERTY</w:instrText>
    </w:r>
    <w:r w:rsidRPr="00C77FC5">
      <w:rPr>
        <w:sz w:val="18"/>
      </w:rPr>
      <w:instrText xml:space="preserve"> "Partinummer" *\charformat </w:instrText>
    </w:r>
    <w:r w:rsidRPr="00C77FC5">
      <w:fldChar w:fldCharType="separate"/>
    </w:r>
    <w:r w:rsidRPr="00C77FC5">
      <w:t>fp1331</w:t>
    </w:r>
    <w:r w:rsidRPr="00C77FC5">
      <w:fldChar w:fldCharType="end"/>
    </w:r>
  </w:p>
  <w:p w:rsidR="00C77FC5" w:rsidRPr="00C77FC5" w:rsidRDefault="00C77FC5">
    <w:pPr>
      <w:pStyle w:val="FSHRub1"/>
    </w:pPr>
    <w:r w:rsidRPr="00C77FC5">
      <w:t>Motion till riksdagen</w:t>
    </w:r>
    <w:r w:rsidRPr="00C77FC5">
      <w:br/>
    </w:r>
    <w:r w:rsidRPr="00C77FC5">
      <w:fldChar w:fldCharType="begin" w:fldLock="1"/>
    </w:r>
    <w:r w:rsidRPr="00C77FC5">
      <w:instrText xml:space="preserve"> DOCPROPERTY "YearUser" *\charformat </w:instrText>
    </w:r>
    <w:r w:rsidRPr="00C77FC5">
      <w:fldChar w:fldCharType="separate"/>
    </w:r>
    <w:r w:rsidRPr="00C77FC5">
      <w:t>2008/09</w:t>
    </w:r>
    <w:r w:rsidRPr="00C77FC5">
      <w:fldChar w:fldCharType="end"/>
    </w:r>
    <w:r w:rsidRPr="00C77FC5">
      <w:t>:</w:t>
    </w:r>
    <w:r w:rsidRPr="00C77FC5">
      <w:fldChar w:fldCharType="begin" w:fldLock="1"/>
    </w:r>
    <w:r w:rsidRPr="00C77FC5">
      <w:instrText xml:space="preserve"> DOCPROPERTY "Motionsnummer" *\charformat </w:instrText>
    </w:r>
    <w:r w:rsidRPr="00C77FC5">
      <w:fldChar w:fldCharType="separate"/>
    </w:r>
    <w:r w:rsidRPr="00C77FC5">
      <w:t>U296</w:t>
    </w:r>
    <w:r w:rsidRPr="00C77FC5">
      <w:fldChar w:fldCharType="end"/>
    </w:r>
  </w:p>
  <w:p w:rsidR="00C77FC5" w:rsidRPr="00C77FC5" w:rsidRDefault="00C77FC5">
    <w:pPr>
      <w:pStyle w:val="FSHNormalS5"/>
    </w:pPr>
    <w:r w:rsidRPr="00C77FC5">
      <w:fldChar w:fldCharType="begin" w:fldLock="1"/>
    </w:r>
    <w:r w:rsidRPr="00C77FC5">
      <w:instrText xml:space="preserve"> DOCPROPERTY "MotionarText" *\charformat </w:instrText>
    </w:r>
    <w:r w:rsidRPr="00C77FC5">
      <w:fldChar w:fldCharType="separate"/>
    </w:r>
    <w:r w:rsidRPr="00C77FC5">
      <w:t>av Anita Brodén och Christer Winbäck (fp)</w:t>
    </w:r>
    <w:r w:rsidRPr="00C77FC5">
      <w:fldChar w:fldCharType="end"/>
    </w:r>
    <w:r w:rsidRPr="00C77FC5">
      <w:br/>
    </w:r>
    <w:r w:rsidRPr="00C77FC5">
      <w:fldChar w:fldCharType="begin" w:fldLock="1"/>
    </w:r>
    <w:r w:rsidRPr="00C77FC5">
      <w:instrText xml:space="preserve"> DOCPROPERTY "SvarFrasKort" *\charformat </w:instrText>
    </w:r>
    <w:r w:rsidRPr="00C77FC5">
      <w:fldChar w:fldCharType="end"/>
    </w:r>
  </w:p>
  <w:p w:rsidR="00C77FC5" w:rsidRPr="00C77FC5" w:rsidRDefault="00C77FC5">
    <w:pPr>
      <w:pStyle w:val="FSHTitel"/>
    </w:pPr>
    <w:r w:rsidRPr="00C77FC5">
      <w:fldChar w:fldCharType="begin" w:fldLock="1"/>
    </w:r>
    <w:r w:rsidRPr="00C77FC5">
      <w:instrText xml:space="preserve"> DOCPROPERTY</w:instrText>
    </w:r>
    <w:r w:rsidRPr="00C77FC5">
      <w:rPr>
        <w:sz w:val="18"/>
      </w:rPr>
      <w:instrText xml:space="preserve"> "RubrikSvar" *\charformat </w:instrText>
    </w:r>
    <w:r w:rsidRPr="00C77FC5">
      <w:fldChar w:fldCharType="separate"/>
    </w:r>
    <w:r w:rsidRPr="00C77FC5">
      <w:t>Fattigdomsbekämpning</w:t>
    </w:r>
    <w:r w:rsidRPr="00C77FC5">
      <w:fldChar w:fldCharType="end"/>
    </w:r>
  </w:p>
  <w:p w:rsidR="00C77FC5" w:rsidRPr="00C77FC5" w:rsidRDefault="00C77FC5">
    <w:pPr>
      <w:pStyle w:val="Normal00"/>
    </w:pPr>
  </w:p>
  <w:p w:rsidR="00C77FC5" w:rsidRPr="00C77FC5" w:rsidRDefault="00C77F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63F3CF9"/>
    <w:multiLevelType w:val="hybridMultilevel"/>
    <w:tmpl w:val="52FA988A"/>
    <w:lvl w:ilvl="0" w:tplc="F662C23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753672">
    <w:abstractNumId w:val="8"/>
  </w:num>
  <w:num w:numId="2" w16cid:durableId="91511490">
    <w:abstractNumId w:val="9"/>
  </w:num>
  <w:num w:numId="3" w16cid:durableId="107240424">
    <w:abstractNumId w:val="8"/>
  </w:num>
  <w:num w:numId="4" w16cid:durableId="699016471">
    <w:abstractNumId w:val="9"/>
  </w:num>
  <w:num w:numId="5" w16cid:durableId="711878295">
    <w:abstractNumId w:val="13"/>
  </w:num>
  <w:num w:numId="6" w16cid:durableId="2147114968">
    <w:abstractNumId w:val="10"/>
  </w:num>
  <w:num w:numId="7" w16cid:durableId="956637637">
    <w:abstractNumId w:val="11"/>
  </w:num>
  <w:num w:numId="8" w16cid:durableId="716902279">
    <w:abstractNumId w:val="12"/>
  </w:num>
  <w:num w:numId="9" w16cid:durableId="1832794993">
    <w:abstractNumId w:val="8"/>
  </w:num>
  <w:num w:numId="10" w16cid:durableId="375740162">
    <w:abstractNumId w:val="3"/>
  </w:num>
  <w:num w:numId="11" w16cid:durableId="784885965">
    <w:abstractNumId w:val="2"/>
  </w:num>
  <w:num w:numId="12" w16cid:durableId="1508520272">
    <w:abstractNumId w:val="1"/>
  </w:num>
  <w:num w:numId="13" w16cid:durableId="414277865">
    <w:abstractNumId w:val="0"/>
  </w:num>
  <w:num w:numId="14" w16cid:durableId="511459715">
    <w:abstractNumId w:val="9"/>
  </w:num>
  <w:num w:numId="15" w16cid:durableId="89859214">
    <w:abstractNumId w:val="7"/>
  </w:num>
  <w:num w:numId="16" w16cid:durableId="347683723">
    <w:abstractNumId w:val="6"/>
  </w:num>
  <w:num w:numId="17" w16cid:durableId="24018356">
    <w:abstractNumId w:val="5"/>
  </w:num>
  <w:num w:numId="18" w16cid:durableId="786316987">
    <w:abstractNumId w:val="4"/>
  </w:num>
  <w:num w:numId="19" w16cid:durableId="1164660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7EF8F305-E5EC-4D88-A3F3-0EBCBA593D5F},{CFF07056-9456-496C-B49E-6961846FBDAC}"/>
  </w:docVars>
  <w:rsids>
    <w:rsidRoot w:val="00A01542"/>
    <w:rsid w:val="00A01542"/>
    <w:rsid w:val="00C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D3D86C6-BD4A-4B41-BD3F-D5BA0F67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2153</Characters>
  <Application>Microsoft Office Word</Application>
  <DocSecurity>4</DocSecurity>
  <Lines>42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fp1331</vt:lpstr>
    </vt:vector>
  </TitlesOfParts>
  <Company>Riksdagen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fp1331</dc:title>
  <dc:subject>fp1331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2009-01-29T14:40:00Z</cp:lastPrinted>
  <dcterms:created xsi:type="dcterms:W3CDTF">2025-12-17T18:48:00Z</dcterms:created>
  <dcterms:modified xsi:type="dcterms:W3CDTF">2025-12-17T18:48:00Z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Fattigdomsbekämpning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Fattigdomsbekämpning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fp1331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Christer Winbäck (fp)</vt:lpwstr>
  </property>
  <property fmtid="{D5CDD505-2E9C-101B-9397-08002B2CF9AE}" pid="26" name="MotionarLista">
    <vt:lpwstr>Brodén, Anita (fp)\Winbäck,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20082009000001020112000013310069</vt:lpwstr>
  </property>
  <property fmtid="{D5CDD505-2E9C-101B-9397-08002B2CF9AE}" pid="47" name="datum">
    <vt:lpwstr>081001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20082009000001020112000013310069</vt:lpwstr>
  </property>
  <property fmtid="{D5CDD505-2E9C-101B-9397-08002B2CF9AE}" pid="50" name="nummer">
    <vt:lpwstr>296</vt:lpwstr>
  </property>
  <property fmtid="{D5CDD505-2E9C-101B-9397-08002B2CF9AE}" pid="51" name="utskottsbeteckning">
    <vt:lpwstr>U</vt:lpwstr>
  </property>
  <property fmtid="{D5CDD505-2E9C-101B-9397-08002B2CF9AE}" pid="52" name="GlobalUID">
    <vt:lpwstr>{B51ADAAF-2A72-4864-8570-780446C856BE}</vt:lpwstr>
  </property>
  <property fmtid="{D5CDD505-2E9C-101B-9397-08002B2CF9AE}" pid="53" name="Överföringar">
    <vt:i4>0</vt:i4>
  </property>
  <property fmtid="{D5CDD505-2E9C-101B-9397-08002B2CF9AE}" pid="54" name="Checksum">
    <vt:lpwstr>*1009140523379*</vt:lpwstr>
  </property>
  <property fmtid="{D5CDD505-2E9C-101B-9397-08002B2CF9AE}" pid="55" name="skuggnummer">
    <vt:lpwstr>2435</vt:lpwstr>
  </property>
  <property fmtid="{D5CDD505-2E9C-101B-9397-08002B2CF9AE}" pid="56" name="urixVersion">
    <vt:lpwstr>3.2.0.8</vt:lpwstr>
  </property>
  <property fmtid="{D5CDD505-2E9C-101B-9397-08002B2CF9AE}" pid="57" name="urixOrigin">
    <vt:lpwstr>090402 15:47:38.603</vt:lpwstr>
  </property>
  <property fmtid="{D5CDD505-2E9C-101B-9397-08002B2CF9AE}" pid="58" name="urixGuid">
    <vt:lpwstr>{664A8CF5-DA63-42F5-8D78-A1CBCE1F36FA}</vt:lpwstr>
  </property>
</Properties>
</file>