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EBB827" w14:textId="77777777">
      <w:pPr>
        <w:pStyle w:val="Normalutanindragellerluft"/>
      </w:pPr>
    </w:p>
    <w:sdt>
      <w:sdtPr>
        <w:alias w:val="CC_Boilerplate_4"/>
        <w:tag w:val="CC_Boilerplate_4"/>
        <w:id w:val="-1644581176"/>
        <w:lock w:val="sdtLocked"/>
        <w:placeholder>
          <w:docPart w:val="5733966A215A4D38859C0C5D86C68836"/>
        </w:placeholder>
        <w15:appearance w15:val="hidden"/>
        <w:text/>
      </w:sdtPr>
      <w:sdtEndPr/>
      <w:sdtContent>
        <w:p w:rsidR="00AF30DD" w:rsidP="00CC4C93" w:rsidRDefault="00AF30DD" w14:paraId="47EBB828" w14:textId="77777777">
          <w:pPr>
            <w:pStyle w:val="Rubrik1"/>
          </w:pPr>
          <w:r>
            <w:t>Förslag till riksdagsbeslut</w:t>
          </w:r>
        </w:p>
      </w:sdtContent>
    </w:sdt>
    <w:sdt>
      <w:sdtPr>
        <w:alias w:val="Förslag 1"/>
        <w:tag w:val="31afd1e3-fe35-433b-987a-1afd2a3fed3a"/>
        <w:id w:val="1681619088"/>
        <w:lock w:val="sdtLocked"/>
      </w:sdtPr>
      <w:sdtEndPr/>
      <w:sdtContent>
        <w:p w:rsidR="000C6B82" w:rsidRDefault="000C6CE2" w14:paraId="47EBB829" w14:textId="77777777">
          <w:pPr>
            <w:pStyle w:val="Frslagstext"/>
          </w:pPr>
          <w:r>
            <w:t>Riksdagen tillkännager för regeringen som sin mening vad som anförs i motionen om att införa möjligheten för sparbanker att ta in externt kapital och att det svenska regelverket för banker måste ha en proportionalitet och rimlighet i användningen.</w:t>
          </w:r>
        </w:p>
      </w:sdtContent>
    </w:sdt>
    <w:p w:rsidR="00AF30DD" w:rsidP="00AF30DD" w:rsidRDefault="000156D9" w14:paraId="47EBB82A" w14:textId="77777777">
      <w:pPr>
        <w:pStyle w:val="Rubrik1"/>
      </w:pPr>
      <w:bookmarkStart w:name="MotionsStart" w:id="0"/>
      <w:bookmarkEnd w:id="0"/>
      <w:r>
        <w:t>Motivering</w:t>
      </w:r>
    </w:p>
    <w:p w:rsidR="002032F3" w:rsidP="002032F3" w:rsidRDefault="002032F3" w14:paraId="47EBB82B"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2032F3" w:rsidP="002032F3" w:rsidRDefault="002032F3" w14:paraId="47EBB82C" w14:textId="398133F1">
      <w:pPr>
        <w:pStyle w:val="Normalutanindragellerluft"/>
      </w:pPr>
      <w:r>
        <w:t>Förenklat kan konstateras att associationsformen sparbank utgör en kombination av bankföretag och ägarstiftelse. Den lokala prägeln på sparbankerna</w:t>
      </w:r>
      <w:r w:rsidR="001213F9">
        <w:t>s bankaffär är viktig för hela L</w:t>
      </w:r>
      <w:bookmarkStart w:name="_GoBack" w:id="1"/>
      <w:bookmarkEnd w:id="1"/>
      <w:r>
        <w:t xml:space="preserve">andsortssverige. Kreditförsörjning för små och medelstora företag fungerar på ett helt annat sätt i en sparbank än i en storbank eller distansbank, där besluten fattas långt från kunden. </w:t>
      </w:r>
    </w:p>
    <w:p w:rsidR="002032F3" w:rsidP="002032F3" w:rsidRDefault="002032F3" w14:paraId="47EBB82D" w14:textId="77777777">
      <w:pPr>
        <w:pStyle w:val="Normalutanindragellerluft"/>
      </w:pPr>
      <w:r>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w:rsidR="002032F3" w:rsidP="002032F3" w:rsidRDefault="002032F3" w14:paraId="47EBB82E" w14:textId="77777777">
      <w:pPr>
        <w:pStyle w:val="Normalutanindragellerluft"/>
      </w:pPr>
      <w:r>
        <w:t xml:space="preserve">En kapitaltäckningsrapport, som tidigare på cirka 25 sidor på ett adekvat sätt beskrev mindre bankers kapitalbehov och uppfyllnad, omfattar i dag fler än 600 sidor. </w:t>
      </w:r>
    </w:p>
    <w:p w:rsidR="002032F3" w:rsidP="002032F3" w:rsidRDefault="002032F3" w14:paraId="47EBB82F" w14:textId="77777777">
      <w:pPr>
        <w:pStyle w:val="Normalutanindragellerluft"/>
      </w:pPr>
      <w:r>
        <w:t xml:space="preserve">Förutsättningarna att bedriva bankverksamhet och riskerna med denna varierar väldigt mycket. Regelverken ska vara desamma, men det måste finnas en proportionalitet och rimlighet i användandet av vid var tid gällande regelverk. </w:t>
      </w:r>
    </w:p>
    <w:p w:rsidR="002032F3" w:rsidP="002032F3" w:rsidRDefault="002032F3" w14:paraId="47EBB830" w14:textId="77777777">
      <w:pPr>
        <w:pStyle w:val="Normalutanindragellerluft"/>
      </w:pPr>
      <w:r>
        <w:lastRenderedPageBreak/>
        <w:t xml:space="preserve">Generellt har sparbankerna starka balansräkningar. Sparbankernas genomsnittliga soliditet, ibland kallad bruttosoliditet och definierad som eget kapital över samtliga tillgångar, ligger för närvarande en bra bit över 16 procent. </w:t>
      </w:r>
    </w:p>
    <w:p w:rsidR="002032F3" w:rsidP="002032F3" w:rsidRDefault="002032F3" w14:paraId="47EBB831" w14:textId="77777777">
      <w:pPr>
        <w:pStyle w:val="Normalutanindragellerluft"/>
      </w:pPr>
      <w:r>
        <w:t xml:space="preserve">Men inskärpningen av de så kallade Basel III-reglerna ställer högre krav på alla banker att stärka sin kapitalbas. Detta är i grunden bra, men medför att sparbanker som inte väljer att bli aktiebolag saknar reella möjligheter att stärka kapitalbasen. Den befintliga sparbankslagen förhindrar nämligen sparbankerna att ta in externt kapital. </w:t>
      </w:r>
    </w:p>
    <w:p w:rsidR="002032F3" w:rsidP="002032F3" w:rsidRDefault="002032F3" w14:paraId="47EBB832" w14:textId="77777777">
      <w:pPr>
        <w:pStyle w:val="Normalutanindragellerluft"/>
      </w:pPr>
      <w:r>
        <w:t>I Norge finns däremot en lag som möjliggör för sparbankerna att ge ut så kallade egenkapitalbevis. Dessa fungerar på samma sätt som en aktie, med det stora undantaget att sparbanken väsentligen behåller det lokala huvudmannaskapet.</w:t>
      </w:r>
    </w:p>
    <w:p w:rsidR="002032F3" w:rsidP="002032F3" w:rsidRDefault="002032F3" w14:paraId="47EBB833" w14:textId="77777777">
      <w:pPr>
        <w:pStyle w:val="Normalutanindragellerluft"/>
      </w:pPr>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AF30DD" w:rsidP="002032F3" w:rsidRDefault="002032F3" w14:paraId="47EBB834" w14:textId="77777777">
      <w:pPr>
        <w:pStyle w:val="Normalutanindragellerluft"/>
      </w:pPr>
      <w:r>
        <w:t xml:space="preserve">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och vilket skulle kunna tillföra Sverige en möjlighet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 </w:t>
      </w:r>
    </w:p>
    <w:sdt>
      <w:sdtPr>
        <w:alias w:val="CC_Underskrifter"/>
        <w:tag w:val="CC_Underskrifter"/>
        <w:id w:val="583496634"/>
        <w:lock w:val="sdtContentLocked"/>
        <w:placeholder>
          <w:docPart w:val="0DC130016B4E48B0B380CC476A447DAE"/>
        </w:placeholder>
        <w15:appearance w15:val="hidden"/>
      </w:sdtPr>
      <w:sdtEndPr/>
      <w:sdtContent>
        <w:p w:rsidRPr="009E153C" w:rsidR="00865E70" w:rsidP="00BF005A" w:rsidRDefault="00BF005A" w14:paraId="47EBB8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121B99" w:rsidRDefault="00121B99" w14:paraId="47EBB839" w14:textId="77777777"/>
    <w:sectPr w:rsidR="00121B9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BB83B" w14:textId="77777777" w:rsidR="002032F3" w:rsidRDefault="002032F3" w:rsidP="000C1CAD">
      <w:pPr>
        <w:spacing w:line="240" w:lineRule="auto"/>
      </w:pPr>
      <w:r>
        <w:separator/>
      </w:r>
    </w:p>
  </w:endnote>
  <w:endnote w:type="continuationSeparator" w:id="0">
    <w:p w14:paraId="47EBB83C" w14:textId="77777777" w:rsidR="002032F3" w:rsidRDefault="00203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B83F" w14:textId="77777777" w:rsidR="00C013DE" w:rsidRDefault="00C013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B8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13F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B847" w14:textId="77777777" w:rsidR="00A20322" w:rsidRDefault="00A20322">
    <w:pPr>
      <w:pStyle w:val="Sidfot"/>
    </w:pPr>
    <w:r>
      <w:fldChar w:fldCharType="begin"/>
    </w:r>
    <w:r>
      <w:instrText xml:space="preserve"> PRINTDATE  \@ "yyyy-MM-dd HH:mm"  \* MERGEFORMAT </w:instrText>
    </w:r>
    <w:r>
      <w:fldChar w:fldCharType="separate"/>
    </w:r>
    <w:r>
      <w:rPr>
        <w:noProof/>
      </w:rPr>
      <w:t>2014-11-05 18:21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BB839" w14:textId="77777777" w:rsidR="002032F3" w:rsidRDefault="002032F3" w:rsidP="000C1CAD">
      <w:pPr>
        <w:spacing w:line="240" w:lineRule="auto"/>
      </w:pPr>
      <w:r>
        <w:separator/>
      </w:r>
    </w:p>
  </w:footnote>
  <w:footnote w:type="continuationSeparator" w:id="0">
    <w:p w14:paraId="47EBB83A" w14:textId="77777777" w:rsidR="002032F3" w:rsidRDefault="002032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DE" w:rsidRDefault="00C013DE" w14:paraId="47EBB83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DE" w:rsidRDefault="00C013DE" w14:paraId="47EBB83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EBB8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13F9" w14:paraId="47EBB8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996</w:t>
        </w:r>
      </w:sdtContent>
    </w:sdt>
  </w:p>
  <w:p w:rsidR="00467151" w:rsidP="00283E0F" w:rsidRDefault="001213F9" w14:paraId="47EBB844" w14:textId="77777777">
    <w:pPr>
      <w:pStyle w:val="FSHRub2"/>
    </w:pPr>
    <w:sdt>
      <w:sdtPr>
        <w:alias w:val="CC_Noformat_Avtext"/>
        <w:tag w:val="CC_Noformat_Avtext"/>
        <w:id w:val="1389603703"/>
        <w:lock w:val="sdtContentLocked"/>
        <w15:appearance w15:val="hidden"/>
        <w:text/>
      </w:sdtPr>
      <w:sdtEndPr/>
      <w:sdtContent>
        <w:r>
          <w:t>av Per Åsling och Anders Åkesson (C)</w:t>
        </w:r>
      </w:sdtContent>
    </w:sdt>
  </w:p>
  <w:sdt>
    <w:sdtPr>
      <w:alias w:val="CC_Noformat_Rubtext"/>
      <w:tag w:val="CC_Noformat_Rubtext"/>
      <w:id w:val="1800419874"/>
      <w:lock w:val="sdtContentLocked"/>
      <w15:appearance w15:val="hidden"/>
      <w:text/>
    </w:sdtPr>
    <w:sdtEndPr/>
    <w:sdtContent>
      <w:p w:rsidR="00467151" w:rsidP="00283E0F" w:rsidRDefault="002032F3" w14:paraId="47EBB845" w14:textId="77777777">
        <w:pPr>
          <w:pStyle w:val="FSHRub2"/>
        </w:pPr>
        <w:r>
          <w:t>Sparbankers kapitalförsörjning och mindre bankers regelverk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47EBB8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F411306F-C39F-4F5A-A661-75E18C7254E4}"/>
  </w:docVars>
  <w:rsids>
    <w:rsidRoot w:val="002032F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B82"/>
    <w:rsid w:val="000C6CE2"/>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3F9"/>
    <w:rsid w:val="00121B99"/>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2F3"/>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322"/>
    <w:rsid w:val="00A24E73"/>
    <w:rsid w:val="00A278AA"/>
    <w:rsid w:val="00A32445"/>
    <w:rsid w:val="00A32DC7"/>
    <w:rsid w:val="00A3316B"/>
    <w:rsid w:val="00A33D08"/>
    <w:rsid w:val="00A342BC"/>
    <w:rsid w:val="00A34A06"/>
    <w:rsid w:val="00A35DA9"/>
    <w:rsid w:val="00A365BA"/>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05A"/>
    <w:rsid w:val="00BF01CE"/>
    <w:rsid w:val="00BF3A79"/>
    <w:rsid w:val="00BF48A2"/>
    <w:rsid w:val="00BF676C"/>
    <w:rsid w:val="00BF7149"/>
    <w:rsid w:val="00C013DE"/>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E4A"/>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BB827"/>
  <w15:chartTrackingRefBased/>
  <w15:docId w15:val="{BD4A2A07-FACD-4A59-B1D4-0C5794E4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33966A215A4D38859C0C5D86C68836"/>
        <w:category>
          <w:name w:val="Allmänt"/>
          <w:gallery w:val="placeholder"/>
        </w:category>
        <w:types>
          <w:type w:val="bbPlcHdr"/>
        </w:types>
        <w:behaviors>
          <w:behavior w:val="content"/>
        </w:behaviors>
        <w:guid w:val="{EC345A92-8516-4CE1-9607-FC2885AEC33C}"/>
      </w:docPartPr>
      <w:docPartBody>
        <w:p w:rsidR="00594416" w:rsidRDefault="00594416">
          <w:pPr>
            <w:pStyle w:val="5733966A215A4D38859C0C5D86C68836"/>
          </w:pPr>
          <w:r w:rsidRPr="009A726D">
            <w:rPr>
              <w:rStyle w:val="Platshllartext"/>
            </w:rPr>
            <w:t>Klicka här för att ange text.</w:t>
          </w:r>
        </w:p>
      </w:docPartBody>
    </w:docPart>
    <w:docPart>
      <w:docPartPr>
        <w:name w:val="0DC130016B4E48B0B380CC476A447DAE"/>
        <w:category>
          <w:name w:val="Allmänt"/>
          <w:gallery w:val="placeholder"/>
        </w:category>
        <w:types>
          <w:type w:val="bbPlcHdr"/>
        </w:types>
        <w:behaviors>
          <w:behavior w:val="content"/>
        </w:behaviors>
        <w:guid w:val="{98F2DD1C-24DC-4736-9203-CA8FA535C17F}"/>
      </w:docPartPr>
      <w:docPartBody>
        <w:p w:rsidR="00594416" w:rsidRDefault="00594416">
          <w:pPr>
            <w:pStyle w:val="0DC130016B4E48B0B380CC476A447D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16"/>
    <w:rsid w:val="00594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33966A215A4D38859C0C5D86C68836">
    <w:name w:val="5733966A215A4D38859C0C5D86C68836"/>
  </w:style>
  <w:style w:type="paragraph" w:customStyle="1" w:styleId="1F7B1002D6E44789AC3ABC67A8F602EA">
    <w:name w:val="1F7B1002D6E44789AC3ABC67A8F602EA"/>
  </w:style>
  <w:style w:type="paragraph" w:customStyle="1" w:styleId="0DC130016B4E48B0B380CC476A447DAE">
    <w:name w:val="0DC130016B4E48B0B380CC476A447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1009</RubrikLookup>
    <MotionGuid xmlns="00d11361-0b92-4bae-a181-288d6a55b763">b767c499-523a-4f3e-b8e3-4b8d6e52aa71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708C9-1164-422D-BECC-0030E17482E2}"/>
</file>

<file path=customXml/itemProps2.xml><?xml version="1.0" encoding="utf-8"?>
<ds:datastoreItem xmlns:ds="http://schemas.openxmlformats.org/officeDocument/2006/customXml" ds:itemID="{F30633D9-0A8C-4E10-93BF-0ACD05462F5D}"/>
</file>

<file path=customXml/itemProps3.xml><?xml version="1.0" encoding="utf-8"?>
<ds:datastoreItem xmlns:ds="http://schemas.openxmlformats.org/officeDocument/2006/customXml" ds:itemID="{641F5227-2DE6-476B-8DD3-7E2ACAF83EC2}"/>
</file>

<file path=customXml/itemProps4.xml><?xml version="1.0" encoding="utf-8"?>
<ds:datastoreItem xmlns:ds="http://schemas.openxmlformats.org/officeDocument/2006/customXml" ds:itemID="{6853A236-BA32-40F2-AE77-144B93FDB9E7}"/>
</file>

<file path=docProps/app.xml><?xml version="1.0" encoding="utf-8"?>
<Properties xmlns="http://schemas.openxmlformats.org/officeDocument/2006/extended-properties" xmlns:vt="http://schemas.openxmlformats.org/officeDocument/2006/docPropsVTypes">
  <Template>GranskaMot.dotm</Template>
  <TotalTime>6</TotalTime>
  <Pages>2</Pages>
  <Words>550</Words>
  <Characters>3263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201415C506 Sparbankers kapitalförsörjning och mindre bankers regelverk</vt:lpstr>
      <vt:lpstr/>
    </vt:vector>
  </TitlesOfParts>
  <Company>Riksdagen</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201415C506 Sparbankers kapitalförsörjning och mindre bankers regelverk</dc:title>
  <dc:subject/>
  <dc:creator>It-avdelningen</dc:creator>
  <cp:keywords/>
  <dc:description/>
  <cp:lastModifiedBy>Susanne Andersson</cp:lastModifiedBy>
  <cp:revision>6</cp:revision>
  <cp:lastPrinted>2014-11-05T17:21:00Z</cp:lastPrinted>
  <dcterms:created xsi:type="dcterms:W3CDTF">2014-11-03T12:55:00Z</dcterms:created>
  <dcterms:modified xsi:type="dcterms:W3CDTF">2015-09-08T10:12:00Z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*T2A0E76E5ADE9*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http://filur.riksdagen.se/drop/DropOffLibrary/T2A0E76E5ADE9.docx</vt:lpwstr>
  </property>
</Properties>
</file>