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52E" w:rsidRPr="0036152E" w:rsidRDefault="0036152E">
      <w:pPr>
        <w:pStyle w:val="Frslagsrubrik"/>
        <w:rPr>
          <w:rStyle w:val="FrslagsrubrikChar"/>
        </w:rPr>
      </w:pPr>
      <w:r w:rsidRPr="0036152E">
        <w:rPr>
          <w:rStyle w:val="FrslagsrubrikChar"/>
        </w:rPr>
        <w:t>Förslag till riksdagsbeslut</w:t>
      </w:r>
    </w:p>
    <w:p w:rsidR="0036152E" w:rsidRPr="0036152E" w:rsidRDefault="0036152E">
      <w:pPr>
        <w:pStyle w:val="Hemstlatt"/>
        <w:ind w:left="0"/>
      </w:pPr>
      <w:r w:rsidRPr="0036152E">
        <w:t>Riksdagens tillkännager för regeringen som sin m</w:t>
      </w:r>
      <w:r w:rsidRPr="0036152E">
        <w:t>e</w:t>
      </w:r>
      <w:r w:rsidRPr="0036152E">
        <w:t>ning vad som anförs i motionen om att införa en anställningsform för lärlingar som medger särskilda anställningsvillkor och lärling</w:t>
      </w:r>
      <w:r w:rsidRPr="0036152E">
        <w:t>s</w:t>
      </w:r>
      <w:r w:rsidRPr="0036152E">
        <w:t>lön.</w:t>
      </w:r>
    </w:p>
    <w:p w:rsidR="0036152E" w:rsidRPr="0036152E" w:rsidRDefault="0036152E">
      <w:pPr>
        <w:pStyle w:val="Rubrik1"/>
      </w:pPr>
      <w:r w:rsidRPr="0036152E">
        <w:t>Motivering</w:t>
      </w:r>
    </w:p>
    <w:p w:rsidR="0036152E" w:rsidRPr="0036152E" w:rsidRDefault="0036152E">
      <w:r w:rsidRPr="0036152E">
        <w:t>Sverige har under lång tid haft en hög ungdomsarbetslöshet. Oavsett konjun</w:t>
      </w:r>
      <w:r w:rsidRPr="0036152E">
        <w:t>k</w:t>
      </w:r>
      <w:r w:rsidRPr="0036152E">
        <w:t>turläge så har ungdomsarbetslösheten legat på en hög nivå i ett EU-perspektiv. I debatten låter det ofta som om en bra bit över 20 procent av alla unga är arbetslösa. Så är det dock inte. Ser man till hur många av alla i åldern 15 till 24 år som var arbetslösa och inte samtidigt heltidsstuderande, så var det i våras, enligt Statistiska centralbyrån, 6,7 procent av alla unga. Detta ger lite perspektiv på siffrorna för ungdomsarbetslösheten. Oavsett detta så har Sver</w:t>
      </w:r>
      <w:r w:rsidRPr="0036152E">
        <w:t>i</w:t>
      </w:r>
      <w:r w:rsidRPr="0036152E">
        <w:t xml:space="preserve">ge dock en hög ungdomsarbetslöshet i ett </w:t>
      </w:r>
      <w:r w:rsidRPr="0036152E">
        <w:t>europeiskt perspektiv.</w:t>
      </w:r>
    </w:p>
    <w:p w:rsidR="0036152E" w:rsidRPr="0036152E" w:rsidRDefault="0036152E">
      <w:pPr>
        <w:pStyle w:val="Normaltindrag"/>
      </w:pPr>
      <w:r w:rsidRPr="0036152E">
        <w:t>De allra flesta unga är arbetslösa under kortare perioder. Erfarenheter från 1990-talskrisen visar dock att även kortare arbetslöshetsperioder påverkar ungas möjligheter att få fäste på arbetsmarknaden negativt. Institutet för a</w:t>
      </w:r>
      <w:r w:rsidRPr="0036152E">
        <w:t>r</w:t>
      </w:r>
      <w:r w:rsidRPr="0036152E">
        <w:t>betsmarknadspolitisk utvärdering (IFAU) har studerat konsekvenser av un</w:t>
      </w:r>
      <w:r w:rsidRPr="0036152E">
        <w:t>g</w:t>
      </w:r>
      <w:r w:rsidRPr="0036152E">
        <w:t>domsarbetslösheten under den ekonomiska krisen i början på 1990-talet. Inst</w:t>
      </w:r>
      <w:r w:rsidRPr="0036152E">
        <w:t>i</w:t>
      </w:r>
      <w:r w:rsidRPr="0036152E">
        <w:t>tutet har följt 18- och 19-åringar som genomgått praktiska eller tvååriga gy</w:t>
      </w:r>
      <w:r w:rsidRPr="0036152E">
        <w:t>m</w:t>
      </w:r>
      <w:r w:rsidRPr="0036152E">
        <w:t>nasieutbildningar och drar slutsatsen att en inledande period av arbetslöshet direkt efter gymnasieexamen höjer risken för fortsatta arbetslöshetsperioder i åtminstone fem år efter examen.</w:t>
      </w:r>
    </w:p>
    <w:p w:rsidR="0036152E" w:rsidRPr="0036152E" w:rsidRDefault="0036152E">
      <w:pPr>
        <w:pStyle w:val="Normaltindrag"/>
      </w:pPr>
      <w:r w:rsidRPr="0036152E">
        <w:t>OECD gjorde 2008 en genomgång av situationen för unga på arbetsmar</w:t>
      </w:r>
      <w:r w:rsidRPr="0036152E">
        <w:t>k</w:t>
      </w:r>
      <w:r w:rsidRPr="0036152E">
        <w:t>naden i Sverige och orsakerna till den höga ungdomsarbetslösheten. Att a</w:t>
      </w:r>
      <w:r w:rsidRPr="0036152E">
        <w:t>r</w:t>
      </w:r>
      <w:r w:rsidRPr="0036152E">
        <w:t>betslösheten i Sverige har varit betydligt högre för unga jämfört med för hela befolkningen beror enligt OECD framför allt på problem i det svenska utbil</w:t>
      </w:r>
      <w:r w:rsidRPr="0036152E">
        <w:t>d</w:t>
      </w:r>
      <w:r w:rsidRPr="0036152E">
        <w:lastRenderedPageBreak/>
        <w:t>ningssystemet och i arbetsmarknadens funktionssätt. Unga som väljer yrke</w:t>
      </w:r>
      <w:r w:rsidRPr="0036152E">
        <w:t>s</w:t>
      </w:r>
      <w:r w:rsidRPr="0036152E">
        <w:t xml:space="preserve">utbildningar har efter dessa inte tillräckliga kvalifikationer för att direkt börja arbeta. Samtidigt är ingångslönerna höga. Strikta arbetsmarknadsregler kan också göra arbetsgivare tveksamma till att anställa </w:t>
      </w:r>
      <w:r w:rsidRPr="0036152E">
        <w:t>unga vars kompetens är svår att bedöma.</w:t>
      </w:r>
    </w:p>
    <w:p w:rsidR="0036152E" w:rsidRPr="0036152E" w:rsidRDefault="0036152E">
      <w:pPr>
        <w:pStyle w:val="Normaltindrag"/>
      </w:pPr>
      <w:r w:rsidRPr="0036152E">
        <w:t>Alliansregeringen genomför nu genomgripande förändringar på utbil</w:t>
      </w:r>
      <w:r w:rsidRPr="0036152E">
        <w:t>d</w:t>
      </w:r>
      <w:r w:rsidRPr="0036152E">
        <w:t>ningsområdet. För att öka vägarna in på arbetsmarknaden har regeringen bland annat infört en yrkeshögskola, yrkesvux och påbörjat försöksverksa</w:t>
      </w:r>
      <w:r w:rsidRPr="0036152E">
        <w:t>m</w:t>
      </w:r>
      <w:r w:rsidRPr="0036152E">
        <w:t>het med gymnasiala lärlingsutbildningar. Genom den möjlighet till förlängda visstidsanställningar som införts är svenska arbetsmarknadsregler idag också flexiblare än tidigare.</w:t>
      </w:r>
    </w:p>
    <w:p w:rsidR="0036152E" w:rsidRPr="0036152E" w:rsidRDefault="0036152E">
      <w:pPr>
        <w:pStyle w:val="Normaltindrag"/>
      </w:pPr>
      <w:r w:rsidRPr="0036152E">
        <w:t>När vi nu går in i en period med stigande arbetslöshet är det extra angel</w:t>
      </w:r>
      <w:r w:rsidRPr="0036152E">
        <w:t>ä</w:t>
      </w:r>
      <w:r w:rsidRPr="0036152E">
        <w:t>get att se över vad som går att göra för att ytterligare förbättra möjligheterna, på kort och lång sikt, för unga att komma in på arbetsmarknaden. Det finns redan idag på svensk arbetsmarknad tillfällen då särskilda regler gäller vid starten av en yrkesbana. Till exempel får yngre jurister tidsbegränsade a</w:t>
      </w:r>
      <w:r w:rsidRPr="0036152E">
        <w:t>n</w:t>
      </w:r>
      <w:r w:rsidRPr="0036152E">
        <w:t xml:space="preserve">ställningar som tingsnotarier vid domstolar och nyutexaminerade läkare har en särskild anställningsform som AT-läkare. Möjligheten till denna typ av särskilda anställningsformer bör vidgas. Erfarenheter </w:t>
      </w:r>
      <w:r w:rsidRPr="0036152E">
        <w:t>från andra länder visar att eleverna i lärlingsanställningar i mycket hög utsträckning får reguljära anställningar när utbildningen är klar. Vi bör dra lärdom av systemen i till exempel Danmark och Tyskland där lärlingssystemen fungerar som en bra väg in på arbetsmarknaden för unga. Ett utbyggt lärlingssystem är något som gynnar både unga, som får användbara kunskaper och ett arbete, och arbet</w:t>
      </w:r>
      <w:r w:rsidRPr="0036152E">
        <w:t>s</w:t>
      </w:r>
      <w:r w:rsidRPr="0036152E">
        <w:t>givare, som får anställda med rätt kompetens. En anställningsform för lärlin</w:t>
      </w:r>
      <w:r w:rsidRPr="0036152E">
        <w:t>g</w:t>
      </w:r>
      <w:r w:rsidRPr="0036152E">
        <w:t>ar som medger särskilda anställningsvi</w:t>
      </w:r>
      <w:r w:rsidRPr="0036152E">
        <w:t>llkor och lärlingslön bör därför införas.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152E">
        <w:trPr>
          <w:cantSplit/>
        </w:trPr>
        <w:tc>
          <w:tcPr>
            <w:tcW w:w="3046" w:type="dxa"/>
          </w:tcPr>
          <w:p w:rsidR="0036152E" w:rsidRPr="0036152E" w:rsidRDefault="0036152E">
            <w:pPr>
              <w:pStyle w:val="UnderskriftDatum"/>
              <w:spacing w:before="240"/>
            </w:pPr>
            <w:r w:rsidRPr="0036152E">
              <w:t>Stockholm den 1 oktober 2009</w:t>
            </w:r>
          </w:p>
        </w:tc>
        <w:tc>
          <w:tcPr>
            <w:tcW w:w="3047" w:type="dxa"/>
          </w:tcPr>
          <w:p w:rsidR="0036152E" w:rsidRPr="0036152E" w:rsidRDefault="0036152E">
            <w:pPr>
              <w:pStyle w:val="Underskrifter"/>
              <w:spacing w:before="240"/>
            </w:pPr>
          </w:p>
        </w:tc>
      </w:tr>
      <w:tr w:rsidR="00000000" w:rsidRPr="0036152E">
        <w:trPr>
          <w:cantSplit/>
        </w:trPr>
        <w:tc>
          <w:tcPr>
            <w:tcW w:w="3046" w:type="dxa"/>
          </w:tcPr>
          <w:p w:rsidR="0036152E" w:rsidRPr="0036152E" w:rsidRDefault="0036152E">
            <w:pPr>
              <w:pStyle w:val="Underskrifter"/>
            </w:pPr>
            <w:r w:rsidRPr="0036152E">
              <w:t>Erik Ullenhag ()</w:t>
            </w:r>
          </w:p>
        </w:tc>
        <w:tc>
          <w:tcPr>
            <w:tcW w:w="3046" w:type="dxa"/>
          </w:tcPr>
          <w:p w:rsidR="0036152E" w:rsidRPr="0036152E" w:rsidRDefault="0036152E">
            <w:pPr>
              <w:pStyle w:val="Underskrifter"/>
            </w:pPr>
          </w:p>
        </w:tc>
      </w:tr>
      <w:tr w:rsidR="00000000" w:rsidRPr="0036152E">
        <w:trPr>
          <w:cantSplit/>
        </w:trPr>
        <w:tc>
          <w:tcPr>
            <w:tcW w:w="3046" w:type="dxa"/>
          </w:tcPr>
          <w:p w:rsidR="0036152E" w:rsidRPr="0036152E" w:rsidRDefault="0036152E">
            <w:pPr>
              <w:pStyle w:val="Underskrifter"/>
            </w:pPr>
            <w:r w:rsidRPr="0036152E">
              <w:t>Agneta Berliner (fp)</w:t>
            </w:r>
          </w:p>
        </w:tc>
        <w:tc>
          <w:tcPr>
            <w:tcW w:w="3046" w:type="dxa"/>
          </w:tcPr>
          <w:p w:rsidR="0036152E" w:rsidRPr="0036152E" w:rsidRDefault="0036152E">
            <w:pPr>
              <w:pStyle w:val="Underskrifter"/>
            </w:pPr>
            <w:r w:rsidRPr="0036152E">
              <w:t>Christer Nylander (fp)</w:t>
            </w:r>
          </w:p>
        </w:tc>
      </w:tr>
      <w:tr w:rsidR="00000000" w:rsidRPr="0036152E">
        <w:trPr>
          <w:cantSplit/>
        </w:trPr>
        <w:tc>
          <w:tcPr>
            <w:tcW w:w="3046" w:type="dxa"/>
          </w:tcPr>
          <w:p w:rsidR="0036152E" w:rsidRPr="0036152E" w:rsidRDefault="0036152E">
            <w:pPr>
              <w:pStyle w:val="Underskrifter"/>
            </w:pPr>
            <w:r w:rsidRPr="0036152E">
              <w:t>Karin Pilsäter (fp)</w:t>
            </w:r>
          </w:p>
        </w:tc>
        <w:tc>
          <w:tcPr>
            <w:tcW w:w="3046" w:type="dxa"/>
          </w:tcPr>
          <w:p w:rsidR="0036152E" w:rsidRPr="0036152E" w:rsidRDefault="0036152E">
            <w:pPr>
              <w:pStyle w:val="Underskrifter"/>
            </w:pPr>
          </w:p>
        </w:tc>
      </w:tr>
    </w:tbl>
    <w:p w:rsidR="0036152E" w:rsidRPr="0036152E" w:rsidRDefault="0036152E">
      <w:pPr>
        <w:pStyle w:val="Normaltindrag"/>
      </w:pPr>
    </w:p>
    <w:sectPr w:rsidR="00000000" w:rsidRPr="003615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52E" w:rsidRPr="0036152E" w:rsidRDefault="0036152E">
      <w:r w:rsidRPr="0036152E">
        <w:separator/>
      </w:r>
    </w:p>
  </w:endnote>
  <w:endnote w:type="continuationSeparator" w:id="0">
    <w:p w:rsidR="0036152E" w:rsidRPr="0036152E" w:rsidRDefault="0036152E">
      <w:r w:rsidRPr="003615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Sidfot"/>
    </w:pPr>
    <w:r w:rsidRPr="003615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509728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52E" w:rsidRDefault="003615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52E" w:rsidRDefault="003615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Sidfot"/>
    </w:pPr>
    <w:r w:rsidRPr="003615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94488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52E" w:rsidRDefault="003615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52E" w:rsidRDefault="003615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Sidfot"/>
    </w:pPr>
    <w:r w:rsidRPr="003615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7763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52E" w:rsidRDefault="003615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52E" w:rsidRDefault="003615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52E" w:rsidRPr="0036152E" w:rsidRDefault="0036152E">
      <w:r w:rsidRPr="0036152E">
        <w:separator/>
      </w:r>
    </w:p>
  </w:footnote>
  <w:footnote w:type="continuationSeparator" w:id="0">
    <w:p w:rsidR="0036152E" w:rsidRPr="0036152E" w:rsidRDefault="0036152E">
      <w:r w:rsidRPr="003615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Sidhuvud"/>
    </w:pPr>
    <w:r w:rsidRPr="003615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163348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52E" w:rsidRDefault="003615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52E" w:rsidRDefault="003615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Sidhuvud"/>
    </w:pPr>
    <w:r w:rsidRPr="003615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44908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52E" w:rsidRDefault="003615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52E" w:rsidRDefault="003615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52E" w:rsidRPr="0036152E" w:rsidRDefault="0036152E">
    <w:pPr>
      <w:pStyle w:val="FSHNormal"/>
      <w:tabs>
        <w:tab w:val="right" w:pos="5840"/>
      </w:tabs>
    </w:pPr>
    <w:r w:rsidRPr="0036152E">
      <w:br/>
    </w:r>
    <w:r w:rsidRPr="0036152E">
      <w:fldChar w:fldCharType="begin" w:fldLock="1"/>
    </w:r>
    <w:r w:rsidRPr="0036152E">
      <w:instrText xml:space="preserve"> DOCPROPERTY</w:instrText>
    </w:r>
    <w:r w:rsidRPr="0036152E">
      <w:rPr>
        <w:sz w:val="18"/>
      </w:rPr>
      <w:instrText xml:space="preserve"> "YearUser" *\charformat </w:instrText>
    </w:r>
    <w:r w:rsidRPr="0036152E">
      <w:fldChar w:fldCharType="separate"/>
    </w:r>
    <w:r w:rsidRPr="0036152E">
      <w:t>2009/10</w:t>
    </w:r>
    <w:r w:rsidRPr="0036152E">
      <w:fldChar w:fldCharType="end"/>
    </w:r>
    <w:r w:rsidRPr="0036152E">
      <w:t xml:space="preserve"> </w:t>
    </w:r>
    <w:r w:rsidRPr="0036152E">
      <w:tab/>
      <w:t xml:space="preserve">mnr: </w:t>
    </w:r>
    <w:r w:rsidRPr="0036152E">
      <w:fldChar w:fldCharType="begin" w:fldLock="1"/>
    </w:r>
    <w:r w:rsidRPr="0036152E">
      <w:instrText xml:space="preserve"> DOCPROPERTY</w:instrText>
    </w:r>
    <w:r w:rsidRPr="0036152E">
      <w:rPr>
        <w:sz w:val="18"/>
      </w:rPr>
      <w:instrText xml:space="preserve"> "Motionsnummer" *\charformat </w:instrText>
    </w:r>
    <w:r w:rsidRPr="0036152E">
      <w:fldChar w:fldCharType="separate"/>
    </w:r>
    <w:r w:rsidRPr="0036152E">
      <w:t>A240</w:t>
    </w:r>
    <w:r w:rsidRPr="0036152E">
      <w:fldChar w:fldCharType="end"/>
    </w:r>
    <w:r w:rsidRPr="0036152E">
      <w:br/>
    </w:r>
    <w:r w:rsidRPr="0036152E">
      <w:fldChar w:fldCharType="begin" w:fldLock="1"/>
    </w:r>
    <w:r w:rsidRPr="0036152E">
      <w:instrText xml:space="preserve"> DOCPROPERTY</w:instrText>
    </w:r>
    <w:r w:rsidRPr="0036152E">
      <w:rPr>
        <w:sz w:val="18"/>
      </w:rPr>
      <w:instrText xml:space="preserve"> "Samling" *\charformat </w:instrText>
    </w:r>
    <w:r w:rsidRPr="0036152E">
      <w:fldChar w:fldCharType="end"/>
    </w:r>
    <w:r w:rsidRPr="0036152E">
      <w:tab/>
      <w:t xml:space="preserve">pnr: </w:t>
    </w:r>
    <w:r w:rsidRPr="0036152E">
      <w:fldChar w:fldCharType="begin" w:fldLock="1"/>
    </w:r>
    <w:r w:rsidRPr="0036152E">
      <w:instrText xml:space="preserve"> DOCPROPERTY</w:instrText>
    </w:r>
    <w:r w:rsidRPr="0036152E">
      <w:rPr>
        <w:sz w:val="18"/>
      </w:rPr>
      <w:instrText xml:space="preserve"> "Partinummer" *\charformat </w:instrText>
    </w:r>
    <w:r w:rsidRPr="0036152E">
      <w:fldChar w:fldCharType="separate"/>
    </w:r>
    <w:r w:rsidRPr="0036152E">
      <w:t>fp1350</w:t>
    </w:r>
    <w:r w:rsidRPr="0036152E">
      <w:fldChar w:fldCharType="end"/>
    </w:r>
  </w:p>
  <w:p w:rsidR="0036152E" w:rsidRPr="0036152E" w:rsidRDefault="0036152E">
    <w:pPr>
      <w:pStyle w:val="FSHRub1"/>
    </w:pPr>
    <w:r w:rsidRPr="0036152E">
      <w:t>Motion till riksdagen</w:t>
    </w:r>
    <w:r w:rsidRPr="0036152E">
      <w:br/>
    </w:r>
    <w:r w:rsidRPr="0036152E">
      <w:fldChar w:fldCharType="begin" w:fldLock="1"/>
    </w:r>
    <w:r w:rsidRPr="0036152E">
      <w:instrText xml:space="preserve"> DOCPROPERTY "YearUser" *\charformat </w:instrText>
    </w:r>
    <w:r w:rsidRPr="0036152E">
      <w:fldChar w:fldCharType="separate"/>
    </w:r>
    <w:r w:rsidRPr="0036152E">
      <w:t>2009/10</w:t>
    </w:r>
    <w:r w:rsidRPr="0036152E">
      <w:fldChar w:fldCharType="end"/>
    </w:r>
    <w:r w:rsidRPr="0036152E">
      <w:t>:</w:t>
    </w:r>
    <w:r w:rsidRPr="0036152E">
      <w:fldChar w:fldCharType="begin" w:fldLock="1"/>
    </w:r>
    <w:r w:rsidRPr="0036152E">
      <w:instrText xml:space="preserve"> DOCPROPERTY "Motionsnummer" *\charformat </w:instrText>
    </w:r>
    <w:r w:rsidRPr="0036152E">
      <w:fldChar w:fldCharType="separate"/>
    </w:r>
    <w:r w:rsidRPr="0036152E">
      <w:t>A240</w:t>
    </w:r>
    <w:r w:rsidRPr="0036152E">
      <w:fldChar w:fldCharType="end"/>
    </w:r>
  </w:p>
  <w:p w:rsidR="0036152E" w:rsidRPr="0036152E" w:rsidRDefault="0036152E">
    <w:pPr>
      <w:pStyle w:val="FSHNormalS5"/>
    </w:pPr>
    <w:r w:rsidRPr="0036152E">
      <w:fldChar w:fldCharType="begin" w:fldLock="1"/>
    </w:r>
    <w:r w:rsidRPr="0036152E">
      <w:instrText xml:space="preserve"> DOCPROPERTY "MotionarText" *\charformat </w:instrText>
    </w:r>
    <w:r w:rsidRPr="0036152E">
      <w:fldChar w:fldCharType="separate"/>
    </w:r>
    <w:r w:rsidRPr="0036152E">
      <w:t>av Erik Ullenhag m.fl. (fp)</w:t>
    </w:r>
    <w:r w:rsidRPr="0036152E">
      <w:fldChar w:fldCharType="end"/>
    </w:r>
    <w:r w:rsidRPr="0036152E">
      <w:br/>
    </w:r>
    <w:r w:rsidRPr="0036152E">
      <w:fldChar w:fldCharType="begin" w:fldLock="1"/>
    </w:r>
    <w:r w:rsidRPr="0036152E">
      <w:instrText xml:space="preserve"> DOCPROPERTY "SvarFrasKort" *\charformat </w:instrText>
    </w:r>
    <w:r w:rsidRPr="0036152E">
      <w:fldChar w:fldCharType="end"/>
    </w:r>
  </w:p>
  <w:p w:rsidR="0036152E" w:rsidRPr="0036152E" w:rsidRDefault="0036152E">
    <w:pPr>
      <w:pStyle w:val="FSHTitel"/>
    </w:pPr>
    <w:r w:rsidRPr="0036152E">
      <w:fldChar w:fldCharType="begin" w:fldLock="1"/>
    </w:r>
    <w:r w:rsidRPr="0036152E">
      <w:instrText xml:space="preserve"> DOCPROPERTY</w:instrText>
    </w:r>
    <w:r w:rsidRPr="0036152E">
      <w:rPr>
        <w:sz w:val="18"/>
      </w:rPr>
      <w:instrText xml:space="preserve"> "RubrikSvar" *\charformat </w:instrText>
    </w:r>
    <w:r w:rsidRPr="0036152E">
      <w:fldChar w:fldCharType="separate"/>
    </w:r>
    <w:r w:rsidRPr="0036152E">
      <w:t>Särskild anställningsform för lärlingar</w:t>
    </w:r>
    <w:r w:rsidRPr="0036152E">
      <w:fldChar w:fldCharType="end"/>
    </w:r>
  </w:p>
  <w:p w:rsidR="0036152E" w:rsidRPr="0036152E" w:rsidRDefault="0036152E">
    <w:pPr>
      <w:pStyle w:val="Normal00"/>
    </w:pPr>
  </w:p>
  <w:p w:rsidR="0036152E" w:rsidRPr="0036152E" w:rsidRDefault="003615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B892660"/>
    <w:multiLevelType w:val="hybridMultilevel"/>
    <w:tmpl w:val="0AF808E6"/>
    <w:lvl w:ilvl="0" w:tplc="9C561ADE">
      <w:start w:val="1"/>
      <w:numFmt w:val="decimal"/>
      <w:lvlText w:val="%1."/>
      <w:lvlJc w:val="left"/>
      <w:pPr>
        <w:tabs>
          <w:tab w:val="num" w:pos="692"/>
        </w:tabs>
        <w:ind w:left="692" w:hanging="465"/>
      </w:pPr>
      <w:rPr>
        <w:rFonts w:hint="default"/>
      </w:rPr>
    </w:lvl>
    <w:lvl w:ilvl="1" w:tplc="041D0019" w:tentative="1">
      <w:start w:val="1"/>
      <w:numFmt w:val="lowerLetter"/>
      <w:lvlText w:val="%2."/>
      <w:lvlJc w:val="left"/>
      <w:pPr>
        <w:tabs>
          <w:tab w:val="num" w:pos="1307"/>
        </w:tabs>
        <w:ind w:left="1307" w:hanging="360"/>
      </w:pPr>
    </w:lvl>
    <w:lvl w:ilvl="2" w:tplc="041D001B" w:tentative="1">
      <w:start w:val="1"/>
      <w:numFmt w:val="lowerRoman"/>
      <w:lvlText w:val="%3."/>
      <w:lvlJc w:val="right"/>
      <w:pPr>
        <w:tabs>
          <w:tab w:val="num" w:pos="2027"/>
        </w:tabs>
        <w:ind w:left="2027" w:hanging="180"/>
      </w:pPr>
    </w:lvl>
    <w:lvl w:ilvl="3" w:tplc="041D000F" w:tentative="1">
      <w:start w:val="1"/>
      <w:numFmt w:val="decimal"/>
      <w:lvlText w:val="%4."/>
      <w:lvlJc w:val="left"/>
      <w:pPr>
        <w:tabs>
          <w:tab w:val="num" w:pos="2747"/>
        </w:tabs>
        <w:ind w:left="2747" w:hanging="360"/>
      </w:pPr>
    </w:lvl>
    <w:lvl w:ilvl="4" w:tplc="041D0019" w:tentative="1">
      <w:start w:val="1"/>
      <w:numFmt w:val="lowerLetter"/>
      <w:lvlText w:val="%5."/>
      <w:lvlJc w:val="left"/>
      <w:pPr>
        <w:tabs>
          <w:tab w:val="num" w:pos="3467"/>
        </w:tabs>
        <w:ind w:left="3467" w:hanging="360"/>
      </w:pPr>
    </w:lvl>
    <w:lvl w:ilvl="5" w:tplc="041D001B" w:tentative="1">
      <w:start w:val="1"/>
      <w:numFmt w:val="lowerRoman"/>
      <w:lvlText w:val="%6."/>
      <w:lvlJc w:val="right"/>
      <w:pPr>
        <w:tabs>
          <w:tab w:val="num" w:pos="4187"/>
        </w:tabs>
        <w:ind w:left="4187" w:hanging="180"/>
      </w:pPr>
    </w:lvl>
    <w:lvl w:ilvl="6" w:tplc="041D000F" w:tentative="1">
      <w:start w:val="1"/>
      <w:numFmt w:val="decimal"/>
      <w:lvlText w:val="%7."/>
      <w:lvlJc w:val="left"/>
      <w:pPr>
        <w:tabs>
          <w:tab w:val="num" w:pos="4907"/>
        </w:tabs>
        <w:ind w:left="4907" w:hanging="360"/>
      </w:pPr>
    </w:lvl>
    <w:lvl w:ilvl="7" w:tplc="041D0019" w:tentative="1">
      <w:start w:val="1"/>
      <w:numFmt w:val="lowerLetter"/>
      <w:lvlText w:val="%8."/>
      <w:lvlJc w:val="left"/>
      <w:pPr>
        <w:tabs>
          <w:tab w:val="num" w:pos="5627"/>
        </w:tabs>
        <w:ind w:left="5627" w:hanging="360"/>
      </w:pPr>
    </w:lvl>
    <w:lvl w:ilvl="8" w:tplc="041D001B" w:tentative="1">
      <w:start w:val="1"/>
      <w:numFmt w:val="lowerRoman"/>
      <w:lvlText w:val="%9."/>
      <w:lvlJc w:val="right"/>
      <w:pPr>
        <w:tabs>
          <w:tab w:val="num" w:pos="6347"/>
        </w:tabs>
        <w:ind w:left="6347"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29B4D58"/>
    <w:multiLevelType w:val="hybridMultilevel"/>
    <w:tmpl w:val="59C06D0A"/>
    <w:lvl w:ilvl="0" w:tplc="0DC209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9076323">
    <w:abstractNumId w:val="8"/>
  </w:num>
  <w:num w:numId="2" w16cid:durableId="793597199">
    <w:abstractNumId w:val="9"/>
  </w:num>
  <w:num w:numId="3" w16cid:durableId="1753114362">
    <w:abstractNumId w:val="8"/>
  </w:num>
  <w:num w:numId="4" w16cid:durableId="1057362589">
    <w:abstractNumId w:val="9"/>
  </w:num>
  <w:num w:numId="5" w16cid:durableId="876968111">
    <w:abstractNumId w:val="15"/>
  </w:num>
  <w:num w:numId="6" w16cid:durableId="542060950">
    <w:abstractNumId w:val="10"/>
  </w:num>
  <w:num w:numId="7" w16cid:durableId="1998682842">
    <w:abstractNumId w:val="12"/>
  </w:num>
  <w:num w:numId="8" w16cid:durableId="1343976534">
    <w:abstractNumId w:val="14"/>
  </w:num>
  <w:num w:numId="9" w16cid:durableId="1775007203">
    <w:abstractNumId w:val="8"/>
  </w:num>
  <w:num w:numId="10" w16cid:durableId="1534073198">
    <w:abstractNumId w:val="3"/>
  </w:num>
  <w:num w:numId="11" w16cid:durableId="1114402631">
    <w:abstractNumId w:val="2"/>
  </w:num>
  <w:num w:numId="12" w16cid:durableId="1437367379">
    <w:abstractNumId w:val="1"/>
  </w:num>
  <w:num w:numId="13" w16cid:durableId="1486585613">
    <w:abstractNumId w:val="0"/>
  </w:num>
  <w:num w:numId="14" w16cid:durableId="1888495250">
    <w:abstractNumId w:val="9"/>
  </w:num>
  <w:num w:numId="15" w16cid:durableId="1906604926">
    <w:abstractNumId w:val="7"/>
  </w:num>
  <w:num w:numId="16" w16cid:durableId="1724258712">
    <w:abstractNumId w:val="6"/>
  </w:num>
  <w:num w:numId="17" w16cid:durableId="195126352">
    <w:abstractNumId w:val="5"/>
  </w:num>
  <w:num w:numId="18" w16cid:durableId="291132375">
    <w:abstractNumId w:val="4"/>
  </w:num>
  <w:num w:numId="19" w16cid:durableId="478156050">
    <w:abstractNumId w:val="11"/>
  </w:num>
  <w:num w:numId="20" w16cid:durableId="267084897">
    <w:abstractNumId w:val="13"/>
  </w:num>
  <w:num w:numId="21" w16cid:durableId="773481398">
    <w:abstractNumId w:val="12"/>
  </w:num>
  <w:num w:numId="22" w16cid:durableId="227545396">
    <w:abstractNumId w:val="10"/>
  </w:num>
  <w:num w:numId="23" w16cid:durableId="974481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3EA5E912-5D65-4F56-9036-D93436E2A752},{DAD98723-96A2-4811-813A-08D52AC9C422},{6D7D8505-D987-4E65-9DE8-D8558CB42100},{BCFB9A3A-F00C-4C7C-9C8D-28DD730F41F1}"/>
  </w:docVars>
  <w:rsids>
    <w:rsidRoot w:val="005C6BAD"/>
    <w:rsid w:val="0036152E"/>
    <w:rsid w:val="005C6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4D91A8D-FE17-48AF-9414-9EA3B740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1Char">
    <w:name w:val="Rubrik 1 Char"/>
    <w:basedOn w:val="Standardstycketeckensnitt"/>
    <w:link w:val="Rubrik1"/>
    <w:rPr>
      <w:sz w:val="32"/>
      <w:lang w:val="sv-SE" w:eastAsia="sv-SE" w:bidi="ar-SA"/>
    </w:rPr>
  </w:style>
  <w:style w:type="character" w:customStyle="1" w:styleId="FrslagsrubrikChar">
    <w:name w:val="Förslagsrubrik Char"/>
    <w:basedOn w:val="Rubrik1Char"/>
    <w:link w:val="Frslagsrubrik"/>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3256</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fp1350</vt:lpstr>
    </vt:vector>
  </TitlesOfParts>
  <Company>Riksdagen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fp1350</dc:title>
  <dc:subject>fp1350</dc:subject>
  <dc:creator>Riksdagen</dc:creator>
  <cp:keywords>Riksdagen</cp:keywords>
  <dc:description/>
  <cp:lastModifiedBy>Lars Brink</cp:lastModifiedBy>
  <cp:revision>2</cp:revision>
  <cp:lastPrinted>2010-02-02T06:40:00Z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mot2000_505_2009-09-30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Särskild anställningsform för lärlingar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 anställningsform för lärlingar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Erik Ullenhag m.fl. (fp)</vt:lpwstr>
  </property>
  <property fmtid="{D5CDD505-2E9C-101B-9397-08002B2CF9AE}" pid="26" name="MotionarLista">
    <vt:lpwstr>Ullenhag, Erik (fp)\Berliner, Agneta (fp)\Nylander, Christer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Agneta Berliner (fp), Christer Nylander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fredrik.svensson@riksdagen.se</vt:lpwstr>
  </property>
  <property fmtid="{D5CDD505-2E9C-101B-9397-08002B2CF9AE}" pid="45" name="ReservUID">
    <vt:lpwstr>fk0606aa</vt:lpwstr>
  </property>
  <property fmtid="{D5CDD505-2E9C-101B-9397-08002B2CF9AE}" pid="46" name="MotionID">
    <vt:lpwstr>20092010000001020112000013500069</vt:lpwstr>
  </property>
  <property fmtid="{D5CDD505-2E9C-101B-9397-08002B2CF9AE}" pid="47" name="datum">
    <vt:lpwstr>091001</vt:lpwstr>
  </property>
  <property fmtid="{D5CDD505-2E9C-101B-9397-08002B2CF9AE}" pid="48" name="avsändar-e-post">
    <vt:lpwstr>fredrik.svensson@riksdagen.se</vt:lpwstr>
  </property>
  <property fmtid="{D5CDD505-2E9C-101B-9397-08002B2CF9AE}" pid="49" name="id">
    <vt:lpwstr>20092010000001020112000013500069</vt:lpwstr>
  </property>
  <property fmtid="{D5CDD505-2E9C-101B-9397-08002B2CF9AE}" pid="50" name="nummer">
    <vt:lpwstr>240</vt:lpwstr>
  </property>
  <property fmtid="{D5CDD505-2E9C-101B-9397-08002B2CF9AE}" pid="51" name="utskottsbeteckning">
    <vt:lpwstr>A</vt:lpwstr>
  </property>
  <property fmtid="{D5CDD505-2E9C-101B-9397-08002B2CF9AE}" pid="52" name="GlobalUID">
    <vt:lpwstr>{CA256C9E-B853-4927-937F-1A904A7F404F}</vt:lpwstr>
  </property>
  <property fmtid="{D5CDD505-2E9C-101B-9397-08002B2CF9AE}" pid="53" name="Överföringar">
    <vt:i4>0</vt:i4>
  </property>
  <property fmtid="{D5CDD505-2E9C-101B-9397-08002B2CF9AE}" pid="54" name="Checksum">
    <vt:lpwstr>*1006582826044*</vt:lpwstr>
  </property>
  <property fmtid="{D5CDD505-2E9C-101B-9397-08002B2CF9AE}" pid="55" name="skuggnummer">
    <vt:lpwstr>978</vt:lpwstr>
  </property>
  <property fmtid="{D5CDD505-2E9C-101B-9397-08002B2CF9AE}" pid="56" name="urixVersion">
    <vt:lpwstr>4.1.1.6</vt:lpwstr>
  </property>
  <property fmtid="{D5CDD505-2E9C-101B-9397-08002B2CF9AE}" pid="57" name="urixOrigin">
    <vt:lpwstr>100202 07:40:59.359</vt:lpwstr>
  </property>
  <property fmtid="{D5CDD505-2E9C-101B-9397-08002B2CF9AE}" pid="58" name="urixGuid">
    <vt:lpwstr>{97FC0CDA-52C8-4167-A1FF-CBAE0D2425FC}</vt:lpwstr>
  </property>
</Properties>
</file>