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E3DC0">
        <w:tblPrEx>
          <w:tblCellMar>
            <w:top w:w="0" w:type="dxa"/>
            <w:left w:w="0" w:type="dxa"/>
            <w:bottom w:w="0" w:type="dxa"/>
            <w:right w:w="0" w:type="dxa"/>
          </w:tblCellMar>
        </w:tblPrEx>
        <w:trPr>
          <w:gridAfter w:val="2"/>
          <w:wAfter w:w="1758" w:type="dxa"/>
          <w:cantSplit/>
          <w:trHeight w:val="1320"/>
        </w:trPr>
        <w:tc>
          <w:tcPr>
            <w:tcW w:w="5897" w:type="dxa"/>
          </w:tcPr>
          <w:p w:rsidR="00DC6D68" w:rsidRPr="009E3DC0" w:rsidRDefault="00DC6D68">
            <w:pPr>
              <w:pStyle w:val="HuvudRubrik"/>
            </w:pPr>
            <w:r w:rsidRPr="009E3DC0">
              <w:t>Regeringskansliet</w:t>
            </w:r>
          </w:p>
          <w:p w:rsidR="00DC6D68" w:rsidRPr="009E3DC0" w:rsidRDefault="00DC6D68">
            <w:pPr>
              <w:pStyle w:val="HuvudRubrik"/>
            </w:pPr>
            <w:r w:rsidRPr="009E3DC0">
              <w:t>Faktapromemoria 2010/11:FPM3</w:t>
            </w:r>
          </w:p>
        </w:tc>
      </w:tr>
      <w:tr w:rsidR="00000000" w:rsidRPr="009E3DC0">
        <w:tblPrEx>
          <w:tblCellMar>
            <w:top w:w="0" w:type="dxa"/>
            <w:left w:w="0" w:type="dxa"/>
            <w:bottom w:w="0" w:type="dxa"/>
            <w:right w:w="0" w:type="dxa"/>
          </w:tblCellMar>
        </w:tblPrEx>
        <w:trPr>
          <w:gridAfter w:val="2"/>
          <w:wAfter w:w="1758" w:type="dxa"/>
          <w:cantSplit/>
          <w:trHeight w:val="240"/>
        </w:trPr>
        <w:tc>
          <w:tcPr>
            <w:tcW w:w="5897" w:type="dxa"/>
          </w:tcPr>
          <w:p w:rsidR="00DC6D68" w:rsidRPr="009E3DC0" w:rsidRDefault="00DC6D68">
            <w:pPr>
              <w:pStyle w:val="HuvudRubrik"/>
              <w:rPr>
                <w:sz w:val="28"/>
              </w:rPr>
            </w:pPr>
            <w:r w:rsidRPr="009E3DC0">
              <w:t>Avtal om viseringsfrihet mellan EU och Brasilien</w:t>
            </w:r>
          </w:p>
        </w:tc>
      </w:tr>
      <w:tr w:rsidR="00000000" w:rsidRPr="009E3DC0">
        <w:tblPrEx>
          <w:tblCellMar>
            <w:top w:w="0" w:type="dxa"/>
            <w:left w:w="0" w:type="dxa"/>
            <w:bottom w:w="0" w:type="dxa"/>
            <w:right w:w="0" w:type="dxa"/>
          </w:tblCellMar>
        </w:tblPrEx>
        <w:trPr>
          <w:cantSplit/>
          <w:trHeight w:val="285"/>
        </w:trPr>
        <w:tc>
          <w:tcPr>
            <w:tcW w:w="7655" w:type="dxa"/>
            <w:gridSpan w:val="3"/>
          </w:tcPr>
          <w:p w:rsidR="00DC6D68" w:rsidRPr="009E3DC0" w:rsidRDefault="00DC6D68">
            <w:pPr>
              <w:pStyle w:val="Departement"/>
              <w:rPr>
                <w:sz w:val="28"/>
              </w:rPr>
            </w:pPr>
            <w:r w:rsidRPr="009E3DC0">
              <w:t>Justitiedepartementet</w:t>
            </w:r>
          </w:p>
        </w:tc>
      </w:tr>
      <w:tr w:rsidR="00000000" w:rsidRPr="009E3DC0">
        <w:tblPrEx>
          <w:tblCellMar>
            <w:top w:w="0" w:type="dxa"/>
            <w:left w:w="0" w:type="dxa"/>
            <w:bottom w:w="0" w:type="dxa"/>
            <w:right w:w="0" w:type="dxa"/>
          </w:tblCellMar>
        </w:tblPrEx>
        <w:trPr>
          <w:cantSplit/>
          <w:trHeight w:val="240"/>
        </w:trPr>
        <w:tc>
          <w:tcPr>
            <w:tcW w:w="7655" w:type="dxa"/>
            <w:gridSpan w:val="3"/>
          </w:tcPr>
          <w:p w:rsidR="00DC6D68" w:rsidRPr="009E3DC0" w:rsidRDefault="00DC6D68">
            <w:pPr>
              <w:pStyle w:val="Dokumentdatum"/>
            </w:pPr>
            <w:r w:rsidRPr="009E3DC0">
              <w:t>2010-10-12</w:t>
            </w:r>
          </w:p>
        </w:tc>
      </w:tr>
      <w:tr w:rsidR="00000000" w:rsidRPr="009E3DC0">
        <w:tblPrEx>
          <w:tblCellMar>
            <w:top w:w="0" w:type="dxa"/>
            <w:left w:w="0" w:type="dxa"/>
            <w:bottom w:w="0" w:type="dxa"/>
            <w:right w:w="0" w:type="dxa"/>
          </w:tblCellMar>
        </w:tblPrEx>
        <w:trPr>
          <w:cantSplit/>
          <w:trHeight w:val="726"/>
        </w:trPr>
        <w:tc>
          <w:tcPr>
            <w:tcW w:w="7655" w:type="dxa"/>
            <w:gridSpan w:val="3"/>
            <w:vAlign w:val="bottom"/>
          </w:tcPr>
          <w:p w:rsidR="00DC6D68" w:rsidRPr="009E3DC0" w:rsidRDefault="00DC6D68">
            <w:pPr>
              <w:pStyle w:val="Dokumentbeteckning"/>
            </w:pPr>
            <w:r w:rsidRPr="009E3DC0">
              <w:t>Dokumentbeteckning</w:t>
            </w:r>
          </w:p>
        </w:tc>
      </w:tr>
      <w:tr w:rsidR="00000000" w:rsidRPr="009E3DC0">
        <w:tblPrEx>
          <w:tblCellMar>
            <w:top w:w="0" w:type="dxa"/>
            <w:left w:w="0" w:type="dxa"/>
            <w:bottom w:w="0" w:type="dxa"/>
            <w:right w:w="0" w:type="dxa"/>
          </w:tblCellMar>
        </w:tblPrEx>
        <w:trPr>
          <w:gridAfter w:val="1"/>
          <w:wAfter w:w="1560" w:type="dxa"/>
          <w:trHeight w:val="120"/>
        </w:trPr>
        <w:tc>
          <w:tcPr>
            <w:tcW w:w="6095" w:type="dxa"/>
            <w:gridSpan w:val="2"/>
          </w:tcPr>
          <w:p w:rsidR="00DC6D68" w:rsidRPr="009E3DC0" w:rsidRDefault="00DC6D68">
            <w:bookmarkStart w:id="0" w:name="KomNr"/>
            <w:bookmarkEnd w:id="0"/>
            <w:r w:rsidRPr="009E3DC0">
              <w:t>KOM(2010) 409</w:t>
            </w:r>
          </w:p>
        </w:tc>
      </w:tr>
      <w:tr w:rsidR="00000000" w:rsidRPr="009E3DC0">
        <w:tblPrEx>
          <w:tblCellMar>
            <w:top w:w="0" w:type="dxa"/>
            <w:left w:w="0" w:type="dxa"/>
            <w:bottom w:w="0" w:type="dxa"/>
            <w:right w:w="0" w:type="dxa"/>
          </w:tblCellMar>
        </w:tblPrEx>
        <w:trPr>
          <w:gridAfter w:val="1"/>
          <w:wAfter w:w="1560" w:type="dxa"/>
          <w:trHeight w:val="120"/>
        </w:trPr>
        <w:tc>
          <w:tcPr>
            <w:tcW w:w="6095" w:type="dxa"/>
            <w:gridSpan w:val="2"/>
          </w:tcPr>
          <w:p w:rsidR="00DC6D68" w:rsidRPr="009E3DC0" w:rsidRDefault="00DC6D68">
            <w:pPr>
              <w:pStyle w:val="Dokumentbeteckning-titel"/>
            </w:pPr>
            <w:r w:rsidRPr="009E3DC0">
              <w:t>Förslag till rådets beslut om undertecknande av avtalet mellan Europeiska unionen och Förbundsrepubliken Brasilien om undantag från viseringskravet vid kortare vistelser för innehavare av diplomatpass, tjänstepass eller officiella pass</w:t>
            </w:r>
          </w:p>
        </w:tc>
      </w:tr>
      <w:tr w:rsidR="00000000" w:rsidRPr="009E3DC0">
        <w:tblPrEx>
          <w:tblCellMar>
            <w:top w:w="0" w:type="dxa"/>
            <w:left w:w="0" w:type="dxa"/>
            <w:bottom w:w="0" w:type="dxa"/>
            <w:right w:w="0" w:type="dxa"/>
          </w:tblCellMar>
        </w:tblPrEx>
        <w:trPr>
          <w:gridAfter w:val="1"/>
          <w:wAfter w:w="1560" w:type="dxa"/>
          <w:trHeight w:val="120"/>
        </w:trPr>
        <w:tc>
          <w:tcPr>
            <w:tcW w:w="6095" w:type="dxa"/>
            <w:gridSpan w:val="2"/>
          </w:tcPr>
          <w:p w:rsidR="00DC6D68" w:rsidRPr="009E3DC0" w:rsidRDefault="00DC6D68">
            <w:r w:rsidRPr="009E3DC0">
              <w:t>KOM(2010) 410</w:t>
            </w:r>
          </w:p>
        </w:tc>
      </w:tr>
      <w:tr w:rsidR="00000000" w:rsidRPr="009E3DC0">
        <w:tblPrEx>
          <w:tblCellMar>
            <w:top w:w="0" w:type="dxa"/>
            <w:left w:w="0" w:type="dxa"/>
            <w:bottom w:w="0" w:type="dxa"/>
            <w:right w:w="0" w:type="dxa"/>
          </w:tblCellMar>
        </w:tblPrEx>
        <w:trPr>
          <w:gridAfter w:val="1"/>
          <w:wAfter w:w="1560" w:type="dxa"/>
          <w:trHeight w:val="120"/>
        </w:trPr>
        <w:tc>
          <w:tcPr>
            <w:tcW w:w="6095" w:type="dxa"/>
            <w:gridSpan w:val="2"/>
          </w:tcPr>
          <w:p w:rsidR="00DC6D68" w:rsidRPr="009E3DC0" w:rsidRDefault="00DC6D68">
            <w:pPr>
              <w:pStyle w:val="Dokumentbeteckning-titel"/>
            </w:pPr>
            <w:r w:rsidRPr="009E3DC0">
              <w:t>Förslag till rådets  beslut om ingående av avtalet mellan Europeiska unionen och Förbundsrepubliken Brasilien om undantag från viseringskravet vid kortare vistelser för innehavare av diplomatpass, tjänstepass eller officiella pass</w:t>
            </w:r>
          </w:p>
        </w:tc>
      </w:tr>
      <w:tr w:rsidR="00000000" w:rsidRPr="009E3DC0">
        <w:tblPrEx>
          <w:tblCellMar>
            <w:top w:w="0" w:type="dxa"/>
            <w:left w:w="0" w:type="dxa"/>
            <w:bottom w:w="0" w:type="dxa"/>
            <w:right w:w="0" w:type="dxa"/>
          </w:tblCellMar>
        </w:tblPrEx>
        <w:trPr>
          <w:gridAfter w:val="1"/>
          <w:wAfter w:w="1560" w:type="dxa"/>
          <w:trHeight w:val="120"/>
        </w:trPr>
        <w:tc>
          <w:tcPr>
            <w:tcW w:w="6095" w:type="dxa"/>
            <w:gridSpan w:val="2"/>
          </w:tcPr>
          <w:p w:rsidR="00DC6D68" w:rsidRPr="009E3DC0" w:rsidRDefault="00DC6D68">
            <w:r w:rsidRPr="009E3DC0">
              <w:t>KOM(2010) 419</w:t>
            </w:r>
          </w:p>
        </w:tc>
      </w:tr>
      <w:tr w:rsidR="00000000" w:rsidRPr="009E3DC0">
        <w:tblPrEx>
          <w:tblCellMar>
            <w:top w:w="0" w:type="dxa"/>
            <w:left w:w="0" w:type="dxa"/>
            <w:bottom w:w="0" w:type="dxa"/>
            <w:right w:w="0" w:type="dxa"/>
          </w:tblCellMar>
        </w:tblPrEx>
        <w:trPr>
          <w:gridAfter w:val="1"/>
          <w:wAfter w:w="1560" w:type="dxa"/>
          <w:trHeight w:val="120"/>
        </w:trPr>
        <w:tc>
          <w:tcPr>
            <w:tcW w:w="6095" w:type="dxa"/>
            <w:gridSpan w:val="2"/>
          </w:tcPr>
          <w:p w:rsidR="00DC6D68" w:rsidRPr="009E3DC0" w:rsidRDefault="00DC6D68">
            <w:pPr>
              <w:pStyle w:val="Dokumentbeteckning-titel"/>
            </w:pPr>
            <w:r w:rsidRPr="009E3DC0">
              <w:t>Förslag till rådets beslut om undertecknande av avtalet mellan Europeiska unionen och Förbundsrepubliken Brasilien om undantag från viseringskravet vid kortare vistelser för innehavare av vanliga pass</w:t>
            </w:r>
          </w:p>
        </w:tc>
      </w:tr>
      <w:tr w:rsidR="00000000" w:rsidRPr="009E3DC0">
        <w:tblPrEx>
          <w:tblCellMar>
            <w:top w:w="0" w:type="dxa"/>
            <w:left w:w="0" w:type="dxa"/>
            <w:bottom w:w="0" w:type="dxa"/>
            <w:right w:w="0" w:type="dxa"/>
          </w:tblCellMar>
        </w:tblPrEx>
        <w:trPr>
          <w:gridAfter w:val="1"/>
          <w:wAfter w:w="1560" w:type="dxa"/>
          <w:trHeight w:val="120"/>
        </w:trPr>
        <w:tc>
          <w:tcPr>
            <w:tcW w:w="6095" w:type="dxa"/>
            <w:gridSpan w:val="2"/>
          </w:tcPr>
          <w:p w:rsidR="00DC6D68" w:rsidRPr="009E3DC0" w:rsidRDefault="00DC6D68">
            <w:r w:rsidRPr="009E3DC0">
              <w:t>KOM(2010) 420</w:t>
            </w:r>
          </w:p>
        </w:tc>
      </w:tr>
      <w:tr w:rsidR="00000000" w:rsidRPr="009E3DC0">
        <w:tblPrEx>
          <w:tblCellMar>
            <w:top w:w="0" w:type="dxa"/>
            <w:left w:w="0" w:type="dxa"/>
            <w:bottom w:w="0" w:type="dxa"/>
            <w:right w:w="0" w:type="dxa"/>
          </w:tblCellMar>
        </w:tblPrEx>
        <w:trPr>
          <w:gridAfter w:val="1"/>
          <w:wAfter w:w="1560" w:type="dxa"/>
          <w:trHeight w:val="120"/>
        </w:trPr>
        <w:tc>
          <w:tcPr>
            <w:tcW w:w="6095" w:type="dxa"/>
            <w:gridSpan w:val="2"/>
          </w:tcPr>
          <w:p w:rsidR="00DC6D68" w:rsidRPr="009E3DC0" w:rsidRDefault="00DC6D68">
            <w:pPr>
              <w:pStyle w:val="Dokumentbeteckning-titel"/>
            </w:pPr>
            <w:r w:rsidRPr="009E3DC0">
              <w:t>Förslag till rådets beslut om ingående av avtalet mellan Europeiska unionen och Förbundsrepubliken Brasilien om undantag från viseringskravet vid kortare vistelser för innehavare av vanliga pass</w:t>
            </w:r>
          </w:p>
        </w:tc>
      </w:tr>
    </w:tbl>
    <w:p w:rsidR="00DC6D68" w:rsidRPr="009E3DC0" w:rsidRDefault="00DC6D68"/>
    <w:p w:rsidR="00DC6D68" w:rsidRPr="009E3DC0" w:rsidRDefault="00DC6D68">
      <w:pPr>
        <w:pStyle w:val="Rubrik1"/>
        <w:numPr>
          <w:ilvl w:val="0"/>
          <w:numId w:val="0"/>
        </w:numPr>
      </w:pPr>
      <w:r w:rsidRPr="009E3DC0">
        <w:t>Sammanfattning</w:t>
      </w:r>
    </w:p>
    <w:p w:rsidR="00DC6D68" w:rsidRPr="009E3DC0" w:rsidRDefault="00DC6D68">
      <w:r w:rsidRPr="009E3DC0">
        <w:t>I enlighet med Europaparlamentets och rådets förordning (EG) nr 539/2001 får brasilianska medborgare viseringsfritt resa till samtliga medlemsstater i EU för kortare vistelser. Brasilien har dock alltjämt haft viseringskrav för medborgarna i fyra medlemsstater: Cypern, Estland, Lettland och Malta.</w:t>
      </w:r>
    </w:p>
    <w:p w:rsidR="00DC6D68" w:rsidRPr="009E3DC0" w:rsidRDefault="00DC6D68">
      <w:pPr>
        <w:autoSpaceDE w:val="0"/>
        <w:autoSpaceDN w:val="0"/>
        <w:adjustRightInd w:val="0"/>
      </w:pPr>
      <w:r w:rsidRPr="009E3DC0">
        <w:t xml:space="preserve">Av konstitutionella skäl kan Brasilien inte ensidigt bevilja undantag från viseringskravet för dessa medlemsstater; det är nödvändigt att ingå ett avtal om undantag från viseringskravet. </w:t>
      </w:r>
      <w:r w:rsidRPr="009E3DC0">
        <w:t>Förhandlingar om ett sådant avtal inleddes i juli 2008. Den 6 augusti 2010 presenterade kommissionen förslag om un</w:t>
      </w:r>
      <w:r w:rsidRPr="009E3DC0">
        <w:lastRenderedPageBreak/>
        <w:t>dertecknande och ingående av avtal om viseringsfrihet mellan EU och Brasilien.</w:t>
      </w:r>
      <w:r w:rsidRPr="009E3DC0">
        <w:br/>
        <w:t xml:space="preserve">Av tekniska skäl har de avtalsslutande parterna kommit överens om att ingå två separata avtal: ett för innehavare av vanliga pass och ett för innehavare av diplomatpass och tjänstepass. </w:t>
      </w:r>
    </w:p>
    <w:p w:rsidR="00DC6D68" w:rsidRPr="009E3DC0" w:rsidRDefault="00DC6D68">
      <w:r w:rsidRPr="009E3DC0">
        <w:t>Regeringen välkomnar ingåendet av dessa avtal som ett steg i att underlätta resandet för den enskilde individen och stärka reciproci</w:t>
      </w:r>
      <w:r w:rsidRPr="009E3DC0">
        <w:t>teten mellan EU och Brasilien.</w:t>
      </w:r>
    </w:p>
    <w:p w:rsidR="00DC6D68" w:rsidRPr="009E3DC0" w:rsidRDefault="00DC6D68">
      <w:pPr>
        <w:pStyle w:val="Rubrik1"/>
      </w:pPr>
      <w:r w:rsidRPr="009E3DC0">
        <w:t>Förslaget</w:t>
      </w:r>
    </w:p>
    <w:p w:rsidR="00DC6D68" w:rsidRPr="009E3DC0" w:rsidRDefault="00DC6D68">
      <w:pPr>
        <w:pStyle w:val="Rubrik2"/>
      </w:pPr>
      <w:r w:rsidRPr="009E3DC0">
        <w:t>Ärendets bakgrund</w:t>
      </w:r>
    </w:p>
    <w:p w:rsidR="00DC6D68" w:rsidRPr="009E3DC0" w:rsidRDefault="00DC6D68">
      <w:r w:rsidRPr="009E3DC0">
        <w:t xml:space="preserve">Eftersom EU har en gemensam viseringspolitik och EU är ensam externt behörig på det här området ska EU förhandla fram och ingå avtal om undantag från viseringskrav, inte de enskilda medlemsstaterna. </w:t>
      </w:r>
    </w:p>
    <w:p w:rsidR="00DC6D68" w:rsidRPr="009E3DC0" w:rsidRDefault="00DC6D68">
      <w:r w:rsidRPr="009E3DC0">
        <w:t xml:space="preserve">Brasilien har sedan tidigare en rad bilaterala avtal om undantag från viseringskrav med de flesta av EU:s medlemsstater (undantaget </w:t>
      </w:r>
      <w:r w:rsidRPr="009E3DC0">
        <w:t>Cypern, Estland, Lettland och Malta)</w:t>
      </w:r>
      <w:r w:rsidRPr="009E3DC0">
        <w:t>. Dessa bilaterala avtal skiljer sig avsevärt i fråga om vilken personkrets som åtnjuter undantag från viseringskravet.</w:t>
      </w:r>
    </w:p>
    <w:p w:rsidR="00DC6D68" w:rsidRPr="009E3DC0" w:rsidRDefault="00DC6D68">
      <w:r w:rsidRPr="009E3DC0">
        <w:t>Eftersom fyra medlemsstater inte åtnjuter viseringsfritt resande till Brasilien råder inte total reciprocitet. Den 18 april 2008 antog rådet därför ett beslut om bemyndigande för kommissionen att inleda förhandlingar med Brasilien om ett avtal mellan EU och Brasilien om undantag från viseringskravet vid kortare vistelser.</w:t>
      </w:r>
    </w:p>
    <w:p w:rsidR="00DC6D68" w:rsidRPr="009E3DC0" w:rsidRDefault="00DC6D68">
      <w:r w:rsidRPr="009E3DC0">
        <w:t>Under förhandlingarna kom de avtalsslutande parterna överens om att ingå två separata avtal,</w:t>
      </w:r>
      <w:r w:rsidRPr="009E3DC0">
        <w:rPr>
          <w:b/>
        </w:rPr>
        <w:t xml:space="preserve"> </w:t>
      </w:r>
      <w:r w:rsidRPr="009E3DC0">
        <w:t>ett för innehavare av vanliga pass och ett för innehavare av diplomatpass och tjänstepass. Eftersom avtalet om innehavare av diplomatpass och tjänstepass inte behöver ratificeras av den brasilianska kongressen kan processen gå snabbare och ske separat från avtalet om innehavare av vanliga pass.</w:t>
      </w:r>
    </w:p>
    <w:p w:rsidR="00DC6D68" w:rsidRPr="009E3DC0" w:rsidRDefault="00DC6D68">
      <w:r w:rsidRPr="009E3DC0">
        <w:t xml:space="preserve">I syfte att sända en tydlig signal till Brasilien och värna de befintliga bilaterala avtalen, sändes en skrivelse till Brasilien den 5 februari 2010, om att Europeiska unionen kan komma att avbryta tillämpningen av </w:t>
      </w:r>
      <w:r w:rsidRPr="009E3DC0">
        <w:t xml:space="preserve">avtalet om Brasilien säger upp något av de befintliga bilaterala avtalen. </w:t>
      </w:r>
    </w:p>
    <w:p w:rsidR="00DC6D68" w:rsidRPr="009E3DC0" w:rsidRDefault="00DC6D68">
      <w:r w:rsidRPr="009E3DC0">
        <w:t>De förslag till undertecknande och ingående av avtalen som kommissionen här presenterat måste godkännas av rådet med kvalificerad majoritet. Europaparlamentet måste godkänna ingåendet av avtalen.</w:t>
      </w:r>
    </w:p>
    <w:p w:rsidR="00DC6D68" w:rsidRPr="009E3DC0" w:rsidRDefault="00DC6D68">
      <w:pPr>
        <w:pStyle w:val="Rubrik2"/>
      </w:pPr>
      <w:r w:rsidRPr="009E3DC0">
        <w:t>Förslagets innehåll</w:t>
      </w:r>
    </w:p>
    <w:p w:rsidR="00DC6D68" w:rsidRPr="009E3DC0" w:rsidRDefault="00DC6D68">
      <w:r w:rsidRPr="009E3DC0">
        <w:t>Avtalen innebär att EU och Brasilien ömsesidigt gör undantag från viseringskravet vid kortare resor för turism- eller affärsändamål för medborgare i Brasilien och EU.</w:t>
      </w:r>
    </w:p>
    <w:p w:rsidR="00DC6D68" w:rsidRPr="009E3DC0" w:rsidRDefault="00DC6D68">
      <w:pPr>
        <w:spacing w:before="0"/>
      </w:pPr>
      <w:r w:rsidRPr="009E3DC0">
        <w:t xml:space="preserve">I avtalen definieras ”turism” och ”affärer” brett och omfattar bl.a. idrottsmän och konstnärer förutsatt att ingen ersättning erhålls för deras verksamhet. Vissa kategorier, såsom familjebesök och officiella möten kommer också att omfattas av kategorierna ”turister” respektive ”affärsresenärer”. De båda kategorierna som omfattas av avtalet kommer att täcka 90–95 % av alla resenärer. </w:t>
      </w:r>
    </w:p>
    <w:p w:rsidR="00DC6D68" w:rsidRPr="009E3DC0" w:rsidRDefault="00DC6D68">
      <w:pPr>
        <w:spacing w:before="0"/>
      </w:pPr>
      <w:r w:rsidRPr="009E3DC0">
        <w:t>En rad kategorier (t.ex. studenter, forskare, konstnärer, religionsutövare, som definieras i brasiliansk nationell lagstiftning) undantas från avtalets tillämpningsområde. I avtalet föreskrivs dock att de bilaterala avtal som ingåtts mellan Brasilien och medlemsstaterna och som omfattar sådana kategorier som inte omfattas av EU-Brasilien-avtalet ska fortsätta att gälla i den mån de medger undantag från viseringskravet för dessa kategorier. Därigenom kan de EU-medborgare tillhörande andra kategorier (än tur</w:t>
      </w:r>
      <w:r w:rsidRPr="009E3DC0">
        <w:t xml:space="preserve">ism- och affärsresenärer) som omfattas av de bilaterala avtalen fortsätta att åtnjuta undantag från viseringskravet enligt dessa bilaterala avtal. Följaktligen innebär EU-Brasilien-avtalet inte att det blir svårare för medborgarna i de medlemsstater som har bilaterala avtal med Brasilien att resa utan visering till Brasilien, utan situationen förblir i princip oförändrad för dessa medborgare. </w:t>
      </w:r>
    </w:p>
    <w:p w:rsidR="00DC6D68" w:rsidRPr="009E3DC0" w:rsidRDefault="00DC6D68">
      <w:pPr>
        <w:pStyle w:val="Rubrik2"/>
      </w:pPr>
      <w:r w:rsidRPr="009E3DC0">
        <w:t>Gällande svenska regler och förslagets effekt på dessa</w:t>
      </w:r>
    </w:p>
    <w:p w:rsidR="00DC6D68" w:rsidRPr="009E3DC0" w:rsidRDefault="00DC6D68">
      <w:r w:rsidRPr="009E3DC0">
        <w:t xml:space="preserve">Någon ändring av svenska nationella bestämmelser är inte nödvändig. </w:t>
      </w:r>
    </w:p>
    <w:p w:rsidR="00DC6D68" w:rsidRPr="009E3DC0" w:rsidRDefault="00DC6D68">
      <w:pPr>
        <w:spacing w:before="0"/>
      </w:pPr>
      <w:r w:rsidRPr="009E3DC0">
        <w:t>Svenska medborgare åtnjuter viseringsfritt resande till Brasilien genom ett bilateralt avtal som ingicks mellan Sverige och Brasilien 1955. Detta bilaterala avtal gäller för tillfälliga vistelser i upp till tre månader och är inte begränsat till några specifika kategorier av resenärer.</w:t>
      </w:r>
    </w:p>
    <w:p w:rsidR="00DC6D68" w:rsidRPr="009E3DC0" w:rsidRDefault="00DC6D68">
      <w:pPr>
        <w:pStyle w:val="Rubrik2"/>
      </w:pPr>
      <w:r w:rsidRPr="009E3DC0">
        <w:t>Budgetära konsekvenser / Konsekvensanalys</w:t>
      </w:r>
    </w:p>
    <w:p w:rsidR="00DC6D68" w:rsidRPr="009E3DC0" w:rsidRDefault="00DC6D68">
      <w:r w:rsidRPr="009E3DC0">
        <w:t xml:space="preserve">Eftersom brasilianska medborgare redan idag reser viseringsfritt till Sverige uppskattas ingåendet av dessa avtal inte innebära några statsfinansiella konsekvenser. </w:t>
      </w:r>
    </w:p>
    <w:p w:rsidR="00DC6D68" w:rsidRPr="009E3DC0" w:rsidRDefault="00DC6D68"/>
    <w:p w:rsidR="00DC6D68" w:rsidRPr="009E3DC0" w:rsidRDefault="00DC6D68">
      <w:pPr>
        <w:pStyle w:val="Rubrik1"/>
      </w:pPr>
      <w:r w:rsidRPr="009E3DC0">
        <w:t>Ståndpunkter</w:t>
      </w:r>
    </w:p>
    <w:p w:rsidR="00DC6D68" w:rsidRPr="009E3DC0" w:rsidRDefault="00DC6D68">
      <w:pPr>
        <w:pStyle w:val="Rubrik2"/>
      </w:pPr>
      <w:r w:rsidRPr="009E3DC0">
        <w:t>Preliminär svensk ståndpunkt</w:t>
      </w:r>
    </w:p>
    <w:p w:rsidR="00DC6D68" w:rsidRPr="009E3DC0" w:rsidRDefault="00DC6D68">
      <w:r w:rsidRPr="009E3DC0">
        <w:t xml:space="preserve">Regeringen välkomnar ingåendet av dessa avtal som ett steg i att underlätta resandet för den enskilde individen och stärka reciprociteten mellan EU och Brasilien. Det är viktigt att tillse att ingåendet av dessa avtal inte negativt påverkar tillämpningen av rådande bilaterala avtal i den mån de bilaterala avtalen går längre och inbegriper fler kategorier av resenärer.  </w:t>
      </w:r>
    </w:p>
    <w:p w:rsidR="00DC6D68" w:rsidRPr="009E3DC0" w:rsidRDefault="00DC6D68">
      <w:pPr>
        <w:pStyle w:val="Rubrik2"/>
      </w:pPr>
      <w:r w:rsidRPr="009E3DC0">
        <w:t>Medlemsstaternas ståndpunkter</w:t>
      </w:r>
    </w:p>
    <w:p w:rsidR="00DC6D68" w:rsidRPr="009E3DC0" w:rsidRDefault="00DC6D68">
      <w:r w:rsidRPr="009E3DC0">
        <w:t xml:space="preserve">En enad medlemsstatskrets ställer sig positivt till förslaget att underteckna och ingå dessa avtal. </w:t>
      </w:r>
    </w:p>
    <w:p w:rsidR="00DC6D68" w:rsidRPr="009E3DC0" w:rsidRDefault="00DC6D68">
      <w:pPr>
        <w:pStyle w:val="Rubrik2"/>
      </w:pPr>
      <w:r w:rsidRPr="009E3DC0">
        <w:t>Institutionernas ståndpunkter</w:t>
      </w:r>
    </w:p>
    <w:p w:rsidR="00DC6D68" w:rsidRPr="009E3DC0" w:rsidRDefault="00DC6D68">
      <w:r w:rsidRPr="009E3DC0">
        <w:t>Europaparlamentet förväntas ställa sig positivt till förslagen.</w:t>
      </w:r>
    </w:p>
    <w:p w:rsidR="00DC6D68" w:rsidRPr="009E3DC0" w:rsidRDefault="00DC6D68">
      <w:pPr>
        <w:pStyle w:val="Rubrik2"/>
      </w:pPr>
      <w:r w:rsidRPr="009E3DC0">
        <w:t>Remissinstansernas ståndpunkter</w:t>
      </w:r>
    </w:p>
    <w:p w:rsidR="00DC6D68" w:rsidRPr="009E3DC0" w:rsidRDefault="00DC6D68">
      <w:r w:rsidRPr="009E3DC0">
        <w:t>Förslagen har inte remitterats. Regelbundet informationsutbyte med berörda svenska myndigheter pågår.</w:t>
      </w:r>
    </w:p>
    <w:p w:rsidR="00DC6D68" w:rsidRPr="009E3DC0" w:rsidRDefault="00DC6D68"/>
    <w:p w:rsidR="00DC6D68" w:rsidRPr="009E3DC0" w:rsidRDefault="00DC6D68">
      <w:pPr>
        <w:pStyle w:val="Rubrik1"/>
      </w:pPr>
      <w:r w:rsidRPr="009E3DC0">
        <w:t>Förslagets förutsättningar</w:t>
      </w:r>
    </w:p>
    <w:p w:rsidR="00DC6D68" w:rsidRPr="009E3DC0" w:rsidRDefault="00DC6D68">
      <w:pPr>
        <w:pStyle w:val="Rubrik2"/>
      </w:pPr>
      <w:r w:rsidRPr="009E3DC0">
        <w:t>Rättslig grund och beslutsförfarande</w:t>
      </w:r>
    </w:p>
    <w:p w:rsidR="00DC6D68" w:rsidRPr="009E3DC0" w:rsidRDefault="00DC6D68">
      <w:r w:rsidRPr="009E3DC0">
        <w:t xml:space="preserve">Den rättsliga grunden utgörs av artikel 77.2 a i EUF-fördraget. Beslut fattas genom det ordinarie lagstiftningsförfarandet, det vill säga att Europaparlamentet är medbeslutande och rådet fattar beslut med kvalificerad majoritet. </w:t>
      </w:r>
    </w:p>
    <w:p w:rsidR="00DC6D68" w:rsidRPr="009E3DC0" w:rsidRDefault="00DC6D68">
      <w:pPr>
        <w:pStyle w:val="Rubrik2"/>
      </w:pPr>
      <w:r w:rsidRPr="009E3DC0">
        <w:t>Subsidiaritets- och proportionalitetsprincipen</w:t>
      </w:r>
    </w:p>
    <w:p w:rsidR="00DC6D68" w:rsidRPr="009E3DC0" w:rsidRDefault="00DC6D68">
      <w:r w:rsidRPr="009E3DC0">
        <w:t xml:space="preserve">Beslut som fattas med stöd av artikel </w:t>
      </w:r>
      <w:smartTag w:uri="urn:schemas-microsoft-com:office:smarttags" w:element="metricconverter">
        <w:smartTagPr>
          <w:attr w:name="ProductID" w:val="77.2 a"/>
        </w:smartTagPr>
        <w:r w:rsidRPr="009E3DC0">
          <w:t>77.2 a</w:t>
        </w:r>
      </w:smartTag>
      <w:r w:rsidRPr="009E3DC0">
        <w:t xml:space="preserve"> i EUF-fördraget faller inom unionens exklusiva kompetens.</w:t>
      </w:r>
    </w:p>
    <w:p w:rsidR="00DC6D68" w:rsidRPr="009E3DC0" w:rsidRDefault="00DC6D68"/>
    <w:p w:rsidR="00DC6D68" w:rsidRPr="009E3DC0" w:rsidRDefault="00DC6D68">
      <w:pPr>
        <w:pStyle w:val="Rubrik1"/>
      </w:pPr>
      <w:r w:rsidRPr="009E3DC0">
        <w:t>Övrigt</w:t>
      </w:r>
    </w:p>
    <w:p w:rsidR="00DC6D68" w:rsidRPr="009E3DC0" w:rsidRDefault="00DC6D68">
      <w:pPr>
        <w:pStyle w:val="Rubrik2"/>
      </w:pPr>
      <w:r w:rsidRPr="009E3DC0">
        <w:t>Fortsatt behandling av ärendet</w:t>
      </w:r>
    </w:p>
    <w:p w:rsidR="00DC6D68" w:rsidRPr="009E3DC0" w:rsidRDefault="00DC6D68">
      <w:r w:rsidRPr="009E3DC0">
        <w:t xml:space="preserve">Beslut om undertecknande och ingående av avtalen är sannolikt att förvänta under hösten 2010. </w:t>
      </w:r>
    </w:p>
    <w:p w:rsidR="00DC6D68" w:rsidRPr="009E3DC0" w:rsidRDefault="00DC6D68">
      <w:pPr>
        <w:pStyle w:val="Rubrik2"/>
      </w:pPr>
      <w:r w:rsidRPr="009E3DC0">
        <w:t>Fackuttryck/termer</w:t>
      </w:r>
    </w:p>
    <w:p w:rsidR="00DC6D68" w:rsidRPr="009E3DC0" w:rsidRDefault="00DC6D68">
      <w:r w:rsidRPr="009E3DC0">
        <w:t>-</w:t>
      </w:r>
    </w:p>
    <w:sectPr w:rsidR="00DC6D68" w:rsidRPr="009E3D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D68" w:rsidRPr="009E3DC0" w:rsidRDefault="00DC6D68">
      <w:r w:rsidRPr="009E3DC0">
        <w:separator/>
      </w:r>
    </w:p>
  </w:endnote>
  <w:endnote w:type="continuationSeparator" w:id="0">
    <w:p w:rsidR="00DC6D68" w:rsidRPr="009E3DC0" w:rsidRDefault="00DC6D68">
      <w:r w:rsidRPr="009E3D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68" w:rsidRPr="009E3DC0" w:rsidRDefault="00DC6D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68" w:rsidRPr="009E3DC0" w:rsidRDefault="00DC6D68">
    <w:pPr>
      <w:pStyle w:val="SidfotH"/>
      <w:framePr w:wrap="around"/>
    </w:pPr>
    <w:r w:rsidRPr="009E3DC0">
      <w:t>4</w:t>
    </w:r>
  </w:p>
  <w:p w:rsidR="00DC6D68" w:rsidRPr="009E3DC0" w:rsidRDefault="00DC6D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68" w:rsidRPr="009E3DC0" w:rsidRDefault="00DC6D68">
    <w:pPr>
      <w:pStyle w:val="SidfotH"/>
      <w:framePr w:wrap="around"/>
    </w:pPr>
    <w:r w:rsidRPr="009E3DC0">
      <w:t>1</w:t>
    </w:r>
  </w:p>
  <w:p w:rsidR="00DC6D68" w:rsidRPr="009E3DC0" w:rsidRDefault="00DC6D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D68" w:rsidRPr="009E3DC0" w:rsidRDefault="00DC6D68">
      <w:r w:rsidRPr="009E3DC0">
        <w:separator/>
      </w:r>
    </w:p>
  </w:footnote>
  <w:footnote w:type="continuationSeparator" w:id="0">
    <w:p w:rsidR="00DC6D68" w:rsidRPr="009E3DC0" w:rsidRDefault="00DC6D68">
      <w:r w:rsidRPr="009E3D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68" w:rsidRPr="009E3DC0" w:rsidRDefault="00DC6D6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68" w:rsidRPr="009E3DC0" w:rsidRDefault="00DC6D68">
    <w:pPr>
      <w:pStyle w:val="Kantrubrik"/>
      <w:framePr w:h="1157" w:hRule="exact" w:wrap="around" w:y="738"/>
    </w:pPr>
    <w:r w:rsidRPr="009E3DC0">
      <w:t>2010/11:FPM3</w:t>
    </w:r>
  </w:p>
  <w:p w:rsidR="00DC6D68" w:rsidRPr="009E3DC0" w:rsidRDefault="00DC6D6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68" w:rsidRPr="009E3DC0" w:rsidRDefault="009E3DC0">
    <w:pPr>
      <w:pStyle w:val="Sidhuvud"/>
    </w:pPr>
    <w:r w:rsidRPr="009E3D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78544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D68" w:rsidRDefault="00DC6D6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C6D68" w:rsidRDefault="00DC6D68">
                    <w:pPr>
                      <w:pStyle w:val="Logo"/>
                    </w:pPr>
                    <w:r>
                      <w:object w:dxaOrig="840" w:dyaOrig="1545">
                        <v:shape id="_x0000_i1025" type="#_x0000_t75" style="width:42pt;height:77.15pt" filled="t">
                          <v:imagedata r:id="rId1" o:title=""/>
                        </v:shape>
                        <o:OLEObject Type="Embed" ProgID="Word.Picture.8" ShapeID="_x0000_i1025" DrawAspect="Content" ObjectID="_18275213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53901153">
    <w:abstractNumId w:val="4"/>
  </w:num>
  <w:num w:numId="2" w16cid:durableId="1904488145">
    <w:abstractNumId w:val="1"/>
  </w:num>
  <w:num w:numId="3" w16cid:durableId="1094474775">
    <w:abstractNumId w:val="2"/>
  </w:num>
  <w:num w:numId="4" w16cid:durableId="907769163">
    <w:abstractNumId w:val="3"/>
  </w:num>
  <w:num w:numId="5" w16cid:durableId="118111056">
    <w:abstractNumId w:val="5"/>
  </w:num>
  <w:num w:numId="6" w16cid:durableId="75309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12"/>
    <w:docVar w:name="Ar" w:val="2010/11"/>
    <w:docVar w:name="Dep" w:val="Justitiedepartementet"/>
    <w:docVar w:name="DepWeb" w:val="Justitiedepartementet"/>
    <w:docVar w:name="GDB1" w:val="KOM(2010) 409"/>
    <w:docVar w:name="GDB10" w:val=" "/>
    <w:docVar w:name="GDB11" w:val=" "/>
    <w:docVar w:name="GDB12" w:val=" "/>
    <w:docVar w:name="GDB13" w:val=" "/>
    <w:docVar w:name="GDB2" w:val="KOM(2010) 410"/>
    <w:docVar w:name="GDB3" w:val="KOM(2010) 419"/>
    <w:docVar w:name="GDB4" w:val="KOM(2010) 420"/>
    <w:docVar w:name="GDB5" w:val=" "/>
    <w:docVar w:name="GDB6" w:val=" "/>
    <w:docVar w:name="GDB7" w:val=" "/>
    <w:docVar w:name="GDB8" w:val=" "/>
    <w:docVar w:name="GDB9" w:val=" "/>
    <w:docVar w:name="GDT1" w:val="Förslag till rådets beslut om undertecknande av avtalet mellan Europeiska unionen och Förbundsrepubliken Brasilien om undantag från viseringskravet vid kortare vistelser för innehavare av diplomatpass, tjänstepass eller officiella pass"/>
    <w:docVar w:name="GDT10" w:val=" "/>
    <w:docVar w:name="GDT11" w:val=" "/>
    <w:docVar w:name="GDT12" w:val=" "/>
    <w:docVar w:name="GDT13" w:val=" "/>
    <w:docVar w:name="GDT2" w:val="Förslag till rådets  beslut om ingående av avtalet mellan Europeiska unionen och Förbundsrepubliken Brasilien om undantag från viseringskravet vid kortare vistelser för innehavare av diplomatpass, tjänstepass eller officiella pass"/>
    <w:docVar w:name="GDT3" w:val="Förslag till rådets beslut om undertecknande av avtalet mellan Europeiska unionen och Förbundsrepubliken Brasilien om undantag från viseringskravet vid kortare vistelser för innehavare av vanliga pass"/>
    <w:docVar w:name="GDT4" w:val="Förslag till rådets beslut om ingående av avtalet mellan Europeiska unionen och Förbundsrepubliken Brasilien om undantag från viseringskravet vid kortare vistelser för innehavare av vanliga pass"/>
    <w:docVar w:name="GDT5" w:val=" "/>
    <w:docVar w:name="GDT6" w:val=" "/>
    <w:docVar w:name="GDT7" w:val=" "/>
    <w:docVar w:name="GDT8" w:val=" "/>
    <w:docVar w:name="GDT9" w:val=" "/>
    <w:docVar w:name="GDTWeb" w:val="KOM(2010) 409, KOM(2010) 410, KOM(2010) 419, KOM(2010) 420"/>
    <w:docVar w:name="Nr" w:val="3"/>
    <w:docVar w:name="RD_APPVERSION" w:val="3.00"/>
    <w:docVar w:name="Rub" w:val="Avtal om viseringsfrihet mellan EU och Brasilien"/>
    <w:docVar w:name="UppDat" w:val="2010-10-12"/>
    <w:docVar w:name="Utsk" w:val="Utrikesutskottet"/>
  </w:docVars>
  <w:rsids>
    <w:rsidRoot w:val="00337F4D"/>
    <w:rsid w:val="00337F4D"/>
    <w:rsid w:val="009E3DC0"/>
    <w:rsid w:val="00DC6D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5BAB202-A9EF-44FC-9710-7D3A2480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mainbodycontent">
    <w:name w:val="mainbodyconten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985</Words>
  <Characters>6331</Characters>
  <Application>Microsoft Office Word</Application>
  <DocSecurity>4</DocSecurity>
  <Lines>131</Lines>
  <Paragraphs>61</Paragraphs>
  <ScaleCrop>false</ScaleCrop>
  <HeadingPairs>
    <vt:vector size="2" baseType="variant">
      <vt:variant>
        <vt:lpstr>Rubrik</vt:lpstr>
      </vt:variant>
      <vt:variant>
        <vt:i4>1</vt:i4>
      </vt:variant>
    </vt:vector>
  </HeadingPairs>
  <TitlesOfParts>
    <vt:vector size="1" baseType="lpstr">
      <vt:lpstr>FPM_201011__3</vt:lpstr>
    </vt:vector>
  </TitlesOfParts>
  <Company>RD-DTSL</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dc:title>
  <dc:subject>FPM_201011__3</dc:subject>
  <dc:creator>Riksdagen</dc:creator>
  <cp:keywords>Riksdagen</cp:keywords>
  <dc:description>KP2004-version.  Ändringarna påverkar enbart användningen inom Riksdagen. 050429 nya departement DTSL.</dc:description>
  <cp:lastModifiedBy>Lars Brink</cp:lastModifiedBy>
  <cp:revision>2</cp:revision>
  <cp:lastPrinted>2010-10-18T11:52:00Z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vt:lpwstr>
  </property>
  <property fmtid="{D5CDD505-2E9C-101B-9397-08002B2CF9AE}" pid="4" name="GDB1">
    <vt:lpwstr>KOM(2010) 409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Avtal om viseringsfrihet mellan EU och Brasilien</vt:lpwstr>
  </property>
  <property fmtid="{D5CDD505-2E9C-101B-9397-08002B2CF9AE}" pid="8" name="UppDat">
    <vt:lpwstr>2010-10-12</vt:lpwstr>
  </property>
  <property fmtid="{D5CDD505-2E9C-101B-9397-08002B2CF9AE}" pid="9" name="AnkDat">
    <vt:lpwstr>2010-10-12</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KOM(2010) 410</vt:lpwstr>
  </property>
  <property fmtid="{D5CDD505-2E9C-101B-9397-08002B2CF9AE}" pid="15" name="GDB3">
    <vt:lpwstr>KOM(2010) 419</vt:lpwstr>
  </property>
  <property fmtid="{D5CDD505-2E9C-101B-9397-08002B2CF9AE}" pid="16" name="GDB4">
    <vt:lpwstr>KOM(2010) 420</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