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CB1FB" w14:textId="77777777" w:rsidR="00FB32B9" w:rsidRDefault="00DB68E8" w:rsidP="00FB32B9">
      <w:pPr>
        <w:pStyle w:val="UDrubrik"/>
        <w:tabs>
          <w:tab w:val="left" w:pos="1701"/>
          <w:tab w:val="left" w:pos="1985"/>
        </w:tabs>
        <w:rPr>
          <w:rFonts w:cs="Arial"/>
          <w:sz w:val="28"/>
        </w:rPr>
      </w:pPr>
      <w:bookmarkStart w:id="0" w:name="_GoBack"/>
      <w:bookmarkEnd w:id="0"/>
    </w:p>
    <w:p w14:paraId="4ABCB1FC" w14:textId="77777777" w:rsidR="00FB32B9" w:rsidRDefault="00DB68E8" w:rsidP="00FB32B9">
      <w:pPr>
        <w:pStyle w:val="UDrubrik"/>
        <w:tabs>
          <w:tab w:val="left" w:pos="1701"/>
          <w:tab w:val="left" w:pos="1985"/>
        </w:tabs>
        <w:rPr>
          <w:rFonts w:cs="Arial"/>
          <w:sz w:val="28"/>
        </w:rPr>
      </w:pPr>
    </w:p>
    <w:p w14:paraId="4ABCB1FD" w14:textId="77777777" w:rsidR="00FB32B9" w:rsidRDefault="00DB68E8" w:rsidP="00FB32B9">
      <w:pPr>
        <w:pStyle w:val="UDrubrik"/>
        <w:tabs>
          <w:tab w:val="left" w:pos="1701"/>
          <w:tab w:val="left" w:pos="1985"/>
        </w:tabs>
        <w:rPr>
          <w:rFonts w:cs="Arial"/>
          <w:sz w:val="28"/>
        </w:rPr>
      </w:pPr>
    </w:p>
    <w:p w14:paraId="4ABCB1FE" w14:textId="77777777" w:rsidR="00FB32B9" w:rsidRDefault="00DB68E8" w:rsidP="00FB32B9">
      <w:pPr>
        <w:pStyle w:val="UDrubrik"/>
        <w:tabs>
          <w:tab w:val="left" w:pos="1701"/>
          <w:tab w:val="left" w:pos="1985"/>
        </w:tabs>
        <w:rPr>
          <w:rFonts w:cs="Arial"/>
          <w:sz w:val="28"/>
        </w:rPr>
      </w:pPr>
    </w:p>
    <w:p w14:paraId="4ABCB1FF" w14:textId="52F39F2A" w:rsidR="00FB32B9" w:rsidRDefault="00DE6437"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684887">
        <w:rPr>
          <w:rFonts w:cs="Arial"/>
          <w:sz w:val="28"/>
        </w:rPr>
        <w:t xml:space="preserve">den 16 april 2015 </w:t>
      </w:r>
      <w:r>
        <w:rPr>
          <w:rFonts w:cs="Arial"/>
          <w:sz w:val="28"/>
        </w:rPr>
        <w:t xml:space="preserve">vecka </w:t>
      </w:r>
      <w:r w:rsidR="00684887">
        <w:rPr>
          <w:rFonts w:cs="Arial"/>
          <w:sz w:val="28"/>
        </w:rPr>
        <w:t>16.</w:t>
      </w:r>
    </w:p>
    <w:p w14:paraId="4ABCB200" w14:textId="77777777" w:rsidR="00FB32B9" w:rsidRDefault="00DB68E8" w:rsidP="00FB32B9">
      <w:pPr>
        <w:pStyle w:val="Brdtext"/>
      </w:pPr>
    </w:p>
    <w:p w14:paraId="4ABCB201" w14:textId="36014909" w:rsidR="00FB32B9" w:rsidRDefault="00DE6437" w:rsidP="00FB32B9">
      <w:pPr>
        <w:pStyle w:val="Brdtext"/>
      </w:pPr>
      <w:r>
        <w:t xml:space="preserve">Överlämnas för skriftligt samråd till </w:t>
      </w:r>
      <w:r w:rsidR="00684887">
        <w:t xml:space="preserve">fredagen den 17 april 2015, </w:t>
      </w:r>
      <w:r>
        <w:t>kl.</w:t>
      </w:r>
      <w:r w:rsidR="00684887">
        <w:t xml:space="preserve"> 14.00.</w:t>
      </w:r>
    </w:p>
    <w:p w14:paraId="4ABCB202" w14:textId="77777777" w:rsidR="00FB32B9" w:rsidRDefault="00DE643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ABCB203" w14:textId="77777777" w:rsidR="00D957FB" w:rsidRPr="00FB32B9" w:rsidRDefault="00DE6437">
          <w:pPr>
            <w:pStyle w:val="Innehllsfrteckningsrubrik"/>
            <w:rPr>
              <w:color w:val="auto"/>
            </w:rPr>
          </w:pPr>
          <w:r w:rsidRPr="00FB32B9">
            <w:rPr>
              <w:color w:val="auto"/>
            </w:rPr>
            <w:t>Innehållsförteckning</w:t>
          </w:r>
        </w:p>
        <w:p w14:paraId="4ABCB204" w14:textId="77777777" w:rsidR="00DA7250" w:rsidRPr="00DA7250" w:rsidRDefault="00DB68E8" w:rsidP="00DA7250">
          <w:pPr>
            <w:rPr>
              <w:lang w:val="en-US" w:eastAsia="ja-JP"/>
            </w:rPr>
          </w:pPr>
        </w:p>
        <w:p w14:paraId="48E904F7" w14:textId="77777777" w:rsidR="00682152" w:rsidRDefault="00DE643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6940251" w:history="1">
            <w:r w:rsidR="00682152" w:rsidRPr="008705BE">
              <w:rPr>
                <w:rStyle w:val="Hyperlnk"/>
                <w:noProof/>
              </w:rPr>
              <w:t>1.</w:t>
            </w:r>
            <w:r w:rsidR="00682152">
              <w:rPr>
                <w:rFonts w:asciiTheme="minorHAnsi" w:eastAsiaTheme="minorEastAsia" w:hAnsiTheme="minorHAnsi" w:cstheme="minorBidi"/>
                <w:noProof/>
                <w:lang w:eastAsia="sv-SE"/>
              </w:rPr>
              <w:tab/>
            </w:r>
            <w:r w:rsidR="00682152" w:rsidRPr="008705BE">
              <w:rPr>
                <w:rStyle w:val="Hyperlnk"/>
                <w:noProof/>
              </w:rPr>
              <w:t>Case before the Court of Justice Case C-116/15 (European Parliament v Council of the European Union)</w:t>
            </w:r>
            <w:r w:rsidR="00682152">
              <w:rPr>
                <w:noProof/>
                <w:webHidden/>
              </w:rPr>
              <w:tab/>
            </w:r>
            <w:r w:rsidR="00682152">
              <w:rPr>
                <w:noProof/>
                <w:webHidden/>
              </w:rPr>
              <w:fldChar w:fldCharType="begin"/>
            </w:r>
            <w:r w:rsidR="00682152">
              <w:rPr>
                <w:noProof/>
                <w:webHidden/>
              </w:rPr>
              <w:instrText xml:space="preserve"> PAGEREF _Toc416940251 \h </w:instrText>
            </w:r>
            <w:r w:rsidR="00682152">
              <w:rPr>
                <w:noProof/>
                <w:webHidden/>
              </w:rPr>
            </w:r>
            <w:r w:rsidR="00682152">
              <w:rPr>
                <w:noProof/>
                <w:webHidden/>
              </w:rPr>
              <w:fldChar w:fldCharType="separate"/>
            </w:r>
            <w:r w:rsidR="00682152">
              <w:rPr>
                <w:noProof/>
                <w:webHidden/>
              </w:rPr>
              <w:t>4</w:t>
            </w:r>
            <w:r w:rsidR="00682152">
              <w:rPr>
                <w:noProof/>
                <w:webHidden/>
              </w:rPr>
              <w:fldChar w:fldCharType="end"/>
            </w:r>
          </w:hyperlink>
        </w:p>
        <w:p w14:paraId="2E7060B5"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2" w:history="1">
            <w:r w:rsidR="00682152" w:rsidRPr="008705BE">
              <w:rPr>
                <w:rStyle w:val="Hyperlnk"/>
                <w:noProof/>
              </w:rPr>
              <w:t>2.</w:t>
            </w:r>
            <w:r w:rsidR="00682152">
              <w:rPr>
                <w:rFonts w:asciiTheme="minorHAnsi" w:eastAsiaTheme="minorEastAsia" w:hAnsiTheme="minorHAnsi" w:cstheme="minorBidi"/>
                <w:noProof/>
                <w:lang w:eastAsia="sv-SE"/>
              </w:rPr>
              <w:tab/>
            </w:r>
            <w:r w:rsidR="00682152" w:rsidRPr="008705BE">
              <w:rPr>
                <w:rStyle w:val="Hyperlnk"/>
                <w:noProof/>
              </w:rPr>
              <w:t>Resolutions, Decisions and Opinions adopted by the European Parliament at its part-session in Strasbourg from 9 to 12 March 2015</w:t>
            </w:r>
            <w:r w:rsidR="00682152">
              <w:rPr>
                <w:noProof/>
                <w:webHidden/>
              </w:rPr>
              <w:tab/>
            </w:r>
            <w:r w:rsidR="00682152">
              <w:rPr>
                <w:noProof/>
                <w:webHidden/>
              </w:rPr>
              <w:fldChar w:fldCharType="begin"/>
            </w:r>
            <w:r w:rsidR="00682152">
              <w:rPr>
                <w:noProof/>
                <w:webHidden/>
              </w:rPr>
              <w:instrText xml:space="preserve"> PAGEREF _Toc416940252 \h </w:instrText>
            </w:r>
            <w:r w:rsidR="00682152">
              <w:rPr>
                <w:noProof/>
                <w:webHidden/>
              </w:rPr>
            </w:r>
            <w:r w:rsidR="00682152">
              <w:rPr>
                <w:noProof/>
                <w:webHidden/>
              </w:rPr>
              <w:fldChar w:fldCharType="separate"/>
            </w:r>
            <w:r w:rsidR="00682152">
              <w:rPr>
                <w:noProof/>
                <w:webHidden/>
              </w:rPr>
              <w:t>4</w:t>
            </w:r>
            <w:r w:rsidR="00682152">
              <w:rPr>
                <w:noProof/>
                <w:webHidden/>
              </w:rPr>
              <w:fldChar w:fldCharType="end"/>
            </w:r>
          </w:hyperlink>
        </w:p>
        <w:p w14:paraId="283AC597"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3" w:history="1">
            <w:r w:rsidR="00682152" w:rsidRPr="008705BE">
              <w:rPr>
                <w:rStyle w:val="Hyperlnk"/>
                <w:noProof/>
              </w:rPr>
              <w:t>3.</w:t>
            </w:r>
            <w:r w:rsidR="00682152">
              <w:rPr>
                <w:rFonts w:asciiTheme="minorHAnsi" w:eastAsiaTheme="minorEastAsia" w:hAnsiTheme="minorHAnsi" w:cstheme="minorBidi"/>
                <w:noProof/>
                <w:lang w:eastAsia="sv-SE"/>
              </w:rPr>
              <w:tab/>
            </w:r>
            <w:r w:rsidR="00682152" w:rsidRPr="008705BE">
              <w:rPr>
                <w:rStyle w:val="Hyperlnk"/>
                <w:noProof/>
              </w:rPr>
              <w:t>Proposal for a Council Decision appointing a Belgian member of the European Economic and Social Committee</w:t>
            </w:r>
            <w:r w:rsidR="00682152">
              <w:rPr>
                <w:noProof/>
                <w:webHidden/>
              </w:rPr>
              <w:tab/>
            </w:r>
            <w:r w:rsidR="00682152">
              <w:rPr>
                <w:noProof/>
                <w:webHidden/>
              </w:rPr>
              <w:fldChar w:fldCharType="begin"/>
            </w:r>
            <w:r w:rsidR="00682152">
              <w:rPr>
                <w:noProof/>
                <w:webHidden/>
              </w:rPr>
              <w:instrText xml:space="preserve"> PAGEREF _Toc416940253 \h </w:instrText>
            </w:r>
            <w:r w:rsidR="00682152">
              <w:rPr>
                <w:noProof/>
                <w:webHidden/>
              </w:rPr>
            </w:r>
            <w:r w:rsidR="00682152">
              <w:rPr>
                <w:noProof/>
                <w:webHidden/>
              </w:rPr>
              <w:fldChar w:fldCharType="separate"/>
            </w:r>
            <w:r w:rsidR="00682152">
              <w:rPr>
                <w:noProof/>
                <w:webHidden/>
              </w:rPr>
              <w:t>4</w:t>
            </w:r>
            <w:r w:rsidR="00682152">
              <w:rPr>
                <w:noProof/>
                <w:webHidden/>
              </w:rPr>
              <w:fldChar w:fldCharType="end"/>
            </w:r>
          </w:hyperlink>
        </w:p>
        <w:p w14:paraId="71BAF06B"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4" w:history="1">
            <w:r w:rsidR="00682152" w:rsidRPr="008705BE">
              <w:rPr>
                <w:rStyle w:val="Hyperlnk"/>
                <w:noProof/>
              </w:rPr>
              <w:t>4.</w:t>
            </w:r>
            <w:r w:rsidR="00682152">
              <w:rPr>
                <w:rFonts w:asciiTheme="minorHAnsi" w:eastAsiaTheme="minorEastAsia" w:hAnsiTheme="minorHAnsi" w:cstheme="minorBidi"/>
                <w:noProof/>
                <w:lang w:eastAsia="sv-SE"/>
              </w:rPr>
              <w:tab/>
            </w:r>
            <w:r w:rsidR="00682152" w:rsidRPr="008705BE">
              <w:rPr>
                <w:rStyle w:val="Hyperlnk"/>
                <w:noProof/>
              </w:rPr>
              <w:t>Proposal for a Regulation of the European Parliament and of the Council on information accompanying transfers of funds (First reading) (LA) –Adoption</w:t>
            </w:r>
            <w:r w:rsidR="00682152">
              <w:rPr>
                <w:noProof/>
                <w:webHidden/>
              </w:rPr>
              <w:tab/>
            </w:r>
            <w:r w:rsidR="00682152">
              <w:rPr>
                <w:noProof/>
                <w:webHidden/>
              </w:rPr>
              <w:fldChar w:fldCharType="begin"/>
            </w:r>
            <w:r w:rsidR="00682152">
              <w:rPr>
                <w:noProof/>
                <w:webHidden/>
              </w:rPr>
              <w:instrText xml:space="preserve"> PAGEREF _Toc416940254 \h </w:instrText>
            </w:r>
            <w:r w:rsidR="00682152">
              <w:rPr>
                <w:noProof/>
                <w:webHidden/>
              </w:rPr>
            </w:r>
            <w:r w:rsidR="00682152">
              <w:rPr>
                <w:noProof/>
                <w:webHidden/>
              </w:rPr>
              <w:fldChar w:fldCharType="separate"/>
            </w:r>
            <w:r w:rsidR="00682152">
              <w:rPr>
                <w:noProof/>
                <w:webHidden/>
              </w:rPr>
              <w:t>4</w:t>
            </w:r>
            <w:r w:rsidR="00682152">
              <w:rPr>
                <w:noProof/>
                <w:webHidden/>
              </w:rPr>
              <w:fldChar w:fldCharType="end"/>
            </w:r>
          </w:hyperlink>
        </w:p>
        <w:p w14:paraId="2BA62C69"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5" w:history="1">
            <w:r w:rsidR="00682152" w:rsidRPr="008705BE">
              <w:rPr>
                <w:rStyle w:val="Hyperlnk"/>
                <w:noProof/>
              </w:rPr>
              <w:t>5.</w:t>
            </w:r>
            <w:r w:rsidR="00682152">
              <w:rPr>
                <w:rFonts w:asciiTheme="minorHAnsi" w:eastAsiaTheme="minorEastAsia" w:hAnsiTheme="minorHAnsi" w:cstheme="minorBidi"/>
                <w:noProof/>
                <w:lang w:eastAsia="sv-SE"/>
              </w:rPr>
              <w:tab/>
            </w:r>
            <w:r w:rsidR="00682152" w:rsidRPr="008705BE">
              <w:rPr>
                <w:rStyle w:val="Hyperlnk"/>
                <w:noProof/>
              </w:rPr>
              <w:t>Proposal for a Directive of the European Parliament and of the Council on the prevention of the use of the financial system for the purpose of money laundering and terrorist financing (First reading) (LA) –Adoption</w:t>
            </w:r>
            <w:r w:rsidR="00682152">
              <w:rPr>
                <w:noProof/>
                <w:webHidden/>
              </w:rPr>
              <w:tab/>
            </w:r>
            <w:r w:rsidR="00682152">
              <w:rPr>
                <w:noProof/>
                <w:webHidden/>
              </w:rPr>
              <w:fldChar w:fldCharType="begin"/>
            </w:r>
            <w:r w:rsidR="00682152">
              <w:rPr>
                <w:noProof/>
                <w:webHidden/>
              </w:rPr>
              <w:instrText xml:space="preserve"> PAGEREF _Toc416940255 \h </w:instrText>
            </w:r>
            <w:r w:rsidR="00682152">
              <w:rPr>
                <w:noProof/>
                <w:webHidden/>
              </w:rPr>
            </w:r>
            <w:r w:rsidR="00682152">
              <w:rPr>
                <w:noProof/>
                <w:webHidden/>
              </w:rPr>
              <w:fldChar w:fldCharType="separate"/>
            </w:r>
            <w:r w:rsidR="00682152">
              <w:rPr>
                <w:noProof/>
                <w:webHidden/>
              </w:rPr>
              <w:t>5</w:t>
            </w:r>
            <w:r w:rsidR="00682152">
              <w:rPr>
                <w:noProof/>
                <w:webHidden/>
              </w:rPr>
              <w:fldChar w:fldCharType="end"/>
            </w:r>
          </w:hyperlink>
        </w:p>
        <w:p w14:paraId="2102956F"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6" w:history="1">
            <w:r w:rsidR="00682152" w:rsidRPr="008705BE">
              <w:rPr>
                <w:rStyle w:val="Hyperlnk"/>
                <w:noProof/>
              </w:rPr>
              <w:t>6.</w:t>
            </w:r>
            <w:r w:rsidR="00682152">
              <w:rPr>
                <w:rFonts w:asciiTheme="minorHAnsi" w:eastAsiaTheme="minorEastAsia" w:hAnsiTheme="minorHAnsi" w:cstheme="minorBidi"/>
                <w:noProof/>
                <w:lang w:eastAsia="sv-SE"/>
              </w:rPr>
              <w:tab/>
            </w:r>
            <w:r w:rsidR="00682152" w:rsidRPr="008705BE">
              <w:rPr>
                <w:rStyle w:val="Hyperlnk"/>
                <w:noProof/>
              </w:rPr>
              <w:t>Council Decision authorising the opening of negotiations on an agreement between the European Union and the United States of America on reinsurance</w:t>
            </w:r>
            <w:r w:rsidR="00682152">
              <w:rPr>
                <w:noProof/>
                <w:webHidden/>
              </w:rPr>
              <w:tab/>
            </w:r>
            <w:r w:rsidR="00682152">
              <w:rPr>
                <w:noProof/>
                <w:webHidden/>
              </w:rPr>
              <w:fldChar w:fldCharType="begin"/>
            </w:r>
            <w:r w:rsidR="00682152">
              <w:rPr>
                <w:noProof/>
                <w:webHidden/>
              </w:rPr>
              <w:instrText xml:space="preserve"> PAGEREF _Toc416940256 \h </w:instrText>
            </w:r>
            <w:r w:rsidR="00682152">
              <w:rPr>
                <w:noProof/>
                <w:webHidden/>
              </w:rPr>
            </w:r>
            <w:r w:rsidR="00682152">
              <w:rPr>
                <w:noProof/>
                <w:webHidden/>
              </w:rPr>
              <w:fldChar w:fldCharType="separate"/>
            </w:r>
            <w:r w:rsidR="00682152">
              <w:rPr>
                <w:noProof/>
                <w:webHidden/>
              </w:rPr>
              <w:t>6</w:t>
            </w:r>
            <w:r w:rsidR="00682152">
              <w:rPr>
                <w:noProof/>
                <w:webHidden/>
              </w:rPr>
              <w:fldChar w:fldCharType="end"/>
            </w:r>
          </w:hyperlink>
        </w:p>
        <w:p w14:paraId="7B2B7C44"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7" w:history="1">
            <w:r w:rsidR="00682152" w:rsidRPr="008705BE">
              <w:rPr>
                <w:rStyle w:val="Hyperlnk"/>
                <w:noProof/>
              </w:rPr>
              <w:t>7.</w:t>
            </w:r>
            <w:r w:rsidR="00682152">
              <w:rPr>
                <w:rFonts w:asciiTheme="minorHAnsi" w:eastAsiaTheme="minorEastAsia" w:hAnsiTheme="minorHAnsi" w:cstheme="minorBidi"/>
                <w:noProof/>
                <w:lang w:eastAsia="sv-SE"/>
              </w:rPr>
              <w:tab/>
            </w:r>
            <w:r w:rsidR="00682152" w:rsidRPr="008705BE">
              <w:rPr>
                <w:rStyle w:val="Hyperlnk"/>
                <w:noProof/>
              </w:rPr>
              <w:t>Proposal for a Council Regulation amending Regulation (EU, Euratom) No 1311/2013 laying down the multiannual financial framework for the years 2014-2020</w:t>
            </w:r>
            <w:r w:rsidR="00682152">
              <w:rPr>
                <w:noProof/>
                <w:webHidden/>
              </w:rPr>
              <w:tab/>
            </w:r>
            <w:r w:rsidR="00682152">
              <w:rPr>
                <w:noProof/>
                <w:webHidden/>
              </w:rPr>
              <w:fldChar w:fldCharType="begin"/>
            </w:r>
            <w:r w:rsidR="00682152">
              <w:rPr>
                <w:noProof/>
                <w:webHidden/>
              </w:rPr>
              <w:instrText xml:space="preserve"> PAGEREF _Toc416940257 \h </w:instrText>
            </w:r>
            <w:r w:rsidR="00682152">
              <w:rPr>
                <w:noProof/>
                <w:webHidden/>
              </w:rPr>
            </w:r>
            <w:r w:rsidR="00682152">
              <w:rPr>
                <w:noProof/>
                <w:webHidden/>
              </w:rPr>
              <w:fldChar w:fldCharType="separate"/>
            </w:r>
            <w:r w:rsidR="00682152">
              <w:rPr>
                <w:noProof/>
                <w:webHidden/>
              </w:rPr>
              <w:t>7</w:t>
            </w:r>
            <w:r w:rsidR="00682152">
              <w:rPr>
                <w:noProof/>
                <w:webHidden/>
              </w:rPr>
              <w:fldChar w:fldCharType="end"/>
            </w:r>
          </w:hyperlink>
        </w:p>
        <w:p w14:paraId="4E4B3EB4"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8" w:history="1">
            <w:r w:rsidR="00682152" w:rsidRPr="008705BE">
              <w:rPr>
                <w:rStyle w:val="Hyperlnk"/>
                <w:noProof/>
              </w:rPr>
              <w:t>8.</w:t>
            </w:r>
            <w:r w:rsidR="00682152">
              <w:rPr>
                <w:rFonts w:asciiTheme="minorHAnsi" w:eastAsiaTheme="minorEastAsia" w:hAnsiTheme="minorHAnsi" w:cstheme="minorBidi"/>
                <w:noProof/>
                <w:lang w:eastAsia="sv-SE"/>
              </w:rPr>
              <w:tab/>
            </w:r>
            <w:r w:rsidR="00682152" w:rsidRPr="008705BE">
              <w:rPr>
                <w:rStyle w:val="Hyperlnk"/>
                <w:noProof/>
              </w:rPr>
              <w:t>Draft amending budget No 2 to the general budget 2015</w:t>
            </w:r>
            <w:r w:rsidR="00682152">
              <w:rPr>
                <w:noProof/>
                <w:webHidden/>
              </w:rPr>
              <w:tab/>
            </w:r>
            <w:r w:rsidR="00682152">
              <w:rPr>
                <w:noProof/>
                <w:webHidden/>
              </w:rPr>
              <w:fldChar w:fldCharType="begin"/>
            </w:r>
            <w:r w:rsidR="00682152">
              <w:rPr>
                <w:noProof/>
                <w:webHidden/>
              </w:rPr>
              <w:instrText xml:space="preserve"> PAGEREF _Toc416940258 \h </w:instrText>
            </w:r>
            <w:r w:rsidR="00682152">
              <w:rPr>
                <w:noProof/>
                <w:webHidden/>
              </w:rPr>
            </w:r>
            <w:r w:rsidR="00682152">
              <w:rPr>
                <w:noProof/>
                <w:webHidden/>
              </w:rPr>
              <w:fldChar w:fldCharType="separate"/>
            </w:r>
            <w:r w:rsidR="00682152">
              <w:rPr>
                <w:noProof/>
                <w:webHidden/>
              </w:rPr>
              <w:t>8</w:t>
            </w:r>
            <w:r w:rsidR="00682152">
              <w:rPr>
                <w:noProof/>
                <w:webHidden/>
              </w:rPr>
              <w:fldChar w:fldCharType="end"/>
            </w:r>
          </w:hyperlink>
        </w:p>
        <w:p w14:paraId="37B15EED" w14:textId="77777777" w:rsidR="00682152" w:rsidRDefault="00DB68E8">
          <w:pPr>
            <w:pStyle w:val="Innehll1"/>
            <w:tabs>
              <w:tab w:val="left" w:pos="440"/>
              <w:tab w:val="right" w:leader="dot" w:pos="9062"/>
            </w:tabs>
            <w:rPr>
              <w:rFonts w:asciiTheme="minorHAnsi" w:eastAsiaTheme="minorEastAsia" w:hAnsiTheme="minorHAnsi" w:cstheme="minorBidi"/>
              <w:noProof/>
              <w:lang w:eastAsia="sv-SE"/>
            </w:rPr>
          </w:pPr>
          <w:hyperlink w:anchor="_Toc416940259" w:history="1">
            <w:r w:rsidR="00682152" w:rsidRPr="008705BE">
              <w:rPr>
                <w:rStyle w:val="Hyperlnk"/>
                <w:noProof/>
              </w:rPr>
              <w:t>9.</w:t>
            </w:r>
            <w:r w:rsidR="00682152">
              <w:rPr>
                <w:rFonts w:asciiTheme="minorHAnsi" w:eastAsiaTheme="minorEastAsia" w:hAnsiTheme="minorHAnsi" w:cstheme="minorBidi"/>
                <w:noProof/>
                <w:lang w:eastAsia="sv-SE"/>
              </w:rPr>
              <w:tab/>
            </w:r>
            <w:r w:rsidR="00682152" w:rsidRPr="008705BE">
              <w:rPr>
                <w:rStyle w:val="Hyperlnk"/>
                <w:noProof/>
              </w:rPr>
              <w:t>(poss.) Proposal for a Regulation of the European Parliament and of the Council amending Regulation (EU, Euratom) No 966/2012 on the financial rules applicable to the general budget of the Union (First reading)</w:t>
            </w:r>
            <w:r w:rsidR="00682152">
              <w:rPr>
                <w:noProof/>
                <w:webHidden/>
              </w:rPr>
              <w:tab/>
            </w:r>
            <w:r w:rsidR="00682152">
              <w:rPr>
                <w:noProof/>
                <w:webHidden/>
              </w:rPr>
              <w:fldChar w:fldCharType="begin"/>
            </w:r>
            <w:r w:rsidR="00682152">
              <w:rPr>
                <w:noProof/>
                <w:webHidden/>
              </w:rPr>
              <w:instrText xml:space="preserve"> PAGEREF _Toc416940259 \h </w:instrText>
            </w:r>
            <w:r w:rsidR="00682152">
              <w:rPr>
                <w:noProof/>
                <w:webHidden/>
              </w:rPr>
            </w:r>
            <w:r w:rsidR="00682152">
              <w:rPr>
                <w:noProof/>
                <w:webHidden/>
              </w:rPr>
              <w:fldChar w:fldCharType="separate"/>
            </w:r>
            <w:r w:rsidR="00682152">
              <w:rPr>
                <w:noProof/>
                <w:webHidden/>
              </w:rPr>
              <w:t>8</w:t>
            </w:r>
            <w:r w:rsidR="00682152">
              <w:rPr>
                <w:noProof/>
                <w:webHidden/>
              </w:rPr>
              <w:fldChar w:fldCharType="end"/>
            </w:r>
          </w:hyperlink>
        </w:p>
        <w:p w14:paraId="2A937447"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0" w:history="1">
            <w:r w:rsidR="00682152" w:rsidRPr="008705BE">
              <w:rPr>
                <w:rStyle w:val="Hyperlnk"/>
                <w:noProof/>
              </w:rPr>
              <w:t>10.</w:t>
            </w:r>
            <w:r w:rsidR="00682152">
              <w:rPr>
                <w:rFonts w:asciiTheme="minorHAnsi" w:eastAsiaTheme="minorEastAsia" w:hAnsiTheme="minorHAnsi" w:cstheme="minorBidi"/>
                <w:noProof/>
                <w:lang w:eastAsia="sv-SE"/>
              </w:rPr>
              <w:tab/>
            </w:r>
            <w:r w:rsidR="00682152" w:rsidRPr="008705BE">
              <w:rPr>
                <w:rStyle w:val="Hyperlnk"/>
                <w:noProof/>
              </w:rPr>
              <w:t>a)Council Decision on the signing, on behalf of the European Union, and provisional application of the Agreement between the European Union and the United Arab Emirates on the short-stay visa waiver –Adoption b)Council Decision on the conclusion of the Agreement between the European Union and the United Arab Emirates on the short-stay visa waiver –Request by the Council for the consent of the European Parliament</w:t>
            </w:r>
            <w:r w:rsidR="00682152">
              <w:rPr>
                <w:noProof/>
                <w:webHidden/>
              </w:rPr>
              <w:tab/>
            </w:r>
            <w:r w:rsidR="00682152">
              <w:rPr>
                <w:noProof/>
                <w:webHidden/>
              </w:rPr>
              <w:fldChar w:fldCharType="begin"/>
            </w:r>
            <w:r w:rsidR="00682152">
              <w:rPr>
                <w:noProof/>
                <w:webHidden/>
              </w:rPr>
              <w:instrText xml:space="preserve"> PAGEREF _Toc416940260 \h </w:instrText>
            </w:r>
            <w:r w:rsidR="00682152">
              <w:rPr>
                <w:noProof/>
                <w:webHidden/>
              </w:rPr>
            </w:r>
            <w:r w:rsidR="00682152">
              <w:rPr>
                <w:noProof/>
                <w:webHidden/>
              </w:rPr>
              <w:fldChar w:fldCharType="separate"/>
            </w:r>
            <w:r w:rsidR="00682152">
              <w:rPr>
                <w:noProof/>
                <w:webHidden/>
              </w:rPr>
              <w:t>9</w:t>
            </w:r>
            <w:r w:rsidR="00682152">
              <w:rPr>
                <w:noProof/>
                <w:webHidden/>
              </w:rPr>
              <w:fldChar w:fldCharType="end"/>
            </w:r>
          </w:hyperlink>
        </w:p>
        <w:p w14:paraId="75E09AE3"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1" w:history="1">
            <w:r w:rsidR="00682152" w:rsidRPr="008705BE">
              <w:rPr>
                <w:rStyle w:val="Hyperlnk"/>
                <w:noProof/>
              </w:rPr>
              <w:t>11.</w:t>
            </w:r>
            <w:r w:rsidR="00682152">
              <w:rPr>
                <w:rFonts w:asciiTheme="minorHAnsi" w:eastAsiaTheme="minorEastAsia" w:hAnsiTheme="minorHAnsi" w:cstheme="minorBidi"/>
                <w:noProof/>
                <w:lang w:eastAsia="sv-SE"/>
              </w:rPr>
              <w:tab/>
            </w:r>
            <w:r w:rsidR="00682152" w:rsidRPr="008705BE">
              <w:rPr>
                <w:rStyle w:val="Hyperlnk"/>
                <w:noProof/>
              </w:rPr>
              <w:t>Draft Regulations repealing certain acts in the JHA area (First reading)</w:t>
            </w:r>
            <w:r w:rsidR="00682152">
              <w:rPr>
                <w:noProof/>
                <w:webHidden/>
              </w:rPr>
              <w:tab/>
            </w:r>
            <w:r w:rsidR="00682152">
              <w:rPr>
                <w:noProof/>
                <w:webHidden/>
              </w:rPr>
              <w:fldChar w:fldCharType="begin"/>
            </w:r>
            <w:r w:rsidR="00682152">
              <w:rPr>
                <w:noProof/>
                <w:webHidden/>
              </w:rPr>
              <w:instrText xml:space="preserve"> PAGEREF _Toc416940261 \h </w:instrText>
            </w:r>
            <w:r w:rsidR="00682152">
              <w:rPr>
                <w:noProof/>
                <w:webHidden/>
              </w:rPr>
            </w:r>
            <w:r w:rsidR="00682152">
              <w:rPr>
                <w:noProof/>
                <w:webHidden/>
              </w:rPr>
              <w:fldChar w:fldCharType="separate"/>
            </w:r>
            <w:r w:rsidR="00682152">
              <w:rPr>
                <w:noProof/>
                <w:webHidden/>
              </w:rPr>
              <w:t>10</w:t>
            </w:r>
            <w:r w:rsidR="00682152">
              <w:rPr>
                <w:noProof/>
                <w:webHidden/>
              </w:rPr>
              <w:fldChar w:fldCharType="end"/>
            </w:r>
          </w:hyperlink>
        </w:p>
        <w:p w14:paraId="44A2E12A"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2" w:history="1">
            <w:r w:rsidR="00682152" w:rsidRPr="008705BE">
              <w:rPr>
                <w:rStyle w:val="Hyperlnk"/>
                <w:noProof/>
              </w:rPr>
              <w:t>12.</w:t>
            </w:r>
            <w:r w:rsidR="00682152">
              <w:rPr>
                <w:rFonts w:asciiTheme="minorHAnsi" w:eastAsiaTheme="minorEastAsia" w:hAnsiTheme="minorHAnsi" w:cstheme="minorBidi"/>
                <w:noProof/>
                <w:lang w:eastAsia="sv-SE"/>
              </w:rPr>
              <w:tab/>
            </w:r>
            <w:r w:rsidR="00682152" w:rsidRPr="008705BE">
              <w:rPr>
                <w:rStyle w:val="Hyperlnk"/>
                <w:noProof/>
              </w:rPr>
              <w:t>Commission Delegated Regulation (EU) No…/… of 26.2.2015 amending Council Regulation (EC) No 673/2005 establishing additional customs duties on imports of certain products originating in the United States of America</w:t>
            </w:r>
            <w:r w:rsidR="00682152">
              <w:rPr>
                <w:noProof/>
                <w:webHidden/>
              </w:rPr>
              <w:tab/>
            </w:r>
            <w:r w:rsidR="00682152">
              <w:rPr>
                <w:noProof/>
                <w:webHidden/>
              </w:rPr>
              <w:fldChar w:fldCharType="begin"/>
            </w:r>
            <w:r w:rsidR="00682152">
              <w:rPr>
                <w:noProof/>
                <w:webHidden/>
              </w:rPr>
              <w:instrText xml:space="preserve"> PAGEREF _Toc416940262 \h </w:instrText>
            </w:r>
            <w:r w:rsidR="00682152">
              <w:rPr>
                <w:noProof/>
                <w:webHidden/>
              </w:rPr>
            </w:r>
            <w:r w:rsidR="00682152">
              <w:rPr>
                <w:noProof/>
                <w:webHidden/>
              </w:rPr>
              <w:fldChar w:fldCharType="separate"/>
            </w:r>
            <w:r w:rsidR="00682152">
              <w:rPr>
                <w:noProof/>
                <w:webHidden/>
              </w:rPr>
              <w:t>10</w:t>
            </w:r>
            <w:r w:rsidR="00682152">
              <w:rPr>
                <w:noProof/>
                <w:webHidden/>
              </w:rPr>
              <w:fldChar w:fldCharType="end"/>
            </w:r>
          </w:hyperlink>
        </w:p>
        <w:p w14:paraId="37A4D4E9"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3" w:history="1">
            <w:r w:rsidR="00682152" w:rsidRPr="008705BE">
              <w:rPr>
                <w:rStyle w:val="Hyperlnk"/>
                <w:noProof/>
              </w:rPr>
              <w:t>13.</w:t>
            </w:r>
            <w:r w:rsidR="00682152">
              <w:rPr>
                <w:rFonts w:asciiTheme="minorHAnsi" w:eastAsiaTheme="minorEastAsia" w:hAnsiTheme="minorHAnsi" w:cstheme="minorBidi"/>
                <w:noProof/>
                <w:lang w:eastAsia="sv-SE"/>
              </w:rPr>
              <w:tab/>
            </w:r>
            <w:r w:rsidR="00682152" w:rsidRPr="008705BE">
              <w:rPr>
                <w:rStyle w:val="Hyperlnk"/>
                <w:noProof/>
              </w:rPr>
              <w:t>Council and Commission Decision on the conclusion of the Stabilisation and Association Agreement between the European Communities and their Member States, of the one part, and Bosnia and Herzegovina, of the other part</w:t>
            </w:r>
            <w:r w:rsidR="00682152">
              <w:rPr>
                <w:noProof/>
                <w:webHidden/>
              </w:rPr>
              <w:tab/>
            </w:r>
            <w:r w:rsidR="00682152">
              <w:rPr>
                <w:noProof/>
                <w:webHidden/>
              </w:rPr>
              <w:fldChar w:fldCharType="begin"/>
            </w:r>
            <w:r w:rsidR="00682152">
              <w:rPr>
                <w:noProof/>
                <w:webHidden/>
              </w:rPr>
              <w:instrText xml:space="preserve"> PAGEREF _Toc416940263 \h </w:instrText>
            </w:r>
            <w:r w:rsidR="00682152">
              <w:rPr>
                <w:noProof/>
                <w:webHidden/>
              </w:rPr>
            </w:r>
            <w:r w:rsidR="00682152">
              <w:rPr>
                <w:noProof/>
                <w:webHidden/>
              </w:rPr>
              <w:fldChar w:fldCharType="separate"/>
            </w:r>
            <w:r w:rsidR="00682152">
              <w:rPr>
                <w:noProof/>
                <w:webHidden/>
              </w:rPr>
              <w:t>11</w:t>
            </w:r>
            <w:r w:rsidR="00682152">
              <w:rPr>
                <w:noProof/>
                <w:webHidden/>
              </w:rPr>
              <w:fldChar w:fldCharType="end"/>
            </w:r>
          </w:hyperlink>
        </w:p>
        <w:p w14:paraId="4988C184"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4" w:history="1">
            <w:r w:rsidR="00682152" w:rsidRPr="008705BE">
              <w:rPr>
                <w:rStyle w:val="Hyperlnk"/>
                <w:noProof/>
              </w:rPr>
              <w:t>14.</w:t>
            </w:r>
            <w:r w:rsidR="00682152">
              <w:rPr>
                <w:rFonts w:asciiTheme="minorHAnsi" w:eastAsiaTheme="minorEastAsia" w:hAnsiTheme="minorHAnsi" w:cstheme="minorBidi"/>
                <w:noProof/>
                <w:lang w:eastAsia="sv-SE"/>
              </w:rPr>
              <w:tab/>
            </w:r>
            <w:r w:rsidR="00682152" w:rsidRPr="008705BE">
              <w:rPr>
                <w:rStyle w:val="Hyperlnk"/>
                <w:noProof/>
              </w:rPr>
              <w:t>(poss.) The Former Yugoslav Republic of Macedonia</w:t>
            </w:r>
            <w:r w:rsidR="00682152">
              <w:rPr>
                <w:noProof/>
                <w:webHidden/>
              </w:rPr>
              <w:tab/>
            </w:r>
            <w:r w:rsidR="00682152">
              <w:rPr>
                <w:noProof/>
                <w:webHidden/>
              </w:rPr>
              <w:fldChar w:fldCharType="begin"/>
            </w:r>
            <w:r w:rsidR="00682152">
              <w:rPr>
                <w:noProof/>
                <w:webHidden/>
              </w:rPr>
              <w:instrText xml:space="preserve"> PAGEREF _Toc416940264 \h </w:instrText>
            </w:r>
            <w:r w:rsidR="00682152">
              <w:rPr>
                <w:noProof/>
                <w:webHidden/>
              </w:rPr>
            </w:r>
            <w:r w:rsidR="00682152">
              <w:rPr>
                <w:noProof/>
                <w:webHidden/>
              </w:rPr>
              <w:fldChar w:fldCharType="separate"/>
            </w:r>
            <w:r w:rsidR="00682152">
              <w:rPr>
                <w:noProof/>
                <w:webHidden/>
              </w:rPr>
              <w:t>11</w:t>
            </w:r>
            <w:r w:rsidR="00682152">
              <w:rPr>
                <w:noProof/>
                <w:webHidden/>
              </w:rPr>
              <w:fldChar w:fldCharType="end"/>
            </w:r>
          </w:hyperlink>
        </w:p>
        <w:p w14:paraId="1E74BAC0"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5" w:history="1">
            <w:r w:rsidR="00682152" w:rsidRPr="008705BE">
              <w:rPr>
                <w:rStyle w:val="Hyperlnk"/>
                <w:noProof/>
              </w:rPr>
              <w:t>15.</w:t>
            </w:r>
            <w:r w:rsidR="00682152">
              <w:rPr>
                <w:rFonts w:asciiTheme="minorHAnsi" w:eastAsiaTheme="minorEastAsia" w:hAnsiTheme="minorHAnsi" w:cstheme="minorBidi"/>
                <w:noProof/>
                <w:lang w:eastAsia="sv-SE"/>
              </w:rPr>
              <w:tab/>
            </w:r>
            <w:r w:rsidR="00682152" w:rsidRPr="008705BE">
              <w:rPr>
                <w:rStyle w:val="Hyperlnk"/>
                <w:noProof/>
              </w:rPr>
              <w:t>Council Decision on the position to be adopted on behalf of the European Union within the EU-Turkey Association Council as regards the replacement of Protocol 3 to Decision No 1/98 of the EC-Turkey Association Council on the trade regime for agricultural products, concerning the definition of the concept of 'originating products' and methods of administrative cooperation, by a new protocol which, as regards the rules of origin, refers to the Regional Convention on pan-Euro-Mediterranean preferential rules of origin</w:t>
            </w:r>
            <w:r w:rsidR="00682152">
              <w:rPr>
                <w:noProof/>
                <w:webHidden/>
              </w:rPr>
              <w:tab/>
            </w:r>
            <w:r w:rsidR="00682152">
              <w:rPr>
                <w:noProof/>
                <w:webHidden/>
              </w:rPr>
              <w:fldChar w:fldCharType="begin"/>
            </w:r>
            <w:r w:rsidR="00682152">
              <w:rPr>
                <w:noProof/>
                <w:webHidden/>
              </w:rPr>
              <w:instrText xml:space="preserve"> PAGEREF _Toc416940265 \h </w:instrText>
            </w:r>
            <w:r w:rsidR="00682152">
              <w:rPr>
                <w:noProof/>
                <w:webHidden/>
              </w:rPr>
            </w:r>
            <w:r w:rsidR="00682152">
              <w:rPr>
                <w:noProof/>
                <w:webHidden/>
              </w:rPr>
              <w:fldChar w:fldCharType="separate"/>
            </w:r>
            <w:r w:rsidR="00682152">
              <w:rPr>
                <w:noProof/>
                <w:webHidden/>
              </w:rPr>
              <w:t>12</w:t>
            </w:r>
            <w:r w:rsidR="00682152">
              <w:rPr>
                <w:noProof/>
                <w:webHidden/>
              </w:rPr>
              <w:fldChar w:fldCharType="end"/>
            </w:r>
          </w:hyperlink>
        </w:p>
        <w:p w14:paraId="7F2D0A66"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6" w:history="1">
            <w:r w:rsidR="00682152" w:rsidRPr="008705BE">
              <w:rPr>
                <w:rStyle w:val="Hyperlnk"/>
                <w:noProof/>
              </w:rPr>
              <w:t>16.</w:t>
            </w:r>
            <w:r w:rsidR="00682152">
              <w:rPr>
                <w:rFonts w:asciiTheme="minorHAnsi" w:eastAsiaTheme="minorEastAsia" w:hAnsiTheme="minorHAnsi" w:cstheme="minorBidi"/>
                <w:noProof/>
                <w:lang w:eastAsia="sv-SE"/>
              </w:rPr>
              <w:tab/>
            </w:r>
            <w:r w:rsidR="00682152" w:rsidRPr="008705BE">
              <w:rPr>
                <w:rStyle w:val="Hyperlnk"/>
                <w:noProof/>
              </w:rPr>
              <w:t xml:space="preserve">Council Decision on the position to be adopted on behalf of the European Union within the Joint Committee established by the Agreement between the European Coal and Steel Community, as </w:t>
            </w:r>
            <w:r w:rsidR="00682152" w:rsidRPr="008705BE">
              <w:rPr>
                <w:rStyle w:val="Hyperlnk"/>
                <w:noProof/>
              </w:rPr>
              <w:lastRenderedPageBreak/>
              <w:t>regards the replacement of Protocol 1 to that Agreement, concerning the definition of the concept of 'originating products' and methods of administrative cooperation, by a new protocol which, as regards the rules of origin, refers to the Regional Convention on pan-Euro-Mediterranean preferential rules of origin</w:t>
            </w:r>
            <w:r w:rsidR="00682152">
              <w:rPr>
                <w:noProof/>
                <w:webHidden/>
              </w:rPr>
              <w:tab/>
            </w:r>
            <w:r w:rsidR="00682152">
              <w:rPr>
                <w:noProof/>
                <w:webHidden/>
              </w:rPr>
              <w:fldChar w:fldCharType="begin"/>
            </w:r>
            <w:r w:rsidR="00682152">
              <w:rPr>
                <w:noProof/>
                <w:webHidden/>
              </w:rPr>
              <w:instrText xml:space="preserve"> PAGEREF _Toc416940266 \h </w:instrText>
            </w:r>
            <w:r w:rsidR="00682152">
              <w:rPr>
                <w:noProof/>
                <w:webHidden/>
              </w:rPr>
            </w:r>
            <w:r w:rsidR="00682152">
              <w:rPr>
                <w:noProof/>
                <w:webHidden/>
              </w:rPr>
              <w:fldChar w:fldCharType="separate"/>
            </w:r>
            <w:r w:rsidR="00682152">
              <w:rPr>
                <w:noProof/>
                <w:webHidden/>
              </w:rPr>
              <w:t>12</w:t>
            </w:r>
            <w:r w:rsidR="00682152">
              <w:rPr>
                <w:noProof/>
                <w:webHidden/>
              </w:rPr>
              <w:fldChar w:fldCharType="end"/>
            </w:r>
          </w:hyperlink>
        </w:p>
        <w:p w14:paraId="7DF4E329"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7" w:history="1">
            <w:r w:rsidR="00682152" w:rsidRPr="008705BE">
              <w:rPr>
                <w:rStyle w:val="Hyperlnk"/>
                <w:noProof/>
              </w:rPr>
              <w:t>17.</w:t>
            </w:r>
            <w:r w:rsidR="00682152">
              <w:rPr>
                <w:rFonts w:asciiTheme="minorHAnsi" w:eastAsiaTheme="minorEastAsia" w:hAnsiTheme="minorHAnsi" w:cstheme="minorBidi"/>
                <w:noProof/>
                <w:lang w:eastAsia="sv-SE"/>
              </w:rPr>
              <w:tab/>
            </w:r>
            <w:r w:rsidR="00682152" w:rsidRPr="008705BE">
              <w:rPr>
                <w:rStyle w:val="Hyperlnk"/>
                <w:noProof/>
              </w:rPr>
              <w:t>(poss.) Draft reply to the letter from the Minister for Foreign Affairs of Iceland to the Presidency of the Council</w:t>
            </w:r>
            <w:r w:rsidR="00682152">
              <w:rPr>
                <w:noProof/>
                <w:webHidden/>
              </w:rPr>
              <w:tab/>
            </w:r>
            <w:r w:rsidR="00682152">
              <w:rPr>
                <w:noProof/>
                <w:webHidden/>
              </w:rPr>
              <w:fldChar w:fldCharType="begin"/>
            </w:r>
            <w:r w:rsidR="00682152">
              <w:rPr>
                <w:noProof/>
                <w:webHidden/>
              </w:rPr>
              <w:instrText xml:space="preserve"> PAGEREF _Toc416940267 \h </w:instrText>
            </w:r>
            <w:r w:rsidR="00682152">
              <w:rPr>
                <w:noProof/>
                <w:webHidden/>
              </w:rPr>
            </w:r>
            <w:r w:rsidR="00682152">
              <w:rPr>
                <w:noProof/>
                <w:webHidden/>
              </w:rPr>
              <w:fldChar w:fldCharType="separate"/>
            </w:r>
            <w:r w:rsidR="00682152">
              <w:rPr>
                <w:noProof/>
                <w:webHidden/>
              </w:rPr>
              <w:t>13</w:t>
            </w:r>
            <w:r w:rsidR="00682152">
              <w:rPr>
                <w:noProof/>
                <w:webHidden/>
              </w:rPr>
              <w:fldChar w:fldCharType="end"/>
            </w:r>
          </w:hyperlink>
        </w:p>
        <w:p w14:paraId="36BBA2B1"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8" w:history="1">
            <w:r w:rsidR="00682152" w:rsidRPr="008705BE">
              <w:rPr>
                <w:rStyle w:val="Hyperlnk"/>
                <w:noProof/>
              </w:rPr>
              <w:t>18.</w:t>
            </w:r>
            <w:r w:rsidR="00682152">
              <w:rPr>
                <w:rFonts w:asciiTheme="minorHAnsi" w:eastAsiaTheme="minorEastAsia" w:hAnsiTheme="minorHAnsi" w:cstheme="minorBidi"/>
                <w:noProof/>
                <w:lang w:eastAsia="sv-SE"/>
              </w:rPr>
              <w:tab/>
            </w:r>
            <w:r w:rsidR="00682152" w:rsidRPr="008705BE">
              <w:rPr>
                <w:rStyle w:val="Hyperlnk"/>
                <w:noProof/>
              </w:rPr>
              <w:t>Council Decision on the position to be taken by the European Union in the Joint Committee established under the Agreement between the European Community and its Member States, of the one part, and the Swiss Confederation, of the other, on the free movement of persons, as regards the amendment of Annex III on the mutual recognition of professional qualifications</w:t>
            </w:r>
            <w:r w:rsidR="00682152">
              <w:rPr>
                <w:noProof/>
                <w:webHidden/>
              </w:rPr>
              <w:tab/>
            </w:r>
            <w:r w:rsidR="00682152">
              <w:rPr>
                <w:noProof/>
                <w:webHidden/>
              </w:rPr>
              <w:fldChar w:fldCharType="begin"/>
            </w:r>
            <w:r w:rsidR="00682152">
              <w:rPr>
                <w:noProof/>
                <w:webHidden/>
              </w:rPr>
              <w:instrText xml:space="preserve"> PAGEREF _Toc416940268 \h </w:instrText>
            </w:r>
            <w:r w:rsidR="00682152">
              <w:rPr>
                <w:noProof/>
                <w:webHidden/>
              </w:rPr>
            </w:r>
            <w:r w:rsidR="00682152">
              <w:rPr>
                <w:noProof/>
                <w:webHidden/>
              </w:rPr>
              <w:fldChar w:fldCharType="separate"/>
            </w:r>
            <w:r w:rsidR="00682152">
              <w:rPr>
                <w:noProof/>
                <w:webHidden/>
              </w:rPr>
              <w:t>13</w:t>
            </w:r>
            <w:r w:rsidR="00682152">
              <w:rPr>
                <w:noProof/>
                <w:webHidden/>
              </w:rPr>
              <w:fldChar w:fldCharType="end"/>
            </w:r>
          </w:hyperlink>
        </w:p>
        <w:p w14:paraId="575D3172"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69" w:history="1">
            <w:r w:rsidR="00682152" w:rsidRPr="008705BE">
              <w:rPr>
                <w:rStyle w:val="Hyperlnk"/>
                <w:noProof/>
              </w:rPr>
              <w:t>19.</w:t>
            </w:r>
            <w:r w:rsidR="00682152">
              <w:rPr>
                <w:rFonts w:asciiTheme="minorHAnsi" w:eastAsiaTheme="minorEastAsia" w:hAnsiTheme="minorHAnsi" w:cstheme="minorBidi"/>
                <w:noProof/>
                <w:lang w:eastAsia="sv-SE"/>
              </w:rPr>
              <w:tab/>
            </w:r>
            <w:r w:rsidR="00682152" w:rsidRPr="008705BE">
              <w:rPr>
                <w:rStyle w:val="Hyperlnk"/>
                <w:noProof/>
              </w:rPr>
              <w:t>Proposal for a Council Directive on the coordination and cooperation measures to facilitate consular protection for unrepresented citizens of the Union in third countries</w:t>
            </w:r>
            <w:r w:rsidR="00682152">
              <w:rPr>
                <w:noProof/>
                <w:webHidden/>
              </w:rPr>
              <w:tab/>
            </w:r>
            <w:r w:rsidR="00682152">
              <w:rPr>
                <w:noProof/>
                <w:webHidden/>
              </w:rPr>
              <w:fldChar w:fldCharType="begin"/>
            </w:r>
            <w:r w:rsidR="00682152">
              <w:rPr>
                <w:noProof/>
                <w:webHidden/>
              </w:rPr>
              <w:instrText xml:space="preserve"> PAGEREF _Toc416940269 \h </w:instrText>
            </w:r>
            <w:r w:rsidR="00682152">
              <w:rPr>
                <w:noProof/>
                <w:webHidden/>
              </w:rPr>
            </w:r>
            <w:r w:rsidR="00682152">
              <w:rPr>
                <w:noProof/>
                <w:webHidden/>
              </w:rPr>
              <w:fldChar w:fldCharType="separate"/>
            </w:r>
            <w:r w:rsidR="00682152">
              <w:rPr>
                <w:noProof/>
                <w:webHidden/>
              </w:rPr>
              <w:t>14</w:t>
            </w:r>
            <w:r w:rsidR="00682152">
              <w:rPr>
                <w:noProof/>
                <w:webHidden/>
              </w:rPr>
              <w:fldChar w:fldCharType="end"/>
            </w:r>
          </w:hyperlink>
        </w:p>
        <w:p w14:paraId="2D3ED7C1"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70" w:history="1">
            <w:r w:rsidR="00682152" w:rsidRPr="008705BE">
              <w:rPr>
                <w:rStyle w:val="Hyperlnk"/>
                <w:noProof/>
              </w:rPr>
              <w:t>20.</w:t>
            </w:r>
            <w:r w:rsidR="00682152">
              <w:rPr>
                <w:rFonts w:asciiTheme="minorHAnsi" w:eastAsiaTheme="minorEastAsia" w:hAnsiTheme="minorHAnsi" w:cstheme="minorBidi"/>
                <w:noProof/>
                <w:lang w:eastAsia="sv-SE"/>
              </w:rPr>
              <w:tab/>
            </w:r>
            <w:r w:rsidR="00682152" w:rsidRPr="008705BE">
              <w:rPr>
                <w:rStyle w:val="Hyperlnk"/>
                <w:noProof/>
              </w:rPr>
              <w:t>Draft Council conclusions on the first biennial report on implementing EU food and nutrition security policy commitments</w:t>
            </w:r>
            <w:r w:rsidR="00682152">
              <w:rPr>
                <w:noProof/>
                <w:webHidden/>
              </w:rPr>
              <w:tab/>
            </w:r>
            <w:r w:rsidR="00682152">
              <w:rPr>
                <w:noProof/>
                <w:webHidden/>
              </w:rPr>
              <w:fldChar w:fldCharType="begin"/>
            </w:r>
            <w:r w:rsidR="00682152">
              <w:rPr>
                <w:noProof/>
                <w:webHidden/>
              </w:rPr>
              <w:instrText xml:space="preserve"> PAGEREF _Toc416940270 \h </w:instrText>
            </w:r>
            <w:r w:rsidR="00682152">
              <w:rPr>
                <w:noProof/>
                <w:webHidden/>
              </w:rPr>
            </w:r>
            <w:r w:rsidR="00682152">
              <w:rPr>
                <w:noProof/>
                <w:webHidden/>
              </w:rPr>
              <w:fldChar w:fldCharType="separate"/>
            </w:r>
            <w:r w:rsidR="00682152">
              <w:rPr>
                <w:noProof/>
                <w:webHidden/>
              </w:rPr>
              <w:t>16</w:t>
            </w:r>
            <w:r w:rsidR="00682152">
              <w:rPr>
                <w:noProof/>
                <w:webHidden/>
              </w:rPr>
              <w:fldChar w:fldCharType="end"/>
            </w:r>
          </w:hyperlink>
        </w:p>
        <w:p w14:paraId="5EE7CBD2"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71" w:history="1">
            <w:r w:rsidR="00682152" w:rsidRPr="008705BE">
              <w:rPr>
                <w:rStyle w:val="Hyperlnk"/>
                <w:noProof/>
              </w:rPr>
              <w:t>21.</w:t>
            </w:r>
            <w:r w:rsidR="00682152">
              <w:rPr>
                <w:rFonts w:asciiTheme="minorHAnsi" w:eastAsiaTheme="minorEastAsia" w:hAnsiTheme="minorHAnsi" w:cstheme="minorBidi"/>
                <w:noProof/>
                <w:lang w:eastAsia="sv-SE"/>
              </w:rPr>
              <w:tab/>
            </w:r>
            <w:r w:rsidR="00682152" w:rsidRPr="008705BE">
              <w:rPr>
                <w:rStyle w:val="Hyperlnk"/>
                <w:noProof/>
              </w:rPr>
              <w:t>Proposal for a Council Decision on the conclusion on behalf of the European Union and its Member States of the Additional Protocol to the Trade, Development and Cooperation Agreement between the European Community and its Member States, of the one part, and the Republic of South Africa, of the other part, to take account of the accession of Croatia to the European Union</w:t>
            </w:r>
            <w:r w:rsidR="00682152">
              <w:rPr>
                <w:noProof/>
                <w:webHidden/>
              </w:rPr>
              <w:tab/>
            </w:r>
            <w:r w:rsidR="00682152">
              <w:rPr>
                <w:noProof/>
                <w:webHidden/>
              </w:rPr>
              <w:fldChar w:fldCharType="begin"/>
            </w:r>
            <w:r w:rsidR="00682152">
              <w:rPr>
                <w:noProof/>
                <w:webHidden/>
              </w:rPr>
              <w:instrText xml:space="preserve"> PAGEREF _Toc416940271 \h </w:instrText>
            </w:r>
            <w:r w:rsidR="00682152">
              <w:rPr>
                <w:noProof/>
                <w:webHidden/>
              </w:rPr>
            </w:r>
            <w:r w:rsidR="00682152">
              <w:rPr>
                <w:noProof/>
                <w:webHidden/>
              </w:rPr>
              <w:fldChar w:fldCharType="separate"/>
            </w:r>
            <w:r w:rsidR="00682152">
              <w:rPr>
                <w:noProof/>
                <w:webHidden/>
              </w:rPr>
              <w:t>16</w:t>
            </w:r>
            <w:r w:rsidR="00682152">
              <w:rPr>
                <w:noProof/>
                <w:webHidden/>
              </w:rPr>
              <w:fldChar w:fldCharType="end"/>
            </w:r>
          </w:hyperlink>
        </w:p>
        <w:p w14:paraId="7D8326C7"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72" w:history="1">
            <w:r w:rsidR="00682152" w:rsidRPr="008705BE">
              <w:rPr>
                <w:rStyle w:val="Hyperlnk"/>
                <w:noProof/>
              </w:rPr>
              <w:t>22.</w:t>
            </w:r>
            <w:r w:rsidR="00682152">
              <w:rPr>
                <w:rFonts w:asciiTheme="minorHAnsi" w:eastAsiaTheme="minorEastAsia" w:hAnsiTheme="minorHAnsi" w:cstheme="minorBidi"/>
                <w:noProof/>
                <w:lang w:eastAsia="sv-SE"/>
              </w:rPr>
              <w:tab/>
            </w:r>
            <w:r w:rsidR="00682152" w:rsidRPr="008705BE">
              <w:rPr>
                <w:rStyle w:val="Hyperlnk"/>
                <w:noProof/>
              </w:rPr>
              <w:t>(poss.) Draft Council conclusions on the Sahel Regional Action Plan 2015-2020</w:t>
            </w:r>
            <w:r w:rsidR="00682152">
              <w:rPr>
                <w:noProof/>
                <w:webHidden/>
              </w:rPr>
              <w:tab/>
            </w:r>
            <w:r w:rsidR="00682152">
              <w:rPr>
                <w:noProof/>
                <w:webHidden/>
              </w:rPr>
              <w:fldChar w:fldCharType="begin"/>
            </w:r>
            <w:r w:rsidR="00682152">
              <w:rPr>
                <w:noProof/>
                <w:webHidden/>
              </w:rPr>
              <w:instrText xml:space="preserve"> PAGEREF _Toc416940272 \h </w:instrText>
            </w:r>
            <w:r w:rsidR="00682152">
              <w:rPr>
                <w:noProof/>
                <w:webHidden/>
              </w:rPr>
            </w:r>
            <w:r w:rsidR="00682152">
              <w:rPr>
                <w:noProof/>
                <w:webHidden/>
              </w:rPr>
              <w:fldChar w:fldCharType="separate"/>
            </w:r>
            <w:r w:rsidR="00682152">
              <w:rPr>
                <w:noProof/>
                <w:webHidden/>
              </w:rPr>
              <w:t>17</w:t>
            </w:r>
            <w:r w:rsidR="00682152">
              <w:rPr>
                <w:noProof/>
                <w:webHidden/>
              </w:rPr>
              <w:fldChar w:fldCharType="end"/>
            </w:r>
          </w:hyperlink>
        </w:p>
        <w:p w14:paraId="2B73AB49"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73" w:history="1">
            <w:r w:rsidR="00682152" w:rsidRPr="008705BE">
              <w:rPr>
                <w:rStyle w:val="Hyperlnk"/>
                <w:noProof/>
              </w:rPr>
              <w:t>23.</w:t>
            </w:r>
            <w:r w:rsidR="00682152">
              <w:rPr>
                <w:rFonts w:asciiTheme="minorHAnsi" w:eastAsiaTheme="minorEastAsia" w:hAnsiTheme="minorHAnsi" w:cstheme="minorBidi"/>
                <w:noProof/>
                <w:lang w:eastAsia="sv-SE"/>
              </w:rPr>
              <w:tab/>
            </w:r>
            <w:r w:rsidR="00682152" w:rsidRPr="008705BE">
              <w:rPr>
                <w:rStyle w:val="Hyperlnk"/>
                <w:noProof/>
              </w:rPr>
              <w:t>(poss.) Draft Council conclusions on the Ninth Review Conference of the Parties to the Treaty on the Non-Proliferation of Nuclear Weapons</w:t>
            </w:r>
            <w:r w:rsidR="00682152">
              <w:rPr>
                <w:noProof/>
                <w:webHidden/>
              </w:rPr>
              <w:tab/>
            </w:r>
            <w:r w:rsidR="00682152">
              <w:rPr>
                <w:noProof/>
                <w:webHidden/>
              </w:rPr>
              <w:fldChar w:fldCharType="begin"/>
            </w:r>
            <w:r w:rsidR="00682152">
              <w:rPr>
                <w:noProof/>
                <w:webHidden/>
              </w:rPr>
              <w:instrText xml:space="preserve"> PAGEREF _Toc416940273 \h </w:instrText>
            </w:r>
            <w:r w:rsidR="00682152">
              <w:rPr>
                <w:noProof/>
                <w:webHidden/>
              </w:rPr>
            </w:r>
            <w:r w:rsidR="00682152">
              <w:rPr>
                <w:noProof/>
                <w:webHidden/>
              </w:rPr>
              <w:fldChar w:fldCharType="separate"/>
            </w:r>
            <w:r w:rsidR="00682152">
              <w:rPr>
                <w:noProof/>
                <w:webHidden/>
              </w:rPr>
              <w:t>17</w:t>
            </w:r>
            <w:r w:rsidR="00682152">
              <w:rPr>
                <w:noProof/>
                <w:webHidden/>
              </w:rPr>
              <w:fldChar w:fldCharType="end"/>
            </w:r>
          </w:hyperlink>
        </w:p>
        <w:p w14:paraId="0F7EE744"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74" w:history="1">
            <w:r w:rsidR="00682152" w:rsidRPr="008705BE">
              <w:rPr>
                <w:rStyle w:val="Hyperlnk"/>
                <w:noProof/>
              </w:rPr>
              <w:t>24.</w:t>
            </w:r>
            <w:r w:rsidR="00682152">
              <w:rPr>
                <w:rFonts w:asciiTheme="minorHAnsi" w:eastAsiaTheme="minorEastAsia" w:hAnsiTheme="minorHAnsi" w:cstheme="minorBidi"/>
                <w:noProof/>
                <w:lang w:eastAsia="sv-SE"/>
              </w:rPr>
              <w:tab/>
            </w:r>
            <w:r w:rsidR="00682152" w:rsidRPr="008705BE">
              <w:rPr>
                <w:rStyle w:val="Hyperlnk"/>
                <w:noProof/>
              </w:rPr>
              <w:t>(poss.) Draft Council conclusions on the Review of the European Neighbourhood Policy</w:t>
            </w:r>
            <w:r w:rsidR="00682152">
              <w:rPr>
                <w:noProof/>
                <w:webHidden/>
              </w:rPr>
              <w:tab/>
            </w:r>
            <w:r w:rsidR="00682152">
              <w:rPr>
                <w:noProof/>
                <w:webHidden/>
              </w:rPr>
              <w:fldChar w:fldCharType="begin"/>
            </w:r>
            <w:r w:rsidR="00682152">
              <w:rPr>
                <w:noProof/>
                <w:webHidden/>
              </w:rPr>
              <w:instrText xml:space="preserve"> PAGEREF _Toc416940274 \h </w:instrText>
            </w:r>
            <w:r w:rsidR="00682152">
              <w:rPr>
                <w:noProof/>
                <w:webHidden/>
              </w:rPr>
            </w:r>
            <w:r w:rsidR="00682152">
              <w:rPr>
                <w:noProof/>
                <w:webHidden/>
              </w:rPr>
              <w:fldChar w:fldCharType="separate"/>
            </w:r>
            <w:r w:rsidR="00682152">
              <w:rPr>
                <w:noProof/>
                <w:webHidden/>
              </w:rPr>
              <w:t>17</w:t>
            </w:r>
            <w:r w:rsidR="00682152">
              <w:rPr>
                <w:noProof/>
                <w:webHidden/>
              </w:rPr>
              <w:fldChar w:fldCharType="end"/>
            </w:r>
          </w:hyperlink>
        </w:p>
        <w:p w14:paraId="127AC3B8"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75" w:history="1">
            <w:r w:rsidR="00682152" w:rsidRPr="008705BE">
              <w:rPr>
                <w:rStyle w:val="Hyperlnk"/>
                <w:noProof/>
              </w:rPr>
              <w:t>25.</w:t>
            </w:r>
            <w:r w:rsidR="00682152">
              <w:rPr>
                <w:rFonts w:asciiTheme="minorHAnsi" w:eastAsiaTheme="minorEastAsia" w:hAnsiTheme="minorHAnsi" w:cstheme="minorBidi"/>
                <w:noProof/>
                <w:lang w:eastAsia="sv-SE"/>
              </w:rPr>
              <w:tab/>
            </w:r>
            <w:r w:rsidR="00682152" w:rsidRPr="008705BE">
              <w:rPr>
                <w:rStyle w:val="Hyperlnk"/>
                <w:noProof/>
              </w:rPr>
              <w:t>Exercise Specifications (EXSPEC) for the EU Crisis Management Military Exercise in 2015 (MILEX 15)</w:t>
            </w:r>
            <w:r w:rsidR="00682152">
              <w:rPr>
                <w:noProof/>
                <w:webHidden/>
              </w:rPr>
              <w:tab/>
            </w:r>
            <w:r w:rsidR="00682152">
              <w:rPr>
                <w:noProof/>
                <w:webHidden/>
              </w:rPr>
              <w:fldChar w:fldCharType="begin"/>
            </w:r>
            <w:r w:rsidR="00682152">
              <w:rPr>
                <w:noProof/>
                <w:webHidden/>
              </w:rPr>
              <w:instrText xml:space="preserve"> PAGEREF _Toc416940275 \h </w:instrText>
            </w:r>
            <w:r w:rsidR="00682152">
              <w:rPr>
                <w:noProof/>
                <w:webHidden/>
              </w:rPr>
            </w:r>
            <w:r w:rsidR="00682152">
              <w:rPr>
                <w:noProof/>
                <w:webHidden/>
              </w:rPr>
              <w:fldChar w:fldCharType="separate"/>
            </w:r>
            <w:r w:rsidR="00682152">
              <w:rPr>
                <w:noProof/>
                <w:webHidden/>
              </w:rPr>
              <w:t>18</w:t>
            </w:r>
            <w:r w:rsidR="00682152">
              <w:rPr>
                <w:noProof/>
                <w:webHidden/>
              </w:rPr>
              <w:fldChar w:fldCharType="end"/>
            </w:r>
          </w:hyperlink>
        </w:p>
        <w:p w14:paraId="0AB31D2C" w14:textId="77777777" w:rsidR="00682152" w:rsidRDefault="00DB68E8">
          <w:pPr>
            <w:pStyle w:val="Innehll1"/>
            <w:tabs>
              <w:tab w:val="left" w:pos="660"/>
              <w:tab w:val="right" w:leader="dot" w:pos="9062"/>
            </w:tabs>
            <w:rPr>
              <w:rFonts w:asciiTheme="minorHAnsi" w:eastAsiaTheme="minorEastAsia" w:hAnsiTheme="minorHAnsi" w:cstheme="minorBidi"/>
              <w:noProof/>
              <w:lang w:eastAsia="sv-SE"/>
            </w:rPr>
          </w:pPr>
          <w:hyperlink w:anchor="_Toc416940276" w:history="1">
            <w:r w:rsidR="00682152" w:rsidRPr="008705BE">
              <w:rPr>
                <w:rStyle w:val="Hyperlnk"/>
                <w:noProof/>
              </w:rPr>
              <w:t>26.</w:t>
            </w:r>
            <w:r w:rsidR="00682152">
              <w:rPr>
                <w:rFonts w:asciiTheme="minorHAnsi" w:eastAsiaTheme="minorEastAsia" w:hAnsiTheme="minorHAnsi" w:cstheme="minorBidi"/>
                <w:noProof/>
                <w:lang w:eastAsia="sv-SE"/>
              </w:rPr>
              <w:tab/>
            </w:r>
            <w:r w:rsidR="00682152" w:rsidRPr="008705BE">
              <w:rPr>
                <w:rStyle w:val="Hyperlnk"/>
                <w:noProof/>
              </w:rPr>
              <w:t>Draft Crisis Management Concept (CMC) for the EUSEC RDC Micro-Mission in the Democratic Republic of Congo</w:t>
            </w:r>
            <w:r w:rsidR="00682152">
              <w:rPr>
                <w:noProof/>
                <w:webHidden/>
              </w:rPr>
              <w:tab/>
            </w:r>
            <w:r w:rsidR="00682152">
              <w:rPr>
                <w:noProof/>
                <w:webHidden/>
              </w:rPr>
              <w:fldChar w:fldCharType="begin"/>
            </w:r>
            <w:r w:rsidR="00682152">
              <w:rPr>
                <w:noProof/>
                <w:webHidden/>
              </w:rPr>
              <w:instrText xml:space="preserve"> PAGEREF _Toc416940276 \h </w:instrText>
            </w:r>
            <w:r w:rsidR="00682152">
              <w:rPr>
                <w:noProof/>
                <w:webHidden/>
              </w:rPr>
            </w:r>
            <w:r w:rsidR="00682152">
              <w:rPr>
                <w:noProof/>
                <w:webHidden/>
              </w:rPr>
              <w:fldChar w:fldCharType="separate"/>
            </w:r>
            <w:r w:rsidR="00682152">
              <w:rPr>
                <w:noProof/>
                <w:webHidden/>
              </w:rPr>
              <w:t>18</w:t>
            </w:r>
            <w:r w:rsidR="00682152">
              <w:rPr>
                <w:noProof/>
                <w:webHidden/>
              </w:rPr>
              <w:fldChar w:fldCharType="end"/>
            </w:r>
          </w:hyperlink>
        </w:p>
        <w:p w14:paraId="4ABCB21F" w14:textId="77777777" w:rsidR="00D957FB" w:rsidRDefault="00DE6437">
          <w:r>
            <w:rPr>
              <w:b/>
              <w:bCs/>
              <w:noProof/>
            </w:rPr>
            <w:fldChar w:fldCharType="end"/>
          </w:r>
        </w:p>
      </w:sdtContent>
    </w:sdt>
    <w:p w14:paraId="4ABCB220" w14:textId="77777777" w:rsidR="00D957FB" w:rsidRDefault="00DE6437">
      <w:pPr>
        <w:ind w:left="0"/>
      </w:pPr>
      <w:r>
        <w:br w:type="page"/>
      </w:r>
    </w:p>
    <w:p w14:paraId="4ABCB221" w14:textId="77777777" w:rsidR="00643D86" w:rsidRDefault="00DB68E8" w:rsidP="00643D86">
      <w:pPr>
        <w:pStyle w:val="Rubrik1"/>
        <w:numPr>
          <w:ilvl w:val="0"/>
          <w:numId w:val="0"/>
        </w:numPr>
      </w:pPr>
      <w:bookmarkStart w:id="1" w:name="_Toc364854645"/>
    </w:p>
    <w:p w14:paraId="4ABCB222" w14:textId="77777777" w:rsidR="00643D86" w:rsidRDefault="00DE6437" w:rsidP="00643D86">
      <w:pPr>
        <w:pStyle w:val="Rubrik1"/>
      </w:pPr>
      <w:bookmarkStart w:id="2" w:name="_Toc416940251"/>
      <w:r>
        <w:rPr>
          <w:noProof/>
        </w:rPr>
        <w:t>Case before the Court of Justice</w:t>
      </w:r>
      <w:r>
        <w:rPr>
          <w:noProof/>
        </w:rPr>
        <w:br/>
        <w:t>Case C-116/15 (European Parliament v Council of the European Union)</w:t>
      </w:r>
      <w:bookmarkEnd w:id="2"/>
    </w:p>
    <w:p w14:paraId="133B2700" w14:textId="77777777" w:rsidR="00684887" w:rsidRDefault="00DE6437" w:rsidP="00643D86">
      <w:pPr>
        <w:rPr>
          <w:lang w:val="en-US"/>
        </w:rPr>
      </w:pPr>
      <w:r>
        <w:rPr>
          <w:noProof/>
          <w:lang w:val="en-US"/>
        </w:rPr>
        <w:t>–</w:t>
      </w:r>
      <w:r>
        <w:rPr>
          <w:lang w:val="en-US"/>
        </w:rPr>
        <w:t>Action for annulment of Council Decision 2014/911/UE on the launch of automated data exchange with regard to dactyloscopic data in Latvia</w:t>
      </w:r>
      <w:r w:rsidR="00684887">
        <w:rPr>
          <w:lang w:val="en-US"/>
        </w:rPr>
        <w:br/>
      </w:r>
      <w:r>
        <w:rPr>
          <w:lang w:val="en-US"/>
        </w:rPr>
        <w:t>7712/15 JUR 225 JAI 213 DAPIX 51 CRIMORG 30 ENFOPOL 78ENFOCUSTOM 25</w:t>
      </w:r>
    </w:p>
    <w:p w14:paraId="4ABCB224" w14:textId="5F53DDCD" w:rsidR="00643D86" w:rsidRDefault="00DE6437" w:rsidP="00643D86">
      <w:r>
        <w:rPr>
          <w:b/>
        </w:rPr>
        <w:t>Ansvarigt statsråd</w:t>
      </w:r>
      <w:r>
        <w:rPr>
          <w:b/>
        </w:rPr>
        <w:br/>
      </w:r>
      <w:r>
        <w:rPr>
          <w:noProof/>
        </w:rPr>
        <w:t>Margot Wallström</w:t>
      </w:r>
    </w:p>
    <w:p w14:paraId="4ABCB228" w14:textId="22105845" w:rsidR="00FA3A75" w:rsidRDefault="00DE6437" w:rsidP="00684887">
      <w:r w:rsidRPr="00B44CE2">
        <w:rPr>
          <w:b/>
        </w:rPr>
        <w:t>Annotering</w:t>
      </w:r>
      <w:r>
        <w:rPr>
          <w:b/>
        </w:rPr>
        <w:br/>
      </w:r>
      <w:r>
        <w:rPr>
          <w:b/>
          <w:bCs/>
        </w:rPr>
        <w:t>Avsikt med behandlingen i rådet:</w:t>
      </w:r>
      <w:r>
        <w:t xml:space="preserve"> Information om ett mål vid EU-domstolen där rådet har utsett ombud. </w:t>
      </w:r>
    </w:p>
    <w:p w14:paraId="4ABCB229" w14:textId="77777777" w:rsidR="00FA3A75" w:rsidRDefault="00DE6437">
      <w:pPr>
        <w:spacing w:after="280" w:afterAutospacing="1"/>
      </w:pPr>
      <w:r>
        <w:rPr>
          <w:b/>
          <w:bCs/>
        </w:rPr>
        <w:t>Hur regeringen ställer sig till den blivande A-punkten:</w:t>
      </w:r>
      <w:r>
        <w:t xml:space="preserve"> Regeringen har ingen erinran mot denna informationspunkt. </w:t>
      </w:r>
    </w:p>
    <w:p w14:paraId="4ABCB22B" w14:textId="58F30B5D" w:rsidR="00FB32B9" w:rsidRDefault="00DE6437">
      <w:pPr>
        <w:spacing w:after="280" w:afterAutospacing="1"/>
        <w:rPr>
          <w:noProof/>
        </w:rPr>
      </w:pPr>
      <w:r>
        <w:rPr>
          <w:b/>
          <w:bCs/>
        </w:rPr>
        <w:t xml:space="preserve">Bakgrund: </w:t>
      </w:r>
      <w:r>
        <w:t>Europaparlamentet har väckt talan vid EU-domstolen om ogiltigförklaring av rådets beslut 2014/911/EU av den 4 december 20141 om inledande av automatiskt utbyte av fingeravtrycksuppgifter i Lettland.</w:t>
      </w:r>
    </w:p>
    <w:p w14:paraId="4ABCB22C" w14:textId="77777777" w:rsidR="00643D86" w:rsidRDefault="00DE6437" w:rsidP="00643D86">
      <w:pPr>
        <w:pStyle w:val="Rubrik1"/>
      </w:pPr>
      <w:bookmarkStart w:id="3" w:name="_Toc416940252"/>
      <w:r>
        <w:rPr>
          <w:noProof/>
        </w:rPr>
        <w:t>Resolutions, Decisions and Opinions adopted by the European Parliament at its part-session in Strasbourg from 9 to 12 March 2015</w:t>
      </w:r>
      <w:bookmarkEnd w:id="3"/>
    </w:p>
    <w:p w14:paraId="6C00430E" w14:textId="77777777" w:rsidR="00684887" w:rsidRDefault="00DE6437" w:rsidP="00643D86">
      <w:pPr>
        <w:rPr>
          <w:lang w:val="en-US"/>
        </w:rPr>
      </w:pPr>
      <w:r>
        <w:rPr>
          <w:noProof/>
          <w:lang w:val="en-US"/>
        </w:rPr>
        <w:t>7662</w:t>
      </w:r>
      <w:r>
        <w:rPr>
          <w:lang w:val="en-US"/>
        </w:rPr>
        <w:t>/15 PE-RE 3</w:t>
      </w:r>
    </w:p>
    <w:p w14:paraId="4ABCB22E" w14:textId="6119730F" w:rsidR="00643D86" w:rsidRDefault="00DE6437" w:rsidP="00643D86">
      <w:r>
        <w:rPr>
          <w:b/>
        </w:rPr>
        <w:t>Ansvarigt statsråd</w:t>
      </w:r>
      <w:r>
        <w:rPr>
          <w:b/>
        </w:rPr>
        <w:br/>
      </w:r>
      <w:r>
        <w:rPr>
          <w:noProof/>
        </w:rPr>
        <w:t>Stefan Löfven</w:t>
      </w:r>
    </w:p>
    <w:p w14:paraId="4ABCB231" w14:textId="77777777" w:rsidR="00643D86" w:rsidRDefault="00DE6437" w:rsidP="00643D86">
      <w:r w:rsidRPr="00B44CE2">
        <w:rPr>
          <w:b/>
        </w:rPr>
        <w:t>Annotering</w:t>
      </w:r>
      <w:r>
        <w:rPr>
          <w:b/>
        </w:rPr>
        <w:br/>
      </w:r>
      <w:r>
        <w:t>Föranleder ingen annotering.</w:t>
      </w:r>
    </w:p>
    <w:p w14:paraId="4ABCB232" w14:textId="77777777" w:rsidR="00643D86" w:rsidRDefault="00DE6437" w:rsidP="00643D86">
      <w:pPr>
        <w:pStyle w:val="Rubrik1"/>
      </w:pPr>
      <w:bookmarkStart w:id="4" w:name="_Toc416940253"/>
      <w:r>
        <w:rPr>
          <w:noProof/>
        </w:rPr>
        <w:t>Proposal for a Council Decision appointing a Belgian member of the European Economic and Social Committee</w:t>
      </w:r>
      <w:bookmarkEnd w:id="4"/>
    </w:p>
    <w:p w14:paraId="0372ED0E" w14:textId="77777777" w:rsidR="00684887" w:rsidRDefault="00DE6437" w:rsidP="00643D86">
      <w:pPr>
        <w:rPr>
          <w:lang w:val="en-US"/>
        </w:rPr>
      </w:pPr>
      <w:r>
        <w:rPr>
          <w:noProof/>
          <w:lang w:val="en-US"/>
        </w:rPr>
        <w:t>–</w:t>
      </w:r>
      <w:r>
        <w:rPr>
          <w:lang w:val="en-US"/>
        </w:rPr>
        <w:t>Adoption</w:t>
      </w:r>
    </w:p>
    <w:p w14:paraId="4ABCB233" w14:textId="65AB8645" w:rsidR="00643D86" w:rsidRDefault="00DE6437" w:rsidP="00643D86">
      <w:pPr>
        <w:rPr>
          <w:lang w:val="en-US"/>
        </w:rPr>
      </w:pPr>
      <w:r>
        <w:rPr>
          <w:noProof/>
          <w:lang w:val="en-US"/>
        </w:rPr>
        <w:t>7666</w:t>
      </w:r>
      <w:r>
        <w:rPr>
          <w:lang w:val="en-US"/>
        </w:rPr>
        <w:t>/15 CES 207658/15 CES 19</w:t>
      </w:r>
    </w:p>
    <w:p w14:paraId="4ABCB234" w14:textId="77777777" w:rsidR="00643D86" w:rsidRDefault="00DE6437" w:rsidP="00643D86">
      <w:r>
        <w:rPr>
          <w:b/>
        </w:rPr>
        <w:t>Ansvarigt statsråd</w:t>
      </w:r>
      <w:r>
        <w:rPr>
          <w:b/>
        </w:rPr>
        <w:br/>
      </w:r>
      <w:r>
        <w:rPr>
          <w:noProof/>
        </w:rPr>
        <w:t xml:space="preserve">Ylva Johansson </w:t>
      </w:r>
    </w:p>
    <w:p w14:paraId="4ABCB237" w14:textId="77777777" w:rsidR="00643D86" w:rsidRDefault="00DE6437" w:rsidP="00643D86">
      <w:r w:rsidRPr="00B44CE2">
        <w:rPr>
          <w:b/>
        </w:rPr>
        <w:t>Annotering</w:t>
      </w:r>
      <w:r>
        <w:rPr>
          <w:b/>
        </w:rPr>
        <w:br/>
      </w:r>
      <w:r>
        <w:t>Föranleder ingen annotering.</w:t>
      </w:r>
    </w:p>
    <w:p w14:paraId="4ABCB238" w14:textId="77777777" w:rsidR="00643D86" w:rsidRDefault="00DE6437" w:rsidP="00643D86">
      <w:pPr>
        <w:pStyle w:val="Rubrik1"/>
      </w:pPr>
      <w:bookmarkStart w:id="5" w:name="_Toc416940254"/>
      <w:r>
        <w:rPr>
          <w:noProof/>
        </w:rPr>
        <w:t>Proposal for a Regulation of the European Parliament and of the Council on information accompanying transfers of funds (First reading) (LA)</w:t>
      </w:r>
      <w:r>
        <w:rPr>
          <w:noProof/>
        </w:rPr>
        <w:br/>
        <w:t>–Adoption</w:t>
      </w:r>
      <w:bookmarkEnd w:id="5"/>
    </w:p>
    <w:p w14:paraId="47863D3C" w14:textId="2F58363E" w:rsidR="00684887" w:rsidRPr="00684887" w:rsidRDefault="00DE6437" w:rsidP="00684887">
      <w:pPr>
        <w:pStyle w:val="Liststycke"/>
        <w:numPr>
          <w:ilvl w:val="0"/>
          <w:numId w:val="3"/>
        </w:numPr>
        <w:rPr>
          <w:lang w:val="en-US"/>
        </w:rPr>
      </w:pPr>
      <w:r w:rsidRPr="00684887">
        <w:rPr>
          <w:lang w:val="en-US"/>
        </w:rPr>
        <w:t>of the Council's position at first reading</w:t>
      </w:r>
      <w:r w:rsidR="00684887">
        <w:rPr>
          <w:lang w:val="en-US"/>
        </w:rPr>
        <w:t xml:space="preserve"> </w:t>
      </w:r>
      <w:r w:rsidRPr="00684887">
        <w:rPr>
          <w:lang w:val="en-US"/>
        </w:rPr>
        <w:t>b) of the statement of the Council's reasons</w:t>
      </w:r>
    </w:p>
    <w:p w14:paraId="4ABCB239" w14:textId="24A87833" w:rsidR="00643D86" w:rsidRPr="00684887" w:rsidRDefault="00DE6437" w:rsidP="00684887">
      <w:pPr>
        <w:rPr>
          <w:lang w:val="en-US"/>
        </w:rPr>
      </w:pPr>
      <w:r w:rsidRPr="00684887">
        <w:rPr>
          <w:noProof/>
          <w:lang w:val="en-US"/>
        </w:rPr>
        <w:lastRenderedPageBreak/>
        <w:t>7767</w:t>
      </w:r>
      <w:r w:rsidRPr="00684887">
        <w:rPr>
          <w:lang w:val="en-US"/>
        </w:rPr>
        <w:t>/15 CODEC 462 EF 64 ECOFIN 234 DROIPEN 29 CRIMORG 31</w:t>
      </w:r>
      <w:r w:rsidR="00684887">
        <w:rPr>
          <w:lang w:val="en-US"/>
        </w:rPr>
        <w:t xml:space="preserve"> </w:t>
      </w:r>
      <w:r w:rsidR="00684887">
        <w:rPr>
          <w:lang w:val="en-US"/>
        </w:rPr>
        <w:br/>
      </w:r>
      <w:r w:rsidRPr="00684887">
        <w:rPr>
          <w:lang w:val="en-US"/>
        </w:rPr>
        <w:t>5932/15 EF 25 ECOFIN 69 DROIPEN 13 CRIMORG 15 CODEC 141+ ADD 1+ ADD 1 COR 1</w:t>
      </w:r>
    </w:p>
    <w:p w14:paraId="4ABCB23A" w14:textId="77777777" w:rsidR="00643D86" w:rsidRDefault="00DE6437" w:rsidP="00643D86">
      <w:r>
        <w:rPr>
          <w:b/>
        </w:rPr>
        <w:t>Ansvarigt statsråd</w:t>
      </w:r>
      <w:r>
        <w:rPr>
          <w:b/>
        </w:rPr>
        <w:br/>
      </w:r>
      <w:r>
        <w:rPr>
          <w:noProof/>
        </w:rPr>
        <w:t>Per Bolund</w:t>
      </w:r>
    </w:p>
    <w:p w14:paraId="4ABCB23B" w14:textId="77777777" w:rsidR="00643D86" w:rsidRPr="00643D86" w:rsidRDefault="00DE6437" w:rsidP="00643D86">
      <w:r w:rsidRPr="00643D86">
        <w:rPr>
          <w:b/>
        </w:rPr>
        <w:t>Tidigare behandling i riksdagen</w:t>
      </w:r>
      <w:r>
        <w:rPr>
          <w:b/>
        </w:rPr>
        <w:br/>
      </w:r>
      <w:r>
        <w:rPr>
          <w:noProof/>
        </w:rPr>
        <w:t>2013-11-11</w:t>
      </w:r>
    </w:p>
    <w:p w14:paraId="4ABCB23C" w14:textId="77777777" w:rsidR="00643D86" w:rsidRPr="00643D86" w:rsidRDefault="00DE6437" w:rsidP="00643D86">
      <w:r w:rsidRPr="00643D86">
        <w:rPr>
          <w:b/>
        </w:rPr>
        <w:t>Tidigare behandling vid rådsmöte</w:t>
      </w:r>
      <w:r>
        <w:rPr>
          <w:b/>
        </w:rPr>
        <w:br/>
      </w:r>
      <w:r>
        <w:rPr>
          <w:noProof/>
        </w:rPr>
        <w:t>2015-01-26</w:t>
      </w:r>
    </w:p>
    <w:p w14:paraId="4ABCB23F" w14:textId="66C37B5E" w:rsidR="00FA3A75" w:rsidRDefault="00DE6437" w:rsidP="00684887">
      <w:r w:rsidRPr="00B44CE2">
        <w:rPr>
          <w:b/>
        </w:rPr>
        <w:t>Annotering</w:t>
      </w:r>
      <w:r>
        <w:rPr>
          <w:b/>
        </w:rPr>
        <w:br/>
      </w:r>
      <w:r>
        <w:rPr>
          <w:b/>
          <w:bCs/>
        </w:rPr>
        <w:t>Avsikt med behandlingen i rådet:</w:t>
      </w:r>
      <w:r>
        <w:t xml:space="preserve"> Antagande av Europaparlamentets och rådets förordning om information som ska åtfölja överföringar av medel efter första läsningen. </w:t>
      </w:r>
    </w:p>
    <w:p w14:paraId="4ABCB241" w14:textId="36BD5EEE" w:rsidR="00FA3A75" w:rsidRDefault="00DE6437">
      <w:pPr>
        <w:spacing w:after="280" w:afterAutospacing="1"/>
      </w:pPr>
      <w:r>
        <w:rPr>
          <w:b/>
          <w:bCs/>
        </w:rPr>
        <w:t>Hur regeringen ställer sig till den blivande A-punkten:</w:t>
      </w:r>
      <w:r>
        <w:t xml:space="preserve"> Regeringen stödjer den blivande A-punkten. </w:t>
      </w:r>
    </w:p>
    <w:p w14:paraId="4ABCB244" w14:textId="3EE8B27C" w:rsidR="00FB32B9" w:rsidRDefault="00DE6437">
      <w:pPr>
        <w:spacing w:after="280" w:afterAutospacing="1"/>
        <w:rPr>
          <w:noProof/>
        </w:rPr>
      </w:pPr>
      <w:r>
        <w:rPr>
          <w:b/>
          <w:bCs/>
        </w:rPr>
        <w:t>Bakgrund:</w:t>
      </w:r>
      <w:r w:rsidR="00684887">
        <w:rPr>
          <w:b/>
          <w:bCs/>
        </w:rPr>
        <w:t xml:space="preserve"> </w:t>
      </w:r>
      <w:r>
        <w:t>Den 5 februari 2013 presenterade Kommissionen förslag till revidering av de två nu aktuella rättsakterna - direktiv om förhindrande av att det finansiella systemet används för penningtvätt och finansiering av terrorism och förordningen om information som åtföljer överföringar av medel. Direktivet innehåller reglering av administrativ art om krav på företag, såväl inom den finansiella sektorn som utanför, att kontrollera sina kunder, granska misstänkta transaktioner och rapportera detta till finansiella underrättelseenheter (i Sverige Finanspolisen). Revideringen av förordningen medför bl.a. att omfattningen av förordningens räckvidd i vissa delar utvidgas och att tidigare luckor beträffande genomlysningskraven åtgärdas, exempelvis ska information om betalningsmottagaren inkluderas i överföringarna. Förslagen till reviderade rättsakter syftar bl.a. till att uppdatera och anpassa den befintliga regleringen till reviderade internationella standarder, närmare bestämt till rekommendationer som utfärdats av Financial Action Task Force, FATF.</w:t>
      </w:r>
    </w:p>
    <w:p w14:paraId="4ABCB245" w14:textId="77777777" w:rsidR="00643D86" w:rsidRDefault="00DE6437" w:rsidP="00643D86">
      <w:pPr>
        <w:pStyle w:val="Rubrik1"/>
      </w:pPr>
      <w:bookmarkStart w:id="6" w:name="_Toc416940255"/>
      <w:r>
        <w:rPr>
          <w:noProof/>
        </w:rPr>
        <w:t>Proposal for a Directive of the European Parliament and of the Council on the prevention of the use of the financial system for the purpose of money laundering and terrorist financing (First reading) (LA)</w:t>
      </w:r>
      <w:r>
        <w:rPr>
          <w:noProof/>
        </w:rPr>
        <w:br/>
        <w:t>–Adoption</w:t>
      </w:r>
      <w:bookmarkEnd w:id="6"/>
    </w:p>
    <w:p w14:paraId="0F9649CB" w14:textId="096BC2CE" w:rsidR="00684887" w:rsidRPr="00684887" w:rsidRDefault="00DE6437" w:rsidP="00684887">
      <w:pPr>
        <w:pStyle w:val="Liststycke"/>
        <w:numPr>
          <w:ilvl w:val="0"/>
          <w:numId w:val="4"/>
        </w:numPr>
        <w:rPr>
          <w:lang w:val="en-US"/>
        </w:rPr>
      </w:pPr>
      <w:r w:rsidRPr="00684887">
        <w:rPr>
          <w:lang w:val="en-US"/>
        </w:rPr>
        <w:t>of the Council's position at first reading</w:t>
      </w:r>
      <w:r w:rsidR="00684887" w:rsidRPr="00684887">
        <w:rPr>
          <w:lang w:val="en-US"/>
        </w:rPr>
        <w:t xml:space="preserve"> </w:t>
      </w:r>
      <w:r w:rsidRPr="00684887">
        <w:rPr>
          <w:lang w:val="en-US"/>
        </w:rPr>
        <w:t>b) of the statement of the Council's reasons</w:t>
      </w:r>
    </w:p>
    <w:p w14:paraId="4ABCB248" w14:textId="6696D9D1" w:rsidR="00643D86" w:rsidRDefault="00DE6437" w:rsidP="00643D86">
      <w:pPr>
        <w:rPr>
          <w:lang w:val="en-US"/>
        </w:rPr>
      </w:pPr>
      <w:r>
        <w:rPr>
          <w:noProof/>
          <w:lang w:val="en-US"/>
        </w:rPr>
        <w:t>7768</w:t>
      </w:r>
      <w:r>
        <w:rPr>
          <w:lang w:val="en-US"/>
        </w:rPr>
        <w:t>/15 CODEC 463 EF 65 ECOFIN 235 DROIPEN 30 CRIMORG 32</w:t>
      </w:r>
      <w:r w:rsidR="00684887">
        <w:rPr>
          <w:lang w:val="en-US"/>
        </w:rPr>
        <w:br/>
      </w:r>
      <w:r>
        <w:rPr>
          <w:lang w:val="en-US"/>
        </w:rPr>
        <w:t>5933/15 EF 26 ECOFIN 70 DROIPEN 14 CRIMORG 16 CODEC 142+ ADD 1+ ADD 1 COR 1</w:t>
      </w:r>
    </w:p>
    <w:p w14:paraId="4ABCB249" w14:textId="77777777" w:rsidR="00643D86" w:rsidRDefault="00DE6437" w:rsidP="00643D86">
      <w:r>
        <w:rPr>
          <w:b/>
        </w:rPr>
        <w:t>Ansvarigt statsråd</w:t>
      </w:r>
      <w:r>
        <w:rPr>
          <w:b/>
        </w:rPr>
        <w:br/>
      </w:r>
      <w:r>
        <w:rPr>
          <w:noProof/>
        </w:rPr>
        <w:t>Per Bolund</w:t>
      </w:r>
    </w:p>
    <w:p w14:paraId="4ABCB24A" w14:textId="77777777" w:rsidR="00643D86" w:rsidRPr="00643D86" w:rsidRDefault="00DE6437" w:rsidP="00643D86">
      <w:r w:rsidRPr="00643D86">
        <w:rPr>
          <w:b/>
        </w:rPr>
        <w:t>Tidigare behandling i riksdagen</w:t>
      </w:r>
      <w:r>
        <w:rPr>
          <w:b/>
        </w:rPr>
        <w:br/>
      </w:r>
      <w:r>
        <w:rPr>
          <w:noProof/>
        </w:rPr>
        <w:t>2013-11-11</w:t>
      </w:r>
    </w:p>
    <w:p w14:paraId="4ABCB24B" w14:textId="77777777" w:rsidR="00643D86" w:rsidRPr="00643D86" w:rsidRDefault="00DE6437" w:rsidP="00643D86">
      <w:r w:rsidRPr="00643D86">
        <w:rPr>
          <w:b/>
        </w:rPr>
        <w:t>Tidigare behandling vid rådsmöte</w:t>
      </w:r>
      <w:r>
        <w:rPr>
          <w:b/>
        </w:rPr>
        <w:br/>
      </w:r>
      <w:r>
        <w:rPr>
          <w:noProof/>
        </w:rPr>
        <w:t>2015-01-26</w:t>
      </w:r>
    </w:p>
    <w:p w14:paraId="4ABCB24E" w14:textId="14448EE2" w:rsidR="00FA3A75" w:rsidRDefault="00DE6437" w:rsidP="00684887">
      <w:r w:rsidRPr="00B44CE2">
        <w:rPr>
          <w:b/>
        </w:rPr>
        <w:t>Annotering</w:t>
      </w:r>
      <w:r>
        <w:rPr>
          <w:b/>
        </w:rPr>
        <w:br/>
      </w:r>
      <w:r>
        <w:rPr>
          <w:b/>
          <w:bCs/>
        </w:rPr>
        <w:t>Avsikt med behandlingen i rådet:</w:t>
      </w:r>
      <w:r w:rsidR="00684887">
        <w:rPr>
          <w:b/>
          <w:bCs/>
        </w:rPr>
        <w:t xml:space="preserve"> </w:t>
      </w:r>
      <w:r>
        <w:t>Antagande av Europaparlamentets och rådets direktiv om åtgärder mot att det finansiella systemet används för penningtvätt och finansiering av terrorism efter första läsningen.  </w:t>
      </w:r>
    </w:p>
    <w:p w14:paraId="4ABCB250" w14:textId="6AE07DA4" w:rsidR="00FA3A75" w:rsidRDefault="00DE6437">
      <w:pPr>
        <w:spacing w:after="280" w:afterAutospacing="1"/>
      </w:pPr>
      <w:r>
        <w:rPr>
          <w:b/>
          <w:bCs/>
        </w:rPr>
        <w:t>Hur regeringen ställer sig till den blivande A-punkten:</w:t>
      </w:r>
      <w:r>
        <w:t xml:space="preserve"> Regeringen stödjer den blivande A-punkten. </w:t>
      </w:r>
    </w:p>
    <w:p w14:paraId="4ABCB253" w14:textId="4C9561D3" w:rsidR="00FB32B9" w:rsidRDefault="00DE6437">
      <w:pPr>
        <w:spacing w:after="280" w:afterAutospacing="1"/>
        <w:rPr>
          <w:noProof/>
        </w:rPr>
      </w:pPr>
      <w:r>
        <w:rPr>
          <w:b/>
          <w:bCs/>
        </w:rPr>
        <w:t>Bakgrund:</w:t>
      </w:r>
      <w:r w:rsidR="00684887">
        <w:rPr>
          <w:b/>
          <w:bCs/>
        </w:rPr>
        <w:t xml:space="preserve"> </w:t>
      </w:r>
      <w:r>
        <w:t>Den 5 februari 2013 presenterade Kommissionen förslag till revidering av de två nu aktuella rättsakterna - direktiv om förhindrande av att det finansiella systemet används för penningtvätt och finansiering av terrorism och förordningen om information som åtföljer överföringar av medel. Direktivet innehåller reglering av administrativ art om krav på företag, såväl inom den finansiella sektorn som utanför, att kontrollera sina kunder, granska misstänkta transaktioner och rapportera detta till finansiella underrättelseenheter (i Sverige Finanspolisen). Revideringen av förordningen medför bl.a. att omfattningen av förordningens räckvidd i vissa delar utvidgas och att tidigare luckor beträffande genomlysningskraven åtgärdas, exempelvis ska information om betalningsmottagaren inkluderas i överföringarna. Förslagen till reviderade rättsakter syftar bl.a. till att uppdatera och anpassa den befintliga regleringen till reviderade internationella standarder, närmare bestämt till rekommendationer som utfärdats av Financial Action Task Force, FATF.</w:t>
      </w:r>
    </w:p>
    <w:p w14:paraId="4ABCB254" w14:textId="77777777" w:rsidR="00643D86" w:rsidRDefault="00DE6437" w:rsidP="00643D86">
      <w:pPr>
        <w:pStyle w:val="Rubrik1"/>
      </w:pPr>
      <w:bookmarkStart w:id="7" w:name="_Toc416940256"/>
      <w:r>
        <w:rPr>
          <w:noProof/>
        </w:rPr>
        <w:t>Council Decision authorising the opening of negotiations on an agreement between the European Union and the United States of America on reinsurance</w:t>
      </w:r>
      <w:bookmarkEnd w:id="7"/>
    </w:p>
    <w:p w14:paraId="62C3AEB6" w14:textId="77777777" w:rsidR="00684887" w:rsidRDefault="00DE6437" w:rsidP="00643D86">
      <w:pPr>
        <w:rPr>
          <w:lang w:val="en-US"/>
        </w:rPr>
      </w:pPr>
      <w:r>
        <w:rPr>
          <w:noProof/>
          <w:lang w:val="en-US"/>
        </w:rPr>
        <w:t>–</w:t>
      </w:r>
      <w:r>
        <w:rPr>
          <w:lang w:val="en-US"/>
        </w:rPr>
        <w:t>Adoption</w:t>
      </w:r>
    </w:p>
    <w:p w14:paraId="4ABCB255" w14:textId="1E2ADE62" w:rsidR="00643D86" w:rsidRDefault="00DE6437" w:rsidP="00643D86">
      <w:pPr>
        <w:rPr>
          <w:lang w:val="en-US"/>
        </w:rPr>
      </w:pPr>
      <w:r>
        <w:rPr>
          <w:noProof/>
          <w:lang w:val="en-US"/>
        </w:rPr>
        <w:t>7455</w:t>
      </w:r>
      <w:r>
        <w:rPr>
          <w:lang w:val="en-US"/>
        </w:rPr>
        <w:t>/15 EF 58 SURE 8 ECOFIN 221 SERVICES 1</w:t>
      </w:r>
      <w:r w:rsidR="00684887">
        <w:rPr>
          <w:lang w:val="en-US"/>
        </w:rPr>
        <w:t xml:space="preserve"> </w:t>
      </w:r>
      <w:r>
        <w:rPr>
          <w:lang w:val="en-US"/>
        </w:rPr>
        <w:t>8</w:t>
      </w:r>
      <w:r w:rsidR="00684887">
        <w:rPr>
          <w:lang w:val="en-US"/>
        </w:rPr>
        <w:br/>
      </w:r>
      <w:r>
        <w:rPr>
          <w:lang w:val="en-US"/>
        </w:rPr>
        <w:t>7320/15 EF 53 SURE 7 ECOFIN 214 SERVICES 16+ ADD 1RESTREINT UE</w:t>
      </w:r>
    </w:p>
    <w:p w14:paraId="4ABCB256" w14:textId="6239E25D" w:rsidR="00643D86" w:rsidRDefault="00DE6437" w:rsidP="00643D86">
      <w:r>
        <w:rPr>
          <w:b/>
        </w:rPr>
        <w:t>Ansvarigt statsråd</w:t>
      </w:r>
      <w:r>
        <w:rPr>
          <w:b/>
        </w:rPr>
        <w:br/>
      </w:r>
      <w:r w:rsidR="00CC5890">
        <w:t>Per Bolund</w:t>
      </w:r>
    </w:p>
    <w:p w14:paraId="4ABCB25A" w14:textId="6E2B899C" w:rsidR="00FA3A75" w:rsidRDefault="00DE6437" w:rsidP="00684887">
      <w:r w:rsidRPr="00B44CE2">
        <w:rPr>
          <w:b/>
        </w:rPr>
        <w:t>Annotering</w:t>
      </w:r>
      <w:r>
        <w:rPr>
          <w:b/>
        </w:rPr>
        <w:br/>
      </w:r>
      <w:r>
        <w:rPr>
          <w:b/>
          <w:bCs/>
        </w:rPr>
        <w:t>Avsikt med behandlingen i rådet:</w:t>
      </w:r>
      <w:r>
        <w:t xml:space="preserve"> Rådet föreslås anta ett beslut om bemyndigande för kommissionen att inleda förhandlingar om ett avtal mellan EU och Amerikas förenta stater avseende återförsäkring och relaterade frågor. </w:t>
      </w:r>
    </w:p>
    <w:p w14:paraId="4ABCB25C" w14:textId="0132CE82" w:rsidR="00FA3A75" w:rsidRDefault="00DE6437">
      <w:pPr>
        <w:spacing w:after="280" w:afterAutospacing="1"/>
      </w:pPr>
      <w:r>
        <w:rPr>
          <w:b/>
          <w:bCs/>
        </w:rPr>
        <w:t>Hur regeringen ställer sig till den blivande A-punkten:</w:t>
      </w:r>
      <w:r>
        <w:t xml:space="preserve"> Regeringen avser att rösta ja till att rådet antar beslutet om bemyndigande för kommissionen att inleda förhandlingar om ett avtal mellan EU och Amerikas förenta stater avseende återförsäkring och relaterade frågor. </w:t>
      </w:r>
    </w:p>
    <w:p w14:paraId="4ABCB25D" w14:textId="77777777" w:rsidR="00FA3A75" w:rsidRDefault="00DE6437">
      <w:pPr>
        <w:spacing w:after="280" w:afterAutospacing="1"/>
      </w:pPr>
      <w:r>
        <w:t xml:space="preserve">I dag ställer amerikanska myndigheter krav på säkerheter på återförsäkringsföretag från EU som för närvarande är högre än de som myndigheter inom EU tillämpar på amerikanska återförsäkringsföretag. Ett avtal om återförsäkring och harmoniserade krav på säkerhet ger ekonomiska fördelar som är uppenbara på bägge sidor. </w:t>
      </w:r>
    </w:p>
    <w:p w14:paraId="4ABCB25E" w14:textId="77777777" w:rsidR="00FA3A75" w:rsidRDefault="00DE6437">
      <w:pPr>
        <w:spacing w:after="280" w:afterAutospacing="1"/>
      </w:pPr>
      <w:r>
        <w:t xml:space="preserve">Avtalet kommer innehålla bestämmelser om ömsesidigt erkännande av tillsynsregler och tillsyn, informationsutbyte mellan tillsynsmyndigheter, filialer som är etablerade inom EU och som tillhör försäkrings- eller återförsäkringsföretag med huvudkontor i Amerikas förenta stater samt regler om grupptillsyn. Harmoniserade regler underlättar för såväl tillsynsmyndigheterna som återförsäkringsföretagen. </w:t>
      </w:r>
    </w:p>
    <w:p w14:paraId="4ABCB263" w14:textId="6319F6FF" w:rsidR="00FB32B9" w:rsidRDefault="00DE6437">
      <w:pPr>
        <w:spacing w:after="280" w:afterAutospacing="1"/>
        <w:rPr>
          <w:noProof/>
        </w:rPr>
      </w:pPr>
      <w:r>
        <w:rPr>
          <w:b/>
          <w:bCs/>
        </w:rPr>
        <w:t>Bakgrund:</w:t>
      </w:r>
      <w:r>
        <w:t xml:space="preserve"> Kommissionen har lämnat ett förslag till rådsbeslut om bemyndigande för kommissionen att inleda förhandlingar om ett avtal mellan EU och Amerikas förenta stater om återförsäkring och relaterade frågor. Vidare har kommissionen föreslagit att rådet ska utfärda de förhandlingsdirektiv som anges i en bilaga till beslutsförslaget och att utse en särskild kommitté (Council Working Party on Financial Services) med vilken samråd ska ske under förhandlingarna. Målet är att slutföra förhandlingarna inom två år efter att de faktiskt inletts.</w:t>
      </w:r>
    </w:p>
    <w:p w14:paraId="4ABCB264" w14:textId="77777777" w:rsidR="00643D86" w:rsidRDefault="00DE6437" w:rsidP="00643D86">
      <w:pPr>
        <w:pStyle w:val="Rubrik1"/>
      </w:pPr>
      <w:bookmarkStart w:id="8" w:name="_Toc416940257"/>
      <w:r>
        <w:rPr>
          <w:noProof/>
        </w:rPr>
        <w:t>Proposal for a Council Regulation amending Regulation (EU, Euratom) No 1311/2013 laying down the multiannual financial framework for the years 2014-2020</w:t>
      </w:r>
      <w:bookmarkEnd w:id="8"/>
    </w:p>
    <w:p w14:paraId="46E5291E" w14:textId="77777777" w:rsidR="00750805" w:rsidRDefault="00DE6437" w:rsidP="00643D86">
      <w:pPr>
        <w:rPr>
          <w:lang w:val="en-US"/>
        </w:rPr>
      </w:pPr>
      <w:r>
        <w:rPr>
          <w:noProof/>
          <w:lang w:val="en-US"/>
        </w:rPr>
        <w:t>–</w:t>
      </w:r>
      <w:r>
        <w:rPr>
          <w:lang w:val="en-US"/>
        </w:rPr>
        <w:t>Adoption</w:t>
      </w:r>
    </w:p>
    <w:p w14:paraId="4ABCB265" w14:textId="0C9B3867" w:rsidR="00643D86" w:rsidRDefault="00DE6437" w:rsidP="00643D86">
      <w:pPr>
        <w:rPr>
          <w:lang w:val="en-US"/>
        </w:rPr>
      </w:pPr>
      <w:r>
        <w:rPr>
          <w:noProof/>
          <w:lang w:val="en-US"/>
        </w:rPr>
        <w:t>7625</w:t>
      </w:r>
      <w:r>
        <w:rPr>
          <w:lang w:val="en-US"/>
        </w:rPr>
        <w:t>/15 FIN 252 CADREFIN 12 REGIO 24 FSTR 17 FC 18 SOC 208</w:t>
      </w:r>
      <w:r w:rsidR="00750805">
        <w:rPr>
          <w:lang w:val="en-US"/>
        </w:rPr>
        <w:t xml:space="preserve"> </w:t>
      </w:r>
      <w:r>
        <w:rPr>
          <w:lang w:val="en-US"/>
        </w:rPr>
        <w:t>AGRISTR 20 PECHE 111 JAI 201 ASIM 16</w:t>
      </w:r>
    </w:p>
    <w:p w14:paraId="4ABCB266" w14:textId="77777777" w:rsidR="00643D86" w:rsidRDefault="00DE6437" w:rsidP="00643D86">
      <w:r>
        <w:rPr>
          <w:b/>
        </w:rPr>
        <w:t>Ansvarigt statsråd</w:t>
      </w:r>
      <w:r>
        <w:rPr>
          <w:b/>
        </w:rPr>
        <w:br/>
      </w:r>
      <w:r>
        <w:rPr>
          <w:noProof/>
        </w:rPr>
        <w:t>Magdalena Andersson</w:t>
      </w:r>
    </w:p>
    <w:p w14:paraId="4ABCB267" w14:textId="77777777" w:rsidR="00643D86" w:rsidRPr="00643D86" w:rsidRDefault="00DE6437" w:rsidP="00643D86">
      <w:r w:rsidRPr="00643D86">
        <w:rPr>
          <w:b/>
        </w:rPr>
        <w:t>Tidigare behandling i riksdagen</w:t>
      </w:r>
      <w:r>
        <w:rPr>
          <w:b/>
        </w:rPr>
        <w:br/>
      </w:r>
      <w:r>
        <w:rPr>
          <w:noProof/>
        </w:rPr>
        <w:t>2015-02-06</w:t>
      </w:r>
    </w:p>
    <w:p w14:paraId="4ABCB268" w14:textId="77777777" w:rsidR="00643D86" w:rsidRPr="00643D86" w:rsidRDefault="00DE6437" w:rsidP="00643D86">
      <w:r w:rsidRPr="00643D86">
        <w:rPr>
          <w:b/>
        </w:rPr>
        <w:t>Tidigare behandling vid rådsmöte</w:t>
      </w:r>
      <w:r>
        <w:rPr>
          <w:b/>
        </w:rPr>
        <w:br/>
      </w:r>
      <w:r>
        <w:rPr>
          <w:noProof/>
        </w:rPr>
        <w:t>2015-02-10</w:t>
      </w:r>
    </w:p>
    <w:p w14:paraId="4ABCB269" w14:textId="2145C4CA" w:rsidR="00643D86" w:rsidRDefault="00DE6437" w:rsidP="00643D86">
      <w:r w:rsidRPr="00B44CE2">
        <w:rPr>
          <w:b/>
        </w:rPr>
        <w:t>Annotering</w:t>
      </w:r>
      <w:r w:rsidR="00750805">
        <w:rPr>
          <w:b/>
        </w:rPr>
        <w:t xml:space="preserve">: </w:t>
      </w:r>
      <w:r>
        <w:rPr>
          <w:b/>
          <w:bCs/>
        </w:rPr>
        <w:t xml:space="preserve">Avsikt med behandlingen i rådet: </w:t>
      </w:r>
      <w:r>
        <w:t xml:space="preserve">Att anta utkastet till rådets förordning om ändring av förordning nr 1311/2013 om den fleråriga budgetramen för 2014-2020. </w:t>
      </w:r>
    </w:p>
    <w:p w14:paraId="4ABCB26A" w14:textId="77777777" w:rsidR="00FA3A75" w:rsidRDefault="00DE6437">
      <w:pPr>
        <w:spacing w:after="280" w:afterAutospacing="1"/>
      </w:pPr>
      <w:r>
        <w:rPr>
          <w:b/>
          <w:bCs/>
        </w:rPr>
        <w:t>Hur regeringen ställer sig till den blivande A-punkten:</w:t>
      </w:r>
      <w:r>
        <w:t xml:space="preserve"> Regeringen kan stödja förslaget. </w:t>
      </w:r>
    </w:p>
    <w:p w14:paraId="4ABCB26B" w14:textId="77777777" w:rsidR="00FA3A75" w:rsidRDefault="00DE6437">
      <w:pPr>
        <w:spacing w:after="280" w:afterAutospacing="1"/>
      </w:pPr>
      <w:r>
        <w:rPr>
          <w:b/>
          <w:bCs/>
        </w:rPr>
        <w:t xml:space="preserve">Bakgrund: </w:t>
      </w:r>
      <w:r>
        <w:t>Enligt art. 19 ska budgetramen revideras för att möjliggöra en överföring av outnyttjade anslag från 2014 till kommande år i de fall de outnyttjade anslagen är en följd av att nya bestämmelser eller programmen med delad förvaltning antagits efter 1 januari 2014. En sådan revidering av MFF-förordningen måste antas före 1 maj 2015 och antas med enhällighet i rådet efter godkännande av EP.</w:t>
      </w:r>
    </w:p>
    <w:p w14:paraId="4ABCB26D" w14:textId="157D3B20" w:rsidR="00FB32B9" w:rsidRDefault="00DE6437">
      <w:pPr>
        <w:spacing w:after="280" w:afterAutospacing="1"/>
        <w:rPr>
          <w:noProof/>
        </w:rPr>
      </w:pPr>
      <w:r>
        <w:t>Förslag innebär att drygt 21 miljarder euro i outnyttjade åtagandeanslag överförs från 2014 till framförallt 2015, men i viss utsträckning även till 2016 och 2017. Inga förändringar av betalningsanslagen föreslås. Förslaget innebär således en ändrad profil för åtagandeanslag under innevarande budgetramsperiod (2014-2020), men ingen ändring av beloppen totalt över perioden. Förskjutningen av åtagandeanslagen kan innebära en viss förskjutning även av betalningsanslagen, men denna förskjutning kan hanteras inom de beslutade betalningstaken. Inget ökat tryck på betalningarna under budgetramsperioden kommer ske. Därmed påverkas inte heller den svenska EU-avgiften. Förslaget innebär inte heller någon omfördelning mellan program enbart en senarläggning av redan beslutade åtagandeanslag för respektive program.</w:t>
      </w:r>
    </w:p>
    <w:p w14:paraId="4ABCB26E" w14:textId="77777777" w:rsidR="00643D86" w:rsidRDefault="00DE6437" w:rsidP="00643D86">
      <w:pPr>
        <w:pStyle w:val="Rubrik1"/>
      </w:pPr>
      <w:bookmarkStart w:id="9" w:name="_Toc416940258"/>
      <w:r>
        <w:rPr>
          <w:noProof/>
        </w:rPr>
        <w:t>Draft amending budget No 2 to the general budget 2015</w:t>
      </w:r>
      <w:bookmarkEnd w:id="9"/>
    </w:p>
    <w:p w14:paraId="4ABCB26F" w14:textId="4E024851" w:rsidR="00643D86" w:rsidRDefault="00DE6437" w:rsidP="00643D86">
      <w:pPr>
        <w:rPr>
          <w:lang w:val="en-US"/>
        </w:rPr>
      </w:pPr>
      <w:r>
        <w:rPr>
          <w:noProof/>
          <w:lang w:val="en-US"/>
        </w:rPr>
        <w:t>7659</w:t>
      </w:r>
      <w:r>
        <w:rPr>
          <w:lang w:val="en-US"/>
        </w:rPr>
        <w:t>/15 FIN 253 PE-L 24</w:t>
      </w:r>
    </w:p>
    <w:p w14:paraId="4ABCB270" w14:textId="77777777" w:rsidR="00643D86" w:rsidRDefault="00DE6437" w:rsidP="00643D86">
      <w:r>
        <w:rPr>
          <w:b/>
        </w:rPr>
        <w:t>Ansvarigt statsråd</w:t>
      </w:r>
      <w:r>
        <w:rPr>
          <w:b/>
        </w:rPr>
        <w:br/>
      </w:r>
      <w:r>
        <w:rPr>
          <w:noProof/>
        </w:rPr>
        <w:t>Magdalena Andersson</w:t>
      </w:r>
    </w:p>
    <w:p w14:paraId="4ABCB271" w14:textId="77777777" w:rsidR="00643D86" w:rsidRPr="00643D86" w:rsidRDefault="00DE6437" w:rsidP="00643D86">
      <w:r w:rsidRPr="00643D86">
        <w:rPr>
          <w:b/>
        </w:rPr>
        <w:t>Tidigare behandling i riksdagen</w:t>
      </w:r>
      <w:r>
        <w:rPr>
          <w:b/>
        </w:rPr>
        <w:br/>
      </w:r>
      <w:r>
        <w:rPr>
          <w:noProof/>
        </w:rPr>
        <w:t>2015-02-06</w:t>
      </w:r>
    </w:p>
    <w:p w14:paraId="4ABCB272" w14:textId="77777777" w:rsidR="00643D86" w:rsidRPr="00643D86" w:rsidRDefault="00DE6437" w:rsidP="00643D86">
      <w:r w:rsidRPr="00643D86">
        <w:rPr>
          <w:b/>
        </w:rPr>
        <w:t>Tidigare behandling vid rådsmöte</w:t>
      </w:r>
      <w:r>
        <w:rPr>
          <w:b/>
        </w:rPr>
        <w:br/>
      </w:r>
      <w:r>
        <w:rPr>
          <w:noProof/>
        </w:rPr>
        <w:t>2015-02-10</w:t>
      </w:r>
    </w:p>
    <w:p w14:paraId="4ABCB273" w14:textId="59E4BCC1" w:rsidR="00643D86" w:rsidRDefault="00DE6437" w:rsidP="00643D86">
      <w:r w:rsidRPr="00B44CE2">
        <w:rPr>
          <w:b/>
        </w:rPr>
        <w:t>Annotering</w:t>
      </w:r>
      <w:r w:rsidR="00750805">
        <w:rPr>
          <w:b/>
        </w:rPr>
        <w:t xml:space="preserve">: </w:t>
      </w:r>
      <w:r w:rsidR="00750805">
        <w:rPr>
          <w:b/>
        </w:rPr>
        <w:br/>
      </w:r>
      <w:r>
        <w:rPr>
          <w:b/>
          <w:bCs/>
        </w:rPr>
        <w:t xml:space="preserve">Avsikt med behandlingen i rådet: </w:t>
      </w:r>
      <w:r>
        <w:t xml:space="preserve">Anta ändringsbudget nr 2/2015  </w:t>
      </w:r>
    </w:p>
    <w:p w14:paraId="4ABCB274" w14:textId="77777777" w:rsidR="00FA3A75" w:rsidRDefault="00DE6437">
      <w:pPr>
        <w:spacing w:after="280" w:afterAutospacing="1"/>
      </w:pPr>
      <w:r>
        <w:rPr>
          <w:b/>
          <w:bCs/>
        </w:rPr>
        <w:t>Hur regeringen ställer sig till den blivande A-punkten:</w:t>
      </w:r>
      <w:r>
        <w:t xml:space="preserve"> Regeringen avser att stödja förslaget till ändringsbudget. </w:t>
      </w:r>
    </w:p>
    <w:p w14:paraId="4ABCB275" w14:textId="77777777" w:rsidR="00FA3A75" w:rsidRDefault="00DE6437">
      <w:pPr>
        <w:spacing w:after="280" w:afterAutospacing="1"/>
      </w:pPr>
      <w:r>
        <w:rPr>
          <w:b/>
          <w:bCs/>
        </w:rPr>
        <w:t xml:space="preserve">Bakgrund: </w:t>
      </w:r>
      <w:r>
        <w:t xml:space="preserve">Förslaget till ändringsbudget nr 2 till 2015 års budget är en följd av förslaget till en revidering av den fleråriga budgetramen för 2014–2020, i enlighet med artikel 19 i rådets förordning nr 1311/2013 (förordningen om den fleråriga budgetramen). Se separat annotering. </w:t>
      </w:r>
    </w:p>
    <w:p w14:paraId="4ABCB276" w14:textId="77777777" w:rsidR="00FA3A75" w:rsidRDefault="00DE6437">
      <w:pPr>
        <w:spacing w:after="280" w:afterAutospacing="1"/>
      </w:pPr>
      <w:r>
        <w:t xml:space="preserve">Enligt art. 19 ska budgetramen revideras för att möjliggöra en överföring av outnyttjade anslag från 2014 till kommande år i de fall de outnyttjade anslagen är en följd av att nya bestämmelser eller programmen med delad förvaltning antagits efter 1 januari 2014. </w:t>
      </w:r>
    </w:p>
    <w:p w14:paraId="4ABCB277" w14:textId="77777777" w:rsidR="00FA3A75" w:rsidRDefault="00DE6437">
      <w:pPr>
        <w:spacing w:after="280" w:afterAutospacing="1"/>
      </w:pPr>
      <w:r>
        <w:t xml:space="preserve">Ändringsbudgeten täcker förändringarna i 2015 års budget och innebär en ökning resterande belopp kommer att återspeglas i de respektive budget-förslagen för 2016 och 2017. I enlighet med förlsaget om revidering av den fleråriga budgetramen föreslås i ändringsbudgeten en ökning med 16 476,4 miljoner euro i åtagandebemyndiganden under 2015 för de olika fonder som omfattas av delad förvaltning i underrubrik 1b, rubrik 2 och rubrik 3. I förslaget till ändringsbudget nr 2 föreslås också en ökning om 2,5 miljoner euro för instrumentet för stöd inför anslutningen (IPA II) under rubrik 4, för att bibehålla likvärdig behandling mellan bidragen från rubrik 4 och rubrik 1b till Europeiska regionala utvecklingsfonden (Eruf) – program för europeiskt territoriellt samarbete. </w:t>
      </w:r>
    </w:p>
    <w:p w14:paraId="4ABCB27A" w14:textId="34B9D130" w:rsidR="00FB32B9" w:rsidRDefault="00DE6437">
      <w:pPr>
        <w:spacing w:after="280" w:afterAutospacing="1"/>
        <w:rPr>
          <w:noProof/>
        </w:rPr>
      </w:pPr>
      <w:r>
        <w:t xml:space="preserve">Inga förändringar av betalningsanslagen föreslås. Förslaget innebär således en ändrad profil för åtagandeanslag, men ingen ändring av beloppen totalt över perioden. Förskjutningen av åtagandeanslagen kan innebära en viss förskjutning även av betalningsanslagen, men denna förskjutning kan hanteras inom de beslutade betalningstaken. Inget ökat tryck på betalningarna under budgetramsperioden kommer ske.  Därmed påverkas inte heller den svenska EU-avgiften. Förslaget innebär inte heller någon omfördelning mellan program enbart en senarläggning av redan beslutade åtagandeanslag för respektive program. </w:t>
      </w:r>
    </w:p>
    <w:p w14:paraId="4ABCB27B" w14:textId="77777777" w:rsidR="00643D86" w:rsidRDefault="00DE6437" w:rsidP="00643D86">
      <w:pPr>
        <w:pStyle w:val="Rubrik1"/>
      </w:pPr>
      <w:bookmarkStart w:id="10" w:name="_Toc416940259"/>
      <w:r>
        <w:rPr>
          <w:noProof/>
        </w:rPr>
        <w:t>(poss.) Proposal for a Regulation of the European Parliament and of the Council amending Regulation (EU, Euratom) No 966/2012 on the financial rules applicable to the general budget of the Union (First reading)</w:t>
      </w:r>
      <w:bookmarkEnd w:id="10"/>
    </w:p>
    <w:p w14:paraId="4ABCB27C" w14:textId="12E110F2" w:rsidR="00643D86" w:rsidRDefault="00DE6437" w:rsidP="00643D86">
      <w:pPr>
        <w:rPr>
          <w:lang w:val="en-US"/>
        </w:rPr>
      </w:pPr>
      <w:r>
        <w:rPr>
          <w:noProof/>
          <w:lang w:val="en-US"/>
        </w:rPr>
        <w:t>7774</w:t>
      </w:r>
      <w:r>
        <w:rPr>
          <w:lang w:val="en-US"/>
        </w:rPr>
        <w:t>/15 FIN 261 INST 105 CODEC 464+ ADD 1</w:t>
      </w:r>
    </w:p>
    <w:p w14:paraId="4ABCB27D" w14:textId="77777777" w:rsidR="00643D86" w:rsidRDefault="00DE6437" w:rsidP="00643D86">
      <w:r>
        <w:rPr>
          <w:b/>
        </w:rPr>
        <w:t>Ansvarigt statsråd</w:t>
      </w:r>
      <w:r>
        <w:rPr>
          <w:b/>
        </w:rPr>
        <w:br/>
      </w:r>
      <w:r>
        <w:rPr>
          <w:noProof/>
        </w:rPr>
        <w:t>Magdalena Andersson</w:t>
      </w:r>
    </w:p>
    <w:p w14:paraId="4ABCB280" w14:textId="77777777" w:rsidR="00643D86" w:rsidRDefault="00DE6437" w:rsidP="00643D86">
      <w:r w:rsidRPr="00B44CE2">
        <w:rPr>
          <w:b/>
        </w:rPr>
        <w:t>Annotering</w:t>
      </w:r>
      <w:r>
        <w:rPr>
          <w:b/>
        </w:rPr>
        <w:br/>
      </w:r>
      <w:r>
        <w:rPr>
          <w:b/>
          <w:bCs/>
        </w:rPr>
        <w:t>Avsikt med behandlingen i rådet:</w:t>
      </w:r>
      <w:r>
        <w:t xml:space="preserve"> Anta position för fortsatt förhandling med Europaparlament och kommissionen. </w:t>
      </w:r>
    </w:p>
    <w:p w14:paraId="4ABCB281" w14:textId="77777777" w:rsidR="00FA3A75" w:rsidRDefault="00DE6437">
      <w:pPr>
        <w:spacing w:after="280" w:afterAutospacing="1"/>
      </w:pPr>
      <w:r>
        <w:rPr>
          <w:b/>
          <w:bCs/>
        </w:rPr>
        <w:t>Hur regeringen ställer sig till den blivande A-punkten:</w:t>
      </w:r>
      <w:r>
        <w:t xml:space="preserve"> Regeringen avser att rösta ja. </w:t>
      </w:r>
    </w:p>
    <w:p w14:paraId="4ABCB283" w14:textId="077A9E19" w:rsidR="00FB32B9" w:rsidRDefault="00DE6437">
      <w:pPr>
        <w:spacing w:after="280" w:afterAutospacing="1"/>
        <w:rPr>
          <w:noProof/>
        </w:rPr>
      </w:pPr>
      <w:r>
        <w:rPr>
          <w:b/>
          <w:bCs/>
        </w:rPr>
        <w:t xml:space="preserve">Bakgrund: </w:t>
      </w:r>
      <w:r>
        <w:t xml:space="preserve">Kommissionen har föreslagit vissa förändringar i EU:s budgetförordning (966/2012). Förändringarna avser främst anpassning till EU-direktivet om offentlig upphandling (2014/24/EU) och reglerar EU-institutionernas, inte medlemsstaternas, offentliga upphandling. Bl.a. ändras kriterierna för på vilka grunder en ekonomisk aktör ska uteslutas från upphandling. </w:t>
      </w:r>
    </w:p>
    <w:p w14:paraId="4ABCB284" w14:textId="77777777" w:rsidR="00643D86" w:rsidRDefault="00DE6437" w:rsidP="00643D86">
      <w:pPr>
        <w:pStyle w:val="Rubrik1"/>
      </w:pPr>
      <w:bookmarkStart w:id="11" w:name="_Toc416940260"/>
      <w:r>
        <w:rPr>
          <w:noProof/>
        </w:rPr>
        <w:t>a)Council Decision on the signing, on behalf of the European Union, and provisional application of the Agreement between the European Union and the United Arab Emirates on the short-stay visa waiver</w:t>
      </w:r>
      <w:r>
        <w:rPr>
          <w:noProof/>
        </w:rPr>
        <w:br/>
        <w:t>–Adoption</w:t>
      </w:r>
      <w:r>
        <w:rPr>
          <w:noProof/>
        </w:rPr>
        <w:br/>
        <w:t>b)Council Decision on the conclusion of the Agreement between the European Union and the United Arab Emirates on the short-stay visa waiver</w:t>
      </w:r>
      <w:r>
        <w:rPr>
          <w:noProof/>
        </w:rPr>
        <w:br/>
        <w:t>–Request by the Council for the consent of the European Parliament</w:t>
      </w:r>
      <w:bookmarkEnd w:id="11"/>
    </w:p>
    <w:p w14:paraId="4ABCB285" w14:textId="3374B165" w:rsidR="00643D86" w:rsidRDefault="00DE6437" w:rsidP="00643D86">
      <w:pPr>
        <w:rPr>
          <w:lang w:val="en-US"/>
        </w:rPr>
      </w:pPr>
      <w:r>
        <w:rPr>
          <w:noProof/>
          <w:lang w:val="en-US"/>
        </w:rPr>
        <w:t>7424</w:t>
      </w:r>
      <w:r>
        <w:rPr>
          <w:lang w:val="en-US"/>
        </w:rPr>
        <w:t>/15 VISA 123 COMEM 68</w:t>
      </w:r>
      <w:r w:rsidR="00750805">
        <w:rPr>
          <w:lang w:val="en-US"/>
        </w:rPr>
        <w:br/>
      </w:r>
      <w:r>
        <w:rPr>
          <w:lang w:val="en-US"/>
        </w:rPr>
        <w:t>7099/15 VISA 82 COMEM 53</w:t>
      </w:r>
      <w:r w:rsidR="00750805">
        <w:rPr>
          <w:lang w:val="en-US"/>
        </w:rPr>
        <w:br/>
      </w:r>
      <w:r>
        <w:rPr>
          <w:lang w:val="en-US"/>
        </w:rPr>
        <w:t>7103/15 VISA 83 COMEM 54</w:t>
      </w:r>
      <w:r w:rsidR="00750805">
        <w:rPr>
          <w:lang w:val="en-US"/>
        </w:rPr>
        <w:br/>
      </w:r>
      <w:r>
        <w:rPr>
          <w:lang w:val="en-US"/>
        </w:rPr>
        <w:t>7185/15 VISA 104 COMEM 55</w:t>
      </w:r>
    </w:p>
    <w:p w14:paraId="4ABCB286" w14:textId="77777777" w:rsidR="00643D86" w:rsidRDefault="00DE6437" w:rsidP="00643D86">
      <w:r>
        <w:rPr>
          <w:b/>
        </w:rPr>
        <w:t>Ansvarigt statsråd</w:t>
      </w:r>
      <w:r>
        <w:rPr>
          <w:b/>
        </w:rPr>
        <w:br/>
      </w:r>
      <w:r>
        <w:rPr>
          <w:noProof/>
        </w:rPr>
        <w:t>Morgan Johansson</w:t>
      </w:r>
    </w:p>
    <w:p w14:paraId="4ABCB28A" w14:textId="310B392A" w:rsidR="00FA3A75" w:rsidRDefault="00DE6437" w:rsidP="00750805">
      <w:r w:rsidRPr="00B44CE2">
        <w:rPr>
          <w:b/>
        </w:rPr>
        <w:t>Annotering</w:t>
      </w:r>
      <w:r>
        <w:rPr>
          <w:b/>
        </w:rPr>
        <w:br/>
      </w:r>
      <w:r>
        <w:rPr>
          <w:b/>
          <w:bCs/>
        </w:rPr>
        <w:t>Avsikt med behandlingen i rådet:</w:t>
      </w:r>
      <w:r>
        <w:t xml:space="preserve"> Rådet föreslås anta beslut om undertecknande och ingående av avtal om undantag från viseringskrav för kortare vistelser mellan EU och Förenade Arabemiraten. </w:t>
      </w:r>
    </w:p>
    <w:p w14:paraId="4ABCB28B" w14:textId="169CC485" w:rsidR="00FA3A75" w:rsidRDefault="00DE6437">
      <w:pPr>
        <w:spacing w:after="280" w:afterAutospacing="1"/>
      </w:pPr>
      <w:r>
        <w:rPr>
          <w:b/>
          <w:bCs/>
        </w:rPr>
        <w:t xml:space="preserve">Hur regeringen ställer sig till den blivande A-punkten: </w:t>
      </w:r>
      <w:r>
        <w:t xml:space="preserve">Regeringen avser rösta ja till förslagen.  </w:t>
      </w:r>
    </w:p>
    <w:p w14:paraId="4ABCB28C" w14:textId="0A61CBB2" w:rsidR="00FA3A75" w:rsidRDefault="00DE6437">
      <w:pPr>
        <w:spacing w:after="280" w:afterAutospacing="1"/>
      </w:pPr>
      <w:r>
        <w:rPr>
          <w:b/>
          <w:bCs/>
        </w:rPr>
        <w:t xml:space="preserve">Bakgrund: </w:t>
      </w:r>
      <w:r>
        <w:t xml:space="preserve">För att praktiskt kunna genomföra viseringsfriheten för Förenade Arabemiraten, vilket EU beslutat om under våren 2014, så krävs att ett bilateralt viseringsfrihetsavtal ingås. </w:t>
      </w:r>
    </w:p>
    <w:p w14:paraId="4ABCB28E" w14:textId="6FE3805F" w:rsidR="00FB32B9" w:rsidRDefault="00DE6437">
      <w:pPr>
        <w:spacing w:after="280" w:afterAutospacing="1"/>
        <w:rPr>
          <w:noProof/>
        </w:rPr>
      </w:pPr>
      <w:r>
        <w:t xml:space="preserve">Förhandlingar mellan EU och Förenade Arabemiraten inleddes hösten 2014 och är nu slutförda. Det bilaterala viseringsförenklingsavtalet kommer att garantera ömsesidig viseringsfrihet för kortare vistelser (upp till 90 dagar under en 180-dagarsperiod) och kommer att innehåller en suspenderingsklausul som säger att viseringsfrihetsavtalet kan komma att sägas upp om viseringsfriheten leder till olaglig invandring, om den viseringsfria ömsesidigheten skulle sättas ur spel eller vid hot mot den allmänna ordningen och säkerheten. </w:t>
      </w:r>
    </w:p>
    <w:p w14:paraId="4ABCB28F" w14:textId="77777777" w:rsidR="00643D86" w:rsidRDefault="00DE6437" w:rsidP="00643D86">
      <w:pPr>
        <w:pStyle w:val="Rubrik1"/>
      </w:pPr>
      <w:bookmarkStart w:id="12" w:name="_Toc416940261"/>
      <w:r>
        <w:rPr>
          <w:noProof/>
        </w:rPr>
        <w:t>Draft Regulations repealing certain acts in the JHA area (First reading)</w:t>
      </w:r>
      <w:bookmarkEnd w:id="12"/>
    </w:p>
    <w:p w14:paraId="3CD32897" w14:textId="77777777" w:rsidR="00750805" w:rsidRDefault="00DE6437" w:rsidP="00643D86">
      <w:pPr>
        <w:rPr>
          <w:lang w:val="en-US"/>
        </w:rPr>
      </w:pPr>
      <w:r>
        <w:rPr>
          <w:noProof/>
          <w:lang w:val="en-US"/>
        </w:rPr>
        <w:t>–</w:t>
      </w:r>
      <w:r>
        <w:rPr>
          <w:lang w:val="en-US"/>
        </w:rPr>
        <w:t>Mandate for the Presidency to start discussions with the European Parliament</w:t>
      </w:r>
    </w:p>
    <w:p w14:paraId="4ABCB290" w14:textId="101D2EFB" w:rsidR="00643D86" w:rsidRDefault="00DE6437" w:rsidP="00643D86">
      <w:pPr>
        <w:rPr>
          <w:lang w:val="en-US"/>
        </w:rPr>
      </w:pPr>
      <w:r>
        <w:rPr>
          <w:noProof/>
          <w:lang w:val="en-US"/>
        </w:rPr>
        <w:t>7591</w:t>
      </w:r>
      <w:r>
        <w:rPr>
          <w:lang w:val="en-US"/>
        </w:rPr>
        <w:t>/15 PROAPP 10 CATS 42 SCHENGEN 15 COMIX 145 CODEC 433</w:t>
      </w:r>
    </w:p>
    <w:p w14:paraId="4ABCB291" w14:textId="77777777" w:rsidR="00643D86" w:rsidRDefault="00DE6437" w:rsidP="00643D86">
      <w:r>
        <w:rPr>
          <w:b/>
        </w:rPr>
        <w:t>Ansvarigt statsråd</w:t>
      </w:r>
      <w:r>
        <w:rPr>
          <w:b/>
        </w:rPr>
        <w:br/>
      </w:r>
      <w:r>
        <w:rPr>
          <w:noProof/>
        </w:rPr>
        <w:t>Morgan Johansson / Anders Ygeman</w:t>
      </w:r>
    </w:p>
    <w:p w14:paraId="4ABCB295" w14:textId="51EEF3B3" w:rsidR="00FA3A75" w:rsidRDefault="00DE6437" w:rsidP="00750805">
      <w:r w:rsidRPr="00B44CE2">
        <w:rPr>
          <w:b/>
        </w:rPr>
        <w:t>Annotering</w:t>
      </w:r>
      <w:r>
        <w:rPr>
          <w:b/>
        </w:rPr>
        <w:br/>
      </w:r>
      <w:r>
        <w:rPr>
          <w:b/>
          <w:bCs/>
        </w:rPr>
        <w:t>Avsikt med behandlingen i rådet:</w:t>
      </w:r>
      <w:r>
        <w:t xml:space="preserve"> Att ge ordförandeskapet mandat att inleda diskussioner med Europaparlamentet. </w:t>
      </w:r>
    </w:p>
    <w:p w14:paraId="4ABCB296" w14:textId="6E353508" w:rsidR="00FA3A75" w:rsidRDefault="00DE6437">
      <w:pPr>
        <w:spacing w:after="280" w:afterAutospacing="1"/>
      </w:pPr>
      <w:r>
        <w:rPr>
          <w:b/>
          <w:bCs/>
        </w:rPr>
        <w:t>Hur regeringen ställer sig till den blivande A-punkten:</w:t>
      </w:r>
      <w:r>
        <w:t xml:space="preserve"> Regeringen avser att rösta ja. </w:t>
      </w:r>
    </w:p>
    <w:p w14:paraId="4ABCB298" w14:textId="10CCE3F1" w:rsidR="00FB32B9" w:rsidRDefault="00DE6437">
      <w:pPr>
        <w:spacing w:after="280" w:afterAutospacing="1"/>
        <w:rPr>
          <w:noProof/>
        </w:rPr>
      </w:pPr>
      <w:r>
        <w:rPr>
          <w:b/>
          <w:bCs/>
        </w:rPr>
        <w:t>Bakgrund:</w:t>
      </w:r>
      <w:r>
        <w:t xml:space="preserve"> Kommissionen presenterade i november 2014 tre förslag om upphävande av ett antal rättsliga instrument på det rättsliga och inrikespolitiska området som antagits före Lissabonfördragets ikraftträdande och som därför också omfattas av artiklarna 9 och 10 i protokoll 36 till fördraget (protokollet med vissa övergångregler avseende Lissabonfördraget.) De rättsliga instrument som kommissionen anser bör upphävas har enligt kommissionen inte längre någon verkan. De är inte längre relevanta på grund av sin tillfälliga karaktär eller till följd av att deras innehåll har införts i nya rättsakter. Av rättsäkerhetsskäl föreslås det därför att de ska upphävas.   Kommissionens förslag ska också ses mot bakgrund av kommissionens övergripande projekt att se över EU-lagstiftningens ändamålsenlighet (REFIT).  Förslagen har behandlats i rådsarbetsgrupp och vissa ändringar och tillägg har gjorts i kommissionens förslag. Samsyn tycks nu råda om innehållet. Förslagen om upphävande ska dock antas enligt det ordinarie beslutsförfarandet varför ordförandeskapet nu söker mandat för att inleda samtal med Europaparlamentet. </w:t>
      </w:r>
    </w:p>
    <w:p w14:paraId="4ABCB299" w14:textId="77777777" w:rsidR="00643D86" w:rsidRDefault="00DE6437" w:rsidP="00643D86">
      <w:pPr>
        <w:pStyle w:val="Rubrik1"/>
      </w:pPr>
      <w:bookmarkStart w:id="13" w:name="_Toc416940262"/>
      <w:r>
        <w:rPr>
          <w:noProof/>
        </w:rPr>
        <w:t>Commission Delegated Regulation (EU) No…/… of 26.2.2015 amending Council Regulation (EC) No 673/2005 establishing additional customs duties on imports of certain products originating in the United States of America</w:t>
      </w:r>
      <w:bookmarkEnd w:id="13"/>
    </w:p>
    <w:p w14:paraId="628F6415" w14:textId="77777777" w:rsidR="00750805" w:rsidRDefault="00DE6437" w:rsidP="00643D86">
      <w:pPr>
        <w:rPr>
          <w:lang w:val="en-US"/>
        </w:rPr>
      </w:pPr>
      <w:r>
        <w:rPr>
          <w:noProof/>
          <w:lang w:val="en-US"/>
        </w:rPr>
        <w:t>–</w:t>
      </w:r>
      <w:r>
        <w:rPr>
          <w:lang w:val="en-US"/>
        </w:rPr>
        <w:t>Intention not to raise objections to Commission Delegated Act amending the rate of additional import duties in respect of products originating in the United States listed in Annex I to Regulation (EC) No 673/2005</w:t>
      </w:r>
    </w:p>
    <w:p w14:paraId="4ABCB29A" w14:textId="1CCF25DA" w:rsidR="00643D86" w:rsidRDefault="00DE6437" w:rsidP="00643D86">
      <w:pPr>
        <w:rPr>
          <w:lang w:val="en-US"/>
        </w:rPr>
      </w:pPr>
      <w:r>
        <w:rPr>
          <w:noProof/>
          <w:lang w:val="en-US"/>
        </w:rPr>
        <w:t>7822</w:t>
      </w:r>
      <w:r>
        <w:rPr>
          <w:lang w:val="en-US"/>
        </w:rPr>
        <w:t>/15 COMER 52 WTO 81 UD 66 DELACT 33</w:t>
      </w:r>
      <w:r w:rsidR="00750805">
        <w:rPr>
          <w:lang w:val="en-US"/>
        </w:rPr>
        <w:t xml:space="preserve"> </w:t>
      </w:r>
      <w:r w:rsidR="00750805">
        <w:rPr>
          <w:lang w:val="en-US"/>
        </w:rPr>
        <w:br/>
      </w:r>
      <w:r>
        <w:rPr>
          <w:lang w:val="en-US"/>
        </w:rPr>
        <w:t>6740/15 COMER 35 WTO 57 UD 34 DELACT 22+ ADD 1</w:t>
      </w:r>
    </w:p>
    <w:p w14:paraId="4ABCB29B" w14:textId="77777777" w:rsidR="00643D86" w:rsidRDefault="00DE6437" w:rsidP="00643D86">
      <w:r>
        <w:rPr>
          <w:b/>
        </w:rPr>
        <w:t>Ansvarigt statsråd</w:t>
      </w:r>
      <w:r>
        <w:rPr>
          <w:b/>
        </w:rPr>
        <w:br/>
      </w:r>
      <w:r>
        <w:rPr>
          <w:noProof/>
        </w:rPr>
        <w:t>Mikael Damberg</w:t>
      </w:r>
    </w:p>
    <w:p w14:paraId="4ABCB2A0" w14:textId="456EF7D2" w:rsidR="00FA3A75" w:rsidRDefault="00DE6437" w:rsidP="00750805">
      <w:r w:rsidRPr="00B44CE2">
        <w:rPr>
          <w:b/>
        </w:rPr>
        <w:t>Annotering</w:t>
      </w:r>
      <w:r>
        <w:rPr>
          <w:b/>
        </w:rPr>
        <w:br/>
      </w:r>
      <w:r>
        <w:rPr>
          <w:b/>
          <w:bCs/>
        </w:rPr>
        <w:t>Avsikt med behandlingen i rådet:</w:t>
      </w:r>
      <w:r w:rsidR="00750805">
        <w:rPr>
          <w:b/>
          <w:bCs/>
        </w:rPr>
        <w:t xml:space="preserve"> </w:t>
      </w:r>
      <w:r>
        <w:t>Att inte invända mot att Kommissionen gjort en ny uppdatering av lista med varor från USA med höjda importtullar.</w:t>
      </w:r>
    </w:p>
    <w:p w14:paraId="4ABCB2A2" w14:textId="4F3AB66A" w:rsidR="00FA3A75" w:rsidRDefault="00DE6437">
      <w:pPr>
        <w:spacing w:after="280" w:afterAutospacing="1"/>
      </w:pPr>
      <w:r>
        <w:rPr>
          <w:b/>
          <w:bCs/>
        </w:rPr>
        <w:t>Hur regeringen ställer sig till den blivande A-punkten:</w:t>
      </w:r>
      <w:r>
        <w:t xml:space="preserve"> Regeringen avser inte invända mot den delegerade akten. </w:t>
      </w:r>
    </w:p>
    <w:p w14:paraId="4ABCB2A5" w14:textId="507BD883" w:rsidR="00FB32B9" w:rsidRDefault="00DE6437">
      <w:pPr>
        <w:spacing w:after="280" w:afterAutospacing="1"/>
        <w:rPr>
          <w:noProof/>
        </w:rPr>
      </w:pPr>
      <w:r>
        <w:rPr>
          <w:b/>
          <w:bCs/>
        </w:rPr>
        <w:t>Bakgrund:</w:t>
      </w:r>
      <w:r w:rsidR="00750805">
        <w:rPr>
          <w:b/>
          <w:bCs/>
        </w:rPr>
        <w:t xml:space="preserve"> </w:t>
      </w:r>
      <w:r>
        <w:t xml:space="preserve">Eftersom USA har förlorat en WTO-tvist mot EU, har EU i enlighet med WTO:s regler infört motåtgärder mot USA, i form av höjda importtullar på ett antal varor. Listan med varorna och nivån på den extra importtullen uppdateras årligen av Kommissionen. Kommissionen har nu gjort en ny uppdatering av denna lista i en delegerad akt. Rådet har enlig regelverket möjlighet att invända mot denna delegerade akt. </w:t>
      </w:r>
    </w:p>
    <w:p w14:paraId="4ABCB2A6" w14:textId="77777777" w:rsidR="00643D86" w:rsidRDefault="00DE6437" w:rsidP="00643D86">
      <w:pPr>
        <w:pStyle w:val="Rubrik1"/>
      </w:pPr>
      <w:bookmarkStart w:id="14" w:name="_Toc416940263"/>
      <w:r>
        <w:rPr>
          <w:noProof/>
        </w:rPr>
        <w:t>Council and Commission Decision on the conclusion of the Stabilisation and Association Agreement between the European Communities and their Member States, of the one part, and Bosnia and Herzegovina, of the other part</w:t>
      </w:r>
      <w:bookmarkEnd w:id="14"/>
    </w:p>
    <w:p w14:paraId="4ABCB2A7" w14:textId="410FDDB0" w:rsidR="00643D86" w:rsidRDefault="00DE6437" w:rsidP="00643D86">
      <w:pPr>
        <w:rPr>
          <w:lang w:val="en-US"/>
        </w:rPr>
      </w:pPr>
      <w:r>
        <w:rPr>
          <w:noProof/>
          <w:lang w:val="en-US"/>
        </w:rPr>
        <w:t>7754</w:t>
      </w:r>
      <w:r>
        <w:rPr>
          <w:lang w:val="en-US"/>
        </w:rPr>
        <w:t>/15 COWEB 207567/15 COWEB 19</w:t>
      </w:r>
    </w:p>
    <w:p w14:paraId="4ABCB2A8" w14:textId="77777777" w:rsidR="00643D86" w:rsidRDefault="00DE6437" w:rsidP="00643D86">
      <w:r>
        <w:rPr>
          <w:b/>
        </w:rPr>
        <w:t>Ansvarigt statsråd</w:t>
      </w:r>
      <w:r>
        <w:rPr>
          <w:b/>
        </w:rPr>
        <w:br/>
      </w:r>
      <w:r>
        <w:rPr>
          <w:noProof/>
        </w:rPr>
        <w:t>Margot Wallström</w:t>
      </w:r>
    </w:p>
    <w:p w14:paraId="4ABCB2AC" w14:textId="2714013D" w:rsidR="00FA3A75" w:rsidRDefault="00DE6437" w:rsidP="00750805">
      <w:r w:rsidRPr="00B44CE2">
        <w:rPr>
          <w:b/>
        </w:rPr>
        <w:t>Annotering</w:t>
      </w:r>
      <w:r w:rsidR="00750805">
        <w:rPr>
          <w:b/>
        </w:rPr>
        <w:br/>
      </w:r>
      <w:r>
        <w:rPr>
          <w:b/>
          <w:bCs/>
        </w:rPr>
        <w:t>Avsikt med behandlingen i rådet:</w:t>
      </w:r>
      <w:r>
        <w:t xml:space="preserve"> Rådet ska godkänna ikraftträdande av Bosniens stabiliserings- och associeringsavtal (SA-avtalet) med EU, sedan tidigare ratificerat av alla </w:t>
      </w:r>
      <w:r w:rsidR="004F63C3">
        <w:t>medlemsstater</w:t>
      </w:r>
      <w:r>
        <w:t xml:space="preserve">. </w:t>
      </w:r>
    </w:p>
    <w:p w14:paraId="4ABCB2AD" w14:textId="37FBF735" w:rsidR="00FA3A75" w:rsidRDefault="00DE6437" w:rsidP="004F63C3">
      <w:pPr>
        <w:spacing w:after="100" w:afterAutospacing="1"/>
      </w:pPr>
      <w:r>
        <w:rPr>
          <w:b/>
          <w:bCs/>
        </w:rPr>
        <w:t>Hur regeringen ställer sig till den blivande A-punkten:</w:t>
      </w:r>
      <w:r>
        <w:t xml:space="preserve"> Regeringen avser att rösta ja till ett ikraftträdande av SA-avtalet.</w:t>
      </w:r>
    </w:p>
    <w:p w14:paraId="4ABCB2AF" w14:textId="584790BB" w:rsidR="00FB32B9" w:rsidRDefault="00DE6437" w:rsidP="004F63C3">
      <w:pPr>
        <w:spacing w:after="100" w:afterAutospacing="1"/>
        <w:rPr>
          <w:noProof/>
        </w:rPr>
      </w:pPr>
      <w:r>
        <w:rPr>
          <w:b/>
          <w:bCs/>
        </w:rPr>
        <w:t xml:space="preserve">Bakgrund: </w:t>
      </w:r>
      <w:r>
        <w:t xml:space="preserve">Vid FAC den 16 mars antogs rådsslutsatser som gav politiskt grönt ljus till ett ikraftträdande av Bosniens stabiliserings- och associeringsavtal (SA-avtalet) med EU (sedan tidigare ratificerat av alla EUMS). Slutsatserna grundade sig i den nya EU-ansatsen gentemot Bosnien som beslutades vid FAC den 15 december. </w:t>
      </w:r>
      <w:r w:rsidR="004F63C3">
        <w:t>Starkt svenskt politiskt stöd till ett ikraftträdande av SA-avtalet, som utgör en viktig politisk signal till Bosnien och bidrar till momentum för den nya EU-ansatsen.</w:t>
      </w:r>
    </w:p>
    <w:p w14:paraId="4ABCB2B0" w14:textId="77777777" w:rsidR="00643D86" w:rsidRDefault="00DE6437" w:rsidP="00643D86">
      <w:pPr>
        <w:pStyle w:val="Rubrik1"/>
      </w:pPr>
      <w:bookmarkStart w:id="15" w:name="_Toc416940264"/>
      <w:r>
        <w:rPr>
          <w:noProof/>
        </w:rPr>
        <w:t>(poss.) The Former Yugoslav Republic of Macedonia</w:t>
      </w:r>
      <w:bookmarkEnd w:id="15"/>
    </w:p>
    <w:p w14:paraId="4ABCB2B1" w14:textId="6836D812" w:rsidR="00643D86" w:rsidRDefault="00DE6437" w:rsidP="00643D86">
      <w:pPr>
        <w:rPr>
          <w:lang w:val="en-US"/>
        </w:rPr>
      </w:pPr>
      <w:r>
        <w:rPr>
          <w:lang w:val="en-US"/>
        </w:rPr>
        <w:t>Draft Council conclusions</w:t>
      </w:r>
      <w:r>
        <w:rPr>
          <w:lang w:val="en-US"/>
        </w:rPr>
        <w:br/>
      </w:r>
      <w:r>
        <w:rPr>
          <w:noProof/>
          <w:lang w:val="en-US"/>
        </w:rPr>
        <w:t>7889</w:t>
      </w:r>
      <w:r>
        <w:rPr>
          <w:lang w:val="en-US"/>
        </w:rPr>
        <w:t>/15 COWEB 21</w:t>
      </w:r>
    </w:p>
    <w:p w14:paraId="35E3E6B1" w14:textId="77777777" w:rsidR="004F63C3" w:rsidRDefault="00DE6437" w:rsidP="004F63C3">
      <w:pPr>
        <w:spacing w:after="0" w:line="240" w:lineRule="auto"/>
        <w:rPr>
          <w:b/>
        </w:rPr>
      </w:pPr>
      <w:r>
        <w:rPr>
          <w:b/>
        </w:rPr>
        <w:t>Ansvarigt statsråd</w:t>
      </w:r>
    </w:p>
    <w:p w14:paraId="5609E7BD" w14:textId="77777777" w:rsidR="004F63C3" w:rsidRDefault="004F63C3" w:rsidP="004F63C3">
      <w:pPr>
        <w:spacing w:after="0" w:line="240" w:lineRule="auto"/>
        <w:rPr>
          <w:b/>
        </w:rPr>
      </w:pPr>
      <w:r w:rsidRPr="004F63C3">
        <w:t>Margot Wallström</w:t>
      </w:r>
      <w:r w:rsidR="00DE6437" w:rsidRPr="004F63C3">
        <w:br/>
      </w:r>
    </w:p>
    <w:p w14:paraId="4ABCB2B6" w14:textId="550C1254" w:rsidR="00FA3A75" w:rsidRDefault="00DE6437" w:rsidP="004F63C3">
      <w:pPr>
        <w:spacing w:line="240" w:lineRule="auto"/>
      </w:pPr>
      <w:r w:rsidRPr="00B44CE2">
        <w:rPr>
          <w:b/>
        </w:rPr>
        <w:t>Annotering</w:t>
      </w:r>
      <w:r>
        <w:rPr>
          <w:b/>
        </w:rPr>
        <w:br/>
      </w:r>
      <w:r>
        <w:rPr>
          <w:b/>
          <w:bCs/>
        </w:rPr>
        <w:t>Avsikt med behandlingen i rådet:</w:t>
      </w:r>
      <w:r>
        <w:t xml:space="preserve"> Rådet ska slutsatser om Makedonien. </w:t>
      </w:r>
    </w:p>
    <w:p w14:paraId="4ABCB2B7" w14:textId="1C1070EA" w:rsidR="00FA3A75" w:rsidRDefault="00DE6437" w:rsidP="004F63C3">
      <w:pPr>
        <w:spacing w:after="100" w:afterAutospacing="1"/>
      </w:pPr>
      <w:r>
        <w:rPr>
          <w:b/>
          <w:bCs/>
        </w:rPr>
        <w:t>Hur regeringen ställer sig till den blivande A-punkten:</w:t>
      </w:r>
      <w:r>
        <w:t xml:space="preserve"> </w:t>
      </w:r>
      <w:r w:rsidR="004F63C3">
        <w:t xml:space="preserve">Regeringen avser att rösta ja. </w:t>
      </w:r>
    </w:p>
    <w:p w14:paraId="20403110" w14:textId="77777777" w:rsidR="004F63C3" w:rsidRDefault="00DE6437" w:rsidP="004F63C3">
      <w:pPr>
        <w:spacing w:after="100" w:afterAutospacing="1"/>
      </w:pPr>
      <w:r>
        <w:rPr>
          <w:b/>
          <w:bCs/>
        </w:rPr>
        <w:t>Bakgrund:</w:t>
      </w:r>
      <w:r>
        <w:t xml:space="preserve"> Makedonien är ett kandidatland och KOM upprepade sin rekommendation om att inleda anslutningsförhandlingar för sjätte året i rad i det utvidgningspaket som antogs i oktober 2014. MK förhandlingsstart med EU om medlemskap varit blockerad sedan 2009 pga av namnfrågan med Grekland och det har inneburit att det politiska klimatet i landet har försämrats. Makedonien befinner sig nu i en akut politisk kris och en tillbakagång ses vad gäller demokrati, yttrandefrihet och oberoendet av rättsväsendet. </w:t>
      </w:r>
      <w:r w:rsidR="004F63C3">
        <w:t xml:space="preserve">Svenskt stöd för slutsatser som uppmanar de politiska ledarna i Makedonien att finna en lösning på den allvarliga politiska krisen och som samtidigt slår fast EUs åtaganden och fortsatta engagemang i förhållande till Makedoniens EU-närmandeprocess. </w:t>
      </w:r>
    </w:p>
    <w:p w14:paraId="4ABCB2BA" w14:textId="77777777" w:rsidR="00643D86" w:rsidRDefault="00DE6437" w:rsidP="00643D86">
      <w:pPr>
        <w:pStyle w:val="Rubrik1"/>
      </w:pPr>
      <w:bookmarkStart w:id="16" w:name="_Toc416940265"/>
      <w:r>
        <w:rPr>
          <w:noProof/>
        </w:rPr>
        <w:t>Council Decision on the position to be adopted on behalf of the European Union within the EU-Turkey Association Council as regards the replacement of Protocol 3 to Decision No 1/98 of the EC-Turkey Association Council on the trade regime for agricultural products, concerning the definition of the concept of 'originating products' and methods of administrative cooperation, by a new protocol which, as regards the rules of origin, refers to the Regional Convention on pan-Euro-Mediterranean preferential rules of origin</w:t>
      </w:r>
      <w:bookmarkEnd w:id="16"/>
    </w:p>
    <w:p w14:paraId="4ABCB2BB" w14:textId="2FE92F75" w:rsidR="00643D86" w:rsidRDefault="00DE6437" w:rsidP="00643D86">
      <w:pPr>
        <w:rPr>
          <w:lang w:val="en-US"/>
        </w:rPr>
      </w:pPr>
      <w:r>
        <w:rPr>
          <w:noProof/>
          <w:lang w:val="en-US"/>
        </w:rPr>
        <w:t>7856</w:t>
      </w:r>
      <w:r>
        <w:rPr>
          <w:lang w:val="en-US"/>
        </w:rPr>
        <w:t>/15 NT 12 UD 686985/15 NT 6 UD 37</w:t>
      </w:r>
    </w:p>
    <w:p w14:paraId="4ABCB2BC" w14:textId="77777777" w:rsidR="00643D86" w:rsidRDefault="00DE6437" w:rsidP="00643D86">
      <w:r>
        <w:rPr>
          <w:b/>
        </w:rPr>
        <w:t>Ansvarigt statsråd</w:t>
      </w:r>
      <w:r>
        <w:rPr>
          <w:b/>
        </w:rPr>
        <w:br/>
      </w:r>
      <w:r>
        <w:rPr>
          <w:noProof/>
        </w:rPr>
        <w:t>Mikael Damberg</w:t>
      </w:r>
    </w:p>
    <w:p w14:paraId="4ABCB2C0" w14:textId="0EF54E90" w:rsidR="00FA3A75" w:rsidRDefault="00DE6437" w:rsidP="00750805">
      <w:r w:rsidRPr="00B44CE2">
        <w:rPr>
          <w:b/>
        </w:rPr>
        <w:t>Annotering</w:t>
      </w:r>
      <w:r>
        <w:rPr>
          <w:b/>
        </w:rPr>
        <w:br/>
      </w:r>
      <w:r>
        <w:rPr>
          <w:b/>
          <w:bCs/>
        </w:rPr>
        <w:t>Avsikt med behandlingen i rådet:</w:t>
      </w:r>
      <w:r>
        <w:t xml:space="preserve"> Rådet ska rösta om gemensamt ståndpunkt att rösta ja till att ändra protokoll nr 3 om definition av begreppet "ursprungsvaror" inom ramarna för Associeringsrådet EU-Turkiet. </w:t>
      </w:r>
    </w:p>
    <w:p w14:paraId="4ABCB2C1" w14:textId="73D39D1C" w:rsidR="00FA3A75" w:rsidRDefault="00DE6437">
      <w:pPr>
        <w:spacing w:after="280" w:afterAutospacing="1"/>
      </w:pPr>
      <w:r>
        <w:rPr>
          <w:b/>
          <w:bCs/>
        </w:rPr>
        <w:t>Hur regeringen ställer sig till den blivande A-punkten:</w:t>
      </w:r>
      <w:r>
        <w:t xml:space="preserve"> Regeringen avser rösta ja. </w:t>
      </w:r>
    </w:p>
    <w:p w14:paraId="566542AA" w14:textId="77777777" w:rsidR="00A97E86" w:rsidRDefault="00DE6437" w:rsidP="004F63C3">
      <w:pPr>
        <w:spacing w:after="100" w:afterAutospacing="1"/>
      </w:pPr>
      <w:r>
        <w:rPr>
          <w:b/>
          <w:bCs/>
        </w:rPr>
        <w:t>Bakgrund:</w:t>
      </w:r>
      <w:r w:rsidR="00750805">
        <w:rPr>
          <w:b/>
          <w:bCs/>
        </w:rPr>
        <w:t xml:space="preserve"> </w:t>
      </w:r>
      <w:r>
        <w:t>EuroMed-processen är en process som sjösattes 1995 och som syftar till att utvidga och fördjupa kontakterna mellan EU och de södra Medelhavsländerna. Målsättningen är att handelssamarbetet ska utvecklas i riktning mot ett frihandelsområde omfattande alla länderna. Grunden för ett sådant område är Europa-Medelhavsavtalen. Pan-Euro-Med är de ursprungsregler som ska gälla i Europa-Medelhavsavtalen. Dessa innebär att alla inblandade parter ska ha identiska ursprungsregler i de frihandelsavtal som måste finnas mellan de olika parterna. Detta krävs bl.a. för att diagonal kumulation ska kunna fungera.</w:t>
      </w:r>
    </w:p>
    <w:p w14:paraId="4ABCB2C3" w14:textId="05BB5E03" w:rsidR="00FB32B9" w:rsidRDefault="00DE6437" w:rsidP="004F63C3">
      <w:pPr>
        <w:spacing w:after="100" w:afterAutospacing="1"/>
        <w:rPr>
          <w:noProof/>
        </w:rPr>
      </w:pPr>
      <w:r>
        <w:t xml:space="preserve">EU undertecknade den regionala EuroMed-konventionen den15 juni 2011. Turkiet undertecknade den regionala EuroMed-konventionen den 4 november 2011.Enligt Artikel 6 i konventionen skall varje fördragsslutande part vidta lämpliga åtgärder för att säkerställa att konventionen tillämpas effektivt. För detta ändamål bör protokoll nr 3 om definition av begreppet "ursprungsvaror" och metoder för administrativt samarbete inom ramarna för Associeringsrådet EU-Turkiet ersättas med ett nytt protokoll som, när det gäller ursprungsreglerna, hänvisar till Euro-Med-konventionen. </w:t>
      </w:r>
    </w:p>
    <w:p w14:paraId="4ABCB2C4" w14:textId="77777777" w:rsidR="00643D86" w:rsidRDefault="00DE6437" w:rsidP="00643D86">
      <w:pPr>
        <w:pStyle w:val="Rubrik1"/>
      </w:pPr>
      <w:bookmarkStart w:id="17" w:name="_Toc416940266"/>
      <w:r>
        <w:rPr>
          <w:noProof/>
        </w:rPr>
        <w:t>Council Decision on the position to be adopted on behalf of the European Union within the Joint Committee established by the Agreement between the European Coal and Steel Community, as regards the replacement of Protocol 1 to that Agreement, concerning the definition of the concept of 'originating products' and methods of administrative cooperation, by a new protocol which, as regards the rules of origin, refers to the Regional Convention on pan-Euro-Mediterranean preferential rules of origin</w:t>
      </w:r>
      <w:bookmarkEnd w:id="17"/>
    </w:p>
    <w:p w14:paraId="4ABCB2C5" w14:textId="6C5A7155" w:rsidR="00643D86" w:rsidRDefault="00DE6437" w:rsidP="00643D86">
      <w:pPr>
        <w:rPr>
          <w:lang w:val="en-US"/>
        </w:rPr>
      </w:pPr>
      <w:r>
        <w:rPr>
          <w:noProof/>
          <w:lang w:val="en-US"/>
        </w:rPr>
        <w:t>7857</w:t>
      </w:r>
      <w:r>
        <w:rPr>
          <w:lang w:val="en-US"/>
        </w:rPr>
        <w:t>/15 NT 13 UD 69</w:t>
      </w:r>
      <w:r w:rsidR="00750805">
        <w:rPr>
          <w:lang w:val="en-US"/>
        </w:rPr>
        <w:br/>
      </w:r>
      <w:r>
        <w:rPr>
          <w:lang w:val="en-US"/>
        </w:rPr>
        <w:t>6986/15 NT 7 UD 38</w:t>
      </w:r>
    </w:p>
    <w:p w14:paraId="4ABCB2C6" w14:textId="77777777" w:rsidR="00643D86" w:rsidRDefault="00DE6437" w:rsidP="00643D86">
      <w:r>
        <w:rPr>
          <w:b/>
        </w:rPr>
        <w:t>Ansvarigt statsråd</w:t>
      </w:r>
      <w:r>
        <w:rPr>
          <w:b/>
        </w:rPr>
        <w:br/>
      </w:r>
      <w:r>
        <w:rPr>
          <w:noProof/>
        </w:rPr>
        <w:t>Mikael Damberg</w:t>
      </w:r>
    </w:p>
    <w:p w14:paraId="4ABCB2CA" w14:textId="50F986D4" w:rsidR="00FA3A75" w:rsidRDefault="00DE6437" w:rsidP="00750805">
      <w:r w:rsidRPr="00B44CE2">
        <w:rPr>
          <w:b/>
        </w:rPr>
        <w:t>Annotering</w:t>
      </w:r>
      <w:r>
        <w:rPr>
          <w:b/>
        </w:rPr>
        <w:br/>
      </w:r>
      <w:r>
        <w:rPr>
          <w:b/>
          <w:bCs/>
        </w:rPr>
        <w:t>Avsikt med behandlingen i rådet</w:t>
      </w:r>
      <w:r>
        <w:t xml:space="preserve">: Rådet ska rösta om gemensamt ståndpunkt att rösta ja till att ändra protokoll nr 1 om definition av begreppet "ursprungsvaror" i Fördraget om upprättandet av Europeiska kol- och stålgemenskapen. </w:t>
      </w:r>
    </w:p>
    <w:p w14:paraId="4ABCB2CB" w14:textId="77777777" w:rsidR="00FA3A75" w:rsidRDefault="00DE6437">
      <w:pPr>
        <w:spacing w:after="280" w:afterAutospacing="1"/>
      </w:pPr>
      <w:r>
        <w:rPr>
          <w:b/>
          <w:bCs/>
        </w:rPr>
        <w:t>Hur regeringen ställer sig till den blivande A-punkten</w:t>
      </w:r>
      <w:r>
        <w:t xml:space="preserve">:Regeringen avser rösta ja </w:t>
      </w:r>
    </w:p>
    <w:p w14:paraId="4ABCB2CD" w14:textId="57BE9A39" w:rsidR="00FB32B9" w:rsidRDefault="00DE6437">
      <w:pPr>
        <w:spacing w:after="280" w:afterAutospacing="1"/>
        <w:rPr>
          <w:noProof/>
        </w:rPr>
      </w:pPr>
      <w:r>
        <w:rPr>
          <w:b/>
          <w:bCs/>
        </w:rPr>
        <w:t>Bakgrund:</w:t>
      </w:r>
      <w:r>
        <w:t xml:space="preserve"> EuroMed-processen är en process som sjösattes 1995 och som syftar till att utvidga och fördjupa kontakterna mellan EU och de södra Medelhavsländerna. Målsättningen är att handelssamarbetet ska utvecklas i riktning mot ett frihandelsområde omfattande alla länderna. Grunden för ett sådant område är Europa-Medelhavsavtalen. Pan-Euro-Med är de ursprungsregler som ska gälla i Europa-Medelhavsavtalen. Dessa innebär att alla inblandade parter ska ha identiska ursprungsregler i de frihandelsavtal som måste finnas mellan de olika parterna. Detta krävs bl.a. för att diagonal kumulation ska kunna fungera. </w:t>
      </w:r>
      <w:r>
        <w:br/>
        <w:t xml:space="preserve">EU undertecknade den regionala EuroMed-konventionen den15 juni 2011. Turkiet undertecknade den regionala EuroMed-konventionen den 4 november 2011.Enligt Artikel 6 i konventionen skall varje fördragsslutande part vidta lämpliga åtgärder för att säkerställa att konventionen tillämpas effektivt. För detta ändamål bör den gemensamma kommitté som inrättats genom avtalet mellan Europeiska kol- och stålgemenskapen och Republiken Turkiet anta ett beslut om att ändra protokoll nr 1 om definition av begreppet "ursprungsvaror" och metoder för administrativt samarbete med ett nytt protokoll som, när det gäller ursprungsreglerna, hänvisar till Euro-Med-konventionen. </w:t>
      </w:r>
    </w:p>
    <w:p w14:paraId="4ABCB2CE" w14:textId="77777777" w:rsidR="00643D86" w:rsidRDefault="00DE6437" w:rsidP="00643D86">
      <w:pPr>
        <w:pStyle w:val="Rubrik1"/>
      </w:pPr>
      <w:bookmarkStart w:id="18" w:name="_Toc416940267"/>
      <w:r>
        <w:rPr>
          <w:noProof/>
        </w:rPr>
        <w:t>(poss.) Draft reply to the letter from the Minister for Foreign Affairs of Iceland to the Presidency of the Council</w:t>
      </w:r>
      <w:bookmarkEnd w:id="18"/>
    </w:p>
    <w:p w14:paraId="4ABCB2CF" w14:textId="2228D36F" w:rsidR="00643D86" w:rsidRDefault="00DE6437" w:rsidP="00643D86">
      <w:pPr>
        <w:rPr>
          <w:lang w:val="en-US"/>
        </w:rPr>
      </w:pPr>
      <w:r>
        <w:rPr>
          <w:noProof/>
          <w:lang w:val="en-US"/>
        </w:rPr>
        <w:t>7864</w:t>
      </w:r>
      <w:r>
        <w:rPr>
          <w:lang w:val="en-US"/>
        </w:rPr>
        <w:t>/15 ELARG 16 ISL 4</w:t>
      </w:r>
    </w:p>
    <w:p w14:paraId="4ABCB2D0" w14:textId="77777777" w:rsidR="00643D86" w:rsidRDefault="00DE6437" w:rsidP="00643D86">
      <w:r>
        <w:rPr>
          <w:b/>
        </w:rPr>
        <w:t>Ansvarigt statsråd</w:t>
      </w:r>
      <w:r>
        <w:rPr>
          <w:b/>
        </w:rPr>
        <w:br/>
      </w:r>
      <w:r>
        <w:rPr>
          <w:noProof/>
        </w:rPr>
        <w:t>Margot Wallström</w:t>
      </w:r>
    </w:p>
    <w:p w14:paraId="4ABCB2D5" w14:textId="71A1552A" w:rsidR="00FA3A75" w:rsidRDefault="00DE6437" w:rsidP="00750805">
      <w:r w:rsidRPr="00B44CE2">
        <w:rPr>
          <w:b/>
        </w:rPr>
        <w:t>Annotering</w:t>
      </w:r>
      <w:r>
        <w:rPr>
          <w:b/>
        </w:rPr>
        <w:br/>
      </w:r>
      <w:r w:rsidR="00750805">
        <w:rPr>
          <w:b/>
          <w:bCs/>
        </w:rPr>
        <w:t xml:space="preserve">Avsikt med behandlingen i rådet: </w:t>
      </w:r>
      <w:r>
        <w:t>Rådet föreslås anta svar på brev från isländske utrikesministern</w:t>
      </w:r>
    </w:p>
    <w:p w14:paraId="4ABCB2D9" w14:textId="6F7A2274" w:rsidR="00FA3A75" w:rsidRDefault="00DE6437">
      <w:pPr>
        <w:spacing w:after="280" w:afterAutospacing="1"/>
      </w:pPr>
      <w:r>
        <w:rPr>
          <w:b/>
          <w:bCs/>
        </w:rPr>
        <w:t>Hur regeringen ställer sig till den blivande A-punkten</w:t>
      </w:r>
      <w:r w:rsidR="00750805">
        <w:rPr>
          <w:b/>
          <w:bCs/>
        </w:rPr>
        <w:t xml:space="preserve">: </w:t>
      </w:r>
      <w:r>
        <w:t>Regeringen avser att rösta ja till förslagt till brevsvar. </w:t>
      </w:r>
    </w:p>
    <w:p w14:paraId="4ABCB2DE" w14:textId="4CD3377E" w:rsidR="00FB32B9" w:rsidRDefault="00DE6437">
      <w:pPr>
        <w:spacing w:after="280" w:afterAutospacing="1"/>
        <w:rPr>
          <w:noProof/>
        </w:rPr>
      </w:pPr>
      <w:r>
        <w:rPr>
          <w:b/>
          <w:bCs/>
        </w:rPr>
        <w:t>Bakgrund</w:t>
      </w:r>
      <w:r w:rsidR="00750805">
        <w:t xml:space="preserve">: </w:t>
      </w:r>
      <w:r>
        <w:t>Den isländske utrikesministern har i brev 12 mars förklarat den isländska regeringen fortsatta förhållning till EU och medlemskapsförhandlingarna </w:t>
      </w:r>
    </w:p>
    <w:p w14:paraId="4ABCB2DF" w14:textId="77777777" w:rsidR="00643D86" w:rsidRDefault="00DE6437" w:rsidP="00643D86">
      <w:pPr>
        <w:pStyle w:val="Rubrik1"/>
      </w:pPr>
      <w:bookmarkStart w:id="19" w:name="_Toc416940268"/>
      <w:r>
        <w:rPr>
          <w:noProof/>
        </w:rPr>
        <w:t>Council Decision on the position to be taken by the European Union in the Joint Committee established under the Agreement between the European Community and its Member States, of the one part, and the Swiss Confederation, of the other, on the free movement of persons, as regards the amendment of Annex III on the mutual recognition of professional qualifications</w:t>
      </w:r>
      <w:bookmarkEnd w:id="19"/>
    </w:p>
    <w:p w14:paraId="4ABCB2E0" w14:textId="4D4CA839" w:rsidR="00643D86" w:rsidRDefault="00DE6437" w:rsidP="00643D86">
      <w:pPr>
        <w:rPr>
          <w:lang w:val="en-US"/>
        </w:rPr>
      </w:pPr>
      <w:r>
        <w:rPr>
          <w:noProof/>
          <w:lang w:val="en-US"/>
        </w:rPr>
        <w:t>6718</w:t>
      </w:r>
      <w:r>
        <w:rPr>
          <w:lang w:val="en-US"/>
        </w:rPr>
        <w:t>/15 CH 7 MI 129 SOC 146</w:t>
      </w:r>
      <w:r w:rsidR="00750805">
        <w:rPr>
          <w:lang w:val="en-US"/>
        </w:rPr>
        <w:br/>
      </w:r>
      <w:r>
        <w:rPr>
          <w:lang w:val="en-US"/>
        </w:rPr>
        <w:t>6719/15 CH 8 MI 130 SOC 147</w:t>
      </w:r>
    </w:p>
    <w:p w14:paraId="4ABCB2E1" w14:textId="77777777" w:rsidR="00643D86" w:rsidRDefault="00DE6437" w:rsidP="00643D86">
      <w:r>
        <w:rPr>
          <w:b/>
        </w:rPr>
        <w:t>Ansvarigt statsråd</w:t>
      </w:r>
      <w:r>
        <w:rPr>
          <w:b/>
        </w:rPr>
        <w:br/>
      </w:r>
      <w:r>
        <w:rPr>
          <w:noProof/>
        </w:rPr>
        <w:t>Margot Wallström</w:t>
      </w:r>
    </w:p>
    <w:p w14:paraId="4ABCB2E6" w14:textId="5F065CDE" w:rsidR="00FA3A75" w:rsidRDefault="00DE6437" w:rsidP="00750805">
      <w:r w:rsidRPr="00B44CE2">
        <w:rPr>
          <w:b/>
        </w:rPr>
        <w:t>Annotering</w:t>
      </w:r>
      <w:r>
        <w:rPr>
          <w:b/>
        </w:rPr>
        <w:br/>
      </w:r>
      <w:r w:rsidRPr="00750805">
        <w:rPr>
          <w:b/>
        </w:rPr>
        <w:t>Avsikten med behandlingen i rådet</w:t>
      </w:r>
      <w:r w:rsidR="004F63C3">
        <w:rPr>
          <w:b/>
        </w:rPr>
        <w:t xml:space="preserve">: </w:t>
      </w:r>
      <w:r w:rsidR="004F63C3">
        <w:t xml:space="preserve">att anta </w:t>
      </w:r>
      <w:r>
        <w:t>ett rådsbeslut om EU:s ställningstagande vid kommande möte i den gemensamma kommittén mellan EU och Schweiz.</w:t>
      </w:r>
    </w:p>
    <w:p w14:paraId="4ABCB2E7" w14:textId="583EFBC8" w:rsidR="00FA3A75" w:rsidRDefault="004F63C3" w:rsidP="004F63C3">
      <w:pPr>
        <w:spacing w:after="100" w:afterAutospacing="1"/>
      </w:pPr>
      <w:r>
        <w:rPr>
          <w:b/>
          <w:bCs/>
        </w:rPr>
        <w:t>Hur regeringen ställer sig till den blivande A-punkten:</w:t>
      </w:r>
      <w:r>
        <w:t xml:space="preserve"> </w:t>
      </w:r>
      <w:r w:rsidR="00DE6437" w:rsidRPr="004F63C3">
        <w:t xml:space="preserve">Regeringen </w:t>
      </w:r>
      <w:r w:rsidRPr="004F63C3">
        <w:t>avser rösta ja.</w:t>
      </w:r>
      <w:r>
        <w:rPr>
          <w:b/>
        </w:rPr>
        <w:t xml:space="preserve"> </w:t>
      </w:r>
    </w:p>
    <w:p w14:paraId="4ABCB2E8" w14:textId="6B70C4B1" w:rsidR="00FA3A75" w:rsidRDefault="00DE6437">
      <w:pPr>
        <w:spacing w:after="280" w:afterAutospacing="1"/>
      </w:pPr>
      <w:r w:rsidRPr="00750805">
        <w:rPr>
          <w:b/>
        </w:rPr>
        <w:t>Bakgrund</w:t>
      </w:r>
      <w:r w:rsidR="00750805">
        <w:t xml:space="preserve">: </w:t>
      </w:r>
      <w:r>
        <w:t>År 1999 ingick Europeiska gemenskapen och dess medlemsstater ett bilateralt avtal med Schweiz om fri rörlighet för personer. Avtalet trädde i kraft den 1 juni 2002. Avtalet ingicks ursprungligen för en period av sju år, som löpte ut den 31 maj 2009. Efter den schweiziska folkomröstningen den 8 februari 2009 förlängdes det på obestämd tid. Trots resultaten av den schweiziska folkomröstningen den 9 februari 2014 om massinvandring är avtalet fortsatt i kraft.</w:t>
      </w:r>
    </w:p>
    <w:p w14:paraId="4ABCB2E9" w14:textId="77777777" w:rsidR="00FA3A75" w:rsidRDefault="00DE6437" w:rsidP="004F63C3">
      <w:pPr>
        <w:spacing w:after="100" w:afterAutospacing="1"/>
      </w:pPr>
      <w:r>
        <w:t>Artikel 9 och bilaga III till avtalet gäller ömsesidigt erkännande av yrkesbehörighet. I bilaga III uppräknas de rättsakter som EU antagit inom det område som är av intresse för förbindelserna med Schweiz. I avtalets artikel 18 preciseras att alla ändringar av bilaga III måste antas genom beslut av gemensamma kommittén EU–Schweiz som inrättas genom artikel 14 i samma avtal.</w:t>
      </w:r>
    </w:p>
    <w:p w14:paraId="4ABCB2EB" w14:textId="12D58692" w:rsidR="00FB32B9" w:rsidRDefault="00DE6437" w:rsidP="004F63C3">
      <w:pPr>
        <w:spacing w:after="100" w:afterAutospacing="1"/>
        <w:rPr>
          <w:noProof/>
        </w:rPr>
      </w:pPr>
      <w:r>
        <w:t>Rådets beslut anger den ståndpunkt som EU ska inta i den gemensamma kommittén för att göra en ändring av bilaga III till avtalet om ömsesidigt erkännande av yrkeskvalifikationer. Ändringen avser tekniska justeringar av bilagan bestående av referenser till ny lagstiftning inom EU, meddelande från kommissionen och förändringarna i Schweiz gällande yrkeskvalifikationer som krävs för vissa hälso- och sjukvårdsyrken.</w:t>
      </w:r>
    </w:p>
    <w:p w14:paraId="4ABCB2EC" w14:textId="77777777" w:rsidR="00643D86" w:rsidRDefault="00DE6437" w:rsidP="00643D86">
      <w:pPr>
        <w:pStyle w:val="Rubrik1"/>
      </w:pPr>
      <w:bookmarkStart w:id="20" w:name="_Toc416940269"/>
      <w:r>
        <w:rPr>
          <w:noProof/>
        </w:rPr>
        <w:t>Proposal for a Council Directive on the coordination and cooperation measures to facilitate consular protection for unrepresented citizens of the Union in third countries</w:t>
      </w:r>
      <w:bookmarkEnd w:id="20"/>
    </w:p>
    <w:p w14:paraId="0FB02DBF" w14:textId="77777777" w:rsidR="00222E32" w:rsidRDefault="00DE6437" w:rsidP="00643D86">
      <w:pPr>
        <w:rPr>
          <w:lang w:val="en-US"/>
        </w:rPr>
      </w:pPr>
      <w:r>
        <w:rPr>
          <w:noProof/>
          <w:lang w:val="en-US"/>
        </w:rPr>
        <w:t>–</w:t>
      </w:r>
      <w:r>
        <w:rPr>
          <w:lang w:val="en-US"/>
        </w:rPr>
        <w:t>Adoption</w:t>
      </w:r>
    </w:p>
    <w:p w14:paraId="4ABCB2ED" w14:textId="428BA28A" w:rsidR="00643D86" w:rsidRDefault="00DE6437" w:rsidP="00643D86">
      <w:pPr>
        <w:rPr>
          <w:lang w:val="en-US"/>
        </w:rPr>
      </w:pPr>
      <w:r>
        <w:rPr>
          <w:noProof/>
          <w:lang w:val="en-US"/>
        </w:rPr>
        <w:t>7608</w:t>
      </w:r>
      <w:r>
        <w:rPr>
          <w:lang w:val="en-US"/>
        </w:rPr>
        <w:t>/15 COCON 7 PESC 339 COTRA 4</w:t>
      </w:r>
      <w:r w:rsidR="00222E32">
        <w:rPr>
          <w:lang w:val="en-US"/>
        </w:rPr>
        <w:br/>
      </w:r>
      <w:r>
        <w:rPr>
          <w:lang w:val="en-US"/>
        </w:rPr>
        <w:t xml:space="preserve">7228/15 COCON 6 PESC 290 COTRA 3 </w:t>
      </w:r>
    </w:p>
    <w:p w14:paraId="4ABCB2EE" w14:textId="77777777" w:rsidR="00643D86" w:rsidRDefault="00DE6437" w:rsidP="00643D86">
      <w:r>
        <w:rPr>
          <w:b/>
        </w:rPr>
        <w:t>Ansvarigt statsråd</w:t>
      </w:r>
      <w:r>
        <w:rPr>
          <w:b/>
        </w:rPr>
        <w:br/>
      </w:r>
      <w:r>
        <w:rPr>
          <w:noProof/>
        </w:rPr>
        <w:t>Margot Wallström</w:t>
      </w:r>
    </w:p>
    <w:p w14:paraId="4ABCB2F2" w14:textId="30564B4D" w:rsidR="00FA3A75" w:rsidRDefault="00DE6437" w:rsidP="00222E32">
      <w:r w:rsidRPr="00B44CE2">
        <w:rPr>
          <w:b/>
        </w:rPr>
        <w:t>Annotering</w:t>
      </w:r>
      <w:r>
        <w:rPr>
          <w:b/>
        </w:rPr>
        <w:br/>
      </w:r>
      <w:r>
        <w:rPr>
          <w:b/>
          <w:bCs/>
        </w:rPr>
        <w:t>Avsikt med behandlingen i rådet:</w:t>
      </w:r>
      <w:r>
        <w:t xml:space="preserve"> Rådet föreslås anta direktivet.</w:t>
      </w:r>
    </w:p>
    <w:p w14:paraId="4ABCB2F3" w14:textId="77777777" w:rsidR="00FA3A75" w:rsidRDefault="00DE6437">
      <w:pPr>
        <w:spacing w:after="280" w:afterAutospacing="1"/>
      </w:pPr>
      <w:r>
        <w:rPr>
          <w:b/>
          <w:bCs/>
        </w:rPr>
        <w:t>Hur regeringen ställer sig till den blivande A-punkten:</w:t>
      </w:r>
      <w:r>
        <w:t xml:space="preserve"> Regeringen avser rösta ja till att Rådet antar direktivet.</w:t>
      </w:r>
    </w:p>
    <w:p w14:paraId="4ABCB2F4" w14:textId="77777777" w:rsidR="00FA3A75" w:rsidRDefault="00DE6437">
      <w:pPr>
        <w:spacing w:after="280" w:afterAutospacing="1"/>
      </w:pPr>
      <w:r>
        <w:rPr>
          <w:b/>
          <w:bCs/>
        </w:rPr>
        <w:t>Bakgrund:</w:t>
      </w:r>
      <w:r>
        <w:t xml:space="preserve"> Kommissionen lade i december 2011 fram ett förslag till direktiv om konsulärt skydd för EU-medborgare utomlands. Direktivet syftar till att fastslå det praktiska genomförandet av artikel 23 i EUF-fördraget, vilken föreskriver följande:</w:t>
      </w:r>
    </w:p>
    <w:p w14:paraId="4ABCB2F5" w14:textId="77777777" w:rsidR="00FA3A75" w:rsidRDefault="00DE6437">
      <w:pPr>
        <w:spacing w:after="280" w:afterAutospacing="1"/>
      </w:pPr>
      <w:r>
        <w:t>”Varje unionsmedborgare ska inom ett tredjelands territorium, där den medlemsstat i vilken han är medborgare inte är representerad, ha rätt till skydd av varje medlemsstats diplomatiska eller konsulära myndigheter på samma villkor som medborgarna i den staten. Medlemsstaterna ska vidta nödvändiga åtgärder och inleda de internationella förhandlingar som krävs för att säkerställa detta skydd.</w:t>
      </w:r>
    </w:p>
    <w:p w14:paraId="4ABCB2F6" w14:textId="77777777" w:rsidR="00FA3A75" w:rsidRDefault="00DE6437">
      <w:pPr>
        <w:spacing w:after="280" w:afterAutospacing="1"/>
      </w:pPr>
      <w:r>
        <w:t>Rådet får, i enlighet med ett särskilt lagstiftningsförfarande och efter att ha hört Europaparlamentet, anta direktiv som föreskriver de samordnings- och samarbetsåtgärder som behövs för att främja detta skydd.”</w:t>
      </w:r>
    </w:p>
    <w:p w14:paraId="4ABCB2F7" w14:textId="77777777" w:rsidR="00FA3A75" w:rsidRDefault="00DE6437">
      <w:pPr>
        <w:spacing w:after="280" w:afterAutospacing="1"/>
      </w:pPr>
      <w:r>
        <w:t>Direktivet bekräftar den redan, sedan 1995, gällande ordningen beträffande ömsesidig hjälp till varandras medborgare i tredje land, i den mån dessa inte är företrädda av sin egen EU-medlemsstat i det aktuella landet. Den avgörande skillnaden som direktivet för med sig är att medborgarskapsstaten inte längre kan motsätta sig att konsulärt skydd ges till en egen medborgare, vilket följer av likabehandlingsprincipen såsom den kommer till uttryck i artikel 23 i EUF-fördraget. Rätten till konsulärt skydd utsträcks också till familjemedlemmar som inte själva är EU-medborgare, om den hjälpande staten stöder även sådana familjemedlemmar.</w:t>
      </w:r>
    </w:p>
    <w:p w14:paraId="4ABCB2F8" w14:textId="77777777" w:rsidR="00FA3A75" w:rsidRDefault="00DE6437">
      <w:pPr>
        <w:spacing w:after="280" w:afterAutospacing="1"/>
      </w:pPr>
      <w:r>
        <w:t>Direktivet kodifierar vidare rådande praxis vad gäller lokalt konsulärt samarbete medlemstaterna emellan, med särskilt sikte på beredskaps- och krishanteringsarbete som också inbegriper icke företrädda. I direktivförslaget ges dessutom EU-delegationerna en stödjande roll, framför allt vad gäller samordning vid krishantering</w:t>
      </w:r>
    </w:p>
    <w:p w14:paraId="4ABCB2F9" w14:textId="77777777" w:rsidR="00FA3A75" w:rsidRDefault="00DE6437">
      <w:pPr>
        <w:spacing w:after="280" w:afterAutospacing="1"/>
      </w:pPr>
      <w:r>
        <w:t>Direktivet bedöms få begränsade praktiska och budgetmässiga konsekvenser, även om det är principiellt viktigt. Ärenden där Sverige bistår icke företrädda medborgare från andra EU-länder eller där andra medlemstater bistår svenska medborgare är fortsatt ovanligt förekommande. Den hjälpande staten kan vidare kräva ersättning från medborgarskapsstaten, som i sin tur har regressrätt mot den som fått hjälp. Medborgarstaten kan också vid varje givet tillfälle överta det konsulära ansvaret för den egna medborgaren.</w:t>
      </w:r>
    </w:p>
    <w:p w14:paraId="4ABCB2FA" w14:textId="77777777" w:rsidR="00FA3A75" w:rsidRDefault="00DE6437">
      <w:pPr>
        <w:spacing w:after="280" w:afterAutospacing="1"/>
      </w:pPr>
      <w:r>
        <w:t>Tiden för införlivande av direktivet i den egna rättsordningen föreslås bli tre år. För svensk del innebär detta att EU-medborgares rätt till konsulärt skydd, i enlighet med direktivet, måste föras in i den svenska lagstiftningen. Ett förarbete till detta är redan genomfört. Också regressrätten gentemot svenska medborgare kan komma att behöva regleras.</w:t>
      </w:r>
    </w:p>
    <w:p w14:paraId="4ABCB2FB" w14:textId="77777777" w:rsidR="00FA3A75" w:rsidRDefault="00DE6437">
      <w:pPr>
        <w:spacing w:after="280" w:afterAutospacing="1"/>
      </w:pPr>
      <w:r>
        <w:t>Europaparlamentet avgav sitt yttrande den 25 oktober 2012, i vilket man i stora drag ställde sig bakom förslaget. I Rådet krävs kvalificerad majoritet för att direktivet ska antas. Någon blockarande minoritet finns inte, även om ett fåtal medlemsstater har lagt in reservationer. Direktivet speglar i stort en bred konsensus bland medlemsstaterna.</w:t>
      </w:r>
    </w:p>
    <w:p w14:paraId="4ABCB2FC" w14:textId="77777777" w:rsidR="00FA3A75" w:rsidRDefault="00DE6437">
      <w:pPr>
        <w:spacing w:after="280" w:afterAutospacing="1"/>
      </w:pPr>
      <w:r>
        <w:t>Sverige har sedan direktivförlaget lades fram ställt sig försiktigt positivt till detta, vilket också framgår av den faktapromemoria (2011/12:FPM86) som lades fram för Riksdagen. Utrikesutskottet har vidare funnit att förslaget inte strider mot subsidiaritetsprincipen (se protokoll från utskottssammanträde 2011/12:15). Sverige har välkomnat att formerna för bistånd i enlighet mer artikel 23 i EUF-fördraget tydliggörs men ställt sig tveksamt till alltför formaliserande bestämmelser. Likt flertalet andra medlemsstater anser Sverige att det konsulära EU-samarbetet huvudsakligen fungerar tillfredställande och bör baseras på en pragmatisk dialog medlemsstaterna emellan. Det är därför inte önskvärt med en alltför detaljerad reglering av detta och Sverige har därmed verkat för bestämmelser som ger förutsägbarhet men också flexibilitet i samarbetet. Flera svenska synpunkter som syftar till detta har hörsammats och det var också på svenskt förslag som möjligheten för medborgarstaten till övertagande av det konsulära ansvaret infördes. Sverige har vidare välkomnat en formell roll för EU-delegationerna som också speglar hur verkligheten i dagsläget ser ut, där delegationerna redan har tagit på sig en viss samordnande roll under vissa kriser, och har aktivt motverkat förslag till skrivningar som skulle ha begränsat delegationernas roll ytterligare.</w:t>
      </w:r>
    </w:p>
    <w:p w14:paraId="4ABCB2FE" w14:textId="14C6EA78" w:rsidR="00FB32B9" w:rsidRDefault="00DE6437">
      <w:pPr>
        <w:spacing w:after="280" w:afterAutospacing="1"/>
        <w:rPr>
          <w:noProof/>
        </w:rPr>
      </w:pPr>
      <w:r>
        <w:t>I allt väsentligt är direktivet en välbalanserad uttolkning av artikel 23 i EUF-fördraget och en kodifiering av gällande praxis.</w:t>
      </w:r>
    </w:p>
    <w:p w14:paraId="4ABCB2FF" w14:textId="77777777" w:rsidR="00643D86" w:rsidRDefault="00DE6437" w:rsidP="00643D86">
      <w:pPr>
        <w:pStyle w:val="Rubrik1"/>
      </w:pPr>
      <w:bookmarkStart w:id="21" w:name="_Toc416940270"/>
      <w:r>
        <w:rPr>
          <w:noProof/>
        </w:rPr>
        <w:t>Draft Council conclusions on the first biennial report on implementing EU food and nutrition security policy commitments</w:t>
      </w:r>
      <w:bookmarkEnd w:id="21"/>
    </w:p>
    <w:p w14:paraId="4ABCB300" w14:textId="7B38ABFC" w:rsidR="00643D86" w:rsidRDefault="00DE6437" w:rsidP="00643D86">
      <w:pPr>
        <w:rPr>
          <w:lang w:val="en-US"/>
        </w:rPr>
      </w:pPr>
      <w:r>
        <w:rPr>
          <w:noProof/>
          <w:lang w:val="en-US"/>
        </w:rPr>
        <w:t>7575</w:t>
      </w:r>
      <w:r>
        <w:rPr>
          <w:lang w:val="en-US"/>
        </w:rPr>
        <w:t>/15 DEVGEN 39 COHAFA 36 ACP 53 RELEX 263 ALIM 6 AGRI 161FAO 12 SAN 87</w:t>
      </w:r>
    </w:p>
    <w:p w14:paraId="4ABCB301" w14:textId="77777777" w:rsidR="00643D86" w:rsidRDefault="00DE6437" w:rsidP="00643D86">
      <w:r>
        <w:rPr>
          <w:b/>
        </w:rPr>
        <w:t>Ansvarigt statsråd</w:t>
      </w:r>
      <w:r>
        <w:rPr>
          <w:b/>
        </w:rPr>
        <w:br/>
      </w:r>
      <w:r>
        <w:rPr>
          <w:noProof/>
        </w:rPr>
        <w:t>Isabella Lövin</w:t>
      </w:r>
    </w:p>
    <w:p w14:paraId="4ABCB305" w14:textId="1D3DDDB8" w:rsidR="00FA3A75" w:rsidRDefault="00DE6437" w:rsidP="00222E32">
      <w:r w:rsidRPr="00B44CE2">
        <w:rPr>
          <w:b/>
        </w:rPr>
        <w:t>Annotering</w:t>
      </w:r>
      <w:r>
        <w:rPr>
          <w:b/>
        </w:rPr>
        <w:br/>
      </w:r>
      <w:r>
        <w:rPr>
          <w:b/>
          <w:bCs/>
        </w:rPr>
        <w:t xml:space="preserve">Avsikt med behandlingen i rådet: </w:t>
      </w:r>
      <w:r>
        <w:t>Rådet föreslås anta slutsatser om Kommissionens rapport angående att ’Genomföra EU:s politiska åtaganden för tryggad livsmedelsförsörjning och nutrition: första tvåårsrapporten’. /SWD(2014)343/.</w:t>
      </w:r>
    </w:p>
    <w:p w14:paraId="4ABCB306" w14:textId="77777777" w:rsidR="00FA3A75" w:rsidRDefault="00DE6437">
      <w:pPr>
        <w:spacing w:after="280" w:afterAutospacing="1"/>
      </w:pPr>
      <w:r>
        <w:rPr>
          <w:b/>
          <w:bCs/>
        </w:rPr>
        <w:t>Hur regeringen ställer sig till den blivande A-punkten:</w:t>
      </w:r>
      <w:r>
        <w:t xml:space="preserve"> Regeringen avser rösta ja till föreslagna slutsatser ang. Kommissionens rapport om genomförandet av EU:s politiska åtaganden för tryggad livsmedelsförsörjning. </w:t>
      </w:r>
    </w:p>
    <w:p w14:paraId="4ABCB307" w14:textId="77777777" w:rsidR="00FA3A75" w:rsidRDefault="00DE6437">
      <w:pPr>
        <w:spacing w:after="280" w:afterAutospacing="1"/>
      </w:pPr>
      <w:r>
        <w:rPr>
          <w:b/>
          <w:bCs/>
        </w:rPr>
        <w:t xml:space="preserve">Bakgrund: </w:t>
      </w:r>
      <w:r>
        <w:t>År 2010 antogs en EU-omfattande politisk ram för tryggad livsmedelsförsörjning och nutrition och år 2013 antogs en genomförandeplan med sex prioriteringar, vilka inriktar sig mot småbrukare, effektiv styrning, policyutveckling, sociala skyddsmekanismer, förbättrad nutrition och samordning mellan aktörer.  Samtidigt uppmanades kommissionen att utarbeta tvååriga resultatrapporter. I december förra året presenterades den första rapporten. De länders vars bistånd analyserats är Österrike, Belgien, Finland, Frankrike, Tyskland, Irland, Italien och Nederländerna.</w:t>
      </w:r>
    </w:p>
    <w:p w14:paraId="4ABCB309" w14:textId="0ACB1617" w:rsidR="00FB32B9" w:rsidRDefault="00DE6437" w:rsidP="004F63C3">
      <w:pPr>
        <w:spacing w:after="100" w:afterAutospacing="1"/>
        <w:rPr>
          <w:noProof/>
        </w:rPr>
      </w:pPr>
      <w:r>
        <w:t>Rapporten ger inga förslag till policyförändringar.</w:t>
      </w:r>
    </w:p>
    <w:p w14:paraId="4ABCB30A" w14:textId="77777777" w:rsidR="00643D86" w:rsidRDefault="00DE6437" w:rsidP="00643D86">
      <w:pPr>
        <w:pStyle w:val="Rubrik1"/>
      </w:pPr>
      <w:bookmarkStart w:id="22" w:name="_Toc416940271"/>
      <w:r>
        <w:rPr>
          <w:noProof/>
        </w:rPr>
        <w:t>Proposal for a Council Decision on the conclusion on behalf of the European Union and its Member States of the Additional Protocol to the Trade, Development and Cooperation Agreement between the European Community and its Member States, of the one part, and the Republic of South Africa, of the other part, to take account of the accession of Croatia to the European Union</w:t>
      </w:r>
      <w:bookmarkEnd w:id="22"/>
    </w:p>
    <w:p w14:paraId="3A35F96D" w14:textId="77777777" w:rsidR="00222E32" w:rsidRDefault="00DE6437" w:rsidP="00643D86">
      <w:pPr>
        <w:rPr>
          <w:lang w:val="en-US"/>
        </w:rPr>
      </w:pPr>
      <w:r>
        <w:rPr>
          <w:noProof/>
          <w:lang w:val="en-US"/>
        </w:rPr>
        <w:t>–</w:t>
      </w:r>
      <w:r>
        <w:rPr>
          <w:lang w:val="en-US"/>
        </w:rPr>
        <w:t>Request by the Council for consent of the European Parliament</w:t>
      </w:r>
    </w:p>
    <w:p w14:paraId="4ABCB30B" w14:textId="2D0A3FCF" w:rsidR="00643D86" w:rsidRDefault="00DE6437" w:rsidP="00643D86">
      <w:pPr>
        <w:rPr>
          <w:lang w:val="en-US"/>
        </w:rPr>
      </w:pPr>
      <w:r>
        <w:rPr>
          <w:noProof/>
          <w:lang w:val="en-US"/>
        </w:rPr>
        <w:t>7664</w:t>
      </w:r>
      <w:r>
        <w:rPr>
          <w:lang w:val="en-US"/>
        </w:rPr>
        <w:t>/15 ACP 57 COAFR 122</w:t>
      </w:r>
      <w:r w:rsidR="00222E32">
        <w:rPr>
          <w:lang w:val="en-US"/>
        </w:rPr>
        <w:br/>
      </w:r>
      <w:r>
        <w:rPr>
          <w:lang w:val="en-US"/>
        </w:rPr>
        <w:t>7657/15 ACP 56 COAFR 121</w:t>
      </w:r>
      <w:r w:rsidR="00222E32">
        <w:rPr>
          <w:lang w:val="en-US"/>
        </w:rPr>
        <w:br/>
      </w:r>
      <w:r>
        <w:rPr>
          <w:lang w:val="en-US"/>
        </w:rPr>
        <w:t>13175/14 ACP 144 COAFR 247</w:t>
      </w:r>
    </w:p>
    <w:p w14:paraId="4ABCB30C" w14:textId="51B6AE29" w:rsidR="00643D86" w:rsidRDefault="00DE6437" w:rsidP="00643D86">
      <w:r>
        <w:rPr>
          <w:b/>
        </w:rPr>
        <w:t>Ansvarigt statsråd</w:t>
      </w:r>
      <w:r>
        <w:rPr>
          <w:b/>
        </w:rPr>
        <w:br/>
      </w:r>
      <w:r w:rsidR="00406664">
        <w:t>Margot Wallström</w:t>
      </w:r>
    </w:p>
    <w:p w14:paraId="4ABCB30F" w14:textId="77777777" w:rsidR="00643D86" w:rsidRDefault="00DE6437" w:rsidP="00643D86">
      <w:r w:rsidRPr="00B44CE2">
        <w:rPr>
          <w:b/>
        </w:rPr>
        <w:t>Annotering</w:t>
      </w:r>
      <w:r>
        <w:rPr>
          <w:b/>
        </w:rPr>
        <w:br/>
      </w:r>
      <w:r>
        <w:t>Föranleder ingen annotering.</w:t>
      </w:r>
    </w:p>
    <w:p w14:paraId="4ABCB310" w14:textId="77777777" w:rsidR="00643D86" w:rsidRDefault="00DE6437" w:rsidP="00643D86">
      <w:pPr>
        <w:pStyle w:val="Rubrik1"/>
      </w:pPr>
      <w:bookmarkStart w:id="23" w:name="_Toc416940272"/>
      <w:r>
        <w:rPr>
          <w:noProof/>
        </w:rPr>
        <w:t>(poss.) Draft Council conclusions on the Sahel Regional Action Plan 2015-2020</w:t>
      </w:r>
      <w:bookmarkEnd w:id="23"/>
    </w:p>
    <w:p w14:paraId="7A5D776A" w14:textId="1A924AC0" w:rsidR="00222E32" w:rsidRDefault="00DE6437" w:rsidP="00643D86">
      <w:pPr>
        <w:rPr>
          <w:b/>
        </w:rPr>
      </w:pPr>
      <w:r>
        <w:rPr>
          <w:noProof/>
          <w:lang w:val="en-US"/>
        </w:rPr>
        <w:t>7776</w:t>
      </w:r>
      <w:r>
        <w:rPr>
          <w:lang w:val="en-US"/>
        </w:rPr>
        <w:t>/15 COAFR 127 ACP 59 CFSP/PESC 20 DEVGEN 45 COTER 58MAMA 3 COHAFA 38 MIGR 22</w:t>
      </w:r>
    </w:p>
    <w:p w14:paraId="4ABCB312" w14:textId="6EBB17F0" w:rsidR="00643D86" w:rsidRDefault="00DE6437" w:rsidP="00643D86">
      <w:r>
        <w:rPr>
          <w:b/>
        </w:rPr>
        <w:t>Ansvarigt statsråd</w:t>
      </w:r>
      <w:r>
        <w:rPr>
          <w:b/>
        </w:rPr>
        <w:br/>
      </w:r>
      <w:r>
        <w:rPr>
          <w:noProof/>
        </w:rPr>
        <w:t>Margot Wallström</w:t>
      </w:r>
    </w:p>
    <w:p w14:paraId="4ABCB316" w14:textId="251274BA" w:rsidR="00FA3A75" w:rsidRDefault="00DE6437" w:rsidP="00222E32">
      <w:r w:rsidRPr="00B44CE2">
        <w:rPr>
          <w:b/>
        </w:rPr>
        <w:t>Annotering</w:t>
      </w:r>
      <w:r>
        <w:rPr>
          <w:b/>
        </w:rPr>
        <w:br/>
      </w:r>
      <w:r>
        <w:rPr>
          <w:b/>
          <w:bCs/>
        </w:rPr>
        <w:t>Avsikt med behandlingen i rådet:</w:t>
      </w:r>
      <w:r w:rsidR="00222E32">
        <w:rPr>
          <w:b/>
          <w:bCs/>
        </w:rPr>
        <w:t xml:space="preserve"> </w:t>
      </w:r>
      <w:r>
        <w:t>Antagande av rådslutsatser.</w:t>
      </w:r>
    </w:p>
    <w:p w14:paraId="4ABCB317" w14:textId="2B899E8D" w:rsidR="00FA3A75" w:rsidRDefault="00DE6437">
      <w:pPr>
        <w:spacing w:after="280" w:afterAutospacing="1"/>
      </w:pPr>
      <w:r>
        <w:rPr>
          <w:b/>
          <w:bCs/>
        </w:rPr>
        <w:t>Hur regeringen ställer sig till den blivande A-punkten:</w:t>
      </w:r>
      <w:r w:rsidR="00222E32">
        <w:rPr>
          <w:b/>
          <w:bCs/>
        </w:rPr>
        <w:t xml:space="preserve"> </w:t>
      </w:r>
      <w:r w:rsidR="00EC0A6C" w:rsidRPr="00EC0A6C">
        <w:rPr>
          <w:bCs/>
        </w:rPr>
        <w:t xml:space="preserve">Regeringen avser </w:t>
      </w:r>
      <w:r w:rsidR="00EC0A6C">
        <w:rPr>
          <w:bCs/>
        </w:rPr>
        <w:t xml:space="preserve">att </w:t>
      </w:r>
      <w:r w:rsidR="00EC0A6C" w:rsidRPr="00EC0A6C">
        <w:rPr>
          <w:bCs/>
        </w:rPr>
        <w:t>rösta ja.</w:t>
      </w:r>
      <w:r w:rsidR="00EC0A6C">
        <w:rPr>
          <w:b/>
          <w:bCs/>
        </w:rPr>
        <w:t xml:space="preserve"> </w:t>
      </w:r>
    </w:p>
    <w:p w14:paraId="4ABCB319" w14:textId="3C1D335D" w:rsidR="00FB32B9" w:rsidRDefault="00DE6437" w:rsidP="00EC0A6C">
      <w:pPr>
        <w:spacing w:after="100" w:afterAutospacing="1"/>
        <w:rPr>
          <w:noProof/>
        </w:rPr>
      </w:pPr>
      <w:r>
        <w:rPr>
          <w:b/>
          <w:bCs/>
        </w:rPr>
        <w:t>Bakgrund:</w:t>
      </w:r>
      <w:r w:rsidR="00222E32">
        <w:rPr>
          <w:b/>
          <w:bCs/>
        </w:rPr>
        <w:t xml:space="preserve"> </w:t>
      </w:r>
      <w:r>
        <w:t>Sedan EU:s strategi för säkerhet och utveckling antogs 2011 har händelseutvecklingen i regionen varit förhållandevis dramatisk, centrerad kring kriserna i Mali. I mars 2014 antogs slutsatser som bland annat uppdrog åt EEAS att ta fram ett utkast till handlingsplan för strategins genomförande. FAC ska nu anta den regionala handlingsplanen för Sahel år 2015-2020. Strategin signalerar EU:s fortsatta engagemang i regionen för att bl.a. främja mänskliga rättigheter, demokratisk samhällsstyrning och rättsstaten. Att förbättra regional säkerhet genom att motverka terrorism, droghandel, radikalisering och våldsam extremism är fortlöpande EU:s målsättning i Sahel.</w:t>
      </w:r>
    </w:p>
    <w:p w14:paraId="4ABCB31A" w14:textId="77777777" w:rsidR="00643D86" w:rsidRDefault="00DE6437" w:rsidP="00643D86">
      <w:pPr>
        <w:pStyle w:val="Rubrik1"/>
      </w:pPr>
      <w:bookmarkStart w:id="24" w:name="_Toc416940273"/>
      <w:r>
        <w:rPr>
          <w:noProof/>
        </w:rPr>
        <w:t>(poss.) Draft Council conclusions on the Ninth Review Conference of the Parties to the Treaty on the Non-Proliferation of Nuclear Weapons</w:t>
      </w:r>
      <w:bookmarkEnd w:id="24"/>
    </w:p>
    <w:p w14:paraId="4ABCB31B" w14:textId="38F14E53" w:rsidR="00643D86" w:rsidRDefault="00DE6437" w:rsidP="00643D86">
      <w:pPr>
        <w:rPr>
          <w:lang w:val="en-US"/>
        </w:rPr>
      </w:pPr>
      <w:r>
        <w:rPr>
          <w:noProof/>
          <w:lang w:val="en-US"/>
        </w:rPr>
        <w:t>7803</w:t>
      </w:r>
      <w:r>
        <w:rPr>
          <w:lang w:val="en-US"/>
        </w:rPr>
        <w:t>/15 CONOP 27 CODUN 8 CFSP/PESC 23</w:t>
      </w:r>
      <w:r w:rsidR="00222E32">
        <w:rPr>
          <w:lang w:val="en-US"/>
        </w:rPr>
        <w:t xml:space="preserve"> </w:t>
      </w:r>
      <w:r>
        <w:rPr>
          <w:lang w:val="en-US"/>
        </w:rPr>
        <w:t>7276/15 CONOP 19 CODUN 7 CFSP/PESC 22</w:t>
      </w:r>
    </w:p>
    <w:p w14:paraId="4ABCB31C" w14:textId="77777777" w:rsidR="00643D86" w:rsidRDefault="00DE6437" w:rsidP="00643D86">
      <w:r>
        <w:rPr>
          <w:b/>
        </w:rPr>
        <w:t>Ansvarigt statsråd</w:t>
      </w:r>
      <w:r>
        <w:rPr>
          <w:b/>
        </w:rPr>
        <w:br/>
      </w:r>
      <w:r>
        <w:rPr>
          <w:noProof/>
        </w:rPr>
        <w:t>Margot Wallström</w:t>
      </w:r>
    </w:p>
    <w:p w14:paraId="4ABCB31F" w14:textId="77777777" w:rsidR="00643D86" w:rsidRDefault="00DE6437" w:rsidP="00643D86">
      <w:r w:rsidRPr="00B44CE2">
        <w:rPr>
          <w:b/>
        </w:rPr>
        <w:t>Annotering</w:t>
      </w:r>
      <w:r>
        <w:rPr>
          <w:b/>
        </w:rPr>
        <w:br/>
      </w:r>
      <w:r>
        <w:rPr>
          <w:b/>
          <w:bCs/>
        </w:rPr>
        <w:t>Avsikt med behandlingen i rådet:</w:t>
      </w:r>
      <w:r>
        <w:t xml:space="preserve"> Rådet föreslås godkänna rådsslutsatser inför översynskonferensen för icke-spridningsfördraget NPT. </w:t>
      </w:r>
    </w:p>
    <w:p w14:paraId="4ABCB320" w14:textId="77777777" w:rsidR="00FA3A75" w:rsidRDefault="00DE6437">
      <w:pPr>
        <w:spacing w:after="280" w:afterAutospacing="1"/>
      </w:pPr>
      <w:r>
        <w:rPr>
          <w:b/>
          <w:bCs/>
        </w:rPr>
        <w:t>Hur regeringen ställer sig till den blivande A-punkten:</w:t>
      </w:r>
      <w:r>
        <w:t xml:space="preserve"> Regeringen avser rösta ja till förslaget. </w:t>
      </w:r>
    </w:p>
    <w:p w14:paraId="4ABCB322" w14:textId="3AC74ADF" w:rsidR="00FB32B9" w:rsidRDefault="00DE6437">
      <w:pPr>
        <w:spacing w:after="280" w:afterAutospacing="1"/>
        <w:rPr>
          <w:noProof/>
        </w:rPr>
      </w:pPr>
      <w:r>
        <w:rPr>
          <w:b/>
          <w:bCs/>
        </w:rPr>
        <w:t xml:space="preserve">Bakgrund: </w:t>
      </w:r>
      <w:r>
        <w:t>Arbetet inom ramen för icke-spridningsfördraget NPT sker i femårscykler. Nuvarande cykel avslutas genom översynskonferensen i New York den 27 april-22 maj. Inför konferensen har rådsslutsatser utarbetats. Slutsatserna sammanfattar EU:s position vad gäller NPT:s tre pelare - kärnvapennedrustning, icke-spridning och fredlig användning av kärnenergi. Bland annat understryks vikten av genomförandet av NPT:s handlingsplan från 2010 med konkreta åtgärder inom alla tre pelarna.</w:t>
      </w:r>
    </w:p>
    <w:p w14:paraId="4ABCB323" w14:textId="77777777" w:rsidR="00643D86" w:rsidRDefault="00DE6437" w:rsidP="00643D86">
      <w:pPr>
        <w:pStyle w:val="Rubrik1"/>
      </w:pPr>
      <w:bookmarkStart w:id="25" w:name="_Toc416940274"/>
      <w:r>
        <w:rPr>
          <w:noProof/>
        </w:rPr>
        <w:t>(poss.) Draft Council conclusions on the Review of the European Neighbourhood Policy</w:t>
      </w:r>
      <w:bookmarkEnd w:id="25"/>
    </w:p>
    <w:p w14:paraId="4ABCB324" w14:textId="486B1ACE" w:rsidR="00643D86" w:rsidRDefault="00DE6437" w:rsidP="00643D86">
      <w:pPr>
        <w:rPr>
          <w:lang w:val="en-US"/>
        </w:rPr>
      </w:pPr>
      <w:r>
        <w:rPr>
          <w:noProof/>
          <w:lang w:val="en-US"/>
        </w:rPr>
        <w:t>7918</w:t>
      </w:r>
      <w:r>
        <w:rPr>
          <w:lang w:val="en-US"/>
        </w:rPr>
        <w:t>/15 MAMA 9 COEST 115 MED 13 CFSP/PESC 44</w:t>
      </w:r>
    </w:p>
    <w:p w14:paraId="4ABCB325" w14:textId="77777777" w:rsidR="00643D86" w:rsidRDefault="00DE6437" w:rsidP="00643D86">
      <w:r>
        <w:rPr>
          <w:b/>
        </w:rPr>
        <w:t>Ansvarigt statsråd</w:t>
      </w:r>
      <w:r>
        <w:rPr>
          <w:b/>
        </w:rPr>
        <w:br/>
      </w:r>
      <w:r>
        <w:rPr>
          <w:noProof/>
        </w:rPr>
        <w:t>Margot Wallström</w:t>
      </w:r>
    </w:p>
    <w:p w14:paraId="4ABCB32A" w14:textId="26E3C275" w:rsidR="00FA3A75" w:rsidRDefault="00DE6437" w:rsidP="00222E32">
      <w:r w:rsidRPr="00B44CE2">
        <w:rPr>
          <w:b/>
        </w:rPr>
        <w:t>Annotering</w:t>
      </w:r>
      <w:r>
        <w:rPr>
          <w:b/>
        </w:rPr>
        <w:br/>
      </w:r>
      <w:r>
        <w:rPr>
          <w:b/>
          <w:bCs/>
        </w:rPr>
        <w:t>Avsikt med behandlingen i rådet:</w:t>
      </w:r>
      <w:r>
        <w:t xml:space="preserve"> Rådet föreslås godkänna rådets slutsatser om översynen av ENP.</w:t>
      </w:r>
    </w:p>
    <w:p w14:paraId="4ABCB32C" w14:textId="13AA3FD3" w:rsidR="00FA3A75" w:rsidRDefault="00DE6437">
      <w:pPr>
        <w:spacing w:after="280" w:afterAutospacing="1"/>
      </w:pPr>
      <w:r>
        <w:rPr>
          <w:b/>
          <w:bCs/>
        </w:rPr>
        <w:t>Hur regeringen ställer sig till den blivande A-punkten:</w:t>
      </w:r>
      <w:r>
        <w:t xml:space="preserve"> Regeringen ställer sig bakom förslaget. </w:t>
      </w:r>
    </w:p>
    <w:p w14:paraId="4ABCB32F" w14:textId="2F723063" w:rsidR="00FB32B9" w:rsidRDefault="00DE6437">
      <w:pPr>
        <w:spacing w:after="280" w:afterAutospacing="1"/>
        <w:rPr>
          <w:noProof/>
        </w:rPr>
      </w:pPr>
      <w:r>
        <w:rPr>
          <w:b/>
          <w:bCs/>
        </w:rPr>
        <w:t xml:space="preserve">Bakgrund: </w:t>
      </w:r>
      <w:r>
        <w:t>Meddelandet från Kommissionen och HR/VP Mogherini ”Towards a new European Neighbourhood Policy” publicerades den 4 mars. Därefter inleddes breda konsultationer om en reform av EU:s grannskapspolitik, som väntas resultera i ett nytt meddelande med konkreta förslag hösten 2015. Rådsslutsatserna om översynen syftar till att ange vissa ramar för densamma och markera rådets intresse och ägarskap. Slutsatserna framhåller bl.a. vikten av att grannskapspolitiken även fortsatt är baserad på EU:s värderingar och välkomna ambitionen att särskilt prioritera områdena differentiering, fokus, flexibilitet samt ägarskap och visibilitet.</w:t>
      </w:r>
    </w:p>
    <w:p w14:paraId="4ABCB330" w14:textId="77777777" w:rsidR="00643D86" w:rsidRDefault="00DE6437" w:rsidP="00643D86">
      <w:pPr>
        <w:pStyle w:val="Rubrik1"/>
      </w:pPr>
      <w:bookmarkStart w:id="26" w:name="_Toc416940275"/>
      <w:r>
        <w:rPr>
          <w:noProof/>
        </w:rPr>
        <w:t>Exercise Specifications (EXSPEC) for the EU Crisis Management Military Exercise in 2015 (MILEX 15)</w:t>
      </w:r>
      <w:bookmarkEnd w:id="26"/>
    </w:p>
    <w:p w14:paraId="4ABCB331" w14:textId="6CB1AE5B" w:rsidR="00643D86" w:rsidRDefault="00DE6437" w:rsidP="00643D86">
      <w:pPr>
        <w:rPr>
          <w:lang w:val="en-US"/>
        </w:rPr>
      </w:pPr>
      <w:r>
        <w:rPr>
          <w:noProof/>
          <w:lang w:val="en-US"/>
        </w:rPr>
        <w:t>7283</w:t>
      </w:r>
      <w:r>
        <w:rPr>
          <w:lang w:val="en-US"/>
        </w:rPr>
        <w:t>/15 COPS 78 CSDP/PSDC 147</w:t>
      </w:r>
      <w:r w:rsidR="00222E32">
        <w:rPr>
          <w:lang w:val="en-US"/>
        </w:rPr>
        <w:t xml:space="preserve"> </w:t>
      </w:r>
      <w:r>
        <w:rPr>
          <w:lang w:val="en-US"/>
        </w:rPr>
        <w:t>7280/15 COPS 77 CSDP/PSDC 146</w:t>
      </w:r>
    </w:p>
    <w:p w14:paraId="4ABCB332" w14:textId="77777777" w:rsidR="00643D86" w:rsidRDefault="00DE6437" w:rsidP="00643D86">
      <w:r>
        <w:rPr>
          <w:b/>
        </w:rPr>
        <w:t>Ansvarigt statsråd</w:t>
      </w:r>
      <w:r>
        <w:rPr>
          <w:b/>
        </w:rPr>
        <w:br/>
      </w:r>
      <w:r>
        <w:rPr>
          <w:noProof/>
        </w:rPr>
        <w:t>Peter Hultqvist</w:t>
      </w:r>
    </w:p>
    <w:p w14:paraId="4ABCB335" w14:textId="77777777" w:rsidR="00643D86" w:rsidRDefault="00DE6437" w:rsidP="00643D86">
      <w:r w:rsidRPr="00B44CE2">
        <w:rPr>
          <w:b/>
        </w:rPr>
        <w:t>Annotering</w:t>
      </w:r>
      <w:r>
        <w:rPr>
          <w:b/>
        </w:rPr>
        <w:br/>
      </w:r>
      <w:r>
        <w:t xml:space="preserve">Den 6 mars godkände EU:s militära kommitté utkastet till övningsspecifikationerna (EXSPEC) för EU:s militära krishanteringsövning 2015 (Milex 15) och beslöt att vidarebefordra den till KUSP för notering, vilken godkändes den 17 mars. Rådet bjuds nu in att godkänna övningsspecifikationerna. </w:t>
      </w:r>
    </w:p>
    <w:p w14:paraId="4ABCB336" w14:textId="77777777" w:rsidR="00643D86" w:rsidRDefault="00DE6437" w:rsidP="00643D86">
      <w:pPr>
        <w:pStyle w:val="Rubrik1"/>
      </w:pPr>
      <w:bookmarkStart w:id="27" w:name="_Toc416940276"/>
      <w:r>
        <w:rPr>
          <w:noProof/>
        </w:rPr>
        <w:t>Draft Crisis Management Concept (CMC) for the EUSEC RDC Micro-Mission in the Democratic Republic of Congo</w:t>
      </w:r>
      <w:bookmarkEnd w:id="27"/>
    </w:p>
    <w:p w14:paraId="4ABCB337" w14:textId="193ED9B1" w:rsidR="00643D86" w:rsidRDefault="00DE6437" w:rsidP="00643D86">
      <w:pPr>
        <w:rPr>
          <w:lang w:val="en-US"/>
        </w:rPr>
      </w:pPr>
      <w:r>
        <w:rPr>
          <w:noProof/>
          <w:lang w:val="en-US"/>
        </w:rPr>
        <w:t>7814</w:t>
      </w:r>
      <w:r>
        <w:rPr>
          <w:lang w:val="en-US"/>
        </w:rPr>
        <w:t>/15 COPS 101 CSDP/PSDC 196 CFSP/PESC 28 POLMIL 37 COAFR 130</w:t>
      </w:r>
      <w:r w:rsidR="00222E32">
        <w:rPr>
          <w:lang w:val="en-US"/>
        </w:rPr>
        <w:br/>
      </w:r>
      <w:r>
        <w:rPr>
          <w:lang w:val="en-US"/>
        </w:rPr>
        <w:t>7809/15 COPS 100 CSDP/PSDC 195 CFSP/PESC 25 POLMIL 36 COAFR 129</w:t>
      </w:r>
    </w:p>
    <w:p w14:paraId="4ABCB338" w14:textId="1DEF7AAD" w:rsidR="00643D86" w:rsidRPr="00EC0A6C" w:rsidRDefault="00DE6437" w:rsidP="00643D86">
      <w:r>
        <w:rPr>
          <w:b/>
        </w:rPr>
        <w:t>Ansvarigt statsråd</w:t>
      </w:r>
      <w:r w:rsidR="00CC5890">
        <w:rPr>
          <w:b/>
        </w:rPr>
        <w:t>:</w:t>
      </w:r>
      <w:r w:rsidR="00CC5890">
        <w:rPr>
          <w:b/>
        </w:rPr>
        <w:br/>
      </w:r>
      <w:r w:rsidR="00EC0A6C" w:rsidRPr="00EC0A6C">
        <w:t>Margot Wallström</w:t>
      </w:r>
    </w:p>
    <w:p w14:paraId="4ABCB33C" w14:textId="39F025EA" w:rsidR="00FA3A75" w:rsidRDefault="00DE6437" w:rsidP="00222E32">
      <w:r w:rsidRPr="00B44CE2">
        <w:rPr>
          <w:b/>
        </w:rPr>
        <w:t>Annotering</w:t>
      </w:r>
      <w:r>
        <w:rPr>
          <w:b/>
        </w:rPr>
        <w:br/>
      </w:r>
      <w:r>
        <w:rPr>
          <w:b/>
          <w:bCs/>
        </w:rPr>
        <w:t>Avsikt med behandlingen i rådet:</w:t>
      </w:r>
      <w:r>
        <w:t xml:space="preserve"> Att rådet antar krishanteringskonceptet för EUSEC RDC (Demokratiska Republiken Kongo). </w:t>
      </w:r>
    </w:p>
    <w:p w14:paraId="4ABCB33D" w14:textId="2252A289" w:rsidR="00FA3A75" w:rsidRDefault="00DE6437" w:rsidP="00EC0A6C">
      <w:pPr>
        <w:spacing w:after="100" w:afterAutospacing="1"/>
      </w:pPr>
      <w:r>
        <w:rPr>
          <w:b/>
          <w:bCs/>
        </w:rPr>
        <w:t>Hur regeringen ställer sig till den blivande A-punkten:</w:t>
      </w:r>
      <w:r>
        <w:t xml:space="preserve"> Regeringen </w:t>
      </w:r>
      <w:r w:rsidR="00EC0A6C">
        <w:t xml:space="preserve">avser att rösta ja. </w:t>
      </w:r>
    </w:p>
    <w:p w14:paraId="4ABCB340" w14:textId="573228A7" w:rsidR="00643D86" w:rsidRPr="00EC0A6C" w:rsidRDefault="00DE6437" w:rsidP="00EC0A6C">
      <w:pPr>
        <w:spacing w:after="100" w:afterAutospacing="1"/>
      </w:pPr>
      <w:r>
        <w:rPr>
          <w:b/>
          <w:bCs/>
        </w:rPr>
        <w:t xml:space="preserve">Bakgrund: </w:t>
      </w:r>
      <w:r>
        <w:t xml:space="preserve">EUSEC DRC bildades 2005 med uppgiften att bidra till en reform av Demokratiska Republiken Kongos armé. Att öka medvetande om mänskliga rättigheter inom armén är en del av insatsens uppgifter. Insatsen planeras upphöra helt den 30 juni 2016. Det aktuella beslutet avser en begränsad insats under det sista verksamhetåret. En viktig i uppgift för EUSEC DRC blir att överföra insatsens uppgifter till myndigheter i Demokartiska Republiken Kongo och internationella aktörer. </w:t>
      </w:r>
      <w:bookmarkEnd w:id="1"/>
    </w:p>
    <w:sectPr w:rsidR="00643D86" w:rsidRPr="00EC0A6C"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414B5" w14:textId="77777777" w:rsidR="009E12FC" w:rsidRDefault="009E12FC">
      <w:pPr>
        <w:spacing w:after="0" w:line="240" w:lineRule="auto"/>
      </w:pPr>
      <w:r>
        <w:separator/>
      </w:r>
    </w:p>
  </w:endnote>
  <w:endnote w:type="continuationSeparator" w:id="0">
    <w:p w14:paraId="4EF32FBA" w14:textId="77777777" w:rsidR="009E12FC" w:rsidRDefault="009E1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909C1" w14:textId="77777777" w:rsidR="009E12FC" w:rsidRDefault="009E12FC">
      <w:pPr>
        <w:spacing w:after="0" w:line="240" w:lineRule="auto"/>
      </w:pPr>
      <w:r>
        <w:separator/>
      </w:r>
    </w:p>
  </w:footnote>
  <w:footnote w:type="continuationSeparator" w:id="0">
    <w:p w14:paraId="748C15D7" w14:textId="77777777" w:rsidR="009E12FC" w:rsidRDefault="009E12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002356"/>
      <w:docPartObj>
        <w:docPartGallery w:val="Page Numbers (Top of Page)"/>
        <w:docPartUnique/>
      </w:docPartObj>
    </w:sdtPr>
    <w:sdtEndPr/>
    <w:sdtContent>
      <w:p w14:paraId="57D1BCB0" w14:textId="591FA30F" w:rsidR="00684887" w:rsidRDefault="00684887">
        <w:pPr>
          <w:pStyle w:val="Sidhuvud"/>
          <w:jc w:val="right"/>
        </w:pPr>
        <w:r>
          <w:fldChar w:fldCharType="begin"/>
        </w:r>
        <w:r>
          <w:instrText>PAGE   \* MERGEFORMAT</w:instrText>
        </w:r>
        <w:r>
          <w:fldChar w:fldCharType="separate"/>
        </w:r>
        <w:r w:rsidR="00DB68E8">
          <w:rPr>
            <w:noProof/>
          </w:rPr>
          <w:t>2</w:t>
        </w:r>
        <w:r>
          <w:fldChar w:fldCharType="end"/>
        </w:r>
      </w:p>
    </w:sdtContent>
  </w:sdt>
  <w:p w14:paraId="4ABCB342" w14:textId="77777777" w:rsidR="006F1C0D" w:rsidRDefault="00DB68E8"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A3A75" w14:paraId="4ABCB348" w14:textId="77777777" w:rsidTr="006E71D7">
      <w:tc>
        <w:tcPr>
          <w:tcW w:w="4606" w:type="dxa"/>
        </w:tcPr>
        <w:p w14:paraId="4ABCB343" w14:textId="77777777" w:rsidR="006E71D7" w:rsidRDefault="00DE6437" w:rsidP="00752770">
          <w:pPr>
            <w:pStyle w:val="Sidhuvud"/>
            <w:ind w:left="0"/>
          </w:pPr>
          <w:r>
            <w:rPr>
              <w:noProof/>
              <w:lang w:eastAsia="sv-SE"/>
            </w:rPr>
            <w:drawing>
              <wp:inline distT="0" distB="0" distL="0" distR="0" wp14:anchorId="4ABCB34E" wp14:editId="4ABCB34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ABCB344" w14:textId="77777777" w:rsidR="00FB32B9" w:rsidRDefault="00DB68E8" w:rsidP="00FB32B9">
          <w:pPr>
            <w:ind w:right="916"/>
            <w:rPr>
              <w:rFonts w:ascii="TradeGothic" w:hAnsi="TradeGothic"/>
              <w:b/>
            </w:rPr>
          </w:pPr>
        </w:p>
        <w:p w14:paraId="4ABCB345" w14:textId="77777777" w:rsidR="00FB32B9" w:rsidRDefault="00DE6437" w:rsidP="00FB32B9">
          <w:pPr>
            <w:ind w:right="916"/>
          </w:pPr>
          <w:r>
            <w:rPr>
              <w:rFonts w:ascii="TradeGothic" w:hAnsi="TradeGothic"/>
              <w:b/>
            </w:rPr>
            <w:t>Promemoria</w:t>
          </w:r>
        </w:p>
        <w:p w14:paraId="4ABCB346" w14:textId="77777777" w:rsidR="00FB32B9" w:rsidRDefault="00DB68E8" w:rsidP="00FB32B9">
          <w:pPr>
            <w:jc w:val="right"/>
          </w:pPr>
        </w:p>
        <w:p w14:paraId="4ABCB347" w14:textId="77777777" w:rsidR="006E71D7" w:rsidRDefault="00DE6437" w:rsidP="00FB32B9">
          <w:pPr>
            <w:ind w:right="916"/>
          </w:pPr>
          <w:r>
            <w:rPr>
              <w:rFonts w:ascii="TradeGothic" w:hAnsi="TradeGothic"/>
              <w:b/>
              <w:noProof/>
            </w:rPr>
            <w:t>2015-04-16</w:t>
          </w:r>
          <w:r w:rsidRPr="00934953">
            <w:t xml:space="preserve"> </w:t>
          </w:r>
        </w:p>
      </w:tc>
    </w:tr>
  </w:tbl>
  <w:p w14:paraId="4ABCB349" w14:textId="77777777" w:rsidR="00FB32B9" w:rsidRDefault="00DB68E8" w:rsidP="00FB32B9">
    <w:pPr>
      <w:pStyle w:val="Avsndare"/>
      <w:framePr w:w="0" w:hRule="auto" w:hSpace="0" w:wrap="auto" w:vAnchor="margin" w:hAnchor="text" w:xAlign="left" w:yAlign="inline"/>
      <w:rPr>
        <w:b/>
        <w:i w:val="0"/>
        <w:sz w:val="22"/>
      </w:rPr>
    </w:pPr>
  </w:p>
  <w:p w14:paraId="4ABCB34A" w14:textId="77777777" w:rsidR="00FB32B9" w:rsidRDefault="00DE6437" w:rsidP="00FB32B9">
    <w:pPr>
      <w:pStyle w:val="Avsndare"/>
      <w:framePr w:w="0" w:hRule="auto" w:hSpace="0" w:wrap="auto" w:vAnchor="margin" w:hAnchor="text" w:xAlign="left" w:yAlign="inline"/>
      <w:rPr>
        <w:b/>
        <w:i w:val="0"/>
        <w:sz w:val="22"/>
      </w:rPr>
    </w:pPr>
    <w:r>
      <w:rPr>
        <w:b/>
        <w:i w:val="0"/>
        <w:sz w:val="22"/>
      </w:rPr>
      <w:t>Statsrådsberedningen</w:t>
    </w:r>
  </w:p>
  <w:p w14:paraId="4ABCB34B" w14:textId="77777777" w:rsidR="00FB32B9" w:rsidRDefault="00DB68E8" w:rsidP="00FB32B9">
    <w:pPr>
      <w:pStyle w:val="Avsndare"/>
      <w:framePr w:w="0" w:hRule="auto" w:hSpace="0" w:wrap="auto" w:vAnchor="margin" w:hAnchor="text" w:xAlign="left" w:yAlign="inline"/>
    </w:pPr>
  </w:p>
  <w:p w14:paraId="4ABCB34C" w14:textId="77777777" w:rsidR="00FB32B9" w:rsidRDefault="00DE6437" w:rsidP="00FB32B9">
    <w:pPr>
      <w:pStyle w:val="Avsndare"/>
      <w:framePr w:w="0" w:hRule="auto" w:hSpace="0" w:wrap="auto" w:vAnchor="margin" w:hAnchor="text" w:xAlign="left" w:yAlign="inline"/>
    </w:pPr>
    <w:r>
      <w:t>EU-kansliet</w:t>
    </w:r>
  </w:p>
  <w:p w14:paraId="4ABCB34D" w14:textId="77777777" w:rsidR="0012376B" w:rsidRDefault="00DB68E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21C1"/>
    <w:multiLevelType w:val="hybridMultilevel"/>
    <w:tmpl w:val="C24A31FE"/>
    <w:lvl w:ilvl="0" w:tplc="48C2CC4A">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70A28DC0">
      <w:start w:val="1"/>
      <w:numFmt w:val="decimal"/>
      <w:pStyle w:val="Rubrik1"/>
      <w:lvlText w:val="%1."/>
      <w:lvlJc w:val="left"/>
      <w:pPr>
        <w:ind w:left="720" w:hanging="360"/>
      </w:pPr>
    </w:lvl>
    <w:lvl w:ilvl="1" w:tplc="7A72F126" w:tentative="1">
      <w:start w:val="1"/>
      <w:numFmt w:val="lowerLetter"/>
      <w:lvlText w:val="%2."/>
      <w:lvlJc w:val="left"/>
      <w:pPr>
        <w:ind w:left="1440" w:hanging="360"/>
      </w:pPr>
    </w:lvl>
    <w:lvl w:ilvl="2" w:tplc="002860C8" w:tentative="1">
      <w:start w:val="1"/>
      <w:numFmt w:val="lowerRoman"/>
      <w:lvlText w:val="%3."/>
      <w:lvlJc w:val="right"/>
      <w:pPr>
        <w:ind w:left="2160" w:hanging="180"/>
      </w:pPr>
    </w:lvl>
    <w:lvl w:ilvl="3" w:tplc="338A9FD8" w:tentative="1">
      <w:start w:val="1"/>
      <w:numFmt w:val="decimal"/>
      <w:lvlText w:val="%4."/>
      <w:lvlJc w:val="left"/>
      <w:pPr>
        <w:ind w:left="2880" w:hanging="360"/>
      </w:pPr>
    </w:lvl>
    <w:lvl w:ilvl="4" w:tplc="D3F87758" w:tentative="1">
      <w:start w:val="1"/>
      <w:numFmt w:val="lowerLetter"/>
      <w:lvlText w:val="%5."/>
      <w:lvlJc w:val="left"/>
      <w:pPr>
        <w:ind w:left="3600" w:hanging="360"/>
      </w:pPr>
    </w:lvl>
    <w:lvl w:ilvl="5" w:tplc="FC7A622A" w:tentative="1">
      <w:start w:val="1"/>
      <w:numFmt w:val="lowerRoman"/>
      <w:lvlText w:val="%6."/>
      <w:lvlJc w:val="right"/>
      <w:pPr>
        <w:ind w:left="4320" w:hanging="180"/>
      </w:pPr>
    </w:lvl>
    <w:lvl w:ilvl="6" w:tplc="845E6E16" w:tentative="1">
      <w:start w:val="1"/>
      <w:numFmt w:val="decimal"/>
      <w:lvlText w:val="%7."/>
      <w:lvlJc w:val="left"/>
      <w:pPr>
        <w:ind w:left="5040" w:hanging="360"/>
      </w:pPr>
    </w:lvl>
    <w:lvl w:ilvl="7" w:tplc="C32AD5C0" w:tentative="1">
      <w:start w:val="1"/>
      <w:numFmt w:val="lowerLetter"/>
      <w:lvlText w:val="%8."/>
      <w:lvlJc w:val="left"/>
      <w:pPr>
        <w:ind w:left="5760" w:hanging="360"/>
      </w:pPr>
    </w:lvl>
    <w:lvl w:ilvl="8" w:tplc="A5F6809E" w:tentative="1">
      <w:start w:val="1"/>
      <w:numFmt w:val="lowerRoman"/>
      <w:lvlText w:val="%9."/>
      <w:lvlJc w:val="right"/>
      <w:pPr>
        <w:ind w:left="6480" w:hanging="180"/>
      </w:pPr>
    </w:lvl>
  </w:abstractNum>
  <w:abstractNum w:abstractNumId="2">
    <w:nsid w:val="6FBE08B2"/>
    <w:multiLevelType w:val="hybridMultilevel"/>
    <w:tmpl w:val="DEDE655C"/>
    <w:lvl w:ilvl="0" w:tplc="4C2EEB1A">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3">
    <w:nsid w:val="73990993"/>
    <w:multiLevelType w:val="hybridMultilevel"/>
    <w:tmpl w:val="3BD822EE"/>
    <w:lvl w:ilvl="0" w:tplc="DB8C3074">
      <w:start w:val="1"/>
      <w:numFmt w:val="decimal"/>
      <w:lvlText w:val="%1."/>
      <w:lvlJc w:val="left"/>
      <w:pPr>
        <w:ind w:left="360" w:hanging="360"/>
      </w:pPr>
      <w:rPr>
        <w:b w:val="0"/>
      </w:rPr>
    </w:lvl>
    <w:lvl w:ilvl="1" w:tplc="201892E0" w:tentative="1">
      <w:start w:val="1"/>
      <w:numFmt w:val="lowerLetter"/>
      <w:lvlText w:val="%2."/>
      <w:lvlJc w:val="left"/>
      <w:pPr>
        <w:ind w:left="1080" w:hanging="360"/>
      </w:pPr>
    </w:lvl>
    <w:lvl w:ilvl="2" w:tplc="11C40176" w:tentative="1">
      <w:start w:val="1"/>
      <w:numFmt w:val="lowerRoman"/>
      <w:lvlText w:val="%3."/>
      <w:lvlJc w:val="right"/>
      <w:pPr>
        <w:ind w:left="1800" w:hanging="180"/>
      </w:pPr>
    </w:lvl>
    <w:lvl w:ilvl="3" w:tplc="535A3212" w:tentative="1">
      <w:start w:val="1"/>
      <w:numFmt w:val="decimal"/>
      <w:lvlText w:val="%4."/>
      <w:lvlJc w:val="left"/>
      <w:pPr>
        <w:ind w:left="2520" w:hanging="360"/>
      </w:pPr>
    </w:lvl>
    <w:lvl w:ilvl="4" w:tplc="28B2A57E" w:tentative="1">
      <w:start w:val="1"/>
      <w:numFmt w:val="lowerLetter"/>
      <w:lvlText w:val="%5."/>
      <w:lvlJc w:val="left"/>
      <w:pPr>
        <w:ind w:left="3240" w:hanging="360"/>
      </w:pPr>
    </w:lvl>
    <w:lvl w:ilvl="5" w:tplc="4B92B582" w:tentative="1">
      <w:start w:val="1"/>
      <w:numFmt w:val="lowerRoman"/>
      <w:lvlText w:val="%6."/>
      <w:lvlJc w:val="right"/>
      <w:pPr>
        <w:ind w:left="3960" w:hanging="180"/>
      </w:pPr>
    </w:lvl>
    <w:lvl w:ilvl="6" w:tplc="BBD42C10" w:tentative="1">
      <w:start w:val="1"/>
      <w:numFmt w:val="decimal"/>
      <w:lvlText w:val="%7."/>
      <w:lvlJc w:val="left"/>
      <w:pPr>
        <w:ind w:left="4680" w:hanging="360"/>
      </w:pPr>
    </w:lvl>
    <w:lvl w:ilvl="7" w:tplc="A87052B6" w:tentative="1">
      <w:start w:val="1"/>
      <w:numFmt w:val="lowerLetter"/>
      <w:lvlText w:val="%8."/>
      <w:lvlJc w:val="left"/>
      <w:pPr>
        <w:ind w:left="5400" w:hanging="360"/>
      </w:pPr>
    </w:lvl>
    <w:lvl w:ilvl="8" w:tplc="66CE854E"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75"/>
    <w:rsid w:val="00222E32"/>
    <w:rsid w:val="00406664"/>
    <w:rsid w:val="004103CE"/>
    <w:rsid w:val="004F63C3"/>
    <w:rsid w:val="00682152"/>
    <w:rsid w:val="00684887"/>
    <w:rsid w:val="00733C4B"/>
    <w:rsid w:val="00750805"/>
    <w:rsid w:val="009E12FC"/>
    <w:rsid w:val="00A97E86"/>
    <w:rsid w:val="00B56BD0"/>
    <w:rsid w:val="00B873D5"/>
    <w:rsid w:val="00CC5890"/>
    <w:rsid w:val="00DB68E8"/>
    <w:rsid w:val="00DE6437"/>
    <w:rsid w:val="00EC0A6C"/>
    <w:rsid w:val="00FA3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B1FB"/>
  <w15:docId w15:val="{33718FD4-2C7A-4C77-9F82-B3FB880C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684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JE6N4JFJXNNF-9-67531</_dlc_DocId>
    <_dlc_DocIdUrl xmlns="8b66ae41-1ec6-402e-b662-35d1932ca064">
      <Url>http://rkdhs-sb/enhet/EUKansli/_layouts/DocIdRedir.aspx?ID=JE6N4JFJXNNF-9-67531</Url>
      <Description>JE6N4JFJXNNF-9-67531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34D6D-9AA8-407B-81D3-07759158C659}">
  <ds:schemaRefs>
    <ds:schemaRef ds:uri="http://purl.org/dc/elements/1.1/"/>
    <ds:schemaRef ds:uri="http://schemas.microsoft.com/office/2006/metadata/properties"/>
    <ds:schemaRef ds:uri="e4c0beb7-0294-4d25-9600-346807c0961e"/>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AAD3C7-65C0-49C4-9DF8-CEA3B573BCFA}">
  <ds:schemaRefs>
    <ds:schemaRef ds:uri="http://schemas.microsoft.com/sharepoint/v3/contenttype/forms"/>
  </ds:schemaRefs>
</ds:datastoreItem>
</file>

<file path=customXml/itemProps3.xml><?xml version="1.0" encoding="utf-8"?>
<ds:datastoreItem xmlns:ds="http://schemas.openxmlformats.org/officeDocument/2006/customXml" ds:itemID="{5B176740-30D7-4699-82EA-676669503978}">
  <ds:schemaRefs>
    <ds:schemaRef ds:uri="http://schemas.microsoft.com/sharepoint/v3/contenttype/forms/url"/>
  </ds:schemaRefs>
</ds:datastoreItem>
</file>

<file path=customXml/itemProps4.xml><?xml version="1.0" encoding="utf-8"?>
<ds:datastoreItem xmlns:ds="http://schemas.openxmlformats.org/officeDocument/2006/customXml" ds:itemID="{69400BFA-A48F-4779-B911-18B7B554B015}">
  <ds:schemaRefs>
    <ds:schemaRef ds:uri="http://schemas.microsoft.com/office/2006/metadata/customXsn"/>
  </ds:schemaRefs>
</ds:datastoreItem>
</file>

<file path=customXml/itemProps5.xml><?xml version="1.0" encoding="utf-8"?>
<ds:datastoreItem xmlns:ds="http://schemas.openxmlformats.org/officeDocument/2006/customXml" ds:itemID="{200F4CBD-31AF-4370-85B1-18E2C9B0C347}">
  <ds:schemaRefs>
    <ds:schemaRef ds:uri="http://schemas.microsoft.com/sharepoint/events"/>
  </ds:schemaRefs>
</ds:datastoreItem>
</file>

<file path=customXml/itemProps6.xml><?xml version="1.0" encoding="utf-8"?>
<ds:datastoreItem xmlns:ds="http://schemas.openxmlformats.org/officeDocument/2006/customXml" ds:itemID="{53A86E15-5DE2-4169-8E8E-30659C8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CA9515-3BA0-4591-92B6-70622840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6949</Words>
  <Characters>36834</Characters>
  <Application>Microsoft Office Word</Application>
  <DocSecurity>4</DocSecurity>
  <Lines>306</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2015-04-16T12:44:00Z</dcterms:created>
  <dcterms:modified xsi:type="dcterms:W3CDTF">2015-04-16T12:44:00Z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c013a677-958e-4dec-9bae-625728d0f4e9</vt:lpwstr>
  </property>
</Properties>
</file>