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 xml:space="preserve">nkomna EU-dokument </w:t>
      </w:r>
      <w:r w:rsidR="006E7709">
        <w:t>26 augusti</w:t>
      </w:r>
      <w:r w:rsidR="005670C5">
        <w:t xml:space="preserve"> – </w:t>
      </w:r>
      <w:r w:rsidR="008D02E0">
        <w:t>6</w:t>
      </w:r>
      <w:r w:rsidR="006E7709">
        <w:t xml:space="preserve"> oktober</w:t>
      </w:r>
      <w:r w:rsidR="005670C5">
        <w:t xml:space="preserve"> </w:t>
      </w:r>
      <w:r w:rsidR="006E7709">
        <w:t>2014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FD5DC2" w:rsidTr="00EA4398">
        <w:tc>
          <w:tcPr>
            <w:tcW w:w="1413" w:type="dxa"/>
          </w:tcPr>
          <w:p w:rsidR="005670C5" w:rsidRPr="009B0AD7" w:rsidRDefault="006E7709" w:rsidP="00EA4398">
            <w:r>
              <w:t>2014-08-28</w:t>
            </w:r>
          </w:p>
        </w:tc>
        <w:tc>
          <w:tcPr>
            <w:tcW w:w="1701" w:type="dxa"/>
          </w:tcPr>
          <w:p w:rsidR="005670C5" w:rsidRPr="009B0AD7" w:rsidRDefault="006E7709" w:rsidP="00EA4398">
            <w:pPr>
              <w:spacing w:after="0" w:line="240" w:lineRule="auto"/>
            </w:pPr>
            <w:r w:rsidRPr="006E7709">
              <w:t>K(2014) 6224</w:t>
            </w:r>
          </w:p>
        </w:tc>
        <w:tc>
          <w:tcPr>
            <w:tcW w:w="3827" w:type="dxa"/>
          </w:tcPr>
          <w:p w:rsidR="008820A9" w:rsidRPr="009B0AD7" w:rsidRDefault="00236D92" w:rsidP="00EA4398">
            <w:pPr>
              <w:spacing w:after="0" w:line="240" w:lineRule="auto"/>
            </w:pPr>
            <w:hyperlink r:id="rId8" w:history="1">
              <w:r w:rsidR="006E7709" w:rsidRPr="00D10D91">
                <w:rPr>
                  <w:rStyle w:val="Hyperlnk"/>
                </w:rPr>
                <w:t>Kommissionens svar på utlåtande 2013/14:JuU41 EU:s agenda för rättsliga frågor till 2020 – Att stärka förtroendet, rörligheten och tillväxten inom EU</w:t>
              </w:r>
            </w:hyperlink>
          </w:p>
        </w:tc>
        <w:tc>
          <w:tcPr>
            <w:tcW w:w="2829" w:type="dxa"/>
          </w:tcPr>
          <w:p w:rsidR="005670C5" w:rsidRPr="009B0AD7" w:rsidRDefault="005670C5" w:rsidP="00EA4398"/>
        </w:tc>
      </w:tr>
      <w:tr w:rsidR="009B0AD7" w:rsidRPr="00D5085C" w:rsidTr="00EA4398">
        <w:tc>
          <w:tcPr>
            <w:tcW w:w="1413" w:type="dxa"/>
          </w:tcPr>
          <w:p w:rsidR="005670C5" w:rsidRPr="009B0AD7" w:rsidRDefault="00636B2C" w:rsidP="00EA4398">
            <w:r>
              <w:t>2014-09-05</w:t>
            </w:r>
          </w:p>
        </w:tc>
        <w:tc>
          <w:tcPr>
            <w:tcW w:w="1701" w:type="dxa"/>
          </w:tcPr>
          <w:p w:rsidR="005670C5" w:rsidRPr="009B0AD7" w:rsidRDefault="00636B2C" w:rsidP="00EA4398">
            <w:r w:rsidRPr="00636B2C">
              <w:t>KOM(2014) 550</w:t>
            </w:r>
          </w:p>
        </w:tc>
        <w:tc>
          <w:tcPr>
            <w:tcW w:w="3827" w:type="dxa"/>
          </w:tcPr>
          <w:p w:rsidR="005670C5" w:rsidRPr="00B3254E" w:rsidRDefault="00236D92" w:rsidP="00EA4398">
            <w:hyperlink r:id="rId9" w:history="1">
              <w:r w:rsidR="00B3254E" w:rsidRPr="00B3254E">
                <w:rPr>
                  <w:rStyle w:val="Hyperlnk"/>
                </w:rPr>
                <w:t>Rapport från kommissionen till Europaparlamentet och rådet om genomförandet och resultaten av Periklesprogrammet för skydd av euron mot förfalskning 2006–2013</w:t>
              </w:r>
            </w:hyperlink>
          </w:p>
        </w:tc>
        <w:tc>
          <w:tcPr>
            <w:tcW w:w="2829" w:type="dxa"/>
          </w:tcPr>
          <w:p w:rsidR="005670C5" w:rsidRPr="00B3254E" w:rsidRDefault="005670C5" w:rsidP="00EA4398"/>
        </w:tc>
      </w:tr>
      <w:tr w:rsidR="00636B2C" w:rsidRPr="00636B2C" w:rsidTr="00EA4398">
        <w:tc>
          <w:tcPr>
            <w:tcW w:w="1413" w:type="dxa"/>
          </w:tcPr>
          <w:p w:rsidR="00636B2C" w:rsidRPr="00636B2C" w:rsidRDefault="00636B2C" w:rsidP="00EA4398">
            <w:pPr>
              <w:rPr>
                <w:lang w:val="en-US"/>
              </w:rPr>
            </w:pPr>
            <w:r>
              <w:rPr>
                <w:lang w:val="en-US"/>
              </w:rPr>
              <w:t>2014-09-05</w:t>
            </w:r>
          </w:p>
        </w:tc>
        <w:tc>
          <w:tcPr>
            <w:tcW w:w="1701" w:type="dxa"/>
          </w:tcPr>
          <w:p w:rsidR="00636B2C" w:rsidRPr="00636B2C" w:rsidRDefault="00636B2C" w:rsidP="00EA4398">
            <w:pPr>
              <w:rPr>
                <w:lang w:val="en-US"/>
              </w:rPr>
            </w:pPr>
            <w:r w:rsidRPr="00636B2C">
              <w:rPr>
                <w:lang w:val="en-US"/>
              </w:rPr>
              <w:t>KOM(2014) 554</w:t>
            </w:r>
          </w:p>
        </w:tc>
        <w:tc>
          <w:tcPr>
            <w:tcW w:w="3827" w:type="dxa"/>
          </w:tcPr>
          <w:p w:rsidR="00636B2C" w:rsidRPr="00636B2C" w:rsidRDefault="00236D92" w:rsidP="00EA4398">
            <w:hyperlink r:id="rId10" w:history="1">
              <w:r w:rsidR="00636B2C" w:rsidRPr="00636B2C">
                <w:rPr>
                  <w:rStyle w:val="Hyperlnk"/>
                </w:rPr>
                <w:t>Rapport från kommissionen till Europaparlamentet och rådet om genomförandet av rådets rambeslut 2008/919/RIF av den 28 november 2008 om ändring av rambeslut 2002/475/RIF om bekämpande av terrorism</w:t>
              </w:r>
            </w:hyperlink>
          </w:p>
        </w:tc>
        <w:tc>
          <w:tcPr>
            <w:tcW w:w="2829" w:type="dxa"/>
          </w:tcPr>
          <w:p w:rsidR="00636B2C" w:rsidRPr="00636B2C" w:rsidRDefault="00636B2C" w:rsidP="00EA4398"/>
        </w:tc>
      </w:tr>
      <w:tr w:rsidR="009D2E52" w:rsidRPr="00636B2C" w:rsidTr="00EA4398">
        <w:tc>
          <w:tcPr>
            <w:tcW w:w="1413" w:type="dxa"/>
          </w:tcPr>
          <w:p w:rsidR="009D2E52" w:rsidRDefault="009D2E52" w:rsidP="00EA4398">
            <w:pPr>
              <w:rPr>
                <w:lang w:val="en-US"/>
              </w:rPr>
            </w:pPr>
            <w:r>
              <w:rPr>
                <w:lang w:val="en-US"/>
              </w:rPr>
              <w:t>2014-09-11</w:t>
            </w:r>
          </w:p>
        </w:tc>
        <w:tc>
          <w:tcPr>
            <w:tcW w:w="1701" w:type="dxa"/>
          </w:tcPr>
          <w:p w:rsidR="009D2E52" w:rsidRPr="00636B2C" w:rsidRDefault="009D2E52" w:rsidP="00EA4398">
            <w:pPr>
              <w:rPr>
                <w:lang w:val="en-US"/>
              </w:rPr>
            </w:pPr>
            <w:r w:rsidRPr="009D2E52">
              <w:rPr>
                <w:lang w:val="en-US"/>
              </w:rPr>
              <w:t>KOM(2014) 559</w:t>
            </w:r>
          </w:p>
        </w:tc>
        <w:tc>
          <w:tcPr>
            <w:tcW w:w="3827" w:type="dxa"/>
          </w:tcPr>
          <w:p w:rsidR="009D2E52" w:rsidRDefault="00236D92" w:rsidP="00EA4398">
            <w:hyperlink r:id="rId11" w:history="1">
              <w:r w:rsidR="009D2E52" w:rsidRPr="009D2E52">
                <w:rPr>
                  <w:rStyle w:val="Hyperlnk"/>
                </w:rPr>
                <w:t>Förslag till rådets beslut om bemyndigande för medlemsstaterna att i Europeiska unionens intresse ratificera 2014 års protokoll till Internationella arbetsorganisationens konvention om tvångsarbete från 1930, vad gäller frågor som rör straffrättsligt samarbete</w:t>
              </w:r>
            </w:hyperlink>
          </w:p>
        </w:tc>
        <w:tc>
          <w:tcPr>
            <w:tcW w:w="2829" w:type="dxa"/>
          </w:tcPr>
          <w:p w:rsidR="009D2E52" w:rsidRPr="00636B2C" w:rsidRDefault="009D2E52" w:rsidP="00EA4398"/>
        </w:tc>
      </w:tr>
      <w:tr w:rsidR="009D2E52" w:rsidRPr="00636B2C" w:rsidTr="00EA4398">
        <w:tc>
          <w:tcPr>
            <w:tcW w:w="1413" w:type="dxa"/>
          </w:tcPr>
          <w:p w:rsidR="009D2E52" w:rsidRPr="009D2E52" w:rsidRDefault="009D2E52" w:rsidP="00EA4398">
            <w:r>
              <w:t>2014-09-11</w:t>
            </w:r>
          </w:p>
        </w:tc>
        <w:tc>
          <w:tcPr>
            <w:tcW w:w="1701" w:type="dxa"/>
          </w:tcPr>
          <w:p w:rsidR="009D2E52" w:rsidRPr="009D2E52" w:rsidRDefault="009D2E52" w:rsidP="00EA4398">
            <w:r w:rsidRPr="009D2E52">
              <w:t>KOM(2014) 563</w:t>
            </w:r>
          </w:p>
        </w:tc>
        <w:tc>
          <w:tcPr>
            <w:tcW w:w="3827" w:type="dxa"/>
          </w:tcPr>
          <w:p w:rsidR="009D2E52" w:rsidRDefault="00236D92" w:rsidP="00EA4398">
            <w:hyperlink r:id="rId12" w:history="1">
              <w:r w:rsidR="009D2E52" w:rsidRPr="009D2E52">
                <w:rPr>
                  <w:rStyle w:val="Hyperlnk"/>
                </w:rPr>
                <w:t>Förslag till rådets beslut om bemyndigande för medlemsstaterna att i Europeiska unionens intresse ratificera 2014 års protokoll till Internationella arbetsorganisationens konvention om tvångsarbete från 1930, vad gäller frågor som rör socialpolitiken</w:t>
              </w:r>
            </w:hyperlink>
          </w:p>
        </w:tc>
        <w:tc>
          <w:tcPr>
            <w:tcW w:w="2829" w:type="dxa"/>
          </w:tcPr>
          <w:p w:rsidR="009D2E52" w:rsidRPr="00636B2C" w:rsidRDefault="009D2E52" w:rsidP="00EA4398"/>
        </w:tc>
      </w:tr>
      <w:tr w:rsidR="00945A73" w:rsidRPr="00636B2C" w:rsidTr="00EA4398">
        <w:tc>
          <w:tcPr>
            <w:tcW w:w="1413" w:type="dxa"/>
          </w:tcPr>
          <w:p w:rsidR="00945A73" w:rsidRDefault="00945A73" w:rsidP="00EA4398">
            <w:r>
              <w:t>2014-09-26</w:t>
            </w:r>
          </w:p>
        </w:tc>
        <w:tc>
          <w:tcPr>
            <w:tcW w:w="1701" w:type="dxa"/>
          </w:tcPr>
          <w:p w:rsidR="00945A73" w:rsidRPr="009D2E52" w:rsidRDefault="00945A73" w:rsidP="00EA4398">
            <w:r w:rsidRPr="00945A73">
              <w:t>KOM(2014) 596</w:t>
            </w:r>
          </w:p>
        </w:tc>
        <w:tc>
          <w:tcPr>
            <w:tcW w:w="3827" w:type="dxa"/>
          </w:tcPr>
          <w:p w:rsidR="00945A73" w:rsidRDefault="00236D92" w:rsidP="00EA4398">
            <w:hyperlink r:id="rId13" w:history="1">
              <w:r w:rsidR="00945A73" w:rsidRPr="00945A73">
                <w:rPr>
                  <w:rStyle w:val="Hyperlnk"/>
                </w:rPr>
                <w:t>Förslag till rådets beslut om fastställande av vissa följd- och övergångsarrangemang gällande Förenade kungariket Storbritannien och Nordirlands avbrutna deltagande i vissa unionsakter på området för polissamarbete och straffrättsligt samarbete vilka antagits före Lissabonfördragets ikraftträdande</w:t>
              </w:r>
            </w:hyperlink>
          </w:p>
        </w:tc>
        <w:tc>
          <w:tcPr>
            <w:tcW w:w="2829" w:type="dxa"/>
          </w:tcPr>
          <w:p w:rsidR="00945A73" w:rsidRPr="00636B2C" w:rsidRDefault="00945A73" w:rsidP="00EA4398"/>
        </w:tc>
      </w:tr>
      <w:tr w:rsidR="00D5085C" w:rsidRPr="00636B2C" w:rsidTr="00EA4398">
        <w:tc>
          <w:tcPr>
            <w:tcW w:w="1413" w:type="dxa"/>
          </w:tcPr>
          <w:p w:rsidR="00D5085C" w:rsidRDefault="00D5085C" w:rsidP="00EA4398">
            <w:r>
              <w:t>2014-09-26</w:t>
            </w:r>
          </w:p>
        </w:tc>
        <w:tc>
          <w:tcPr>
            <w:tcW w:w="1701" w:type="dxa"/>
          </w:tcPr>
          <w:p w:rsidR="00D5085C" w:rsidRPr="00945A73" w:rsidRDefault="00D5085C" w:rsidP="00EA4398">
            <w:r w:rsidRPr="00D5085C">
              <w:t>KOM(2014) 595</w:t>
            </w:r>
          </w:p>
        </w:tc>
        <w:tc>
          <w:tcPr>
            <w:tcW w:w="3827" w:type="dxa"/>
          </w:tcPr>
          <w:p w:rsidR="00D5085C" w:rsidRDefault="00236D92" w:rsidP="00EA4398">
            <w:hyperlink r:id="rId14" w:history="1">
              <w:r w:rsidR="00D5085C" w:rsidRPr="00D5085C">
                <w:rPr>
                  <w:rStyle w:val="Hyperlnk"/>
                </w:rPr>
                <w:t xml:space="preserve">Förslag till rådets beslut om fastställande av vissa direkta ekonomiska konsekvenser till följd av att Förenade kungariket Storbritannien och Nordirland upphör att delta i vissa </w:t>
              </w:r>
              <w:r w:rsidR="00D5085C" w:rsidRPr="00D5085C">
                <w:rPr>
                  <w:rStyle w:val="Hyperlnk"/>
                </w:rPr>
                <w:lastRenderedPageBreak/>
                <w:t>unionsakter på området polissamarbete och straffrättsligt samarbete som har antagits före ikraftträdandet av Lissabonfördraget</w:t>
              </w:r>
            </w:hyperlink>
          </w:p>
        </w:tc>
        <w:tc>
          <w:tcPr>
            <w:tcW w:w="2829" w:type="dxa"/>
          </w:tcPr>
          <w:p w:rsidR="00D5085C" w:rsidRPr="00636B2C" w:rsidRDefault="00D5085C" w:rsidP="00EA4398"/>
        </w:tc>
      </w:tr>
    </w:tbl>
    <w:p w:rsidR="005670C5" w:rsidRPr="00636B2C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Ministerrådet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EE6279" w:rsidTr="0014597B">
        <w:tc>
          <w:tcPr>
            <w:tcW w:w="1413" w:type="dxa"/>
          </w:tcPr>
          <w:p w:rsidR="00EA4398" w:rsidRPr="009B0AD7" w:rsidRDefault="00EE6279" w:rsidP="0014597B">
            <w:r>
              <w:t>2014-09-08</w:t>
            </w:r>
          </w:p>
        </w:tc>
        <w:tc>
          <w:tcPr>
            <w:tcW w:w="1701" w:type="dxa"/>
          </w:tcPr>
          <w:p w:rsidR="00EA4398" w:rsidRPr="009B0AD7" w:rsidRDefault="00EE6279" w:rsidP="0014597B">
            <w:pPr>
              <w:spacing w:after="0" w:line="240" w:lineRule="auto"/>
            </w:pPr>
            <w:r w:rsidRPr="00EE6279">
              <w:t>12092/14</w:t>
            </w:r>
          </w:p>
        </w:tc>
        <w:tc>
          <w:tcPr>
            <w:tcW w:w="3827" w:type="dxa"/>
          </w:tcPr>
          <w:p w:rsidR="00EA4398" w:rsidRPr="00EE6279" w:rsidRDefault="00236D92" w:rsidP="0014597B">
            <w:pPr>
              <w:spacing w:after="0" w:line="240" w:lineRule="auto"/>
              <w:rPr>
                <w:lang w:val="en-US"/>
              </w:rPr>
            </w:pPr>
            <w:hyperlink r:id="rId15" w:history="1">
              <w:r w:rsidR="00EE6279" w:rsidRPr="00EE6279">
                <w:rPr>
                  <w:rStyle w:val="Hyperlnk"/>
                  <w:lang w:val="en-US"/>
                </w:rPr>
                <w:t>Press release 3331st Council meeting General Affairs Brussels, 23 July 2014</w:t>
              </w:r>
            </w:hyperlink>
          </w:p>
        </w:tc>
        <w:tc>
          <w:tcPr>
            <w:tcW w:w="2829" w:type="dxa"/>
          </w:tcPr>
          <w:p w:rsidR="00EA4398" w:rsidRPr="00EE6279" w:rsidRDefault="00EE6279" w:rsidP="00C32E1F">
            <w:r>
              <w:t xml:space="preserve">Punkt som berör JuU: </w:t>
            </w:r>
            <w:r w:rsidR="00C32E1F">
              <w:t xml:space="preserve">Rådet noterade </w:t>
            </w:r>
            <w:r w:rsidR="00C32E1F" w:rsidRPr="00C32E1F">
              <w:t>verksamhets</w:t>
            </w:r>
            <w:r w:rsidR="00C32E1F">
              <w:softHyphen/>
            </w:r>
            <w:r w:rsidR="00C32E1F" w:rsidRPr="00C32E1F">
              <w:t>rapporten för 2013 från Eurojusts gemensamma tillsynsmyndighet</w:t>
            </w:r>
            <w:r w:rsidR="00C32E1F">
              <w:t xml:space="preserve"> och översände den t</w:t>
            </w:r>
            <w:r w:rsidR="00C32E1F" w:rsidRPr="00C32E1F">
              <w:t xml:space="preserve">ill </w:t>
            </w:r>
            <w:r w:rsidR="00C32E1F">
              <w:t>E</w:t>
            </w:r>
            <w:r w:rsidR="00C32E1F" w:rsidRPr="00C32E1F">
              <w:t>uropa</w:t>
            </w:r>
            <w:r w:rsidR="00C32E1F">
              <w:softHyphen/>
            </w:r>
            <w:r w:rsidR="00C32E1F" w:rsidRPr="00C32E1F">
              <w:t>parlamentet för kännedom.</w:t>
            </w:r>
          </w:p>
        </w:tc>
      </w:tr>
      <w:tr w:rsidR="00EA4398" w:rsidRPr="00EE6279" w:rsidTr="0014597B">
        <w:tc>
          <w:tcPr>
            <w:tcW w:w="1413" w:type="dxa"/>
          </w:tcPr>
          <w:p w:rsidR="00EA4398" w:rsidRPr="00EE6279" w:rsidRDefault="007650E0" w:rsidP="0014597B">
            <w:r>
              <w:t>2014-09-25</w:t>
            </w:r>
          </w:p>
        </w:tc>
        <w:tc>
          <w:tcPr>
            <w:tcW w:w="1701" w:type="dxa"/>
          </w:tcPr>
          <w:p w:rsidR="00EA4398" w:rsidRPr="00EE6279" w:rsidRDefault="007650E0" w:rsidP="0014597B">
            <w:r w:rsidRPr="007650E0">
              <w:t>CM 4191/14</w:t>
            </w:r>
          </w:p>
        </w:tc>
        <w:tc>
          <w:tcPr>
            <w:tcW w:w="3827" w:type="dxa"/>
          </w:tcPr>
          <w:p w:rsidR="00EA4398" w:rsidRPr="00EE6279" w:rsidRDefault="00236D92" w:rsidP="0014597B">
            <w:hyperlink r:id="rId16" w:history="1">
              <w:r w:rsidR="007650E0" w:rsidRPr="007650E0">
                <w:rPr>
                  <w:rStyle w:val="Hyperlnk"/>
                </w:rPr>
                <w:t>Kallelse och preliminär dagordning 3336:e mötet i Europeiska unionens råd (rättsliga och inrikes frågor) 9 och 10 oktober 2014</w:t>
              </w:r>
            </w:hyperlink>
          </w:p>
        </w:tc>
        <w:tc>
          <w:tcPr>
            <w:tcW w:w="2829" w:type="dxa"/>
          </w:tcPr>
          <w:p w:rsidR="00EA4398" w:rsidRPr="00EE6279" w:rsidRDefault="00EA4398" w:rsidP="0014597B"/>
        </w:tc>
      </w:tr>
      <w:tr w:rsidR="00CC6EB5" w:rsidRPr="00EE6279" w:rsidTr="0014597B">
        <w:tc>
          <w:tcPr>
            <w:tcW w:w="1413" w:type="dxa"/>
          </w:tcPr>
          <w:p w:rsidR="00CC6EB5" w:rsidRDefault="00CC6EB5" w:rsidP="0014597B">
            <w:r>
              <w:t>2014-10-01</w:t>
            </w:r>
          </w:p>
        </w:tc>
        <w:tc>
          <w:tcPr>
            <w:tcW w:w="1701" w:type="dxa"/>
          </w:tcPr>
          <w:p w:rsidR="00CC6EB5" w:rsidRPr="007650E0" w:rsidRDefault="00CC6EB5" w:rsidP="0014597B">
            <w:r w:rsidRPr="00CC6EB5">
              <w:t>CM 4324/14</w:t>
            </w:r>
          </w:p>
        </w:tc>
        <w:tc>
          <w:tcPr>
            <w:tcW w:w="3827" w:type="dxa"/>
          </w:tcPr>
          <w:p w:rsidR="00CC6EB5" w:rsidRDefault="00236D92" w:rsidP="0014597B">
            <w:hyperlink r:id="rId17" w:history="1">
              <w:r w:rsidR="00CC6EB5" w:rsidRPr="00CC6EB5">
                <w:rPr>
                  <w:rStyle w:val="Hyperlnk"/>
                </w:rPr>
                <w:t>Kallelse och preliminär dagordning 3341:a mötet i Europeiska unionens råd (allmänna frågor) 21 oktober 2014</w:t>
              </w:r>
            </w:hyperlink>
          </w:p>
        </w:tc>
        <w:tc>
          <w:tcPr>
            <w:tcW w:w="2829" w:type="dxa"/>
          </w:tcPr>
          <w:p w:rsidR="00CC6EB5" w:rsidRPr="00EE6279" w:rsidRDefault="00CC6EB5" w:rsidP="00CC6EB5">
            <w:r>
              <w:t>På dagordningen står bl.a., som en uppföljning av Europeiska rådets möte i juni 2014, en temadebatt om prioriteringar för den strategiska agendan – Ett Europa med frihet, säkerhet och rättvisa.</w:t>
            </w:r>
          </w:p>
        </w:tc>
      </w:tr>
      <w:tr w:rsidR="002C106A" w:rsidRPr="00EE6279" w:rsidTr="0014597B">
        <w:tc>
          <w:tcPr>
            <w:tcW w:w="1413" w:type="dxa"/>
          </w:tcPr>
          <w:p w:rsidR="002C106A" w:rsidRDefault="002C106A" w:rsidP="0014597B">
            <w:r>
              <w:t>2014-10-03</w:t>
            </w:r>
          </w:p>
        </w:tc>
        <w:tc>
          <w:tcPr>
            <w:tcW w:w="1701" w:type="dxa"/>
          </w:tcPr>
          <w:p w:rsidR="002C106A" w:rsidRPr="00CC6EB5" w:rsidRDefault="002C106A" w:rsidP="0014597B">
            <w:r w:rsidRPr="002C106A">
              <w:t>13570/14</w:t>
            </w:r>
          </w:p>
        </w:tc>
        <w:tc>
          <w:tcPr>
            <w:tcW w:w="3827" w:type="dxa"/>
          </w:tcPr>
          <w:p w:rsidR="002C106A" w:rsidRDefault="00236D92" w:rsidP="0014597B">
            <w:hyperlink r:id="rId18" w:history="1">
              <w:r w:rsidR="002C106A" w:rsidRPr="002C106A">
                <w:rPr>
                  <w:rStyle w:val="Hyperlnk"/>
                </w:rPr>
                <w:t>Preliminär dagordning 3335:e mötet i Europeiska unionens råd (transport, telekommunikation och energi) 8 oktober 2014</w:t>
              </w:r>
            </w:hyperlink>
          </w:p>
        </w:tc>
        <w:tc>
          <w:tcPr>
            <w:tcW w:w="2829" w:type="dxa"/>
          </w:tcPr>
          <w:p w:rsidR="002C106A" w:rsidRDefault="002C106A" w:rsidP="002C0D45">
            <w:r>
              <w:t xml:space="preserve">Rådet väntas anta en allmän riktlinje om förslaget till direktiv om underlättande av gränsöverskridande informationsutbyte om trafiksäkerhetsrelaterade brott </w:t>
            </w:r>
            <w:r w:rsidR="002C0D45">
              <w:t>(</w:t>
            </w:r>
            <w:r>
              <w:t>KOM(2014) 476</w:t>
            </w:r>
            <w:r w:rsidR="00D91F2E">
              <w:t>)</w:t>
            </w:r>
            <w:r w:rsidR="002C0D45">
              <w:t>, d.v.s. samma är</w:t>
            </w:r>
            <w:r w:rsidR="00D91F2E">
              <w:t>ende</w:t>
            </w:r>
            <w:r w:rsidR="002C0D45">
              <w:t xml:space="preserve"> är</w:t>
            </w:r>
            <w:r w:rsidR="00D91F2E">
              <w:t xml:space="preserve"> föremål för sub.prövning i JuU</w:t>
            </w:r>
            <w:r w:rsidR="002C0D45">
              <w:t>.</w:t>
            </w:r>
          </w:p>
        </w:tc>
      </w:tr>
    </w:tbl>
    <w:p w:rsidR="00EA4398" w:rsidRPr="00EE6279" w:rsidRDefault="00EA4398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07"/>
        <w:gridCol w:w="1769"/>
        <w:gridCol w:w="3792"/>
        <w:gridCol w:w="2802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lastRenderedPageBreak/>
              <w:t xml:space="preserve">Dokument från </w:t>
            </w:r>
            <w:r>
              <w:t>Regeringskansliet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742099" w:rsidP="0014597B">
            <w:r>
              <w:t>2014-09-02</w:t>
            </w:r>
          </w:p>
        </w:tc>
        <w:tc>
          <w:tcPr>
            <w:tcW w:w="1701" w:type="dxa"/>
          </w:tcPr>
          <w:p w:rsidR="00EA4398" w:rsidRPr="009B0AD7" w:rsidRDefault="00742099" w:rsidP="0014597B">
            <w:pPr>
              <w:spacing w:after="0" w:line="240" w:lineRule="auto"/>
            </w:pPr>
            <w:r w:rsidRPr="00742099">
              <w:t>2013/14:FPM113</w:t>
            </w:r>
          </w:p>
        </w:tc>
        <w:tc>
          <w:tcPr>
            <w:tcW w:w="3827" w:type="dxa"/>
          </w:tcPr>
          <w:p w:rsidR="00EA4398" w:rsidRPr="009B0AD7" w:rsidRDefault="00236D92" w:rsidP="00EA4398">
            <w:hyperlink r:id="rId19" w:history="1">
              <w:r w:rsidR="00742099" w:rsidRPr="003F36B8">
                <w:rPr>
                  <w:rStyle w:val="Hyperlnk"/>
                </w:rPr>
                <w:t>Direktiv om informationsutbyte om trafiksäkerhetsbrott</w:t>
              </w:r>
            </w:hyperlink>
          </w:p>
        </w:tc>
        <w:tc>
          <w:tcPr>
            <w:tcW w:w="2829" w:type="dxa"/>
          </w:tcPr>
          <w:p w:rsidR="00EA4398" w:rsidRPr="009B0AD7" w:rsidRDefault="00742099" w:rsidP="0014597B">
            <w:r>
              <w:t xml:space="preserve">FaktaPM om </w:t>
            </w:r>
            <w:r w:rsidRPr="00742099">
              <w:t>KOM (2014) 476</w:t>
            </w:r>
            <w:r>
              <w:t>.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A45920" w:rsidP="0014597B">
            <w:r>
              <w:t>2014-09-03</w:t>
            </w:r>
          </w:p>
        </w:tc>
        <w:tc>
          <w:tcPr>
            <w:tcW w:w="1701" w:type="dxa"/>
          </w:tcPr>
          <w:p w:rsidR="00EA4398" w:rsidRPr="009B0AD7" w:rsidRDefault="00A45920" w:rsidP="0014597B">
            <w:r w:rsidRPr="00A45920">
              <w:t>2013/14:FPM114</w:t>
            </w:r>
          </w:p>
        </w:tc>
        <w:tc>
          <w:tcPr>
            <w:tcW w:w="3827" w:type="dxa"/>
          </w:tcPr>
          <w:p w:rsidR="00EA4398" w:rsidRPr="009B0AD7" w:rsidRDefault="00236D92" w:rsidP="0014597B">
            <w:hyperlink r:id="rId20" w:history="1">
              <w:r w:rsidR="00A45920" w:rsidRPr="00A45920">
                <w:rPr>
                  <w:rStyle w:val="Hyperlnk"/>
                </w:rPr>
                <w:t>EU-myndighet för utbildning i brottsbekämpning (Cepol)</w:t>
              </w:r>
            </w:hyperlink>
          </w:p>
        </w:tc>
        <w:tc>
          <w:tcPr>
            <w:tcW w:w="2829" w:type="dxa"/>
          </w:tcPr>
          <w:p w:rsidR="00EA4398" w:rsidRPr="009B0AD7" w:rsidRDefault="00A45920" w:rsidP="00A45920">
            <w:r>
              <w:t xml:space="preserve">FaktaPM om </w:t>
            </w:r>
            <w:r w:rsidRPr="00A45920">
              <w:t>KOM (2014) 465</w:t>
            </w:r>
            <w:r>
              <w:t>.</w:t>
            </w:r>
          </w:p>
        </w:tc>
      </w:tr>
    </w:tbl>
    <w:p w:rsidR="00EA4398" w:rsidRDefault="00EA4398" w:rsidP="009B0AD7"/>
    <w:sectPr w:rsidR="00EA4398" w:rsidSect="009B0AD7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236D92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236D92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236D92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236D92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236D92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pt;height:26.25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7"/>
  </w:num>
  <w:num w:numId="13">
    <w:abstractNumId w:val="19"/>
  </w:num>
  <w:num w:numId="14">
    <w:abstractNumId w:val="15"/>
  </w:num>
  <w:num w:numId="15">
    <w:abstractNumId w:val="18"/>
  </w:num>
  <w:num w:numId="16">
    <w:abstractNumId w:val="16"/>
  </w:num>
  <w:num w:numId="17">
    <w:abstractNumId w:val="13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57AD"/>
    <w:rsid w:val="000D5CD1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93322"/>
    <w:rsid w:val="001A25B0"/>
    <w:rsid w:val="001A35DC"/>
    <w:rsid w:val="001B032A"/>
    <w:rsid w:val="001B57B3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36D92"/>
    <w:rsid w:val="002451C3"/>
    <w:rsid w:val="00253092"/>
    <w:rsid w:val="00254B93"/>
    <w:rsid w:val="00257937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C0D45"/>
    <w:rsid w:val="002C106A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674BC"/>
    <w:rsid w:val="00373590"/>
    <w:rsid w:val="0038684B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36B8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66F8"/>
    <w:rsid w:val="004F5F02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4C2D"/>
    <w:rsid w:val="00607411"/>
    <w:rsid w:val="006111BD"/>
    <w:rsid w:val="00611ED3"/>
    <w:rsid w:val="00624848"/>
    <w:rsid w:val="006263F6"/>
    <w:rsid w:val="00630879"/>
    <w:rsid w:val="006366F5"/>
    <w:rsid w:val="00636B2C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E7709"/>
    <w:rsid w:val="006F0010"/>
    <w:rsid w:val="006F0DF5"/>
    <w:rsid w:val="006F6C65"/>
    <w:rsid w:val="0071190A"/>
    <w:rsid w:val="00713077"/>
    <w:rsid w:val="007200A8"/>
    <w:rsid w:val="00731D7A"/>
    <w:rsid w:val="00732AAE"/>
    <w:rsid w:val="007341BE"/>
    <w:rsid w:val="00737A35"/>
    <w:rsid w:val="00742099"/>
    <w:rsid w:val="00750FD7"/>
    <w:rsid w:val="007543E7"/>
    <w:rsid w:val="00757695"/>
    <w:rsid w:val="007650E0"/>
    <w:rsid w:val="00766347"/>
    <w:rsid w:val="00772788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313D"/>
    <w:rsid w:val="0085704F"/>
    <w:rsid w:val="0086199E"/>
    <w:rsid w:val="00864625"/>
    <w:rsid w:val="00866E6F"/>
    <w:rsid w:val="00880C83"/>
    <w:rsid w:val="008820A9"/>
    <w:rsid w:val="00885D71"/>
    <w:rsid w:val="00891EEA"/>
    <w:rsid w:val="00894B42"/>
    <w:rsid w:val="008A400F"/>
    <w:rsid w:val="008B1190"/>
    <w:rsid w:val="008B374B"/>
    <w:rsid w:val="008C626B"/>
    <w:rsid w:val="008C656B"/>
    <w:rsid w:val="008D0154"/>
    <w:rsid w:val="008D02E0"/>
    <w:rsid w:val="008D3524"/>
    <w:rsid w:val="008D3D36"/>
    <w:rsid w:val="008D771E"/>
    <w:rsid w:val="008E2FF8"/>
    <w:rsid w:val="008E779B"/>
    <w:rsid w:val="008F3867"/>
    <w:rsid w:val="00900852"/>
    <w:rsid w:val="009121EC"/>
    <w:rsid w:val="0091695B"/>
    <w:rsid w:val="009212CA"/>
    <w:rsid w:val="00922AE6"/>
    <w:rsid w:val="00933FE2"/>
    <w:rsid w:val="00945A73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91768"/>
    <w:rsid w:val="009A4404"/>
    <w:rsid w:val="009A7660"/>
    <w:rsid w:val="009B0AD7"/>
    <w:rsid w:val="009B10F9"/>
    <w:rsid w:val="009C267A"/>
    <w:rsid w:val="009D2E52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920"/>
    <w:rsid w:val="00A45BAF"/>
    <w:rsid w:val="00A46314"/>
    <w:rsid w:val="00A46AA3"/>
    <w:rsid w:val="00A56189"/>
    <w:rsid w:val="00A6650D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D4894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7AF2"/>
    <w:rsid w:val="00B3254E"/>
    <w:rsid w:val="00B32F0E"/>
    <w:rsid w:val="00B47411"/>
    <w:rsid w:val="00B47570"/>
    <w:rsid w:val="00B53F5F"/>
    <w:rsid w:val="00B5535C"/>
    <w:rsid w:val="00B64187"/>
    <w:rsid w:val="00B6529F"/>
    <w:rsid w:val="00B731A2"/>
    <w:rsid w:val="00B73945"/>
    <w:rsid w:val="00B739E9"/>
    <w:rsid w:val="00B74F1A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C02D69"/>
    <w:rsid w:val="00C2330B"/>
    <w:rsid w:val="00C25016"/>
    <w:rsid w:val="00C3044C"/>
    <w:rsid w:val="00C3103C"/>
    <w:rsid w:val="00C31FAF"/>
    <w:rsid w:val="00C32E1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C6EB5"/>
    <w:rsid w:val="00CD4436"/>
    <w:rsid w:val="00CD5008"/>
    <w:rsid w:val="00CF25D1"/>
    <w:rsid w:val="00CF4FB2"/>
    <w:rsid w:val="00D061B4"/>
    <w:rsid w:val="00D071B3"/>
    <w:rsid w:val="00D10D91"/>
    <w:rsid w:val="00D16FEF"/>
    <w:rsid w:val="00D17242"/>
    <w:rsid w:val="00D21168"/>
    <w:rsid w:val="00D26443"/>
    <w:rsid w:val="00D338F1"/>
    <w:rsid w:val="00D349DB"/>
    <w:rsid w:val="00D35C71"/>
    <w:rsid w:val="00D5085C"/>
    <w:rsid w:val="00D6129E"/>
    <w:rsid w:val="00D61EB4"/>
    <w:rsid w:val="00D719E8"/>
    <w:rsid w:val="00D71D04"/>
    <w:rsid w:val="00D72F04"/>
    <w:rsid w:val="00D751FA"/>
    <w:rsid w:val="00D83539"/>
    <w:rsid w:val="00D91F2E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1F72"/>
    <w:rsid w:val="00E04B59"/>
    <w:rsid w:val="00E0758F"/>
    <w:rsid w:val="00E160D7"/>
    <w:rsid w:val="00E2189B"/>
    <w:rsid w:val="00E25C89"/>
    <w:rsid w:val="00E4025E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EE6279"/>
    <w:rsid w:val="00F006F8"/>
    <w:rsid w:val="00F05F65"/>
    <w:rsid w:val="00F06932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19504" TargetMode="External"/><Relationship Id="rId13" Type="http://schemas.openxmlformats.org/officeDocument/2006/relationships/hyperlink" Target="http://lemur.riksdagen.se/Dokument/Visa.aspx?ID=19645" TargetMode="External"/><Relationship Id="rId18" Type="http://schemas.openxmlformats.org/officeDocument/2006/relationships/hyperlink" Target="http://lemur.riksdagen.se/Dokument/Visa.aspx?ID=1970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19565" TargetMode="External"/><Relationship Id="rId17" Type="http://schemas.openxmlformats.org/officeDocument/2006/relationships/hyperlink" Target="http://lemur.riksdagen.se/Dokument/Visa.aspx?ID=1968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emur.riksdagen.se/Dokument/Visa.aspx?ID=19630" TargetMode="External"/><Relationship Id="rId20" Type="http://schemas.openxmlformats.org/officeDocument/2006/relationships/hyperlink" Target="http://lemur.riksdagen.se/Dokument/Visa.aspx?ID=195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19564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lemur.riksdagen.se/Dokument/Visa.aspx?ID=19543" TargetMode="External"/><Relationship Id="rId23" Type="http://schemas.openxmlformats.org/officeDocument/2006/relationships/header" Target="header2.xml"/><Relationship Id="rId10" Type="http://schemas.openxmlformats.org/officeDocument/2006/relationships/hyperlink" Target="http://lemur.riksdagen.se/Dokument/Visa.aspx?ID=19531" TargetMode="External"/><Relationship Id="rId19" Type="http://schemas.openxmlformats.org/officeDocument/2006/relationships/hyperlink" Target="http://lemur.riksdagen.se/Dokument/Visa.aspx?ID=195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19528" TargetMode="External"/><Relationship Id="rId14" Type="http://schemas.openxmlformats.org/officeDocument/2006/relationships/hyperlink" Target="http://lemur.riksdagen.se/Dokument/Visa.aspx?ID=19646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0914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B8949-3658-4657-97F7-F442CEF8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0</TotalTime>
  <Pages>3</Pages>
  <Words>445</Words>
  <Characters>3989</Characters>
  <Application>Microsoft Office Word</Application>
  <DocSecurity>4</DocSecurity>
  <Lines>199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Virpi Torkkola</cp:lastModifiedBy>
  <cp:revision>2</cp:revision>
  <cp:lastPrinted>2014-10-07T09:45:00Z</cp:lastPrinted>
  <dcterms:created xsi:type="dcterms:W3CDTF">2014-10-09T09:21:00Z</dcterms:created>
  <dcterms:modified xsi:type="dcterms:W3CDTF">2014-10-09T09:21:00Z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