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102DB3">
        <w:tblPrEx>
          <w:tblCellMar>
            <w:top w:w="0" w:type="dxa"/>
            <w:bottom w:w="0" w:type="dxa"/>
          </w:tblCellMar>
        </w:tblPrEx>
        <w:tc>
          <w:tcPr>
            <w:tcW w:w="2268" w:type="dxa"/>
          </w:tcPr>
          <w:p w:rsidR="00DE7339" w:rsidRPr="00102DB3" w:rsidRDefault="00DE7339">
            <w:pPr>
              <w:framePr w:w="4400" w:h="1644" w:wrap="notBeside" w:vAnchor="page" w:hAnchor="page" w:x="6573" w:y="721"/>
              <w:rPr>
                <w:rFonts w:ascii="TradeGothic" w:hAnsi="TradeGothic"/>
                <w:i/>
                <w:sz w:val="18"/>
              </w:rPr>
            </w:pPr>
          </w:p>
        </w:tc>
        <w:tc>
          <w:tcPr>
            <w:tcW w:w="2347" w:type="dxa"/>
            <w:gridSpan w:val="2"/>
          </w:tcPr>
          <w:p w:rsidR="00DE7339" w:rsidRPr="00102DB3" w:rsidRDefault="00DE7339">
            <w:pPr>
              <w:framePr w:w="4400" w:h="1644" w:wrap="notBeside" w:vAnchor="page" w:hAnchor="page" w:x="6573" w:y="721"/>
              <w:rPr>
                <w:rFonts w:ascii="TradeGothic" w:hAnsi="TradeGothic"/>
                <w:i/>
                <w:sz w:val="18"/>
              </w:rPr>
            </w:pPr>
          </w:p>
        </w:tc>
      </w:tr>
      <w:tr w:rsidR="00DE7339" w:rsidRPr="00102DB3">
        <w:tblPrEx>
          <w:tblCellMar>
            <w:top w:w="0" w:type="dxa"/>
            <w:bottom w:w="0" w:type="dxa"/>
          </w:tblCellMar>
        </w:tblPrEx>
        <w:trPr>
          <w:cantSplit/>
        </w:trPr>
        <w:tc>
          <w:tcPr>
            <w:tcW w:w="4615" w:type="dxa"/>
            <w:gridSpan w:val="3"/>
          </w:tcPr>
          <w:p w:rsidR="00DE7339" w:rsidRPr="00102DB3" w:rsidRDefault="00DE7339">
            <w:pPr>
              <w:framePr w:w="4400" w:h="1644" w:wrap="notBeside" w:vAnchor="page" w:hAnchor="page" w:x="6573" w:y="721"/>
              <w:rPr>
                <w:rFonts w:ascii="TradeGothic" w:hAnsi="TradeGothic"/>
                <w:b/>
                <w:sz w:val="22"/>
              </w:rPr>
            </w:pPr>
            <w:r w:rsidRPr="00102DB3">
              <w:rPr>
                <w:rFonts w:ascii="TradeGothic" w:hAnsi="TradeGothic"/>
                <w:b/>
                <w:sz w:val="22"/>
              </w:rPr>
              <w:t>Rådspromemoria</w:t>
            </w:r>
          </w:p>
        </w:tc>
      </w:tr>
      <w:tr w:rsidR="00DE7339" w:rsidRPr="00102DB3">
        <w:tblPrEx>
          <w:tblCellMar>
            <w:top w:w="0" w:type="dxa"/>
            <w:bottom w:w="0" w:type="dxa"/>
          </w:tblCellMar>
        </w:tblPrEx>
        <w:tc>
          <w:tcPr>
            <w:tcW w:w="3402" w:type="dxa"/>
            <w:gridSpan w:val="2"/>
          </w:tcPr>
          <w:p w:rsidR="00DE7339" w:rsidRPr="00102DB3" w:rsidRDefault="00DE7339">
            <w:pPr>
              <w:framePr w:w="4400" w:h="1644" w:wrap="notBeside" w:vAnchor="page" w:hAnchor="page" w:x="6573" w:y="721"/>
            </w:pPr>
          </w:p>
        </w:tc>
        <w:tc>
          <w:tcPr>
            <w:tcW w:w="1213" w:type="dxa"/>
          </w:tcPr>
          <w:p w:rsidR="00DE7339" w:rsidRPr="00102DB3" w:rsidRDefault="00DE7339">
            <w:pPr>
              <w:framePr w:w="4400" w:h="1644" w:wrap="notBeside" w:vAnchor="page" w:hAnchor="page" w:x="6573" w:y="721"/>
            </w:pPr>
          </w:p>
        </w:tc>
      </w:tr>
      <w:tr w:rsidR="00DE7339" w:rsidRPr="00102DB3">
        <w:tblPrEx>
          <w:tblCellMar>
            <w:top w:w="0" w:type="dxa"/>
            <w:bottom w:w="0" w:type="dxa"/>
          </w:tblCellMar>
        </w:tblPrEx>
        <w:tc>
          <w:tcPr>
            <w:tcW w:w="2268" w:type="dxa"/>
          </w:tcPr>
          <w:p w:rsidR="00DE7339" w:rsidRPr="00102DB3" w:rsidRDefault="00A14F17">
            <w:pPr>
              <w:framePr w:w="4400" w:h="1644" w:wrap="notBeside" w:vAnchor="page" w:hAnchor="page" w:x="6573" w:y="721"/>
            </w:pPr>
            <w:r w:rsidRPr="00102DB3">
              <w:t>2007-11</w:t>
            </w:r>
            <w:r w:rsidR="002C441D" w:rsidRPr="00102DB3">
              <w:t>-</w:t>
            </w:r>
            <w:r w:rsidR="008E7925" w:rsidRPr="00102DB3">
              <w:t>2</w:t>
            </w:r>
            <w:r w:rsidR="005613CE" w:rsidRPr="00102DB3">
              <w:t>6</w:t>
            </w:r>
          </w:p>
        </w:tc>
        <w:tc>
          <w:tcPr>
            <w:tcW w:w="2347" w:type="dxa"/>
            <w:gridSpan w:val="2"/>
          </w:tcPr>
          <w:p w:rsidR="00DE7339" w:rsidRPr="00102DB3" w:rsidRDefault="00DE7339">
            <w:pPr>
              <w:framePr w:w="4400" w:h="1644" w:wrap="notBeside" w:vAnchor="page" w:hAnchor="page" w:x="6573" w:y="721"/>
            </w:pPr>
          </w:p>
        </w:tc>
      </w:tr>
      <w:tr w:rsidR="00DE7339" w:rsidRPr="00102DB3">
        <w:tblPrEx>
          <w:tblCellMar>
            <w:top w:w="0" w:type="dxa"/>
            <w:bottom w:w="0" w:type="dxa"/>
          </w:tblCellMar>
        </w:tblPrEx>
        <w:tc>
          <w:tcPr>
            <w:tcW w:w="2268" w:type="dxa"/>
          </w:tcPr>
          <w:p w:rsidR="00DE7339" w:rsidRPr="00102DB3" w:rsidRDefault="00DE7339">
            <w:pPr>
              <w:framePr w:w="4400" w:h="1644" w:wrap="notBeside" w:vAnchor="page" w:hAnchor="page" w:x="6573" w:y="721"/>
            </w:pPr>
          </w:p>
        </w:tc>
        <w:tc>
          <w:tcPr>
            <w:tcW w:w="2347" w:type="dxa"/>
            <w:gridSpan w:val="2"/>
          </w:tcPr>
          <w:p w:rsidR="00DE7339" w:rsidRPr="00102DB3"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102DB3">
        <w:tblPrEx>
          <w:tblCellMar>
            <w:top w:w="0" w:type="dxa"/>
            <w:bottom w:w="0" w:type="dxa"/>
          </w:tblCellMar>
        </w:tblPrEx>
        <w:trPr>
          <w:trHeight w:val="284"/>
        </w:trPr>
        <w:tc>
          <w:tcPr>
            <w:tcW w:w="4911" w:type="dxa"/>
          </w:tcPr>
          <w:p w:rsidR="00DE7339" w:rsidRPr="00102DB3" w:rsidRDefault="00DE7339">
            <w:pPr>
              <w:pStyle w:val="Avsndare"/>
              <w:framePr w:h="2483" w:wrap="notBeside" w:x="1504"/>
              <w:rPr>
                <w:b/>
                <w:i w:val="0"/>
                <w:sz w:val="22"/>
              </w:rPr>
            </w:pPr>
            <w:r w:rsidRPr="00102DB3">
              <w:rPr>
                <w:b/>
                <w:i w:val="0"/>
                <w:sz w:val="22"/>
              </w:rPr>
              <w:t>Justitiedepartementet</w:t>
            </w:r>
          </w:p>
        </w:tc>
      </w:tr>
      <w:tr w:rsidR="00DE7339" w:rsidRPr="00102DB3">
        <w:tblPrEx>
          <w:tblCellMar>
            <w:top w:w="0" w:type="dxa"/>
            <w:bottom w:w="0" w:type="dxa"/>
          </w:tblCellMar>
        </w:tblPrEx>
        <w:trPr>
          <w:trHeight w:val="284"/>
        </w:trPr>
        <w:tc>
          <w:tcPr>
            <w:tcW w:w="4911" w:type="dxa"/>
          </w:tcPr>
          <w:p w:rsidR="00DE7339" w:rsidRPr="00102DB3" w:rsidRDefault="00DE7339">
            <w:pPr>
              <w:pStyle w:val="Avsndare"/>
              <w:framePr w:h="2483" w:wrap="notBeside" w:x="1504"/>
              <w:rPr>
                <w:bCs/>
                <w:iCs/>
              </w:rPr>
            </w:pPr>
          </w:p>
        </w:tc>
      </w:tr>
      <w:tr w:rsidR="00DE7339" w:rsidRPr="00102DB3">
        <w:tblPrEx>
          <w:tblCellMar>
            <w:top w:w="0" w:type="dxa"/>
            <w:bottom w:w="0" w:type="dxa"/>
          </w:tblCellMar>
        </w:tblPrEx>
        <w:trPr>
          <w:trHeight w:val="284"/>
        </w:trPr>
        <w:tc>
          <w:tcPr>
            <w:tcW w:w="4911" w:type="dxa"/>
          </w:tcPr>
          <w:p w:rsidR="00DE7339" w:rsidRPr="00102DB3" w:rsidRDefault="002C441D">
            <w:pPr>
              <w:pStyle w:val="Avsndare"/>
              <w:framePr w:h="2483" w:wrap="notBeside" w:x="1504"/>
              <w:rPr>
                <w:bCs/>
                <w:iCs/>
              </w:rPr>
            </w:pPr>
            <w:r w:rsidRPr="00102DB3">
              <w:rPr>
                <w:bCs/>
                <w:iCs/>
              </w:rPr>
              <w:t>Enheten för migration och asylpolitik</w:t>
            </w:r>
          </w:p>
        </w:tc>
      </w:tr>
      <w:tr w:rsidR="00DE7339" w:rsidRPr="00102DB3">
        <w:tblPrEx>
          <w:tblCellMar>
            <w:top w:w="0" w:type="dxa"/>
            <w:bottom w:w="0" w:type="dxa"/>
          </w:tblCellMar>
        </w:tblPrEx>
        <w:trPr>
          <w:trHeight w:val="284"/>
        </w:trPr>
        <w:tc>
          <w:tcPr>
            <w:tcW w:w="4911" w:type="dxa"/>
          </w:tcPr>
          <w:p w:rsidR="00DE7339" w:rsidRPr="00102DB3" w:rsidRDefault="00DE7339">
            <w:pPr>
              <w:pStyle w:val="Avsndare"/>
              <w:framePr w:h="2483" w:wrap="notBeside" w:x="1504"/>
              <w:rPr>
                <w:bCs/>
                <w:iCs/>
              </w:rPr>
            </w:pPr>
          </w:p>
        </w:tc>
      </w:tr>
      <w:tr w:rsidR="00DE7339" w:rsidRPr="00102DB3">
        <w:tblPrEx>
          <w:tblCellMar>
            <w:top w:w="0" w:type="dxa"/>
            <w:bottom w:w="0" w:type="dxa"/>
          </w:tblCellMar>
        </w:tblPrEx>
        <w:trPr>
          <w:trHeight w:val="284"/>
        </w:trPr>
        <w:tc>
          <w:tcPr>
            <w:tcW w:w="4911" w:type="dxa"/>
          </w:tcPr>
          <w:p w:rsidR="00DE7339" w:rsidRPr="00102DB3" w:rsidRDefault="00DE7339">
            <w:pPr>
              <w:pStyle w:val="Avsndare"/>
              <w:framePr w:h="2483" w:wrap="notBeside" w:x="1504"/>
              <w:rPr>
                <w:bCs/>
                <w:iCs/>
              </w:rPr>
            </w:pPr>
          </w:p>
        </w:tc>
      </w:tr>
      <w:tr w:rsidR="00DE7339" w:rsidRPr="00102DB3">
        <w:tblPrEx>
          <w:tblCellMar>
            <w:top w:w="0" w:type="dxa"/>
            <w:bottom w:w="0" w:type="dxa"/>
          </w:tblCellMar>
        </w:tblPrEx>
        <w:trPr>
          <w:trHeight w:val="284"/>
        </w:trPr>
        <w:tc>
          <w:tcPr>
            <w:tcW w:w="4911" w:type="dxa"/>
          </w:tcPr>
          <w:p w:rsidR="00DE7339" w:rsidRPr="00102DB3" w:rsidRDefault="00DE7339">
            <w:pPr>
              <w:pStyle w:val="Avsndare"/>
              <w:framePr w:h="2483" w:wrap="notBeside" w:x="1504"/>
              <w:rPr>
                <w:bCs/>
                <w:iCs/>
              </w:rPr>
            </w:pPr>
          </w:p>
        </w:tc>
      </w:tr>
      <w:tr w:rsidR="00DE7339" w:rsidRPr="00102DB3">
        <w:tblPrEx>
          <w:tblCellMar>
            <w:top w:w="0" w:type="dxa"/>
            <w:bottom w:w="0" w:type="dxa"/>
          </w:tblCellMar>
        </w:tblPrEx>
        <w:trPr>
          <w:trHeight w:val="284"/>
        </w:trPr>
        <w:tc>
          <w:tcPr>
            <w:tcW w:w="4911" w:type="dxa"/>
          </w:tcPr>
          <w:p w:rsidR="00DE7339" w:rsidRPr="00102DB3" w:rsidRDefault="00DE7339">
            <w:pPr>
              <w:pStyle w:val="Avsndare"/>
              <w:framePr w:h="2483" w:wrap="notBeside" w:x="1504"/>
              <w:rPr>
                <w:bCs/>
                <w:iCs/>
              </w:rPr>
            </w:pPr>
          </w:p>
        </w:tc>
      </w:tr>
      <w:tr w:rsidR="00DE7339" w:rsidRPr="00102DB3">
        <w:tblPrEx>
          <w:tblCellMar>
            <w:top w:w="0" w:type="dxa"/>
            <w:bottom w:w="0" w:type="dxa"/>
          </w:tblCellMar>
        </w:tblPrEx>
        <w:trPr>
          <w:trHeight w:val="284"/>
        </w:trPr>
        <w:tc>
          <w:tcPr>
            <w:tcW w:w="4911" w:type="dxa"/>
          </w:tcPr>
          <w:p w:rsidR="00DE7339" w:rsidRPr="00102DB3" w:rsidRDefault="00DE7339">
            <w:pPr>
              <w:pStyle w:val="Avsndare"/>
              <w:framePr w:h="2483" w:wrap="notBeside" w:x="1504"/>
              <w:rPr>
                <w:bCs/>
                <w:iCs/>
              </w:rPr>
            </w:pPr>
          </w:p>
        </w:tc>
      </w:tr>
      <w:tr w:rsidR="00DE7339" w:rsidRPr="00102DB3">
        <w:tblPrEx>
          <w:tblCellMar>
            <w:top w:w="0" w:type="dxa"/>
            <w:bottom w:w="0" w:type="dxa"/>
          </w:tblCellMar>
        </w:tblPrEx>
        <w:trPr>
          <w:trHeight w:val="284"/>
        </w:trPr>
        <w:tc>
          <w:tcPr>
            <w:tcW w:w="4911" w:type="dxa"/>
          </w:tcPr>
          <w:p w:rsidR="00DE7339" w:rsidRPr="00102DB3" w:rsidRDefault="00DE7339">
            <w:pPr>
              <w:pStyle w:val="Avsndare"/>
              <w:framePr w:h="2483" w:wrap="notBeside" w:x="1504"/>
              <w:rPr>
                <w:bCs/>
                <w:iCs/>
              </w:rPr>
            </w:pPr>
          </w:p>
        </w:tc>
      </w:tr>
    </w:tbl>
    <w:p w:rsidR="00DE7339" w:rsidRPr="00102DB3" w:rsidRDefault="00DE7339">
      <w:pPr>
        <w:framePr w:w="4400" w:h="2523" w:wrap="notBeside" w:vAnchor="page" w:hAnchor="page" w:x="6453" w:y="2445"/>
        <w:ind w:left="142"/>
        <w:rPr>
          <w:b/>
        </w:rPr>
      </w:pPr>
    </w:p>
    <w:p w:rsidR="00BC0A54" w:rsidRPr="00102DB3" w:rsidRDefault="002F07AA" w:rsidP="004F00BE">
      <w:pPr>
        <w:pStyle w:val="RKrubrik"/>
        <w:pBdr>
          <w:bottom w:val="single" w:sz="6" w:space="1" w:color="auto"/>
        </w:pBdr>
      </w:pPr>
      <w:bookmarkStart w:id="0" w:name="bRubrik"/>
      <w:bookmarkEnd w:id="0"/>
      <w:r w:rsidRPr="00102DB3">
        <w:t>Rådets möte (</w:t>
      </w:r>
      <w:r w:rsidR="0094190F" w:rsidRPr="00102DB3">
        <w:t>rättsliga och inrikes frågor</w:t>
      </w:r>
      <w:r w:rsidR="00DE7339" w:rsidRPr="00102DB3">
        <w:t xml:space="preserve">) den </w:t>
      </w:r>
      <w:r w:rsidR="00A14F17" w:rsidRPr="00102DB3">
        <w:t>6-7</w:t>
      </w:r>
      <w:r w:rsidRPr="00102DB3">
        <w:t xml:space="preserve"> </w:t>
      </w:r>
      <w:r w:rsidR="00A14F17" w:rsidRPr="00102DB3">
        <w:t>december</w:t>
      </w:r>
      <w:r w:rsidRPr="00102DB3">
        <w:t xml:space="preserve"> 2007</w:t>
      </w:r>
    </w:p>
    <w:p w:rsidR="004F00BE" w:rsidRPr="00102DB3" w:rsidRDefault="0094190F" w:rsidP="0094190F">
      <w:pPr>
        <w:pStyle w:val="RKnormal"/>
        <w:rPr>
          <w:b/>
        </w:rPr>
      </w:pPr>
      <w:r w:rsidRPr="00102DB3">
        <w:rPr>
          <w:b/>
        </w:rPr>
        <w:t>Gemensamma kommittén</w:t>
      </w:r>
    </w:p>
    <w:p w:rsidR="0094190F" w:rsidRPr="00102DB3" w:rsidRDefault="0094190F" w:rsidP="0094190F">
      <w:pPr>
        <w:pStyle w:val="RKnormal"/>
        <w:rPr>
          <w:b/>
        </w:rPr>
      </w:pPr>
    </w:p>
    <w:p w:rsidR="0094190F" w:rsidRPr="00102DB3" w:rsidRDefault="0094190F" w:rsidP="0094190F">
      <w:pPr>
        <w:pStyle w:val="RKnormal"/>
        <w:rPr>
          <w:b/>
        </w:rPr>
      </w:pPr>
      <w:r w:rsidRPr="00102DB3">
        <w:rPr>
          <w:b/>
        </w:rPr>
        <w:t>Dagordningspunkt 3</w:t>
      </w:r>
    </w:p>
    <w:p w:rsidR="0094190F" w:rsidRPr="00102DB3" w:rsidRDefault="0094190F" w:rsidP="0094190F">
      <w:pPr>
        <w:pStyle w:val="RKnormal"/>
        <w:rPr>
          <w:b/>
        </w:rPr>
      </w:pPr>
    </w:p>
    <w:p w:rsidR="00BC0A54" w:rsidRPr="00102DB3" w:rsidRDefault="00BC0A54" w:rsidP="0094190F">
      <w:pPr>
        <w:pStyle w:val="RKnormal"/>
        <w:rPr>
          <w:b/>
        </w:rPr>
      </w:pPr>
      <w:r w:rsidRPr="00102DB3">
        <w:rPr>
          <w:b/>
        </w:rPr>
        <w:t>(ev.) Förslag till Europaparlamentets och rådets direktiv om gemensamma normer och förfaranden för återvändande av tredjelandsmedborgare som vistas olagligt i medlemsstaterna</w:t>
      </w:r>
    </w:p>
    <w:p w:rsidR="00BC0A54" w:rsidRPr="00102DB3" w:rsidRDefault="00DE7339" w:rsidP="004F00BE">
      <w:pPr>
        <w:pStyle w:val="RKrubrik"/>
      </w:pPr>
      <w:r w:rsidRPr="00102DB3">
        <w:t>Dokument</w:t>
      </w:r>
      <w:r w:rsidR="002F07AA" w:rsidRPr="00102DB3">
        <w:t xml:space="preserve"> </w:t>
      </w:r>
    </w:p>
    <w:p w:rsidR="00C941BB" w:rsidRPr="00102DB3" w:rsidRDefault="00C927F9" w:rsidP="005613CE">
      <w:pPr>
        <w:pStyle w:val="RKnormal"/>
      </w:pPr>
      <w:r w:rsidRPr="00102DB3">
        <w:t>-</w:t>
      </w:r>
    </w:p>
    <w:p w:rsidR="00BC0A54" w:rsidRPr="00102DB3" w:rsidRDefault="00DE7339" w:rsidP="004F00BE">
      <w:pPr>
        <w:pStyle w:val="RKrubrik"/>
      </w:pPr>
      <w:r w:rsidRPr="00102DB3">
        <w:t>Tidigare doku</w:t>
      </w:r>
      <w:r w:rsidR="00BC0A54" w:rsidRPr="00102DB3">
        <w:t>ment</w:t>
      </w:r>
      <w:r w:rsidR="002F07AA" w:rsidRPr="00102DB3">
        <w:t xml:space="preserve"> </w:t>
      </w:r>
    </w:p>
    <w:p w:rsidR="000A107C" w:rsidRPr="00102DB3" w:rsidRDefault="002F07AA">
      <w:pPr>
        <w:pStyle w:val="RKnormal"/>
      </w:pPr>
      <w:r w:rsidRPr="00102DB3">
        <w:t xml:space="preserve">Fakta-PM </w:t>
      </w:r>
      <w:r w:rsidR="000A107C" w:rsidRPr="00102DB3">
        <w:t>2005/06:FPM16</w:t>
      </w:r>
    </w:p>
    <w:p w:rsidR="00DE7339" w:rsidRPr="00102DB3" w:rsidRDefault="00DE7339" w:rsidP="004F00BE">
      <w:pPr>
        <w:pStyle w:val="RKrubrik"/>
      </w:pPr>
      <w:r w:rsidRPr="00102DB3">
        <w:t>Tidigare behandlad vid samråd med E</w:t>
      </w:r>
      <w:r w:rsidR="00BC0A54" w:rsidRPr="00102DB3">
        <w:t>U-nämnden</w:t>
      </w:r>
    </w:p>
    <w:p w:rsidR="00DE7339" w:rsidRPr="00102DB3" w:rsidRDefault="006021BA">
      <w:pPr>
        <w:pStyle w:val="RKnormal"/>
      </w:pPr>
      <w:r w:rsidRPr="00102DB3">
        <w:t>6 november 2007</w:t>
      </w:r>
    </w:p>
    <w:p w:rsidR="00DE7339" w:rsidRPr="00102DB3" w:rsidRDefault="00DE7339">
      <w:pPr>
        <w:pStyle w:val="RKrubrik"/>
      </w:pPr>
      <w:r w:rsidRPr="00102DB3">
        <w:t>Bakgrund</w:t>
      </w:r>
    </w:p>
    <w:p w:rsidR="00E25851" w:rsidRPr="00102DB3" w:rsidRDefault="00E25851" w:rsidP="00E25851">
      <w:pPr>
        <w:pStyle w:val="RKnormal"/>
      </w:pPr>
      <w:r w:rsidRPr="00102DB3">
        <w:t>I september 2005 överlämnade KOM till rådet ett förslag till direktiv om gemensamma standarder för återvändande av personer som vistas olagligt i medlemsstaterna. En majoritet av medlemsstaterna har ha</w:t>
      </w:r>
      <w:r w:rsidR="009563DA" w:rsidRPr="00102DB3">
        <w:t>ft omfattande synpunkter på</w:t>
      </w:r>
      <w:r w:rsidRPr="00102DB3">
        <w:t xml:space="preserve"> betydande delar av förslaget.</w:t>
      </w:r>
    </w:p>
    <w:p w:rsidR="00E25851" w:rsidRPr="00102DB3" w:rsidRDefault="00E25851" w:rsidP="00E25851">
      <w:pPr>
        <w:pStyle w:val="RKnormal"/>
      </w:pPr>
    </w:p>
    <w:p w:rsidR="00DE7339" w:rsidRPr="00102DB3" w:rsidRDefault="00E25851">
      <w:pPr>
        <w:pStyle w:val="RKnormal"/>
      </w:pPr>
      <w:r w:rsidRPr="00102DB3">
        <w:t xml:space="preserve">Det portugisiska ordförandeskapet har mot denna bakgrund presenterat ett kompromissförslag som innebär en lägre harmoniseringsgrad. Kompromissförslaget har behandlats på </w:t>
      </w:r>
      <w:r w:rsidR="009563DA" w:rsidRPr="00102DB3">
        <w:t>tjänstemannanivå.</w:t>
      </w:r>
    </w:p>
    <w:p w:rsidR="00A72553" w:rsidRPr="00102DB3" w:rsidRDefault="00A72553">
      <w:pPr>
        <w:pStyle w:val="RKnormal"/>
      </w:pPr>
    </w:p>
    <w:p w:rsidR="00A72553" w:rsidRPr="00102DB3" w:rsidRDefault="00A72553" w:rsidP="001B677E">
      <w:pPr>
        <w:rPr>
          <w:iCs/>
        </w:rPr>
      </w:pPr>
      <w:r w:rsidRPr="00102DB3">
        <w:rPr>
          <w:szCs w:val="24"/>
        </w:rPr>
        <w:t xml:space="preserve">Syftet med behandlingen i RIF-rådet är att ORDF vill informera om läget i </w:t>
      </w:r>
      <w:r w:rsidR="008E7925" w:rsidRPr="00102DB3">
        <w:t xml:space="preserve"> förhandlingarna.</w:t>
      </w:r>
    </w:p>
    <w:p w:rsidR="00DE7339" w:rsidRPr="00102DB3" w:rsidRDefault="00DE7339">
      <w:pPr>
        <w:pStyle w:val="RKrubrik"/>
      </w:pPr>
      <w:r w:rsidRPr="00102DB3">
        <w:lastRenderedPageBreak/>
        <w:t>Rättslig grund och beslutsförfarande</w:t>
      </w:r>
    </w:p>
    <w:p w:rsidR="00DE7339" w:rsidRPr="00102DB3" w:rsidRDefault="00E25851">
      <w:pPr>
        <w:pStyle w:val="RKnormal"/>
      </w:pPr>
      <w:r w:rsidRPr="00102DB3">
        <w:t>Rättslig grund: Artikel 63.3 b i EG-fördraget. Beslutsförfarande: Artikel 251 i EG-fördraget, medbeslutandeproceduren.</w:t>
      </w:r>
    </w:p>
    <w:p w:rsidR="00DE7339" w:rsidRPr="00102DB3" w:rsidRDefault="00DE7339">
      <w:pPr>
        <w:pStyle w:val="RKrubrik"/>
        <w:rPr>
          <w:iCs/>
        </w:rPr>
      </w:pPr>
      <w:r w:rsidRPr="00102DB3">
        <w:rPr>
          <w:iCs/>
        </w:rPr>
        <w:t>Svensk ståndpunkt</w:t>
      </w:r>
    </w:p>
    <w:p w:rsidR="005A2F1D" w:rsidRPr="00102DB3" w:rsidRDefault="005A2F1D" w:rsidP="005A2F1D">
      <w:pPr>
        <w:pStyle w:val="RKnormal"/>
      </w:pPr>
      <w:r w:rsidRPr="00102DB3">
        <w:t>Sverige välkomnar kompromissförslaget. Förslaget medför en harmonisering av återvändandeförfaranden som väl låter sig förenas med principerna om subsidiaritet och proportionalitet.</w:t>
      </w:r>
    </w:p>
    <w:p w:rsidR="005A2F1D" w:rsidRPr="00102DB3" w:rsidRDefault="005A2F1D" w:rsidP="005A2F1D">
      <w:pPr>
        <w:pStyle w:val="RKnormal"/>
      </w:pPr>
    </w:p>
    <w:p w:rsidR="005A2F1D" w:rsidRPr="00102DB3" w:rsidRDefault="005A2F1D" w:rsidP="005A2F1D">
      <w:pPr>
        <w:pStyle w:val="RKnormal"/>
        <w:rPr>
          <w:bCs/>
          <w:iCs/>
        </w:rPr>
      </w:pPr>
      <w:r w:rsidRPr="00102DB3">
        <w:rPr>
          <w:bCs/>
          <w:iCs/>
        </w:rPr>
        <w:t xml:space="preserve">Det föreslås att beslut om avvisning eller utvisning ska meddelas för det fall en person vistas olagligt på en medlemsstats territorium. Besluten </w:t>
      </w:r>
      <w:r w:rsidR="003047AA" w:rsidRPr="00102DB3">
        <w:rPr>
          <w:bCs/>
          <w:iCs/>
        </w:rPr>
        <w:t>ska</w:t>
      </w:r>
      <w:r w:rsidRPr="00102DB3">
        <w:rPr>
          <w:bCs/>
          <w:iCs/>
        </w:rPr>
        <w:t xml:space="preserve"> kunna överklagas och en medlemsstat kan när som helst, även efter det att ett avlägsnandebeslut har meddelats, istället bevilja ett uppehållstillstånd om förutsättningarna enligt landets lagstiftning föreligger. Förslagen ger således ett tydligt ansvar för medlemsstaterna att reglera personers vistelser inom gemenskapen, utan alltför detaljerade föreskrifter. Vidare är förslaget om återreseförbud utformat så att ett tydligt incitament skapas för enskilda att följa meddelade beslut om avvisning eller utvisning genom att återvända självmant. </w:t>
      </w:r>
      <w:r w:rsidR="004B4D05" w:rsidRPr="00102DB3">
        <w:t>Bestämmelsen ska möjliggöra för våra myndigheter att antingen avstå från att meddela ett återreseförbud, eller att häva eller återkalla förbudet om en person reser hem självmant eller av hänsyn till humanitära skäl.</w:t>
      </w:r>
      <w:r w:rsidR="004B4D05" w:rsidRPr="00102DB3">
        <w:rPr>
          <w:bCs/>
          <w:iCs/>
        </w:rPr>
        <w:t xml:space="preserve"> </w:t>
      </w:r>
      <w:r w:rsidRPr="00102DB3">
        <w:rPr>
          <w:bCs/>
          <w:iCs/>
        </w:rPr>
        <w:t>Detta sammantaget medför ett europeiskt mervärde.</w:t>
      </w:r>
    </w:p>
    <w:p w:rsidR="00DE7339" w:rsidRPr="00102DB3" w:rsidRDefault="005A2F1D">
      <w:pPr>
        <w:pStyle w:val="RKrubrik"/>
      </w:pPr>
      <w:r w:rsidRPr="00102DB3">
        <w:t>Europ</w:t>
      </w:r>
      <w:r w:rsidR="00DE7339" w:rsidRPr="00102DB3">
        <w:t>aparlamentets inställning</w:t>
      </w:r>
    </w:p>
    <w:p w:rsidR="00DE7339" w:rsidRPr="00102DB3" w:rsidRDefault="009074FB">
      <w:pPr>
        <w:pStyle w:val="RKnormal"/>
      </w:pPr>
      <w:r w:rsidRPr="00102DB3">
        <w:t>Europaparlament</w:t>
      </w:r>
      <w:r w:rsidR="00BD44E4" w:rsidRPr="00102DB3">
        <w:t>et har ännu inte röstat om sitt</w:t>
      </w:r>
      <w:r w:rsidRPr="00102DB3">
        <w:t xml:space="preserve"> ändringsförslag.</w:t>
      </w:r>
      <w:r w:rsidR="004500B3" w:rsidRPr="00102DB3">
        <w:t xml:space="preserve"> Det kan förväntas att EP:s förslag skiljer sig från det kompromissförslag som rådet behandlar.</w:t>
      </w:r>
    </w:p>
    <w:p w:rsidR="00DE7339" w:rsidRPr="00102DB3" w:rsidRDefault="00DE7339">
      <w:pPr>
        <w:pStyle w:val="RKrubrik"/>
        <w:rPr>
          <w:iCs/>
        </w:rPr>
      </w:pPr>
      <w:r w:rsidRPr="00102DB3">
        <w:rPr>
          <w:iCs/>
        </w:rPr>
        <w:t>Förslaget</w:t>
      </w:r>
    </w:p>
    <w:p w:rsidR="00F82507" w:rsidRPr="00102DB3" w:rsidRDefault="00F82507" w:rsidP="00F82507">
      <w:pPr>
        <w:pStyle w:val="RKnormal"/>
      </w:pPr>
      <w:r w:rsidRPr="00102DB3">
        <w:t>I direktivet föreslås gemensamma bestämmelser för återvändande av personer som vistas olagligt i medlemsstaterna.</w:t>
      </w:r>
    </w:p>
    <w:p w:rsidR="00F82507" w:rsidRPr="00102DB3" w:rsidRDefault="00F82507" w:rsidP="00F82507">
      <w:pPr>
        <w:pStyle w:val="RKnormal"/>
      </w:pPr>
    </w:p>
    <w:p w:rsidR="00F82507" w:rsidRPr="00102DB3" w:rsidRDefault="00CD7BA8" w:rsidP="00F82507">
      <w:pPr>
        <w:pStyle w:val="RKnormal"/>
      </w:pPr>
      <w:r w:rsidRPr="00102DB3">
        <w:t>I direktivet föreslås</w:t>
      </w:r>
      <w:r w:rsidR="00EC7A0C" w:rsidRPr="00102DB3">
        <w:t xml:space="preserve"> i huvudsak</w:t>
      </w:r>
      <w:r w:rsidRPr="00102DB3">
        <w:t>:</w:t>
      </w:r>
    </w:p>
    <w:p w:rsidR="00F82507" w:rsidRPr="00102DB3" w:rsidRDefault="00CD7BA8" w:rsidP="00F82507">
      <w:pPr>
        <w:pStyle w:val="RKnormal"/>
      </w:pPr>
      <w:r w:rsidRPr="00102DB3">
        <w:t xml:space="preserve">- </w:t>
      </w:r>
      <w:r w:rsidR="00F82507" w:rsidRPr="00102DB3">
        <w:t>En skyldighet att meddela avlägsnandebeslut och att verkställa meddelade beslut.</w:t>
      </w:r>
    </w:p>
    <w:p w:rsidR="00F82507" w:rsidRPr="00102DB3" w:rsidRDefault="00F82507" w:rsidP="00F82507">
      <w:pPr>
        <w:pStyle w:val="RKnormal"/>
      </w:pPr>
      <w:r w:rsidRPr="00102DB3">
        <w:t>- En möjlighet att skjuta upp verkställigheter.</w:t>
      </w:r>
    </w:p>
    <w:p w:rsidR="00F82507" w:rsidRPr="00102DB3" w:rsidRDefault="00F82507" w:rsidP="00F82507">
      <w:pPr>
        <w:pStyle w:val="RKnormal"/>
      </w:pPr>
      <w:r w:rsidRPr="00102DB3">
        <w:t xml:space="preserve">- En period för </w:t>
      </w:r>
      <w:r w:rsidR="00EC7A0C" w:rsidRPr="00102DB3">
        <w:t>självmant återvändande</w:t>
      </w:r>
      <w:r w:rsidRPr="00102DB3">
        <w:t>.</w:t>
      </w:r>
    </w:p>
    <w:p w:rsidR="00F82507" w:rsidRPr="00102DB3" w:rsidRDefault="00EC7A0C" w:rsidP="00F82507">
      <w:pPr>
        <w:pStyle w:val="RKnormal"/>
      </w:pPr>
      <w:r w:rsidRPr="00102DB3">
        <w:t>- Återreseförbud ska</w:t>
      </w:r>
      <w:r w:rsidR="00F82507" w:rsidRPr="00102DB3">
        <w:t xml:space="preserve"> meddelas, med möjlighet att återkalla förbudet tex. om utresan görs självmant.</w:t>
      </w:r>
    </w:p>
    <w:p w:rsidR="00F82507" w:rsidRPr="00102DB3" w:rsidRDefault="00EC7A0C" w:rsidP="00F82507">
      <w:pPr>
        <w:pStyle w:val="RKnormal"/>
      </w:pPr>
      <w:r w:rsidRPr="00102DB3">
        <w:t>- Beslut ska</w:t>
      </w:r>
      <w:r w:rsidR="00F82507" w:rsidRPr="00102DB3">
        <w:t xml:space="preserve"> meddelas och motiveras skriftligen.</w:t>
      </w:r>
    </w:p>
    <w:p w:rsidR="00F82507" w:rsidRPr="00102DB3" w:rsidRDefault="00EC7A0C" w:rsidP="00F82507">
      <w:pPr>
        <w:pStyle w:val="RKnormal"/>
      </w:pPr>
      <w:r w:rsidRPr="00102DB3">
        <w:t>- Beslut ska</w:t>
      </w:r>
      <w:r w:rsidR="00F82507" w:rsidRPr="00102DB3">
        <w:t xml:space="preserve"> kunna överklagas.</w:t>
      </w:r>
    </w:p>
    <w:p w:rsidR="00F82507" w:rsidRPr="00102DB3" w:rsidRDefault="00F82507" w:rsidP="00F82507">
      <w:pPr>
        <w:pStyle w:val="RKnormal"/>
      </w:pPr>
      <w:r w:rsidRPr="00102DB3">
        <w:t>- Visst stöd fö</w:t>
      </w:r>
      <w:r w:rsidR="00EC7A0C" w:rsidRPr="00102DB3">
        <w:t>r försörjning och sjukvård ska</w:t>
      </w:r>
      <w:r w:rsidRPr="00102DB3">
        <w:t xml:space="preserve"> ges fram till utresan.</w:t>
      </w:r>
    </w:p>
    <w:p w:rsidR="00F82507" w:rsidRPr="00102DB3" w:rsidRDefault="00F82507" w:rsidP="00F82507">
      <w:pPr>
        <w:pStyle w:val="RKnormal"/>
      </w:pPr>
      <w:r w:rsidRPr="00102DB3">
        <w:t xml:space="preserve">- Beslut om förvar </w:t>
      </w:r>
      <w:r w:rsidR="00EC7A0C" w:rsidRPr="00102DB3">
        <w:t>ska</w:t>
      </w:r>
      <w:r w:rsidRPr="00102DB3">
        <w:rPr>
          <w:i/>
        </w:rPr>
        <w:t xml:space="preserve"> </w:t>
      </w:r>
      <w:r w:rsidRPr="00102DB3">
        <w:t>meddelas under vissa förutsättningar.</w:t>
      </w:r>
    </w:p>
    <w:p w:rsidR="00F82507" w:rsidRPr="00102DB3" w:rsidRDefault="00EC7A0C" w:rsidP="00F82507">
      <w:pPr>
        <w:pStyle w:val="RKnormal"/>
      </w:pPr>
      <w:r w:rsidRPr="00102DB3">
        <w:t>- Beslut om förvar ska</w:t>
      </w:r>
      <w:r w:rsidR="00F82507" w:rsidRPr="00102DB3">
        <w:t xml:space="preserve"> kunna prövas av domstol inom viss tid.</w:t>
      </w:r>
    </w:p>
    <w:p w:rsidR="00F82507" w:rsidRPr="00102DB3" w:rsidRDefault="00F82507" w:rsidP="00F82507">
      <w:pPr>
        <w:pStyle w:val="RKnormal"/>
      </w:pPr>
      <w:r w:rsidRPr="00102DB3">
        <w:t>- En maximitid på sex månader för förvar – med möjlighet till förlängning.</w:t>
      </w:r>
    </w:p>
    <w:p w:rsidR="00F82507" w:rsidRPr="00102DB3" w:rsidRDefault="00F82507" w:rsidP="00F82507">
      <w:pPr>
        <w:pStyle w:val="RKnormal"/>
      </w:pPr>
      <w:r w:rsidRPr="00102DB3">
        <w:t xml:space="preserve">- Beslut om förvar </w:t>
      </w:r>
      <w:r w:rsidR="003047AA" w:rsidRPr="00102DB3">
        <w:t>ska</w:t>
      </w:r>
      <w:r w:rsidRPr="00102DB3">
        <w:t xml:space="preserve"> verkställas i särskilda förvarsanläggningar.</w:t>
      </w:r>
    </w:p>
    <w:p w:rsidR="00DE7339" w:rsidRPr="00102DB3" w:rsidRDefault="00F82507">
      <w:pPr>
        <w:pStyle w:val="RKnormal"/>
      </w:pPr>
      <w:r w:rsidRPr="00102DB3">
        <w:t>- Ett påskyndat förfara</w:t>
      </w:r>
      <w:r w:rsidR="00EC7A0C" w:rsidRPr="00102DB3">
        <w:t>nde ska</w:t>
      </w:r>
      <w:r w:rsidRPr="00102DB3">
        <w:t xml:space="preserve"> kunna tillämpas.</w:t>
      </w:r>
    </w:p>
    <w:p w:rsidR="00DE7339" w:rsidRPr="00102DB3" w:rsidRDefault="00DE7339">
      <w:pPr>
        <w:pStyle w:val="RKrubrik"/>
        <w:rPr>
          <w:iCs/>
        </w:rPr>
      </w:pPr>
      <w:r w:rsidRPr="00102DB3">
        <w:rPr>
          <w:iCs/>
        </w:rPr>
        <w:t>Gällande svenska regler och förslagets effekter på dessa</w:t>
      </w:r>
    </w:p>
    <w:p w:rsidR="00DE7339" w:rsidRPr="00102DB3" w:rsidRDefault="003C1B06">
      <w:pPr>
        <w:pStyle w:val="RKnormal"/>
      </w:pPr>
      <w:r w:rsidRPr="00102DB3">
        <w:t>Författningsändringar kan komma att krävas. Det är främ</w:t>
      </w:r>
      <w:r w:rsidR="001C2D66" w:rsidRPr="00102DB3">
        <w:t xml:space="preserve">st fråga om ändringar i </w:t>
      </w:r>
      <w:r w:rsidRPr="00102DB3">
        <w:t>utlänningslagen (2005:716)</w:t>
      </w:r>
      <w:r w:rsidR="001C2D66" w:rsidRPr="00102DB3">
        <w:t>, UtlL.</w:t>
      </w:r>
      <w:r w:rsidRPr="00102DB3">
        <w:t xml:space="preserve"> Detta gäller särs</w:t>
      </w:r>
      <w:r w:rsidR="000B60A3" w:rsidRPr="00102DB3">
        <w:t xml:space="preserve">kilt bestämmelserna </w:t>
      </w:r>
      <w:r w:rsidR="001C2D66" w:rsidRPr="00102DB3">
        <w:t>i 10 kap. U</w:t>
      </w:r>
      <w:r w:rsidRPr="00102DB3">
        <w:t>tlL om förfarandet vid och möjligheten att besluta om förvar samt bestämmelser</w:t>
      </w:r>
      <w:r w:rsidR="001C2D66" w:rsidRPr="00102DB3">
        <w:t>na om återreseförbud i 8 kap. U</w:t>
      </w:r>
      <w:r w:rsidRPr="00102DB3">
        <w:t>tlL.</w:t>
      </w:r>
    </w:p>
    <w:p w:rsidR="00DE7339" w:rsidRPr="00102DB3" w:rsidRDefault="00DE7339">
      <w:pPr>
        <w:pStyle w:val="RKrubrik"/>
      </w:pPr>
      <w:r w:rsidRPr="00102DB3">
        <w:t>Ekonomiska konsekvenser</w:t>
      </w:r>
    </w:p>
    <w:p w:rsidR="00DE7339" w:rsidRPr="00102DB3" w:rsidRDefault="0091401E">
      <w:pPr>
        <w:pStyle w:val="RKnormal"/>
      </w:pPr>
      <w:r w:rsidRPr="00102DB3">
        <w:t xml:space="preserve">Förslaget kan innebära att asylsökande, efter att ha meddelats beslut om avvisning eller utvisning, stannar kvar en kortare tid i mottagningssystemet än vad som är fallet idag. Detta </w:t>
      </w:r>
      <w:r w:rsidR="00B95838" w:rsidRPr="00102DB3">
        <w:t>skulle</w:t>
      </w:r>
      <w:r w:rsidRPr="00102DB3">
        <w:t xml:space="preserve"> leda till minskade kostnader. </w:t>
      </w:r>
      <w:r w:rsidR="002912EB" w:rsidRPr="00102DB3">
        <w:t>Förslaget om vilka</w:t>
      </w:r>
      <w:r w:rsidR="00B95838" w:rsidRPr="00102DB3">
        <w:t xml:space="preserve"> mottagningsförhållanden som </w:t>
      </w:r>
      <w:r w:rsidR="003047AA" w:rsidRPr="00102DB3">
        <w:t>ska</w:t>
      </w:r>
      <w:r w:rsidR="00B95838" w:rsidRPr="00102DB3">
        <w:t xml:space="preserve"> gälla efter att ett avlägsnandebeslut har meddelats och innan utresa kan dock minska effekten av denna besparing. </w:t>
      </w:r>
      <w:r w:rsidRPr="00102DB3">
        <w:t xml:space="preserve">Om effekten av direktivets genomförande i andra medlemsstater leder till att personer som vistas olagligt i större utsträckning meddelas avlägsnandebeslut, och att dessa beslut också verkställs, kan det i förlängningen leda till </w:t>
      </w:r>
      <w:r w:rsidR="00B95838" w:rsidRPr="00102DB3">
        <w:t xml:space="preserve">att </w:t>
      </w:r>
      <w:r w:rsidR="00B95838" w:rsidRPr="00102DB3">
        <w:rPr>
          <w:rFonts w:cs="Courier New"/>
          <w:color w:val="000000"/>
        </w:rPr>
        <w:t>den inte ringa överströmningen från andra medlemsstater till Sverige skulle kunna minskas</w:t>
      </w:r>
      <w:r w:rsidR="002912EB" w:rsidRPr="00102DB3">
        <w:rPr>
          <w:rFonts w:cs="Courier New"/>
          <w:color w:val="000000"/>
        </w:rPr>
        <w:t>, med minskade kostnader som följd</w:t>
      </w:r>
      <w:r w:rsidR="00B95838" w:rsidRPr="00102DB3">
        <w:rPr>
          <w:rFonts w:cs="Courier New"/>
          <w:color w:val="000000"/>
        </w:rPr>
        <w:t>.</w:t>
      </w:r>
    </w:p>
    <w:p w:rsidR="00DE7339" w:rsidRPr="00102DB3" w:rsidRDefault="00DE7339">
      <w:pPr>
        <w:pStyle w:val="RKrubrik"/>
      </w:pPr>
      <w:r w:rsidRPr="00102DB3">
        <w:t>Övrigt</w:t>
      </w:r>
    </w:p>
    <w:p w:rsidR="00DE7339" w:rsidRPr="00102DB3" w:rsidRDefault="00F82507">
      <w:pPr>
        <w:pStyle w:val="RKnormal"/>
      </w:pPr>
      <w:r w:rsidRPr="00102DB3">
        <w:t>-</w:t>
      </w:r>
    </w:p>
    <w:p w:rsidR="00DE7339" w:rsidRPr="00102DB3" w:rsidRDefault="00DE7339">
      <w:pPr>
        <w:pStyle w:val="RKnormal"/>
        <w:rPr>
          <w:i/>
          <w:iCs/>
        </w:rPr>
      </w:pPr>
    </w:p>
    <w:p w:rsidR="00DE7339" w:rsidRPr="00102DB3" w:rsidRDefault="00DE7339">
      <w:pPr>
        <w:pStyle w:val="RKnormal"/>
        <w:ind w:left="-1134"/>
      </w:pPr>
    </w:p>
    <w:p w:rsidR="00DE7339" w:rsidRPr="00102DB3" w:rsidRDefault="00DE7339">
      <w:pPr>
        <w:pStyle w:val="RKrubrik"/>
        <w:spacing w:before="0" w:after="0"/>
      </w:pPr>
    </w:p>
    <w:p w:rsidR="00DE7339" w:rsidRPr="00102DB3" w:rsidRDefault="00DE7339">
      <w:pPr>
        <w:pStyle w:val="RKnormal"/>
      </w:pPr>
    </w:p>
    <w:p w:rsidR="00DE7339" w:rsidRPr="00102DB3" w:rsidRDefault="00DE7339">
      <w:pPr>
        <w:pStyle w:val="RKnormal"/>
      </w:pPr>
    </w:p>
    <w:sectPr w:rsidR="00DE7339" w:rsidRPr="00102DB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7AE" w:rsidRPr="00102DB3" w:rsidRDefault="007807AE">
      <w:r w:rsidRPr="00102DB3">
        <w:separator/>
      </w:r>
    </w:p>
  </w:endnote>
  <w:endnote w:type="continuationSeparator" w:id="0">
    <w:p w:rsidR="007807AE" w:rsidRPr="00102DB3" w:rsidRDefault="007807AE">
      <w:r w:rsidRPr="00102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7AE" w:rsidRPr="00102DB3" w:rsidRDefault="007807AE">
      <w:r w:rsidRPr="00102DB3">
        <w:separator/>
      </w:r>
    </w:p>
  </w:footnote>
  <w:footnote w:type="continuationSeparator" w:id="0">
    <w:p w:rsidR="007807AE" w:rsidRPr="00102DB3" w:rsidRDefault="007807AE">
      <w:r w:rsidRPr="00102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7E" w:rsidRPr="00102DB3" w:rsidRDefault="001B677E">
    <w:pPr>
      <w:pStyle w:val="Sidhuvud"/>
      <w:framePr w:wrap="around" w:vAnchor="text" w:hAnchor="margin" w:xAlign="right" w:y="1"/>
      <w:rPr>
        <w:rStyle w:val="Sidnummer"/>
      </w:rPr>
    </w:pPr>
    <w:r w:rsidRPr="00102DB3">
      <w:rPr>
        <w:rStyle w:val="Sidnummer"/>
      </w:rPr>
      <w:fldChar w:fldCharType="begin" w:fldLock="1"/>
    </w:r>
    <w:r w:rsidRPr="00102DB3">
      <w:rPr>
        <w:rStyle w:val="Sidnummer"/>
      </w:rPr>
      <w:instrText xml:space="preserve">PAGE  </w:instrText>
    </w:r>
    <w:r w:rsidRPr="00102DB3">
      <w:rPr>
        <w:rStyle w:val="Sidnummer"/>
      </w:rPr>
      <w:fldChar w:fldCharType="separate"/>
    </w:r>
    <w:r w:rsidR="00C927F9" w:rsidRPr="00102DB3">
      <w:rPr>
        <w:rStyle w:val="Sidnummer"/>
      </w:rPr>
      <w:t>2</w:t>
    </w:r>
    <w:r w:rsidRPr="00102DB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B677E" w:rsidRPr="00102DB3">
      <w:tblPrEx>
        <w:tblCellMar>
          <w:top w:w="0" w:type="dxa"/>
          <w:bottom w:w="0" w:type="dxa"/>
        </w:tblCellMar>
      </w:tblPrEx>
      <w:trPr>
        <w:cantSplit/>
      </w:trPr>
      <w:tc>
        <w:tcPr>
          <w:tcW w:w="3119" w:type="dxa"/>
        </w:tcPr>
        <w:p w:rsidR="001B677E" w:rsidRPr="00102DB3" w:rsidRDefault="001B677E">
          <w:pPr>
            <w:pStyle w:val="Sidhuvud"/>
            <w:spacing w:line="200" w:lineRule="atLeast"/>
            <w:ind w:right="357"/>
            <w:rPr>
              <w:rFonts w:ascii="TradeGothic" w:hAnsi="TradeGothic"/>
              <w:b/>
              <w:bCs/>
              <w:sz w:val="16"/>
            </w:rPr>
          </w:pPr>
        </w:p>
      </w:tc>
      <w:tc>
        <w:tcPr>
          <w:tcW w:w="4111" w:type="dxa"/>
          <w:tcMar>
            <w:left w:w="567" w:type="dxa"/>
          </w:tcMar>
        </w:tcPr>
        <w:p w:rsidR="001B677E" w:rsidRPr="00102DB3" w:rsidRDefault="001B677E">
          <w:pPr>
            <w:pStyle w:val="Sidhuvud"/>
            <w:ind w:right="360"/>
          </w:pPr>
        </w:p>
      </w:tc>
      <w:tc>
        <w:tcPr>
          <w:tcW w:w="1525" w:type="dxa"/>
        </w:tcPr>
        <w:p w:rsidR="001B677E" w:rsidRPr="00102DB3" w:rsidRDefault="001B677E">
          <w:pPr>
            <w:pStyle w:val="Sidhuvud"/>
            <w:ind w:right="360"/>
          </w:pPr>
        </w:p>
      </w:tc>
    </w:tr>
  </w:tbl>
  <w:p w:rsidR="001B677E" w:rsidRPr="00102DB3" w:rsidRDefault="001B677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7E" w:rsidRPr="00102DB3" w:rsidRDefault="001B677E">
    <w:pPr>
      <w:pStyle w:val="Sidhuvud"/>
      <w:framePr w:wrap="around" w:vAnchor="text" w:hAnchor="margin" w:xAlign="right" w:y="1"/>
      <w:rPr>
        <w:rStyle w:val="Sidnummer"/>
      </w:rPr>
    </w:pPr>
    <w:r w:rsidRPr="00102DB3">
      <w:rPr>
        <w:rStyle w:val="Sidnummer"/>
      </w:rPr>
      <w:fldChar w:fldCharType="begin" w:fldLock="1"/>
    </w:r>
    <w:r w:rsidRPr="00102DB3">
      <w:rPr>
        <w:rStyle w:val="Sidnummer"/>
      </w:rPr>
      <w:instrText xml:space="preserve">PAGE  </w:instrText>
    </w:r>
    <w:r w:rsidRPr="00102DB3">
      <w:rPr>
        <w:rStyle w:val="Sidnummer"/>
      </w:rPr>
      <w:fldChar w:fldCharType="separate"/>
    </w:r>
    <w:r w:rsidR="00C927F9" w:rsidRPr="00102DB3">
      <w:rPr>
        <w:rStyle w:val="Sidnummer"/>
      </w:rPr>
      <w:t>3</w:t>
    </w:r>
    <w:r w:rsidRPr="00102DB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B677E" w:rsidRPr="00102DB3">
      <w:tblPrEx>
        <w:tblCellMar>
          <w:top w:w="0" w:type="dxa"/>
          <w:bottom w:w="0" w:type="dxa"/>
        </w:tblCellMar>
      </w:tblPrEx>
      <w:trPr>
        <w:cantSplit/>
      </w:trPr>
      <w:tc>
        <w:tcPr>
          <w:tcW w:w="3119" w:type="dxa"/>
        </w:tcPr>
        <w:p w:rsidR="001B677E" w:rsidRPr="00102DB3" w:rsidRDefault="001B677E">
          <w:pPr>
            <w:pStyle w:val="Sidhuvud"/>
            <w:spacing w:line="200" w:lineRule="atLeast"/>
            <w:ind w:right="357"/>
            <w:rPr>
              <w:rFonts w:ascii="TradeGothic" w:hAnsi="TradeGothic"/>
              <w:b/>
              <w:bCs/>
              <w:sz w:val="16"/>
            </w:rPr>
          </w:pPr>
        </w:p>
      </w:tc>
      <w:tc>
        <w:tcPr>
          <w:tcW w:w="4111" w:type="dxa"/>
          <w:tcMar>
            <w:left w:w="567" w:type="dxa"/>
          </w:tcMar>
        </w:tcPr>
        <w:p w:rsidR="001B677E" w:rsidRPr="00102DB3" w:rsidRDefault="001B677E">
          <w:pPr>
            <w:pStyle w:val="Sidhuvud"/>
            <w:ind w:right="360"/>
          </w:pPr>
        </w:p>
      </w:tc>
      <w:tc>
        <w:tcPr>
          <w:tcW w:w="1525" w:type="dxa"/>
        </w:tcPr>
        <w:p w:rsidR="001B677E" w:rsidRPr="00102DB3" w:rsidRDefault="001B677E">
          <w:pPr>
            <w:pStyle w:val="Sidhuvud"/>
            <w:ind w:right="360"/>
          </w:pPr>
        </w:p>
      </w:tc>
    </w:tr>
  </w:tbl>
  <w:p w:rsidR="001B677E" w:rsidRPr="00102DB3" w:rsidRDefault="001B677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7E" w:rsidRPr="00102DB3" w:rsidRDefault="00102DB3">
    <w:pPr>
      <w:framePr w:w="2948" w:h="1321" w:hRule="exact" w:wrap="notBeside" w:vAnchor="page" w:hAnchor="page" w:x="1362" w:y="653"/>
    </w:pPr>
    <w:r w:rsidRPr="00102DB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B677E" w:rsidRPr="00102DB3" w:rsidRDefault="001B677E">
    <w:pPr>
      <w:pStyle w:val="RKrubrik"/>
      <w:keepNext w:val="0"/>
      <w:tabs>
        <w:tab w:val="clear" w:pos="1134"/>
        <w:tab w:val="clear" w:pos="2835"/>
      </w:tabs>
      <w:spacing w:before="0" w:after="0" w:line="320" w:lineRule="atLeast"/>
      <w:rPr>
        <w:bCs/>
      </w:rPr>
    </w:pPr>
  </w:p>
  <w:p w:rsidR="001B677E" w:rsidRPr="00102DB3" w:rsidRDefault="001B677E">
    <w:pPr>
      <w:rPr>
        <w:rFonts w:ascii="TradeGothic" w:hAnsi="TradeGothic"/>
        <w:b/>
        <w:bCs/>
        <w:spacing w:val="12"/>
        <w:sz w:val="22"/>
      </w:rPr>
    </w:pPr>
  </w:p>
  <w:p w:rsidR="001B677E" w:rsidRPr="00102DB3" w:rsidRDefault="001B677E">
    <w:pPr>
      <w:pStyle w:val="RKrubrik"/>
      <w:keepNext w:val="0"/>
      <w:tabs>
        <w:tab w:val="clear" w:pos="1134"/>
        <w:tab w:val="clear" w:pos="2835"/>
      </w:tabs>
      <w:spacing w:before="0" w:after="0" w:line="320" w:lineRule="atLeast"/>
      <w:rPr>
        <w:bCs/>
      </w:rPr>
    </w:pPr>
  </w:p>
  <w:p w:rsidR="001B677E" w:rsidRPr="00102DB3" w:rsidRDefault="001B677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334C7"/>
    <w:rsid w:val="000357DF"/>
    <w:rsid w:val="000479A2"/>
    <w:rsid w:val="000A107C"/>
    <w:rsid w:val="000B60A3"/>
    <w:rsid w:val="000C0DD1"/>
    <w:rsid w:val="00102DB3"/>
    <w:rsid w:val="0014429E"/>
    <w:rsid w:val="001663ED"/>
    <w:rsid w:val="001A5979"/>
    <w:rsid w:val="001B1B9D"/>
    <w:rsid w:val="001B677E"/>
    <w:rsid w:val="001C2D66"/>
    <w:rsid w:val="001D57B4"/>
    <w:rsid w:val="00272416"/>
    <w:rsid w:val="002912EB"/>
    <w:rsid w:val="002C441D"/>
    <w:rsid w:val="002E1CF0"/>
    <w:rsid w:val="002E3B3B"/>
    <w:rsid w:val="002F07AA"/>
    <w:rsid w:val="003047AA"/>
    <w:rsid w:val="00306E5C"/>
    <w:rsid w:val="0032162E"/>
    <w:rsid w:val="003C1B06"/>
    <w:rsid w:val="003C66E9"/>
    <w:rsid w:val="004500B3"/>
    <w:rsid w:val="004A5F24"/>
    <w:rsid w:val="004B4D05"/>
    <w:rsid w:val="004E3784"/>
    <w:rsid w:val="004F00BE"/>
    <w:rsid w:val="005569B4"/>
    <w:rsid w:val="005613CE"/>
    <w:rsid w:val="005A2F1D"/>
    <w:rsid w:val="005C04EA"/>
    <w:rsid w:val="005D2362"/>
    <w:rsid w:val="005F4395"/>
    <w:rsid w:val="006021BA"/>
    <w:rsid w:val="006A5DB8"/>
    <w:rsid w:val="007807AE"/>
    <w:rsid w:val="007A45AC"/>
    <w:rsid w:val="007B07A0"/>
    <w:rsid w:val="00810E1C"/>
    <w:rsid w:val="008A5C35"/>
    <w:rsid w:val="008E7925"/>
    <w:rsid w:val="009074FB"/>
    <w:rsid w:val="00907B2C"/>
    <w:rsid w:val="0091401E"/>
    <w:rsid w:val="0094190F"/>
    <w:rsid w:val="009563DA"/>
    <w:rsid w:val="00982F30"/>
    <w:rsid w:val="009D1DF9"/>
    <w:rsid w:val="009D6807"/>
    <w:rsid w:val="009E5E12"/>
    <w:rsid w:val="00A14F17"/>
    <w:rsid w:val="00A16C26"/>
    <w:rsid w:val="00A72553"/>
    <w:rsid w:val="00A94506"/>
    <w:rsid w:val="00AD2054"/>
    <w:rsid w:val="00B3422B"/>
    <w:rsid w:val="00B95838"/>
    <w:rsid w:val="00BA34D3"/>
    <w:rsid w:val="00BB7145"/>
    <w:rsid w:val="00BC0A54"/>
    <w:rsid w:val="00BC5C16"/>
    <w:rsid w:val="00BD44E4"/>
    <w:rsid w:val="00C425D6"/>
    <w:rsid w:val="00C778A2"/>
    <w:rsid w:val="00C927F9"/>
    <w:rsid w:val="00C941BB"/>
    <w:rsid w:val="00CD7BA8"/>
    <w:rsid w:val="00CE7306"/>
    <w:rsid w:val="00D36E17"/>
    <w:rsid w:val="00D76700"/>
    <w:rsid w:val="00DE7339"/>
    <w:rsid w:val="00E25851"/>
    <w:rsid w:val="00EC7A0C"/>
    <w:rsid w:val="00EF5AF0"/>
    <w:rsid w:val="00F16618"/>
    <w:rsid w:val="00F82507"/>
    <w:rsid w:val="00F948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00D4D-F07E-41A5-AE35-6DBD8991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rsid w:val="003C1B06"/>
    <w:pPr>
      <w:overflowPunct/>
      <w:autoSpaceDE/>
      <w:autoSpaceDN/>
      <w:adjustRightInd/>
      <w:spacing w:before="100" w:beforeAutospacing="1" w:after="100" w:afterAutospacing="1" w:line="240" w:lineRule="auto"/>
      <w:textAlignment w:val="auto"/>
    </w:pPr>
    <w:rPr>
      <w:rFonts w:ascii="Verdana" w:hAnsi="Verdana"/>
      <w:szCs w:val="24"/>
      <w:lang w:val="en-US"/>
    </w:rPr>
  </w:style>
  <w:style w:type="character" w:customStyle="1" w:styleId="RKnormalChar">
    <w:name w:val="RKnormal Char"/>
    <w:basedOn w:val="Standardstycketeckensnitt"/>
    <w:link w:val="RKnormal"/>
    <w:rsid w:val="00A72553"/>
    <w:rPr>
      <w:rFonts w:ascii="OrigGarmnd BT" w:hAnsi="OrigGarmnd BT"/>
      <w:sz w:val="24"/>
      <w:lang w:val="sv-SE" w:eastAsia="en-US" w:bidi="ar-SA"/>
    </w:rPr>
  </w:style>
  <w:style w:type="paragraph" w:customStyle="1" w:styleId="EntRefer">
    <w:name w:val="EntRefer"/>
    <w:basedOn w:val="Normal"/>
    <w:rsid w:val="005613CE"/>
    <w:pPr>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06950">
      <w:bodyDiv w:val="1"/>
      <w:marLeft w:val="0"/>
      <w:marRight w:val="0"/>
      <w:marTop w:val="0"/>
      <w:marBottom w:val="0"/>
      <w:divBdr>
        <w:top w:val="none" w:sz="0" w:space="0" w:color="auto"/>
        <w:left w:val="none" w:sz="0" w:space="0" w:color="auto"/>
        <w:bottom w:val="none" w:sz="0" w:space="0" w:color="auto"/>
        <w:right w:val="none" w:sz="0" w:space="0" w:color="auto"/>
      </w:divBdr>
      <w:divsChild>
        <w:div w:id="1846437331">
          <w:marLeft w:val="-15"/>
          <w:marRight w:val="-15"/>
          <w:marTop w:val="0"/>
          <w:marBottom w:val="0"/>
          <w:divBdr>
            <w:top w:val="none" w:sz="0" w:space="0" w:color="auto"/>
            <w:left w:val="single" w:sz="6" w:space="0" w:color="DADADA"/>
            <w:bottom w:val="none" w:sz="0" w:space="0" w:color="auto"/>
            <w:right w:val="single" w:sz="6" w:space="0" w:color="DADADA"/>
          </w:divBdr>
          <w:divsChild>
            <w:div w:id="1441562072">
              <w:marLeft w:val="0"/>
              <w:marRight w:val="0"/>
              <w:marTop w:val="0"/>
              <w:marBottom w:val="0"/>
              <w:divBdr>
                <w:top w:val="none" w:sz="0" w:space="0" w:color="auto"/>
                <w:left w:val="single" w:sz="48" w:space="0" w:color="FFFFFF"/>
                <w:bottom w:val="none" w:sz="0" w:space="0" w:color="auto"/>
                <w:right w:val="none" w:sz="0" w:space="0" w:color="auto"/>
              </w:divBdr>
              <w:divsChild>
                <w:div w:id="1832870754">
                  <w:marLeft w:val="-15"/>
                  <w:marRight w:val="-15"/>
                  <w:marTop w:val="0"/>
                  <w:marBottom w:val="0"/>
                  <w:divBdr>
                    <w:top w:val="none" w:sz="0" w:space="0" w:color="auto"/>
                    <w:left w:val="single" w:sz="6" w:space="0" w:color="F9C661"/>
                    <w:bottom w:val="none" w:sz="0" w:space="0" w:color="auto"/>
                    <w:right w:val="single" w:sz="6" w:space="0" w:color="DADADA"/>
                  </w:divBdr>
                  <w:divsChild>
                    <w:div w:id="144126479">
                      <w:marLeft w:val="-30"/>
                      <w:marRight w:val="-45"/>
                      <w:marTop w:val="0"/>
                      <w:marBottom w:val="0"/>
                      <w:divBdr>
                        <w:top w:val="none" w:sz="0" w:space="0" w:color="auto"/>
                        <w:left w:val="none" w:sz="0" w:space="0" w:color="auto"/>
                        <w:bottom w:val="none" w:sz="0" w:space="0" w:color="auto"/>
                        <w:right w:val="none" w:sz="0" w:space="0" w:color="auto"/>
                      </w:divBdr>
                      <w:divsChild>
                        <w:div w:id="15932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619</Words>
  <Characters>3957</Characters>
  <Application>Microsoft Office Word</Application>
  <DocSecurity>4</DocSecurity>
  <Lines>116</Lines>
  <Paragraphs>53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2007-11-26T12:30:00Z</cp:lastPrinted>
  <dcterms:created xsi:type="dcterms:W3CDTF">2025-12-17T13:21:00Z</dcterms:created>
  <dcterms:modified xsi:type="dcterms:W3CDTF">2025-12-17T13:21:00Z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