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C40C1">
        <w:tblPrEx>
          <w:tblCellMar>
            <w:top w:w="0" w:type="dxa"/>
            <w:bottom w:w="0" w:type="dxa"/>
          </w:tblCellMar>
        </w:tblPrEx>
        <w:trPr>
          <w:cantSplit/>
          <w:trHeight w:val="1720"/>
        </w:trPr>
        <w:tc>
          <w:tcPr>
            <w:tcW w:w="6024" w:type="dxa"/>
            <w:gridSpan w:val="2"/>
          </w:tcPr>
          <w:p w:rsidR="00AA5D77" w:rsidRPr="006C40C1" w:rsidRDefault="00AA5D77">
            <w:pPr>
              <w:pStyle w:val="HuvudRubrik"/>
            </w:pPr>
            <w:r w:rsidRPr="006C40C1">
              <w:t>Finansutskottets betänkande</w:t>
            </w:r>
          </w:p>
          <w:p w:rsidR="00AA5D77" w:rsidRPr="006C40C1" w:rsidRDefault="00AA5D77">
            <w:pPr>
              <w:pStyle w:val="HuvudRubrikRad2"/>
            </w:pPr>
            <w:bookmarkStart w:id="0" w:name="BetänkandeNr"/>
            <w:bookmarkEnd w:id="0"/>
            <w:r w:rsidRPr="006C40C1">
              <w:t>2002/03:FiU1</w:t>
            </w:r>
          </w:p>
        </w:tc>
        <w:tc>
          <w:tcPr>
            <w:tcW w:w="1418" w:type="dxa"/>
            <w:tcBorders>
              <w:bottom w:val="nil"/>
            </w:tcBorders>
          </w:tcPr>
          <w:p w:rsidR="00AA5D77" w:rsidRPr="006C40C1" w:rsidRDefault="006C40C1">
            <w:pPr>
              <w:spacing w:line="230" w:lineRule="auto"/>
              <w:jc w:val="center"/>
            </w:pPr>
            <w:r w:rsidRPr="006C40C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A5D77" w:rsidRPr="006C40C1" w:rsidRDefault="00AA5D77">
            <w:pPr>
              <w:pStyle w:val="Normaltindrag"/>
              <w:jc w:val="center"/>
            </w:pPr>
          </w:p>
          <w:p w:rsidR="00AA5D77" w:rsidRPr="006C40C1" w:rsidRDefault="00AA5D77">
            <w:pPr>
              <w:pStyle w:val="StatusSida1"/>
            </w:pPr>
          </w:p>
          <w:p w:rsidR="00AA5D77" w:rsidRPr="006C40C1" w:rsidRDefault="00AA5D77">
            <w:pPr>
              <w:pStyle w:val="UtskriftsdatumSida1"/>
              <w:framePr w:wrap="around"/>
            </w:pPr>
          </w:p>
        </w:tc>
      </w:tr>
      <w:tr w:rsidR="00000000" w:rsidRPr="006C40C1">
        <w:tblPrEx>
          <w:tblCellMar>
            <w:top w:w="0" w:type="dxa"/>
            <w:bottom w:w="0" w:type="dxa"/>
          </w:tblCellMar>
        </w:tblPrEx>
        <w:trPr>
          <w:cantSplit/>
        </w:trPr>
        <w:tc>
          <w:tcPr>
            <w:tcW w:w="6024" w:type="dxa"/>
            <w:gridSpan w:val="2"/>
            <w:tcBorders>
              <w:bottom w:val="single" w:sz="4" w:space="0" w:color="auto"/>
            </w:tcBorders>
          </w:tcPr>
          <w:p w:rsidR="00AA5D77" w:rsidRPr="006C40C1" w:rsidRDefault="00AA5D77">
            <w:pPr>
              <w:pStyle w:val="DokumentRubrik"/>
              <w:rPr>
                <w:noProof w:val="0"/>
              </w:rPr>
            </w:pPr>
            <w:bookmarkStart w:id="1" w:name="Huvudrubrik"/>
            <w:bookmarkEnd w:id="1"/>
            <w:r w:rsidRPr="006C40C1">
              <w:rPr>
                <w:noProof w:val="0"/>
              </w:rPr>
              <w:t>Utgiftsramar och beräkning av statsinkomsterna, m.m.</w:t>
            </w:r>
          </w:p>
        </w:tc>
        <w:tc>
          <w:tcPr>
            <w:tcW w:w="1418" w:type="dxa"/>
            <w:tcBorders>
              <w:bottom w:val="nil"/>
            </w:tcBorders>
          </w:tcPr>
          <w:p w:rsidR="00AA5D77" w:rsidRPr="006C40C1" w:rsidRDefault="00AA5D77"/>
        </w:tc>
      </w:tr>
      <w:tr w:rsidR="00000000" w:rsidRPr="006C40C1">
        <w:tblPrEx>
          <w:tblCellMar>
            <w:top w:w="0" w:type="dxa"/>
            <w:bottom w:w="0" w:type="dxa"/>
          </w:tblCellMar>
        </w:tblPrEx>
        <w:trPr>
          <w:cantSplit/>
          <w:trHeight w:hRule="exact" w:val="360"/>
        </w:trPr>
        <w:tc>
          <w:tcPr>
            <w:tcW w:w="3012" w:type="dxa"/>
          </w:tcPr>
          <w:p w:rsidR="00AA5D77" w:rsidRPr="006C40C1" w:rsidRDefault="00AA5D77"/>
        </w:tc>
        <w:tc>
          <w:tcPr>
            <w:tcW w:w="3012" w:type="dxa"/>
          </w:tcPr>
          <w:p w:rsidR="00AA5D77" w:rsidRPr="006C40C1" w:rsidRDefault="00AA5D77"/>
        </w:tc>
        <w:tc>
          <w:tcPr>
            <w:tcW w:w="1418" w:type="dxa"/>
          </w:tcPr>
          <w:p w:rsidR="00AA5D77" w:rsidRPr="006C40C1" w:rsidRDefault="00AA5D77"/>
        </w:tc>
      </w:tr>
    </w:tbl>
    <w:p w:rsidR="00AA5D77" w:rsidRPr="006C40C1" w:rsidRDefault="00AA5D77"/>
    <w:p w:rsidR="00AA5D77" w:rsidRPr="006C40C1" w:rsidRDefault="00AA5D77">
      <w:pPr>
        <w:pStyle w:val="Rubrik1"/>
        <w:spacing w:after="180"/>
        <w:rPr>
          <w:noProof w:val="0"/>
        </w:rPr>
      </w:pPr>
      <w:bookmarkStart w:id="2" w:name="_Toc26191375"/>
      <w:r w:rsidRPr="006C40C1">
        <w:rPr>
          <w:noProof w:val="0"/>
        </w:rPr>
        <w:t>Sammanfattning</w:t>
      </w:r>
      <w:bookmarkEnd w:id="2"/>
    </w:p>
    <w:p w:rsidR="00AA5D77" w:rsidRPr="006C40C1" w:rsidRDefault="00AA5D77">
      <w:bookmarkStart w:id="3" w:name="TextStart"/>
      <w:bookmarkEnd w:id="3"/>
      <w:r w:rsidRPr="006C40C1">
        <w:t xml:space="preserve">Finansutskottet behandlar i detta betänkande, det s.k. </w:t>
      </w:r>
      <w:r w:rsidRPr="006C40C1">
        <w:rPr>
          <w:i/>
        </w:rPr>
        <w:t>rambetänkandet</w:t>
      </w:r>
      <w:r w:rsidRPr="006C40C1">
        <w:t>, rege</w:t>
      </w:r>
      <w:r w:rsidRPr="006C40C1">
        <w:t>r</w:t>
      </w:r>
      <w:r w:rsidRPr="006C40C1">
        <w:t>ingens finansplan och förslagen i budgetpropositionen vad avser förslag till statens inkomster och utgifter för 2003, förslag till utgiftstak för åren 2002–2004 och förslag till hur utgifterna 2003 ska fördelas på utgiftsområden. I b</w:t>
      </w:r>
      <w:r w:rsidRPr="006C40C1">
        <w:t>e</w:t>
      </w:r>
      <w:r w:rsidRPr="006C40C1">
        <w:t>handlingen ingår även förslag till åtgärder på skatteområdet med effekt från 2003.</w:t>
      </w:r>
    </w:p>
    <w:p w:rsidR="00AA5D77" w:rsidRPr="006C40C1" w:rsidRDefault="00AA5D77">
      <w:pPr>
        <w:pStyle w:val="Normaltindrag"/>
      </w:pPr>
      <w:r w:rsidRPr="006C40C1">
        <w:t>Budgetpropositionen bygger på en överenskommelse mellan den socia</w:t>
      </w:r>
      <w:r w:rsidRPr="006C40C1">
        <w:t>l</w:t>
      </w:r>
      <w:r w:rsidRPr="006C40C1">
        <w:t>demokratiska regeringen och Vänsterpartiet, vilka står bakom riktlinjerna för den ekonomiska politiken, utgiftstaken och de föreslagna och aviserade ska</w:t>
      </w:r>
      <w:r w:rsidRPr="006C40C1">
        <w:t>t</w:t>
      </w:r>
      <w:r w:rsidRPr="006C40C1">
        <w:t>teförändringarna. Miljöpartiet de gröna har genom en gemensam motion från Socialdemokraterna, Vänsterpartiet och Miljöpartiet de gröna anslutit sig till överenskommelsen vad gäller inriktningen av den ekonomiska politiken samt utgifter och i</w:t>
      </w:r>
      <w:r w:rsidRPr="006C40C1">
        <w:t>n</w:t>
      </w:r>
      <w:r w:rsidRPr="006C40C1">
        <w:t>komster för 2003.</w:t>
      </w:r>
    </w:p>
    <w:p w:rsidR="00AA5D77" w:rsidRPr="006C40C1" w:rsidRDefault="00AA5D77">
      <w:pPr>
        <w:pStyle w:val="Normaltindrag"/>
      </w:pPr>
      <w:r w:rsidRPr="006C40C1">
        <w:t>När riksdagen behandlat detta betänkande och fattat beslut om ramar för de 27 utgiftsområden som b</w:t>
      </w:r>
      <w:r w:rsidRPr="006C40C1">
        <w:t>udgeten indelas i är dessa utgiftsramar styrande för riksdagens fortsatta behandling av anslagen.</w:t>
      </w:r>
    </w:p>
    <w:p w:rsidR="00AA5D77" w:rsidRPr="006C40C1" w:rsidRDefault="00AA5D77">
      <w:pPr>
        <w:pStyle w:val="R3"/>
      </w:pPr>
      <w:r w:rsidRPr="006C40C1">
        <w:t>Den ekonomiska politiken</w:t>
      </w:r>
    </w:p>
    <w:p w:rsidR="00AA5D77" w:rsidRPr="006C40C1" w:rsidRDefault="00AA5D77">
      <w:r w:rsidRPr="006C40C1">
        <w:t xml:space="preserve">Finansutskottet tillstyrker regeringens förslag i finansplanen till inriktning av den ekonomiska politiken. </w:t>
      </w:r>
    </w:p>
    <w:p w:rsidR="00AA5D77" w:rsidRPr="006C40C1" w:rsidRDefault="00AA5D77">
      <w:pPr>
        <w:pStyle w:val="Normaltindrag"/>
      </w:pPr>
      <w:r w:rsidRPr="006C40C1">
        <w:t>Tillväxttakten i den svenska ekonomin sjönk under förra året till följd av den internationella konjunkturnedgången och den ekonomiska oron efter terrordåden i Förenta staterna. Under våren ökade aktiviteten i världsekon</w:t>
      </w:r>
      <w:r w:rsidRPr="006C40C1">
        <w:t>o</w:t>
      </w:r>
      <w:r w:rsidRPr="006C40C1">
        <w:t>min, men under sommaren och hösten har återhämtningen mattats av, bl.a. på grund av fallande aktiekurser och hoten om militära insatser mot Irak. Os</w:t>
      </w:r>
      <w:r w:rsidRPr="006C40C1">
        <w:t>ä</w:t>
      </w:r>
      <w:r w:rsidRPr="006C40C1">
        <w:t>kerheten om den världsekonomiska och därmed också den svenska ekon</w:t>
      </w:r>
      <w:r w:rsidRPr="006C40C1">
        <w:t>o</w:t>
      </w:r>
      <w:r w:rsidRPr="006C40C1">
        <w:t>miska utvecklingen är stor. De senaste uppgifterna tyder på att återhämtnin</w:t>
      </w:r>
      <w:r w:rsidRPr="006C40C1">
        <w:t>g</w:t>
      </w:r>
      <w:r w:rsidRPr="006C40C1">
        <w:t xml:space="preserve">en fortsätter men att uppgången sker i en långsammare takt än vad bedömare </w:t>
      </w:r>
      <w:r w:rsidRPr="006C40C1">
        <w:lastRenderedPageBreak/>
        <w:t>tidigare räknat med. Finansmarknaderna har dock stabiliserats något de s</w:t>
      </w:r>
      <w:r w:rsidRPr="006C40C1">
        <w:t>e</w:t>
      </w:r>
      <w:r w:rsidRPr="006C40C1">
        <w:t>naste månaderna samtidigt som räntorna sjunkit.</w:t>
      </w:r>
    </w:p>
    <w:p w:rsidR="00AA5D77" w:rsidRPr="006C40C1" w:rsidRDefault="00AA5D77">
      <w:pPr>
        <w:pStyle w:val="Normaltindrag"/>
      </w:pPr>
      <w:r w:rsidRPr="006C40C1">
        <w:t>Osäkerheten innebär att</w:t>
      </w:r>
      <w:r w:rsidRPr="006C40C1">
        <w:t xml:space="preserve"> den ekonomiska politiken ska inriktas på att hålla den svenska ekonomin fortsatt stark. Ordningen och redan i ekonomin ska vidmakthållas. Sverige har under senare år uppvisat en tillväxt som överstigit genomsnittet i t.ex. EU och euroområdet. Inflationen är låg, även om en viss uppgång noterats det senaste året, och räntorna ligger endast något över rä</w:t>
      </w:r>
      <w:r w:rsidRPr="006C40C1">
        <w:t>n</w:t>
      </w:r>
      <w:r w:rsidRPr="006C40C1">
        <w:t xml:space="preserve">torna i t.ex. Tyskland. Sysselsättningen har stigit och arbetslösheten sjunkit, och överskottet i de samlade affärerna med utlandet är stort. De offentliga </w:t>
      </w:r>
      <w:r w:rsidRPr="006C40C1">
        <w:t>finanserna visar överskott, den offentliga bruttoskulden sjunker och den o</w:t>
      </w:r>
      <w:r w:rsidRPr="006C40C1">
        <w:t>f</w:t>
      </w:r>
      <w:r w:rsidRPr="006C40C1">
        <w:t>fentliga nettoskulden har vänts till en nettoförmöge</w:t>
      </w:r>
      <w:r w:rsidRPr="006C40C1">
        <w:t>n</w:t>
      </w:r>
      <w:r w:rsidRPr="006C40C1">
        <w:t>het.</w:t>
      </w:r>
    </w:p>
    <w:p w:rsidR="00AA5D77" w:rsidRPr="006C40C1" w:rsidRDefault="00AA5D77">
      <w:pPr>
        <w:pStyle w:val="Normaltindrag"/>
      </w:pPr>
      <w:r w:rsidRPr="006C40C1">
        <w:t>Målen för de offentliga finanserna ska hållas, utgiftstaken klaras och infl</w:t>
      </w:r>
      <w:r w:rsidRPr="006C40C1">
        <w:t>a</w:t>
      </w:r>
      <w:r w:rsidRPr="006C40C1">
        <w:t>tionen hållas låg, inte minst på grund av de långsiktiga utmaningarna som ställs på den svenska ekonomin till följd av den demografiska utvecklingen.</w:t>
      </w:r>
    </w:p>
    <w:p w:rsidR="00AA5D77" w:rsidRPr="006C40C1" w:rsidRDefault="00AA5D77">
      <w:pPr>
        <w:pStyle w:val="Normaltindrag"/>
      </w:pPr>
      <w:r w:rsidRPr="006C40C1">
        <w:t>Styrkan och saneringen av de offentliga finanserna har skapat ett utrymme för att möta konjunkturförsvagningen med en expansiv ekonomisk politik. Trots den internationella lågkonjunkturen har den öppna arbetslösheten varit fortsatt låg och sysselsättningen utvecklats förhållandevis gynnsamt samtidigt som de offentliga finanserna fortsatt att visa överskott. S</w:t>
      </w:r>
      <w:r w:rsidRPr="006C40C1">
        <w:t>tyrkan i finanserna gör det möjligt att föreslå reformer för att ytterligare öka rättvisan och tryg</w:t>
      </w:r>
      <w:r w:rsidRPr="006C40C1">
        <w:t>g</w:t>
      </w:r>
      <w:r w:rsidRPr="006C40C1">
        <w:t>heten om drygt 19 miljarder kronor 2003 och 12 milja</w:t>
      </w:r>
      <w:r w:rsidRPr="006C40C1">
        <w:t>r</w:t>
      </w:r>
      <w:r w:rsidRPr="006C40C1">
        <w:t>der kronor 2004.</w:t>
      </w:r>
    </w:p>
    <w:p w:rsidR="00AA5D77" w:rsidRPr="006C40C1" w:rsidRDefault="00AA5D77">
      <w:pPr>
        <w:pStyle w:val="Normaltindrag"/>
      </w:pPr>
      <w:r w:rsidRPr="006C40C1">
        <w:t>Högst upp på dagordningen står den fortsatta kampen om jobben. Stora r</w:t>
      </w:r>
      <w:r w:rsidRPr="006C40C1">
        <w:t>e</w:t>
      </w:r>
      <w:r w:rsidRPr="006C40C1">
        <w:t>surser satsas för att minska den svaga konjunkturens effekter på arbetsmar</w:t>
      </w:r>
      <w:r w:rsidRPr="006C40C1">
        <w:t>k</w:t>
      </w:r>
      <w:r w:rsidRPr="006C40C1">
        <w:t>naden. Den stora utmaningen är att Sverige på nytt ska närma sig full sysse</w:t>
      </w:r>
      <w:r w:rsidRPr="006C40C1">
        <w:t>l</w:t>
      </w:r>
      <w:r w:rsidRPr="006C40C1">
        <w:t>sättning. Kraften riktas mot att sysselsättningsmålet ska nås, dvs. att 80 % av den vuxna befolkningen ska vara reguljärt sysselsatt 2004. Den svenska ek</w:t>
      </w:r>
      <w:r w:rsidRPr="006C40C1">
        <w:t>o</w:t>
      </w:r>
      <w:r w:rsidRPr="006C40C1">
        <w:t>nomins långsiktiga produktionsförmåga ska höjas genom att lediga arbet</w:t>
      </w:r>
      <w:r w:rsidRPr="006C40C1">
        <w:t>s</w:t>
      </w:r>
      <w:r w:rsidRPr="006C40C1">
        <w:t>kraftsresurser mobiliseras. En central uppgift är att bryta den dramatiskt st</w:t>
      </w:r>
      <w:r w:rsidRPr="006C40C1">
        <w:t>i</w:t>
      </w:r>
      <w:r w:rsidRPr="006C40C1">
        <w:t>gande sjukfrånvaron. Regeringens elvapunktsprogram fortsä</w:t>
      </w:r>
      <w:r w:rsidRPr="006C40C1">
        <w:t>tter och intensif</w:t>
      </w:r>
      <w:r w:rsidRPr="006C40C1">
        <w:t>i</w:t>
      </w:r>
      <w:r w:rsidRPr="006C40C1">
        <w:t>eras. Målet för politiken är att antalet sjukdagar ska halveras till 2008. En annan central uppgift är att sysselsättningen bland invandrare ska öka. Inte</w:t>
      </w:r>
      <w:r w:rsidRPr="006C40C1">
        <w:t>g</w:t>
      </w:r>
      <w:r w:rsidRPr="006C40C1">
        <w:t>rationen ska bli en första rangens uppgift i polit</w:t>
      </w:r>
      <w:r w:rsidRPr="006C40C1">
        <w:t>i</w:t>
      </w:r>
      <w:r w:rsidRPr="006C40C1">
        <w:t xml:space="preserve">ken. </w:t>
      </w:r>
    </w:p>
    <w:p w:rsidR="00AA5D77" w:rsidRPr="006C40C1" w:rsidRDefault="00AA5D77">
      <w:pPr>
        <w:pStyle w:val="Normaltindrag"/>
      </w:pPr>
      <w:r w:rsidRPr="006C40C1">
        <w:t>Reformerna för tillväxt och rättvisa fortsätter. De går före stora skatt</w:t>
      </w:r>
      <w:r w:rsidRPr="006C40C1">
        <w:t>e</w:t>
      </w:r>
      <w:r w:rsidRPr="006C40C1">
        <w:t>sänkningar. Välfärden ska ytterligare byggas ut, och för att den ekonomiska tillväxten ska bli långsiktigt hållbar måste den också komma alla till del. Barn och ungdomar står i centrum för politiken. Den stora satsningen på familj</w:t>
      </w:r>
      <w:r w:rsidRPr="006C40C1">
        <w:t>e</w:t>
      </w:r>
      <w:r w:rsidRPr="006C40C1">
        <w:t>politiken och de senaste årens reformer för att förbättra situationen för de äldre fortsätter under 2003 och 2004. Arbetet med att bibehålla Sverige som en av världens främsta kunskapsnationer fortsätter. Åtgärder vidtas så att forskningsresultat i ökad utsträckning omsätts i pra</w:t>
      </w:r>
      <w:r w:rsidRPr="006C40C1">
        <w:t xml:space="preserve">ktiska innovationer. </w:t>
      </w:r>
    </w:p>
    <w:p w:rsidR="00AA5D77" w:rsidRPr="006C40C1" w:rsidRDefault="00AA5D77">
      <w:pPr>
        <w:pStyle w:val="Normaltindrag"/>
      </w:pPr>
      <w:r w:rsidRPr="006C40C1">
        <w:t>Satsningarna på vården och omsorgen fortsätter. Extra resurser satsas för att minska väntetiderna i vården. Under mandatperioden ska en nationell vårdgaranti införas. Kommunernas och landstingens ekonomi förstärks ytte</w:t>
      </w:r>
      <w:r w:rsidRPr="006C40C1">
        <w:t>r</w:t>
      </w:r>
      <w:r w:rsidRPr="006C40C1">
        <w:t>ligare, och det tillfälliga sysselsättningsstöd som infördes i år förlängs ett år till. Biståndet höjs ytterligare och satsningar görs i rättsväsendet. Åtgärder ska vidtas för att öka bostadsby</w:t>
      </w:r>
      <w:r w:rsidRPr="006C40C1">
        <w:t>g</w:t>
      </w:r>
      <w:r w:rsidRPr="006C40C1">
        <w:t>gandet.</w:t>
      </w:r>
    </w:p>
    <w:p w:rsidR="00AA5D77" w:rsidRPr="006C40C1" w:rsidRDefault="00AA5D77">
      <w:pPr>
        <w:pStyle w:val="Normaltindrag"/>
      </w:pPr>
      <w:r w:rsidRPr="006C40C1">
        <w:t>En god miljö och en ekologiskt hållbar utveckling är ett av den ekonomi</w:t>
      </w:r>
      <w:r w:rsidRPr="006C40C1">
        <w:t>s</w:t>
      </w:r>
      <w:r w:rsidRPr="006C40C1">
        <w:t>ka politikens viktigaste mål. De stora satsningarna på att skapa ett hållbart samhälle fortsätter. En ytterligare grön skatteväxling om ca 3 miljarder kronor 2003 genomförs. Som ett led i skatteväxlingen sänks skatten på arbete genom att grundavdraget för låg- och medelinkomsttagare höjs.</w:t>
      </w:r>
    </w:p>
    <w:p w:rsidR="00AA5D77" w:rsidRPr="006C40C1" w:rsidRDefault="00AA5D77">
      <w:pPr>
        <w:pStyle w:val="Normaltindrag"/>
      </w:pPr>
      <w:r w:rsidRPr="006C40C1">
        <w:t>De senaste årens höga tillväxt har gynnat hela Sverige. Det är dock inte tillräckligt. Sverige präglas fortfarande av alltför stora klyftor och av otryg</w:t>
      </w:r>
      <w:r w:rsidRPr="006C40C1">
        <w:t>g</w:t>
      </w:r>
      <w:r w:rsidRPr="006C40C1">
        <w:t>het. Klyftorna ska minskas och den ekonomiska politiken ska fortsatt inriktas på att motverka konsekvenserna av den internationella konjunkturnedgången och på att stärka Sveriges långsiktiga tillväxtförmåga. Omfattande investe</w:t>
      </w:r>
      <w:r w:rsidRPr="006C40C1">
        <w:t>r</w:t>
      </w:r>
      <w:r w:rsidRPr="006C40C1">
        <w:t>ingar för att bygga ut infrastrukturen görs under de kommande åren. Le</w:t>
      </w:r>
      <w:r w:rsidRPr="006C40C1">
        <w:t>v</w:t>
      </w:r>
      <w:r w:rsidRPr="006C40C1">
        <w:t>nadsvillkoren ska fortsätta att förbättras, och som en följd av detta ska socia</w:t>
      </w:r>
      <w:r w:rsidRPr="006C40C1">
        <w:t>l</w:t>
      </w:r>
      <w:r w:rsidRPr="006C40C1">
        <w:t>bidragsb</w:t>
      </w:r>
      <w:r w:rsidRPr="006C40C1">
        <w:t>e</w:t>
      </w:r>
      <w:r w:rsidRPr="006C40C1">
        <w:t>roendet halveras mellan 1999 och 2004.</w:t>
      </w:r>
    </w:p>
    <w:p w:rsidR="00AA5D77" w:rsidRPr="006C40C1" w:rsidRDefault="00AA5D77">
      <w:pPr>
        <w:pStyle w:val="Normaltindrag"/>
      </w:pPr>
      <w:r w:rsidRPr="006C40C1">
        <w:t>Sverige ska också vara ett föregångsland där kvinnor och män ska ha samma möjligheter</w:t>
      </w:r>
      <w:r w:rsidRPr="006C40C1">
        <w:t>, rättigheter och skyldigheter inom alla områden i livet. Under det närmaste året ska en handlingsplan för ökad jämställdhet läggas fram. Planen ska innehålla förslag om hur löneskillnaderna mellan män och kvinnor ska minska.</w:t>
      </w:r>
    </w:p>
    <w:p w:rsidR="00AA5D77" w:rsidRPr="006C40C1" w:rsidRDefault="00AA5D77">
      <w:pPr>
        <w:pStyle w:val="Normaltindrag"/>
      </w:pPr>
      <w:r w:rsidRPr="006C40C1">
        <w:t xml:space="preserve">Att den svenska lönebildningen fungerar väl är enligt utskottets mening av avgörande betydelse för en hög tillväxt och en stigande sysselsättning. De senaste årens trend mot en högre löneökningstakt än i omvärlden måste rättas till. </w:t>
      </w:r>
    </w:p>
    <w:p w:rsidR="00AA5D77" w:rsidRPr="006C40C1" w:rsidRDefault="00AA5D77">
      <w:pPr>
        <w:pStyle w:val="R3"/>
      </w:pPr>
      <w:r w:rsidRPr="006C40C1">
        <w:t>Budgetpolitiken</w:t>
      </w:r>
    </w:p>
    <w:p w:rsidR="00AA5D77" w:rsidRPr="006C40C1" w:rsidRDefault="00AA5D77">
      <w:r w:rsidRPr="006C40C1">
        <w:t>Utskottet tillstyrker regeringens förslag till inriktning av budgetpolitiken med de kompletteringar som föreslagits av de tre samarbetspartierna i motion Fi230 (s, v, mp) samt med vissa ytterligare justeringar som tillkommit på utskottets initiativ.</w:t>
      </w:r>
    </w:p>
    <w:p w:rsidR="00AA5D77" w:rsidRPr="006C40C1" w:rsidRDefault="00AA5D77">
      <w:pPr>
        <w:pStyle w:val="Normaltindrag"/>
      </w:pPr>
      <w:r w:rsidRPr="006C40C1">
        <w:t>I enlighet med motionärernas förslag anser utskottet att omfattningen på en i propositionen redovisad skatteväxling ska utökas från 2,6 till 3,0 miljarder kronor. Det bör ske genom å ena sidan ytterligare höjningar av koldio</w:t>
      </w:r>
      <w:r w:rsidRPr="006C40C1">
        <w:t>x</w:t>
      </w:r>
      <w:r w:rsidRPr="006C40C1">
        <w:t>idskatten på bränslen och energiskatten på el, å andra sidan genom en ytterl</w:t>
      </w:r>
      <w:r w:rsidRPr="006C40C1">
        <w:t>i</w:t>
      </w:r>
      <w:r w:rsidRPr="006C40C1">
        <w:t xml:space="preserve">gare höjning av grundavdraget för personer i de lägsta inkomstskikten. </w:t>
      </w:r>
    </w:p>
    <w:p w:rsidR="00AA5D77" w:rsidRPr="006C40C1" w:rsidRDefault="00AA5D77">
      <w:pPr>
        <w:pStyle w:val="Normaltindrag"/>
      </w:pPr>
      <w:r w:rsidRPr="006C40C1">
        <w:t>Utskottet tillstyrker också de förslag till utgiftsökningar som framförs i motion Fi230 (s, v, mp) och som tillsammans uppgår till närmare 250 milj</w:t>
      </w:r>
      <w:r w:rsidRPr="006C40C1">
        <w:t>o</w:t>
      </w:r>
      <w:r w:rsidRPr="006C40C1">
        <w:t>ner kronor men som fullt ut finansieras genom något större minskningar av andra anslag. Dessa förslag innebär att man återtar en i budgetpropositionen föreslagen besparing på Dagmarmedlen samt ökar anslagen till bl.a. sa</w:t>
      </w:r>
      <w:r w:rsidRPr="006C40C1">
        <w:t>m</w:t>
      </w:r>
      <w:r w:rsidRPr="006C40C1">
        <w:t>lingslokaler, åtgärder för biologisk mångfald samt sanering och återställning av förorenade områden, ersättning för viltskador, Sveriges Lantbruksunive</w:t>
      </w:r>
      <w:r w:rsidRPr="006C40C1">
        <w:t>r</w:t>
      </w:r>
      <w:r w:rsidRPr="006C40C1">
        <w:t xml:space="preserve">sitet, Livsmedelsverket och Ombudsmannen mot diskriminering på grund av sexuell läggning (HomO). </w:t>
      </w:r>
    </w:p>
    <w:p w:rsidR="00AA5D77" w:rsidRPr="006C40C1" w:rsidRDefault="00AA5D77">
      <w:pPr>
        <w:pStyle w:val="Normaltindrag"/>
      </w:pPr>
      <w:r w:rsidRPr="006C40C1">
        <w:t>Finansutskottet föreslår dessutom att ko</w:t>
      </w:r>
      <w:r w:rsidRPr="006C40C1">
        <w:t>mmunerna kompenseras för det skattebortfall som uppkommer till följd av motionärernas förslag om en til</w:t>
      </w:r>
      <w:r w:rsidRPr="006C40C1">
        <w:t>l</w:t>
      </w:r>
      <w:r w:rsidRPr="006C40C1">
        <w:t>kommande grundavdragshöjning. I betänkandet föreslås därför att det gen</w:t>
      </w:r>
      <w:r w:rsidRPr="006C40C1">
        <w:t>e</w:t>
      </w:r>
      <w:r w:rsidRPr="006C40C1">
        <w:t>rella statsbidraget till kommuner räknas upp med 456 miljoner kronor 2003 respektive 2004. Denna höjning motiverar i sin tur en teknisk justering av utgiftstaken för staten som därigenom höjs med 1 miljard kronor såväl 2003 som 2004. Utskottet föreslår att utgiftstaken för perioden 2002–2004 fastställs till 812, 819 respektive 853 mil</w:t>
      </w:r>
      <w:r w:rsidRPr="006C40C1">
        <w:t>jarder kronor.</w:t>
      </w:r>
    </w:p>
    <w:p w:rsidR="00AA5D77" w:rsidRPr="006C40C1" w:rsidRDefault="00AA5D77">
      <w:pPr>
        <w:pStyle w:val="Normaltindrag"/>
      </w:pPr>
      <w:r w:rsidRPr="006C40C1">
        <w:t>Utskottets förslag innebär vidare att nivån på ramarna för 7 utgiftsområden ändras i förhållande till regeringens förslag i budgetpropositionen. Samma</w:t>
      </w:r>
      <w:r w:rsidRPr="006C40C1">
        <w:t>n</w:t>
      </w:r>
      <w:r w:rsidRPr="006C40C1">
        <w:t>taget ökar detta de takbegränsade utgifterna med 443 miljoner kronor under 2003. Ökningen håller sig inom ramen för det föreslagna utgiftstaket för detta år.</w:t>
      </w:r>
    </w:p>
    <w:p w:rsidR="00AA5D77" w:rsidRPr="006C40C1" w:rsidRDefault="00AA5D77">
      <w:pPr>
        <w:pStyle w:val="R3"/>
      </w:pPr>
      <w:r w:rsidRPr="006C40C1">
        <w:t>Skattepolitiken</w:t>
      </w:r>
    </w:p>
    <w:p w:rsidR="00AA5D77" w:rsidRPr="006C40C1" w:rsidRDefault="00AA5D77">
      <w:r w:rsidRPr="006C40C1">
        <w:t xml:space="preserve">Utskottet ställer sig bakom den inriktning av skattepolitiken som regeringen redovisar i budgetpropositionen, men föreslår vissa ytterligare ändringar som påverkar beräkningen av statsbudgetens inkomster för 2003. </w:t>
      </w:r>
    </w:p>
    <w:p w:rsidR="00AA5D77" w:rsidRPr="006C40C1" w:rsidRDefault="00AA5D77">
      <w:pPr>
        <w:pStyle w:val="Normaltindrag"/>
      </w:pPr>
      <w:r w:rsidRPr="006C40C1">
        <w:t>Det gäller inte bara den nyss beskrivna, utökade skatteväxlingen utan oc</w:t>
      </w:r>
      <w:r w:rsidRPr="006C40C1">
        <w:t>k</w:t>
      </w:r>
      <w:r w:rsidRPr="006C40C1">
        <w:t>så ett förslag om framskjuten beskattning av vissa andelsbyten som regerin</w:t>
      </w:r>
      <w:r w:rsidRPr="006C40C1">
        <w:t>g</w:t>
      </w:r>
      <w:r w:rsidRPr="006C40C1">
        <w:t>en på riksdagens begäran har lagt fram och som är avsett att träda i kraft den 1 januari 2003. Finansutskottet har därför i sin beräkning av statsbudgetens inkomster för 2003 beaktat det inkomstbortfall som förslaget leder till och räknat ned inkomsterna med 283 miljoner kronor. Propositionen (prop. 2002/03:15) kommer att överlämnas av finansutskottet till skatteutskottet för lagteknisk beredning av försl</w:t>
      </w:r>
      <w:r w:rsidRPr="006C40C1">
        <w:t>a</w:t>
      </w:r>
      <w:r w:rsidRPr="006C40C1">
        <w:t>gen.</w:t>
      </w:r>
    </w:p>
    <w:p w:rsidR="00AA5D77" w:rsidRPr="006C40C1" w:rsidRDefault="00AA5D77">
      <w:pPr>
        <w:pStyle w:val="Normaltindrag"/>
      </w:pPr>
      <w:r w:rsidRPr="006C40C1">
        <w:t xml:space="preserve">Vidare har regeringen </w:t>
      </w:r>
      <w:r w:rsidRPr="006C40C1">
        <w:t>i budgetpropositionen föreslagit att kraftvärmeve</w:t>
      </w:r>
      <w:r w:rsidRPr="006C40C1">
        <w:t>r</w:t>
      </w:r>
      <w:r w:rsidRPr="006C40C1">
        <w:t>kens beskattning ska ändras i olika avseenden. Ett av dessa förslag har öve</w:t>
      </w:r>
      <w:r w:rsidRPr="006C40C1">
        <w:t>r</w:t>
      </w:r>
      <w:r w:rsidRPr="006C40C1">
        <w:t>lämnats till kommissionen för godkännande eftersom det eventuellt kan stå i strid mot EU:s regler om statsstöd. Kommissionen har dock ännu inte kommit med sitt utlåtande. Finansutskottet föreslår därför att riksdagens prövning av förslagen om kraftvärmeverkens beskattning ska skjutas upp i avvaktan på detta utlåtande. Utskottet föreslår att riksdagen formellt avslår dessa lagfö</w:t>
      </w:r>
      <w:r w:rsidRPr="006C40C1">
        <w:t>r</w:t>
      </w:r>
      <w:r w:rsidRPr="006C40C1">
        <w:t>slag,</w:t>
      </w:r>
      <w:r w:rsidRPr="006C40C1">
        <w:t xml:space="preserve"> men ändå beaktar den effekt de har på statsbudgetens inkomster nästa år vid ett tänkt ikraftträdande någon gång under första halvåret 2003. Utskottet har som en följd av detta räknat ned inkomsterna med 125 miljoner kronor.</w:t>
      </w:r>
    </w:p>
    <w:p w:rsidR="00AA5D77" w:rsidRPr="006C40C1" w:rsidRDefault="00AA5D77">
      <w:r w:rsidRPr="006C40C1">
        <w:t>Utskottet tillstyrker dessutom bl.a. två förslag som förs fram i motion Fi230 (s, v, mp), ett om ett s.k. ROT-avdrag för miljöförbättrande åtgärder i perm</w:t>
      </w:r>
      <w:r w:rsidRPr="006C40C1">
        <w:t>a</w:t>
      </w:r>
      <w:r w:rsidRPr="006C40C1">
        <w:t>nentbostäder under perioden 2003–2005 samt ett om att försöksperioden med sänkt förmånsvärde för miljöanpassade bilar förlängs med ytterligare ett år till att omfatta även 2005.</w:t>
      </w:r>
    </w:p>
    <w:p w:rsidR="00AA5D77" w:rsidRPr="006C40C1" w:rsidRDefault="00AA5D77">
      <w:r w:rsidRPr="006C40C1">
        <w:t>I betänkandet finns 16 reservationer och 2 särskilda yttranden.</w:t>
      </w:r>
    </w:p>
    <w:p w:rsidR="00AA5D77" w:rsidRPr="006C40C1" w:rsidRDefault="00AA5D77">
      <w:pPr>
        <w:pStyle w:val="Normaltindrag"/>
      </w:pPr>
    </w:p>
    <w:p w:rsidR="00AA5D77" w:rsidRPr="006C40C1" w:rsidRDefault="00AA5D77">
      <w:pPr>
        <w:pStyle w:val="Normaltindrag"/>
        <w:sectPr w:rsidR="00000000" w:rsidRPr="006C40C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A5D77" w:rsidRPr="006C40C1" w:rsidRDefault="00AA5D77">
      <w:pPr>
        <w:pStyle w:val="Rubrik1"/>
        <w:rPr>
          <w:noProof w:val="0"/>
        </w:rPr>
      </w:pPr>
      <w:bookmarkStart w:id="4" w:name="_Toc26191376"/>
      <w:r w:rsidRPr="006C40C1">
        <w:rPr>
          <w:noProof w:val="0"/>
        </w:rPr>
        <w:t>Innehållsförteckning</w:t>
      </w:r>
      <w:bookmarkEnd w:id="4"/>
    </w:p>
    <w:p w:rsidR="00AA5D77" w:rsidRPr="006C40C1" w:rsidRDefault="00AA5D77">
      <w:pPr>
        <w:pStyle w:val="Innehll1"/>
      </w:pPr>
      <w:r w:rsidRPr="006C40C1">
        <w:t>Sammanfattning</w:t>
      </w:r>
      <w:r w:rsidRPr="006C40C1">
        <w:tab/>
        <w:t>1</w:t>
      </w:r>
    </w:p>
    <w:p w:rsidR="00AA5D77" w:rsidRPr="006C40C1" w:rsidRDefault="00AA5D77">
      <w:pPr>
        <w:pStyle w:val="Innehll1"/>
      </w:pPr>
      <w:r w:rsidRPr="006C40C1">
        <w:t>Innehållsförteckning</w:t>
      </w:r>
      <w:r w:rsidRPr="006C40C1">
        <w:tab/>
        <w:t>5</w:t>
      </w:r>
    </w:p>
    <w:p w:rsidR="00AA5D77" w:rsidRPr="006C40C1" w:rsidRDefault="00AA5D77">
      <w:pPr>
        <w:pStyle w:val="Innehll1"/>
      </w:pPr>
      <w:r w:rsidRPr="006C40C1">
        <w:t>Utskottets förslag till riksdagsbeslut</w:t>
      </w:r>
      <w:r w:rsidRPr="006C40C1">
        <w:tab/>
      </w:r>
      <w:bookmarkStart w:id="5" w:name="_Hlt26195822"/>
      <w:r w:rsidRPr="006C40C1">
        <w:t>14</w:t>
      </w:r>
      <w:bookmarkEnd w:id="5"/>
    </w:p>
    <w:p w:rsidR="00AA5D77" w:rsidRPr="006C40C1" w:rsidRDefault="00AA5D77">
      <w:pPr>
        <w:pStyle w:val="Innehll2"/>
      </w:pPr>
      <w:r w:rsidRPr="006C40C1">
        <w:t>Förslag till fördelning av statsbudgetens utgifter för 2003 på utgiftsområden</w:t>
      </w:r>
      <w:r w:rsidRPr="006C40C1">
        <w:tab/>
        <w:t>22</w:t>
      </w:r>
    </w:p>
    <w:p w:rsidR="00AA5D77" w:rsidRPr="006C40C1" w:rsidRDefault="00AA5D77">
      <w:pPr>
        <w:pStyle w:val="Innehll2"/>
      </w:pPr>
      <w:r w:rsidRPr="006C40C1">
        <w:t>Förslag till beräkning av statsbudgetens inkomster för 2003 per inkomsttitel</w:t>
      </w:r>
      <w:r w:rsidRPr="006C40C1">
        <w:tab/>
        <w:t>24</w:t>
      </w:r>
    </w:p>
    <w:p w:rsidR="00AA5D77" w:rsidRPr="006C40C1" w:rsidRDefault="00AA5D77">
      <w:pPr>
        <w:pStyle w:val="Innehll2"/>
      </w:pPr>
      <w:r w:rsidRPr="006C40C1">
        <w:t>Förteckning över av utskottet i punkt 5 avstyrkta motionsyrkanden</w:t>
      </w:r>
      <w:r w:rsidRPr="006C40C1">
        <w:tab/>
        <w:t>28</w:t>
      </w:r>
    </w:p>
    <w:p w:rsidR="00AA5D77" w:rsidRPr="006C40C1" w:rsidRDefault="00AA5D77">
      <w:pPr>
        <w:pStyle w:val="Innehll1"/>
      </w:pPr>
      <w:r w:rsidRPr="006C40C1">
        <w:t>Redogörelse för ärendet</w:t>
      </w:r>
      <w:r w:rsidRPr="006C40C1">
        <w:tab/>
        <w:t>34</w:t>
      </w:r>
    </w:p>
    <w:p w:rsidR="00AA5D77" w:rsidRPr="006C40C1" w:rsidRDefault="00AA5D77">
      <w:pPr>
        <w:pStyle w:val="Innehll2"/>
      </w:pPr>
      <w:r w:rsidRPr="006C40C1">
        <w:t>Ärendet och dess beredning</w:t>
      </w:r>
      <w:r w:rsidRPr="006C40C1">
        <w:tab/>
        <w:t>34</w:t>
      </w:r>
    </w:p>
    <w:p w:rsidR="00AA5D77" w:rsidRPr="006C40C1" w:rsidRDefault="00AA5D77">
      <w:pPr>
        <w:pStyle w:val="Innehll3"/>
      </w:pPr>
      <w:r w:rsidRPr="006C40C1">
        <w:t>Regeringens lagförslag</w:t>
      </w:r>
      <w:r w:rsidRPr="006C40C1">
        <w:tab/>
        <w:t>34</w:t>
      </w:r>
    </w:p>
    <w:p w:rsidR="00AA5D77" w:rsidRPr="006C40C1" w:rsidRDefault="00AA5D77">
      <w:pPr>
        <w:pStyle w:val="Innehll3"/>
      </w:pPr>
      <w:r w:rsidRPr="006C40C1">
        <w:t>Yttranden från andra utskott</w:t>
      </w:r>
      <w:r w:rsidRPr="006C40C1">
        <w:tab/>
        <w:t>35</w:t>
      </w:r>
    </w:p>
    <w:p w:rsidR="00AA5D77" w:rsidRPr="006C40C1" w:rsidRDefault="00AA5D77">
      <w:pPr>
        <w:pStyle w:val="Innehll3"/>
      </w:pPr>
      <w:r w:rsidRPr="006C40C1">
        <w:t>Utfrågningar</w:t>
      </w:r>
      <w:r w:rsidRPr="006C40C1">
        <w:tab/>
        <w:t>35</w:t>
      </w:r>
    </w:p>
    <w:p w:rsidR="00AA5D77" w:rsidRPr="006C40C1" w:rsidRDefault="00AA5D77">
      <w:pPr>
        <w:pStyle w:val="Innehll3"/>
      </w:pPr>
      <w:r w:rsidRPr="006C40C1">
        <w:t>Skrivelser</w:t>
      </w:r>
      <w:r w:rsidRPr="006C40C1">
        <w:tab/>
        <w:t>35</w:t>
      </w:r>
    </w:p>
    <w:p w:rsidR="00AA5D77" w:rsidRPr="006C40C1" w:rsidRDefault="00AA5D77">
      <w:pPr>
        <w:pStyle w:val="Innehll1"/>
      </w:pPr>
      <w:r w:rsidRPr="006C40C1">
        <w:t>Utskottets överväganden</w:t>
      </w:r>
      <w:r w:rsidRPr="006C40C1">
        <w:tab/>
        <w:t>36</w:t>
      </w:r>
    </w:p>
    <w:p w:rsidR="00AA5D77" w:rsidRPr="006C40C1" w:rsidRDefault="00AA5D77">
      <w:pPr>
        <w:pStyle w:val="Innehll1"/>
      </w:pPr>
      <w:r w:rsidRPr="006C40C1">
        <w:t>1 Den ekonomiska politiken</w:t>
      </w:r>
      <w:r w:rsidRPr="006C40C1">
        <w:tab/>
        <w:t>36</w:t>
      </w:r>
    </w:p>
    <w:p w:rsidR="00AA5D77" w:rsidRPr="006C40C1" w:rsidRDefault="00AA5D77">
      <w:pPr>
        <w:pStyle w:val="Innehll2"/>
      </w:pPr>
      <w:r w:rsidRPr="006C40C1">
        <w:t>1.1 Den internationella utvecklingen</w:t>
      </w:r>
      <w:r w:rsidRPr="006C40C1">
        <w:tab/>
        <w:t>36</w:t>
      </w:r>
    </w:p>
    <w:p w:rsidR="00AA5D77" w:rsidRPr="006C40C1" w:rsidRDefault="00AA5D77">
      <w:pPr>
        <w:pStyle w:val="Innehll3"/>
      </w:pPr>
      <w:r w:rsidRPr="006C40C1">
        <w:t>1.1.1 Långsammare återhämtning</w:t>
      </w:r>
      <w:r w:rsidRPr="006C40C1">
        <w:tab/>
        <w:t>36</w:t>
      </w:r>
    </w:p>
    <w:p w:rsidR="00AA5D77" w:rsidRPr="006C40C1" w:rsidRDefault="00AA5D77">
      <w:pPr>
        <w:pStyle w:val="Innehll3"/>
      </w:pPr>
      <w:r w:rsidRPr="006C40C1">
        <w:t>1.1.2 Återhämtningen i Förenta staterna svagare än förväntat</w:t>
      </w:r>
      <w:r w:rsidRPr="006C40C1">
        <w:tab/>
        <w:t>38</w:t>
      </w:r>
    </w:p>
    <w:p w:rsidR="00AA5D77" w:rsidRPr="006C40C1" w:rsidRDefault="00AA5D77">
      <w:pPr>
        <w:pStyle w:val="Innehll3"/>
      </w:pPr>
      <w:r w:rsidRPr="006C40C1">
        <w:t>1.1.3 Svag konjunktur i euroområdet</w:t>
      </w:r>
      <w:r w:rsidRPr="006C40C1">
        <w:tab/>
        <w:t>38</w:t>
      </w:r>
    </w:p>
    <w:p w:rsidR="00AA5D77" w:rsidRPr="006C40C1" w:rsidRDefault="00AA5D77">
      <w:pPr>
        <w:pStyle w:val="Innehll3"/>
      </w:pPr>
      <w:r w:rsidRPr="006C40C1">
        <w:t>1.1.4 Deflationen i Japan består</w:t>
      </w:r>
      <w:r w:rsidRPr="006C40C1">
        <w:tab/>
        <w:t>40</w:t>
      </w:r>
    </w:p>
    <w:p w:rsidR="00AA5D77" w:rsidRPr="006C40C1" w:rsidRDefault="00AA5D77">
      <w:pPr>
        <w:pStyle w:val="Innehll3"/>
      </w:pPr>
      <w:r w:rsidRPr="006C40C1">
        <w:t>1.1.5 Svag utveckling i Latinamerika</w:t>
      </w:r>
      <w:r w:rsidRPr="006C40C1">
        <w:tab/>
        <w:t>40</w:t>
      </w:r>
    </w:p>
    <w:p w:rsidR="00AA5D77" w:rsidRPr="006C40C1" w:rsidRDefault="00AA5D77">
      <w:pPr>
        <w:pStyle w:val="Innehll3"/>
      </w:pPr>
      <w:r w:rsidRPr="006C40C1">
        <w:t>1.1.6 Osäkerheter i den internationella bedömningen</w:t>
      </w:r>
      <w:r w:rsidRPr="006C40C1">
        <w:tab/>
        <w:t>41</w:t>
      </w:r>
    </w:p>
    <w:p w:rsidR="00AA5D77" w:rsidRPr="006C40C1" w:rsidRDefault="00AA5D77">
      <w:pPr>
        <w:pStyle w:val="Innehll2"/>
      </w:pPr>
      <w:r w:rsidRPr="006C40C1">
        <w:t>1.2 Den ekonomiska utvecklingen i Sverige</w:t>
      </w:r>
      <w:r w:rsidRPr="006C40C1">
        <w:tab/>
        <w:t>41</w:t>
      </w:r>
    </w:p>
    <w:p w:rsidR="00AA5D77" w:rsidRPr="006C40C1" w:rsidRDefault="00AA5D77">
      <w:pPr>
        <w:pStyle w:val="Innehll3"/>
      </w:pPr>
      <w:r w:rsidRPr="006C40C1">
        <w:t>1.2.1 Bättre än förväntat i den svenska ekonomin</w:t>
      </w:r>
      <w:r w:rsidRPr="006C40C1">
        <w:tab/>
        <w:t>41</w:t>
      </w:r>
    </w:p>
    <w:p w:rsidR="00AA5D77" w:rsidRPr="006C40C1" w:rsidRDefault="00AA5D77">
      <w:pPr>
        <w:pStyle w:val="Innehll3"/>
      </w:pPr>
      <w:r w:rsidRPr="006C40C1">
        <w:t>1.2.2 Prognosförutsättningar och nyckeltal</w:t>
      </w:r>
      <w:r w:rsidRPr="006C40C1">
        <w:tab/>
        <w:t>44</w:t>
      </w:r>
    </w:p>
    <w:p w:rsidR="00AA5D77" w:rsidRPr="006C40C1" w:rsidRDefault="00AA5D77">
      <w:pPr>
        <w:pStyle w:val="Innehll3"/>
      </w:pPr>
      <w:r w:rsidRPr="006C40C1">
        <w:t>1.2.3 Försörjningsbalansen</w:t>
      </w:r>
      <w:r w:rsidRPr="006C40C1">
        <w:tab/>
        <w:t>45</w:t>
      </w:r>
    </w:p>
    <w:p w:rsidR="00AA5D77" w:rsidRPr="006C40C1" w:rsidRDefault="00AA5D77">
      <w:pPr>
        <w:pStyle w:val="Innehll3"/>
      </w:pPr>
      <w:r w:rsidRPr="006C40C1">
        <w:t>1.2.4 Oväntat stark export hittills i år</w:t>
      </w:r>
      <w:r w:rsidRPr="006C40C1">
        <w:tab/>
        <w:t>46</w:t>
      </w:r>
    </w:p>
    <w:p w:rsidR="00AA5D77" w:rsidRPr="006C40C1" w:rsidRDefault="00AA5D77">
      <w:pPr>
        <w:pStyle w:val="Innehll3"/>
      </w:pPr>
      <w:r w:rsidRPr="006C40C1">
        <w:t>1.2.5 Även sysselsättningen bättre än väntat</w:t>
      </w:r>
      <w:r w:rsidRPr="006C40C1">
        <w:tab/>
        <w:t>47</w:t>
      </w:r>
    </w:p>
    <w:p w:rsidR="00AA5D77" w:rsidRPr="006C40C1" w:rsidRDefault="00AA5D77">
      <w:pPr>
        <w:pStyle w:val="Innehll3"/>
      </w:pPr>
      <w:r w:rsidRPr="006C40C1">
        <w:rPr>
          <w:vertAlign w:val="superscript"/>
        </w:rPr>
        <w:t>1</w:t>
      </w:r>
      <w:r w:rsidRPr="006C40C1">
        <w:t xml:space="preserve"> Antalet personer i procent av arbetskraften.</w:t>
      </w:r>
      <w:r w:rsidRPr="006C40C1">
        <w:tab/>
        <w:t>50</w:t>
      </w:r>
    </w:p>
    <w:p w:rsidR="00AA5D77" w:rsidRPr="006C40C1" w:rsidRDefault="00AA5D77">
      <w:pPr>
        <w:pStyle w:val="Innehll3"/>
      </w:pPr>
      <w:r w:rsidRPr="006C40C1">
        <w:t>1.2.6 Alternativa kalkyler för utvecklingen fram till 2004</w:t>
      </w:r>
      <w:r w:rsidRPr="006C40C1">
        <w:tab/>
        <w:t>50</w:t>
      </w:r>
    </w:p>
    <w:p w:rsidR="00AA5D77" w:rsidRPr="006C40C1" w:rsidRDefault="00AA5D77">
      <w:pPr>
        <w:pStyle w:val="Innehll4"/>
      </w:pPr>
      <w:r w:rsidRPr="006C40C1">
        <w:t>Högtillväxtalternativet</w:t>
      </w:r>
      <w:r w:rsidRPr="006C40C1">
        <w:tab/>
        <w:t>51</w:t>
      </w:r>
    </w:p>
    <w:p w:rsidR="00AA5D77" w:rsidRPr="006C40C1" w:rsidRDefault="00AA5D77">
      <w:pPr>
        <w:pStyle w:val="Innehll3"/>
      </w:pPr>
      <w:r w:rsidRPr="006C40C1">
        <w:rPr>
          <w:vertAlign w:val="superscript"/>
        </w:rPr>
        <w:t>1</w:t>
      </w:r>
      <w:r w:rsidRPr="006C40C1">
        <w:t xml:space="preserve"> Skillnaden i procent mellan faktisk och potentiell produktion.</w:t>
      </w:r>
      <w:r w:rsidRPr="006C40C1">
        <w:tab/>
        <w:t>52</w:t>
      </w:r>
    </w:p>
    <w:p w:rsidR="00AA5D77" w:rsidRPr="006C40C1" w:rsidRDefault="00AA5D77">
      <w:pPr>
        <w:pStyle w:val="Innehll3"/>
      </w:pPr>
      <w:r w:rsidRPr="006C40C1">
        <w:t>1.2.7 Ny information efter det att regeringens prognos färdigställts</w:t>
      </w:r>
      <w:r w:rsidRPr="006C40C1">
        <w:tab/>
        <w:t>52</w:t>
      </w:r>
    </w:p>
    <w:p w:rsidR="00AA5D77" w:rsidRPr="006C40C1" w:rsidRDefault="00AA5D77">
      <w:pPr>
        <w:pStyle w:val="Innehll3"/>
      </w:pPr>
      <w:r w:rsidRPr="006C40C1">
        <w:t>1.2.8 Finansutskottets syn på budgetpropositionens och partimotionernas konjunkturbedömningar</w:t>
      </w:r>
      <w:r w:rsidRPr="006C40C1">
        <w:tab/>
        <w:t>56</w:t>
      </w:r>
    </w:p>
    <w:p w:rsidR="00AA5D77" w:rsidRPr="006C40C1" w:rsidRDefault="00AA5D77">
      <w:pPr>
        <w:pStyle w:val="Innehll2"/>
      </w:pPr>
      <w:r w:rsidRPr="006C40C1">
        <w:t>1.3 Inriktningen av den allmänna ekonomiska politiken</w:t>
      </w:r>
      <w:r w:rsidRPr="006C40C1">
        <w:tab/>
        <w:t>59</w:t>
      </w:r>
    </w:p>
    <w:p w:rsidR="00AA5D77" w:rsidRPr="006C40C1" w:rsidRDefault="00AA5D77">
      <w:pPr>
        <w:pStyle w:val="Innehll3"/>
      </w:pPr>
      <w:r w:rsidRPr="006C40C1">
        <w:t>1.3.1 Finansutskottets förslag till inriktning av den allmänna ekonomiska politiken</w:t>
      </w:r>
      <w:r w:rsidRPr="006C40C1">
        <w:tab/>
        <w:t>59</w:t>
      </w:r>
    </w:p>
    <w:p w:rsidR="00AA5D77" w:rsidRPr="006C40C1" w:rsidRDefault="00AA5D77">
      <w:pPr>
        <w:pStyle w:val="Innehll3"/>
      </w:pPr>
      <w:r w:rsidRPr="006C40C1">
        <w:t>1.3.2 Partimotionernas förslag till inriktning av den allmänna ekonomiska politiken</w:t>
      </w:r>
      <w:r w:rsidRPr="006C40C1">
        <w:tab/>
        <w:t>62</w:t>
      </w:r>
    </w:p>
    <w:p w:rsidR="00AA5D77" w:rsidRPr="006C40C1" w:rsidRDefault="00AA5D77">
      <w:pPr>
        <w:pStyle w:val="Innehll3"/>
      </w:pPr>
      <w:r w:rsidRPr="006C40C1">
        <w:t>1.3.3 Finansutskottets ställningstagande till partimotionernas förslag till inriktning av den allmänna ekonomiska utvecklingen</w:t>
      </w:r>
      <w:r w:rsidRPr="006C40C1">
        <w:tab/>
        <w:t>73</w:t>
      </w:r>
    </w:p>
    <w:p w:rsidR="00AA5D77" w:rsidRPr="006C40C1" w:rsidRDefault="00AA5D77">
      <w:pPr>
        <w:pStyle w:val="Innehll4"/>
      </w:pPr>
      <w:r w:rsidRPr="006C40C1">
        <w:t>Sveriges relativa  position förbättras</w:t>
      </w:r>
      <w:r w:rsidRPr="006C40C1">
        <w:tab/>
        <w:t>74</w:t>
      </w:r>
    </w:p>
    <w:p w:rsidR="00AA5D77" w:rsidRPr="006C40C1" w:rsidRDefault="00AA5D77">
      <w:pPr>
        <w:pStyle w:val="Innehll4"/>
      </w:pPr>
      <w:r w:rsidRPr="006C40C1">
        <w:t>Hög tillväxt – ett viktigt mål i den ekonomiska politiken</w:t>
      </w:r>
      <w:r w:rsidRPr="006C40C1">
        <w:tab/>
        <w:t>75</w:t>
      </w:r>
    </w:p>
    <w:p w:rsidR="00AA5D77" w:rsidRPr="006C40C1" w:rsidRDefault="00AA5D77">
      <w:pPr>
        <w:pStyle w:val="Innehll4"/>
      </w:pPr>
      <w:r w:rsidRPr="006C40C1">
        <w:t>Företagen och globaliseringen</w:t>
      </w:r>
      <w:r w:rsidRPr="006C40C1">
        <w:tab/>
        <w:t>76</w:t>
      </w:r>
    </w:p>
    <w:p w:rsidR="00AA5D77" w:rsidRPr="006C40C1" w:rsidRDefault="00AA5D77">
      <w:pPr>
        <w:pStyle w:val="Innehll4"/>
      </w:pPr>
      <w:r w:rsidRPr="006C40C1">
        <w:t>Sverige – en av världens främsta IT-nationer</w:t>
      </w:r>
      <w:r w:rsidRPr="006C40C1">
        <w:tab/>
        <w:t>77</w:t>
      </w:r>
    </w:p>
    <w:p w:rsidR="00AA5D77" w:rsidRPr="006C40C1" w:rsidRDefault="00AA5D77">
      <w:pPr>
        <w:pStyle w:val="Innehll4"/>
      </w:pPr>
      <w:r w:rsidRPr="006C40C1">
        <w:t>Konkurrensklimatet ska förbättras ytterligare</w:t>
      </w:r>
      <w:r w:rsidRPr="006C40C1">
        <w:tab/>
        <w:t>78</w:t>
      </w:r>
    </w:p>
    <w:p w:rsidR="00AA5D77" w:rsidRPr="006C40C1" w:rsidRDefault="00AA5D77">
      <w:pPr>
        <w:pStyle w:val="Innehll4"/>
      </w:pPr>
      <w:r w:rsidRPr="006C40C1">
        <w:t>Sverige – en framstående kunskapsnation</w:t>
      </w:r>
      <w:r w:rsidRPr="006C40C1">
        <w:tab/>
        <w:t>79</w:t>
      </w:r>
    </w:p>
    <w:p w:rsidR="00AA5D77" w:rsidRPr="006C40C1" w:rsidRDefault="00AA5D77">
      <w:pPr>
        <w:pStyle w:val="Innehll4"/>
      </w:pPr>
      <w:r w:rsidRPr="006C40C1">
        <w:t>Regelverket för företagen</w:t>
      </w:r>
      <w:r w:rsidRPr="006C40C1">
        <w:tab/>
        <w:t>80</w:t>
      </w:r>
    </w:p>
    <w:p w:rsidR="00AA5D77" w:rsidRPr="006C40C1" w:rsidRDefault="00AA5D77">
      <w:pPr>
        <w:pStyle w:val="Innehll4"/>
      </w:pPr>
      <w:r w:rsidRPr="006C40C1">
        <w:t>Förenkling av regelverket</w:t>
      </w:r>
      <w:r w:rsidRPr="006C40C1">
        <w:tab/>
        <w:t>81</w:t>
      </w:r>
    </w:p>
    <w:p w:rsidR="00AA5D77" w:rsidRPr="006C40C1" w:rsidRDefault="00AA5D77">
      <w:pPr>
        <w:pStyle w:val="Innehll4"/>
      </w:pPr>
      <w:r w:rsidRPr="006C40C1">
        <w:t>Lägre sysselsättningstillväxt</w:t>
      </w:r>
      <w:r w:rsidRPr="006C40C1">
        <w:tab/>
        <w:t>82</w:t>
      </w:r>
    </w:p>
    <w:p w:rsidR="00AA5D77" w:rsidRPr="006C40C1" w:rsidRDefault="00AA5D77">
      <w:pPr>
        <w:pStyle w:val="Innehll4"/>
      </w:pPr>
      <w:r w:rsidRPr="006C40C1">
        <w:t>Målet för den öppna arbetslösheten nåddes hösten 2000</w:t>
      </w:r>
      <w:r w:rsidRPr="006C40C1">
        <w:tab/>
        <w:t>83</w:t>
      </w:r>
    </w:p>
    <w:p w:rsidR="00AA5D77" w:rsidRPr="006C40C1" w:rsidRDefault="00AA5D77">
      <w:pPr>
        <w:pStyle w:val="Innehll4"/>
      </w:pPr>
      <w:r w:rsidRPr="006C40C1">
        <w:t>Sysselsättningsmålet har utvecklats gynnsamt men ...</w:t>
      </w:r>
      <w:r w:rsidRPr="006C40C1">
        <w:tab/>
        <w:t>83</w:t>
      </w:r>
    </w:p>
    <w:p w:rsidR="00AA5D77" w:rsidRPr="006C40C1" w:rsidRDefault="00AA5D77">
      <w:pPr>
        <w:pStyle w:val="Innehll4"/>
      </w:pPr>
      <w:r w:rsidRPr="006C40C1">
        <w:t>... det krävs insatser för att målet ska nås</w:t>
      </w:r>
      <w:r w:rsidRPr="006C40C1">
        <w:tab/>
        <w:t>84</w:t>
      </w:r>
    </w:p>
    <w:p w:rsidR="00AA5D77" w:rsidRPr="006C40C1" w:rsidRDefault="00AA5D77">
      <w:pPr>
        <w:pStyle w:val="Innehll4"/>
      </w:pPr>
      <w:r w:rsidRPr="006C40C1">
        <w:t>Arbetsmarknadspolitiken har lagts om</w:t>
      </w:r>
      <w:r w:rsidRPr="006C40C1">
        <w:tab/>
        <w:t>84</w:t>
      </w:r>
    </w:p>
    <w:p w:rsidR="00AA5D77" w:rsidRPr="006C40C1" w:rsidRDefault="00AA5D77">
      <w:pPr>
        <w:pStyle w:val="Innehll4"/>
      </w:pPr>
      <w:r w:rsidRPr="006C40C1">
        <w:t>Satsningarna på utbildning och kompetens höjer arbetskraftsutbudet</w:t>
      </w:r>
      <w:r w:rsidRPr="006C40C1">
        <w:tab/>
        <w:t>86</w:t>
      </w:r>
    </w:p>
    <w:p w:rsidR="00AA5D77" w:rsidRPr="006C40C1" w:rsidRDefault="00AA5D77">
      <w:pPr>
        <w:pStyle w:val="Innehll4"/>
      </w:pPr>
      <w:r w:rsidRPr="006C40C1">
        <w:t>Sysselsättningen bland invandrare ska öka</w:t>
      </w:r>
      <w:r w:rsidRPr="006C40C1">
        <w:tab/>
        <w:t>86</w:t>
      </w:r>
    </w:p>
    <w:p w:rsidR="00AA5D77" w:rsidRPr="006C40C1" w:rsidRDefault="00AA5D77">
      <w:pPr>
        <w:pStyle w:val="Innehll4"/>
      </w:pPr>
      <w:r w:rsidRPr="006C40C1">
        <w:t>Lönebildningen spelar stor roll för tillväxten och sysselsättningen</w:t>
      </w:r>
      <w:r w:rsidRPr="006C40C1">
        <w:tab/>
        <w:t>87</w:t>
      </w:r>
    </w:p>
    <w:p w:rsidR="00AA5D77" w:rsidRPr="006C40C1" w:rsidRDefault="00AA5D77">
      <w:pPr>
        <w:pStyle w:val="Innehll4"/>
      </w:pPr>
      <w:r w:rsidRPr="006C40C1">
        <w:t>Arbetsrätten</w:t>
      </w:r>
      <w:r w:rsidRPr="006C40C1">
        <w:tab/>
        <w:t>89</w:t>
      </w:r>
    </w:p>
    <w:p w:rsidR="00AA5D77" w:rsidRPr="006C40C1" w:rsidRDefault="00AA5D77">
      <w:pPr>
        <w:pStyle w:val="Innehll4"/>
      </w:pPr>
      <w:r w:rsidRPr="006C40C1">
        <w:t>Åtgärder mot ohälsan</w:t>
      </w:r>
      <w:r w:rsidRPr="006C40C1">
        <w:tab/>
        <w:t>89</w:t>
      </w:r>
    </w:p>
    <w:p w:rsidR="00AA5D77" w:rsidRPr="006C40C1" w:rsidRDefault="00AA5D77">
      <w:pPr>
        <w:pStyle w:val="Innehll4"/>
      </w:pPr>
      <w:r w:rsidRPr="006C40C1">
        <w:t>Tillväxt och full sysselsättning  i hela Sverige</w:t>
      </w:r>
      <w:r w:rsidRPr="006C40C1">
        <w:tab/>
        <w:t>90</w:t>
      </w:r>
    </w:p>
    <w:p w:rsidR="00AA5D77" w:rsidRPr="006C40C1" w:rsidRDefault="00AA5D77">
      <w:pPr>
        <w:pStyle w:val="Innehll4"/>
      </w:pPr>
      <w:r w:rsidRPr="006C40C1">
        <w:t>Kraftig satsning på infrastrukturen</w:t>
      </w:r>
      <w:r w:rsidRPr="006C40C1">
        <w:tab/>
        <w:t>92</w:t>
      </w:r>
    </w:p>
    <w:p w:rsidR="00AA5D77" w:rsidRPr="006C40C1" w:rsidRDefault="00AA5D77">
      <w:pPr>
        <w:pStyle w:val="Innehll4"/>
      </w:pPr>
      <w:r w:rsidRPr="006C40C1">
        <w:t>Sänkta inkomstskatter</w:t>
      </w:r>
      <w:r w:rsidRPr="006C40C1">
        <w:tab/>
        <w:t>93</w:t>
      </w:r>
    </w:p>
    <w:p w:rsidR="00AA5D77" w:rsidRPr="006C40C1" w:rsidRDefault="00AA5D77">
      <w:pPr>
        <w:pStyle w:val="Innehll4"/>
      </w:pPr>
      <w:r w:rsidRPr="006C40C1">
        <w:t>Fastighetsskatten</w:t>
      </w:r>
      <w:r w:rsidRPr="006C40C1">
        <w:tab/>
        <w:t>94</w:t>
      </w:r>
    </w:p>
    <w:p w:rsidR="00AA5D77" w:rsidRPr="006C40C1" w:rsidRDefault="00AA5D77">
      <w:pPr>
        <w:pStyle w:val="Innehll4"/>
      </w:pPr>
      <w:r w:rsidRPr="006C40C1">
        <w:t>Grön skatteväxling och ett ekologiskt hållbart Sverige</w:t>
      </w:r>
      <w:r w:rsidRPr="006C40C1">
        <w:tab/>
        <w:t>94</w:t>
      </w:r>
    </w:p>
    <w:p w:rsidR="00AA5D77" w:rsidRPr="006C40C1" w:rsidRDefault="00AA5D77">
      <w:pPr>
        <w:pStyle w:val="Innehll4"/>
      </w:pPr>
      <w:r w:rsidRPr="006C40C1">
        <w:t>Reformering av barn- och familjepolitiken</w:t>
      </w:r>
      <w:r w:rsidRPr="006C40C1">
        <w:tab/>
        <w:t>96</w:t>
      </w:r>
    </w:p>
    <w:p w:rsidR="00AA5D77" w:rsidRPr="006C40C1" w:rsidRDefault="00AA5D77">
      <w:pPr>
        <w:pStyle w:val="Innehll4"/>
      </w:pPr>
      <w:r w:rsidRPr="006C40C1">
        <w:t>Den generella välfärden ska bevaras och utvecklas</w:t>
      </w:r>
      <w:r w:rsidRPr="006C40C1">
        <w:tab/>
        <w:t>96</w:t>
      </w:r>
    </w:p>
    <w:p w:rsidR="00AA5D77" w:rsidRPr="006C40C1" w:rsidRDefault="00AA5D77">
      <w:pPr>
        <w:pStyle w:val="Innehll4"/>
      </w:pPr>
      <w:r w:rsidRPr="006C40C1">
        <w:t>Privatisering och avreglering</w:t>
      </w:r>
      <w:r w:rsidRPr="006C40C1">
        <w:tab/>
        <w:t>97</w:t>
      </w:r>
    </w:p>
    <w:p w:rsidR="00AA5D77" w:rsidRPr="006C40C1" w:rsidRDefault="00AA5D77">
      <w:pPr>
        <w:pStyle w:val="Innehll4"/>
      </w:pPr>
      <w:r w:rsidRPr="006C40C1">
        <w:t>Offentliga bidrag bidrar till en jämnare fördelning</w:t>
      </w:r>
      <w:r w:rsidRPr="006C40C1">
        <w:tab/>
        <w:t>98</w:t>
      </w:r>
    </w:p>
    <w:p w:rsidR="00AA5D77" w:rsidRPr="006C40C1" w:rsidRDefault="00AA5D77">
      <w:pPr>
        <w:pStyle w:val="Innehll4"/>
      </w:pPr>
      <w:r w:rsidRPr="006C40C1">
        <w:t>Ökade resurser till vården, skolan och omsorgen …</w:t>
      </w:r>
      <w:r w:rsidRPr="006C40C1">
        <w:tab/>
        <w:t>98</w:t>
      </w:r>
    </w:p>
    <w:p w:rsidR="00AA5D77" w:rsidRPr="006C40C1" w:rsidRDefault="00AA5D77">
      <w:pPr>
        <w:pStyle w:val="Innehll4"/>
      </w:pPr>
      <w:r w:rsidRPr="006C40C1">
        <w:t>… och behovet av offentlig och kommunal verksamhet växer</w:t>
      </w:r>
      <w:r w:rsidRPr="006C40C1">
        <w:tab/>
        <w:t>99</w:t>
      </w:r>
    </w:p>
    <w:p w:rsidR="00AA5D77" w:rsidRPr="006C40C1" w:rsidRDefault="00AA5D77">
      <w:pPr>
        <w:pStyle w:val="Innehll4"/>
      </w:pPr>
      <w:r w:rsidRPr="006C40C1">
        <w:t>Pensionärerna och pensionerna</w:t>
      </w:r>
      <w:r w:rsidRPr="006C40C1">
        <w:tab/>
        <w:t>100</w:t>
      </w:r>
    </w:p>
    <w:p w:rsidR="00AA5D77" w:rsidRPr="006C40C1" w:rsidRDefault="00AA5D77">
      <w:pPr>
        <w:pStyle w:val="Innehll4"/>
      </w:pPr>
      <w:r w:rsidRPr="006C40C1">
        <w:t>Saneringen av de offentliga finanserna och demografin</w:t>
      </w:r>
      <w:r w:rsidRPr="006C40C1">
        <w:tab/>
        <w:t>100</w:t>
      </w:r>
    </w:p>
    <w:p w:rsidR="00AA5D77" w:rsidRPr="006C40C1" w:rsidRDefault="00AA5D77">
      <w:pPr>
        <w:pStyle w:val="Innehll4"/>
      </w:pPr>
      <w:r w:rsidRPr="006C40C1">
        <w:t>Ett Sverige för alla ...</w:t>
      </w:r>
      <w:r w:rsidRPr="006C40C1">
        <w:tab/>
        <w:t>101</w:t>
      </w:r>
    </w:p>
    <w:p w:rsidR="00AA5D77" w:rsidRPr="006C40C1" w:rsidRDefault="00AA5D77">
      <w:pPr>
        <w:pStyle w:val="Innehll4"/>
      </w:pPr>
      <w:r w:rsidRPr="006C40C1">
        <w:t>… och socialbidragsberoendet ska halveras</w:t>
      </w:r>
      <w:r w:rsidRPr="006C40C1">
        <w:tab/>
        <w:t>102</w:t>
      </w:r>
    </w:p>
    <w:p w:rsidR="00AA5D77" w:rsidRPr="006C40C1" w:rsidRDefault="00AA5D77">
      <w:pPr>
        <w:pStyle w:val="Innehll4"/>
      </w:pPr>
      <w:r w:rsidRPr="006C40C1">
        <w:t>Jämställdhet</w:t>
      </w:r>
      <w:r w:rsidRPr="006C40C1">
        <w:tab/>
        <w:t>102</w:t>
      </w:r>
    </w:p>
    <w:p w:rsidR="00AA5D77" w:rsidRPr="006C40C1" w:rsidRDefault="00AA5D77">
      <w:pPr>
        <w:pStyle w:val="Innehll4"/>
      </w:pPr>
      <w:r w:rsidRPr="006C40C1">
        <w:t>(s), (v) och (mp) i samarbete</w:t>
      </w:r>
      <w:r w:rsidRPr="006C40C1">
        <w:tab/>
        <w:t>104</w:t>
      </w:r>
    </w:p>
    <w:p w:rsidR="00AA5D77" w:rsidRPr="006C40C1" w:rsidRDefault="00AA5D77">
      <w:pPr>
        <w:pStyle w:val="Innehll2"/>
      </w:pPr>
      <w:r w:rsidRPr="006C40C1">
        <w:t>1.4 Gröna nyckeltal</w:t>
      </w:r>
      <w:r w:rsidRPr="006C40C1">
        <w:tab/>
        <w:t>104</w:t>
      </w:r>
    </w:p>
    <w:p w:rsidR="00AA5D77" w:rsidRPr="006C40C1" w:rsidRDefault="00AA5D77">
      <w:pPr>
        <w:pStyle w:val="Innehll3"/>
      </w:pPr>
      <w:r w:rsidRPr="006C40C1">
        <w:t>1.4.1 Gröna nyckeltal i EU</w:t>
      </w:r>
      <w:r w:rsidRPr="006C40C1">
        <w:tab/>
        <w:t>104</w:t>
      </w:r>
    </w:p>
    <w:p w:rsidR="00AA5D77" w:rsidRPr="006C40C1" w:rsidRDefault="00AA5D77">
      <w:pPr>
        <w:pStyle w:val="Innehll3"/>
      </w:pPr>
      <w:r w:rsidRPr="006C40C1">
        <w:t>1.4.2 Miljökonsekvensbeskrivningar i budgetpropositionen</w:t>
      </w:r>
      <w:r w:rsidRPr="006C40C1">
        <w:tab/>
        <w:t>106</w:t>
      </w:r>
    </w:p>
    <w:p w:rsidR="00AA5D77" w:rsidRPr="006C40C1" w:rsidRDefault="00AA5D77">
      <w:pPr>
        <w:pStyle w:val="Innehll1"/>
      </w:pPr>
      <w:r w:rsidRPr="006C40C1">
        <w:t>2 Budgetpolitikens inriktning och utgiftstak för staten</w:t>
      </w:r>
      <w:r w:rsidRPr="006C40C1">
        <w:tab/>
        <w:t>108</w:t>
      </w:r>
    </w:p>
    <w:p w:rsidR="00AA5D77" w:rsidRPr="006C40C1" w:rsidRDefault="00AA5D77">
      <w:pPr>
        <w:pStyle w:val="Innehll2"/>
      </w:pPr>
      <w:r w:rsidRPr="006C40C1">
        <w:t>2.1 Utformningen av utskottets förslag till rambeslut</w:t>
      </w:r>
      <w:r w:rsidRPr="006C40C1">
        <w:tab/>
        <w:t>108</w:t>
      </w:r>
    </w:p>
    <w:p w:rsidR="00AA5D77" w:rsidRPr="006C40C1" w:rsidRDefault="00AA5D77">
      <w:pPr>
        <w:pStyle w:val="Innehll2"/>
      </w:pPr>
      <w:r w:rsidRPr="006C40C1">
        <w:t>2.2 Budgetutvecklingen</w:t>
      </w:r>
      <w:r w:rsidRPr="006C40C1">
        <w:tab/>
        <w:t>110</w:t>
      </w:r>
    </w:p>
    <w:p w:rsidR="00AA5D77" w:rsidRPr="006C40C1" w:rsidRDefault="00AA5D77">
      <w:pPr>
        <w:pStyle w:val="Innehll2"/>
      </w:pPr>
      <w:r w:rsidRPr="006C40C1">
        <w:t>2.3 Mål för budgetpolitiken</w:t>
      </w:r>
      <w:r w:rsidRPr="006C40C1">
        <w:tab/>
        <w:t>112</w:t>
      </w:r>
    </w:p>
    <w:p w:rsidR="00AA5D77" w:rsidRPr="006C40C1" w:rsidRDefault="00AA5D77">
      <w:pPr>
        <w:pStyle w:val="Innehll2"/>
      </w:pPr>
      <w:r w:rsidRPr="006C40C1">
        <w:t>2.4 Budgetpolitikens inriktning</w:t>
      </w:r>
      <w:r w:rsidRPr="006C40C1">
        <w:tab/>
        <w:t>118</w:t>
      </w:r>
    </w:p>
    <w:p w:rsidR="00AA5D77" w:rsidRPr="006C40C1" w:rsidRDefault="00AA5D77">
      <w:pPr>
        <w:pStyle w:val="Innehll3"/>
      </w:pPr>
      <w:r w:rsidRPr="006C40C1">
        <w:t>2.4.1 Trepartiöverenskommelse om budgetpolitiken</w:t>
      </w:r>
      <w:r w:rsidRPr="006C40C1">
        <w:tab/>
        <w:t>118</w:t>
      </w:r>
    </w:p>
    <w:p w:rsidR="00AA5D77" w:rsidRPr="006C40C1" w:rsidRDefault="00AA5D77">
      <w:pPr>
        <w:pStyle w:val="Innehll3"/>
      </w:pPr>
      <w:r w:rsidRPr="006C40C1">
        <w:t>2.4.2 De politiska alternativen</w:t>
      </w:r>
      <w:r w:rsidRPr="006C40C1">
        <w:tab/>
        <w:t>119</w:t>
      </w:r>
    </w:p>
    <w:p w:rsidR="00AA5D77" w:rsidRPr="006C40C1" w:rsidRDefault="00AA5D77">
      <w:pPr>
        <w:pStyle w:val="Innehll3"/>
      </w:pPr>
      <w:r w:rsidRPr="006C40C1">
        <w:t>2.4.3 Finansutskottets sammanfattande bedömning av budgetförslagen</w:t>
      </w:r>
      <w:r w:rsidRPr="006C40C1">
        <w:tab/>
        <w:t>141</w:t>
      </w:r>
    </w:p>
    <w:p w:rsidR="00AA5D77" w:rsidRPr="006C40C1" w:rsidRDefault="00AA5D77">
      <w:pPr>
        <w:pStyle w:val="Innehll2"/>
      </w:pPr>
      <w:r w:rsidRPr="006C40C1">
        <w:t>2.5 Utgiftstak för staten och den offentliga sektorn</w:t>
      </w:r>
      <w:r w:rsidRPr="006C40C1">
        <w:tab/>
        <w:t>166</w:t>
      </w:r>
    </w:p>
    <w:p w:rsidR="00AA5D77" w:rsidRPr="006C40C1" w:rsidRDefault="00AA5D77">
      <w:pPr>
        <w:pStyle w:val="Innehll3"/>
      </w:pPr>
      <w:r w:rsidRPr="006C40C1">
        <w:t>2.5.1 Utgiftstak för staten</w:t>
      </w:r>
      <w:r w:rsidRPr="006C40C1">
        <w:tab/>
        <w:t>166</w:t>
      </w:r>
    </w:p>
    <w:p w:rsidR="00AA5D77" w:rsidRPr="006C40C1" w:rsidRDefault="00AA5D77">
      <w:pPr>
        <w:pStyle w:val="Innehll3"/>
      </w:pPr>
      <w:r w:rsidRPr="006C40C1">
        <w:t>2.5.2 Utgiftstak för den offentliga sektorn</w:t>
      </w:r>
      <w:r w:rsidRPr="006C40C1">
        <w:tab/>
        <w:t>168</w:t>
      </w:r>
    </w:p>
    <w:p w:rsidR="00AA5D77" w:rsidRPr="006C40C1" w:rsidRDefault="00AA5D77">
      <w:pPr>
        <w:pStyle w:val="Innehll2"/>
      </w:pPr>
      <w:r w:rsidRPr="006C40C1">
        <w:t>2.6 Fördelning av statsbudgetens utgifter på utgiftsområden 2003</w:t>
      </w:r>
      <w:r w:rsidRPr="006C40C1">
        <w:tab/>
        <w:t>170</w:t>
      </w:r>
    </w:p>
    <w:p w:rsidR="00AA5D77" w:rsidRPr="006C40C1" w:rsidRDefault="00AA5D77">
      <w:pPr>
        <w:pStyle w:val="Innehll2"/>
      </w:pPr>
      <w:r w:rsidRPr="006C40C1">
        <w:t>2.7 Beräkning av statsbudgetens inkomster för 2003</w:t>
      </w:r>
      <w:r w:rsidRPr="006C40C1">
        <w:tab/>
        <w:t>176</w:t>
      </w:r>
    </w:p>
    <w:p w:rsidR="00AA5D77" w:rsidRPr="006C40C1" w:rsidRDefault="00AA5D77">
      <w:pPr>
        <w:pStyle w:val="Innehll2"/>
      </w:pPr>
      <w:r w:rsidRPr="006C40C1">
        <w:t>2.8 Anslagsbehållningar</w:t>
      </w:r>
      <w:r w:rsidRPr="006C40C1">
        <w:tab/>
        <w:t>177</w:t>
      </w:r>
    </w:p>
    <w:p w:rsidR="00AA5D77" w:rsidRPr="006C40C1" w:rsidRDefault="00AA5D77">
      <w:pPr>
        <w:pStyle w:val="Innehll2"/>
      </w:pPr>
      <w:r w:rsidRPr="006C40C1">
        <w:t>2.9 Myndigheternas in- och utlåning i Riksgäldskontoret</w:t>
      </w:r>
      <w:r w:rsidRPr="006C40C1">
        <w:tab/>
        <w:t>178</w:t>
      </w:r>
    </w:p>
    <w:p w:rsidR="00AA5D77" w:rsidRPr="006C40C1" w:rsidRDefault="00AA5D77">
      <w:pPr>
        <w:pStyle w:val="Innehll2"/>
      </w:pPr>
      <w:r w:rsidRPr="006C40C1">
        <w:t>2.10 Kassamässig korrigering</w:t>
      </w:r>
      <w:r w:rsidRPr="006C40C1">
        <w:tab/>
        <w:t>179</w:t>
      </w:r>
    </w:p>
    <w:p w:rsidR="00AA5D77" w:rsidRPr="006C40C1" w:rsidRDefault="00AA5D77">
      <w:pPr>
        <w:pStyle w:val="Innehll2"/>
      </w:pPr>
      <w:r w:rsidRPr="006C40C1">
        <w:t>2.11 Budgetens sammansättning i stort</w:t>
      </w:r>
      <w:r w:rsidRPr="006C40C1">
        <w:tab/>
        <w:t>180</w:t>
      </w:r>
    </w:p>
    <w:p w:rsidR="00AA5D77" w:rsidRPr="006C40C1" w:rsidRDefault="00AA5D77">
      <w:pPr>
        <w:pStyle w:val="Innehll2"/>
      </w:pPr>
      <w:r w:rsidRPr="006C40C1">
        <w:t>2.12 Sammandrag av de olika budgetalternativen</w:t>
      </w:r>
      <w:r w:rsidRPr="006C40C1">
        <w:tab/>
        <w:t>181</w:t>
      </w:r>
    </w:p>
    <w:p w:rsidR="00AA5D77" w:rsidRPr="006C40C1" w:rsidRDefault="00AA5D77">
      <w:pPr>
        <w:pStyle w:val="Innehll1"/>
      </w:pPr>
      <w:r w:rsidRPr="006C40C1">
        <w:t>3 Skatter och övriga inkomster</w:t>
      </w:r>
      <w:r w:rsidRPr="006C40C1">
        <w:tab/>
        <w:t>183</w:t>
      </w:r>
    </w:p>
    <w:p w:rsidR="00AA5D77" w:rsidRPr="006C40C1" w:rsidRDefault="00AA5D77">
      <w:pPr>
        <w:pStyle w:val="Innehll2"/>
      </w:pPr>
      <w:r w:rsidRPr="006C40C1">
        <w:t>3.1 Utvecklingen av statsbudgetens inkomster</w:t>
      </w:r>
      <w:r w:rsidRPr="006C40C1">
        <w:tab/>
        <w:t>183</w:t>
      </w:r>
    </w:p>
    <w:p w:rsidR="00AA5D77" w:rsidRPr="006C40C1" w:rsidRDefault="00AA5D77">
      <w:pPr>
        <w:pStyle w:val="Innehll2"/>
      </w:pPr>
      <w:r w:rsidRPr="006C40C1">
        <w:t>3.2 Skattepolitikens inriktning</w:t>
      </w:r>
      <w:r w:rsidRPr="006C40C1">
        <w:tab/>
        <w:t>184</w:t>
      </w:r>
    </w:p>
    <w:p w:rsidR="00AA5D77" w:rsidRPr="006C40C1" w:rsidRDefault="00AA5D77">
      <w:pPr>
        <w:pStyle w:val="Innehll2"/>
      </w:pPr>
      <w:r w:rsidRPr="006C40C1">
        <w:t>3.3 Fysiska personers inkomster</w:t>
      </w:r>
      <w:r w:rsidRPr="006C40C1">
        <w:tab/>
        <w:t>192</w:t>
      </w:r>
    </w:p>
    <w:p w:rsidR="00AA5D77" w:rsidRPr="006C40C1" w:rsidRDefault="00AA5D77">
      <w:pPr>
        <w:pStyle w:val="Innehll2"/>
      </w:pPr>
      <w:r w:rsidRPr="006C40C1">
        <w:t>3.3.1 Beskattning av förvärvsinkomster</w:t>
      </w:r>
      <w:r w:rsidRPr="006C40C1">
        <w:tab/>
        <w:t>192</w:t>
      </w:r>
    </w:p>
    <w:p w:rsidR="00AA5D77" w:rsidRPr="006C40C1" w:rsidRDefault="00AA5D77">
      <w:pPr>
        <w:pStyle w:val="Innehll2"/>
      </w:pPr>
      <w:r w:rsidRPr="006C40C1">
        <w:t>3.3.2 Det fasta beloppet vid beskattning av förvärvsinkomst</w:t>
      </w:r>
      <w:r w:rsidRPr="006C40C1">
        <w:tab/>
        <w:t>196</w:t>
      </w:r>
    </w:p>
    <w:p w:rsidR="00AA5D77" w:rsidRPr="006C40C1" w:rsidRDefault="00AA5D77">
      <w:pPr>
        <w:pStyle w:val="Innehll2"/>
      </w:pPr>
      <w:r w:rsidRPr="006C40C1">
        <w:t>3.3.3 Beskattning av sjömän i viss internationell trafik</w:t>
      </w:r>
      <w:r w:rsidRPr="006C40C1">
        <w:tab/>
        <w:t>197</w:t>
      </w:r>
    </w:p>
    <w:p w:rsidR="00AA5D77" w:rsidRPr="006C40C1" w:rsidRDefault="00AA5D77">
      <w:pPr>
        <w:pStyle w:val="Innehll2"/>
      </w:pPr>
      <w:r w:rsidRPr="006C40C1">
        <w:t>3.3.4 Förmånsbeskattning av miljövänliga bilar</w:t>
      </w:r>
      <w:r w:rsidRPr="006C40C1">
        <w:tab/>
        <w:t>198</w:t>
      </w:r>
    </w:p>
    <w:p w:rsidR="00AA5D77" w:rsidRPr="006C40C1" w:rsidRDefault="00AA5D77">
      <w:pPr>
        <w:pStyle w:val="Innehll2"/>
      </w:pPr>
      <w:r w:rsidRPr="006C40C1">
        <w:t>3.3.5 Skattereduktion för fackföreningsavgift</w:t>
      </w:r>
      <w:r w:rsidRPr="006C40C1">
        <w:tab/>
        <w:t>199</w:t>
      </w:r>
    </w:p>
    <w:p w:rsidR="00AA5D77" w:rsidRPr="006C40C1" w:rsidRDefault="00AA5D77">
      <w:pPr>
        <w:pStyle w:val="Innehll2"/>
      </w:pPr>
      <w:r w:rsidRPr="006C40C1">
        <w:t>3.3.6 Reseavdrag</w:t>
      </w:r>
      <w:r w:rsidRPr="006C40C1">
        <w:tab/>
        <w:t>200</w:t>
      </w:r>
    </w:p>
    <w:p w:rsidR="00AA5D77" w:rsidRPr="006C40C1" w:rsidRDefault="00AA5D77">
      <w:pPr>
        <w:pStyle w:val="Innehll2"/>
      </w:pPr>
      <w:r w:rsidRPr="006C40C1">
        <w:t>3.3.7 Hushållstjänster</w:t>
      </w:r>
      <w:r w:rsidRPr="006C40C1">
        <w:tab/>
        <w:t>202</w:t>
      </w:r>
    </w:p>
    <w:p w:rsidR="00AA5D77" w:rsidRPr="006C40C1" w:rsidRDefault="00AA5D77">
      <w:pPr>
        <w:pStyle w:val="Innehll2"/>
      </w:pPr>
      <w:r w:rsidRPr="006C40C1">
        <w:t>3.3.8 Pensions- och kompetenssparande</w:t>
      </w:r>
      <w:r w:rsidRPr="006C40C1">
        <w:tab/>
        <w:t>204</w:t>
      </w:r>
    </w:p>
    <w:p w:rsidR="00AA5D77" w:rsidRPr="006C40C1" w:rsidRDefault="00AA5D77">
      <w:pPr>
        <w:pStyle w:val="Innehll2"/>
      </w:pPr>
      <w:r w:rsidRPr="006C40C1">
        <w:t>3.3.9 Gåvor till ideell verksamhet</w:t>
      </w:r>
      <w:r w:rsidRPr="006C40C1">
        <w:tab/>
        <w:t>205</w:t>
      </w:r>
    </w:p>
    <w:p w:rsidR="00AA5D77" w:rsidRPr="006C40C1" w:rsidRDefault="00AA5D77">
      <w:pPr>
        <w:pStyle w:val="Innehll2"/>
      </w:pPr>
      <w:r w:rsidRPr="006C40C1">
        <w:t>3.4 Juridiska personers inkomster</w:t>
      </w:r>
      <w:r w:rsidRPr="006C40C1">
        <w:tab/>
        <w:t>206</w:t>
      </w:r>
    </w:p>
    <w:p w:rsidR="00AA5D77" w:rsidRPr="006C40C1" w:rsidRDefault="00AA5D77">
      <w:pPr>
        <w:pStyle w:val="Innehll2"/>
      </w:pPr>
      <w:r w:rsidRPr="006C40C1">
        <w:t>3.4.1 Kapital och företagsbeskattning</w:t>
      </w:r>
      <w:r w:rsidRPr="006C40C1">
        <w:tab/>
        <w:t>206</w:t>
      </w:r>
    </w:p>
    <w:p w:rsidR="00AA5D77" w:rsidRPr="006C40C1" w:rsidRDefault="00AA5D77">
      <w:pPr>
        <w:pStyle w:val="Innehll2"/>
      </w:pPr>
      <w:r w:rsidRPr="006C40C1">
        <w:t>3.4.2 Avyttring av fåmansföretag genom andelsbyte</w:t>
      </w:r>
      <w:r w:rsidRPr="006C40C1">
        <w:tab/>
        <w:t>208</w:t>
      </w:r>
    </w:p>
    <w:p w:rsidR="00AA5D77" w:rsidRPr="006C40C1" w:rsidRDefault="00AA5D77">
      <w:pPr>
        <w:pStyle w:val="Innehll2"/>
      </w:pPr>
      <w:r w:rsidRPr="006C40C1">
        <w:t>3.4.3 Beskattning av royaltyinkomster</w:t>
      </w:r>
      <w:r w:rsidRPr="006C40C1">
        <w:tab/>
        <w:t>211</w:t>
      </w:r>
    </w:p>
    <w:p w:rsidR="00AA5D77" w:rsidRPr="006C40C1" w:rsidRDefault="00AA5D77">
      <w:pPr>
        <w:pStyle w:val="Innehll2"/>
      </w:pPr>
      <w:r w:rsidRPr="006C40C1">
        <w:t>3.5 Social- och arbetsgivaravgifter</w:t>
      </w:r>
      <w:r w:rsidRPr="006C40C1">
        <w:tab/>
        <w:t>212</w:t>
      </w:r>
    </w:p>
    <w:p w:rsidR="00AA5D77" w:rsidRPr="006C40C1" w:rsidRDefault="00AA5D77">
      <w:pPr>
        <w:pStyle w:val="Innehll2"/>
      </w:pPr>
      <w:r w:rsidRPr="006C40C1">
        <w:t>3.5.1 Förändrade nivåer för socialavgifter m.m.</w:t>
      </w:r>
      <w:r w:rsidRPr="006C40C1">
        <w:tab/>
        <w:t>212</w:t>
      </w:r>
    </w:p>
    <w:p w:rsidR="00AA5D77" w:rsidRPr="006C40C1" w:rsidRDefault="00AA5D77">
      <w:pPr>
        <w:pStyle w:val="Innehll2"/>
      </w:pPr>
      <w:r w:rsidRPr="006C40C1">
        <w:t>3.6 Skatt på egendom</w:t>
      </w:r>
      <w:r w:rsidRPr="006C40C1">
        <w:tab/>
        <w:t>217</w:t>
      </w:r>
    </w:p>
    <w:p w:rsidR="00AA5D77" w:rsidRPr="006C40C1" w:rsidRDefault="00AA5D77">
      <w:pPr>
        <w:pStyle w:val="Innehll2"/>
      </w:pPr>
      <w:r w:rsidRPr="006C40C1">
        <w:t>3.6.1 Fastighetsskatt</w:t>
      </w:r>
      <w:r w:rsidRPr="006C40C1">
        <w:tab/>
        <w:t>217</w:t>
      </w:r>
    </w:p>
    <w:p w:rsidR="00AA5D77" w:rsidRPr="006C40C1" w:rsidRDefault="00AA5D77">
      <w:pPr>
        <w:pStyle w:val="Innehll2"/>
      </w:pPr>
      <w:r w:rsidRPr="006C40C1">
        <w:t>3.6.2 Förmögenhetsskatt</w:t>
      </w:r>
      <w:r w:rsidRPr="006C40C1">
        <w:tab/>
        <w:t>219</w:t>
      </w:r>
    </w:p>
    <w:p w:rsidR="00AA5D77" w:rsidRPr="006C40C1" w:rsidRDefault="00AA5D77">
      <w:pPr>
        <w:pStyle w:val="Innehll2"/>
      </w:pPr>
      <w:r w:rsidRPr="006C40C1">
        <w:t>3.7 Skatt på varor och tjänster</w:t>
      </w:r>
      <w:r w:rsidRPr="006C40C1">
        <w:tab/>
        <w:t>221</w:t>
      </w:r>
    </w:p>
    <w:p w:rsidR="00AA5D77" w:rsidRPr="006C40C1" w:rsidRDefault="00AA5D77">
      <w:pPr>
        <w:pStyle w:val="Innehll2"/>
      </w:pPr>
      <w:r w:rsidRPr="006C40C1">
        <w:t>3.7.1 En skattelättnad för studentbostäder och äldrebostäder</w:t>
      </w:r>
      <w:r w:rsidRPr="006C40C1">
        <w:tab/>
        <w:t>222</w:t>
      </w:r>
    </w:p>
    <w:p w:rsidR="00AA5D77" w:rsidRPr="006C40C1" w:rsidRDefault="00AA5D77">
      <w:pPr>
        <w:pStyle w:val="Innehll2"/>
      </w:pPr>
      <w:r w:rsidRPr="006C40C1">
        <w:t>3.7.2 Mervärdesskatten på böcker och tidskrifter</w:t>
      </w:r>
      <w:r w:rsidRPr="006C40C1">
        <w:tab/>
        <w:t>223</w:t>
      </w:r>
    </w:p>
    <w:p w:rsidR="00AA5D77" w:rsidRPr="006C40C1" w:rsidRDefault="00AA5D77">
      <w:pPr>
        <w:pStyle w:val="Innehll2"/>
      </w:pPr>
      <w:r w:rsidRPr="006C40C1">
        <w:t>3.7.3 Skatt på lågpriscigaretter</w:t>
      </w:r>
      <w:r w:rsidRPr="006C40C1">
        <w:tab/>
        <w:t>225</w:t>
      </w:r>
    </w:p>
    <w:p w:rsidR="00AA5D77" w:rsidRPr="006C40C1" w:rsidRDefault="00AA5D77">
      <w:pPr>
        <w:pStyle w:val="Innehll2"/>
      </w:pPr>
      <w:r w:rsidRPr="006C40C1">
        <w:t>3.7.4 Privatinförselkvoter</w:t>
      </w:r>
      <w:r w:rsidRPr="006C40C1">
        <w:tab/>
        <w:t>226</w:t>
      </w:r>
    </w:p>
    <w:p w:rsidR="00AA5D77" w:rsidRPr="006C40C1" w:rsidRDefault="00AA5D77">
      <w:pPr>
        <w:pStyle w:val="Innehll2"/>
      </w:pPr>
      <w:r w:rsidRPr="006C40C1">
        <w:t>3.7.5 Skatten på alkoholdrycker</w:t>
      </w:r>
      <w:r w:rsidRPr="006C40C1">
        <w:tab/>
        <w:t>227</w:t>
      </w:r>
    </w:p>
    <w:p w:rsidR="00AA5D77" w:rsidRPr="006C40C1" w:rsidRDefault="00AA5D77">
      <w:pPr>
        <w:pStyle w:val="Innehll2"/>
      </w:pPr>
      <w:r w:rsidRPr="006C40C1">
        <w:t>3.7.6 Grön skatteväxling – höjd koldioxidskatt och elskatt</w:t>
      </w:r>
      <w:r w:rsidRPr="006C40C1">
        <w:tab/>
        <w:t>228</w:t>
      </w:r>
    </w:p>
    <w:p w:rsidR="00AA5D77" w:rsidRPr="006C40C1" w:rsidRDefault="00AA5D77">
      <w:pPr>
        <w:pStyle w:val="Innehll2"/>
      </w:pPr>
      <w:r w:rsidRPr="006C40C1">
        <w:t>3.7.7 Kraftvärmebeskattningen</w:t>
      </w:r>
      <w:r w:rsidRPr="006C40C1">
        <w:tab/>
        <w:t>231</w:t>
      </w:r>
    </w:p>
    <w:p w:rsidR="00AA5D77" w:rsidRPr="006C40C1" w:rsidRDefault="00AA5D77">
      <w:pPr>
        <w:pStyle w:val="Innehll2"/>
      </w:pPr>
      <w:r w:rsidRPr="006C40C1">
        <w:t>3.7.8 Kalk- och cementbranschens koldioxidskatt</w:t>
      </w:r>
      <w:r w:rsidRPr="006C40C1">
        <w:tab/>
        <w:t>235</w:t>
      </w:r>
    </w:p>
    <w:p w:rsidR="00AA5D77" w:rsidRPr="006C40C1" w:rsidRDefault="00AA5D77">
      <w:pPr>
        <w:pStyle w:val="Innehll2"/>
      </w:pPr>
      <w:r w:rsidRPr="006C40C1">
        <w:t>3.7.9 Beskattningen av alternativa drivmedel</w:t>
      </w:r>
      <w:r w:rsidRPr="006C40C1">
        <w:tab/>
        <w:t>236</w:t>
      </w:r>
    </w:p>
    <w:p w:rsidR="00AA5D77" w:rsidRPr="006C40C1" w:rsidRDefault="00AA5D77">
      <w:pPr>
        <w:pStyle w:val="Innehll2"/>
      </w:pPr>
      <w:r w:rsidRPr="006C40C1">
        <w:t>3.7.10 Skatten på drivmedel, m.m.</w:t>
      </w:r>
      <w:r w:rsidRPr="006C40C1">
        <w:tab/>
        <w:t>237</w:t>
      </w:r>
    </w:p>
    <w:p w:rsidR="00AA5D77" w:rsidRPr="006C40C1" w:rsidRDefault="00AA5D77">
      <w:pPr>
        <w:pStyle w:val="Innehll2"/>
      </w:pPr>
      <w:r w:rsidRPr="006C40C1">
        <w:t>3.7.11 Kärnkraftsproducerad el</w:t>
      </w:r>
      <w:r w:rsidRPr="006C40C1">
        <w:tab/>
        <w:t>238</w:t>
      </w:r>
    </w:p>
    <w:p w:rsidR="00AA5D77" w:rsidRPr="006C40C1" w:rsidRDefault="00AA5D77">
      <w:pPr>
        <w:pStyle w:val="Innehll2"/>
      </w:pPr>
      <w:r w:rsidRPr="006C40C1">
        <w:t>3.7.12 Grön skatteväxling – höjd avfallsskatt</w:t>
      </w:r>
      <w:r w:rsidRPr="006C40C1">
        <w:tab/>
        <w:t>239</w:t>
      </w:r>
    </w:p>
    <w:p w:rsidR="00AA5D77" w:rsidRPr="006C40C1" w:rsidRDefault="00AA5D77">
      <w:pPr>
        <w:pStyle w:val="Innehll2"/>
      </w:pPr>
      <w:r w:rsidRPr="006C40C1">
        <w:t>3.7.13 Grön skatteväxling – höjd naturgrusskatt</w:t>
      </w:r>
      <w:r w:rsidRPr="006C40C1">
        <w:tab/>
        <w:t>241</w:t>
      </w:r>
    </w:p>
    <w:p w:rsidR="00AA5D77" w:rsidRPr="006C40C1" w:rsidRDefault="00AA5D77">
      <w:pPr>
        <w:pStyle w:val="Innehll2"/>
      </w:pPr>
      <w:r w:rsidRPr="006C40C1">
        <w:t>3.7.14 Reklamskatten</w:t>
      </w:r>
      <w:r w:rsidRPr="006C40C1">
        <w:tab/>
        <w:t>243</w:t>
      </w:r>
    </w:p>
    <w:p w:rsidR="00AA5D77" w:rsidRPr="006C40C1" w:rsidRDefault="00AA5D77">
      <w:pPr>
        <w:pStyle w:val="Innehll2"/>
      </w:pPr>
      <w:r w:rsidRPr="006C40C1">
        <w:t>3.7.15 Jordbruk och skogsbruk</w:t>
      </w:r>
      <w:r w:rsidRPr="006C40C1">
        <w:tab/>
        <w:t>245</w:t>
      </w:r>
    </w:p>
    <w:p w:rsidR="00AA5D77" w:rsidRPr="006C40C1" w:rsidRDefault="00AA5D77">
      <w:pPr>
        <w:pStyle w:val="Innehll2"/>
      </w:pPr>
      <w:r w:rsidRPr="006C40C1">
        <w:t>3.8 Skattenedsättningar</w:t>
      </w:r>
      <w:r w:rsidRPr="006C40C1">
        <w:tab/>
        <w:t>247</w:t>
      </w:r>
    </w:p>
    <w:p w:rsidR="00AA5D77" w:rsidRPr="006C40C1" w:rsidRDefault="00AA5D77">
      <w:pPr>
        <w:pStyle w:val="Innehll2"/>
      </w:pPr>
      <w:r w:rsidRPr="006C40C1">
        <w:t>3.8.1 Bredbandsinstallation</w:t>
      </w:r>
      <w:r w:rsidRPr="006C40C1">
        <w:tab/>
        <w:t>247</w:t>
      </w:r>
    </w:p>
    <w:p w:rsidR="00AA5D77" w:rsidRPr="006C40C1" w:rsidRDefault="00AA5D77">
      <w:pPr>
        <w:pStyle w:val="Innehll2"/>
      </w:pPr>
      <w:r w:rsidRPr="006C40C1">
        <w:t>3.8.2 Miljöförbättrande åtgärder på bostäder</w:t>
      </w:r>
      <w:r w:rsidRPr="006C40C1">
        <w:tab/>
        <w:t>249</w:t>
      </w:r>
    </w:p>
    <w:p w:rsidR="00AA5D77" w:rsidRPr="006C40C1" w:rsidRDefault="00AA5D77">
      <w:pPr>
        <w:pStyle w:val="Innehll2"/>
      </w:pPr>
      <w:r w:rsidRPr="006C40C1">
        <w:t>3.8.3 Anställningsstöd och rederistöd</w:t>
      </w:r>
      <w:r w:rsidRPr="006C40C1">
        <w:tab/>
        <w:t>250</w:t>
      </w:r>
    </w:p>
    <w:p w:rsidR="00AA5D77" w:rsidRPr="006C40C1" w:rsidRDefault="00AA5D77">
      <w:pPr>
        <w:pStyle w:val="Innehll2"/>
      </w:pPr>
      <w:r w:rsidRPr="006C40C1">
        <w:t>3.9 Inkomster av statens verksamhet</w:t>
      </w:r>
      <w:r w:rsidRPr="006C40C1">
        <w:tab/>
        <w:t>251</w:t>
      </w:r>
    </w:p>
    <w:p w:rsidR="00AA5D77" w:rsidRPr="006C40C1" w:rsidRDefault="00AA5D77">
      <w:pPr>
        <w:pStyle w:val="Innehll2"/>
      </w:pPr>
      <w:r w:rsidRPr="006C40C1">
        <w:t>3.10 Lagförslagen</w:t>
      </w:r>
      <w:r w:rsidRPr="006C40C1">
        <w:tab/>
        <w:t>252</w:t>
      </w:r>
    </w:p>
    <w:p w:rsidR="00AA5D77" w:rsidRPr="006C40C1" w:rsidRDefault="00AA5D77">
      <w:pPr>
        <w:pStyle w:val="Innehll2"/>
      </w:pPr>
      <w:r w:rsidRPr="006C40C1">
        <w:t>3.11 Beräkning av statsbudgetens inkomster för 2003</w:t>
      </w:r>
      <w:r w:rsidRPr="006C40C1">
        <w:tab/>
        <w:t>253</w:t>
      </w:r>
    </w:p>
    <w:p w:rsidR="00AA5D77" w:rsidRPr="006C40C1" w:rsidRDefault="00AA5D77">
      <w:pPr>
        <w:pStyle w:val="Innehll1"/>
      </w:pPr>
      <w:r w:rsidRPr="006C40C1">
        <w:t>4 Utgifter</w:t>
      </w:r>
      <w:r w:rsidRPr="006C40C1">
        <w:tab/>
        <w:t>262</w:t>
      </w:r>
    </w:p>
    <w:p w:rsidR="00AA5D77" w:rsidRPr="006C40C1" w:rsidRDefault="00AA5D77">
      <w:pPr>
        <w:pStyle w:val="Innehll2"/>
      </w:pPr>
      <w:r w:rsidRPr="006C40C1">
        <w:t>4.1 Fördelning av utgifter på utgiftsområden åren 2003 och 2004</w:t>
      </w:r>
      <w:r w:rsidRPr="006C40C1">
        <w:tab/>
        <w:t>262</w:t>
      </w:r>
    </w:p>
    <w:p w:rsidR="00AA5D77" w:rsidRPr="006C40C1" w:rsidRDefault="00AA5D77">
      <w:pPr>
        <w:pStyle w:val="Innehll3"/>
      </w:pPr>
      <w:r w:rsidRPr="006C40C1">
        <w:t>4.1.1 Utgiftsområde 1 Rikets styrelse</w:t>
      </w:r>
      <w:r w:rsidRPr="006C40C1">
        <w:tab/>
        <w:t>262</w:t>
      </w:r>
    </w:p>
    <w:p w:rsidR="00AA5D77" w:rsidRPr="006C40C1" w:rsidRDefault="00AA5D77">
      <w:pPr>
        <w:pStyle w:val="Innehll3"/>
      </w:pPr>
      <w:r w:rsidRPr="006C40C1">
        <w:t>4.1.2 Utgiftsområde 2 Samhällsekonomi och finansförvaltning</w:t>
      </w:r>
      <w:r w:rsidRPr="006C40C1">
        <w:tab/>
        <w:t>263</w:t>
      </w:r>
    </w:p>
    <w:p w:rsidR="00AA5D77" w:rsidRPr="006C40C1" w:rsidRDefault="00AA5D77">
      <w:pPr>
        <w:pStyle w:val="Innehll3"/>
      </w:pPr>
      <w:r w:rsidRPr="006C40C1">
        <w:t>4.1.3 Utgiftsområde 3 Skatt, tull och exekution</w:t>
      </w:r>
      <w:r w:rsidRPr="006C40C1">
        <w:tab/>
        <w:t>265</w:t>
      </w:r>
    </w:p>
    <w:p w:rsidR="00AA5D77" w:rsidRPr="006C40C1" w:rsidRDefault="00AA5D77">
      <w:pPr>
        <w:pStyle w:val="Innehll3"/>
      </w:pPr>
      <w:r w:rsidRPr="006C40C1">
        <w:t>4.1.4 Utgiftsområde 4 Rättsväsendet</w:t>
      </w:r>
      <w:r w:rsidRPr="006C40C1">
        <w:tab/>
        <w:t>266</w:t>
      </w:r>
    </w:p>
    <w:p w:rsidR="00AA5D77" w:rsidRPr="006C40C1" w:rsidRDefault="00AA5D77">
      <w:pPr>
        <w:pStyle w:val="Innehll3"/>
      </w:pPr>
      <w:r w:rsidRPr="006C40C1">
        <w:t>4.1.5 Utgiftsområde 5 Internationell samverkan</w:t>
      </w:r>
      <w:r w:rsidRPr="006C40C1">
        <w:tab/>
        <w:t>268</w:t>
      </w:r>
    </w:p>
    <w:p w:rsidR="00AA5D77" w:rsidRPr="006C40C1" w:rsidRDefault="00AA5D77">
      <w:pPr>
        <w:pStyle w:val="Innehll3"/>
      </w:pPr>
      <w:r w:rsidRPr="006C40C1">
        <w:t>4.1.6 Utgiftsområde 6 Försvar samt beredskap för sårbarhet</w:t>
      </w:r>
      <w:r w:rsidRPr="006C40C1">
        <w:tab/>
        <w:t>269</w:t>
      </w:r>
    </w:p>
    <w:p w:rsidR="00AA5D77" w:rsidRPr="006C40C1" w:rsidRDefault="00AA5D77">
      <w:pPr>
        <w:pStyle w:val="Innehll3"/>
      </w:pPr>
      <w:r w:rsidRPr="006C40C1">
        <w:t>4.1.7 Utgiftsområde 7 Internationellt bistånd</w:t>
      </w:r>
      <w:r w:rsidRPr="006C40C1">
        <w:tab/>
        <w:t>271</w:t>
      </w:r>
    </w:p>
    <w:p w:rsidR="00AA5D77" w:rsidRPr="006C40C1" w:rsidRDefault="00AA5D77">
      <w:pPr>
        <w:pStyle w:val="Innehll3"/>
      </w:pPr>
      <w:r w:rsidRPr="006C40C1">
        <w:t>4.1.8 Utgiftsområde 8 Invandrare och flyktingar</w:t>
      </w:r>
      <w:r w:rsidRPr="006C40C1">
        <w:tab/>
        <w:t>273</w:t>
      </w:r>
    </w:p>
    <w:p w:rsidR="00AA5D77" w:rsidRPr="006C40C1" w:rsidRDefault="00AA5D77">
      <w:pPr>
        <w:pStyle w:val="Innehll3"/>
      </w:pPr>
      <w:r w:rsidRPr="006C40C1">
        <w:t>4.1.9 Utgiftsområde 9 Hälsovård, sjukvård och social omsorg</w:t>
      </w:r>
      <w:r w:rsidRPr="006C40C1">
        <w:tab/>
        <w:t>275</w:t>
      </w:r>
    </w:p>
    <w:p w:rsidR="00AA5D77" w:rsidRPr="006C40C1" w:rsidRDefault="00AA5D77">
      <w:pPr>
        <w:pStyle w:val="Innehll3"/>
      </w:pPr>
      <w:r w:rsidRPr="006C40C1">
        <w:t>4.1.10 Utgiftsområde 10 Ekonomisk trygghet vid sjukdom och handikapp</w:t>
      </w:r>
      <w:r w:rsidRPr="006C40C1">
        <w:tab/>
        <w:t>277</w:t>
      </w:r>
    </w:p>
    <w:p w:rsidR="00AA5D77" w:rsidRPr="006C40C1" w:rsidRDefault="00AA5D77">
      <w:pPr>
        <w:pStyle w:val="Innehll3"/>
      </w:pPr>
      <w:r w:rsidRPr="006C40C1">
        <w:t>4.1.11 Utgiftsområde 11 Ekonomisk trygghet vid ålderdom</w:t>
      </w:r>
      <w:r w:rsidRPr="006C40C1">
        <w:tab/>
        <w:t>279</w:t>
      </w:r>
    </w:p>
    <w:p w:rsidR="00AA5D77" w:rsidRPr="006C40C1" w:rsidRDefault="00AA5D77">
      <w:pPr>
        <w:pStyle w:val="Innehll3"/>
      </w:pPr>
      <w:r w:rsidRPr="006C40C1">
        <w:t>4.1.12 Utgiftsområde 12 Ekonomisk trygghet för familjer och barn</w:t>
      </w:r>
      <w:r w:rsidRPr="006C40C1">
        <w:tab/>
        <w:t>281</w:t>
      </w:r>
    </w:p>
    <w:p w:rsidR="00AA5D77" w:rsidRPr="006C40C1" w:rsidRDefault="00AA5D77">
      <w:pPr>
        <w:pStyle w:val="Innehll3"/>
      </w:pPr>
      <w:r w:rsidRPr="006C40C1">
        <w:t>4.1.13 Utgiftsområde 13 Arbetsmarknad</w:t>
      </w:r>
      <w:r w:rsidRPr="006C40C1">
        <w:tab/>
        <w:t>283</w:t>
      </w:r>
    </w:p>
    <w:p w:rsidR="00AA5D77" w:rsidRPr="006C40C1" w:rsidRDefault="00AA5D77">
      <w:pPr>
        <w:pStyle w:val="Innehll3"/>
      </w:pPr>
      <w:r w:rsidRPr="006C40C1">
        <w:t>4.1.14 Utgiftsområde 14 Arbetsliv</w:t>
      </w:r>
      <w:r w:rsidRPr="006C40C1">
        <w:tab/>
        <w:t>285</w:t>
      </w:r>
    </w:p>
    <w:p w:rsidR="00AA5D77" w:rsidRPr="006C40C1" w:rsidRDefault="00AA5D77">
      <w:pPr>
        <w:pStyle w:val="Innehll3"/>
      </w:pPr>
      <w:r w:rsidRPr="006C40C1">
        <w:t>4.1.15 Utgiftsområde 15 Studiestöd</w:t>
      </w:r>
      <w:r w:rsidRPr="006C40C1">
        <w:tab/>
        <w:t>287</w:t>
      </w:r>
    </w:p>
    <w:p w:rsidR="00AA5D77" w:rsidRPr="006C40C1" w:rsidRDefault="00AA5D77">
      <w:pPr>
        <w:pStyle w:val="Innehll3"/>
      </w:pPr>
      <w:r w:rsidRPr="006C40C1">
        <w:t>4.1.16 Utgiftsområde 16 Utbildning och universitetsforskning</w:t>
      </w:r>
      <w:r w:rsidRPr="006C40C1">
        <w:tab/>
        <w:t>288</w:t>
      </w:r>
    </w:p>
    <w:p w:rsidR="00AA5D77" w:rsidRPr="006C40C1" w:rsidRDefault="00AA5D77">
      <w:pPr>
        <w:pStyle w:val="Innehll3"/>
      </w:pPr>
      <w:r w:rsidRPr="006C40C1">
        <w:t>4.1.17 Utgiftsområde 17 Kultur, medier, trossamfund och fritid</w:t>
      </w:r>
      <w:r w:rsidRPr="006C40C1">
        <w:tab/>
        <w:t>290</w:t>
      </w:r>
    </w:p>
    <w:p w:rsidR="00AA5D77" w:rsidRPr="006C40C1" w:rsidRDefault="00AA5D77">
      <w:pPr>
        <w:pStyle w:val="Innehll3"/>
      </w:pPr>
      <w:r w:rsidRPr="006C40C1">
        <w:t>4.1.18 Utgiftsområde 18 Samhällsplanering, bostadsförsörjning och byggande</w:t>
      </w:r>
      <w:r w:rsidRPr="006C40C1">
        <w:tab/>
        <w:t>291</w:t>
      </w:r>
    </w:p>
    <w:p w:rsidR="00AA5D77" w:rsidRPr="006C40C1" w:rsidRDefault="00AA5D77">
      <w:pPr>
        <w:pStyle w:val="Innehll3"/>
      </w:pPr>
      <w:r w:rsidRPr="006C40C1">
        <w:t>4.1.19 Utgiftsområde 19 Regional utjämning och utveckling</w:t>
      </w:r>
      <w:r w:rsidRPr="006C40C1">
        <w:tab/>
        <w:t>293</w:t>
      </w:r>
    </w:p>
    <w:p w:rsidR="00AA5D77" w:rsidRPr="006C40C1" w:rsidRDefault="00AA5D77">
      <w:pPr>
        <w:pStyle w:val="Innehll3"/>
      </w:pPr>
      <w:r w:rsidRPr="006C40C1">
        <w:t>4.1.20 Utgiftsområde 20 Allmän miljö- och naturvård</w:t>
      </w:r>
      <w:r w:rsidRPr="006C40C1">
        <w:tab/>
        <w:t>294</w:t>
      </w:r>
    </w:p>
    <w:p w:rsidR="00AA5D77" w:rsidRPr="006C40C1" w:rsidRDefault="00AA5D77">
      <w:pPr>
        <w:pStyle w:val="Innehll3"/>
      </w:pPr>
      <w:r w:rsidRPr="006C40C1">
        <w:t>4.1.21 Utgiftsområde 21 Energi</w:t>
      </w:r>
      <w:r w:rsidRPr="006C40C1">
        <w:tab/>
        <w:t>296</w:t>
      </w:r>
    </w:p>
    <w:p w:rsidR="00AA5D77" w:rsidRPr="006C40C1" w:rsidRDefault="00AA5D77">
      <w:pPr>
        <w:pStyle w:val="Innehll3"/>
      </w:pPr>
      <w:r w:rsidRPr="006C40C1">
        <w:t>4.1.22 Utgiftsområde 22 Kommunikationer</w:t>
      </w:r>
      <w:r w:rsidRPr="006C40C1">
        <w:tab/>
        <w:t>298</w:t>
      </w:r>
    </w:p>
    <w:p w:rsidR="00AA5D77" w:rsidRPr="006C40C1" w:rsidRDefault="00AA5D77">
      <w:pPr>
        <w:pStyle w:val="Innehll3"/>
      </w:pPr>
      <w:r w:rsidRPr="006C40C1">
        <w:t>4.1.23 Utgiftsområde 23 Jord- och skogsbruk, fiske med anslutande näringar</w:t>
      </w:r>
      <w:r w:rsidRPr="006C40C1">
        <w:tab/>
        <w:t>299</w:t>
      </w:r>
    </w:p>
    <w:p w:rsidR="00AA5D77" w:rsidRPr="006C40C1" w:rsidRDefault="00AA5D77">
      <w:pPr>
        <w:pStyle w:val="Innehll3"/>
      </w:pPr>
      <w:r w:rsidRPr="006C40C1">
        <w:t>4.1.24 Utgiftsområde 24 Näringsliv</w:t>
      </w:r>
      <w:r w:rsidRPr="006C40C1">
        <w:tab/>
        <w:t>301</w:t>
      </w:r>
    </w:p>
    <w:p w:rsidR="00AA5D77" w:rsidRPr="006C40C1" w:rsidRDefault="00AA5D77">
      <w:pPr>
        <w:pStyle w:val="Innehll3"/>
      </w:pPr>
      <w:r w:rsidRPr="006C40C1">
        <w:t>4.1.25 Utgiftsområde 25 Allmänna bidrag till kommuner</w:t>
      </w:r>
      <w:r w:rsidRPr="006C40C1">
        <w:tab/>
        <w:t>302</w:t>
      </w:r>
    </w:p>
    <w:p w:rsidR="00AA5D77" w:rsidRPr="006C40C1" w:rsidRDefault="00AA5D77">
      <w:pPr>
        <w:pStyle w:val="Innehll3"/>
      </w:pPr>
      <w:r w:rsidRPr="006C40C1">
        <w:t>4.1.26 Utgiftsområde 26 Statsskuldsräntor m. m.</w:t>
      </w:r>
      <w:r w:rsidRPr="006C40C1">
        <w:tab/>
        <w:t>306</w:t>
      </w:r>
    </w:p>
    <w:p w:rsidR="00AA5D77" w:rsidRPr="006C40C1" w:rsidRDefault="00AA5D77">
      <w:pPr>
        <w:pStyle w:val="Innehll3"/>
      </w:pPr>
      <w:r w:rsidRPr="006C40C1">
        <w:t>4.1.27 Utgiftsområde 27 Avgiften till Europeiska gemenskapen</w:t>
      </w:r>
      <w:r w:rsidRPr="006C40C1">
        <w:tab/>
        <w:t>307</w:t>
      </w:r>
    </w:p>
    <w:p w:rsidR="00AA5D77" w:rsidRPr="006C40C1" w:rsidRDefault="00AA5D77">
      <w:pPr>
        <w:pStyle w:val="Innehll3"/>
      </w:pPr>
      <w:r w:rsidRPr="006C40C1">
        <w:t>4.1.28 Ålderspensionssystemet vid sidan av statsbudgeten</w:t>
      </w:r>
      <w:r w:rsidRPr="006C40C1">
        <w:tab/>
        <w:t>308</w:t>
      </w:r>
    </w:p>
    <w:p w:rsidR="00AA5D77" w:rsidRPr="006C40C1" w:rsidRDefault="00AA5D77">
      <w:pPr>
        <w:pStyle w:val="Innehll2"/>
      </w:pPr>
      <w:r w:rsidRPr="006C40C1">
        <w:t>4.2 Preliminär fördelning av utgifterna på utgiftsområden för 2004</w:t>
      </w:r>
      <w:r w:rsidRPr="006C40C1">
        <w:tab/>
        <w:t>310</w:t>
      </w:r>
    </w:p>
    <w:p w:rsidR="00AA5D77" w:rsidRPr="006C40C1" w:rsidRDefault="00AA5D77">
      <w:pPr>
        <w:pStyle w:val="Innehll2"/>
      </w:pPr>
      <w:r w:rsidRPr="006C40C1">
        <w:t>4.3 Bemyndigande om upplåning</w:t>
      </w:r>
      <w:r w:rsidRPr="006C40C1">
        <w:tab/>
        <w:t>313</w:t>
      </w:r>
    </w:p>
    <w:p w:rsidR="00AA5D77" w:rsidRPr="006C40C1" w:rsidRDefault="00AA5D77">
      <w:pPr>
        <w:pStyle w:val="Innehll2"/>
      </w:pPr>
      <w:r w:rsidRPr="006C40C1">
        <w:t>4.4 Finansiering av investeringar och rörelsekapital</w:t>
      </w:r>
      <w:r w:rsidRPr="006C40C1">
        <w:tab/>
        <w:t>314</w:t>
      </w:r>
    </w:p>
    <w:p w:rsidR="00AA5D77" w:rsidRPr="006C40C1" w:rsidRDefault="00AA5D77">
      <w:pPr>
        <w:pStyle w:val="Innehll3"/>
      </w:pPr>
      <w:r w:rsidRPr="006C40C1">
        <w:t>4.4.1 Lån för myndigheternas investeringar i anläggningstillgångar för förvaltningsändamål</w:t>
      </w:r>
      <w:r w:rsidRPr="006C40C1">
        <w:tab/>
        <w:t>314</w:t>
      </w:r>
    </w:p>
    <w:p w:rsidR="00AA5D77" w:rsidRPr="006C40C1" w:rsidRDefault="00AA5D77">
      <w:pPr>
        <w:pStyle w:val="Innehll3"/>
      </w:pPr>
      <w:r w:rsidRPr="006C40C1">
        <w:t>4.4.2 Myndigheternas räntekontokrediter</w:t>
      </w:r>
      <w:r w:rsidRPr="006C40C1">
        <w:tab/>
        <w:t>315</w:t>
      </w:r>
    </w:p>
    <w:p w:rsidR="00AA5D77" w:rsidRPr="006C40C1" w:rsidRDefault="00AA5D77">
      <w:pPr>
        <w:pStyle w:val="Innehll3"/>
      </w:pPr>
      <w:r w:rsidRPr="006C40C1">
        <w:t>4.4.3 Sjunde AP-fondsstyrelsens lån och räntekontokredit i Riksgäldskontoret</w:t>
      </w:r>
      <w:r w:rsidRPr="006C40C1">
        <w:tab/>
        <w:t>315</w:t>
      </w:r>
    </w:p>
    <w:p w:rsidR="00AA5D77" w:rsidRPr="006C40C1" w:rsidRDefault="00AA5D77">
      <w:pPr>
        <w:pStyle w:val="Innehll2"/>
      </w:pPr>
      <w:r w:rsidRPr="006C40C1">
        <w:t>4.5 Bemyndigande för ramanslag</w:t>
      </w:r>
      <w:r w:rsidRPr="006C40C1">
        <w:tab/>
        <w:t>316</w:t>
      </w:r>
    </w:p>
    <w:p w:rsidR="00AA5D77" w:rsidRPr="006C40C1" w:rsidRDefault="00AA5D77">
      <w:pPr>
        <w:pStyle w:val="Innehll2"/>
      </w:pPr>
      <w:r w:rsidRPr="006C40C1">
        <w:t>4.6 Statliga myndigheters hantering av mervärdesskatt</w:t>
      </w:r>
      <w:r w:rsidRPr="006C40C1">
        <w:tab/>
        <w:t>317</w:t>
      </w:r>
    </w:p>
    <w:p w:rsidR="00AA5D77" w:rsidRPr="006C40C1" w:rsidRDefault="00AA5D77">
      <w:pPr>
        <w:pStyle w:val="Innehll1"/>
      </w:pPr>
      <w:r w:rsidRPr="006C40C1">
        <w:t>5 Övriga frågor</w:t>
      </w:r>
      <w:r w:rsidRPr="006C40C1">
        <w:tab/>
        <w:t>319</w:t>
      </w:r>
    </w:p>
    <w:p w:rsidR="00AA5D77" w:rsidRPr="006C40C1" w:rsidRDefault="00AA5D77">
      <w:pPr>
        <w:pStyle w:val="Innehll2"/>
      </w:pPr>
      <w:r w:rsidRPr="006C40C1">
        <w:t>5.1 Försäljning av statliga tillgångar</w:t>
      </w:r>
      <w:r w:rsidRPr="006C40C1">
        <w:tab/>
        <w:t>319</w:t>
      </w:r>
    </w:p>
    <w:p w:rsidR="00AA5D77" w:rsidRPr="006C40C1" w:rsidRDefault="00AA5D77">
      <w:pPr>
        <w:pStyle w:val="Innehll1"/>
        <w:spacing w:before="120"/>
      </w:pPr>
      <w:r w:rsidRPr="006C40C1">
        <w:t>Reservationer</w:t>
      </w:r>
      <w:r w:rsidRPr="006C40C1">
        <w:tab/>
      </w:r>
      <w:bookmarkStart w:id="6" w:name="_Hlt26191733"/>
      <w:r w:rsidRPr="006C40C1">
        <w:t>320</w:t>
      </w:r>
      <w:bookmarkEnd w:id="6"/>
    </w:p>
    <w:p w:rsidR="00AA5D77" w:rsidRPr="006C40C1" w:rsidRDefault="00AA5D77">
      <w:pPr>
        <w:pStyle w:val="Innehll2"/>
      </w:pPr>
      <w:r w:rsidRPr="006C40C1">
        <w:t>1. Allmänna riktlinjer för den ekonomiska politiken – avsnitt 1.3, punkt 1 (m, fp, kd, c)</w:t>
      </w:r>
      <w:r w:rsidRPr="006C40C1">
        <w:tab/>
        <w:t>320</w:t>
      </w:r>
    </w:p>
    <w:p w:rsidR="00AA5D77" w:rsidRPr="006C40C1" w:rsidRDefault="00AA5D77">
      <w:pPr>
        <w:pStyle w:val="Innehll2"/>
        <w:tabs>
          <w:tab w:val="left" w:pos="568"/>
        </w:tabs>
      </w:pPr>
      <w:r w:rsidRPr="006C40C1">
        <w:t>2. Gröna nyckeltal i EU – avsnitt 1.4.1, punkt 2 (mp)</w:t>
      </w:r>
      <w:r w:rsidRPr="006C40C1">
        <w:tab/>
        <w:t>360</w:t>
      </w:r>
    </w:p>
    <w:p w:rsidR="00AA5D77" w:rsidRPr="006C40C1" w:rsidRDefault="00AA5D77">
      <w:pPr>
        <w:pStyle w:val="Innehll2"/>
      </w:pPr>
      <w:r w:rsidRPr="006C40C1">
        <w:t>3. Miljökonsekvensbeskrivningar i budgetpropositionen – avsnitt 1.4.2, punkt 3 (kd)</w:t>
      </w:r>
      <w:r w:rsidRPr="006C40C1">
        <w:tab/>
        <w:t>361</w:t>
      </w:r>
    </w:p>
    <w:p w:rsidR="00AA5D77" w:rsidRPr="006C40C1" w:rsidRDefault="00AA5D77">
      <w:pPr>
        <w:pStyle w:val="Innehll2"/>
      </w:pPr>
      <w:r w:rsidRPr="006C40C1">
        <w:t>4. Mål för budgetpolitiken – avsnitt 2.3, punkt 4 (m)</w:t>
      </w:r>
      <w:r w:rsidRPr="006C40C1">
        <w:tab/>
        <w:t>361</w:t>
      </w:r>
    </w:p>
    <w:p w:rsidR="00AA5D77" w:rsidRPr="006C40C1" w:rsidRDefault="00AA5D77">
      <w:pPr>
        <w:pStyle w:val="Innehll2"/>
      </w:pPr>
      <w:r w:rsidRPr="006C40C1">
        <w:t>5. Mål för budgetpolitiken – avsnitt 2.3, punkt 4 (kd)</w:t>
      </w:r>
      <w:r w:rsidRPr="006C40C1">
        <w:tab/>
        <w:t>362</w:t>
      </w:r>
    </w:p>
    <w:p w:rsidR="00AA5D77" w:rsidRPr="006C40C1" w:rsidRDefault="00AA5D77">
      <w:pPr>
        <w:pStyle w:val="Innehll2"/>
      </w:pPr>
      <w:r w:rsidRPr="006C40C1">
        <w:t>6. Mål för budgetpolitiken – avsnitt 2.3, punkt 4 (c)</w:t>
      </w:r>
      <w:r w:rsidRPr="006C40C1">
        <w:tab/>
        <w:t>363</w:t>
      </w:r>
    </w:p>
    <w:p w:rsidR="00AA5D77" w:rsidRPr="006C40C1" w:rsidRDefault="00AA5D77">
      <w:pPr>
        <w:pStyle w:val="Innehll2"/>
      </w:pPr>
      <w:r w:rsidRPr="006C40C1">
        <w:t>7. Mål för budgetpolitiken – avsnitt 2.3, punkt 4, motiveringen (fp)</w:t>
      </w:r>
      <w:r w:rsidRPr="006C40C1">
        <w:tab/>
        <w:t>364</w:t>
      </w:r>
    </w:p>
    <w:p w:rsidR="00AA5D77" w:rsidRPr="006C40C1" w:rsidRDefault="00AA5D77">
      <w:pPr>
        <w:pStyle w:val="Innehll2"/>
      </w:pPr>
      <w:r w:rsidRPr="006C40C1">
        <w:t>8. Budgetförslagen för 2003 – avsnitten 2.4–2.12, 3 och 4.1, punkt 5 (m)</w:t>
      </w:r>
      <w:r w:rsidRPr="006C40C1">
        <w:tab/>
        <w:t>365</w:t>
      </w:r>
    </w:p>
    <w:p w:rsidR="00AA5D77" w:rsidRPr="006C40C1" w:rsidRDefault="00AA5D77">
      <w:pPr>
        <w:pStyle w:val="Innehll2"/>
      </w:pPr>
      <w:r w:rsidRPr="006C40C1">
        <w:t>9. Budgetförslagen för 2003 – avsnitten 2.4–2.12, 3 och 4.1, punkt 5 (fp)</w:t>
      </w:r>
      <w:r w:rsidRPr="006C40C1">
        <w:tab/>
        <w:t>375</w:t>
      </w:r>
    </w:p>
    <w:p w:rsidR="00AA5D77" w:rsidRPr="006C40C1" w:rsidRDefault="00AA5D77">
      <w:pPr>
        <w:pStyle w:val="Innehll2"/>
        <w:tabs>
          <w:tab w:val="left" w:pos="851"/>
        </w:tabs>
      </w:pPr>
      <w:r w:rsidRPr="006C40C1">
        <w:t>10.</w:t>
      </w:r>
      <w:r w:rsidRPr="006C40C1">
        <w:tab/>
        <w:t>Budgetförslagen för 2003 – avsnitten 2.4–2.12, 3 och 4.1, punkt 5 (kd)</w:t>
      </w:r>
      <w:r w:rsidRPr="006C40C1">
        <w:tab/>
        <w:t>383</w:t>
      </w:r>
    </w:p>
    <w:p w:rsidR="00AA5D77" w:rsidRPr="006C40C1" w:rsidRDefault="00AA5D77">
      <w:pPr>
        <w:pStyle w:val="Innehll2"/>
        <w:tabs>
          <w:tab w:val="left" w:pos="851"/>
        </w:tabs>
      </w:pPr>
      <w:r w:rsidRPr="006C40C1">
        <w:t>11.</w:t>
      </w:r>
      <w:r w:rsidRPr="006C40C1">
        <w:tab/>
        <w:t>Budgetförslagen för 2003 – avsnitten 2.4–2.12, 3 och 4.1, punkt 5 (c)</w:t>
      </w:r>
      <w:r w:rsidRPr="006C40C1">
        <w:tab/>
        <w:t>392</w:t>
      </w:r>
    </w:p>
    <w:p w:rsidR="00AA5D77" w:rsidRPr="006C40C1" w:rsidRDefault="00AA5D77">
      <w:pPr>
        <w:pStyle w:val="Innehll2"/>
        <w:tabs>
          <w:tab w:val="left" w:pos="851"/>
        </w:tabs>
      </w:pPr>
      <w:r w:rsidRPr="006C40C1">
        <w:t>12.</w:t>
      </w:r>
      <w:r w:rsidRPr="006C40C1">
        <w:tab/>
        <w:t>Preliminär fördelning av utgifterna på utgiftsområden  2004 – avsnitt 4.2, punkt 7 (m)</w:t>
      </w:r>
      <w:r w:rsidRPr="006C40C1">
        <w:tab/>
        <w:t>400</w:t>
      </w:r>
    </w:p>
    <w:p w:rsidR="00AA5D77" w:rsidRPr="006C40C1" w:rsidRDefault="00AA5D77">
      <w:pPr>
        <w:pStyle w:val="Innehll2"/>
      </w:pPr>
      <w:r w:rsidRPr="006C40C1">
        <w:t>13. Preliminär fördelning av utgifterna på utgiftsområden 2004 – avsnitt 4.2, punkt 7 (fp)</w:t>
      </w:r>
      <w:r w:rsidRPr="006C40C1">
        <w:tab/>
        <w:t>401</w:t>
      </w:r>
    </w:p>
    <w:p w:rsidR="00AA5D77" w:rsidRPr="006C40C1" w:rsidRDefault="00AA5D77">
      <w:pPr>
        <w:pStyle w:val="Innehll2"/>
      </w:pPr>
      <w:r w:rsidRPr="006C40C1">
        <w:t>14. Preliminär fördelning av utgifterna på utgiftsområden 2004 – avsnitt 4.2, punkt 7 (kd)</w:t>
      </w:r>
      <w:r w:rsidRPr="006C40C1">
        <w:tab/>
        <w:t>402</w:t>
      </w:r>
    </w:p>
    <w:p w:rsidR="00AA5D77" w:rsidRPr="006C40C1" w:rsidRDefault="00AA5D77">
      <w:pPr>
        <w:pStyle w:val="Innehll2"/>
        <w:tabs>
          <w:tab w:val="left" w:pos="851"/>
        </w:tabs>
      </w:pPr>
      <w:r w:rsidRPr="006C40C1">
        <w:t>15.</w:t>
      </w:r>
      <w:r w:rsidRPr="006C40C1">
        <w:tab/>
        <w:t>Preliminär fördelning av utgifterna på utgiftsområden 2004 – avsnitt 4.2, punkt 7 (c)</w:t>
      </w:r>
      <w:r w:rsidRPr="006C40C1">
        <w:tab/>
        <w:t>402</w:t>
      </w:r>
    </w:p>
    <w:p w:rsidR="00AA5D77" w:rsidRPr="006C40C1" w:rsidRDefault="00AA5D77">
      <w:pPr>
        <w:pStyle w:val="Innehll2"/>
        <w:tabs>
          <w:tab w:val="left" w:pos="851"/>
        </w:tabs>
      </w:pPr>
      <w:r w:rsidRPr="006C40C1">
        <w:t>16.</w:t>
      </w:r>
      <w:r w:rsidRPr="006C40C1">
        <w:tab/>
        <w:t>Försäljning av statliga tillgångar – avsnitt 5.1, punkt 13 (m, fp, kd, c)</w:t>
      </w:r>
      <w:r w:rsidRPr="006C40C1">
        <w:tab/>
        <w:t>403</w:t>
      </w:r>
    </w:p>
    <w:p w:rsidR="00AA5D77" w:rsidRPr="006C40C1" w:rsidRDefault="00AA5D77">
      <w:pPr>
        <w:pStyle w:val="Innehll1"/>
      </w:pPr>
      <w:r w:rsidRPr="006C40C1">
        <w:t>Särskilda yttranden</w:t>
      </w:r>
      <w:r w:rsidRPr="006C40C1">
        <w:tab/>
        <w:t>405</w:t>
      </w:r>
    </w:p>
    <w:p w:rsidR="00AA5D77" w:rsidRPr="006C40C1" w:rsidRDefault="00AA5D77">
      <w:pPr>
        <w:pStyle w:val="Innehll3"/>
      </w:pPr>
      <w:r w:rsidRPr="006C40C1">
        <w:t>1. Mål för budgetpolitiken – avsnitt 2.3, punkt 4 (m, fp, kd, c)</w:t>
      </w:r>
      <w:r w:rsidRPr="006C40C1">
        <w:tab/>
        <w:t>405</w:t>
      </w:r>
    </w:p>
    <w:p w:rsidR="00AA5D77" w:rsidRPr="006C40C1" w:rsidRDefault="00AA5D77">
      <w:pPr>
        <w:pStyle w:val="Innehll3"/>
        <w:ind w:left="794" w:hanging="227"/>
      </w:pPr>
      <w:r w:rsidRPr="006C40C1">
        <w:t>2. Budgetförslagen för 2003 – avsnitten 2.4–2.12, 3 och 4.1, punkt 5 (fp)</w:t>
      </w:r>
      <w:r w:rsidRPr="006C40C1">
        <w:tab/>
        <w:t>412</w:t>
      </w:r>
    </w:p>
    <w:p w:rsidR="00AA5D77" w:rsidRPr="006C40C1" w:rsidRDefault="00AA5D77">
      <w:pPr>
        <w:pStyle w:val="Innehll1"/>
        <w:spacing w:before="120"/>
        <w:rPr>
          <w:i/>
        </w:rPr>
      </w:pPr>
      <w:r w:rsidRPr="006C40C1">
        <w:rPr>
          <w:i/>
        </w:rPr>
        <w:t>Bilagor</w:t>
      </w:r>
    </w:p>
    <w:p w:rsidR="00AA5D77" w:rsidRPr="006C40C1" w:rsidRDefault="00AA5D77">
      <w:pPr>
        <w:pStyle w:val="Innehll1"/>
      </w:pPr>
      <w:r w:rsidRPr="006C40C1">
        <w:t>1. Förteckning över behandlade förslag</w:t>
      </w:r>
      <w:r w:rsidRPr="006C40C1">
        <w:tab/>
      </w:r>
      <w:bookmarkStart w:id="7" w:name="_Hlt26191932"/>
      <w:r w:rsidRPr="006C40C1">
        <w:t>410</w:t>
      </w:r>
      <w:bookmarkEnd w:id="7"/>
    </w:p>
    <w:p w:rsidR="00AA5D77" w:rsidRPr="006C40C1" w:rsidRDefault="00AA5D77">
      <w:pPr>
        <w:pStyle w:val="Innehll2"/>
      </w:pPr>
      <w:r w:rsidRPr="006C40C1">
        <w:t>Budgetpropositionen 2003</w:t>
      </w:r>
      <w:r w:rsidRPr="006C40C1">
        <w:tab/>
        <w:t>410</w:t>
      </w:r>
    </w:p>
    <w:p w:rsidR="00AA5D77" w:rsidRPr="006C40C1" w:rsidRDefault="00AA5D77">
      <w:pPr>
        <w:pStyle w:val="Innehll2"/>
      </w:pPr>
      <w:r w:rsidRPr="006C40C1">
        <w:t>Motioner från allmänna motionstiden</w:t>
      </w:r>
      <w:r w:rsidRPr="006C40C1">
        <w:tab/>
        <w:t>412</w:t>
      </w:r>
    </w:p>
    <w:p w:rsidR="00AA5D77" w:rsidRPr="006C40C1" w:rsidRDefault="00AA5D77">
      <w:pPr>
        <w:pStyle w:val="Innehll1"/>
      </w:pPr>
      <w:r w:rsidRPr="006C40C1">
        <w:t>2. Regeringens lagförslag</w:t>
      </w:r>
      <w:r w:rsidRPr="006C40C1">
        <w:tab/>
      </w:r>
      <w:bookmarkStart w:id="8" w:name="_Hlt26200283"/>
      <w:r w:rsidRPr="006C40C1">
        <w:t>426</w:t>
      </w:r>
      <w:bookmarkEnd w:id="8"/>
    </w:p>
    <w:p w:rsidR="00AA5D77" w:rsidRPr="006C40C1" w:rsidRDefault="00AA5D77">
      <w:pPr>
        <w:pStyle w:val="Innehll2"/>
      </w:pPr>
      <w:r w:rsidRPr="006C40C1">
        <w:t>Förslag till lag om ändring i inkomstskattelagen (1999:1229)</w:t>
      </w:r>
      <w:r w:rsidRPr="006C40C1">
        <w:tab/>
        <w:t>426</w:t>
      </w:r>
    </w:p>
    <w:p w:rsidR="00AA5D77" w:rsidRPr="006C40C1" w:rsidRDefault="00AA5D77">
      <w:pPr>
        <w:pStyle w:val="Innehll2"/>
      </w:pPr>
      <w:r w:rsidRPr="006C40C1">
        <w:t>Förslag till lag om ändring i socialavgiftslagen (2000:980)</w:t>
      </w:r>
      <w:r w:rsidRPr="006C40C1">
        <w:tab/>
        <w:t>428</w:t>
      </w:r>
    </w:p>
    <w:p w:rsidR="00AA5D77" w:rsidRPr="006C40C1" w:rsidRDefault="00AA5D77">
      <w:pPr>
        <w:pStyle w:val="Innehll2"/>
      </w:pPr>
      <w:r w:rsidRPr="006C40C1">
        <w:t>Förslag till lag om ändring i lagen (1994:1920) om allmän löneavgift</w:t>
      </w:r>
      <w:r w:rsidRPr="006C40C1">
        <w:tab/>
        <w:t>430</w:t>
      </w:r>
    </w:p>
    <w:p w:rsidR="00AA5D77" w:rsidRPr="006C40C1" w:rsidRDefault="00AA5D77">
      <w:pPr>
        <w:pStyle w:val="Innehll2"/>
      </w:pPr>
      <w:r w:rsidRPr="006C40C1">
        <w:t>Förslag till lag om ändring i lagen (2000:1380) om skattereduktion för utgifter för vissa anslutningar för tele</w:t>
      </w:r>
      <w:r w:rsidRPr="006C40C1">
        <w:noBreakHyphen/>
        <w:t> och datakommunikation</w:t>
      </w:r>
      <w:r w:rsidRPr="006C40C1">
        <w:tab/>
        <w:t>431</w:t>
      </w:r>
    </w:p>
    <w:p w:rsidR="00AA5D77" w:rsidRPr="006C40C1" w:rsidRDefault="00AA5D77">
      <w:pPr>
        <w:pStyle w:val="Innehll2"/>
      </w:pPr>
      <w:r w:rsidRPr="006C40C1">
        <w:t>Förslag till lag om beräkning av viss inkomstskatt på förvärvsinkomster vid 2004 års taxering, m.m.</w:t>
      </w:r>
      <w:r w:rsidRPr="006C40C1">
        <w:tab/>
        <w:t>432</w:t>
      </w:r>
    </w:p>
    <w:p w:rsidR="00AA5D77" w:rsidRPr="006C40C1" w:rsidRDefault="00AA5D77">
      <w:pPr>
        <w:pStyle w:val="Innehll2"/>
      </w:pPr>
      <w:r w:rsidRPr="006C40C1">
        <w:t>Förslag till lag om ändring i lagen (1996:1512) om dubbelbeskattningsavtal mellan de nordiska länderna</w:t>
      </w:r>
      <w:r w:rsidRPr="006C40C1">
        <w:tab/>
        <w:t>433</w:t>
      </w:r>
    </w:p>
    <w:p w:rsidR="00AA5D77" w:rsidRPr="006C40C1" w:rsidRDefault="00AA5D77">
      <w:pPr>
        <w:pStyle w:val="Innehll2"/>
      </w:pPr>
      <w:r w:rsidRPr="006C40C1">
        <w:t>Förslag till lag om ändring i lagen (1994:1776) om skatt på energi</w:t>
      </w:r>
      <w:r w:rsidRPr="006C40C1">
        <w:tab/>
        <w:t>434</w:t>
      </w:r>
    </w:p>
    <w:p w:rsidR="00AA5D77" w:rsidRPr="006C40C1" w:rsidRDefault="00AA5D77">
      <w:pPr>
        <w:pStyle w:val="Innehll2"/>
      </w:pPr>
      <w:r w:rsidRPr="006C40C1">
        <w:t>Förslag till lag om ändring i lagen (1999:673) om skatt på avfall</w:t>
      </w:r>
      <w:r w:rsidRPr="006C40C1">
        <w:tab/>
        <w:t>449</w:t>
      </w:r>
    </w:p>
    <w:p w:rsidR="00AA5D77" w:rsidRPr="006C40C1" w:rsidRDefault="00AA5D77">
      <w:pPr>
        <w:pStyle w:val="Innehll2"/>
      </w:pPr>
      <w:r w:rsidRPr="006C40C1">
        <w:t>Förslag till lag om ändring i lagen (1995:1667) om skatt på naturgrus</w:t>
      </w:r>
      <w:r w:rsidRPr="006C40C1">
        <w:tab/>
        <w:t>450</w:t>
      </w:r>
    </w:p>
    <w:p w:rsidR="00AA5D77" w:rsidRPr="006C40C1" w:rsidRDefault="00AA5D77">
      <w:pPr>
        <w:pStyle w:val="Innehll2"/>
      </w:pPr>
      <w:r w:rsidRPr="006C40C1">
        <w:t>Förslag till lag om ändring i lagen (1994:1563) om tobaksskatt</w:t>
      </w:r>
      <w:r w:rsidRPr="006C40C1">
        <w:tab/>
        <w:t>451</w:t>
      </w:r>
    </w:p>
    <w:p w:rsidR="00AA5D77" w:rsidRPr="006C40C1" w:rsidRDefault="00AA5D77">
      <w:pPr>
        <w:pStyle w:val="Innehll2"/>
      </w:pPr>
      <w:r w:rsidRPr="006C40C1">
        <w:t>Förslag till lag om ändring i lagen (1994:1565) om beskattning av viss privatinförsel</w:t>
      </w:r>
      <w:r w:rsidRPr="006C40C1">
        <w:tab/>
        <w:t>452</w:t>
      </w:r>
    </w:p>
    <w:p w:rsidR="00AA5D77" w:rsidRPr="006C40C1" w:rsidRDefault="00AA5D77">
      <w:pPr>
        <w:pStyle w:val="Innehll2"/>
      </w:pPr>
      <w:r w:rsidRPr="006C40C1">
        <w:t>Förslag till lag om ändring i lagen (1994:1551) om frihet från skatt vid import, m.m.</w:t>
      </w:r>
      <w:r w:rsidRPr="006C40C1">
        <w:tab/>
        <w:t>453</w:t>
      </w:r>
    </w:p>
    <w:p w:rsidR="00AA5D77" w:rsidRPr="006C40C1" w:rsidRDefault="00AA5D77">
      <w:pPr>
        <w:pStyle w:val="Innehll1"/>
      </w:pPr>
      <w:r w:rsidRPr="006C40C1">
        <w:t>3. Utskottets lagförslag</w:t>
      </w:r>
      <w:r w:rsidRPr="006C40C1">
        <w:tab/>
        <w:t>454</w:t>
      </w:r>
    </w:p>
    <w:p w:rsidR="00AA5D77" w:rsidRPr="006C40C1" w:rsidRDefault="00AA5D77">
      <w:pPr>
        <w:pStyle w:val="Innehll2"/>
      </w:pPr>
      <w:r w:rsidRPr="006C40C1">
        <w:t>Utskottets förslag om ändring i regeringens</w:t>
      </w:r>
      <w:r w:rsidRPr="006C40C1">
        <w:rPr>
          <w:i/>
        </w:rPr>
        <w:t xml:space="preserve"> </w:t>
      </w:r>
      <w:r w:rsidRPr="006C40C1">
        <w:t>förslag om ändring i inkomstskattelagen (1999:1229)</w:t>
      </w:r>
      <w:r w:rsidRPr="006C40C1">
        <w:tab/>
        <w:t>454</w:t>
      </w:r>
    </w:p>
    <w:p w:rsidR="00AA5D77" w:rsidRPr="006C40C1" w:rsidRDefault="00AA5D77">
      <w:pPr>
        <w:pStyle w:val="Innehll2"/>
      </w:pPr>
      <w:r w:rsidRPr="006C40C1">
        <w:t>Ikraftträdandebestämmelsen</w:t>
      </w:r>
      <w:r w:rsidRPr="006C40C1">
        <w:tab/>
        <w:t>455</w:t>
      </w:r>
    </w:p>
    <w:p w:rsidR="00AA5D77" w:rsidRPr="006C40C1" w:rsidRDefault="00AA5D77">
      <w:pPr>
        <w:pStyle w:val="Innehll2"/>
      </w:pPr>
      <w:r w:rsidRPr="006C40C1">
        <w:t>Utskottets förslag om ändring i regeringens förslag om ändring i lagen (1994:1776) om skatt på energi</w:t>
      </w:r>
      <w:r w:rsidRPr="006C40C1">
        <w:tab/>
        <w:t>456</w:t>
      </w:r>
    </w:p>
    <w:p w:rsidR="00AA5D77" w:rsidRPr="006C40C1" w:rsidRDefault="00AA5D77">
      <w:pPr>
        <w:pStyle w:val="Innehll2"/>
      </w:pPr>
      <w:r w:rsidRPr="006C40C1">
        <w:t>Utskottets förslag om ändring i regeringens förslag om ändring i lagen (1994:1563) om tobaksskatt</w:t>
      </w:r>
      <w:r w:rsidRPr="006C40C1">
        <w:tab/>
        <w:t>466</w:t>
      </w:r>
    </w:p>
    <w:p w:rsidR="00AA5D77" w:rsidRPr="006C40C1" w:rsidRDefault="00AA5D77">
      <w:pPr>
        <w:pStyle w:val="Innehll2"/>
      </w:pPr>
      <w:r w:rsidRPr="006C40C1">
        <w:t>Förslag till lag om ändring i lagen (2001:843) om ändring i lagen (1994:1744) om allmän pensionsavgift</w:t>
      </w:r>
      <w:r w:rsidRPr="006C40C1">
        <w:tab/>
        <w:t>467</w:t>
      </w:r>
    </w:p>
    <w:p w:rsidR="00AA5D77" w:rsidRPr="006C40C1" w:rsidRDefault="00AA5D77">
      <w:pPr>
        <w:pStyle w:val="Innehll2"/>
      </w:pPr>
      <w:r w:rsidRPr="006C40C1">
        <w:t>Förslag till lag om ändring i lagen (1998:676) om statlig ålderspensionsavgift</w:t>
      </w:r>
      <w:r w:rsidRPr="006C40C1">
        <w:tab/>
        <w:t>468</w:t>
      </w:r>
    </w:p>
    <w:p w:rsidR="00AA5D77" w:rsidRPr="006C40C1" w:rsidRDefault="00AA5D77">
      <w:pPr>
        <w:pStyle w:val="Innehll2"/>
      </w:pPr>
      <w:r w:rsidRPr="006C40C1">
        <w:t>Förslag till lag om ändring i lagen (1998:674) om inkomstgrundad ålderspension</w:t>
      </w:r>
      <w:r w:rsidRPr="006C40C1">
        <w:tab/>
        <w:t>469</w:t>
      </w:r>
    </w:p>
    <w:p w:rsidR="00AA5D77" w:rsidRPr="006C40C1" w:rsidRDefault="00AA5D77">
      <w:pPr>
        <w:pStyle w:val="Innehll2"/>
      </w:pPr>
      <w:r w:rsidRPr="006C40C1">
        <w:t>Förslag till lag om ändring i lagen (2002:206) om ändring i lagen (1998:674) om inkomstgrundad ålderspension</w:t>
      </w:r>
      <w:r w:rsidRPr="006C40C1">
        <w:tab/>
        <w:t>470</w:t>
      </w:r>
    </w:p>
    <w:p w:rsidR="00AA5D77" w:rsidRPr="006C40C1" w:rsidRDefault="00AA5D77">
      <w:pPr>
        <w:pStyle w:val="Innehll2"/>
      </w:pPr>
      <w:r w:rsidRPr="006C40C1">
        <w:t>Förslag till lag om ändring i lagen (2002:328) om ändring i lagen (2001:1227) om självdeklarationer och kontrolluppgifter</w:t>
      </w:r>
      <w:r w:rsidRPr="006C40C1">
        <w:tab/>
        <w:t>472</w:t>
      </w:r>
    </w:p>
    <w:p w:rsidR="00AA5D77" w:rsidRPr="006C40C1" w:rsidRDefault="00AA5D77"/>
    <w:p w:rsidR="00AA5D77" w:rsidRPr="006C40C1" w:rsidRDefault="00AA5D77">
      <w:pPr>
        <w:rPr>
          <w:i/>
        </w:rPr>
      </w:pPr>
      <w:r w:rsidRPr="006C40C1">
        <w:br w:type="page"/>
      </w:r>
      <w:r w:rsidRPr="006C40C1">
        <w:rPr>
          <w:i/>
        </w:rPr>
        <w:t>Tabellförteckning</w:t>
      </w:r>
    </w:p>
    <w:p w:rsidR="00AA5D77" w:rsidRPr="006C40C1" w:rsidRDefault="00AA5D77">
      <w:pPr>
        <w:pStyle w:val="Normaltindrag"/>
      </w:pPr>
    </w:p>
    <w:p w:rsidR="00AA5D77" w:rsidRPr="006C40C1" w:rsidRDefault="00AA5D77">
      <w:pPr>
        <w:pStyle w:val="Innehll1"/>
        <w:ind w:left="426" w:hanging="426"/>
      </w:pPr>
      <w:r w:rsidRPr="006C40C1">
        <w:t>1.</w:t>
      </w:r>
      <w:r w:rsidRPr="006C40C1">
        <w:tab/>
        <w:t xml:space="preserve">Tillväxt, inflation och arbetslöshet i världsekonomin </w:t>
      </w:r>
      <w:r w:rsidRPr="006C40C1">
        <w:tab/>
        <w:t>37</w:t>
      </w:r>
    </w:p>
    <w:p w:rsidR="00AA5D77" w:rsidRPr="006C40C1" w:rsidRDefault="00AA5D77">
      <w:pPr>
        <w:pStyle w:val="Innehll1"/>
        <w:ind w:left="426" w:hanging="426"/>
      </w:pPr>
      <w:r w:rsidRPr="006C40C1">
        <w:t>2.</w:t>
      </w:r>
      <w:r w:rsidRPr="006C40C1">
        <w:tab/>
        <w:t xml:space="preserve">Bidrag till BNP-tillväxten </w:t>
      </w:r>
      <w:r w:rsidRPr="006C40C1">
        <w:tab/>
        <w:t>43</w:t>
      </w:r>
    </w:p>
    <w:p w:rsidR="00AA5D77" w:rsidRPr="006C40C1" w:rsidRDefault="00AA5D77">
      <w:pPr>
        <w:pStyle w:val="Innehll1"/>
        <w:ind w:left="426" w:hanging="426"/>
      </w:pPr>
      <w:r w:rsidRPr="006C40C1">
        <w:t>3.</w:t>
      </w:r>
      <w:r w:rsidRPr="006C40C1">
        <w:tab/>
        <w:t xml:space="preserve">Prognosförutsättningar 2000–2004 </w:t>
      </w:r>
      <w:r w:rsidRPr="006C40C1">
        <w:tab/>
        <w:t>44</w:t>
      </w:r>
    </w:p>
    <w:p w:rsidR="00AA5D77" w:rsidRPr="006C40C1" w:rsidRDefault="00AA5D77">
      <w:pPr>
        <w:pStyle w:val="Innehll1"/>
        <w:ind w:left="426" w:hanging="426"/>
      </w:pPr>
      <w:r w:rsidRPr="006C40C1">
        <w:t>4.</w:t>
      </w:r>
      <w:r w:rsidRPr="006C40C1">
        <w:tab/>
        <w:t xml:space="preserve">Nyckeltal 2000–2004 </w:t>
      </w:r>
      <w:r w:rsidRPr="006C40C1">
        <w:tab/>
        <w:t>45</w:t>
      </w:r>
    </w:p>
    <w:p w:rsidR="00AA5D77" w:rsidRPr="006C40C1" w:rsidRDefault="00AA5D77">
      <w:pPr>
        <w:pStyle w:val="Innehll1"/>
        <w:ind w:left="426" w:hanging="426"/>
      </w:pPr>
      <w:r w:rsidRPr="006C40C1">
        <w:t>5.</w:t>
      </w:r>
      <w:r w:rsidRPr="006C40C1">
        <w:tab/>
        <w:t xml:space="preserve">Försörjningsbalansen 2000–2004 </w:t>
      </w:r>
      <w:r w:rsidRPr="006C40C1">
        <w:tab/>
        <w:t>46</w:t>
      </w:r>
    </w:p>
    <w:p w:rsidR="00AA5D77" w:rsidRPr="006C40C1" w:rsidRDefault="00AA5D77">
      <w:pPr>
        <w:pStyle w:val="Innehll1"/>
        <w:ind w:left="426" w:hanging="426"/>
      </w:pPr>
      <w:r w:rsidRPr="006C40C1">
        <w:t xml:space="preserve">6. </w:t>
      </w:r>
      <w:r w:rsidRPr="006C40C1">
        <w:tab/>
        <w:t>Nyckeltal för arbetsmarknaden 2001–2004</w:t>
      </w:r>
      <w:r w:rsidRPr="006C40C1">
        <w:tab/>
        <w:t>50</w:t>
      </w:r>
    </w:p>
    <w:p w:rsidR="00AA5D77" w:rsidRPr="006C40C1" w:rsidRDefault="00AA5D77">
      <w:pPr>
        <w:pStyle w:val="Innehll1"/>
        <w:ind w:left="426" w:hanging="426"/>
      </w:pPr>
      <w:r w:rsidRPr="006C40C1">
        <w:t>7.</w:t>
      </w:r>
      <w:r w:rsidRPr="006C40C1">
        <w:tab/>
        <w:t xml:space="preserve">Nyckeltal för lågtillväxtalternativet </w:t>
      </w:r>
      <w:r w:rsidRPr="006C40C1">
        <w:tab/>
        <w:t>51</w:t>
      </w:r>
    </w:p>
    <w:p w:rsidR="00AA5D77" w:rsidRPr="006C40C1" w:rsidRDefault="00AA5D77">
      <w:pPr>
        <w:pStyle w:val="Innehll1"/>
        <w:ind w:left="426" w:hanging="426"/>
      </w:pPr>
      <w:r w:rsidRPr="006C40C1">
        <w:t>8.</w:t>
      </w:r>
      <w:r w:rsidRPr="006C40C1">
        <w:tab/>
        <w:t xml:space="preserve">Nyckeltal för högtillväxtalternativet </w:t>
      </w:r>
      <w:r w:rsidRPr="006C40C1">
        <w:tab/>
        <w:t>52</w:t>
      </w:r>
    </w:p>
    <w:p w:rsidR="00AA5D77" w:rsidRPr="006C40C1" w:rsidRDefault="00AA5D77">
      <w:pPr>
        <w:pStyle w:val="Innehll1"/>
        <w:ind w:left="426" w:hanging="426"/>
      </w:pPr>
      <w:r w:rsidRPr="006C40C1">
        <w:t>9.</w:t>
      </w:r>
      <w:r w:rsidRPr="006C40C1">
        <w:tab/>
        <w:t>Offentligt finansiellt sparande enligt regeringens alternativa ka</w:t>
      </w:r>
      <w:r w:rsidRPr="006C40C1">
        <w:t>l</w:t>
      </w:r>
      <w:r w:rsidRPr="006C40C1">
        <w:t xml:space="preserve">kyler </w:t>
      </w:r>
      <w:r w:rsidRPr="006C40C1">
        <w:tab/>
        <w:t>110</w:t>
      </w:r>
    </w:p>
    <w:p w:rsidR="00AA5D77" w:rsidRPr="006C40C1" w:rsidRDefault="00AA5D77">
      <w:pPr>
        <w:pStyle w:val="Innehll1"/>
        <w:numPr>
          <w:ilvl w:val="0"/>
          <w:numId w:val="5"/>
        </w:numPr>
      </w:pPr>
      <w:r w:rsidRPr="006C40C1">
        <w:t>Statsbudgetens underliggande saldo efter justering för större e</w:t>
      </w:r>
      <w:r w:rsidRPr="006C40C1">
        <w:t>n</w:t>
      </w:r>
      <w:r w:rsidRPr="006C40C1">
        <w:t xml:space="preserve">gångseffekter 2002–2004 </w:t>
      </w:r>
      <w:r w:rsidRPr="006C40C1">
        <w:tab/>
        <w:t>112</w:t>
      </w:r>
    </w:p>
    <w:p w:rsidR="00AA5D77" w:rsidRPr="006C40C1" w:rsidRDefault="00AA5D77">
      <w:pPr>
        <w:pStyle w:val="Innehll1"/>
        <w:numPr>
          <w:ilvl w:val="0"/>
          <w:numId w:val="5"/>
        </w:numPr>
      </w:pPr>
      <w:r w:rsidRPr="006C40C1">
        <w:t xml:space="preserve">Finansiellt sparande i den offentliga sektorn 2000–2004 </w:t>
      </w:r>
      <w:r w:rsidRPr="006C40C1">
        <w:tab/>
        <w:t>114</w:t>
      </w:r>
    </w:p>
    <w:p w:rsidR="00AA5D77" w:rsidRPr="006C40C1" w:rsidRDefault="00AA5D77">
      <w:pPr>
        <w:pStyle w:val="Innehll1"/>
        <w:numPr>
          <w:ilvl w:val="0"/>
          <w:numId w:val="5"/>
        </w:numPr>
      </w:pPr>
      <w:r w:rsidRPr="006C40C1">
        <w:t xml:space="preserve">Statens lånebehov 2002–2004 </w:t>
      </w:r>
      <w:r w:rsidRPr="006C40C1">
        <w:tab/>
        <w:t>122</w:t>
      </w:r>
    </w:p>
    <w:p w:rsidR="00AA5D77" w:rsidRPr="006C40C1" w:rsidRDefault="00AA5D77">
      <w:pPr>
        <w:pStyle w:val="Innehll1"/>
        <w:numPr>
          <w:ilvl w:val="0"/>
          <w:numId w:val="5"/>
        </w:numPr>
      </w:pPr>
      <w:r w:rsidRPr="006C40C1">
        <w:t xml:space="preserve">Tekniska justeringar av utgiftstaket för staten </w:t>
      </w:r>
      <w:r w:rsidRPr="006C40C1">
        <w:tab/>
        <w:t>123</w:t>
      </w:r>
    </w:p>
    <w:p w:rsidR="00AA5D77" w:rsidRPr="006C40C1" w:rsidRDefault="00AA5D77">
      <w:pPr>
        <w:pStyle w:val="Innehll1"/>
        <w:numPr>
          <w:ilvl w:val="0"/>
          <w:numId w:val="5"/>
        </w:numPr>
      </w:pPr>
      <w:r w:rsidRPr="006C40C1">
        <w:t xml:space="preserve">Utgiftstak för staten 2002–2004 </w:t>
      </w:r>
      <w:r w:rsidRPr="006C40C1">
        <w:tab/>
        <w:t>123</w:t>
      </w:r>
    </w:p>
    <w:p w:rsidR="00AA5D77" w:rsidRPr="006C40C1" w:rsidRDefault="00AA5D77">
      <w:pPr>
        <w:pStyle w:val="Innehll1"/>
        <w:numPr>
          <w:ilvl w:val="0"/>
          <w:numId w:val="5"/>
        </w:numPr>
      </w:pPr>
      <w:r w:rsidRPr="006C40C1">
        <w:t xml:space="preserve">Moderata samlingspartiets finansiella sparande i offentlig sektor 2002–2004 </w:t>
      </w:r>
      <w:r w:rsidRPr="006C40C1">
        <w:tab/>
        <w:t>127</w:t>
      </w:r>
    </w:p>
    <w:p w:rsidR="00AA5D77" w:rsidRPr="006C40C1" w:rsidRDefault="00AA5D77">
      <w:pPr>
        <w:pStyle w:val="Innehll1"/>
        <w:numPr>
          <w:ilvl w:val="0"/>
          <w:numId w:val="5"/>
        </w:numPr>
      </w:pPr>
      <w:r w:rsidRPr="006C40C1">
        <w:t xml:space="preserve">Moderata samlingspartiets utgiftstak för staten 2003 och 2004 </w:t>
      </w:r>
      <w:r w:rsidRPr="006C40C1">
        <w:tab/>
        <w:t>127</w:t>
      </w:r>
    </w:p>
    <w:p w:rsidR="00AA5D77" w:rsidRPr="006C40C1" w:rsidRDefault="00AA5D77">
      <w:pPr>
        <w:pStyle w:val="Innehll1"/>
        <w:numPr>
          <w:ilvl w:val="0"/>
          <w:numId w:val="5"/>
        </w:numPr>
      </w:pPr>
      <w:r w:rsidRPr="006C40C1">
        <w:t xml:space="preserve">Moderata samlingspartiets utgiftstak för offentlig sektor 2003 och 2004 </w:t>
      </w:r>
      <w:r w:rsidRPr="006C40C1">
        <w:tab/>
        <w:t>128</w:t>
      </w:r>
    </w:p>
    <w:p w:rsidR="00AA5D77" w:rsidRPr="006C40C1" w:rsidRDefault="00AA5D77">
      <w:pPr>
        <w:pStyle w:val="Innehll1"/>
        <w:numPr>
          <w:ilvl w:val="0"/>
          <w:numId w:val="5"/>
        </w:numPr>
        <w:ind w:right="424"/>
      </w:pPr>
      <w:r w:rsidRPr="006C40C1">
        <w:t xml:space="preserve">Folkpartiets finansiella sparande i offentlig sektor 2003 och 2004 </w:t>
      </w:r>
      <w:r w:rsidRPr="006C40C1">
        <w:tab/>
        <w:t>132</w:t>
      </w:r>
    </w:p>
    <w:p w:rsidR="00AA5D77" w:rsidRPr="006C40C1" w:rsidRDefault="00AA5D77">
      <w:pPr>
        <w:pStyle w:val="Innehll1"/>
        <w:numPr>
          <w:ilvl w:val="0"/>
          <w:numId w:val="5"/>
        </w:numPr>
      </w:pPr>
      <w:r w:rsidRPr="006C40C1">
        <w:t xml:space="preserve">Folkpartiets utgiftstak för staten 2003 och 2004 </w:t>
      </w:r>
      <w:r w:rsidRPr="006C40C1">
        <w:tab/>
        <w:t>132</w:t>
      </w:r>
    </w:p>
    <w:p w:rsidR="00AA5D77" w:rsidRPr="006C40C1" w:rsidRDefault="00AA5D77">
      <w:pPr>
        <w:pStyle w:val="Innehll1"/>
        <w:numPr>
          <w:ilvl w:val="0"/>
          <w:numId w:val="5"/>
        </w:numPr>
      </w:pPr>
      <w:r w:rsidRPr="006C40C1">
        <w:t xml:space="preserve">Folkpartiets utgiftstak för offentlig sektor 2003 och 2004 </w:t>
      </w:r>
      <w:r w:rsidRPr="006C40C1">
        <w:tab/>
        <w:t>132</w:t>
      </w:r>
    </w:p>
    <w:p w:rsidR="00AA5D77" w:rsidRPr="006C40C1" w:rsidRDefault="00AA5D77">
      <w:pPr>
        <w:pStyle w:val="Innehll1"/>
        <w:numPr>
          <w:ilvl w:val="0"/>
          <w:numId w:val="5"/>
        </w:numPr>
      </w:pPr>
      <w:r w:rsidRPr="006C40C1">
        <w:t xml:space="preserve">Kristdemokraternas finansiella sparande i offentlig sektor 2003 och 2004 </w:t>
      </w:r>
      <w:r w:rsidRPr="006C40C1">
        <w:tab/>
        <w:t>136</w:t>
      </w:r>
    </w:p>
    <w:p w:rsidR="00AA5D77" w:rsidRPr="006C40C1" w:rsidRDefault="00AA5D77">
      <w:pPr>
        <w:pStyle w:val="Innehll1"/>
        <w:numPr>
          <w:ilvl w:val="0"/>
          <w:numId w:val="5"/>
        </w:numPr>
      </w:pPr>
      <w:r w:rsidRPr="006C40C1">
        <w:t xml:space="preserve">Kristdemokraternas utgiftstak för staten 2003 och 2004 </w:t>
      </w:r>
      <w:r w:rsidRPr="006C40C1">
        <w:tab/>
        <w:t>136</w:t>
      </w:r>
    </w:p>
    <w:p w:rsidR="00AA5D77" w:rsidRPr="006C40C1" w:rsidRDefault="00AA5D77">
      <w:pPr>
        <w:pStyle w:val="Innehll1"/>
        <w:numPr>
          <w:ilvl w:val="0"/>
          <w:numId w:val="5"/>
        </w:numPr>
        <w:ind w:right="424"/>
      </w:pPr>
      <w:r w:rsidRPr="006C40C1">
        <w:t xml:space="preserve">Kristdemokraternas utgiftstak för offentlig sektor 2003 och 2004 </w:t>
      </w:r>
      <w:r w:rsidRPr="006C40C1">
        <w:tab/>
        <w:t>136</w:t>
      </w:r>
    </w:p>
    <w:p w:rsidR="00AA5D77" w:rsidRPr="006C40C1" w:rsidRDefault="00AA5D77">
      <w:pPr>
        <w:pStyle w:val="Innehll1"/>
        <w:numPr>
          <w:ilvl w:val="0"/>
          <w:numId w:val="5"/>
        </w:numPr>
      </w:pPr>
      <w:r w:rsidRPr="006C40C1">
        <w:t xml:space="preserve">Centerpartiets finansiella sparande i offentlig sektor 2003 och 2004 </w:t>
      </w:r>
      <w:r w:rsidRPr="006C40C1">
        <w:tab/>
        <w:t>140</w:t>
      </w:r>
    </w:p>
    <w:p w:rsidR="00AA5D77" w:rsidRPr="006C40C1" w:rsidRDefault="00AA5D77">
      <w:pPr>
        <w:pStyle w:val="Innehll1"/>
        <w:numPr>
          <w:ilvl w:val="0"/>
          <w:numId w:val="5"/>
        </w:numPr>
      </w:pPr>
      <w:r w:rsidRPr="006C40C1">
        <w:t xml:space="preserve">Centerpartiets utgiftstak för staten 2003 och 2004 </w:t>
      </w:r>
      <w:r w:rsidRPr="006C40C1">
        <w:tab/>
        <w:t>140</w:t>
      </w:r>
    </w:p>
    <w:p w:rsidR="00AA5D77" w:rsidRPr="006C40C1" w:rsidRDefault="00AA5D77">
      <w:pPr>
        <w:pStyle w:val="Innehll1"/>
        <w:numPr>
          <w:ilvl w:val="0"/>
          <w:numId w:val="5"/>
        </w:numPr>
      </w:pPr>
      <w:r w:rsidRPr="006C40C1">
        <w:t xml:space="preserve">Centerpartiets utgiftstak för offentlig sektor 2003 och 2004 </w:t>
      </w:r>
      <w:r w:rsidRPr="006C40C1">
        <w:tab/>
        <w:t>141</w:t>
      </w:r>
    </w:p>
    <w:p w:rsidR="00AA5D77" w:rsidRPr="006C40C1" w:rsidRDefault="00AA5D77">
      <w:pPr>
        <w:pStyle w:val="Innehll1"/>
        <w:numPr>
          <w:ilvl w:val="0"/>
          <w:numId w:val="5"/>
        </w:numPr>
      </w:pPr>
      <w:r w:rsidRPr="006C40C1">
        <w:t>Finansieringen av oppositionspartiernas skattesänkningar 2004</w:t>
      </w:r>
      <w:r w:rsidRPr="006C40C1">
        <w:tab/>
        <w:t>161</w:t>
      </w:r>
    </w:p>
    <w:p w:rsidR="00AA5D77" w:rsidRPr="006C40C1" w:rsidRDefault="00AA5D77">
      <w:pPr>
        <w:pStyle w:val="Innehll1"/>
        <w:numPr>
          <w:ilvl w:val="0"/>
          <w:numId w:val="5"/>
        </w:numPr>
      </w:pPr>
      <w:r w:rsidRPr="006C40C1">
        <w:t xml:space="preserve">Förslag till utgiftstak för staten 2003 och 2004 </w:t>
      </w:r>
      <w:r w:rsidRPr="006C40C1">
        <w:tab/>
        <w:t>167</w:t>
      </w:r>
    </w:p>
    <w:p w:rsidR="00AA5D77" w:rsidRPr="006C40C1" w:rsidRDefault="00AA5D77">
      <w:pPr>
        <w:pStyle w:val="Innehll1"/>
        <w:numPr>
          <w:ilvl w:val="0"/>
          <w:numId w:val="5"/>
        </w:numPr>
      </w:pPr>
      <w:r w:rsidRPr="006C40C1">
        <w:t>Regeringens förslag till beräkning av utgiftstaket för den offen</w:t>
      </w:r>
      <w:r w:rsidRPr="006C40C1">
        <w:t>t</w:t>
      </w:r>
      <w:r w:rsidRPr="006C40C1">
        <w:t xml:space="preserve">liga sektorn 2003 och 2004 </w:t>
      </w:r>
      <w:r w:rsidRPr="006C40C1">
        <w:tab/>
        <w:t>169</w:t>
      </w:r>
    </w:p>
    <w:p w:rsidR="00AA5D77" w:rsidRPr="006C40C1" w:rsidRDefault="00AA5D77">
      <w:pPr>
        <w:pStyle w:val="Innehll1"/>
        <w:numPr>
          <w:ilvl w:val="0"/>
          <w:numId w:val="5"/>
        </w:numPr>
      </w:pPr>
      <w:r w:rsidRPr="006C40C1">
        <w:t xml:space="preserve">Oppositionspartiernas förslag till beräkning av utgiftstaket för den offentliga sektorn 2003 och 2004 </w:t>
      </w:r>
      <w:r w:rsidRPr="006C40C1">
        <w:tab/>
        <w:t>169</w:t>
      </w:r>
    </w:p>
    <w:p w:rsidR="00AA5D77" w:rsidRPr="006C40C1" w:rsidRDefault="00AA5D77">
      <w:pPr>
        <w:pStyle w:val="Innehll1"/>
        <w:numPr>
          <w:ilvl w:val="0"/>
          <w:numId w:val="5"/>
        </w:numPr>
        <w:ind w:right="424"/>
      </w:pPr>
      <w:r w:rsidRPr="006C40C1">
        <w:t xml:space="preserve">Regeringens och riksdagspartiernas förslag till utgiftsramar för 2003 </w:t>
      </w:r>
      <w:r w:rsidRPr="006C40C1">
        <w:tab/>
        <w:t>172</w:t>
      </w:r>
    </w:p>
    <w:p w:rsidR="00AA5D77" w:rsidRPr="006C40C1" w:rsidRDefault="00AA5D77">
      <w:pPr>
        <w:pStyle w:val="Innehll1"/>
        <w:numPr>
          <w:ilvl w:val="0"/>
          <w:numId w:val="5"/>
        </w:numPr>
      </w:pPr>
      <w:r w:rsidRPr="006C40C1">
        <w:t>Konsekvenser av utskottets förslag till förändringar i utgiftsr</w:t>
      </w:r>
      <w:r w:rsidRPr="006C40C1">
        <w:t>a</w:t>
      </w:r>
      <w:r w:rsidRPr="006C40C1">
        <w:t xml:space="preserve">mar för 2003 </w:t>
      </w:r>
      <w:r w:rsidRPr="006C40C1">
        <w:tab/>
        <w:t>176</w:t>
      </w:r>
    </w:p>
    <w:p w:rsidR="00AA5D77" w:rsidRPr="006C40C1" w:rsidRDefault="00AA5D77">
      <w:pPr>
        <w:pStyle w:val="Innehll1"/>
        <w:numPr>
          <w:ilvl w:val="0"/>
          <w:numId w:val="5"/>
        </w:numPr>
      </w:pPr>
      <w:r w:rsidRPr="006C40C1">
        <w:t>Utskottets, regeringens och riksdagspartiernas förslag till berä</w:t>
      </w:r>
      <w:r w:rsidRPr="006C40C1">
        <w:t>k</w:t>
      </w:r>
      <w:r w:rsidRPr="006C40C1">
        <w:t xml:space="preserve">ning av statsbudgetens samlade inkomster för 2003 </w:t>
      </w:r>
      <w:r w:rsidRPr="006C40C1">
        <w:tab/>
        <w:t>177</w:t>
      </w:r>
    </w:p>
    <w:p w:rsidR="00AA5D77" w:rsidRPr="006C40C1" w:rsidRDefault="00AA5D77">
      <w:pPr>
        <w:pStyle w:val="Innehll1"/>
        <w:numPr>
          <w:ilvl w:val="0"/>
          <w:numId w:val="5"/>
        </w:numPr>
      </w:pPr>
      <w:r w:rsidRPr="006C40C1">
        <w:t xml:space="preserve">Regeringens förslag till statsbudget för budgetåret 2003 </w:t>
      </w:r>
      <w:r w:rsidRPr="006C40C1">
        <w:tab/>
        <w:t>180</w:t>
      </w:r>
    </w:p>
    <w:p w:rsidR="00AA5D77" w:rsidRPr="006C40C1" w:rsidRDefault="00AA5D77">
      <w:pPr>
        <w:pStyle w:val="Innehll1"/>
        <w:numPr>
          <w:ilvl w:val="0"/>
          <w:numId w:val="5"/>
        </w:numPr>
      </w:pPr>
      <w:r w:rsidRPr="006C40C1">
        <w:t xml:space="preserve">Utskottets förslag till statsbudget för budgetåret 2003 </w:t>
      </w:r>
      <w:r w:rsidRPr="006C40C1">
        <w:tab/>
        <w:t>181</w:t>
      </w:r>
    </w:p>
    <w:p w:rsidR="00AA5D77" w:rsidRPr="006C40C1" w:rsidRDefault="00AA5D77">
      <w:pPr>
        <w:pStyle w:val="Innehll1"/>
        <w:numPr>
          <w:ilvl w:val="0"/>
          <w:numId w:val="5"/>
        </w:numPr>
      </w:pPr>
      <w:r w:rsidRPr="006C40C1">
        <w:t>Sammandrag av statsbudgetseffekten 2003 av de olika budge</w:t>
      </w:r>
      <w:r w:rsidRPr="006C40C1">
        <w:t>t</w:t>
      </w:r>
      <w:r w:rsidRPr="006C40C1">
        <w:t xml:space="preserve">alternativen </w:t>
      </w:r>
      <w:r w:rsidRPr="006C40C1">
        <w:tab/>
        <w:t>182</w:t>
      </w:r>
    </w:p>
    <w:p w:rsidR="00AA5D77" w:rsidRPr="006C40C1" w:rsidRDefault="00AA5D77">
      <w:pPr>
        <w:pStyle w:val="Innehll1"/>
        <w:numPr>
          <w:ilvl w:val="0"/>
          <w:numId w:val="5"/>
        </w:numPr>
      </w:pPr>
      <w:r w:rsidRPr="006C40C1">
        <w:t xml:space="preserve">Statsbudgetens inkomster 2001–2004 </w:t>
      </w:r>
      <w:r w:rsidRPr="006C40C1">
        <w:tab/>
        <w:t>183</w:t>
      </w:r>
    </w:p>
    <w:p w:rsidR="00AA5D77" w:rsidRPr="006C40C1" w:rsidRDefault="00AA5D77">
      <w:pPr>
        <w:pStyle w:val="Innehll1"/>
        <w:numPr>
          <w:ilvl w:val="0"/>
          <w:numId w:val="5"/>
        </w:numPr>
      </w:pPr>
      <w:r w:rsidRPr="006C40C1">
        <w:t xml:space="preserve">Statsbudgetens inkomster 2002–2004. Avvikelser från 2001 års ekonomiska vårproposition </w:t>
      </w:r>
      <w:r w:rsidRPr="006C40C1">
        <w:tab/>
        <w:t>183</w:t>
      </w:r>
    </w:p>
    <w:p w:rsidR="00AA5D77" w:rsidRPr="006C40C1" w:rsidRDefault="00AA5D77">
      <w:pPr>
        <w:pStyle w:val="Innehll1"/>
        <w:numPr>
          <w:ilvl w:val="0"/>
          <w:numId w:val="5"/>
        </w:numPr>
      </w:pPr>
      <w:r w:rsidRPr="006C40C1">
        <w:t xml:space="preserve">Inkomsttitel 1111 Fysiska personers inkomstskatt </w:t>
      </w:r>
      <w:r w:rsidRPr="006C40C1">
        <w:tab/>
        <w:t>192</w:t>
      </w:r>
    </w:p>
    <w:p w:rsidR="00AA5D77" w:rsidRPr="006C40C1" w:rsidRDefault="00AA5D77">
      <w:pPr>
        <w:pStyle w:val="Innehll1"/>
        <w:numPr>
          <w:ilvl w:val="0"/>
          <w:numId w:val="5"/>
        </w:numPr>
      </w:pPr>
      <w:r w:rsidRPr="006C40C1">
        <w:t xml:space="preserve">Inkomsttitel 1121 Juridiska personers inkomstskatt </w:t>
      </w:r>
      <w:r w:rsidRPr="006C40C1">
        <w:tab/>
        <w:t>206</w:t>
      </w:r>
    </w:p>
    <w:p w:rsidR="00AA5D77" w:rsidRPr="006C40C1" w:rsidRDefault="00AA5D77">
      <w:pPr>
        <w:pStyle w:val="Innehll1"/>
        <w:numPr>
          <w:ilvl w:val="0"/>
          <w:numId w:val="5"/>
        </w:numPr>
      </w:pPr>
      <w:r w:rsidRPr="006C40C1">
        <w:t xml:space="preserve">Huvudgrupp 1200 Socialavgifter och allmän pensionsavgift </w:t>
      </w:r>
      <w:r w:rsidRPr="006C40C1">
        <w:tab/>
        <w:t>212</w:t>
      </w:r>
    </w:p>
    <w:p w:rsidR="00AA5D77" w:rsidRPr="006C40C1" w:rsidRDefault="00AA5D77">
      <w:pPr>
        <w:pStyle w:val="Innehll1"/>
        <w:numPr>
          <w:ilvl w:val="0"/>
          <w:numId w:val="5"/>
        </w:numPr>
      </w:pPr>
      <w:r w:rsidRPr="006C40C1">
        <w:t xml:space="preserve">Fastighets- och förmögenhetsskatt </w:t>
      </w:r>
      <w:r w:rsidRPr="006C40C1">
        <w:tab/>
        <w:t>217</w:t>
      </w:r>
    </w:p>
    <w:p w:rsidR="00AA5D77" w:rsidRPr="006C40C1" w:rsidRDefault="00AA5D77">
      <w:pPr>
        <w:pStyle w:val="Innehll1"/>
        <w:numPr>
          <w:ilvl w:val="0"/>
          <w:numId w:val="5"/>
        </w:numPr>
      </w:pPr>
      <w:r w:rsidRPr="006C40C1">
        <w:t xml:space="preserve">Skatt på varor och tjänster </w:t>
      </w:r>
      <w:r w:rsidRPr="006C40C1">
        <w:tab/>
        <w:t>221</w:t>
      </w:r>
    </w:p>
    <w:p w:rsidR="00AA5D77" w:rsidRPr="006C40C1" w:rsidRDefault="00AA5D77">
      <w:pPr>
        <w:pStyle w:val="Innehll1"/>
        <w:numPr>
          <w:ilvl w:val="0"/>
          <w:numId w:val="5"/>
        </w:numPr>
      </w:pPr>
      <w:r w:rsidRPr="006C40C1">
        <w:t xml:space="preserve">Nedsättningar av skatter </w:t>
      </w:r>
      <w:r w:rsidRPr="006C40C1">
        <w:tab/>
        <w:t>247</w:t>
      </w:r>
    </w:p>
    <w:p w:rsidR="00AA5D77" w:rsidRPr="006C40C1" w:rsidRDefault="00AA5D77">
      <w:pPr>
        <w:pStyle w:val="Innehll1"/>
        <w:numPr>
          <w:ilvl w:val="0"/>
          <w:numId w:val="5"/>
        </w:numPr>
      </w:pPr>
      <w:r w:rsidRPr="006C40C1">
        <w:t xml:space="preserve">Inkomster av statens verksamhet </w:t>
      </w:r>
      <w:r w:rsidRPr="006C40C1">
        <w:tab/>
        <w:t>251</w:t>
      </w:r>
    </w:p>
    <w:p w:rsidR="00AA5D77" w:rsidRPr="006C40C1" w:rsidRDefault="00AA5D77">
      <w:pPr>
        <w:pStyle w:val="Innehll1"/>
        <w:numPr>
          <w:ilvl w:val="0"/>
          <w:numId w:val="5"/>
        </w:numPr>
      </w:pPr>
      <w:r w:rsidRPr="006C40C1">
        <w:t>Offentliga sektorns periodiserade skatter, offentliga sektorns i</w:t>
      </w:r>
      <w:r w:rsidRPr="006C40C1">
        <w:t>n</w:t>
      </w:r>
      <w:r w:rsidRPr="006C40C1">
        <w:t>komster enligt nationalräkenskaperna samt statsbudgetens i</w:t>
      </w:r>
      <w:r w:rsidRPr="006C40C1">
        <w:t>n</w:t>
      </w:r>
      <w:r w:rsidRPr="006C40C1">
        <w:t xml:space="preserve">komster </w:t>
      </w:r>
      <w:r w:rsidRPr="006C40C1">
        <w:tab/>
        <w:t>254</w:t>
      </w:r>
    </w:p>
    <w:p w:rsidR="00AA5D77" w:rsidRPr="006C40C1" w:rsidRDefault="00AA5D77">
      <w:pPr>
        <w:pStyle w:val="Innehll1"/>
        <w:numPr>
          <w:ilvl w:val="0"/>
          <w:numId w:val="5"/>
        </w:numPr>
      </w:pPr>
      <w:r w:rsidRPr="006C40C1">
        <w:t xml:space="preserve">Statsbudgetens inkomster 2001–2004 </w:t>
      </w:r>
      <w:r w:rsidRPr="006C40C1">
        <w:tab/>
        <w:t>255</w:t>
      </w:r>
    </w:p>
    <w:p w:rsidR="00AA5D77" w:rsidRPr="006C40C1" w:rsidRDefault="00AA5D77">
      <w:pPr>
        <w:pStyle w:val="Innehll1"/>
        <w:numPr>
          <w:ilvl w:val="0"/>
          <w:numId w:val="5"/>
        </w:numPr>
      </w:pPr>
      <w:r w:rsidRPr="006C40C1">
        <w:t xml:space="preserve">Budgeteffekter av åtgärder på skatteområdet i BP 2003 m.m. </w:t>
      </w:r>
      <w:r w:rsidRPr="006C40C1">
        <w:tab/>
        <w:t>256</w:t>
      </w:r>
    </w:p>
    <w:p w:rsidR="00AA5D77" w:rsidRPr="006C40C1" w:rsidRDefault="00AA5D77">
      <w:pPr>
        <w:pStyle w:val="Innehll1"/>
        <w:numPr>
          <w:ilvl w:val="0"/>
          <w:numId w:val="5"/>
        </w:numPr>
      </w:pPr>
      <w:r w:rsidRPr="006C40C1">
        <w:t xml:space="preserve">Inkomstberäkningar enligt regeringens och riksdagspartiernas budgetförslag </w:t>
      </w:r>
      <w:r w:rsidRPr="006C40C1">
        <w:tab/>
        <w:t>259</w:t>
      </w:r>
    </w:p>
    <w:p w:rsidR="00AA5D77" w:rsidRPr="006C40C1" w:rsidRDefault="00AA5D77">
      <w:pPr>
        <w:pStyle w:val="Innehll1"/>
        <w:numPr>
          <w:ilvl w:val="0"/>
          <w:numId w:val="5"/>
        </w:numPr>
      </w:pPr>
      <w:r w:rsidRPr="006C40C1">
        <w:t>Offentliga sektorns inkomster enligt NR 2003–2004. Regerin</w:t>
      </w:r>
      <w:r w:rsidRPr="006C40C1">
        <w:t>g</w:t>
      </w:r>
      <w:r w:rsidRPr="006C40C1">
        <w:t xml:space="preserve">ens förslag och avvikelser enligt oppositionspartiernas förslag </w:t>
      </w:r>
      <w:r w:rsidRPr="006C40C1">
        <w:tab/>
        <w:t>259</w:t>
      </w:r>
    </w:p>
    <w:p w:rsidR="00AA5D77" w:rsidRPr="006C40C1" w:rsidRDefault="00AA5D77">
      <w:pPr>
        <w:pStyle w:val="Innehll1"/>
        <w:numPr>
          <w:ilvl w:val="0"/>
          <w:numId w:val="5"/>
        </w:numPr>
      </w:pPr>
      <w:r w:rsidRPr="006C40C1">
        <w:t>Konsekvenser av utskottets förslag till förändringar i beräknin</w:t>
      </w:r>
      <w:r w:rsidRPr="006C40C1">
        <w:t>g</w:t>
      </w:r>
      <w:r w:rsidRPr="006C40C1">
        <w:t xml:space="preserve">en av statsbudgetens inkomster för 2003 </w:t>
      </w:r>
      <w:r w:rsidRPr="006C40C1">
        <w:tab/>
        <w:t>260</w:t>
      </w:r>
    </w:p>
    <w:p w:rsidR="00AA5D77" w:rsidRPr="006C40C1" w:rsidRDefault="00AA5D77">
      <w:pPr>
        <w:pStyle w:val="Innehll1"/>
        <w:numPr>
          <w:ilvl w:val="0"/>
          <w:numId w:val="5"/>
        </w:numPr>
      </w:pPr>
      <w:r w:rsidRPr="006C40C1">
        <w:t>Utskottets förslag till utgiftsramar för 2004 – nivå samt jämföre</w:t>
      </w:r>
      <w:r w:rsidRPr="006C40C1">
        <w:t>l</w:t>
      </w:r>
      <w:r w:rsidRPr="006C40C1">
        <w:t>se med regerin</w:t>
      </w:r>
      <w:r w:rsidRPr="006C40C1">
        <w:t>g</w:t>
      </w:r>
      <w:r w:rsidRPr="006C40C1">
        <w:t>ens förslag</w:t>
      </w:r>
      <w:r w:rsidRPr="006C40C1">
        <w:tab/>
        <w:t>312</w:t>
      </w:r>
    </w:p>
    <w:p w:rsidR="00AA5D77" w:rsidRPr="006C40C1" w:rsidRDefault="00AA5D77">
      <w:pPr>
        <w:pStyle w:val="Innehll1"/>
        <w:ind w:left="426" w:hanging="426"/>
      </w:pPr>
    </w:p>
    <w:p w:rsidR="00AA5D77" w:rsidRPr="006C40C1" w:rsidRDefault="00AA5D77">
      <w:pPr>
        <w:pStyle w:val="Ordfranden"/>
        <w:spacing w:before="62"/>
        <w:rPr>
          <w:noProof w:val="0"/>
        </w:rPr>
      </w:pPr>
      <w:r w:rsidRPr="006C40C1">
        <w:rPr>
          <w:noProof w:val="0"/>
        </w:rPr>
        <w:t>Diagram</w:t>
      </w:r>
    </w:p>
    <w:p w:rsidR="00AA5D77" w:rsidRPr="006C40C1" w:rsidRDefault="00AA5D77">
      <w:pPr>
        <w:pStyle w:val="Innehll1"/>
        <w:ind w:left="426" w:hanging="426"/>
      </w:pPr>
    </w:p>
    <w:p w:rsidR="00AA5D77" w:rsidRPr="006C40C1" w:rsidRDefault="00AA5D77">
      <w:pPr>
        <w:pStyle w:val="Innehll1"/>
        <w:ind w:left="426" w:hanging="426"/>
      </w:pPr>
      <w:r w:rsidRPr="006C40C1">
        <w:t>1.</w:t>
      </w:r>
      <w:r w:rsidRPr="006C40C1">
        <w:tab/>
        <w:t xml:space="preserve">Tillväxten i olika delar av världen </w:t>
      </w:r>
      <w:r w:rsidRPr="006C40C1">
        <w:tab/>
        <w:t>36</w:t>
      </w:r>
    </w:p>
    <w:p w:rsidR="00AA5D77" w:rsidRPr="006C40C1" w:rsidRDefault="00AA5D77">
      <w:pPr>
        <w:pStyle w:val="Innehll1"/>
        <w:ind w:left="426" w:hanging="426"/>
      </w:pPr>
      <w:r w:rsidRPr="006C40C1">
        <w:t>2.</w:t>
      </w:r>
      <w:r w:rsidRPr="006C40C1">
        <w:tab/>
        <w:t xml:space="preserve">Hushållens och företagens framtidsförväntningar </w:t>
      </w:r>
      <w:r w:rsidRPr="006C40C1">
        <w:tab/>
        <w:t>42</w:t>
      </w:r>
    </w:p>
    <w:p w:rsidR="00AA5D77" w:rsidRPr="006C40C1" w:rsidRDefault="00AA5D77">
      <w:pPr>
        <w:pStyle w:val="Innehll1"/>
        <w:ind w:left="426" w:hanging="426"/>
      </w:pPr>
      <w:r w:rsidRPr="006C40C1">
        <w:t>3.</w:t>
      </w:r>
      <w:r w:rsidRPr="006C40C1">
        <w:tab/>
        <w:t xml:space="preserve">Sysselsättningen 1995–augusti 2002 </w:t>
      </w:r>
      <w:r w:rsidRPr="006C40C1">
        <w:tab/>
        <w:t>48</w:t>
      </w:r>
    </w:p>
    <w:p w:rsidR="00AA5D77" w:rsidRPr="006C40C1" w:rsidRDefault="00AA5D77">
      <w:pPr>
        <w:pStyle w:val="Innehll1"/>
        <w:ind w:left="426" w:hanging="426"/>
      </w:pPr>
      <w:r w:rsidRPr="006C40C1">
        <w:t>4.</w:t>
      </w:r>
      <w:r w:rsidRPr="006C40C1">
        <w:tab/>
        <w:t>Den öppna arbetslösheten 1995–augusti 2002</w:t>
      </w:r>
      <w:r w:rsidRPr="006C40C1">
        <w:tab/>
        <w:t>48</w:t>
      </w:r>
    </w:p>
    <w:p w:rsidR="00AA5D77" w:rsidRPr="006C40C1" w:rsidRDefault="00AA5D77">
      <w:pPr>
        <w:pStyle w:val="Innehll1"/>
        <w:numPr>
          <w:ilvl w:val="0"/>
          <w:numId w:val="6"/>
        </w:numPr>
      </w:pPr>
      <w:r w:rsidRPr="006C40C1">
        <w:t>Sysselsättningsgraden enligt regeringens sysselsättningsmål 1995–augusti 2002</w:t>
      </w:r>
      <w:r w:rsidRPr="006C40C1">
        <w:tab/>
        <w:t>49</w:t>
      </w:r>
    </w:p>
    <w:p w:rsidR="00AA5D77" w:rsidRPr="006C40C1" w:rsidRDefault="00AA5D77">
      <w:pPr>
        <w:pStyle w:val="Innehll1"/>
        <w:numPr>
          <w:ilvl w:val="0"/>
          <w:numId w:val="6"/>
        </w:numPr>
      </w:pPr>
      <w:r w:rsidRPr="006C40C1">
        <w:t xml:space="preserve">Regeringens och oppositionspartiernas utgiftstak för staten 2002–2004 </w:t>
      </w:r>
      <w:r w:rsidRPr="006C40C1">
        <w:tab/>
        <w:t>144</w:t>
      </w:r>
    </w:p>
    <w:p w:rsidR="00AA5D77" w:rsidRPr="006C40C1" w:rsidRDefault="00AA5D77">
      <w:pPr>
        <w:pStyle w:val="Innehll1"/>
        <w:numPr>
          <w:ilvl w:val="0"/>
          <w:numId w:val="6"/>
        </w:numPr>
      </w:pPr>
      <w:r w:rsidRPr="006C40C1">
        <w:t xml:space="preserve">Regeringens och oppositionspartiernas utgiftstak för offentlig sektor 2002–2004 </w:t>
      </w:r>
      <w:r w:rsidRPr="006C40C1">
        <w:tab/>
        <w:t>144</w:t>
      </w:r>
    </w:p>
    <w:p w:rsidR="00AA5D77" w:rsidRPr="006C40C1" w:rsidRDefault="00AA5D77">
      <w:pPr>
        <w:pStyle w:val="Innehll1"/>
        <w:ind w:left="426" w:hanging="426"/>
        <w:sectPr w:rsidR="00000000" w:rsidRPr="006C40C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A5D77" w:rsidRPr="006C40C1" w:rsidRDefault="00AA5D77">
      <w:pPr>
        <w:pStyle w:val="Rubrik1"/>
        <w:rPr>
          <w:noProof w:val="0"/>
        </w:rPr>
      </w:pPr>
      <w:bookmarkStart w:id="9" w:name="_Toc26191377"/>
      <w:r w:rsidRPr="006C40C1">
        <w:rPr>
          <w:noProof w:val="0"/>
        </w:rPr>
        <w:t>Utskottets förslag till riksdagsbeslut</w:t>
      </w:r>
      <w:bookmarkEnd w:id="9"/>
    </w:p>
    <w:p w:rsidR="00AA5D77" w:rsidRPr="006C40C1" w:rsidRDefault="00AA5D77">
      <w:pPr>
        <w:pStyle w:val="R2"/>
        <w:spacing w:before="0"/>
      </w:pPr>
      <w:r w:rsidRPr="006C40C1">
        <w:t>Den ekonomiska politiken</w:t>
      </w:r>
    </w:p>
    <w:p w:rsidR="00AA5D77" w:rsidRPr="006C40C1" w:rsidRDefault="00AA5D77">
      <w:pPr>
        <w:pStyle w:val="Frslagspunkt"/>
        <w:rPr>
          <w:noProof w:val="0"/>
        </w:rPr>
      </w:pPr>
      <w:r w:rsidRPr="006C40C1">
        <w:rPr>
          <w:noProof w:val="0"/>
        </w:rPr>
        <w:t>1.</w:t>
      </w:r>
      <w:r w:rsidRPr="006C40C1">
        <w:rPr>
          <w:noProof w:val="0"/>
        </w:rPr>
        <w:tab/>
        <w:t>Allmänna riktlinjer för den ekonomiska politiken (avsnitt 1.3)</w:t>
      </w:r>
    </w:p>
    <w:p w:rsidR="00AA5D77" w:rsidRPr="006C40C1" w:rsidRDefault="00AA5D77">
      <w:pPr>
        <w:pStyle w:val="Frslagstext"/>
      </w:pPr>
      <w:r w:rsidRPr="006C40C1">
        <w:t>Riksdagen godkänner de allmänna riktlinjer för den ekonomiska polit</w:t>
      </w:r>
      <w:r w:rsidRPr="006C40C1">
        <w:t>i</w:t>
      </w:r>
      <w:r w:rsidRPr="006C40C1">
        <w:t>ken som regeringen förordar och tillkännager för regeringen vad utskottet anfört. Därmed bifaller riksdagen proposition 2002/03:1 Förslag till statsbudget, finansplan m.m. punkt 1 och avslår motionerna</w:t>
      </w:r>
    </w:p>
    <w:p w:rsidR="00AA5D77" w:rsidRPr="006C40C1" w:rsidRDefault="00AA5D77">
      <w:pPr>
        <w:pStyle w:val="Frslagstext"/>
      </w:pPr>
      <w:r w:rsidRPr="006C40C1">
        <w:t>2002/03:Fi231 av Bo Lundgren m.fl. (m) yrkandena 1 och 12,</w:t>
      </w:r>
    </w:p>
    <w:p w:rsidR="00AA5D77" w:rsidRPr="006C40C1" w:rsidRDefault="00AA5D77">
      <w:pPr>
        <w:pStyle w:val="Frslagstext"/>
      </w:pPr>
      <w:r w:rsidRPr="006C40C1">
        <w:t>2002/03:Fi232 av Lars Leijonborg m.fl. (fp) yrkande 1,</w:t>
      </w:r>
    </w:p>
    <w:p w:rsidR="00AA5D77" w:rsidRPr="006C40C1" w:rsidRDefault="00AA5D77">
      <w:pPr>
        <w:pStyle w:val="Frslagstext"/>
      </w:pPr>
      <w:r w:rsidRPr="006C40C1">
        <w:t>2002/03:Fi233 av Alf  Svensson m.fl. (kd) yrkandena 1–3,</w:t>
      </w:r>
    </w:p>
    <w:p w:rsidR="00AA5D77" w:rsidRPr="006C40C1" w:rsidRDefault="00AA5D77">
      <w:pPr>
        <w:pStyle w:val="Frslagstext"/>
      </w:pPr>
      <w:r w:rsidRPr="006C40C1">
        <w:t>2002/03:Fi234 av Maud Olofsson m.fl. (c) yrkandena 1 och 2 samt</w:t>
      </w:r>
    </w:p>
    <w:p w:rsidR="00AA5D77" w:rsidRPr="006C40C1" w:rsidRDefault="00AA5D77">
      <w:pPr>
        <w:pStyle w:val="Frslagstext"/>
      </w:pPr>
      <w:r w:rsidRPr="006C40C1">
        <w:t>2002/03:MJ420 av Per Westerberg m.fl. (m) yrkande 2.</w:t>
      </w:r>
      <w:bookmarkStart w:id="10" w:name="RESPARTI001"/>
      <w:bookmarkEnd w:id="10"/>
    </w:p>
    <w:p w:rsidR="00AA5D77" w:rsidRPr="006C40C1" w:rsidRDefault="00AA5D77">
      <w:pPr>
        <w:pStyle w:val="Reservationshnvisning"/>
      </w:pPr>
      <w:r w:rsidRPr="006C40C1">
        <w:t>Reservation 1 (m, fp, kd, c)</w:t>
      </w:r>
    </w:p>
    <w:p w:rsidR="00AA5D77" w:rsidRPr="006C40C1" w:rsidRDefault="00AA5D77">
      <w:pPr>
        <w:pStyle w:val="Frslagspunkt"/>
        <w:rPr>
          <w:noProof w:val="0"/>
        </w:rPr>
      </w:pPr>
      <w:r w:rsidRPr="006C40C1">
        <w:rPr>
          <w:noProof w:val="0"/>
        </w:rPr>
        <w:t>2.</w:t>
      </w:r>
      <w:r w:rsidRPr="006C40C1">
        <w:rPr>
          <w:noProof w:val="0"/>
        </w:rPr>
        <w:tab/>
        <w:t>Gröna nyckeltal i EU (avsnitt 1.4.1)</w:t>
      </w:r>
    </w:p>
    <w:p w:rsidR="00AA5D77" w:rsidRPr="006C40C1" w:rsidRDefault="00AA5D77">
      <w:pPr>
        <w:pStyle w:val="Frslagstext"/>
      </w:pPr>
      <w:r w:rsidRPr="006C40C1">
        <w:t xml:space="preserve">Riksdagen avslår motion       </w:t>
      </w:r>
    </w:p>
    <w:p w:rsidR="00AA5D77" w:rsidRPr="006C40C1" w:rsidRDefault="00AA5D77">
      <w:pPr>
        <w:pStyle w:val="Frslagstext"/>
      </w:pPr>
      <w:r w:rsidRPr="006C40C1">
        <w:t>2002/03:U324 av Ulf Holm m.fl. (mp) yrkande 13.</w:t>
      </w:r>
      <w:bookmarkStart w:id="11" w:name="RESPARTI002"/>
      <w:bookmarkEnd w:id="11"/>
    </w:p>
    <w:p w:rsidR="00AA5D77" w:rsidRPr="006C40C1" w:rsidRDefault="00AA5D77">
      <w:pPr>
        <w:pStyle w:val="Reservationshnvisning"/>
      </w:pPr>
      <w:r w:rsidRPr="006C40C1">
        <w:t>Reservation 2 (mp)</w:t>
      </w:r>
    </w:p>
    <w:p w:rsidR="00AA5D77" w:rsidRPr="006C40C1" w:rsidRDefault="00AA5D77">
      <w:pPr>
        <w:pStyle w:val="Frslagspunkt"/>
        <w:rPr>
          <w:noProof w:val="0"/>
        </w:rPr>
      </w:pPr>
      <w:r w:rsidRPr="006C40C1">
        <w:rPr>
          <w:noProof w:val="0"/>
        </w:rPr>
        <w:t>3.</w:t>
      </w:r>
      <w:r w:rsidRPr="006C40C1">
        <w:rPr>
          <w:noProof w:val="0"/>
        </w:rPr>
        <w:tab/>
        <w:t>Miljökonsekvensbeskrivningar i budgetpropositionen (avsnitt 1.4.2)</w:t>
      </w:r>
    </w:p>
    <w:p w:rsidR="00AA5D77" w:rsidRPr="006C40C1" w:rsidRDefault="00AA5D77">
      <w:pPr>
        <w:pStyle w:val="Frslagstext"/>
      </w:pPr>
      <w:r w:rsidRPr="006C40C1">
        <w:t xml:space="preserve">Riksdagen avslår motion        </w:t>
      </w:r>
    </w:p>
    <w:p w:rsidR="00AA5D77" w:rsidRPr="006C40C1" w:rsidRDefault="00AA5D77">
      <w:pPr>
        <w:pStyle w:val="Frslagstext"/>
      </w:pPr>
      <w:r w:rsidRPr="006C40C1">
        <w:t>2002/03:MJ432 av Alf Svensson m.fl. (kd) yrkande 24.</w:t>
      </w:r>
      <w:bookmarkStart w:id="12" w:name="RESPARTI003"/>
      <w:bookmarkEnd w:id="12"/>
    </w:p>
    <w:p w:rsidR="00AA5D77" w:rsidRPr="006C40C1" w:rsidRDefault="00AA5D77">
      <w:pPr>
        <w:pStyle w:val="Reservationshnvisning"/>
      </w:pPr>
      <w:r w:rsidRPr="006C40C1">
        <w:t>Reservation 3 (kd)</w:t>
      </w:r>
    </w:p>
    <w:p w:rsidR="00AA5D77" w:rsidRPr="006C40C1" w:rsidRDefault="00AA5D77">
      <w:pPr>
        <w:pStyle w:val="R2"/>
      </w:pPr>
      <w:r w:rsidRPr="006C40C1">
        <w:t>Budgetpolitikens inriktning</w:t>
      </w:r>
    </w:p>
    <w:p w:rsidR="00AA5D77" w:rsidRPr="006C40C1" w:rsidRDefault="00AA5D77">
      <w:pPr>
        <w:pStyle w:val="Frslagspunkt"/>
        <w:rPr>
          <w:noProof w:val="0"/>
        </w:rPr>
      </w:pPr>
      <w:r w:rsidRPr="006C40C1">
        <w:rPr>
          <w:noProof w:val="0"/>
        </w:rPr>
        <w:t>4.</w:t>
      </w:r>
      <w:r w:rsidRPr="006C40C1">
        <w:rPr>
          <w:noProof w:val="0"/>
        </w:rPr>
        <w:tab/>
        <w:t>Mål för budgetpolitiken (avsnitt 2.3)</w:t>
      </w:r>
    </w:p>
    <w:p w:rsidR="00AA5D77" w:rsidRPr="006C40C1" w:rsidRDefault="00AA5D77">
      <w:pPr>
        <w:pStyle w:val="Frslagstext"/>
      </w:pPr>
      <w:r w:rsidRPr="006C40C1">
        <w:t>Riksdagen avslår motionerna</w:t>
      </w:r>
    </w:p>
    <w:p w:rsidR="00AA5D77" w:rsidRPr="006C40C1" w:rsidRDefault="00AA5D77">
      <w:pPr>
        <w:pStyle w:val="Frslagstext"/>
      </w:pPr>
      <w:r w:rsidRPr="006C40C1">
        <w:t>2002/03:Fi231 av Bo Lundgren m.fl. (m) yrkande 8,</w:t>
      </w:r>
    </w:p>
    <w:p w:rsidR="00AA5D77" w:rsidRPr="006C40C1" w:rsidRDefault="00AA5D77">
      <w:pPr>
        <w:pStyle w:val="Frslagstext"/>
      </w:pPr>
      <w:r w:rsidRPr="006C40C1">
        <w:t>2002/03:Fi233 av Alf  Svensson m.fl. (kd) yrkande 10 samt</w:t>
      </w:r>
    </w:p>
    <w:p w:rsidR="00AA5D77" w:rsidRPr="006C40C1" w:rsidRDefault="00AA5D77">
      <w:pPr>
        <w:pStyle w:val="Frslagstext"/>
      </w:pPr>
      <w:r w:rsidRPr="006C40C1">
        <w:t>2002/03:Fi234 av Maud Olofsson m.fl. (c) yrkandena 4 och 5.</w:t>
      </w:r>
      <w:bookmarkStart w:id="13" w:name="RESPARTI004"/>
      <w:bookmarkEnd w:id="13"/>
    </w:p>
    <w:p w:rsidR="00AA5D77" w:rsidRPr="006C40C1" w:rsidRDefault="00AA5D77">
      <w:pPr>
        <w:pStyle w:val="Reservationshnvisning"/>
      </w:pPr>
      <w:r w:rsidRPr="006C40C1">
        <w:t>Reservation 4 (m)</w:t>
      </w:r>
    </w:p>
    <w:p w:rsidR="00AA5D77" w:rsidRPr="006C40C1" w:rsidRDefault="00AA5D77">
      <w:pPr>
        <w:pStyle w:val="Reservationshnvisning"/>
      </w:pPr>
      <w:r w:rsidRPr="006C40C1">
        <w:t>Reservation 5 (kd)</w:t>
      </w:r>
    </w:p>
    <w:p w:rsidR="00AA5D77" w:rsidRPr="006C40C1" w:rsidRDefault="00AA5D77">
      <w:pPr>
        <w:pStyle w:val="Reservationshnvisning"/>
      </w:pPr>
      <w:r w:rsidRPr="006C40C1">
        <w:t>Reservation 6 (c)</w:t>
      </w:r>
    </w:p>
    <w:p w:rsidR="00AA5D77" w:rsidRPr="006C40C1" w:rsidRDefault="00AA5D77">
      <w:pPr>
        <w:pStyle w:val="Reservationshnvisning"/>
      </w:pPr>
      <w:r w:rsidRPr="006C40C1">
        <w:t>Reservation 7 (fp) – motiv.</w:t>
      </w:r>
    </w:p>
    <w:p w:rsidR="00AA5D77" w:rsidRPr="006C40C1" w:rsidRDefault="00AA5D77">
      <w:pPr>
        <w:pStyle w:val="R2"/>
      </w:pPr>
      <w:r w:rsidRPr="006C40C1">
        <w:t xml:space="preserve">Statsbudgetens inkomster och utgifter    </w:t>
      </w:r>
    </w:p>
    <w:p w:rsidR="00AA5D77" w:rsidRPr="006C40C1" w:rsidRDefault="00AA5D77">
      <w:pPr>
        <w:pStyle w:val="Frslagspunkt"/>
        <w:rPr>
          <w:noProof w:val="0"/>
        </w:rPr>
      </w:pPr>
      <w:r w:rsidRPr="006C40C1">
        <w:rPr>
          <w:noProof w:val="0"/>
        </w:rPr>
        <w:t>5.</w:t>
      </w:r>
      <w:r w:rsidRPr="006C40C1">
        <w:rPr>
          <w:noProof w:val="0"/>
        </w:rPr>
        <w:tab/>
        <w:t>Budgetförslagen för 2003 (avsnitten 2.4–2.12, 3 och 4.1)</w:t>
      </w:r>
    </w:p>
    <w:p w:rsidR="00AA5D77" w:rsidRPr="006C40C1" w:rsidRDefault="00AA5D77">
      <w:pPr>
        <w:pStyle w:val="Frslagstext"/>
      </w:pPr>
    </w:p>
    <w:p w:rsidR="00AA5D77" w:rsidRPr="006C40C1" w:rsidRDefault="00AA5D77">
      <w:pPr>
        <w:pStyle w:val="Frslagstext"/>
        <w:ind w:left="567" w:hanging="283"/>
        <w:rPr>
          <w:i/>
        </w:rPr>
      </w:pPr>
      <w:r w:rsidRPr="006C40C1">
        <w:rPr>
          <w:i/>
        </w:rPr>
        <w:t>a) Utgiftstak för staten 2002–2004 (avsnitt 2.5.1)</w:t>
      </w:r>
    </w:p>
    <w:p w:rsidR="00AA5D77" w:rsidRPr="006C40C1" w:rsidRDefault="00AA5D77">
      <w:pPr>
        <w:pStyle w:val="Frslagstext"/>
        <w:ind w:left="284"/>
      </w:pPr>
      <w:r w:rsidRPr="006C40C1">
        <w:t>Riksdagen fastställer utgiftstaket för staten inklusive ålderspensionss</w:t>
      </w:r>
      <w:r w:rsidRPr="006C40C1">
        <w:t>y</w:t>
      </w:r>
      <w:r w:rsidRPr="006C40C1">
        <w:t>stemet vid sidan av statsbudgeten i enlighet med utskottets förslag till 812 miljarder kronor 2002, 819 miljarder kronor 2003 och 853 miljarder kr</w:t>
      </w:r>
      <w:r w:rsidRPr="006C40C1">
        <w:t>o</w:t>
      </w:r>
      <w:r w:rsidRPr="006C40C1">
        <w:t xml:space="preserve">nor 2004. Därmed bifaller riksdagen delvis proposition 2002/03:1 punkt 2 och avslår de motionsyrkanden som finns upptagna i efterföljande </w:t>
      </w:r>
      <w:r w:rsidRPr="006C40C1">
        <w:rPr>
          <w:i/>
        </w:rPr>
        <w:t>fö</w:t>
      </w:r>
      <w:r w:rsidRPr="006C40C1">
        <w:rPr>
          <w:i/>
        </w:rPr>
        <w:t>r</w:t>
      </w:r>
      <w:r w:rsidRPr="006C40C1">
        <w:rPr>
          <w:i/>
        </w:rPr>
        <w:t>teckning över av utskottet i punkt 5 a</w:t>
      </w:r>
      <w:r w:rsidRPr="006C40C1">
        <w:rPr>
          <w:i/>
        </w:rPr>
        <w:t>v</w:t>
      </w:r>
      <w:r w:rsidRPr="006C40C1">
        <w:rPr>
          <w:i/>
        </w:rPr>
        <w:t>styrkta motionsyrkanden.</w:t>
      </w:r>
    </w:p>
    <w:p w:rsidR="00AA5D77" w:rsidRPr="006C40C1" w:rsidRDefault="00AA5D77">
      <w:pPr>
        <w:pStyle w:val="Frslagstext"/>
      </w:pPr>
    </w:p>
    <w:p w:rsidR="00AA5D77" w:rsidRPr="006C40C1" w:rsidRDefault="00AA5D77">
      <w:pPr>
        <w:pStyle w:val="Frslagstext"/>
        <w:ind w:left="567" w:hanging="283"/>
        <w:rPr>
          <w:i/>
        </w:rPr>
      </w:pPr>
      <w:r w:rsidRPr="006C40C1">
        <w:rPr>
          <w:i/>
        </w:rPr>
        <w:t>b) Beräkning av den offentliga sektorns utgifter åren 2003 och 2004 (a</w:t>
      </w:r>
      <w:r w:rsidRPr="006C40C1">
        <w:rPr>
          <w:i/>
        </w:rPr>
        <w:t>v</w:t>
      </w:r>
      <w:r w:rsidRPr="006C40C1">
        <w:rPr>
          <w:i/>
        </w:rPr>
        <w:t>snitt 2.5.2)</w:t>
      </w:r>
    </w:p>
    <w:p w:rsidR="00AA5D77" w:rsidRPr="006C40C1" w:rsidRDefault="00AA5D77">
      <w:pPr>
        <w:pStyle w:val="Frslagstext"/>
        <w:ind w:left="284"/>
      </w:pPr>
      <w:r w:rsidRPr="006C40C1">
        <w:t xml:space="preserve">Riksdagen godkänner beräkningen av de offentliga utgifterna för 2003 och 2004. Därmed bifaller riksdagen proposition 2002/03:1 punkt 3 och avslår de motionsyrkanden som finns upptagna i efterföljande </w:t>
      </w:r>
      <w:r w:rsidRPr="006C40C1">
        <w:rPr>
          <w:i/>
        </w:rPr>
        <w:t>förteckning över av utskottet i punkt 5 a</w:t>
      </w:r>
      <w:r w:rsidRPr="006C40C1">
        <w:rPr>
          <w:i/>
        </w:rPr>
        <w:t>v</w:t>
      </w:r>
      <w:r w:rsidRPr="006C40C1">
        <w:rPr>
          <w:i/>
        </w:rPr>
        <w:t>styrkta motionsyrkanden.</w:t>
      </w:r>
    </w:p>
    <w:p w:rsidR="00AA5D77" w:rsidRPr="006C40C1" w:rsidRDefault="00AA5D77">
      <w:pPr>
        <w:pStyle w:val="Frslagstext"/>
      </w:pPr>
    </w:p>
    <w:p w:rsidR="00AA5D77" w:rsidRPr="006C40C1" w:rsidRDefault="00AA5D77">
      <w:pPr>
        <w:pStyle w:val="Frslagstext"/>
        <w:ind w:left="567" w:hanging="283"/>
        <w:rPr>
          <w:i/>
        </w:rPr>
      </w:pPr>
      <w:r w:rsidRPr="006C40C1">
        <w:rPr>
          <w:i/>
        </w:rPr>
        <w:t>c) Fördelning av statsbudgetens utgifter på utgiftsområden 2003 (avsnitt 2.6)</w:t>
      </w:r>
    </w:p>
    <w:p w:rsidR="00AA5D77" w:rsidRPr="006C40C1" w:rsidRDefault="00AA5D77">
      <w:pPr>
        <w:pStyle w:val="Frslagstext"/>
        <w:ind w:left="284"/>
      </w:pPr>
      <w:r w:rsidRPr="006C40C1">
        <w:t>Riksdagen beslutar om fördelning av utgifterna för budgetåret 2003 på u</w:t>
      </w:r>
      <w:r w:rsidRPr="006C40C1">
        <w:t>t</w:t>
      </w:r>
      <w:r w:rsidRPr="006C40C1">
        <w:t xml:space="preserve">giftsområden enligt utskottets förslag i efterföljande </w:t>
      </w:r>
      <w:r w:rsidRPr="006C40C1">
        <w:rPr>
          <w:i/>
        </w:rPr>
        <w:t>sammanställning över statsbudgetens utgifter och inkomster</w:t>
      </w:r>
      <w:r w:rsidRPr="006C40C1">
        <w:t xml:space="preserve">. Därmed bifaller riksdagen motion 2002/03:Fi230 av Britt Bohlin m.fl. (s, v, mp) yrkande 1, bifaller delvis proposition 2002/03:1 punkt 8 och avslår de motionsyrkanden som finns upptagna i efterföljande </w:t>
      </w:r>
      <w:r w:rsidRPr="006C40C1">
        <w:rPr>
          <w:i/>
        </w:rPr>
        <w:t>förteckning över av utskottet i punkt 5 a</w:t>
      </w:r>
      <w:r w:rsidRPr="006C40C1">
        <w:rPr>
          <w:i/>
        </w:rPr>
        <w:t>v</w:t>
      </w:r>
      <w:r w:rsidRPr="006C40C1">
        <w:rPr>
          <w:i/>
        </w:rPr>
        <w:t>styrkta m</w:t>
      </w:r>
      <w:r w:rsidRPr="006C40C1">
        <w:rPr>
          <w:i/>
        </w:rPr>
        <w:t>o</w:t>
      </w:r>
      <w:r w:rsidRPr="006C40C1">
        <w:rPr>
          <w:i/>
        </w:rPr>
        <w:t>tionsyrkanden.</w:t>
      </w:r>
    </w:p>
    <w:p w:rsidR="00AA5D77" w:rsidRPr="006C40C1" w:rsidRDefault="00AA5D77">
      <w:pPr>
        <w:pStyle w:val="Frslagstext"/>
        <w:ind w:left="284"/>
      </w:pPr>
    </w:p>
    <w:p w:rsidR="00AA5D77" w:rsidRPr="006C40C1" w:rsidRDefault="00AA5D77">
      <w:pPr>
        <w:pStyle w:val="Frslagstext"/>
        <w:ind w:left="567" w:hanging="283"/>
        <w:rPr>
          <w:i/>
        </w:rPr>
      </w:pPr>
      <w:r w:rsidRPr="006C40C1">
        <w:rPr>
          <w:i/>
        </w:rPr>
        <w:t>d) Förändringar av anslagsbehållningar för budgetåret 2003 (avsnitt 2.8)</w:t>
      </w:r>
    </w:p>
    <w:p w:rsidR="00AA5D77" w:rsidRPr="006C40C1" w:rsidRDefault="00AA5D77">
      <w:pPr>
        <w:pStyle w:val="Frslagstext"/>
        <w:ind w:left="284"/>
      </w:pPr>
      <w:r w:rsidRPr="006C40C1">
        <w:t xml:space="preserve">Riksdagen godkänner beräkningen av förändringar av anslagsbehållningar för budgetåret 2003. Därmed bifaller riksdagen proposition 2002/03:1 punkt 9 och avslår de motionsyrkanden som finns upptagna i efterföljande </w:t>
      </w:r>
      <w:r w:rsidRPr="006C40C1">
        <w:rPr>
          <w:i/>
        </w:rPr>
        <w:t>förteckning över av utskottet i punkt 5 a</w:t>
      </w:r>
      <w:r w:rsidRPr="006C40C1">
        <w:rPr>
          <w:i/>
        </w:rPr>
        <w:t>v</w:t>
      </w:r>
      <w:r w:rsidRPr="006C40C1">
        <w:rPr>
          <w:i/>
        </w:rPr>
        <w:t>styrkta motionsyrkanden.</w:t>
      </w:r>
    </w:p>
    <w:p w:rsidR="00AA5D77" w:rsidRPr="006C40C1" w:rsidRDefault="00AA5D77">
      <w:pPr>
        <w:pStyle w:val="Frslagstext"/>
        <w:ind w:left="284"/>
      </w:pPr>
    </w:p>
    <w:p w:rsidR="00AA5D77" w:rsidRPr="006C40C1" w:rsidRDefault="00AA5D77">
      <w:pPr>
        <w:pStyle w:val="Frslagstext"/>
        <w:ind w:left="284"/>
        <w:rPr>
          <w:i/>
        </w:rPr>
      </w:pPr>
      <w:r w:rsidRPr="006C40C1">
        <w:rPr>
          <w:i/>
        </w:rPr>
        <w:t>e) Myndigheternas in- och utlåning i Riksgäldskontoret (avsnitt 2.9)</w:t>
      </w:r>
    </w:p>
    <w:p w:rsidR="00AA5D77" w:rsidRPr="006C40C1" w:rsidRDefault="00AA5D77">
      <w:pPr>
        <w:pStyle w:val="Frslagstext"/>
        <w:ind w:left="284"/>
      </w:pPr>
      <w:r w:rsidRPr="006C40C1">
        <w:t xml:space="preserve">Riksdagen godkänner beräkningen av myndigheters m.fl. in- och utlåning i Riksgäldskontoret för 2003. Därmed bifaller riksdagen proposition 2002/03:1 punkt 5 och avslår de motionsyrkanden som finns upptagna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pStyle w:val="Frslagstext"/>
        <w:ind w:left="284"/>
      </w:pPr>
    </w:p>
    <w:p w:rsidR="00AA5D77" w:rsidRPr="006C40C1" w:rsidRDefault="00AA5D77">
      <w:pPr>
        <w:pStyle w:val="Frslagstext"/>
        <w:ind w:left="284"/>
        <w:rPr>
          <w:i/>
        </w:rPr>
      </w:pPr>
      <w:r w:rsidRPr="006C40C1">
        <w:rPr>
          <w:i/>
        </w:rPr>
        <w:t>f) Kassamässig korrigering (avsnitt 2.10)</w:t>
      </w:r>
    </w:p>
    <w:p w:rsidR="00AA5D77" w:rsidRPr="006C40C1" w:rsidRDefault="00AA5D77">
      <w:pPr>
        <w:pStyle w:val="Frslagstext"/>
        <w:ind w:left="284"/>
      </w:pPr>
      <w:r w:rsidRPr="006C40C1">
        <w:t>Riksdagen godkänner beräkningen av den kassamässiga korrigeringen för 2003. Därmed bifaller riksdagen proposition 2002/03:1 punkt 6.</w:t>
      </w:r>
    </w:p>
    <w:p w:rsidR="00AA5D77" w:rsidRPr="006C40C1" w:rsidRDefault="00AA5D77">
      <w:pPr>
        <w:pStyle w:val="Frslagstext"/>
        <w:ind w:left="0"/>
        <w:rPr>
          <w:i/>
        </w:rPr>
      </w:pPr>
    </w:p>
    <w:p w:rsidR="00AA5D77" w:rsidRPr="006C40C1" w:rsidRDefault="00AA5D77">
      <w:pPr>
        <w:pStyle w:val="Frslagstext"/>
        <w:ind w:left="284"/>
        <w:rPr>
          <w:i/>
        </w:rPr>
      </w:pPr>
      <w:r w:rsidRPr="006C40C1">
        <w:rPr>
          <w:i/>
        </w:rPr>
        <w:t>g) Beskattning av förvärvsinkomster (avsnitt 3.3.1)</w:t>
      </w:r>
    </w:p>
    <w:p w:rsidR="00AA5D77" w:rsidRPr="006C40C1" w:rsidRDefault="00AA5D77">
      <w:pPr>
        <w:pStyle w:val="Frslagstext"/>
        <w:ind w:left="284"/>
      </w:pPr>
      <w:r w:rsidRPr="006C40C1">
        <w:t xml:space="preserve">Riksdagen </w:t>
      </w:r>
    </w:p>
    <w:p w:rsidR="00AA5D77" w:rsidRPr="006C40C1" w:rsidRDefault="00AA5D77">
      <w:pPr>
        <w:pStyle w:val="Frslagstext"/>
        <w:ind w:left="284"/>
      </w:pPr>
      <w:r w:rsidRPr="006C40C1">
        <w:t>godkänner vad utskottet anfört om en höjning av grundavdr</w:t>
      </w:r>
      <w:r w:rsidRPr="006C40C1">
        <w:t>a</w:t>
      </w:r>
      <w:r w:rsidRPr="006C40C1">
        <w:t>get och</w:t>
      </w:r>
    </w:p>
    <w:p w:rsidR="00AA5D77" w:rsidRPr="006C40C1" w:rsidRDefault="00AA5D77">
      <w:pPr>
        <w:pStyle w:val="Frslagstext"/>
        <w:ind w:left="284"/>
      </w:pPr>
      <w:r w:rsidRPr="006C40C1">
        <w:t>tillkännager för regeringen vad utskottet anfört om kopplingen mellan grundavdraget och den nedre gränsen för pensionsgrundande inkomst. Därmed bifaller riksdagen motion 2002/03:Fi230 av Britt Bohlin m.fl. (s, v, mp) yrkande 12 i denna del, bifaller delvis proposition 2002/03:1 punkt 27 i denna del samt avslår de motionsyrkanden som finns upptagna i efte</w:t>
      </w:r>
      <w:r w:rsidRPr="006C40C1">
        <w:t>r</w:t>
      </w:r>
      <w:r w:rsidRPr="006C40C1">
        <w:t xml:space="preserve">följande </w:t>
      </w:r>
      <w:r w:rsidRPr="006C40C1">
        <w:rPr>
          <w:i/>
        </w:rPr>
        <w:t>förteckning över av utskottet i punkt 5 avstyrkta motionsyrka</w:t>
      </w:r>
      <w:r w:rsidRPr="006C40C1">
        <w:rPr>
          <w:i/>
        </w:rPr>
        <w:t>n</w:t>
      </w:r>
      <w:r w:rsidRPr="006C40C1">
        <w:rPr>
          <w:i/>
        </w:rPr>
        <w:t>den.</w:t>
      </w:r>
    </w:p>
    <w:p w:rsidR="00AA5D77" w:rsidRPr="006C40C1" w:rsidRDefault="00AA5D77">
      <w:pPr>
        <w:pStyle w:val="Frslagstext"/>
        <w:ind w:left="284"/>
      </w:pPr>
    </w:p>
    <w:p w:rsidR="00AA5D77" w:rsidRPr="006C40C1" w:rsidRDefault="00AA5D77">
      <w:pPr>
        <w:pStyle w:val="Frslagstext"/>
        <w:ind w:left="284"/>
        <w:rPr>
          <w:i/>
        </w:rPr>
      </w:pPr>
      <w:r w:rsidRPr="006C40C1">
        <w:rPr>
          <w:i/>
        </w:rPr>
        <w:t>h) Det fasta beloppet vid beskattningen av förvärvsinkomster (avsnitt 3.3.2)</w:t>
      </w:r>
    </w:p>
    <w:p w:rsidR="00AA5D77" w:rsidRPr="006C40C1" w:rsidRDefault="00AA5D77">
      <w:pPr>
        <w:pStyle w:val="Frslagstext"/>
        <w:ind w:left="284"/>
      </w:pPr>
      <w:r w:rsidRPr="006C40C1">
        <w:t>Riksdagen godkänner vad utskottet anfört om det fasta beloppet vid b</w:t>
      </w:r>
      <w:r w:rsidRPr="006C40C1">
        <w:t>e</w:t>
      </w:r>
      <w:r w:rsidRPr="006C40C1">
        <w:t>skattningen av förvärvsinkomster. Därmed bifaller riksdagen proposition 2002/03:1 punkt 31 i denna del.</w:t>
      </w:r>
    </w:p>
    <w:p w:rsidR="00AA5D77" w:rsidRPr="006C40C1" w:rsidRDefault="00AA5D77">
      <w:pPr>
        <w:pStyle w:val="Frslagstext"/>
        <w:ind w:left="284"/>
      </w:pPr>
    </w:p>
    <w:p w:rsidR="00AA5D77" w:rsidRPr="006C40C1" w:rsidRDefault="00AA5D77">
      <w:pPr>
        <w:pStyle w:val="Frslagstext"/>
        <w:ind w:left="284"/>
        <w:rPr>
          <w:i/>
        </w:rPr>
      </w:pPr>
      <w:r w:rsidRPr="006C40C1">
        <w:rPr>
          <w:i/>
        </w:rPr>
        <w:t>i) Beskattning av sjömän i det nordiska dubbelbeskattningsavtalet (avsnitt 3.3.3)</w:t>
      </w:r>
    </w:p>
    <w:p w:rsidR="00AA5D77" w:rsidRPr="006C40C1" w:rsidRDefault="00AA5D77">
      <w:pPr>
        <w:pStyle w:val="Frslagstext"/>
        <w:ind w:left="284"/>
      </w:pPr>
      <w:r w:rsidRPr="006C40C1">
        <w:t>Riksdagen godkänner vad utskottet anfört om beskattning av sjömän i det nordiska dubbelbeskattningsavtalet. Därmed bifaller riksdagen propos</w:t>
      </w:r>
      <w:r w:rsidRPr="006C40C1">
        <w:t>i</w:t>
      </w:r>
      <w:r w:rsidRPr="006C40C1">
        <w:t>tion 2002/03:1 punkt 32 i denna del.</w:t>
      </w:r>
    </w:p>
    <w:p w:rsidR="00AA5D77" w:rsidRPr="006C40C1" w:rsidRDefault="00AA5D77">
      <w:pPr>
        <w:pStyle w:val="Frslagstext"/>
        <w:ind w:left="284"/>
      </w:pPr>
    </w:p>
    <w:p w:rsidR="00AA5D77" w:rsidRPr="006C40C1" w:rsidRDefault="00AA5D77">
      <w:pPr>
        <w:pStyle w:val="Frslagstext"/>
        <w:ind w:left="284"/>
        <w:rPr>
          <w:i/>
        </w:rPr>
      </w:pPr>
      <w:r w:rsidRPr="006C40C1">
        <w:rPr>
          <w:i/>
        </w:rPr>
        <w:t>j) Förmånsbeskattning av miljövänliga bilar (avsnitt 3.3.4)</w:t>
      </w:r>
    </w:p>
    <w:p w:rsidR="00AA5D77" w:rsidRPr="006C40C1" w:rsidRDefault="00AA5D77">
      <w:pPr>
        <w:pStyle w:val="Frslagstext"/>
        <w:ind w:left="284"/>
      </w:pPr>
      <w:r w:rsidRPr="006C40C1">
        <w:t>Riksdagen godkänner att försöksperioden med sänkt förmånsvärde för miljöanpassade bilar förlängs i enlighet med vad utskottet anfört. Därmed bifaller riksdagen motion 2002/03:Fi230 av Britt Bohlin m.fl. (s, v, mp) yrkande 17.</w:t>
      </w:r>
    </w:p>
    <w:p w:rsidR="00AA5D77" w:rsidRPr="006C40C1" w:rsidRDefault="00AA5D77">
      <w:pPr>
        <w:pStyle w:val="Frslagstext"/>
        <w:ind w:left="284"/>
      </w:pPr>
    </w:p>
    <w:p w:rsidR="00AA5D77" w:rsidRPr="006C40C1" w:rsidRDefault="00AA5D77">
      <w:pPr>
        <w:pStyle w:val="Frslagstext"/>
        <w:ind w:left="284"/>
        <w:rPr>
          <w:i/>
        </w:rPr>
      </w:pPr>
      <w:r w:rsidRPr="006C40C1">
        <w:rPr>
          <w:i/>
        </w:rPr>
        <w:t>k) Förändrade nivåer för socialavgifter (3.5.1)</w:t>
      </w:r>
    </w:p>
    <w:p w:rsidR="00AA5D77" w:rsidRPr="006C40C1" w:rsidRDefault="00AA5D77">
      <w:pPr>
        <w:pStyle w:val="Frslagstext"/>
        <w:ind w:left="284"/>
      </w:pPr>
      <w:r w:rsidRPr="006C40C1">
        <w:t>Riksdagen godkänner vad utskottet anfört om förändrade nivåer för soc</w:t>
      </w:r>
      <w:r w:rsidRPr="006C40C1">
        <w:t>i</w:t>
      </w:r>
      <w:r w:rsidRPr="006C40C1">
        <w:t>alavgifter. Därmed bifaller riksdagen proposition 2002/03:1 punkterna 28 och 29, båda i denna del, och avslår de motionsyrkanden som finns up</w:t>
      </w:r>
      <w:r w:rsidRPr="006C40C1">
        <w:t>p</w:t>
      </w:r>
      <w:r w:rsidRPr="006C40C1">
        <w:t xml:space="preserve">tagna i efterföljande </w:t>
      </w:r>
      <w:r w:rsidRPr="006C40C1">
        <w:rPr>
          <w:i/>
        </w:rPr>
        <w:t>förteckning över av utskottet i punkt 5 avstyrkta m</w:t>
      </w:r>
      <w:r w:rsidRPr="006C40C1">
        <w:rPr>
          <w:i/>
        </w:rPr>
        <w:t>o</w:t>
      </w:r>
      <w:r w:rsidRPr="006C40C1">
        <w:rPr>
          <w:i/>
        </w:rPr>
        <w:t>tionsy</w:t>
      </w:r>
      <w:r w:rsidRPr="006C40C1">
        <w:rPr>
          <w:i/>
        </w:rPr>
        <w:t>r</w:t>
      </w:r>
      <w:r w:rsidRPr="006C40C1">
        <w:rPr>
          <w:i/>
        </w:rPr>
        <w:t>kanden.</w:t>
      </w:r>
    </w:p>
    <w:p w:rsidR="00AA5D77" w:rsidRPr="006C40C1" w:rsidRDefault="00AA5D77">
      <w:pPr>
        <w:pStyle w:val="Frslagstext"/>
        <w:ind w:left="284"/>
      </w:pPr>
    </w:p>
    <w:p w:rsidR="00AA5D77" w:rsidRPr="006C40C1" w:rsidRDefault="00AA5D77">
      <w:pPr>
        <w:pStyle w:val="Frslagstext"/>
        <w:ind w:left="284"/>
        <w:rPr>
          <w:i/>
        </w:rPr>
      </w:pPr>
      <w:r w:rsidRPr="006C40C1">
        <w:rPr>
          <w:i/>
        </w:rPr>
        <w:t>l) Skatt på lågpriscigaretter (avsnitt 3.7.3)</w:t>
      </w:r>
    </w:p>
    <w:p w:rsidR="00AA5D77" w:rsidRPr="006C40C1" w:rsidRDefault="00AA5D77">
      <w:pPr>
        <w:pStyle w:val="Frslagstext"/>
        <w:ind w:left="284"/>
      </w:pPr>
      <w:r w:rsidRPr="006C40C1">
        <w:t>Riksdagen godkänner vad utskottet anfört om en minimiskatt på lågpri</w:t>
      </w:r>
      <w:r w:rsidRPr="006C40C1">
        <w:t>s</w:t>
      </w:r>
      <w:r w:rsidRPr="006C40C1">
        <w:t>cigaretter. Därmed bifaller riksdagen proposition 2002/03:1 punkt 36 i denna del och avslår de motionsyrkanden som finns upptagna i efterfö</w:t>
      </w:r>
      <w:r w:rsidRPr="006C40C1">
        <w:t>l</w:t>
      </w:r>
      <w:r w:rsidRPr="006C40C1">
        <w:t xml:space="preserve">jande </w:t>
      </w:r>
      <w:r w:rsidRPr="006C40C1">
        <w:rPr>
          <w:i/>
        </w:rPr>
        <w:t>förteckning över av utskottet i punkt 5 a</w:t>
      </w:r>
      <w:r w:rsidRPr="006C40C1">
        <w:rPr>
          <w:i/>
        </w:rPr>
        <w:t>v</w:t>
      </w:r>
      <w:r w:rsidRPr="006C40C1">
        <w:rPr>
          <w:i/>
        </w:rPr>
        <w:t>styrkta motionsyrkanden.</w:t>
      </w:r>
    </w:p>
    <w:p w:rsidR="00AA5D77" w:rsidRPr="006C40C1" w:rsidRDefault="00AA5D77">
      <w:pPr>
        <w:pStyle w:val="Frslagstext"/>
        <w:ind w:left="284"/>
      </w:pPr>
    </w:p>
    <w:p w:rsidR="00AA5D77" w:rsidRPr="006C40C1" w:rsidRDefault="00AA5D77">
      <w:pPr>
        <w:pStyle w:val="Frslagstext"/>
        <w:ind w:left="284"/>
        <w:rPr>
          <w:i/>
        </w:rPr>
      </w:pPr>
      <w:r w:rsidRPr="006C40C1">
        <w:rPr>
          <w:i/>
        </w:rPr>
        <w:br w:type="page"/>
        <w:t>m) Privatinförsel av alkoholdrycker och tobaksvaror (avsnitt 3.7.4)</w:t>
      </w:r>
    </w:p>
    <w:p w:rsidR="00AA5D77" w:rsidRPr="006C40C1" w:rsidRDefault="00AA5D77">
      <w:pPr>
        <w:pStyle w:val="Frslagstext"/>
        <w:ind w:left="284"/>
      </w:pPr>
      <w:r w:rsidRPr="006C40C1">
        <w:t>Riksdagen godkänner vad utskottet anfört om privatinförsel av alkoho</w:t>
      </w:r>
      <w:r w:rsidRPr="006C40C1">
        <w:t>l</w:t>
      </w:r>
      <w:r w:rsidRPr="006C40C1">
        <w:t>drycker och tobaksvaror. Därmed bifaller riksdagen proposition 2002/03:1 punkterna 37 och 38, båda i denna del.</w:t>
      </w:r>
    </w:p>
    <w:p w:rsidR="00AA5D77" w:rsidRPr="006C40C1" w:rsidRDefault="00AA5D77">
      <w:pPr>
        <w:pStyle w:val="Frslagstext"/>
        <w:ind w:left="284"/>
      </w:pPr>
    </w:p>
    <w:p w:rsidR="00AA5D77" w:rsidRPr="006C40C1" w:rsidRDefault="00AA5D77">
      <w:pPr>
        <w:pStyle w:val="Frslagstext"/>
        <w:ind w:left="284"/>
        <w:rPr>
          <w:i/>
        </w:rPr>
      </w:pPr>
      <w:r w:rsidRPr="006C40C1">
        <w:rPr>
          <w:i/>
        </w:rPr>
        <w:t>n) En fortsatt grön skatteväxling – höjd koldioxidskatt och elskatt  (avsnitt 3.7.6)</w:t>
      </w:r>
    </w:p>
    <w:p w:rsidR="00AA5D77" w:rsidRPr="006C40C1" w:rsidRDefault="00AA5D77">
      <w:pPr>
        <w:pStyle w:val="Frslagstext"/>
        <w:ind w:left="284"/>
      </w:pPr>
      <w:r w:rsidRPr="006C40C1">
        <w:t>Riksdagen godkänner vad utskottet anfört om höjd koldioxidskatt och e</w:t>
      </w:r>
      <w:r w:rsidRPr="006C40C1">
        <w:t>l</w:t>
      </w:r>
      <w:r w:rsidRPr="006C40C1">
        <w:t xml:space="preserve">skatt. Därmed bifaller riksdagen motion 2002/03:Fi230 av Britt Bohlin m.fl. (s, v, mp) yrkande 12 i denna del, bifaller delvis proposition 2002/03:1 punkt 33 i denna del och avslår de motionsyrkanden som finns upptagna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pStyle w:val="Frslagstext"/>
        <w:ind w:left="284"/>
      </w:pPr>
    </w:p>
    <w:p w:rsidR="00AA5D77" w:rsidRPr="006C40C1" w:rsidRDefault="00AA5D77">
      <w:pPr>
        <w:pStyle w:val="Frslagstext"/>
        <w:tabs>
          <w:tab w:val="left" w:pos="709"/>
        </w:tabs>
        <w:ind w:left="284"/>
        <w:jc w:val="left"/>
        <w:rPr>
          <w:i/>
        </w:rPr>
      </w:pPr>
      <w:r w:rsidRPr="006C40C1">
        <w:rPr>
          <w:i/>
        </w:rPr>
        <w:t>o) Kraftvärmebeskattningen (avsnitt 3.7.7)</w:t>
      </w:r>
      <w:r w:rsidRPr="006C40C1">
        <w:rPr>
          <w:i/>
        </w:rPr>
        <w:br/>
      </w:r>
      <w:r w:rsidRPr="006C40C1">
        <w:t xml:space="preserve">Riksdagen </w:t>
      </w:r>
    </w:p>
    <w:p w:rsidR="00AA5D77" w:rsidRPr="006C40C1" w:rsidRDefault="00AA5D77">
      <w:pPr>
        <w:pStyle w:val="Frslagstext"/>
        <w:tabs>
          <w:tab w:val="left" w:pos="709"/>
        </w:tabs>
        <w:ind w:left="284"/>
      </w:pPr>
      <w:r w:rsidRPr="006C40C1">
        <w:t xml:space="preserve">godkänner vad utskottet anfört om kraftvärmebeskattningen, </w:t>
      </w:r>
    </w:p>
    <w:p w:rsidR="00AA5D77" w:rsidRPr="006C40C1" w:rsidRDefault="00AA5D77">
      <w:pPr>
        <w:pStyle w:val="Frslagstext"/>
        <w:tabs>
          <w:tab w:val="left" w:pos="709"/>
        </w:tabs>
        <w:ind w:left="284"/>
      </w:pPr>
      <w:r w:rsidRPr="006C40C1">
        <w:t>tillkännager för regeringen vad utskottet anfört om behovet av åtgärder om den kommande omläggningen av kraftvärmebeskattningen inte skulle  få avsedd effekt och</w:t>
      </w:r>
    </w:p>
    <w:p w:rsidR="00AA5D77" w:rsidRPr="006C40C1" w:rsidRDefault="00AA5D77">
      <w:pPr>
        <w:pStyle w:val="Frslagstext"/>
        <w:tabs>
          <w:tab w:val="left" w:pos="709"/>
        </w:tabs>
        <w:ind w:left="284"/>
      </w:pPr>
      <w:r w:rsidRPr="006C40C1">
        <w:t>tillkännager för regeringen vad utskottet anfört om att det är angeläget att  förändringar på detta område åtföljs av en tydlig redovisning av de ene</w:t>
      </w:r>
      <w:r w:rsidRPr="006C40C1">
        <w:t>r</w:t>
      </w:r>
      <w:r w:rsidRPr="006C40C1">
        <w:t xml:space="preserve">gipolitiska konsekvenserna.  </w:t>
      </w:r>
    </w:p>
    <w:p w:rsidR="00AA5D77" w:rsidRPr="006C40C1" w:rsidRDefault="00AA5D77">
      <w:pPr>
        <w:pStyle w:val="Frslagstext"/>
        <w:tabs>
          <w:tab w:val="left" w:pos="709"/>
        </w:tabs>
        <w:ind w:left="284"/>
        <w:rPr>
          <w:i/>
        </w:rPr>
      </w:pPr>
      <w:r w:rsidRPr="006C40C1">
        <w:t>Därmed bifaller riksdagen motionerna 2002/03:Fi230 av Britt Bohlin m.fl. (s, v, mp) yrkande 14 och 2002/03:N394 av Åsa Torstensson m.fl. (c) y</w:t>
      </w:r>
      <w:r w:rsidRPr="006C40C1">
        <w:t>r</w:t>
      </w:r>
      <w:r w:rsidRPr="006C40C1">
        <w:t xml:space="preserve">kande 3 och avslår proposition 2002/03:1 punkt 33 i denna del samt de motionsyrkanden som finns upptagna i efterföljande </w:t>
      </w:r>
      <w:r w:rsidRPr="006C40C1">
        <w:rPr>
          <w:i/>
        </w:rPr>
        <w:t>förteckning över av utskottet i punkt 5 a</w:t>
      </w:r>
      <w:r w:rsidRPr="006C40C1">
        <w:rPr>
          <w:i/>
        </w:rPr>
        <w:t>v</w:t>
      </w:r>
      <w:r w:rsidRPr="006C40C1">
        <w:rPr>
          <w:i/>
        </w:rPr>
        <w:t>styrkta motionsyrkanden.</w:t>
      </w:r>
    </w:p>
    <w:p w:rsidR="00AA5D77" w:rsidRPr="006C40C1" w:rsidRDefault="00AA5D77">
      <w:pPr>
        <w:pStyle w:val="Frslagstext"/>
        <w:tabs>
          <w:tab w:val="left" w:pos="709"/>
        </w:tabs>
        <w:ind w:left="284"/>
        <w:rPr>
          <w:i/>
        </w:rPr>
      </w:pPr>
    </w:p>
    <w:p w:rsidR="00AA5D77" w:rsidRPr="006C40C1" w:rsidRDefault="00AA5D77">
      <w:pPr>
        <w:pStyle w:val="Frslagstext"/>
        <w:ind w:left="284"/>
        <w:rPr>
          <w:i/>
        </w:rPr>
      </w:pPr>
      <w:r w:rsidRPr="006C40C1">
        <w:rPr>
          <w:i/>
        </w:rPr>
        <w:t>p) Kalk- och cementbranschens koldioxidskatt (avsnitt 3.7.8)</w:t>
      </w:r>
    </w:p>
    <w:p w:rsidR="00AA5D77" w:rsidRPr="006C40C1" w:rsidRDefault="00AA5D77">
      <w:pPr>
        <w:pStyle w:val="Frslagstext"/>
        <w:ind w:left="284"/>
      </w:pPr>
      <w:r w:rsidRPr="006C40C1">
        <w:t>Riksdagen godkänner vad utskottet anfört om kalk- och cementbranschens koldioxidskatt. Därmed bifaller riksdagen proposition 2002/03:1 punkt 33 i denna del.</w:t>
      </w:r>
    </w:p>
    <w:p w:rsidR="00AA5D77" w:rsidRPr="006C40C1" w:rsidRDefault="00AA5D77">
      <w:pPr>
        <w:pStyle w:val="Frslagstext"/>
        <w:rPr>
          <w:i/>
        </w:rPr>
      </w:pPr>
    </w:p>
    <w:p w:rsidR="00AA5D77" w:rsidRPr="006C40C1" w:rsidRDefault="00AA5D77">
      <w:pPr>
        <w:pStyle w:val="Frslagstext"/>
        <w:ind w:left="284"/>
        <w:rPr>
          <w:i/>
        </w:rPr>
      </w:pPr>
      <w:r w:rsidRPr="006C40C1">
        <w:rPr>
          <w:i/>
        </w:rPr>
        <w:t>q) Grön skatteväxling – höjd avfallsskatt (avsnitt 3.7.12)</w:t>
      </w:r>
    </w:p>
    <w:p w:rsidR="00AA5D77" w:rsidRPr="006C40C1" w:rsidRDefault="00AA5D77">
      <w:pPr>
        <w:pStyle w:val="Frslagstext"/>
        <w:ind w:left="284"/>
      </w:pPr>
      <w:r w:rsidRPr="006C40C1">
        <w:t xml:space="preserve">Riksdagen </w:t>
      </w:r>
    </w:p>
    <w:p w:rsidR="00AA5D77" w:rsidRPr="006C40C1" w:rsidRDefault="00AA5D77">
      <w:pPr>
        <w:pStyle w:val="Frslagstext"/>
        <w:ind w:left="284"/>
      </w:pPr>
      <w:r w:rsidRPr="006C40C1">
        <w:t>godkänner vad utskottet anfört om höjd skatt på avfall och</w:t>
      </w:r>
    </w:p>
    <w:p w:rsidR="00AA5D77" w:rsidRPr="006C40C1" w:rsidRDefault="00AA5D77">
      <w:pPr>
        <w:pStyle w:val="Frslagstext"/>
        <w:ind w:left="284"/>
        <w:rPr>
          <w:i/>
        </w:rPr>
      </w:pPr>
      <w:r w:rsidRPr="006C40C1">
        <w:t xml:space="preserve">tillkännager för regeringen vad utskottet anfört om en fortsatt analys av en skatt på förbränning av osorterat avfall. </w:t>
      </w:r>
    </w:p>
    <w:p w:rsidR="00AA5D77" w:rsidRPr="006C40C1" w:rsidRDefault="00AA5D77">
      <w:pPr>
        <w:pStyle w:val="Frslagstext"/>
        <w:ind w:left="284"/>
      </w:pPr>
      <w:r w:rsidRPr="006C40C1">
        <w:t xml:space="preserve">Därmed bifaller riksdagen proposition 2002/03:1 punkt 34 i denna del samt motion 2002/03:Fi230 av Britt Bohlin m.fl. (s, v, mp) yrkande 15 och avslår de motionsyrkanden som finns upptagna i efterföljande </w:t>
      </w:r>
      <w:r w:rsidRPr="006C40C1">
        <w:rPr>
          <w:i/>
        </w:rPr>
        <w:t>fö</w:t>
      </w:r>
      <w:r w:rsidRPr="006C40C1">
        <w:rPr>
          <w:i/>
        </w:rPr>
        <w:t>r</w:t>
      </w:r>
      <w:r w:rsidRPr="006C40C1">
        <w:rPr>
          <w:i/>
        </w:rPr>
        <w:t>teckning över av utskottet i punkt 5 a</w:t>
      </w:r>
      <w:r w:rsidRPr="006C40C1">
        <w:rPr>
          <w:i/>
        </w:rPr>
        <w:t>v</w:t>
      </w:r>
      <w:r w:rsidRPr="006C40C1">
        <w:rPr>
          <w:i/>
        </w:rPr>
        <w:t>styrkta motionsyrkanden.</w:t>
      </w:r>
    </w:p>
    <w:p w:rsidR="00AA5D77" w:rsidRPr="006C40C1" w:rsidRDefault="00AA5D77">
      <w:pPr>
        <w:pStyle w:val="Frslagstext"/>
        <w:ind w:left="284"/>
      </w:pPr>
    </w:p>
    <w:p w:rsidR="00AA5D77" w:rsidRPr="006C40C1" w:rsidRDefault="00AA5D77">
      <w:pPr>
        <w:pStyle w:val="Frslagstext"/>
        <w:ind w:left="284"/>
        <w:rPr>
          <w:i/>
        </w:rPr>
      </w:pPr>
      <w:r w:rsidRPr="006C40C1">
        <w:rPr>
          <w:i/>
        </w:rPr>
        <w:br w:type="page"/>
        <w:t>r) Grön skatteväxling – höjd naturgrusskatt (avsnitt 3.7.13)</w:t>
      </w:r>
    </w:p>
    <w:p w:rsidR="00AA5D77" w:rsidRPr="006C40C1" w:rsidRDefault="00AA5D77">
      <w:pPr>
        <w:pStyle w:val="Frslagstext"/>
        <w:ind w:left="284"/>
      </w:pPr>
      <w:r w:rsidRPr="006C40C1">
        <w:t xml:space="preserve">Riksdagen </w:t>
      </w:r>
    </w:p>
    <w:p w:rsidR="00AA5D77" w:rsidRPr="006C40C1" w:rsidRDefault="00AA5D77">
      <w:pPr>
        <w:pStyle w:val="Frslagstext"/>
        <w:ind w:left="284"/>
      </w:pPr>
      <w:r w:rsidRPr="006C40C1">
        <w:t xml:space="preserve">godkänner vad utskottet anfört om höjd skatt på naturgrus och </w:t>
      </w:r>
    </w:p>
    <w:p w:rsidR="00AA5D77" w:rsidRPr="006C40C1" w:rsidRDefault="00AA5D77">
      <w:pPr>
        <w:pStyle w:val="Frslagstext"/>
        <w:ind w:left="284"/>
      </w:pPr>
      <w:r w:rsidRPr="006C40C1">
        <w:t xml:space="preserve">tillkännager för regeringen vad utskottet anfört om behovet av ytterligare höjningar av skatten på naturgrus. </w:t>
      </w:r>
    </w:p>
    <w:p w:rsidR="00AA5D77" w:rsidRPr="006C40C1" w:rsidRDefault="00AA5D77">
      <w:pPr>
        <w:pStyle w:val="Frslagstext"/>
        <w:ind w:left="284"/>
      </w:pPr>
      <w:r w:rsidRPr="006C40C1">
        <w:t xml:space="preserve">Därmed bifaller riksdagen proposition 2002/03:1 punkt 35 i denna del och motion 2002/03:Fi230 av Britt Bohlin m.fl. (s, v, mp) yrkande 13 och avslår de motionsyrkanden som finns upptagna i efterföljande </w:t>
      </w:r>
      <w:r w:rsidRPr="006C40C1">
        <w:rPr>
          <w:i/>
        </w:rPr>
        <w:t>förteckning över av utskottet i punkt 5 a</w:t>
      </w:r>
      <w:r w:rsidRPr="006C40C1">
        <w:rPr>
          <w:i/>
        </w:rPr>
        <w:t>v</w:t>
      </w:r>
      <w:r w:rsidRPr="006C40C1">
        <w:rPr>
          <w:i/>
        </w:rPr>
        <w:t>styrkta motionsyrkanden.</w:t>
      </w:r>
    </w:p>
    <w:p w:rsidR="00AA5D77" w:rsidRPr="006C40C1" w:rsidRDefault="00AA5D77">
      <w:pPr>
        <w:pStyle w:val="Frslagstext"/>
        <w:ind w:left="284"/>
      </w:pPr>
    </w:p>
    <w:p w:rsidR="00AA5D77" w:rsidRPr="006C40C1" w:rsidRDefault="00AA5D77">
      <w:pPr>
        <w:pStyle w:val="Frslagstext"/>
        <w:ind w:left="284"/>
        <w:rPr>
          <w:i/>
        </w:rPr>
      </w:pPr>
      <w:r w:rsidRPr="006C40C1">
        <w:rPr>
          <w:i/>
        </w:rPr>
        <w:t>s) Bredbandsinstallation (avsnitt 3.8.1)</w:t>
      </w:r>
    </w:p>
    <w:p w:rsidR="00AA5D77" w:rsidRPr="006C40C1" w:rsidRDefault="00AA5D77">
      <w:pPr>
        <w:pStyle w:val="Frslagstext"/>
        <w:ind w:left="284"/>
      </w:pPr>
      <w:r w:rsidRPr="006C40C1">
        <w:t>Riksdagen godkänner vad utskottet anfört om en ettårig förlängning av skattereduktionen för utgifter för vissa anslutningar för tele- och dat</w:t>
      </w:r>
      <w:r w:rsidRPr="006C40C1">
        <w:t>a</w:t>
      </w:r>
      <w:r w:rsidRPr="006C40C1">
        <w:t>kommunikation. Därmed bifaller riksdagen proposition 2002/03:1 punkt 30 i denna del och avslår de motionsyrkanden som finns upptagna i efte</w:t>
      </w:r>
      <w:r w:rsidRPr="006C40C1">
        <w:t>r</w:t>
      </w:r>
      <w:r w:rsidRPr="006C40C1">
        <w:t xml:space="preserve">följande </w:t>
      </w:r>
      <w:r w:rsidRPr="006C40C1">
        <w:rPr>
          <w:i/>
        </w:rPr>
        <w:t>förteckning över av utskottet i punkt 5 avstyrkta motionsyrka</w:t>
      </w:r>
      <w:r w:rsidRPr="006C40C1">
        <w:rPr>
          <w:i/>
        </w:rPr>
        <w:t>n</w:t>
      </w:r>
      <w:r w:rsidRPr="006C40C1">
        <w:rPr>
          <w:i/>
        </w:rPr>
        <w:t>den.</w:t>
      </w:r>
    </w:p>
    <w:p w:rsidR="00AA5D77" w:rsidRPr="006C40C1" w:rsidRDefault="00AA5D77">
      <w:pPr>
        <w:pStyle w:val="Frslagstext"/>
        <w:ind w:left="284"/>
      </w:pPr>
    </w:p>
    <w:p w:rsidR="00AA5D77" w:rsidRPr="006C40C1" w:rsidRDefault="00AA5D77">
      <w:pPr>
        <w:pStyle w:val="Frslagstext"/>
        <w:ind w:left="284"/>
        <w:rPr>
          <w:i/>
        </w:rPr>
      </w:pPr>
      <w:r w:rsidRPr="006C40C1">
        <w:rPr>
          <w:i/>
        </w:rPr>
        <w:t>t) Miljöförbättrande åtgärder på bostäder (avsnitt 3.8.2)</w:t>
      </w:r>
    </w:p>
    <w:p w:rsidR="00AA5D77" w:rsidRPr="006C40C1" w:rsidRDefault="00AA5D77">
      <w:pPr>
        <w:pStyle w:val="Frslagstext"/>
        <w:ind w:left="284"/>
      </w:pPr>
      <w:r w:rsidRPr="006C40C1">
        <w:t xml:space="preserve">Riksdagen begär hos regeringen ett förslag till särskild skattereduktion för miljöförbättrande åtgärder på bostäder i enlighet med vad utskottet anfört. Därmed bifaller riksdagen motion 2002/03:Fi230 av Britt Bohlin m.fl. </w:t>
      </w:r>
      <w:r w:rsidRPr="006C40C1">
        <w:br/>
        <w:t>(s, v, mp) yrkande 16.</w:t>
      </w:r>
    </w:p>
    <w:p w:rsidR="00AA5D77" w:rsidRPr="006C40C1" w:rsidRDefault="00AA5D77">
      <w:pPr>
        <w:pStyle w:val="Frslagstext"/>
        <w:ind w:left="284"/>
      </w:pPr>
    </w:p>
    <w:p w:rsidR="00AA5D77" w:rsidRPr="006C40C1" w:rsidRDefault="00AA5D77">
      <w:pPr>
        <w:pStyle w:val="Frslagstext"/>
        <w:ind w:left="567" w:hanging="283"/>
        <w:rPr>
          <w:i/>
        </w:rPr>
      </w:pPr>
      <w:r w:rsidRPr="006C40C1">
        <w:rPr>
          <w:i/>
        </w:rPr>
        <w:t>u) Beräkning av statsbudgetens inkomster för 2003 (avsnitt 3.10)</w:t>
      </w:r>
    </w:p>
    <w:p w:rsidR="00AA5D77" w:rsidRPr="006C40C1" w:rsidRDefault="00AA5D77">
      <w:pPr>
        <w:pStyle w:val="Frslagstext"/>
        <w:ind w:left="284"/>
      </w:pPr>
      <w:r w:rsidRPr="006C40C1">
        <w:t xml:space="preserve">Riksdagen godkänner beräkningen av statsbudgetens inkomster för 2003. Därmed bifaller riksdagen proposition 2002/03:1 punkt 7 och avslår de motionsyrkanden som finns upptagna i efterföljande </w:t>
      </w:r>
      <w:r w:rsidRPr="006C40C1">
        <w:rPr>
          <w:i/>
        </w:rPr>
        <w:t>förteckning över av utskottet i punkt 5 a</w:t>
      </w:r>
      <w:r w:rsidRPr="006C40C1">
        <w:rPr>
          <w:i/>
        </w:rPr>
        <w:t>v</w:t>
      </w:r>
      <w:r w:rsidRPr="006C40C1">
        <w:rPr>
          <w:i/>
        </w:rPr>
        <w:t>styrkta motionsyrkanden.</w:t>
      </w:r>
    </w:p>
    <w:p w:rsidR="00AA5D77" w:rsidRPr="006C40C1" w:rsidRDefault="00AA5D77">
      <w:pPr>
        <w:pStyle w:val="Frslagstext"/>
        <w:ind w:left="284"/>
      </w:pPr>
    </w:p>
    <w:p w:rsidR="00AA5D77" w:rsidRPr="006C40C1" w:rsidRDefault="00AA5D77">
      <w:pPr>
        <w:pStyle w:val="Frslagstext"/>
        <w:ind w:left="284"/>
        <w:rPr>
          <w:i/>
        </w:rPr>
      </w:pPr>
      <w:r w:rsidRPr="006C40C1">
        <w:rPr>
          <w:i/>
        </w:rPr>
        <w:t>v) Ålderspensionssystemet vid sidan av statsbudgeten (avsnitt 4.1.28)</w:t>
      </w:r>
    </w:p>
    <w:p w:rsidR="00AA5D77" w:rsidRPr="006C40C1" w:rsidRDefault="00AA5D77">
      <w:pPr>
        <w:pStyle w:val="Frslagstext"/>
        <w:ind w:left="284"/>
      </w:pPr>
      <w:r w:rsidRPr="006C40C1">
        <w:t>Riksdagen godkänner beräkningen av utgifterna för ålderspensionssyst</w:t>
      </w:r>
      <w:r w:rsidRPr="006C40C1">
        <w:t>e</w:t>
      </w:r>
      <w:r w:rsidRPr="006C40C1">
        <w:t>met vid sidan av statsbudgeten för 2003. Därmed bifaller riksdagen pr</w:t>
      </w:r>
      <w:r w:rsidRPr="006C40C1">
        <w:t>o</w:t>
      </w:r>
      <w:r w:rsidRPr="006C40C1">
        <w:t>position 2002/03:1 punkt 11.</w:t>
      </w:r>
    </w:p>
    <w:p w:rsidR="00AA5D77" w:rsidRPr="006C40C1" w:rsidRDefault="00AA5D77">
      <w:pPr>
        <w:pStyle w:val="Frslagstext"/>
      </w:pPr>
    </w:p>
    <w:p w:rsidR="00AA5D77" w:rsidRPr="006C40C1" w:rsidRDefault="00AA5D77">
      <w:pPr>
        <w:pStyle w:val="Frslagstext"/>
        <w:ind w:left="511" w:hanging="227"/>
        <w:rPr>
          <w:i/>
        </w:rPr>
      </w:pPr>
      <w:r w:rsidRPr="006C40C1">
        <w:rPr>
          <w:i/>
        </w:rPr>
        <w:t xml:space="preserve">x) </w:t>
      </w:r>
      <w:r w:rsidRPr="006C40C1">
        <w:rPr>
          <w:i/>
        </w:rPr>
        <w:tab/>
        <w:t>Övriga motionsyrkanden om budgetförslagen för år 2003</w:t>
      </w:r>
    </w:p>
    <w:p w:rsidR="00AA5D77" w:rsidRPr="006C40C1" w:rsidRDefault="00AA5D77">
      <w:pPr>
        <w:pStyle w:val="Frslagstext"/>
        <w:ind w:left="284"/>
        <w:rPr>
          <w:i/>
        </w:rPr>
      </w:pPr>
      <w:r w:rsidRPr="006C40C1">
        <w:t xml:space="preserve">Riksdagen avslår de motionsyrkanden som finns upptagna i efterföljande </w:t>
      </w:r>
      <w:r w:rsidRPr="006C40C1">
        <w:rPr>
          <w:i/>
        </w:rPr>
        <w:t>förteckning över av utskottet i punkt 5 avstyrkta motionsyrkanden.</w:t>
      </w:r>
      <w:bookmarkStart w:id="14" w:name="RESPARTI005"/>
      <w:bookmarkEnd w:id="14"/>
    </w:p>
    <w:p w:rsidR="00AA5D77" w:rsidRPr="006C40C1" w:rsidRDefault="00AA5D77">
      <w:pPr>
        <w:pStyle w:val="Reservationshnvisning"/>
      </w:pPr>
      <w:r w:rsidRPr="006C40C1">
        <w:t>Reservation 8 (m)</w:t>
      </w:r>
    </w:p>
    <w:p w:rsidR="00AA5D77" w:rsidRPr="006C40C1" w:rsidRDefault="00AA5D77">
      <w:pPr>
        <w:pStyle w:val="Reservationshnvisning"/>
      </w:pPr>
      <w:r w:rsidRPr="006C40C1">
        <w:t>Reservation 9 (fp)</w:t>
      </w:r>
    </w:p>
    <w:p w:rsidR="00AA5D77" w:rsidRPr="006C40C1" w:rsidRDefault="00AA5D77">
      <w:pPr>
        <w:pStyle w:val="Reservationshnvisning"/>
      </w:pPr>
      <w:r w:rsidRPr="006C40C1">
        <w:t>Reservation 10 (kd)</w:t>
      </w:r>
    </w:p>
    <w:p w:rsidR="00AA5D77" w:rsidRPr="006C40C1" w:rsidRDefault="00AA5D77">
      <w:pPr>
        <w:pStyle w:val="Reservationshnvisning"/>
      </w:pPr>
      <w:r w:rsidRPr="006C40C1">
        <w:t>Reservation 11 (c)</w:t>
      </w:r>
    </w:p>
    <w:p w:rsidR="00AA5D77" w:rsidRPr="006C40C1" w:rsidRDefault="00AA5D77">
      <w:pPr>
        <w:pStyle w:val="Frslagspunkt"/>
        <w:rPr>
          <w:noProof w:val="0"/>
        </w:rPr>
      </w:pPr>
      <w:r w:rsidRPr="006C40C1">
        <w:rPr>
          <w:noProof w:val="0"/>
        </w:rPr>
        <w:br w:type="page"/>
        <w:t>6.</w:t>
      </w:r>
      <w:r w:rsidRPr="006C40C1">
        <w:rPr>
          <w:noProof w:val="0"/>
        </w:rPr>
        <w:tab/>
        <w:t>Lagförslagen</w:t>
      </w:r>
    </w:p>
    <w:p w:rsidR="00AA5D77" w:rsidRPr="006C40C1" w:rsidRDefault="00AA5D77">
      <w:pPr>
        <w:pStyle w:val="Frslagstext"/>
      </w:pPr>
      <w:r w:rsidRPr="006C40C1">
        <w:t>I enlighet med ovan redovisade ställningstaganden (punkt 5) antar rik</w:t>
      </w:r>
      <w:r w:rsidRPr="006C40C1">
        <w:t>s</w:t>
      </w:r>
      <w:r w:rsidRPr="006C40C1">
        <w:t xml:space="preserve">dagen </w:t>
      </w:r>
    </w:p>
    <w:p w:rsidR="00AA5D77" w:rsidRPr="006C40C1" w:rsidRDefault="00AA5D77">
      <w:pPr>
        <w:pStyle w:val="Frslagstext"/>
      </w:pPr>
      <w:r w:rsidRPr="006C40C1">
        <w:rPr>
          <w:i/>
        </w:rPr>
        <w:t xml:space="preserve">dels </w:t>
      </w:r>
      <w:r w:rsidRPr="006C40C1">
        <w:t>regeringens (</w:t>
      </w:r>
      <w:r w:rsidRPr="006C40C1">
        <w:rPr>
          <w:i/>
        </w:rPr>
        <w:t>bilaga 2</w:t>
      </w:r>
      <w:r w:rsidRPr="006C40C1">
        <w:t>) förslag till</w:t>
      </w:r>
    </w:p>
    <w:p w:rsidR="00AA5D77" w:rsidRPr="006C40C1" w:rsidRDefault="00AA5D77">
      <w:pPr>
        <w:pStyle w:val="Frslagstext"/>
        <w:numPr>
          <w:ilvl w:val="0"/>
          <w:numId w:val="2"/>
        </w:numPr>
      </w:pPr>
      <w:r w:rsidRPr="006C40C1">
        <w:t xml:space="preserve">lag om ändring i inkomstskattelagen (1999:1229), med den ändring som framgår av </w:t>
      </w:r>
      <w:r w:rsidRPr="006C40C1">
        <w:rPr>
          <w:i/>
        </w:rPr>
        <w:t>bilaga 3</w:t>
      </w:r>
      <w:r w:rsidRPr="006C40C1">
        <w:t>,</w:t>
      </w:r>
    </w:p>
    <w:p w:rsidR="00AA5D77" w:rsidRPr="006C40C1" w:rsidRDefault="00AA5D77">
      <w:pPr>
        <w:pStyle w:val="Frslagstext"/>
        <w:numPr>
          <w:ilvl w:val="0"/>
          <w:numId w:val="2"/>
        </w:numPr>
      </w:pPr>
      <w:r w:rsidRPr="006C40C1">
        <w:t>lag om ändring i socialavgiftslagen (2000:980),</w:t>
      </w:r>
    </w:p>
    <w:p w:rsidR="00AA5D77" w:rsidRPr="006C40C1" w:rsidRDefault="00AA5D77">
      <w:pPr>
        <w:pStyle w:val="Frslagstext"/>
        <w:numPr>
          <w:ilvl w:val="0"/>
          <w:numId w:val="2"/>
        </w:numPr>
      </w:pPr>
      <w:r w:rsidRPr="006C40C1">
        <w:t>lag om ändring i lagen (1994:1920) om allmän löneavgift,</w:t>
      </w:r>
    </w:p>
    <w:p w:rsidR="00AA5D77" w:rsidRPr="006C40C1" w:rsidRDefault="00AA5D77">
      <w:pPr>
        <w:pStyle w:val="Frslagstext"/>
        <w:numPr>
          <w:ilvl w:val="0"/>
          <w:numId w:val="2"/>
        </w:numPr>
      </w:pPr>
      <w:r w:rsidRPr="006C40C1">
        <w:t>lag om ändring i lagen (2000:1380) om skattereduktion för utgifter för vissa anslutningar för tele- och datakommunikation,</w:t>
      </w:r>
    </w:p>
    <w:p w:rsidR="00AA5D77" w:rsidRPr="006C40C1" w:rsidRDefault="00AA5D77">
      <w:pPr>
        <w:pStyle w:val="Frslagstext"/>
        <w:numPr>
          <w:ilvl w:val="0"/>
          <w:numId w:val="2"/>
        </w:numPr>
      </w:pPr>
      <w:r w:rsidRPr="006C40C1">
        <w:t>lag om beräkning av viss inkomstskatt på förvärvsinkomster vid 2004 års taxering, m.m.,</w:t>
      </w:r>
    </w:p>
    <w:p w:rsidR="00AA5D77" w:rsidRPr="006C40C1" w:rsidRDefault="00AA5D77">
      <w:pPr>
        <w:pStyle w:val="Frslagstext"/>
        <w:numPr>
          <w:ilvl w:val="0"/>
          <w:numId w:val="2"/>
        </w:numPr>
      </w:pPr>
      <w:r w:rsidRPr="006C40C1">
        <w:t>lag om ändring i lagen (1996:1512) om dubbelbeskattningsavtal mellan de nordiska länderna,</w:t>
      </w:r>
    </w:p>
    <w:p w:rsidR="00AA5D77" w:rsidRPr="006C40C1" w:rsidRDefault="00AA5D77">
      <w:pPr>
        <w:pStyle w:val="Frslagstext"/>
        <w:numPr>
          <w:ilvl w:val="0"/>
          <w:numId w:val="2"/>
        </w:numPr>
      </w:pPr>
      <w:r w:rsidRPr="006C40C1">
        <w:t xml:space="preserve">lag om ändring i lagen (1994:1776) om skatt på energi, med den ändring som framgår av </w:t>
      </w:r>
      <w:r w:rsidRPr="006C40C1">
        <w:rPr>
          <w:i/>
        </w:rPr>
        <w:t>bilaga 3</w:t>
      </w:r>
      <w:r w:rsidRPr="006C40C1">
        <w:t>,</w:t>
      </w:r>
    </w:p>
    <w:p w:rsidR="00AA5D77" w:rsidRPr="006C40C1" w:rsidRDefault="00AA5D77">
      <w:pPr>
        <w:pStyle w:val="Frslagstext"/>
        <w:numPr>
          <w:ilvl w:val="0"/>
          <w:numId w:val="2"/>
        </w:numPr>
      </w:pPr>
      <w:r w:rsidRPr="006C40C1">
        <w:t>lag om ändring i lagen (1999:673) om skatt på avfall,</w:t>
      </w:r>
    </w:p>
    <w:p w:rsidR="00AA5D77" w:rsidRPr="006C40C1" w:rsidRDefault="00AA5D77">
      <w:pPr>
        <w:pStyle w:val="Frslagstext"/>
        <w:numPr>
          <w:ilvl w:val="0"/>
          <w:numId w:val="2"/>
        </w:numPr>
      </w:pPr>
      <w:r w:rsidRPr="006C40C1">
        <w:t>lag om ändring i lagen (1995:1667) om skatt på naturgrus,</w:t>
      </w:r>
    </w:p>
    <w:p w:rsidR="00AA5D77" w:rsidRPr="006C40C1" w:rsidRDefault="00AA5D77">
      <w:pPr>
        <w:pStyle w:val="Frslagstext"/>
        <w:numPr>
          <w:ilvl w:val="0"/>
          <w:numId w:val="2"/>
        </w:numPr>
      </w:pPr>
      <w:r w:rsidRPr="006C40C1">
        <w:t>lag om ändring i lagen (1994:1563) om tobaksskatt, med den än</w:t>
      </w:r>
      <w:r w:rsidRPr="006C40C1">
        <w:t>d</w:t>
      </w:r>
      <w:r w:rsidRPr="006C40C1">
        <w:t xml:space="preserve">ring som framgår av </w:t>
      </w:r>
      <w:r w:rsidRPr="006C40C1">
        <w:rPr>
          <w:i/>
        </w:rPr>
        <w:t>bilaga 3</w:t>
      </w:r>
      <w:r w:rsidRPr="006C40C1">
        <w:t>,</w:t>
      </w:r>
    </w:p>
    <w:p w:rsidR="00AA5D77" w:rsidRPr="006C40C1" w:rsidRDefault="00AA5D77">
      <w:pPr>
        <w:pStyle w:val="Frslagstext"/>
        <w:numPr>
          <w:ilvl w:val="0"/>
          <w:numId w:val="2"/>
        </w:numPr>
      </w:pPr>
      <w:r w:rsidRPr="006C40C1">
        <w:t>lag om ändring i lagen (1994:1565) om beskattning av viss privati</w:t>
      </w:r>
      <w:r w:rsidRPr="006C40C1">
        <w:t>n</w:t>
      </w:r>
      <w:r w:rsidRPr="006C40C1">
        <w:t>försel,</w:t>
      </w:r>
    </w:p>
    <w:p w:rsidR="00AA5D77" w:rsidRPr="006C40C1" w:rsidRDefault="00AA5D77">
      <w:pPr>
        <w:pStyle w:val="Frslagstext"/>
        <w:numPr>
          <w:ilvl w:val="0"/>
          <w:numId w:val="2"/>
        </w:numPr>
      </w:pPr>
      <w:r w:rsidRPr="006C40C1">
        <w:t>lag om ändring i lagen (1994:1551) om frihet från skatt vid import, m.m.</w:t>
      </w:r>
    </w:p>
    <w:p w:rsidR="00AA5D77" w:rsidRPr="006C40C1" w:rsidRDefault="00AA5D77">
      <w:pPr>
        <w:pStyle w:val="Frslagstext"/>
      </w:pPr>
      <w:r w:rsidRPr="006C40C1">
        <w:rPr>
          <w:i/>
        </w:rPr>
        <w:t xml:space="preserve">dels </w:t>
      </w:r>
      <w:r w:rsidRPr="006C40C1">
        <w:t>utskottets (</w:t>
      </w:r>
      <w:r w:rsidRPr="006C40C1">
        <w:rPr>
          <w:i/>
        </w:rPr>
        <w:t>bilaga 3</w:t>
      </w:r>
      <w:r w:rsidRPr="006C40C1">
        <w:t>) förslag till</w:t>
      </w:r>
    </w:p>
    <w:p w:rsidR="00AA5D77" w:rsidRPr="006C40C1" w:rsidRDefault="00AA5D77">
      <w:pPr>
        <w:pStyle w:val="Frslagstext"/>
        <w:numPr>
          <w:ilvl w:val="0"/>
          <w:numId w:val="10"/>
        </w:numPr>
      </w:pPr>
      <w:r w:rsidRPr="006C40C1">
        <w:t>lag om ändring i lagen (2001:843) om ändring i lagen (1994:1744) om allmän pensionsavgift,</w:t>
      </w:r>
    </w:p>
    <w:p w:rsidR="00AA5D77" w:rsidRPr="006C40C1" w:rsidRDefault="00AA5D77">
      <w:pPr>
        <w:pStyle w:val="Frslagstext"/>
        <w:numPr>
          <w:ilvl w:val="0"/>
          <w:numId w:val="10"/>
        </w:numPr>
      </w:pPr>
      <w:r w:rsidRPr="006C40C1">
        <w:t>lag om ändring i lagen (1998:676) om statlig ålderspensionsavgift,</w:t>
      </w:r>
    </w:p>
    <w:p w:rsidR="00AA5D77" w:rsidRPr="006C40C1" w:rsidRDefault="00AA5D77">
      <w:pPr>
        <w:pStyle w:val="Frslagstext"/>
        <w:numPr>
          <w:ilvl w:val="0"/>
          <w:numId w:val="10"/>
        </w:numPr>
      </w:pPr>
      <w:r w:rsidRPr="006C40C1">
        <w:t>lag om ändring i lagen (1998:674) om inkomstgrundad ålderspe</w:t>
      </w:r>
      <w:r w:rsidRPr="006C40C1">
        <w:t>n</w:t>
      </w:r>
      <w:r w:rsidRPr="006C40C1">
        <w:t>sion,</w:t>
      </w:r>
    </w:p>
    <w:p w:rsidR="00AA5D77" w:rsidRPr="006C40C1" w:rsidRDefault="00AA5D77">
      <w:pPr>
        <w:pStyle w:val="Frslagstext"/>
        <w:numPr>
          <w:ilvl w:val="0"/>
          <w:numId w:val="10"/>
        </w:numPr>
      </w:pPr>
      <w:r w:rsidRPr="006C40C1">
        <w:t>lag om ändring i lagen (2002:206) om ändring i lagen (1998:674) om inkomstgrundad ålderspension,</w:t>
      </w:r>
    </w:p>
    <w:p w:rsidR="00AA5D77" w:rsidRPr="006C40C1" w:rsidRDefault="00AA5D77">
      <w:pPr>
        <w:pStyle w:val="Frslagstext"/>
        <w:numPr>
          <w:ilvl w:val="0"/>
          <w:numId w:val="10"/>
        </w:numPr>
      </w:pPr>
      <w:r w:rsidRPr="006C40C1">
        <w:t>lag om ändring i lagen (2002:328) om ändring i lagen (2001:1227) om självdeklarationer och ko</w:t>
      </w:r>
      <w:r w:rsidRPr="006C40C1">
        <w:t>n</w:t>
      </w:r>
      <w:r w:rsidRPr="006C40C1">
        <w:t>trolluppgifter.</w:t>
      </w:r>
    </w:p>
    <w:p w:rsidR="00AA5D77" w:rsidRPr="006C40C1" w:rsidRDefault="00AA5D77">
      <w:pPr>
        <w:pStyle w:val="Frslagstext"/>
      </w:pPr>
      <w:r w:rsidRPr="006C40C1">
        <w:t>Därmed bifaller riksdagen proposition 2002/03:1 punkterna 28–32, 34, 35, 37 och 38, alla i denna del, och bifaller delvis proposition 2002/03:1 punkterna 27, 33, och 36, alla i denna del.</w:t>
      </w:r>
      <w:bookmarkStart w:id="15" w:name="RESPARTI006"/>
      <w:bookmarkEnd w:id="15"/>
    </w:p>
    <w:p w:rsidR="00AA5D77" w:rsidRPr="006C40C1" w:rsidRDefault="00AA5D77">
      <w:pPr>
        <w:pStyle w:val="Frslagspunkt"/>
        <w:rPr>
          <w:noProof w:val="0"/>
        </w:rPr>
      </w:pPr>
      <w:r w:rsidRPr="006C40C1">
        <w:rPr>
          <w:noProof w:val="0"/>
        </w:rPr>
        <w:t>7.</w:t>
      </w:r>
      <w:r w:rsidRPr="006C40C1">
        <w:rPr>
          <w:noProof w:val="0"/>
        </w:rPr>
        <w:tab/>
        <w:t>Preliminär fördelning av utgifterna på utgiftsområden 2004 (avsnitt 4.2)</w:t>
      </w:r>
    </w:p>
    <w:p w:rsidR="00AA5D77" w:rsidRPr="006C40C1" w:rsidRDefault="00AA5D77">
      <w:pPr>
        <w:pStyle w:val="Frslagstext"/>
      </w:pPr>
      <w:r w:rsidRPr="006C40C1">
        <w:t>Riksdagen godkänner vad utskottet anfört om den preliminära fördel</w:t>
      </w:r>
      <w:r w:rsidRPr="006C40C1">
        <w:softHyphen/>
        <w:t>ningen av utgifter på utgift</w:t>
      </w:r>
      <w:r w:rsidRPr="006C40C1">
        <w:t>s</w:t>
      </w:r>
      <w:r w:rsidRPr="006C40C1">
        <w:t>områden för 2004 som riktlinje för rege</w:t>
      </w:r>
      <w:r w:rsidRPr="006C40C1">
        <w:softHyphen/>
        <w:t>ringens budgetarbete. Därmed bifaller riksdagen delvis proposition 2002/03:1 punkt 10 och avslår motionerna</w:t>
      </w:r>
    </w:p>
    <w:p w:rsidR="00AA5D77" w:rsidRPr="006C40C1" w:rsidRDefault="00AA5D77">
      <w:pPr>
        <w:pStyle w:val="Frslagstext"/>
      </w:pPr>
      <w:r w:rsidRPr="006C40C1">
        <w:t>2002/03:Fi231 av Bo Lundgren m.fl. (m) yrkande 6,</w:t>
      </w:r>
    </w:p>
    <w:p w:rsidR="00AA5D77" w:rsidRPr="006C40C1" w:rsidRDefault="00AA5D77">
      <w:pPr>
        <w:pStyle w:val="Frslagstext"/>
      </w:pPr>
      <w:r w:rsidRPr="006C40C1">
        <w:t>2002/03:Fi232 av Lars Leijonborg m.fl. (fp) yrkande 7,</w:t>
      </w:r>
    </w:p>
    <w:p w:rsidR="00AA5D77" w:rsidRPr="006C40C1" w:rsidRDefault="00AA5D77">
      <w:pPr>
        <w:pStyle w:val="Frslagstext"/>
      </w:pPr>
      <w:r w:rsidRPr="006C40C1">
        <w:t>2002/03:Fi233 av Alf  Svensson m.fl. (kd) yrkandena 7 i denna del och 9 samt</w:t>
      </w:r>
    </w:p>
    <w:p w:rsidR="00AA5D77" w:rsidRPr="006C40C1" w:rsidRDefault="00AA5D77">
      <w:pPr>
        <w:pStyle w:val="Frslagstext"/>
      </w:pPr>
      <w:r w:rsidRPr="006C40C1">
        <w:t xml:space="preserve">2002/03:Fi234 av Maud Olofsson m.fl. (c) yrkandena 7 och 8. </w:t>
      </w:r>
      <w:bookmarkStart w:id="16" w:name="RESPARTI007"/>
      <w:bookmarkEnd w:id="16"/>
    </w:p>
    <w:p w:rsidR="00AA5D77" w:rsidRPr="006C40C1" w:rsidRDefault="00AA5D77">
      <w:pPr>
        <w:pStyle w:val="Reservationshnvisning"/>
      </w:pPr>
      <w:r w:rsidRPr="006C40C1">
        <w:t>Reservation 12 (m)</w:t>
      </w:r>
    </w:p>
    <w:p w:rsidR="00AA5D77" w:rsidRPr="006C40C1" w:rsidRDefault="00AA5D77">
      <w:pPr>
        <w:pStyle w:val="Reservationshnvisning"/>
      </w:pPr>
      <w:r w:rsidRPr="006C40C1">
        <w:t>Reservation 13 (fp)</w:t>
      </w:r>
    </w:p>
    <w:p w:rsidR="00AA5D77" w:rsidRPr="006C40C1" w:rsidRDefault="00AA5D77">
      <w:pPr>
        <w:pStyle w:val="Reservationshnvisning"/>
      </w:pPr>
      <w:r w:rsidRPr="006C40C1">
        <w:t>Reservation 14 (kd)</w:t>
      </w:r>
    </w:p>
    <w:p w:rsidR="00AA5D77" w:rsidRPr="006C40C1" w:rsidRDefault="00AA5D77">
      <w:pPr>
        <w:pStyle w:val="Reservationshnvisning"/>
      </w:pPr>
      <w:r w:rsidRPr="006C40C1">
        <w:t>Reservation 15 (c)</w:t>
      </w:r>
    </w:p>
    <w:p w:rsidR="00AA5D77" w:rsidRPr="006C40C1" w:rsidRDefault="00AA5D77">
      <w:pPr>
        <w:pStyle w:val="Frslagspunkt"/>
        <w:rPr>
          <w:noProof w:val="0"/>
        </w:rPr>
      </w:pPr>
      <w:r w:rsidRPr="006C40C1">
        <w:rPr>
          <w:noProof w:val="0"/>
        </w:rPr>
        <w:t>8.</w:t>
      </w:r>
      <w:r w:rsidRPr="006C40C1">
        <w:rPr>
          <w:noProof w:val="0"/>
        </w:rPr>
        <w:tab/>
        <w:t>Bemyndigande om upplåning (avsnitt 4.3)</w:t>
      </w:r>
    </w:p>
    <w:p w:rsidR="00AA5D77" w:rsidRPr="006C40C1" w:rsidRDefault="00AA5D77">
      <w:pPr>
        <w:pStyle w:val="Frslagstext"/>
      </w:pPr>
      <w:r w:rsidRPr="006C40C1">
        <w:t>Riksdagen bemyndigar regeringen att under 2003 ta upp lån enligt lagen (1988:1387) om statens upplåning och skuldförvaltning. Därmed bifaller riksdagen proposition 2002/03:1 punkt 4.</w:t>
      </w:r>
      <w:bookmarkStart w:id="17" w:name="RESPARTI008"/>
      <w:bookmarkEnd w:id="17"/>
    </w:p>
    <w:p w:rsidR="00AA5D77" w:rsidRPr="006C40C1" w:rsidRDefault="00AA5D77">
      <w:pPr>
        <w:pStyle w:val="Frslagspunkt"/>
        <w:rPr>
          <w:noProof w:val="0"/>
        </w:rPr>
      </w:pPr>
      <w:r w:rsidRPr="006C40C1">
        <w:rPr>
          <w:noProof w:val="0"/>
        </w:rPr>
        <w:t>9.</w:t>
      </w:r>
      <w:r w:rsidRPr="006C40C1">
        <w:rPr>
          <w:noProof w:val="0"/>
        </w:rPr>
        <w:tab/>
        <w:t>Lån för myndigheternas investeringar i anläggningstillgångar för förvaltningsändamål (avsnitt 4.4.1)</w:t>
      </w:r>
    </w:p>
    <w:p w:rsidR="00AA5D77" w:rsidRPr="006C40C1" w:rsidRDefault="00AA5D77">
      <w:pPr>
        <w:pStyle w:val="Frslagstext"/>
      </w:pPr>
      <w:r w:rsidRPr="006C40C1">
        <w:t>Riksdagen bemyndigar regeringen att för 2003 besluta om lån i Rik</w:t>
      </w:r>
      <w:r w:rsidRPr="006C40C1">
        <w:t>s</w:t>
      </w:r>
      <w:r w:rsidRPr="006C40C1">
        <w:t>gäldskontoret för investeringar i anläggningstillgångar som används i statens verksamhet intill ett belopp av 23 500 000 000 kr. Därmed bifa</w:t>
      </w:r>
      <w:r w:rsidRPr="006C40C1">
        <w:t>l</w:t>
      </w:r>
      <w:r w:rsidRPr="006C40C1">
        <w:t>ler riksdagen proposition 2002/03:1 punkt 12.</w:t>
      </w:r>
      <w:bookmarkStart w:id="18" w:name="RESPARTI009"/>
      <w:bookmarkEnd w:id="18"/>
    </w:p>
    <w:p w:rsidR="00AA5D77" w:rsidRPr="006C40C1" w:rsidRDefault="00AA5D77">
      <w:pPr>
        <w:pStyle w:val="Frslagspunkt"/>
        <w:rPr>
          <w:noProof w:val="0"/>
        </w:rPr>
      </w:pPr>
      <w:r w:rsidRPr="006C40C1">
        <w:rPr>
          <w:noProof w:val="0"/>
        </w:rPr>
        <w:t>10.</w:t>
      </w:r>
      <w:r w:rsidRPr="006C40C1">
        <w:rPr>
          <w:noProof w:val="0"/>
        </w:rPr>
        <w:tab/>
        <w:t>Myndigheternas räntekontokrediter (avsnitt 4.4.2)</w:t>
      </w:r>
    </w:p>
    <w:p w:rsidR="00AA5D77" w:rsidRPr="006C40C1" w:rsidRDefault="00AA5D77">
      <w:pPr>
        <w:pStyle w:val="Frslagstext"/>
      </w:pPr>
      <w:r w:rsidRPr="006C40C1">
        <w:t>Riksdagen bemyndigar regeringen att för 2003 besluta om krediter för myndigheters räntekonton i Riksgäldskontoret intill ett belopp av 17 500 000 000 kr. Därmed bifaller riksdagen proposition 2002/03:1 punkt 13.</w:t>
      </w:r>
      <w:bookmarkStart w:id="19" w:name="RESPARTI010"/>
      <w:bookmarkEnd w:id="19"/>
    </w:p>
    <w:p w:rsidR="00AA5D77" w:rsidRPr="006C40C1" w:rsidRDefault="00AA5D77">
      <w:pPr>
        <w:pStyle w:val="Frslagspunkt"/>
        <w:rPr>
          <w:noProof w:val="0"/>
        </w:rPr>
      </w:pPr>
      <w:r w:rsidRPr="006C40C1">
        <w:rPr>
          <w:noProof w:val="0"/>
        </w:rPr>
        <w:t>11.</w:t>
      </w:r>
      <w:r w:rsidRPr="006C40C1">
        <w:rPr>
          <w:noProof w:val="0"/>
        </w:rPr>
        <w:tab/>
        <w:t>Sjunde AP-fondstyrelsens lån och räntekontokredit i Riksgäldskontoret (avsnitt 4.4.3)</w:t>
      </w:r>
    </w:p>
    <w:p w:rsidR="00AA5D77" w:rsidRPr="006C40C1" w:rsidRDefault="00AA5D77">
      <w:pPr>
        <w:pStyle w:val="Frslagstext"/>
      </w:pPr>
      <w:r w:rsidRPr="006C40C1">
        <w:t xml:space="preserve">Riksdagen bemyndigar regeringen att för 2003 för Sjunde AP-fondens verksamhet </w:t>
      </w:r>
      <w:r w:rsidRPr="006C40C1">
        <w:rPr>
          <w:i/>
        </w:rPr>
        <w:t>dels</w:t>
      </w:r>
      <w:r w:rsidRPr="006C40C1">
        <w:t xml:space="preserve"> besluta om lån i Riksgäldskontoret för investeringar i anläggningstillgångar som används i verksamheten intill ett belopp av 15 000 000 kr, </w:t>
      </w:r>
      <w:r w:rsidRPr="006C40C1">
        <w:rPr>
          <w:i/>
        </w:rPr>
        <w:t>dels</w:t>
      </w:r>
      <w:r w:rsidRPr="006C40C1">
        <w:t xml:space="preserve"> besluta om kredit på räntekonto i Riksgäldskontoret intill ett belopp av 150 000 000 kr. Därmed bifaller riksdagen proposition 2002/03:1 punkt 14.      </w:t>
      </w:r>
      <w:bookmarkStart w:id="20" w:name="RESPARTI011"/>
      <w:bookmarkEnd w:id="20"/>
    </w:p>
    <w:p w:rsidR="00AA5D77" w:rsidRPr="006C40C1" w:rsidRDefault="00AA5D77">
      <w:pPr>
        <w:pStyle w:val="Frslagspunkt"/>
        <w:rPr>
          <w:noProof w:val="0"/>
        </w:rPr>
      </w:pPr>
      <w:r w:rsidRPr="006C40C1">
        <w:rPr>
          <w:noProof w:val="0"/>
        </w:rPr>
        <w:t>12.</w:t>
      </w:r>
      <w:r w:rsidRPr="006C40C1">
        <w:rPr>
          <w:noProof w:val="0"/>
        </w:rPr>
        <w:tab/>
        <w:t>Bemyndigande för ramanslag (avsnitt 4.5)</w:t>
      </w:r>
    </w:p>
    <w:p w:rsidR="00AA5D77" w:rsidRPr="006C40C1" w:rsidRDefault="00AA5D77">
      <w:pPr>
        <w:pStyle w:val="Frslagstext"/>
      </w:pPr>
      <w:r w:rsidRPr="006C40C1">
        <w:t>Riksdagen bemyndigar regeringen att under 2003, med de begränsningar som följer av 6 § andra stycket lagen (1996:1059) om statsbudgeten, b</w:t>
      </w:r>
      <w:r w:rsidRPr="006C40C1">
        <w:t>e</w:t>
      </w:r>
      <w:r w:rsidRPr="006C40C1">
        <w:t>sluta att ett ramanslag, med undantag för anslag anvisade för förval</w:t>
      </w:r>
      <w:r w:rsidRPr="006C40C1">
        <w:t>t</w:t>
      </w:r>
      <w:r w:rsidRPr="006C40C1">
        <w:t xml:space="preserve">ningsändamål, får överskridas om ett riksdagsbeslut om anslag på tilläggsbudget inte hinner inväntas samt om överskridandet ryms inom utgiftstaket för staten. Därmed bifaller riksdagen proposition 2002/03:1 punkt 15.  </w:t>
      </w:r>
      <w:bookmarkStart w:id="21" w:name="RESPARTI012"/>
      <w:bookmarkEnd w:id="21"/>
    </w:p>
    <w:p w:rsidR="00AA5D77" w:rsidRPr="006C40C1" w:rsidRDefault="00AA5D77">
      <w:pPr>
        <w:pStyle w:val="R1"/>
        <w:spacing w:line="240" w:lineRule="auto"/>
      </w:pPr>
      <w:r w:rsidRPr="006C40C1">
        <w:t>Övriga frågor</w:t>
      </w:r>
    </w:p>
    <w:p w:rsidR="00AA5D77" w:rsidRPr="006C40C1" w:rsidRDefault="00AA5D77">
      <w:pPr>
        <w:pStyle w:val="Frslagspunkt"/>
        <w:spacing w:before="0"/>
        <w:rPr>
          <w:noProof w:val="0"/>
        </w:rPr>
      </w:pPr>
      <w:bookmarkStart w:id="22" w:name="Nästa_Hpunkt"/>
      <w:bookmarkEnd w:id="22"/>
      <w:r w:rsidRPr="006C40C1">
        <w:rPr>
          <w:noProof w:val="0"/>
        </w:rPr>
        <w:t>13.</w:t>
      </w:r>
      <w:r w:rsidRPr="006C40C1">
        <w:rPr>
          <w:noProof w:val="0"/>
        </w:rPr>
        <w:tab/>
        <w:t>Försäljning av statliga tillgångar (avsnitt 5.1)</w:t>
      </w:r>
    </w:p>
    <w:p w:rsidR="00AA5D77" w:rsidRPr="006C40C1" w:rsidRDefault="00AA5D77">
      <w:pPr>
        <w:pStyle w:val="Frslagstext"/>
      </w:pPr>
      <w:r w:rsidRPr="006C40C1">
        <w:t>Riksdagen avslår motionerna</w:t>
      </w:r>
    </w:p>
    <w:p w:rsidR="00AA5D77" w:rsidRPr="006C40C1" w:rsidRDefault="00AA5D77">
      <w:pPr>
        <w:pStyle w:val="Frslagstext"/>
      </w:pPr>
      <w:r w:rsidRPr="006C40C1">
        <w:t>2002/03:Fi210 av Fredrik Reinfeldt m.fl. (m),</w:t>
      </w:r>
    </w:p>
    <w:p w:rsidR="00AA5D77" w:rsidRPr="006C40C1" w:rsidRDefault="00AA5D77">
      <w:pPr>
        <w:pStyle w:val="Frslagstext"/>
      </w:pPr>
      <w:r w:rsidRPr="006C40C1">
        <w:t>2002/03:Fi232 av Lars Leijonborg m.fl. (fp) yrkande 24 samt</w:t>
      </w:r>
    </w:p>
    <w:p w:rsidR="00AA5D77" w:rsidRPr="006C40C1" w:rsidRDefault="00AA5D77">
      <w:pPr>
        <w:pStyle w:val="Frslagstext"/>
      </w:pPr>
      <w:r w:rsidRPr="006C40C1">
        <w:t>2002/03:Fi234 av Maud Olofsson m.fl. (c) yrkande 13.</w:t>
      </w:r>
    </w:p>
    <w:p w:rsidR="00AA5D77" w:rsidRPr="006C40C1" w:rsidRDefault="00AA5D77">
      <w:pPr>
        <w:pStyle w:val="Reservationshnvisning"/>
      </w:pPr>
      <w:r w:rsidRPr="006C40C1">
        <w:t>Reservation 16 (m, fp, kd, c)</w:t>
      </w:r>
    </w:p>
    <w:p w:rsidR="00AA5D77" w:rsidRPr="006C40C1" w:rsidRDefault="00AA5D77">
      <w:pPr>
        <w:pStyle w:val="Frslagstext"/>
      </w:pPr>
    </w:p>
    <w:p w:rsidR="00AA5D77" w:rsidRPr="006C40C1" w:rsidRDefault="00AA5D77">
      <w:pPr>
        <w:pStyle w:val="Frslagstext"/>
      </w:pPr>
    </w:p>
    <w:p w:rsidR="00AA5D77" w:rsidRPr="006C40C1" w:rsidRDefault="00AA5D77">
      <w:pPr>
        <w:pStyle w:val="Frslagstext"/>
      </w:pPr>
    </w:p>
    <w:p w:rsidR="00AA5D77" w:rsidRPr="006C40C1" w:rsidRDefault="00AA5D77">
      <w:pPr>
        <w:pStyle w:val="Frslagstext"/>
      </w:pPr>
      <w:bookmarkStart w:id="23" w:name="RESPARTI014"/>
      <w:bookmarkStart w:id="24" w:name="RESPARTI013"/>
      <w:bookmarkEnd w:id="23"/>
      <w:bookmarkEnd w:id="24"/>
    </w:p>
    <w:p w:rsidR="00AA5D77" w:rsidRPr="006C40C1" w:rsidRDefault="00AA5D77">
      <w:pPr>
        <w:pStyle w:val="Utskriftsdatum"/>
      </w:pPr>
      <w:r w:rsidRPr="006C40C1">
        <w:t>Stockholm den 21 november 2002</w:t>
      </w:r>
    </w:p>
    <w:p w:rsidR="00AA5D77" w:rsidRPr="006C40C1" w:rsidRDefault="00AA5D77">
      <w:r w:rsidRPr="006C40C1">
        <w:t>På finansutskottets vägnar</w:t>
      </w:r>
    </w:p>
    <w:p w:rsidR="00AA5D77" w:rsidRPr="006C40C1" w:rsidRDefault="00AA5D77">
      <w:pPr>
        <w:pStyle w:val="Ordfranden"/>
        <w:rPr>
          <w:noProof w:val="0"/>
        </w:rPr>
      </w:pPr>
      <w:bookmarkStart w:id="25" w:name="Ordförande"/>
      <w:bookmarkEnd w:id="25"/>
      <w:r w:rsidRPr="006C40C1">
        <w:rPr>
          <w:noProof w:val="0"/>
        </w:rPr>
        <w:t xml:space="preserve">Sven-Erik Österberg </w:t>
      </w:r>
    </w:p>
    <w:p w:rsidR="00AA5D77" w:rsidRPr="006C40C1" w:rsidRDefault="00AA5D77">
      <w:pPr>
        <w:pStyle w:val="Deltagare"/>
        <w:rPr>
          <w:noProof w:val="0"/>
        </w:rPr>
      </w:pPr>
      <w:bookmarkStart w:id="26" w:name="Deltagare"/>
      <w:bookmarkEnd w:id="26"/>
      <w:r w:rsidRPr="006C40C1">
        <w:rPr>
          <w:noProof w:val="0"/>
        </w:rPr>
        <w:t>Följande ledamöter har deltagit i beslutet: Sven-Erik Österberg (s), Fredrik Reinfeldt (m), Carin Lundberg (s), Karin Pilsäter (fp), Sonia Karlsson (s), Kjell Nordström (s), Mats Odell (kd), Agneta Ringman (s), Gunnar Axén (m), Christer Nylander (fp), Lena Ek (c), Hans Hoff (s), Tomas Högström (m), Agneta Gille (s), Yvonne Ruwaida (mp), Bo Bernhardsson (s) och Siv Holma (v).</w:t>
      </w:r>
    </w:p>
    <w:p w:rsidR="00AA5D77" w:rsidRPr="006C40C1" w:rsidRDefault="00AA5D77">
      <w:pPr>
        <w:pStyle w:val="Normaltindrag"/>
        <w:sectPr w:rsidR="00000000" w:rsidRPr="006C40C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A5D77" w:rsidRPr="006C40C1" w:rsidRDefault="00AA5D77">
      <w:pPr>
        <w:pStyle w:val="Rubrik2"/>
      </w:pPr>
      <w:r w:rsidRPr="006C40C1">
        <w:t xml:space="preserve">               </w:t>
      </w:r>
      <w:bookmarkStart w:id="27" w:name="_Toc26191378"/>
      <w:r w:rsidRPr="006C40C1">
        <w:t>Förslag till fördelning av statsbudgetens utgifter för 2003 på utgiftsområden</w:t>
      </w:r>
      <w:bookmarkEnd w:id="27"/>
    </w:p>
    <w:p w:rsidR="00AA5D77" w:rsidRPr="006C40C1" w:rsidRDefault="00AA5D77">
      <w:pPr>
        <w:spacing w:line="240" w:lineRule="atLeast"/>
        <w:ind w:left="1021"/>
        <w:rPr>
          <w:snapToGrid w:val="0"/>
          <w:color w:val="000000"/>
          <w:lang w:eastAsia="sv-SE"/>
        </w:rPr>
      </w:pPr>
      <w:r w:rsidRPr="006C40C1">
        <w:rPr>
          <w:snapToGrid w:val="0"/>
          <w:color w:val="000000"/>
          <w:lang w:eastAsia="sv-SE"/>
        </w:rPr>
        <w:t>Utskottets förslag till ramar m.m. överensstämmer med regeringens förslag utom vad avser utgiftsområdena 8, 9, 10, 14, 15, 20, 23 och 25. Utskottet föreslår att ramen för utgiftsområde 25 justeras som en följd av förslag om ändrat grundavdrag samt ställer sig bakom fö</w:t>
      </w:r>
      <w:r w:rsidRPr="006C40C1">
        <w:rPr>
          <w:snapToGrid w:val="0"/>
          <w:color w:val="000000"/>
          <w:lang w:eastAsia="sv-SE"/>
        </w:rPr>
        <w:t>r</w:t>
      </w:r>
      <w:r w:rsidRPr="006C40C1">
        <w:rPr>
          <w:snapToGrid w:val="0"/>
          <w:color w:val="000000"/>
          <w:lang w:eastAsia="sv-SE"/>
        </w:rPr>
        <w:t>slagen i motion 2002/03:Fi230 (s, v, mp) beträffande de övriga nämnda utgiftsområdena.</w:t>
      </w:r>
    </w:p>
    <w:p w:rsidR="00AA5D77" w:rsidRPr="006C40C1" w:rsidRDefault="00AA5D77">
      <w:pPr>
        <w:pStyle w:val="Normaltindrag"/>
        <w:spacing w:before="120"/>
        <w:rPr>
          <w:sz w:val="14"/>
        </w:rPr>
      </w:pPr>
      <w:r w:rsidRPr="006C40C1">
        <w:rPr>
          <w:sz w:val="14"/>
        </w:rPr>
        <w:t xml:space="preserve">                       Belopp i tkr</w:t>
      </w:r>
    </w:p>
    <w:tbl>
      <w:tblPr>
        <w:tblW w:w="0" w:type="auto"/>
        <w:jc w:val="right"/>
        <w:tblLayout w:type="fixed"/>
        <w:tblCellMar>
          <w:left w:w="30" w:type="dxa"/>
          <w:right w:w="30" w:type="dxa"/>
        </w:tblCellMar>
        <w:tblLook w:val="0000" w:firstRow="0" w:lastRow="0" w:firstColumn="0" w:lastColumn="0" w:noHBand="0" w:noVBand="0"/>
      </w:tblPr>
      <w:tblGrid>
        <w:gridCol w:w="283"/>
        <w:gridCol w:w="566"/>
        <w:gridCol w:w="283"/>
        <w:gridCol w:w="2695"/>
        <w:gridCol w:w="821"/>
        <w:gridCol w:w="143"/>
        <w:gridCol w:w="821"/>
        <w:gridCol w:w="171"/>
        <w:gridCol w:w="821"/>
        <w:gridCol w:w="30"/>
        <w:gridCol w:w="821"/>
        <w:gridCol w:w="115"/>
        <w:gridCol w:w="821"/>
        <w:gridCol w:w="30"/>
        <w:gridCol w:w="821"/>
        <w:gridCol w:w="171"/>
        <w:gridCol w:w="821"/>
        <w:gridCol w:w="171"/>
        <w:gridCol w:w="823"/>
      </w:tblGrid>
      <w:tr w:rsidR="00000000" w:rsidRPr="006C40C1">
        <w:tblPrEx>
          <w:tblCellMar>
            <w:top w:w="0" w:type="dxa"/>
            <w:bottom w:w="0" w:type="dxa"/>
          </w:tblCellMar>
        </w:tblPrEx>
        <w:trPr>
          <w:gridAfter w:val="1"/>
          <w:wAfter w:w="821" w:type="dxa"/>
          <w:cantSplit/>
          <w:trHeight w:val="160"/>
          <w:tblHeader/>
          <w:jc w:val="right"/>
        </w:trPr>
        <w:tc>
          <w:tcPr>
            <w:tcW w:w="283" w:type="dxa"/>
            <w:tcBorders>
              <w:top w:val="single" w:sz="4" w:space="0" w:color="auto"/>
            </w:tcBorders>
          </w:tcPr>
          <w:p w:rsidR="00AA5D77" w:rsidRPr="006C40C1" w:rsidRDefault="00AA5D77">
            <w:pPr>
              <w:pStyle w:val="Tabelltext"/>
              <w:rPr>
                <w:snapToGrid w:val="0"/>
                <w:lang w:eastAsia="sv-SE"/>
              </w:rPr>
            </w:pPr>
          </w:p>
        </w:tc>
        <w:tc>
          <w:tcPr>
            <w:tcW w:w="3544" w:type="dxa"/>
            <w:gridSpan w:val="3"/>
            <w:tcBorders>
              <w:top w:val="single" w:sz="4" w:space="0" w:color="auto"/>
            </w:tcBorders>
          </w:tcPr>
          <w:p w:rsidR="00AA5D77" w:rsidRPr="006C40C1" w:rsidRDefault="00AA5D77">
            <w:pPr>
              <w:pStyle w:val="Tabelltext"/>
              <w:rPr>
                <w:snapToGrid w:val="0"/>
                <w:lang w:eastAsia="sv-SE"/>
              </w:rPr>
            </w:pPr>
            <w:r w:rsidRPr="006C40C1">
              <w:rPr>
                <w:snapToGrid w:val="0"/>
                <w:lang w:eastAsia="sv-SE"/>
              </w:rPr>
              <w:t>Utgiftsområde</w:t>
            </w:r>
          </w:p>
        </w:tc>
        <w:tc>
          <w:tcPr>
            <w:tcW w:w="964" w:type="dxa"/>
            <w:gridSpan w:val="2"/>
            <w:tcBorders>
              <w:top w:val="single" w:sz="4" w:space="0" w:color="auto"/>
            </w:tcBorders>
          </w:tcPr>
          <w:p w:rsidR="00AA5D77" w:rsidRPr="006C40C1" w:rsidRDefault="00AA5D77">
            <w:pPr>
              <w:pStyle w:val="Tabelltext"/>
              <w:rPr>
                <w:snapToGrid w:val="0"/>
                <w:lang w:eastAsia="sv-SE"/>
              </w:rPr>
            </w:pPr>
            <w:r w:rsidRPr="006C40C1">
              <w:rPr>
                <w:snapToGrid w:val="0"/>
                <w:lang w:eastAsia="sv-SE"/>
              </w:rPr>
              <w:t> Regeringens  förslag</w:t>
            </w:r>
          </w:p>
        </w:tc>
        <w:tc>
          <w:tcPr>
            <w:tcW w:w="992" w:type="dxa"/>
            <w:gridSpan w:val="2"/>
            <w:tcBorders>
              <w:top w:val="single" w:sz="4" w:space="0" w:color="auto"/>
            </w:tcBorders>
          </w:tcPr>
          <w:p w:rsidR="00AA5D77" w:rsidRPr="006C40C1" w:rsidRDefault="00AA5D77">
            <w:pPr>
              <w:pStyle w:val="Tabelltext"/>
              <w:rPr>
                <w:snapToGrid w:val="0"/>
                <w:lang w:eastAsia="sv-SE"/>
              </w:rPr>
            </w:pPr>
            <w:r w:rsidRPr="006C40C1">
              <w:rPr>
                <w:snapToGrid w:val="0"/>
                <w:lang w:eastAsia="sv-SE"/>
              </w:rPr>
              <w:t> Utskottets  förslag</w:t>
            </w:r>
          </w:p>
        </w:tc>
        <w:tc>
          <w:tcPr>
            <w:tcW w:w="851" w:type="dxa"/>
            <w:gridSpan w:val="2"/>
            <w:tcBorders>
              <w:top w:val="single" w:sz="4" w:space="0" w:color="auto"/>
            </w:tcBorders>
          </w:tcPr>
          <w:p w:rsidR="00AA5D77" w:rsidRPr="006C40C1" w:rsidRDefault="00AA5D77">
            <w:pPr>
              <w:pStyle w:val="Tabelltext"/>
              <w:rPr>
                <w:snapToGrid w:val="0"/>
                <w:lang w:eastAsia="sv-SE"/>
              </w:rPr>
            </w:pPr>
            <w:r w:rsidRPr="006C40C1">
              <w:rPr>
                <w:snapToGrid w:val="0"/>
                <w:lang w:eastAsia="sv-SE"/>
              </w:rPr>
              <w:t> Utskottets  ändringar</w:t>
            </w:r>
          </w:p>
        </w:tc>
        <w:tc>
          <w:tcPr>
            <w:tcW w:w="3771" w:type="dxa"/>
            <w:gridSpan w:val="8"/>
            <w:tcBorders>
              <w:top w:val="single" w:sz="4" w:space="0" w:color="auto"/>
              <w:bottom w:val="single" w:sz="4" w:space="0" w:color="auto"/>
            </w:tcBorders>
          </w:tcPr>
          <w:p w:rsidR="00AA5D77" w:rsidRPr="006C40C1" w:rsidRDefault="00AA5D77">
            <w:pPr>
              <w:pStyle w:val="Tabelltext"/>
              <w:jc w:val="center"/>
              <w:rPr>
                <w:snapToGrid w:val="0"/>
                <w:lang w:eastAsia="sv-SE"/>
              </w:rPr>
            </w:pPr>
            <w:r w:rsidRPr="006C40C1">
              <w:rPr>
                <w:snapToGrid w:val="0"/>
                <w:lang w:eastAsia="sv-SE"/>
              </w:rPr>
              <w:t xml:space="preserve">Reservanternas förslag i förhållande till </w:t>
            </w:r>
          </w:p>
          <w:p w:rsidR="00AA5D77" w:rsidRPr="006C40C1" w:rsidRDefault="00AA5D77">
            <w:pPr>
              <w:pStyle w:val="Tabelltext"/>
              <w:jc w:val="center"/>
              <w:rPr>
                <w:snapToGrid w:val="0"/>
                <w:lang w:eastAsia="sv-SE"/>
              </w:rPr>
            </w:pPr>
            <w:r w:rsidRPr="006C40C1">
              <w:rPr>
                <w:snapToGrid w:val="0"/>
                <w:lang w:eastAsia="sv-SE"/>
              </w:rPr>
              <w:t>regeringens förslag</w:t>
            </w:r>
          </w:p>
        </w:tc>
      </w:tr>
      <w:tr w:rsidR="00000000" w:rsidRPr="006C40C1">
        <w:tblPrEx>
          <w:tblCellMar>
            <w:top w:w="0" w:type="dxa"/>
            <w:bottom w:w="0" w:type="dxa"/>
          </w:tblCellMar>
        </w:tblPrEx>
        <w:trPr>
          <w:gridAfter w:val="1"/>
          <w:wAfter w:w="823" w:type="dxa"/>
          <w:cantSplit/>
          <w:trHeight w:val="160"/>
          <w:tblHeader/>
          <w:jc w:val="right"/>
        </w:trPr>
        <w:tc>
          <w:tcPr>
            <w:tcW w:w="283" w:type="dxa"/>
          </w:tcPr>
          <w:p w:rsidR="00AA5D77" w:rsidRPr="006C40C1" w:rsidRDefault="00AA5D77">
            <w:pPr>
              <w:pStyle w:val="Tabelltext"/>
              <w:rPr>
                <w:snapToGrid w:val="0"/>
                <w:lang w:eastAsia="sv-SE"/>
              </w:rPr>
            </w:pPr>
          </w:p>
        </w:tc>
        <w:tc>
          <w:tcPr>
            <w:tcW w:w="3544" w:type="dxa"/>
            <w:gridSpan w:val="3"/>
          </w:tcPr>
          <w:p w:rsidR="00AA5D77" w:rsidRPr="006C40C1" w:rsidRDefault="00AA5D77">
            <w:pPr>
              <w:pStyle w:val="Tabelltext"/>
              <w:rPr>
                <w:snapToGrid w:val="0"/>
                <w:lang w:eastAsia="sv-SE"/>
              </w:rPr>
            </w:pPr>
          </w:p>
        </w:tc>
        <w:tc>
          <w:tcPr>
            <w:tcW w:w="964" w:type="dxa"/>
            <w:gridSpan w:val="2"/>
          </w:tcPr>
          <w:p w:rsidR="00AA5D77" w:rsidRPr="006C40C1" w:rsidRDefault="00AA5D77">
            <w:pPr>
              <w:pStyle w:val="Tabelltext"/>
              <w:rPr>
                <w:snapToGrid w:val="0"/>
                <w:lang w:eastAsia="sv-SE"/>
              </w:rPr>
            </w:pPr>
          </w:p>
        </w:tc>
        <w:tc>
          <w:tcPr>
            <w:tcW w:w="992" w:type="dxa"/>
            <w:gridSpan w:val="2"/>
          </w:tcPr>
          <w:p w:rsidR="00AA5D77" w:rsidRPr="006C40C1" w:rsidRDefault="00AA5D77">
            <w:pPr>
              <w:pStyle w:val="Tabelltext"/>
              <w:rPr>
                <w:snapToGrid w:val="0"/>
                <w:lang w:eastAsia="sv-SE"/>
              </w:rPr>
            </w:pPr>
          </w:p>
        </w:tc>
        <w:tc>
          <w:tcPr>
            <w:tcW w:w="851" w:type="dxa"/>
            <w:gridSpan w:val="2"/>
          </w:tcPr>
          <w:p w:rsidR="00AA5D77" w:rsidRPr="006C40C1" w:rsidRDefault="00AA5D77">
            <w:pPr>
              <w:pStyle w:val="Tabelltext"/>
              <w:rPr>
                <w:snapToGrid w:val="0"/>
                <w:lang w:eastAsia="sv-SE"/>
              </w:rPr>
            </w:pPr>
          </w:p>
        </w:tc>
        <w:tc>
          <w:tcPr>
            <w:tcW w:w="936" w:type="dxa"/>
            <w:gridSpan w:val="2"/>
          </w:tcPr>
          <w:p w:rsidR="00AA5D77" w:rsidRPr="006C40C1" w:rsidRDefault="00AA5D77">
            <w:pPr>
              <w:pStyle w:val="Tabelltext"/>
              <w:jc w:val="center"/>
              <w:rPr>
                <w:snapToGrid w:val="0"/>
                <w:lang w:eastAsia="sv-SE"/>
              </w:rPr>
            </w:pPr>
            <w:r w:rsidRPr="006C40C1">
              <w:rPr>
                <w:snapToGrid w:val="0"/>
                <w:lang w:eastAsia="sv-SE"/>
              </w:rPr>
              <w:t>Res. 8 (m)</w:t>
            </w:r>
          </w:p>
        </w:tc>
        <w:tc>
          <w:tcPr>
            <w:tcW w:w="851" w:type="dxa"/>
            <w:gridSpan w:val="2"/>
          </w:tcPr>
          <w:p w:rsidR="00AA5D77" w:rsidRPr="006C40C1" w:rsidRDefault="00AA5D77">
            <w:pPr>
              <w:pStyle w:val="Tabelltext"/>
              <w:jc w:val="center"/>
              <w:rPr>
                <w:snapToGrid w:val="0"/>
                <w:lang w:eastAsia="sv-SE"/>
              </w:rPr>
            </w:pPr>
            <w:r w:rsidRPr="006C40C1">
              <w:rPr>
                <w:snapToGrid w:val="0"/>
                <w:lang w:eastAsia="sv-SE"/>
              </w:rPr>
              <w:t>Res. 9 (fp)</w:t>
            </w:r>
          </w:p>
        </w:tc>
        <w:tc>
          <w:tcPr>
            <w:tcW w:w="992" w:type="dxa"/>
            <w:gridSpan w:val="2"/>
          </w:tcPr>
          <w:p w:rsidR="00AA5D77" w:rsidRPr="006C40C1" w:rsidRDefault="00AA5D77">
            <w:pPr>
              <w:pStyle w:val="Tabelltext"/>
              <w:jc w:val="center"/>
              <w:rPr>
                <w:snapToGrid w:val="0"/>
                <w:lang w:eastAsia="sv-SE"/>
              </w:rPr>
            </w:pPr>
            <w:r w:rsidRPr="006C40C1">
              <w:rPr>
                <w:snapToGrid w:val="0"/>
                <w:lang w:eastAsia="sv-SE"/>
              </w:rPr>
              <w:t>Res. 10 (kd)</w:t>
            </w:r>
          </w:p>
        </w:tc>
        <w:tc>
          <w:tcPr>
            <w:tcW w:w="992" w:type="dxa"/>
            <w:gridSpan w:val="2"/>
          </w:tcPr>
          <w:p w:rsidR="00AA5D77" w:rsidRPr="006C40C1" w:rsidRDefault="00AA5D77">
            <w:pPr>
              <w:pStyle w:val="Tabelltext"/>
              <w:jc w:val="center"/>
              <w:rPr>
                <w:snapToGrid w:val="0"/>
                <w:lang w:eastAsia="sv-SE"/>
              </w:rPr>
            </w:pPr>
            <w:r w:rsidRPr="006C40C1">
              <w:rPr>
                <w:snapToGrid w:val="0"/>
                <w:lang w:eastAsia="sv-SE"/>
              </w:rPr>
              <w:t>Res. 11 (c)</w:t>
            </w:r>
          </w:p>
        </w:tc>
      </w:tr>
      <w:tr w:rsidR="00000000" w:rsidRPr="006C40C1">
        <w:tblPrEx>
          <w:tblCellMar>
            <w:top w:w="0" w:type="dxa"/>
            <w:bottom w:w="0" w:type="dxa"/>
          </w:tblCellMar>
        </w:tblPrEx>
        <w:trPr>
          <w:gridBefore w:val="2"/>
          <w:wBefore w:w="849" w:type="dxa"/>
          <w:trHeight w:val="160"/>
          <w:tblHeader/>
          <w:jc w:val="right"/>
        </w:trPr>
        <w:tc>
          <w:tcPr>
            <w:tcW w:w="283" w:type="dxa"/>
            <w:tcBorders>
              <w:top w:val="single" w:sz="6" w:space="0" w:color="auto"/>
            </w:tcBorders>
          </w:tcPr>
          <w:p w:rsidR="00AA5D77" w:rsidRPr="006C40C1" w:rsidRDefault="00AA5D77">
            <w:pPr>
              <w:pStyle w:val="Tabelltext"/>
              <w:rPr>
                <w:b/>
                <w:snapToGrid w:val="0"/>
                <w:lang w:eastAsia="sv-SE"/>
              </w:rPr>
            </w:pPr>
          </w:p>
        </w:tc>
        <w:tc>
          <w:tcPr>
            <w:tcW w:w="3516" w:type="dxa"/>
            <w:gridSpan w:val="2"/>
            <w:tcBorders>
              <w:top w:val="single" w:sz="6" w:space="0" w:color="auto"/>
            </w:tcBorders>
          </w:tcPr>
          <w:p w:rsidR="00AA5D77" w:rsidRPr="006C40C1" w:rsidRDefault="00AA5D77">
            <w:pPr>
              <w:pStyle w:val="Tabelltext"/>
              <w:rPr>
                <w:b/>
                <w:snapToGrid w:val="0"/>
                <w:lang w:eastAsia="sv-SE"/>
              </w:rPr>
            </w:pPr>
          </w:p>
        </w:tc>
        <w:tc>
          <w:tcPr>
            <w:tcW w:w="964" w:type="dxa"/>
            <w:gridSpan w:val="2"/>
            <w:tcBorders>
              <w:top w:val="single" w:sz="6" w:space="0" w:color="auto"/>
            </w:tcBorders>
          </w:tcPr>
          <w:p w:rsidR="00AA5D77" w:rsidRPr="006C40C1" w:rsidRDefault="00AA5D77">
            <w:pPr>
              <w:pStyle w:val="Tabelltext"/>
              <w:rPr>
                <w:b/>
                <w:snapToGrid w:val="0"/>
                <w:lang w:eastAsia="sv-SE"/>
              </w:rPr>
            </w:pPr>
          </w:p>
        </w:tc>
        <w:tc>
          <w:tcPr>
            <w:tcW w:w="992" w:type="dxa"/>
            <w:gridSpan w:val="2"/>
            <w:tcBorders>
              <w:top w:val="single" w:sz="6" w:space="0" w:color="auto"/>
            </w:tcBorders>
          </w:tcPr>
          <w:p w:rsidR="00AA5D77" w:rsidRPr="006C40C1" w:rsidRDefault="00AA5D77">
            <w:pPr>
              <w:pStyle w:val="Tabelltext"/>
              <w:rPr>
                <w:b/>
                <w:snapToGrid w:val="0"/>
                <w:lang w:eastAsia="sv-SE"/>
              </w:rPr>
            </w:pPr>
          </w:p>
        </w:tc>
        <w:tc>
          <w:tcPr>
            <w:tcW w:w="851" w:type="dxa"/>
            <w:gridSpan w:val="2"/>
            <w:tcBorders>
              <w:top w:val="single" w:sz="6" w:space="0" w:color="auto"/>
            </w:tcBorders>
          </w:tcPr>
          <w:p w:rsidR="00AA5D77" w:rsidRPr="006C40C1" w:rsidRDefault="00AA5D77">
            <w:pPr>
              <w:pStyle w:val="Tabelltext"/>
              <w:rPr>
                <w:b/>
                <w:snapToGrid w:val="0"/>
                <w:lang w:eastAsia="sv-SE"/>
              </w:rPr>
            </w:pPr>
          </w:p>
        </w:tc>
        <w:tc>
          <w:tcPr>
            <w:tcW w:w="936" w:type="dxa"/>
            <w:gridSpan w:val="2"/>
            <w:tcBorders>
              <w:top w:val="single" w:sz="6" w:space="0" w:color="auto"/>
            </w:tcBorders>
          </w:tcPr>
          <w:p w:rsidR="00AA5D77" w:rsidRPr="006C40C1" w:rsidRDefault="00AA5D77">
            <w:pPr>
              <w:pStyle w:val="Tabelltext"/>
              <w:rPr>
                <w:b/>
                <w:snapToGrid w:val="0"/>
                <w:lang w:eastAsia="sv-SE"/>
              </w:rPr>
            </w:pPr>
          </w:p>
        </w:tc>
        <w:tc>
          <w:tcPr>
            <w:tcW w:w="851" w:type="dxa"/>
            <w:gridSpan w:val="2"/>
            <w:tcBorders>
              <w:top w:val="single" w:sz="6" w:space="0" w:color="auto"/>
            </w:tcBorders>
          </w:tcPr>
          <w:p w:rsidR="00AA5D77" w:rsidRPr="006C40C1" w:rsidRDefault="00AA5D77">
            <w:pPr>
              <w:pStyle w:val="Tabelltext"/>
              <w:rPr>
                <w:b/>
                <w:snapToGrid w:val="0"/>
                <w:lang w:eastAsia="sv-SE"/>
              </w:rPr>
            </w:pPr>
          </w:p>
        </w:tc>
        <w:tc>
          <w:tcPr>
            <w:tcW w:w="992" w:type="dxa"/>
            <w:gridSpan w:val="2"/>
            <w:tcBorders>
              <w:top w:val="single" w:sz="6" w:space="0" w:color="auto"/>
            </w:tcBorders>
          </w:tcPr>
          <w:p w:rsidR="00AA5D77" w:rsidRPr="006C40C1" w:rsidRDefault="00AA5D77">
            <w:pPr>
              <w:pStyle w:val="Tabelltext"/>
              <w:rPr>
                <w:b/>
                <w:snapToGrid w:val="0"/>
                <w:lang w:eastAsia="sv-SE"/>
              </w:rPr>
            </w:pPr>
          </w:p>
        </w:tc>
        <w:tc>
          <w:tcPr>
            <w:tcW w:w="992" w:type="dxa"/>
            <w:gridSpan w:val="2"/>
            <w:tcBorders>
              <w:top w:val="single" w:sz="6" w:space="0" w:color="auto"/>
            </w:tcBorders>
          </w:tcPr>
          <w:p w:rsidR="00AA5D77" w:rsidRPr="006C40C1" w:rsidRDefault="00AA5D77">
            <w:pPr>
              <w:pStyle w:val="Tabelltext"/>
              <w:rPr>
                <w:b/>
                <w:snapToGrid w:val="0"/>
                <w:lang w:eastAsia="sv-SE"/>
              </w:rPr>
            </w:pP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 xml:space="preserve"> 1</w:t>
            </w:r>
          </w:p>
        </w:tc>
        <w:tc>
          <w:tcPr>
            <w:tcW w:w="3516" w:type="dxa"/>
            <w:gridSpan w:val="2"/>
          </w:tcPr>
          <w:p w:rsidR="00AA5D77" w:rsidRPr="006C40C1" w:rsidRDefault="00AA5D77">
            <w:pPr>
              <w:pStyle w:val="Tabelltext"/>
              <w:rPr>
                <w:snapToGrid w:val="0"/>
                <w:lang w:eastAsia="sv-SE"/>
              </w:rPr>
            </w:pPr>
            <w:r w:rsidRPr="006C40C1">
              <w:rPr>
                <w:snapToGrid w:val="0"/>
                <w:lang w:eastAsia="sv-SE"/>
              </w:rPr>
              <w:t>Rikets styrelse</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7 349 618</w:t>
            </w:r>
          </w:p>
        </w:tc>
        <w:tc>
          <w:tcPr>
            <w:tcW w:w="992" w:type="dxa"/>
            <w:gridSpan w:val="2"/>
          </w:tcPr>
          <w:p w:rsidR="00AA5D77" w:rsidRPr="006C40C1" w:rsidRDefault="00AA5D77">
            <w:pPr>
              <w:pStyle w:val="Tabelltext"/>
              <w:jc w:val="right"/>
              <w:rPr>
                <w:snapToGrid w:val="0"/>
                <w:lang w:eastAsia="sv-SE"/>
              </w:rPr>
            </w:pPr>
            <w:r w:rsidRPr="006C40C1">
              <w:rPr>
                <w:snapToGrid w:val="0"/>
                <w:color w:val="000000"/>
                <w:lang w:eastAsia="sv-SE"/>
              </w:rPr>
              <w:t>7 349 618</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-842 590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-1 064 000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-491 000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-837 000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 xml:space="preserve"> 2</w:t>
            </w:r>
          </w:p>
        </w:tc>
        <w:tc>
          <w:tcPr>
            <w:tcW w:w="3516" w:type="dxa"/>
            <w:gridSpan w:val="2"/>
          </w:tcPr>
          <w:p w:rsidR="00AA5D77" w:rsidRPr="006C40C1" w:rsidRDefault="00AA5D77">
            <w:pPr>
              <w:pStyle w:val="Tabelltext"/>
              <w:rPr>
                <w:snapToGrid w:val="0"/>
                <w:lang w:eastAsia="sv-SE"/>
              </w:rPr>
            </w:pPr>
            <w:r w:rsidRPr="006C40C1">
              <w:rPr>
                <w:snapToGrid w:val="0"/>
                <w:lang w:eastAsia="sv-SE"/>
              </w:rPr>
              <w:t>Samhällsekonomi och finansförval</w:t>
            </w:r>
            <w:r w:rsidRPr="006C40C1">
              <w:rPr>
                <w:snapToGrid w:val="0"/>
                <w:lang w:eastAsia="sv-SE"/>
              </w:rPr>
              <w:t>t</w:t>
            </w:r>
            <w:r w:rsidRPr="006C40C1">
              <w:rPr>
                <w:snapToGrid w:val="0"/>
                <w:lang w:eastAsia="sv-SE"/>
              </w:rPr>
              <w:t>ning</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9 078 095</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9 078 095</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-71 936</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-12 000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-142 784</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-120 000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 xml:space="preserve"> 3</w:t>
            </w:r>
          </w:p>
        </w:tc>
        <w:tc>
          <w:tcPr>
            <w:tcW w:w="3516" w:type="dxa"/>
            <w:gridSpan w:val="2"/>
          </w:tcPr>
          <w:p w:rsidR="00AA5D77" w:rsidRPr="006C40C1" w:rsidRDefault="00AA5D77">
            <w:pPr>
              <w:pStyle w:val="Tabelltext"/>
              <w:rPr>
                <w:snapToGrid w:val="0"/>
                <w:lang w:eastAsia="sv-SE"/>
              </w:rPr>
            </w:pPr>
            <w:r w:rsidRPr="006C40C1">
              <w:rPr>
                <w:snapToGrid w:val="0"/>
                <w:lang w:eastAsia="sv-SE"/>
              </w:rPr>
              <w:t>Skatt, tull och exekution</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8 265 923</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8 265 923</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-89 000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+75 000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-15 000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-30 000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 xml:space="preserve"> 4</w:t>
            </w:r>
          </w:p>
        </w:tc>
        <w:tc>
          <w:tcPr>
            <w:tcW w:w="3516" w:type="dxa"/>
            <w:gridSpan w:val="2"/>
          </w:tcPr>
          <w:p w:rsidR="00AA5D77" w:rsidRPr="006C40C1" w:rsidRDefault="00AA5D77">
            <w:pPr>
              <w:pStyle w:val="Tabelltext"/>
              <w:rPr>
                <w:snapToGrid w:val="0"/>
                <w:lang w:eastAsia="sv-SE"/>
              </w:rPr>
            </w:pPr>
            <w:r w:rsidRPr="006C40C1">
              <w:rPr>
                <w:snapToGrid w:val="0"/>
                <w:lang w:eastAsia="sv-SE"/>
              </w:rPr>
              <w:t>Rättsväsendet</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24 584 790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24 584 790</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+946 500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+498 000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+700 000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+1 001 000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 xml:space="preserve"> 5</w:t>
            </w:r>
          </w:p>
        </w:tc>
        <w:tc>
          <w:tcPr>
            <w:tcW w:w="3516" w:type="dxa"/>
            <w:gridSpan w:val="2"/>
          </w:tcPr>
          <w:p w:rsidR="00AA5D77" w:rsidRPr="006C40C1" w:rsidRDefault="00AA5D77">
            <w:pPr>
              <w:pStyle w:val="Tabelltext"/>
              <w:rPr>
                <w:snapToGrid w:val="0"/>
                <w:lang w:eastAsia="sv-SE"/>
              </w:rPr>
            </w:pPr>
            <w:r w:rsidRPr="006C40C1">
              <w:rPr>
                <w:snapToGrid w:val="0"/>
                <w:lang w:eastAsia="sv-SE"/>
              </w:rPr>
              <w:t>Internationell samverkan</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1 284 511</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1 284 511</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+13 000</w:t>
            </w:r>
          </w:p>
        </w:tc>
        <w:tc>
          <w:tcPr>
            <w:tcW w:w="851" w:type="dxa"/>
            <w:gridSpan w:val="2"/>
          </w:tcPr>
          <w:p w:rsidR="00AA5D77" w:rsidRPr="006C40C1" w:rsidRDefault="00AA5D77">
            <w:pPr>
              <w:pStyle w:val="Tabelltext"/>
              <w:jc w:val="right"/>
              <w:rPr>
                <w:snapToGrid w:val="0"/>
                <w:lang w:eastAsia="sv-SE"/>
              </w:rPr>
            </w:pP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-30 000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-14 000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 xml:space="preserve"> 6</w:t>
            </w:r>
          </w:p>
        </w:tc>
        <w:tc>
          <w:tcPr>
            <w:tcW w:w="3516" w:type="dxa"/>
            <w:gridSpan w:val="2"/>
          </w:tcPr>
          <w:p w:rsidR="00AA5D77" w:rsidRPr="006C40C1" w:rsidRDefault="00AA5D77">
            <w:pPr>
              <w:pStyle w:val="Tabelltext"/>
              <w:rPr>
                <w:snapToGrid w:val="0"/>
                <w:lang w:eastAsia="sv-SE"/>
              </w:rPr>
            </w:pPr>
            <w:r w:rsidRPr="006C40C1">
              <w:rPr>
                <w:snapToGrid w:val="0"/>
                <w:lang w:eastAsia="sv-SE"/>
              </w:rPr>
              <w:t>Försvar samt beredskap mot sårbarhet</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44 704 155</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44 704 155</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+1 097 881</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-930 000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-130 000</w:t>
            </w:r>
          </w:p>
        </w:tc>
        <w:tc>
          <w:tcPr>
            <w:tcW w:w="992" w:type="dxa"/>
            <w:gridSpan w:val="2"/>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 xml:space="preserve"> 7</w:t>
            </w:r>
          </w:p>
        </w:tc>
        <w:tc>
          <w:tcPr>
            <w:tcW w:w="3516" w:type="dxa"/>
            <w:gridSpan w:val="2"/>
          </w:tcPr>
          <w:p w:rsidR="00AA5D77" w:rsidRPr="006C40C1" w:rsidRDefault="00AA5D77">
            <w:pPr>
              <w:pStyle w:val="Tabelltext"/>
              <w:rPr>
                <w:snapToGrid w:val="0"/>
                <w:lang w:eastAsia="sv-SE"/>
              </w:rPr>
            </w:pPr>
            <w:r w:rsidRPr="006C40C1">
              <w:rPr>
                <w:snapToGrid w:val="0"/>
                <w:lang w:eastAsia="sv-SE"/>
              </w:rPr>
              <w:t>Internationellt bistånd</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17 140 303</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17 140 303</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-2 095 000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+936 000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+500 000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+491 000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 xml:space="preserve"> 8</w:t>
            </w:r>
          </w:p>
        </w:tc>
        <w:tc>
          <w:tcPr>
            <w:tcW w:w="3516" w:type="dxa"/>
            <w:gridSpan w:val="2"/>
          </w:tcPr>
          <w:p w:rsidR="00AA5D77" w:rsidRPr="006C40C1" w:rsidRDefault="00AA5D77">
            <w:pPr>
              <w:pStyle w:val="Tabelltext"/>
              <w:rPr>
                <w:snapToGrid w:val="0"/>
                <w:lang w:eastAsia="sv-SE"/>
              </w:rPr>
            </w:pPr>
            <w:r w:rsidRPr="006C40C1">
              <w:rPr>
                <w:snapToGrid w:val="0"/>
                <w:lang w:eastAsia="sv-SE"/>
              </w:rPr>
              <w:t>Invandrare och flyktingar</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7 128 370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7 128 470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+100</w:t>
            </w: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-327 418</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-484 000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-275 500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-540 000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 xml:space="preserve"> 9</w:t>
            </w:r>
          </w:p>
        </w:tc>
        <w:tc>
          <w:tcPr>
            <w:tcW w:w="3516" w:type="dxa"/>
            <w:gridSpan w:val="2"/>
          </w:tcPr>
          <w:p w:rsidR="00AA5D77" w:rsidRPr="006C40C1" w:rsidRDefault="00AA5D77">
            <w:pPr>
              <w:pStyle w:val="Tabelltext"/>
              <w:rPr>
                <w:snapToGrid w:val="0"/>
                <w:lang w:eastAsia="sv-SE"/>
              </w:rPr>
            </w:pPr>
            <w:r w:rsidRPr="006C40C1">
              <w:rPr>
                <w:snapToGrid w:val="0"/>
                <w:lang w:eastAsia="sv-SE"/>
              </w:rPr>
              <w:t>Hälsovård, sjukvård och social o</w:t>
            </w:r>
            <w:r w:rsidRPr="006C40C1">
              <w:rPr>
                <w:snapToGrid w:val="0"/>
                <w:lang w:eastAsia="sv-SE"/>
              </w:rPr>
              <w:t>m</w:t>
            </w:r>
            <w:r w:rsidRPr="006C40C1">
              <w:rPr>
                <w:snapToGrid w:val="0"/>
                <w:lang w:eastAsia="sv-SE"/>
              </w:rPr>
              <w:t>sorg</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33 170 735</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33 356 735</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+186 000</w:t>
            </w: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+2 245 737</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+4 545 000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+2 006 000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+161 000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10</w:t>
            </w:r>
          </w:p>
        </w:tc>
        <w:tc>
          <w:tcPr>
            <w:tcW w:w="3516" w:type="dxa"/>
            <w:gridSpan w:val="2"/>
          </w:tcPr>
          <w:p w:rsidR="00AA5D77" w:rsidRPr="006C40C1" w:rsidRDefault="00AA5D77">
            <w:pPr>
              <w:pStyle w:val="Tabelltext"/>
              <w:rPr>
                <w:snapToGrid w:val="0"/>
                <w:lang w:eastAsia="sv-SE"/>
              </w:rPr>
            </w:pPr>
            <w:r w:rsidRPr="006C40C1">
              <w:rPr>
                <w:snapToGrid w:val="0"/>
                <w:lang w:eastAsia="sv-SE"/>
              </w:rPr>
              <w:t>Ekonomisk trygghet vid sjukdom och hand</w:t>
            </w:r>
            <w:r w:rsidRPr="006C40C1">
              <w:rPr>
                <w:snapToGrid w:val="0"/>
                <w:lang w:eastAsia="sv-SE"/>
              </w:rPr>
              <w:t>i</w:t>
            </w:r>
            <w:r w:rsidRPr="006C40C1">
              <w:rPr>
                <w:snapToGrid w:val="0"/>
                <w:lang w:eastAsia="sv-SE"/>
              </w:rPr>
              <w:t>kapp</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119 398 964</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119 398 964</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-9 318 000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-4 625 000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-5 930 000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-5 880 000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11</w:t>
            </w:r>
          </w:p>
        </w:tc>
        <w:tc>
          <w:tcPr>
            <w:tcW w:w="3516" w:type="dxa"/>
            <w:gridSpan w:val="2"/>
          </w:tcPr>
          <w:p w:rsidR="00AA5D77" w:rsidRPr="006C40C1" w:rsidRDefault="00AA5D77">
            <w:pPr>
              <w:pStyle w:val="Tabelltext"/>
              <w:rPr>
                <w:snapToGrid w:val="0"/>
                <w:lang w:eastAsia="sv-SE"/>
              </w:rPr>
            </w:pPr>
            <w:r w:rsidRPr="006C40C1">
              <w:rPr>
                <w:snapToGrid w:val="0"/>
                <w:lang w:eastAsia="sv-SE"/>
              </w:rPr>
              <w:t>Ekonomisk trygghet vid ålderdom</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52 547 320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52 547 320</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-570 000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+125 000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+125 000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-1 160 000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12</w:t>
            </w:r>
          </w:p>
        </w:tc>
        <w:tc>
          <w:tcPr>
            <w:tcW w:w="3516" w:type="dxa"/>
            <w:gridSpan w:val="2"/>
          </w:tcPr>
          <w:p w:rsidR="00AA5D77" w:rsidRPr="006C40C1" w:rsidRDefault="00AA5D77">
            <w:pPr>
              <w:pStyle w:val="Tabelltext"/>
              <w:rPr>
                <w:snapToGrid w:val="0"/>
                <w:lang w:eastAsia="sv-SE"/>
              </w:rPr>
            </w:pPr>
            <w:r w:rsidRPr="006C40C1">
              <w:rPr>
                <w:snapToGrid w:val="0"/>
                <w:lang w:eastAsia="sv-SE"/>
              </w:rPr>
              <w:t>Ekonomisk trygghet för familjer och barn</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52 889 100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52 889 100</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-2 477 000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-110 000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+1 740 500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+460 000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13</w:t>
            </w:r>
          </w:p>
        </w:tc>
        <w:tc>
          <w:tcPr>
            <w:tcW w:w="3516" w:type="dxa"/>
            <w:gridSpan w:val="2"/>
          </w:tcPr>
          <w:p w:rsidR="00AA5D77" w:rsidRPr="006C40C1" w:rsidRDefault="00AA5D77">
            <w:pPr>
              <w:pStyle w:val="Tabelltext"/>
              <w:rPr>
                <w:snapToGrid w:val="0"/>
                <w:lang w:eastAsia="sv-SE"/>
              </w:rPr>
            </w:pPr>
            <w:r w:rsidRPr="006C40C1">
              <w:rPr>
                <w:snapToGrid w:val="0"/>
                <w:lang w:eastAsia="sv-SE"/>
              </w:rPr>
              <w:t>Arbetsmarknad</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60 306 689</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60 306 689</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-4 461 933</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-12 900 000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-8 355 000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-12 075 000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14</w:t>
            </w:r>
          </w:p>
        </w:tc>
        <w:tc>
          <w:tcPr>
            <w:tcW w:w="3516" w:type="dxa"/>
            <w:gridSpan w:val="2"/>
          </w:tcPr>
          <w:p w:rsidR="00AA5D77" w:rsidRPr="006C40C1" w:rsidRDefault="00AA5D77">
            <w:pPr>
              <w:pStyle w:val="Tabelltext"/>
              <w:rPr>
                <w:snapToGrid w:val="0"/>
                <w:lang w:eastAsia="sv-SE"/>
              </w:rPr>
            </w:pPr>
            <w:r w:rsidRPr="006C40C1">
              <w:rPr>
                <w:snapToGrid w:val="0"/>
                <w:lang w:eastAsia="sv-SE"/>
              </w:rPr>
              <w:t>Arbetsliv</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1 147 627</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1 149 627</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+2 000</w:t>
            </w: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-82 650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-211 000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-206 000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-237 000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15</w:t>
            </w:r>
          </w:p>
        </w:tc>
        <w:tc>
          <w:tcPr>
            <w:tcW w:w="3516" w:type="dxa"/>
            <w:gridSpan w:val="2"/>
          </w:tcPr>
          <w:p w:rsidR="00AA5D77" w:rsidRPr="006C40C1" w:rsidRDefault="00AA5D77">
            <w:pPr>
              <w:pStyle w:val="Tabelltext"/>
              <w:rPr>
                <w:snapToGrid w:val="0"/>
                <w:lang w:eastAsia="sv-SE"/>
              </w:rPr>
            </w:pPr>
            <w:r w:rsidRPr="006C40C1">
              <w:rPr>
                <w:snapToGrid w:val="0"/>
                <w:lang w:eastAsia="sv-SE"/>
              </w:rPr>
              <w:t>Studiestöd</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21 849 680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21 599 680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-250 000</w:t>
            </w: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-335 000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-2 428 000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-57 000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-300 000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16</w:t>
            </w:r>
          </w:p>
        </w:tc>
        <w:tc>
          <w:tcPr>
            <w:tcW w:w="3516" w:type="dxa"/>
            <w:gridSpan w:val="2"/>
          </w:tcPr>
          <w:p w:rsidR="00AA5D77" w:rsidRPr="006C40C1" w:rsidRDefault="00AA5D77">
            <w:pPr>
              <w:pStyle w:val="Tabelltext"/>
              <w:rPr>
                <w:snapToGrid w:val="0"/>
                <w:lang w:eastAsia="sv-SE"/>
              </w:rPr>
            </w:pPr>
            <w:r w:rsidRPr="006C40C1">
              <w:rPr>
                <w:snapToGrid w:val="0"/>
                <w:lang w:eastAsia="sv-SE"/>
              </w:rPr>
              <w:t>Utbildning och universitetsforskning</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42 386 673</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42 386 673</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+2 194 144</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-480 000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-2 971 600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-1 646 000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17</w:t>
            </w:r>
          </w:p>
        </w:tc>
        <w:tc>
          <w:tcPr>
            <w:tcW w:w="3516" w:type="dxa"/>
            <w:gridSpan w:val="2"/>
          </w:tcPr>
          <w:p w:rsidR="00AA5D77" w:rsidRPr="006C40C1" w:rsidRDefault="00AA5D77">
            <w:pPr>
              <w:pStyle w:val="Tabelltext"/>
              <w:rPr>
                <w:snapToGrid w:val="0"/>
                <w:lang w:eastAsia="sv-SE"/>
              </w:rPr>
            </w:pPr>
            <w:r w:rsidRPr="006C40C1">
              <w:rPr>
                <w:snapToGrid w:val="0"/>
                <w:lang w:eastAsia="sv-SE"/>
              </w:rPr>
              <w:t>Kultur, medier, trossamfund och fritid</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8 357 903</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8 357 903</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-1 701 000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+50 000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+20 000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+91 000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18</w:t>
            </w:r>
          </w:p>
        </w:tc>
        <w:tc>
          <w:tcPr>
            <w:tcW w:w="3516" w:type="dxa"/>
            <w:gridSpan w:val="2"/>
          </w:tcPr>
          <w:p w:rsidR="00AA5D77" w:rsidRPr="006C40C1" w:rsidRDefault="00AA5D77">
            <w:pPr>
              <w:pStyle w:val="Tabelltext"/>
              <w:rPr>
                <w:snapToGrid w:val="0"/>
                <w:lang w:eastAsia="sv-SE"/>
              </w:rPr>
            </w:pPr>
            <w:r w:rsidRPr="006C40C1">
              <w:rPr>
                <w:snapToGrid w:val="0"/>
                <w:lang w:eastAsia="sv-SE"/>
              </w:rPr>
              <w:t>Samhällsplanering, bostadsförsörjning och bygga</w:t>
            </w:r>
            <w:r w:rsidRPr="006C40C1">
              <w:rPr>
                <w:snapToGrid w:val="0"/>
                <w:lang w:eastAsia="sv-SE"/>
              </w:rPr>
              <w:t>n</w:t>
            </w:r>
            <w:r w:rsidRPr="006C40C1">
              <w:rPr>
                <w:snapToGrid w:val="0"/>
                <w:lang w:eastAsia="sv-SE"/>
              </w:rPr>
              <w:t>de</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9 482 356</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9 482 356</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-894 475</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-2 042 000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+180 070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-2 073 000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19</w:t>
            </w:r>
          </w:p>
        </w:tc>
        <w:tc>
          <w:tcPr>
            <w:tcW w:w="3516" w:type="dxa"/>
            <w:gridSpan w:val="2"/>
          </w:tcPr>
          <w:p w:rsidR="00AA5D77" w:rsidRPr="006C40C1" w:rsidRDefault="00AA5D77">
            <w:pPr>
              <w:pStyle w:val="Tabelltext"/>
              <w:rPr>
                <w:snapToGrid w:val="0"/>
                <w:lang w:eastAsia="sv-SE"/>
              </w:rPr>
            </w:pPr>
            <w:r w:rsidRPr="006C40C1">
              <w:rPr>
                <w:snapToGrid w:val="0"/>
                <w:lang w:eastAsia="sv-SE"/>
              </w:rPr>
              <w:t>Regional utjämning och utveckling</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3 607 776</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3 607 776</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-450 000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-963 000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-695 000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+138 000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20</w:t>
            </w:r>
          </w:p>
        </w:tc>
        <w:tc>
          <w:tcPr>
            <w:tcW w:w="3516" w:type="dxa"/>
            <w:gridSpan w:val="2"/>
          </w:tcPr>
          <w:p w:rsidR="00AA5D77" w:rsidRPr="006C40C1" w:rsidRDefault="00AA5D77">
            <w:pPr>
              <w:pStyle w:val="Tabelltext"/>
              <w:rPr>
                <w:snapToGrid w:val="0"/>
                <w:lang w:eastAsia="sv-SE"/>
              </w:rPr>
            </w:pPr>
            <w:r w:rsidRPr="006C40C1">
              <w:rPr>
                <w:snapToGrid w:val="0"/>
                <w:lang w:eastAsia="sv-SE"/>
              </w:rPr>
              <w:t>Allmän miljö- och naturvård</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3 335 075</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3 363 075</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+28 000</w:t>
            </w: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-571 908</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-270 000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-90 000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+338 000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21</w:t>
            </w:r>
          </w:p>
        </w:tc>
        <w:tc>
          <w:tcPr>
            <w:tcW w:w="3516" w:type="dxa"/>
            <w:gridSpan w:val="2"/>
          </w:tcPr>
          <w:p w:rsidR="00AA5D77" w:rsidRPr="006C40C1" w:rsidRDefault="00AA5D77">
            <w:pPr>
              <w:pStyle w:val="Tabelltext"/>
              <w:rPr>
                <w:snapToGrid w:val="0"/>
                <w:lang w:eastAsia="sv-SE"/>
              </w:rPr>
            </w:pPr>
            <w:r w:rsidRPr="006C40C1">
              <w:rPr>
                <w:snapToGrid w:val="0"/>
                <w:lang w:eastAsia="sv-SE"/>
              </w:rPr>
              <w:t>Energi</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1 687 366</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1 687 366</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-318 008</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-1 058 000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-135 000</w:t>
            </w:r>
          </w:p>
        </w:tc>
        <w:tc>
          <w:tcPr>
            <w:tcW w:w="992" w:type="dxa"/>
            <w:gridSpan w:val="2"/>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22</w:t>
            </w:r>
          </w:p>
        </w:tc>
        <w:tc>
          <w:tcPr>
            <w:tcW w:w="3516" w:type="dxa"/>
            <w:gridSpan w:val="2"/>
          </w:tcPr>
          <w:p w:rsidR="00AA5D77" w:rsidRPr="006C40C1" w:rsidRDefault="00AA5D77">
            <w:pPr>
              <w:pStyle w:val="Tabelltext"/>
              <w:rPr>
                <w:snapToGrid w:val="0"/>
                <w:lang w:eastAsia="sv-SE"/>
              </w:rPr>
            </w:pPr>
            <w:r w:rsidRPr="006C40C1">
              <w:rPr>
                <w:snapToGrid w:val="0"/>
                <w:lang w:eastAsia="sv-SE"/>
              </w:rPr>
              <w:t>Kommunikationer</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25 858 344</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25 858 344</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+676 953</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-913 000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+3 261 000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+1 710 000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23</w:t>
            </w:r>
          </w:p>
        </w:tc>
        <w:tc>
          <w:tcPr>
            <w:tcW w:w="3516" w:type="dxa"/>
            <w:gridSpan w:val="2"/>
          </w:tcPr>
          <w:p w:rsidR="00AA5D77" w:rsidRPr="006C40C1" w:rsidRDefault="00AA5D77">
            <w:pPr>
              <w:pStyle w:val="Tabelltext"/>
              <w:rPr>
                <w:snapToGrid w:val="0"/>
                <w:lang w:eastAsia="sv-SE"/>
              </w:rPr>
            </w:pPr>
            <w:r w:rsidRPr="006C40C1">
              <w:rPr>
                <w:snapToGrid w:val="0"/>
                <w:lang w:eastAsia="sv-SE"/>
              </w:rPr>
              <w:t>Jord- och skogsbruk, fiske med anslutande nä</w:t>
            </w:r>
            <w:r w:rsidRPr="006C40C1">
              <w:rPr>
                <w:snapToGrid w:val="0"/>
                <w:lang w:eastAsia="sv-SE"/>
              </w:rPr>
              <w:t>r</w:t>
            </w:r>
            <w:r w:rsidRPr="006C40C1">
              <w:rPr>
                <w:snapToGrid w:val="0"/>
                <w:lang w:eastAsia="sv-SE"/>
              </w:rPr>
              <w:t>ingar</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10 460 479</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10 480 979</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+20 500</w:t>
            </w: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-421 631</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-455 000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+295 000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+210 000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24</w:t>
            </w:r>
          </w:p>
        </w:tc>
        <w:tc>
          <w:tcPr>
            <w:tcW w:w="3516" w:type="dxa"/>
            <w:gridSpan w:val="2"/>
          </w:tcPr>
          <w:p w:rsidR="00AA5D77" w:rsidRPr="006C40C1" w:rsidRDefault="00AA5D77">
            <w:pPr>
              <w:pStyle w:val="Tabelltext"/>
              <w:rPr>
                <w:snapToGrid w:val="0"/>
                <w:lang w:eastAsia="sv-SE"/>
              </w:rPr>
            </w:pPr>
            <w:r w:rsidRPr="006C40C1">
              <w:rPr>
                <w:snapToGrid w:val="0"/>
                <w:lang w:eastAsia="sv-SE"/>
              </w:rPr>
              <w:t>Näringsliv</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3 542 675</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3 542 675</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-289 000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-404 000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-353 300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-394 000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25</w:t>
            </w:r>
          </w:p>
        </w:tc>
        <w:tc>
          <w:tcPr>
            <w:tcW w:w="3516" w:type="dxa"/>
            <w:gridSpan w:val="2"/>
          </w:tcPr>
          <w:p w:rsidR="00AA5D77" w:rsidRPr="006C40C1" w:rsidRDefault="00AA5D77">
            <w:pPr>
              <w:pStyle w:val="Tabelltext"/>
              <w:rPr>
                <w:snapToGrid w:val="0"/>
                <w:lang w:eastAsia="sv-SE"/>
              </w:rPr>
            </w:pPr>
            <w:r w:rsidRPr="006C40C1">
              <w:rPr>
                <w:snapToGrid w:val="0"/>
                <w:lang w:eastAsia="sv-SE"/>
              </w:rPr>
              <w:t>Allmänna bidrag till kommuner</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68 030 664</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68 486 664</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+456 000</w:t>
            </w: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+62 830 000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+8 690 000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+5 217 000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-19 535 000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26</w:t>
            </w:r>
          </w:p>
        </w:tc>
        <w:tc>
          <w:tcPr>
            <w:tcW w:w="3516" w:type="dxa"/>
            <w:gridSpan w:val="2"/>
          </w:tcPr>
          <w:p w:rsidR="00AA5D77" w:rsidRPr="006C40C1" w:rsidRDefault="00AA5D77">
            <w:pPr>
              <w:pStyle w:val="Tabelltext"/>
              <w:rPr>
                <w:snapToGrid w:val="0"/>
                <w:lang w:eastAsia="sv-SE"/>
              </w:rPr>
            </w:pPr>
            <w:r w:rsidRPr="006C40C1">
              <w:rPr>
                <w:snapToGrid w:val="0"/>
                <w:lang w:eastAsia="sv-SE"/>
              </w:rPr>
              <w:t>Statsskuldsräntor m.m.</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54 450 000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54 450 000</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r w:rsidRPr="006C40C1">
              <w:rPr>
                <w:snapToGrid w:val="0"/>
                <w:lang w:eastAsia="sv-SE"/>
              </w:rPr>
              <w:t>-755 000</w:t>
            </w: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-1 200 000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-811 320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-1 076 000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r w:rsidRPr="006C40C1">
              <w:rPr>
                <w:snapToGrid w:val="0"/>
                <w:lang w:eastAsia="sv-SE"/>
              </w:rPr>
              <w:t>27</w:t>
            </w:r>
          </w:p>
        </w:tc>
        <w:tc>
          <w:tcPr>
            <w:tcW w:w="3516" w:type="dxa"/>
            <w:gridSpan w:val="2"/>
          </w:tcPr>
          <w:p w:rsidR="00AA5D77" w:rsidRPr="006C40C1" w:rsidRDefault="00AA5D77">
            <w:pPr>
              <w:pStyle w:val="Tabelltext"/>
              <w:rPr>
                <w:snapToGrid w:val="0"/>
                <w:lang w:eastAsia="sv-SE"/>
              </w:rPr>
            </w:pPr>
            <w:r w:rsidRPr="006C40C1">
              <w:rPr>
                <w:snapToGrid w:val="0"/>
                <w:lang w:eastAsia="sv-SE"/>
              </w:rPr>
              <w:t>Avgiften till Europeiska gemenskapen</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23 695 000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23 695 000</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p>
        </w:tc>
        <w:tc>
          <w:tcPr>
            <w:tcW w:w="851" w:type="dxa"/>
            <w:gridSpan w:val="2"/>
          </w:tcPr>
          <w:p w:rsidR="00AA5D77" w:rsidRPr="006C40C1" w:rsidRDefault="00AA5D77">
            <w:pPr>
              <w:pStyle w:val="Tabelltext"/>
              <w:jc w:val="right"/>
              <w:rPr>
                <w:snapToGrid w:val="0"/>
                <w:lang w:eastAsia="sv-SE"/>
              </w:rPr>
            </w:pPr>
          </w:p>
        </w:tc>
        <w:tc>
          <w:tcPr>
            <w:tcW w:w="992" w:type="dxa"/>
            <w:gridSpan w:val="2"/>
          </w:tcPr>
          <w:p w:rsidR="00AA5D77" w:rsidRPr="006C40C1" w:rsidRDefault="00AA5D77">
            <w:pPr>
              <w:pStyle w:val="Tabelltext"/>
              <w:jc w:val="right"/>
              <w:rPr>
                <w:snapToGrid w:val="0"/>
                <w:lang w:eastAsia="sv-SE"/>
              </w:rPr>
            </w:pPr>
          </w:p>
        </w:tc>
        <w:tc>
          <w:tcPr>
            <w:tcW w:w="992" w:type="dxa"/>
            <w:gridSpan w:val="2"/>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spacing w:before="0"/>
              <w:jc w:val="right"/>
              <w:rPr>
                <w:b/>
                <w:snapToGrid w:val="0"/>
                <w:color w:val="000000"/>
                <w:sz w:val="16"/>
                <w:lang w:eastAsia="sv-SE"/>
              </w:rPr>
            </w:pPr>
          </w:p>
        </w:tc>
        <w:tc>
          <w:tcPr>
            <w:tcW w:w="3516" w:type="dxa"/>
            <w:gridSpan w:val="2"/>
          </w:tcPr>
          <w:p w:rsidR="00AA5D77" w:rsidRPr="006C40C1" w:rsidRDefault="00AA5D77">
            <w:pPr>
              <w:spacing w:before="0"/>
              <w:rPr>
                <w:b/>
                <w:snapToGrid w:val="0"/>
                <w:color w:val="000000"/>
                <w:sz w:val="16"/>
                <w:lang w:eastAsia="sv-SE"/>
              </w:rPr>
            </w:pPr>
            <w:r w:rsidRPr="006C40C1">
              <w:rPr>
                <w:b/>
                <w:snapToGrid w:val="0"/>
                <w:color w:val="000000"/>
                <w:sz w:val="16"/>
                <w:lang w:eastAsia="sv-SE"/>
              </w:rPr>
              <w:t>Summa utgiftsområden</w:t>
            </w:r>
          </w:p>
        </w:tc>
        <w:tc>
          <w:tcPr>
            <w:tcW w:w="964" w:type="dxa"/>
            <w:gridSpan w:val="2"/>
          </w:tcPr>
          <w:p w:rsidR="00AA5D77" w:rsidRPr="006C40C1" w:rsidRDefault="00AA5D77">
            <w:pPr>
              <w:spacing w:before="0"/>
              <w:jc w:val="right"/>
              <w:rPr>
                <w:b/>
                <w:snapToGrid w:val="0"/>
                <w:color w:val="000000"/>
                <w:sz w:val="16"/>
                <w:lang w:eastAsia="sv-SE"/>
              </w:rPr>
            </w:pPr>
            <w:r w:rsidRPr="006C40C1">
              <w:rPr>
                <w:b/>
                <w:snapToGrid w:val="0"/>
                <w:color w:val="000000"/>
                <w:sz w:val="16"/>
                <w:lang w:eastAsia="sv-SE"/>
              </w:rPr>
              <w:t>715 740 191</w:t>
            </w:r>
          </w:p>
        </w:tc>
        <w:tc>
          <w:tcPr>
            <w:tcW w:w="992" w:type="dxa"/>
            <w:gridSpan w:val="2"/>
          </w:tcPr>
          <w:p w:rsidR="00AA5D77" w:rsidRPr="006C40C1" w:rsidRDefault="00AA5D77">
            <w:pPr>
              <w:spacing w:before="0"/>
              <w:jc w:val="right"/>
              <w:rPr>
                <w:b/>
                <w:snapToGrid w:val="0"/>
                <w:color w:val="000000"/>
                <w:sz w:val="16"/>
                <w:lang w:eastAsia="sv-SE"/>
              </w:rPr>
            </w:pPr>
            <w:r w:rsidRPr="006C40C1">
              <w:rPr>
                <w:b/>
                <w:snapToGrid w:val="0"/>
                <w:color w:val="000000"/>
                <w:sz w:val="16"/>
                <w:lang w:eastAsia="sv-SE"/>
              </w:rPr>
              <w:t>716 182 791</w:t>
            </w:r>
          </w:p>
        </w:tc>
        <w:tc>
          <w:tcPr>
            <w:tcW w:w="851" w:type="dxa"/>
            <w:gridSpan w:val="2"/>
          </w:tcPr>
          <w:p w:rsidR="00AA5D77" w:rsidRPr="006C40C1" w:rsidRDefault="00AA5D77">
            <w:pPr>
              <w:spacing w:before="0"/>
              <w:jc w:val="right"/>
              <w:rPr>
                <w:b/>
                <w:snapToGrid w:val="0"/>
                <w:color w:val="000000"/>
                <w:sz w:val="16"/>
                <w:lang w:eastAsia="sv-SE"/>
              </w:rPr>
            </w:pPr>
          </w:p>
        </w:tc>
        <w:tc>
          <w:tcPr>
            <w:tcW w:w="936" w:type="dxa"/>
            <w:gridSpan w:val="2"/>
          </w:tcPr>
          <w:p w:rsidR="00AA5D77" w:rsidRPr="006C40C1" w:rsidRDefault="00AA5D77">
            <w:pPr>
              <w:spacing w:before="0"/>
              <w:jc w:val="right"/>
              <w:rPr>
                <w:b/>
                <w:snapToGrid w:val="0"/>
                <w:color w:val="000000"/>
                <w:sz w:val="16"/>
                <w:lang w:eastAsia="sv-SE"/>
              </w:rPr>
            </w:pPr>
            <w:r w:rsidRPr="006C40C1">
              <w:rPr>
                <w:b/>
                <w:snapToGrid w:val="0"/>
                <w:color w:val="000000"/>
                <w:sz w:val="16"/>
                <w:lang w:eastAsia="sv-SE"/>
              </w:rPr>
              <w:t>+43 932 666</w:t>
            </w:r>
          </w:p>
        </w:tc>
        <w:tc>
          <w:tcPr>
            <w:tcW w:w="851" w:type="dxa"/>
            <w:gridSpan w:val="2"/>
          </w:tcPr>
          <w:p w:rsidR="00AA5D77" w:rsidRPr="006C40C1" w:rsidRDefault="00AA5D77">
            <w:pPr>
              <w:spacing w:before="0"/>
              <w:jc w:val="right"/>
              <w:rPr>
                <w:b/>
                <w:snapToGrid w:val="0"/>
                <w:sz w:val="16"/>
                <w:lang w:eastAsia="sv-SE"/>
              </w:rPr>
            </w:pPr>
            <w:r w:rsidRPr="006C40C1">
              <w:rPr>
                <w:b/>
                <w:snapToGrid w:val="0"/>
                <w:sz w:val="16"/>
                <w:lang w:eastAsia="sv-SE"/>
              </w:rPr>
              <w:t>-15 630 000</w:t>
            </w:r>
          </w:p>
        </w:tc>
        <w:tc>
          <w:tcPr>
            <w:tcW w:w="992" w:type="dxa"/>
            <w:gridSpan w:val="2"/>
          </w:tcPr>
          <w:p w:rsidR="00AA5D77" w:rsidRPr="006C40C1" w:rsidRDefault="00AA5D77">
            <w:pPr>
              <w:spacing w:before="0"/>
              <w:jc w:val="right"/>
              <w:rPr>
                <w:b/>
                <w:snapToGrid w:val="0"/>
                <w:color w:val="000000"/>
                <w:sz w:val="16"/>
                <w:lang w:eastAsia="sv-SE"/>
              </w:rPr>
            </w:pPr>
            <w:r w:rsidRPr="006C40C1">
              <w:rPr>
                <w:b/>
                <w:snapToGrid w:val="0"/>
                <w:color w:val="000000"/>
                <w:sz w:val="16"/>
                <w:lang w:eastAsia="sv-SE"/>
              </w:rPr>
              <w:t>-6 643 934</w:t>
            </w:r>
          </w:p>
        </w:tc>
        <w:tc>
          <w:tcPr>
            <w:tcW w:w="992" w:type="dxa"/>
            <w:gridSpan w:val="2"/>
          </w:tcPr>
          <w:p w:rsidR="00AA5D77" w:rsidRPr="006C40C1" w:rsidRDefault="00AA5D77">
            <w:pPr>
              <w:spacing w:before="0"/>
              <w:jc w:val="right"/>
              <w:rPr>
                <w:b/>
                <w:snapToGrid w:val="0"/>
                <w:color w:val="000000"/>
                <w:sz w:val="16"/>
                <w:lang w:eastAsia="sv-SE"/>
              </w:rPr>
            </w:pPr>
            <w:r w:rsidRPr="006C40C1">
              <w:rPr>
                <w:b/>
                <w:snapToGrid w:val="0"/>
                <w:color w:val="000000"/>
                <w:sz w:val="16"/>
                <w:lang w:eastAsia="sv-SE"/>
              </w:rPr>
              <w:t>-41 317 000</w:t>
            </w: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p>
        </w:tc>
        <w:tc>
          <w:tcPr>
            <w:tcW w:w="3516" w:type="dxa"/>
            <w:gridSpan w:val="2"/>
          </w:tcPr>
          <w:p w:rsidR="00AA5D77" w:rsidRPr="006C40C1" w:rsidRDefault="00AA5D77">
            <w:pPr>
              <w:pStyle w:val="Tabelltext"/>
              <w:rPr>
                <w:snapToGrid w:val="0"/>
                <w:lang w:eastAsia="sv-SE"/>
              </w:rPr>
            </w:pPr>
            <w:r w:rsidRPr="006C40C1">
              <w:rPr>
                <w:snapToGrid w:val="0"/>
                <w:lang w:eastAsia="sv-SE"/>
              </w:rPr>
              <w:t>Minskning av anslagsbehållningar</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370 466</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370 466</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p>
        </w:tc>
        <w:tc>
          <w:tcPr>
            <w:tcW w:w="851" w:type="dxa"/>
            <w:gridSpan w:val="2"/>
          </w:tcPr>
          <w:p w:rsidR="00AA5D77" w:rsidRPr="006C40C1" w:rsidRDefault="00AA5D77">
            <w:pPr>
              <w:pStyle w:val="Tabelltext"/>
              <w:jc w:val="right"/>
              <w:rPr>
                <w:snapToGrid w:val="0"/>
                <w:lang w:eastAsia="sv-SE"/>
              </w:rPr>
            </w:pPr>
            <w:r w:rsidRPr="006C40C1">
              <w:rPr>
                <w:snapToGrid w:val="0"/>
                <w:lang w:eastAsia="sv-SE"/>
              </w:rPr>
              <w:t>-1 000 000</w:t>
            </w:r>
          </w:p>
        </w:tc>
        <w:tc>
          <w:tcPr>
            <w:tcW w:w="992" w:type="dxa"/>
            <w:gridSpan w:val="2"/>
          </w:tcPr>
          <w:p w:rsidR="00AA5D77" w:rsidRPr="006C40C1" w:rsidRDefault="00AA5D77">
            <w:pPr>
              <w:pStyle w:val="Tabelltext"/>
              <w:jc w:val="right"/>
              <w:rPr>
                <w:snapToGrid w:val="0"/>
                <w:lang w:eastAsia="sv-SE"/>
              </w:rPr>
            </w:pPr>
          </w:p>
        </w:tc>
        <w:tc>
          <w:tcPr>
            <w:tcW w:w="992" w:type="dxa"/>
            <w:gridSpan w:val="2"/>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p>
        </w:tc>
        <w:tc>
          <w:tcPr>
            <w:tcW w:w="3516" w:type="dxa"/>
            <w:gridSpan w:val="2"/>
          </w:tcPr>
          <w:p w:rsidR="00AA5D77" w:rsidRPr="006C40C1" w:rsidRDefault="00AA5D77">
            <w:pPr>
              <w:pStyle w:val="Tabelltext"/>
              <w:rPr>
                <w:snapToGrid w:val="0"/>
                <w:lang w:eastAsia="sv-SE"/>
              </w:rPr>
            </w:pPr>
            <w:r w:rsidRPr="006C40C1">
              <w:rPr>
                <w:snapToGrid w:val="0"/>
                <w:lang w:eastAsia="sv-SE"/>
              </w:rPr>
              <w:t>Myndigheters m.fl. in- och utlåning i Riksgäldsko</w:t>
            </w:r>
            <w:r w:rsidRPr="006C40C1">
              <w:rPr>
                <w:snapToGrid w:val="0"/>
                <w:lang w:eastAsia="sv-SE"/>
              </w:rPr>
              <w:t>n</w:t>
            </w:r>
            <w:r w:rsidRPr="006C40C1">
              <w:rPr>
                <w:snapToGrid w:val="0"/>
                <w:lang w:eastAsia="sv-SE"/>
              </w:rPr>
              <w:t>toret, netto</w:t>
            </w:r>
          </w:p>
        </w:tc>
        <w:tc>
          <w:tcPr>
            <w:tcW w:w="964" w:type="dxa"/>
            <w:gridSpan w:val="2"/>
          </w:tcPr>
          <w:p w:rsidR="00AA5D77" w:rsidRPr="006C40C1" w:rsidRDefault="00AA5D77">
            <w:pPr>
              <w:pStyle w:val="Tabelltext"/>
              <w:jc w:val="right"/>
              <w:rPr>
                <w:snapToGrid w:val="0"/>
                <w:lang w:eastAsia="sv-SE"/>
              </w:rPr>
            </w:pPr>
          </w:p>
          <w:p w:rsidR="00AA5D77" w:rsidRPr="006C40C1" w:rsidRDefault="00AA5D77">
            <w:pPr>
              <w:pStyle w:val="Tabelltext"/>
              <w:jc w:val="right"/>
              <w:rPr>
                <w:snapToGrid w:val="0"/>
                <w:lang w:eastAsia="sv-SE"/>
              </w:rPr>
            </w:pPr>
            <w:r w:rsidRPr="006C40C1">
              <w:rPr>
                <w:snapToGrid w:val="0"/>
                <w:lang w:eastAsia="sv-SE"/>
              </w:rPr>
              <w:t>12 047 000</w:t>
            </w:r>
          </w:p>
        </w:tc>
        <w:tc>
          <w:tcPr>
            <w:tcW w:w="992" w:type="dxa"/>
            <w:gridSpan w:val="2"/>
          </w:tcPr>
          <w:p w:rsidR="00AA5D77" w:rsidRPr="006C40C1" w:rsidRDefault="00AA5D77">
            <w:pPr>
              <w:pStyle w:val="Tabelltext"/>
              <w:jc w:val="right"/>
              <w:rPr>
                <w:snapToGrid w:val="0"/>
                <w:lang w:eastAsia="sv-SE"/>
              </w:rPr>
            </w:pPr>
          </w:p>
          <w:p w:rsidR="00AA5D77" w:rsidRPr="006C40C1" w:rsidRDefault="00AA5D77">
            <w:pPr>
              <w:pStyle w:val="Tabelltext"/>
              <w:jc w:val="right"/>
              <w:rPr>
                <w:snapToGrid w:val="0"/>
                <w:lang w:eastAsia="sv-SE"/>
              </w:rPr>
            </w:pPr>
            <w:r w:rsidRPr="006C40C1">
              <w:rPr>
                <w:snapToGrid w:val="0"/>
                <w:lang w:eastAsia="sv-SE"/>
              </w:rPr>
              <w:t>12 047 000</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p>
        </w:tc>
        <w:tc>
          <w:tcPr>
            <w:tcW w:w="851" w:type="dxa"/>
            <w:gridSpan w:val="2"/>
          </w:tcPr>
          <w:p w:rsidR="00AA5D77" w:rsidRPr="006C40C1" w:rsidRDefault="00AA5D77">
            <w:pPr>
              <w:pStyle w:val="Tabelltext"/>
              <w:jc w:val="right"/>
              <w:rPr>
                <w:snapToGrid w:val="0"/>
                <w:lang w:eastAsia="sv-SE"/>
              </w:rPr>
            </w:pPr>
          </w:p>
        </w:tc>
        <w:tc>
          <w:tcPr>
            <w:tcW w:w="992" w:type="dxa"/>
            <w:gridSpan w:val="2"/>
          </w:tcPr>
          <w:p w:rsidR="00AA5D77" w:rsidRPr="006C40C1" w:rsidRDefault="00AA5D77">
            <w:pPr>
              <w:pStyle w:val="Tabelltext"/>
              <w:jc w:val="right"/>
              <w:rPr>
                <w:snapToGrid w:val="0"/>
                <w:lang w:eastAsia="sv-SE"/>
              </w:rPr>
            </w:pPr>
          </w:p>
          <w:p w:rsidR="00AA5D77" w:rsidRPr="006C40C1" w:rsidRDefault="00AA5D77">
            <w:pPr>
              <w:pStyle w:val="Tabelltext"/>
              <w:jc w:val="right"/>
              <w:rPr>
                <w:snapToGrid w:val="0"/>
                <w:lang w:eastAsia="sv-SE"/>
              </w:rPr>
            </w:pPr>
            <w:r w:rsidRPr="006C40C1">
              <w:rPr>
                <w:snapToGrid w:val="0"/>
                <w:lang w:eastAsia="sv-SE"/>
              </w:rPr>
              <w:t>-3 000 000</w:t>
            </w:r>
          </w:p>
        </w:tc>
        <w:tc>
          <w:tcPr>
            <w:tcW w:w="992" w:type="dxa"/>
            <w:gridSpan w:val="2"/>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gridBefore w:val="2"/>
          <w:wBefore w:w="849" w:type="dxa"/>
          <w:trHeight w:val="160"/>
          <w:jc w:val="right"/>
        </w:trPr>
        <w:tc>
          <w:tcPr>
            <w:tcW w:w="283" w:type="dxa"/>
          </w:tcPr>
          <w:p w:rsidR="00AA5D77" w:rsidRPr="006C40C1" w:rsidRDefault="00AA5D77">
            <w:pPr>
              <w:pStyle w:val="Tabelltext"/>
              <w:rPr>
                <w:snapToGrid w:val="0"/>
                <w:lang w:eastAsia="sv-SE"/>
              </w:rPr>
            </w:pPr>
          </w:p>
        </w:tc>
        <w:tc>
          <w:tcPr>
            <w:tcW w:w="3516" w:type="dxa"/>
            <w:gridSpan w:val="2"/>
          </w:tcPr>
          <w:p w:rsidR="00AA5D77" w:rsidRPr="006C40C1" w:rsidRDefault="00AA5D77">
            <w:pPr>
              <w:pStyle w:val="Tabelltext"/>
              <w:rPr>
                <w:snapToGrid w:val="0"/>
                <w:lang w:eastAsia="sv-SE"/>
              </w:rPr>
            </w:pPr>
            <w:r w:rsidRPr="006C40C1">
              <w:rPr>
                <w:snapToGrid w:val="0"/>
                <w:lang w:eastAsia="sv-SE"/>
              </w:rPr>
              <w:t>Kassamässig korrigering</w:t>
            </w:r>
          </w:p>
        </w:tc>
        <w:tc>
          <w:tcPr>
            <w:tcW w:w="964" w:type="dxa"/>
            <w:gridSpan w:val="2"/>
          </w:tcPr>
          <w:p w:rsidR="00AA5D77" w:rsidRPr="006C40C1" w:rsidRDefault="00AA5D77">
            <w:pPr>
              <w:pStyle w:val="Tabelltext"/>
              <w:jc w:val="right"/>
              <w:rPr>
                <w:snapToGrid w:val="0"/>
                <w:lang w:eastAsia="sv-SE"/>
              </w:rPr>
            </w:pPr>
            <w:r w:rsidRPr="006C40C1">
              <w:rPr>
                <w:snapToGrid w:val="0"/>
                <w:lang w:eastAsia="sv-SE"/>
              </w:rPr>
              <w:t>-13 400 000</w:t>
            </w:r>
          </w:p>
        </w:tc>
        <w:tc>
          <w:tcPr>
            <w:tcW w:w="992" w:type="dxa"/>
            <w:gridSpan w:val="2"/>
          </w:tcPr>
          <w:p w:rsidR="00AA5D77" w:rsidRPr="006C40C1" w:rsidRDefault="00AA5D77">
            <w:pPr>
              <w:pStyle w:val="Tabelltext"/>
              <w:jc w:val="right"/>
              <w:rPr>
                <w:snapToGrid w:val="0"/>
                <w:lang w:eastAsia="sv-SE"/>
              </w:rPr>
            </w:pPr>
            <w:r w:rsidRPr="006C40C1">
              <w:rPr>
                <w:snapToGrid w:val="0"/>
                <w:lang w:eastAsia="sv-SE"/>
              </w:rPr>
              <w:t>-13 400 000</w:t>
            </w:r>
          </w:p>
        </w:tc>
        <w:tc>
          <w:tcPr>
            <w:tcW w:w="851" w:type="dxa"/>
            <w:gridSpan w:val="2"/>
          </w:tcPr>
          <w:p w:rsidR="00AA5D77" w:rsidRPr="006C40C1" w:rsidRDefault="00AA5D77">
            <w:pPr>
              <w:pStyle w:val="Tabelltext"/>
              <w:jc w:val="right"/>
              <w:rPr>
                <w:snapToGrid w:val="0"/>
                <w:lang w:eastAsia="sv-SE"/>
              </w:rPr>
            </w:pPr>
          </w:p>
        </w:tc>
        <w:tc>
          <w:tcPr>
            <w:tcW w:w="936" w:type="dxa"/>
            <w:gridSpan w:val="2"/>
          </w:tcPr>
          <w:p w:rsidR="00AA5D77" w:rsidRPr="006C40C1" w:rsidRDefault="00AA5D77">
            <w:pPr>
              <w:pStyle w:val="Tabelltext"/>
              <w:jc w:val="right"/>
              <w:rPr>
                <w:snapToGrid w:val="0"/>
                <w:lang w:eastAsia="sv-SE"/>
              </w:rPr>
            </w:pPr>
          </w:p>
        </w:tc>
        <w:tc>
          <w:tcPr>
            <w:tcW w:w="851" w:type="dxa"/>
            <w:gridSpan w:val="2"/>
          </w:tcPr>
          <w:p w:rsidR="00AA5D77" w:rsidRPr="006C40C1" w:rsidRDefault="00AA5D77">
            <w:pPr>
              <w:pStyle w:val="Tabelltext"/>
              <w:jc w:val="right"/>
              <w:rPr>
                <w:snapToGrid w:val="0"/>
                <w:lang w:eastAsia="sv-SE"/>
              </w:rPr>
            </w:pPr>
          </w:p>
        </w:tc>
        <w:tc>
          <w:tcPr>
            <w:tcW w:w="992" w:type="dxa"/>
            <w:gridSpan w:val="2"/>
          </w:tcPr>
          <w:p w:rsidR="00AA5D77" w:rsidRPr="006C40C1" w:rsidRDefault="00AA5D77">
            <w:pPr>
              <w:pStyle w:val="Tabelltext"/>
              <w:jc w:val="right"/>
              <w:rPr>
                <w:snapToGrid w:val="0"/>
                <w:lang w:eastAsia="sv-SE"/>
              </w:rPr>
            </w:pPr>
          </w:p>
        </w:tc>
        <w:tc>
          <w:tcPr>
            <w:tcW w:w="992" w:type="dxa"/>
            <w:gridSpan w:val="2"/>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gridBefore w:val="2"/>
          <w:wBefore w:w="849" w:type="dxa"/>
          <w:trHeight w:val="160"/>
          <w:jc w:val="right"/>
        </w:trPr>
        <w:tc>
          <w:tcPr>
            <w:tcW w:w="283" w:type="dxa"/>
            <w:tcBorders>
              <w:bottom w:val="single" w:sz="4" w:space="0" w:color="auto"/>
            </w:tcBorders>
          </w:tcPr>
          <w:p w:rsidR="00AA5D77" w:rsidRPr="006C40C1" w:rsidRDefault="00AA5D77">
            <w:pPr>
              <w:pStyle w:val="Tabelltext"/>
              <w:spacing w:before="40"/>
              <w:rPr>
                <w:b/>
                <w:snapToGrid w:val="0"/>
                <w:lang w:eastAsia="sv-SE"/>
              </w:rPr>
            </w:pPr>
          </w:p>
        </w:tc>
        <w:tc>
          <w:tcPr>
            <w:tcW w:w="3516" w:type="dxa"/>
            <w:gridSpan w:val="2"/>
            <w:tcBorders>
              <w:bottom w:val="single" w:sz="4" w:space="0" w:color="auto"/>
            </w:tcBorders>
          </w:tcPr>
          <w:p w:rsidR="00AA5D77" w:rsidRPr="006C40C1" w:rsidRDefault="00AA5D77">
            <w:pPr>
              <w:pStyle w:val="Tabelltext"/>
              <w:spacing w:before="40"/>
              <w:rPr>
                <w:b/>
                <w:snapToGrid w:val="0"/>
                <w:lang w:eastAsia="sv-SE"/>
              </w:rPr>
            </w:pPr>
            <w:r w:rsidRPr="006C40C1">
              <w:rPr>
                <w:b/>
                <w:snapToGrid w:val="0"/>
                <w:lang w:eastAsia="sv-SE"/>
              </w:rPr>
              <w:t>Summa</w:t>
            </w:r>
          </w:p>
        </w:tc>
        <w:tc>
          <w:tcPr>
            <w:tcW w:w="964" w:type="dxa"/>
            <w:gridSpan w:val="2"/>
            <w:tcBorders>
              <w:bottom w:val="single" w:sz="4" w:space="0" w:color="auto"/>
            </w:tcBorders>
          </w:tcPr>
          <w:p w:rsidR="00AA5D77" w:rsidRPr="006C40C1" w:rsidRDefault="00AA5D77">
            <w:pPr>
              <w:pStyle w:val="Tabelltext"/>
              <w:spacing w:before="40"/>
              <w:jc w:val="right"/>
              <w:rPr>
                <w:b/>
                <w:snapToGrid w:val="0"/>
                <w:lang w:eastAsia="sv-SE"/>
              </w:rPr>
            </w:pPr>
            <w:r w:rsidRPr="006C40C1">
              <w:rPr>
                <w:b/>
                <w:snapToGrid w:val="0"/>
                <w:lang w:eastAsia="sv-SE"/>
              </w:rPr>
              <w:t>714 757 657</w:t>
            </w:r>
          </w:p>
        </w:tc>
        <w:tc>
          <w:tcPr>
            <w:tcW w:w="992" w:type="dxa"/>
            <w:gridSpan w:val="2"/>
            <w:tcBorders>
              <w:bottom w:val="single" w:sz="4" w:space="0" w:color="auto"/>
            </w:tcBorders>
          </w:tcPr>
          <w:p w:rsidR="00AA5D77" w:rsidRPr="006C40C1" w:rsidRDefault="00AA5D77">
            <w:pPr>
              <w:pStyle w:val="Tabelltext"/>
              <w:spacing w:before="40"/>
              <w:jc w:val="right"/>
              <w:rPr>
                <w:b/>
                <w:snapToGrid w:val="0"/>
                <w:lang w:eastAsia="sv-SE"/>
              </w:rPr>
            </w:pPr>
            <w:r w:rsidRPr="006C40C1">
              <w:rPr>
                <w:b/>
                <w:snapToGrid w:val="0"/>
                <w:lang w:eastAsia="sv-SE"/>
              </w:rPr>
              <w:t>715 200 257</w:t>
            </w:r>
          </w:p>
        </w:tc>
        <w:tc>
          <w:tcPr>
            <w:tcW w:w="851" w:type="dxa"/>
            <w:gridSpan w:val="2"/>
            <w:tcBorders>
              <w:bottom w:val="single" w:sz="4" w:space="0" w:color="auto"/>
            </w:tcBorders>
          </w:tcPr>
          <w:p w:rsidR="00AA5D77" w:rsidRPr="006C40C1" w:rsidRDefault="00AA5D77">
            <w:pPr>
              <w:pStyle w:val="Tabelltext"/>
              <w:spacing w:before="40"/>
              <w:jc w:val="right"/>
              <w:rPr>
                <w:b/>
                <w:snapToGrid w:val="0"/>
                <w:lang w:eastAsia="sv-SE"/>
              </w:rPr>
            </w:pPr>
            <w:r w:rsidRPr="006C40C1">
              <w:rPr>
                <w:b/>
                <w:snapToGrid w:val="0"/>
                <w:lang w:eastAsia="sv-SE"/>
              </w:rPr>
              <w:t>+442 600</w:t>
            </w:r>
          </w:p>
        </w:tc>
        <w:tc>
          <w:tcPr>
            <w:tcW w:w="936" w:type="dxa"/>
            <w:gridSpan w:val="2"/>
            <w:tcBorders>
              <w:bottom w:val="single" w:sz="4" w:space="0" w:color="auto"/>
            </w:tcBorders>
          </w:tcPr>
          <w:p w:rsidR="00AA5D77" w:rsidRPr="006C40C1" w:rsidRDefault="00AA5D77">
            <w:pPr>
              <w:pStyle w:val="Tabelltext"/>
              <w:spacing w:before="40"/>
              <w:jc w:val="right"/>
              <w:rPr>
                <w:b/>
                <w:snapToGrid w:val="0"/>
                <w:lang w:eastAsia="sv-SE"/>
              </w:rPr>
            </w:pPr>
            <w:r w:rsidRPr="006C40C1">
              <w:rPr>
                <w:b/>
                <w:snapToGrid w:val="0"/>
                <w:lang w:eastAsia="sv-SE"/>
              </w:rPr>
              <w:t>+43 932 666</w:t>
            </w:r>
          </w:p>
        </w:tc>
        <w:tc>
          <w:tcPr>
            <w:tcW w:w="851" w:type="dxa"/>
            <w:gridSpan w:val="2"/>
            <w:tcBorders>
              <w:bottom w:val="single" w:sz="4" w:space="0" w:color="auto"/>
            </w:tcBorders>
          </w:tcPr>
          <w:p w:rsidR="00AA5D77" w:rsidRPr="006C40C1" w:rsidRDefault="00AA5D77">
            <w:pPr>
              <w:pStyle w:val="Tabelltext"/>
              <w:spacing w:before="40"/>
              <w:jc w:val="right"/>
              <w:rPr>
                <w:b/>
                <w:snapToGrid w:val="0"/>
                <w:lang w:eastAsia="sv-SE"/>
              </w:rPr>
            </w:pPr>
            <w:r w:rsidRPr="006C40C1">
              <w:rPr>
                <w:b/>
                <w:snapToGrid w:val="0"/>
                <w:lang w:eastAsia="sv-SE"/>
              </w:rPr>
              <w:t>-16 630 000</w:t>
            </w:r>
          </w:p>
        </w:tc>
        <w:tc>
          <w:tcPr>
            <w:tcW w:w="992" w:type="dxa"/>
            <w:gridSpan w:val="2"/>
            <w:tcBorders>
              <w:bottom w:val="single" w:sz="4" w:space="0" w:color="auto"/>
            </w:tcBorders>
          </w:tcPr>
          <w:p w:rsidR="00AA5D77" w:rsidRPr="006C40C1" w:rsidRDefault="00AA5D77">
            <w:pPr>
              <w:pStyle w:val="Tabelltext"/>
              <w:spacing w:before="40"/>
              <w:jc w:val="right"/>
              <w:rPr>
                <w:b/>
                <w:snapToGrid w:val="0"/>
                <w:lang w:eastAsia="sv-SE"/>
              </w:rPr>
            </w:pPr>
            <w:r w:rsidRPr="006C40C1">
              <w:rPr>
                <w:b/>
                <w:snapToGrid w:val="0"/>
                <w:lang w:eastAsia="sv-SE"/>
              </w:rPr>
              <w:t>-9 643 934</w:t>
            </w:r>
          </w:p>
        </w:tc>
        <w:tc>
          <w:tcPr>
            <w:tcW w:w="992" w:type="dxa"/>
            <w:gridSpan w:val="2"/>
            <w:tcBorders>
              <w:bottom w:val="single" w:sz="4" w:space="0" w:color="auto"/>
            </w:tcBorders>
          </w:tcPr>
          <w:p w:rsidR="00AA5D77" w:rsidRPr="006C40C1" w:rsidRDefault="00AA5D77">
            <w:pPr>
              <w:pStyle w:val="Tabelltext"/>
              <w:spacing w:before="40"/>
              <w:jc w:val="right"/>
              <w:rPr>
                <w:b/>
                <w:snapToGrid w:val="0"/>
                <w:lang w:eastAsia="sv-SE"/>
              </w:rPr>
            </w:pPr>
            <w:r w:rsidRPr="006C40C1">
              <w:rPr>
                <w:b/>
                <w:snapToGrid w:val="0"/>
                <w:lang w:eastAsia="sv-SE"/>
              </w:rPr>
              <w:t>-41 317 000</w:t>
            </w:r>
          </w:p>
        </w:tc>
      </w:tr>
    </w:tbl>
    <w:p w:rsidR="00AA5D77" w:rsidRPr="006C40C1" w:rsidRDefault="00AA5D77">
      <w:pPr>
        <w:pStyle w:val="Rubrik2"/>
        <w:spacing w:before="125"/>
      </w:pPr>
    </w:p>
    <w:p w:rsidR="00AA5D77" w:rsidRPr="006C40C1" w:rsidRDefault="00AA5D77">
      <w:pPr>
        <w:pStyle w:val="Rubrik2"/>
      </w:pPr>
      <w:r w:rsidRPr="006C40C1">
        <w:br w:type="page"/>
      </w:r>
      <w:bookmarkStart w:id="28" w:name="_Toc26191379"/>
      <w:r w:rsidRPr="006C40C1">
        <w:t>Förslag till beräkning av statsbudgetens inkomster för 2003 per inkomsttitel</w:t>
      </w:r>
      <w:bookmarkEnd w:id="28"/>
    </w:p>
    <w:p w:rsidR="00AA5D77" w:rsidRPr="006C40C1" w:rsidRDefault="00AA5D77">
      <w:pPr>
        <w:spacing w:before="0" w:line="240" w:lineRule="auto"/>
        <w:ind w:right="624"/>
      </w:pPr>
      <w:r w:rsidRPr="006C40C1">
        <w:rPr>
          <w:snapToGrid w:val="0"/>
          <w:color w:val="000000"/>
          <w:lang w:eastAsia="sv-SE"/>
        </w:rPr>
        <w:t>Utskottets förslag till beräkning av inkomster överensstämmer med regeringens förslag utom vad avser inkomsttitlarna 1111 Fysiska pers</w:t>
      </w:r>
      <w:r w:rsidRPr="006C40C1">
        <w:rPr>
          <w:snapToGrid w:val="0"/>
          <w:color w:val="000000"/>
          <w:lang w:eastAsia="sv-SE"/>
        </w:rPr>
        <w:t>o</w:t>
      </w:r>
      <w:r w:rsidRPr="006C40C1">
        <w:rPr>
          <w:snapToGrid w:val="0"/>
          <w:color w:val="000000"/>
          <w:lang w:eastAsia="sv-SE"/>
        </w:rPr>
        <w:t>ners inkomstskatt, 1411 Mervärdesskatt, netto, 1428 Energiskatt. Avvikelserna i förhållande till budgetpropositionen förklaras närmare i b</w:t>
      </w:r>
      <w:r w:rsidRPr="006C40C1">
        <w:rPr>
          <w:snapToGrid w:val="0"/>
          <w:color w:val="000000"/>
          <w:lang w:eastAsia="sv-SE"/>
        </w:rPr>
        <w:t>e</w:t>
      </w:r>
      <w:r w:rsidRPr="006C40C1">
        <w:rPr>
          <w:snapToGrid w:val="0"/>
          <w:color w:val="000000"/>
          <w:lang w:eastAsia="sv-SE"/>
        </w:rPr>
        <w:t>tänkandets a</w:t>
      </w:r>
      <w:r w:rsidRPr="006C40C1">
        <w:rPr>
          <w:snapToGrid w:val="0"/>
          <w:color w:val="000000"/>
          <w:lang w:eastAsia="sv-SE"/>
        </w:rPr>
        <w:t>v</w:t>
      </w:r>
      <w:r w:rsidRPr="006C40C1">
        <w:rPr>
          <w:snapToGrid w:val="0"/>
          <w:color w:val="000000"/>
          <w:lang w:eastAsia="sv-SE"/>
        </w:rPr>
        <w:t xml:space="preserve">snitt 3.11 under rubriken </w:t>
      </w:r>
      <w:r w:rsidRPr="006C40C1">
        <w:rPr>
          <w:i/>
          <w:snapToGrid w:val="0"/>
          <w:color w:val="000000"/>
          <w:lang w:eastAsia="sv-SE"/>
        </w:rPr>
        <w:t>Finansutskottets ställningstagande</w:t>
      </w:r>
      <w:r w:rsidRPr="006C40C1">
        <w:rPr>
          <w:snapToGrid w:val="0"/>
          <w:color w:val="000000"/>
          <w:lang w:eastAsia="sv-SE"/>
        </w:rPr>
        <w:t>.</w:t>
      </w:r>
    </w:p>
    <w:p w:rsidR="00AA5D77" w:rsidRPr="006C40C1" w:rsidRDefault="00AA5D77">
      <w:pPr>
        <w:pStyle w:val="Normaltindrag"/>
        <w:spacing w:before="120"/>
        <w:ind w:firstLine="0"/>
        <w:rPr>
          <w:sz w:val="14"/>
        </w:rPr>
      </w:pPr>
      <w:r w:rsidRPr="006C40C1">
        <w:rPr>
          <w:sz w:val="14"/>
        </w:rPr>
        <w:t>Belopp i tkr</w:t>
      </w:r>
    </w:p>
    <w:tbl>
      <w:tblPr>
        <w:tblW w:w="0" w:type="auto"/>
        <w:tblInd w:w="-30" w:type="dxa"/>
        <w:tblLayout w:type="fixed"/>
        <w:tblCellMar>
          <w:left w:w="30" w:type="dxa"/>
          <w:right w:w="30" w:type="dxa"/>
        </w:tblCellMar>
        <w:tblLook w:val="0000" w:firstRow="0" w:lastRow="0" w:firstColumn="0" w:lastColumn="0" w:noHBand="0" w:noVBand="0"/>
      </w:tblPr>
      <w:tblGrid>
        <w:gridCol w:w="1"/>
        <w:gridCol w:w="551"/>
        <w:gridCol w:w="2880"/>
        <w:gridCol w:w="993"/>
        <w:gridCol w:w="992"/>
        <w:gridCol w:w="850"/>
        <w:gridCol w:w="1134"/>
        <w:gridCol w:w="1134"/>
        <w:gridCol w:w="1134"/>
        <w:gridCol w:w="1134"/>
      </w:tblGrid>
      <w:tr w:rsidR="00000000" w:rsidRPr="006C40C1">
        <w:tblPrEx>
          <w:tblCellMar>
            <w:top w:w="0" w:type="dxa"/>
            <w:bottom w:w="0" w:type="dxa"/>
          </w:tblCellMar>
        </w:tblPrEx>
        <w:trPr>
          <w:cantSplit/>
          <w:trHeight w:val="200"/>
          <w:tblHeader/>
        </w:trPr>
        <w:tc>
          <w:tcPr>
            <w:tcW w:w="3432" w:type="dxa"/>
            <w:gridSpan w:val="3"/>
            <w:tcBorders>
              <w:top w:val="single" w:sz="4" w:space="0" w:color="auto"/>
            </w:tcBorders>
          </w:tcPr>
          <w:p w:rsidR="00AA5D77" w:rsidRPr="006C40C1" w:rsidRDefault="00AA5D77">
            <w:pPr>
              <w:pStyle w:val="Tabelltext"/>
              <w:rPr>
                <w:snapToGrid w:val="0"/>
                <w:lang w:eastAsia="sv-SE"/>
              </w:rPr>
            </w:pPr>
            <w:r w:rsidRPr="006C40C1">
              <w:rPr>
                <w:snapToGrid w:val="0"/>
                <w:lang w:eastAsia="sv-SE"/>
              </w:rPr>
              <w:t>Inkomsttitel</w:t>
            </w:r>
          </w:p>
        </w:tc>
        <w:tc>
          <w:tcPr>
            <w:tcW w:w="993" w:type="dxa"/>
            <w:tcBorders>
              <w:top w:val="single" w:sz="4" w:space="0" w:color="auto"/>
            </w:tcBorders>
          </w:tcPr>
          <w:p w:rsidR="00AA5D77" w:rsidRPr="006C40C1" w:rsidRDefault="00AA5D77">
            <w:pPr>
              <w:pStyle w:val="Tabelltext"/>
              <w:rPr>
                <w:snapToGrid w:val="0"/>
                <w:lang w:eastAsia="sv-SE"/>
              </w:rPr>
            </w:pPr>
            <w:r w:rsidRPr="006C40C1">
              <w:rPr>
                <w:snapToGrid w:val="0"/>
                <w:lang w:eastAsia="sv-SE"/>
              </w:rPr>
              <w:t> Regeringens  förslag</w:t>
            </w:r>
          </w:p>
        </w:tc>
        <w:tc>
          <w:tcPr>
            <w:tcW w:w="992" w:type="dxa"/>
            <w:tcBorders>
              <w:top w:val="single" w:sz="4" w:space="0" w:color="auto"/>
            </w:tcBorders>
          </w:tcPr>
          <w:p w:rsidR="00AA5D77" w:rsidRPr="006C40C1" w:rsidRDefault="00AA5D77">
            <w:pPr>
              <w:pStyle w:val="Tabelltext"/>
              <w:rPr>
                <w:snapToGrid w:val="0"/>
                <w:lang w:eastAsia="sv-SE"/>
              </w:rPr>
            </w:pPr>
            <w:r w:rsidRPr="006C40C1">
              <w:rPr>
                <w:snapToGrid w:val="0"/>
                <w:lang w:eastAsia="sv-SE"/>
              </w:rPr>
              <w:t> Utskottets  förslag</w:t>
            </w:r>
          </w:p>
        </w:tc>
        <w:tc>
          <w:tcPr>
            <w:tcW w:w="850" w:type="dxa"/>
            <w:tcBorders>
              <w:top w:val="single" w:sz="4" w:space="0" w:color="auto"/>
            </w:tcBorders>
          </w:tcPr>
          <w:p w:rsidR="00AA5D77" w:rsidRPr="006C40C1" w:rsidRDefault="00AA5D77">
            <w:pPr>
              <w:pStyle w:val="Tabelltext"/>
              <w:rPr>
                <w:snapToGrid w:val="0"/>
                <w:lang w:eastAsia="sv-SE"/>
              </w:rPr>
            </w:pPr>
            <w:r w:rsidRPr="006C40C1">
              <w:rPr>
                <w:snapToGrid w:val="0"/>
                <w:lang w:eastAsia="sv-SE"/>
              </w:rPr>
              <w:t> Utskottets  ändringar</w:t>
            </w:r>
          </w:p>
        </w:tc>
        <w:tc>
          <w:tcPr>
            <w:tcW w:w="4536" w:type="dxa"/>
            <w:gridSpan w:val="4"/>
            <w:tcBorders>
              <w:top w:val="single" w:sz="4" w:space="0" w:color="auto"/>
              <w:bottom w:val="single" w:sz="4" w:space="0" w:color="auto"/>
            </w:tcBorders>
          </w:tcPr>
          <w:p w:rsidR="00AA5D77" w:rsidRPr="006C40C1" w:rsidRDefault="00AA5D77">
            <w:pPr>
              <w:pStyle w:val="Tabelltext"/>
              <w:jc w:val="center"/>
              <w:rPr>
                <w:snapToGrid w:val="0"/>
                <w:lang w:eastAsia="sv-SE"/>
              </w:rPr>
            </w:pPr>
            <w:r w:rsidRPr="006C40C1">
              <w:rPr>
                <w:snapToGrid w:val="0"/>
                <w:lang w:eastAsia="sv-SE"/>
              </w:rPr>
              <w:t xml:space="preserve">Reservanternas förslag i förhållande till </w:t>
            </w:r>
          </w:p>
          <w:p w:rsidR="00AA5D77" w:rsidRPr="006C40C1" w:rsidRDefault="00AA5D77">
            <w:pPr>
              <w:pStyle w:val="Tabelltext"/>
              <w:jc w:val="center"/>
              <w:rPr>
                <w:snapToGrid w:val="0"/>
                <w:lang w:eastAsia="sv-SE"/>
              </w:rPr>
            </w:pPr>
            <w:r w:rsidRPr="006C40C1">
              <w:rPr>
                <w:snapToGrid w:val="0"/>
                <w:lang w:eastAsia="sv-SE"/>
              </w:rPr>
              <w:t>regeringens förslag</w:t>
            </w:r>
          </w:p>
        </w:tc>
      </w:tr>
      <w:tr w:rsidR="00000000" w:rsidRPr="006C40C1">
        <w:tblPrEx>
          <w:tblCellMar>
            <w:top w:w="0" w:type="dxa"/>
            <w:bottom w:w="0" w:type="dxa"/>
          </w:tblCellMar>
        </w:tblPrEx>
        <w:trPr>
          <w:trHeight w:val="247"/>
          <w:tblHeader/>
        </w:trPr>
        <w:tc>
          <w:tcPr>
            <w:tcW w:w="3432" w:type="dxa"/>
            <w:hMerge w:val="restart"/>
            <w:tcBorders>
              <w:bottom w:val="single" w:sz="4" w:space="0" w:color="auto"/>
            </w:tcBorders>
          </w:tcPr>
          <w:p w:rsidR="00AA5D77" w:rsidRPr="006C40C1" w:rsidRDefault="00AA5D77">
            <w:pPr>
              <w:pStyle w:val="Tabelltext"/>
              <w:rPr>
                <w:snapToGrid w:val="0"/>
                <w:lang w:eastAsia="sv-SE"/>
              </w:rPr>
            </w:pPr>
          </w:p>
        </w:tc>
        <w:tc>
          <w:tcPr>
            <w:gridSpan w:val="2"/>
            <w:hMerge/>
            <w:tcBorders>
              <w:bottom w:val="single" w:sz="4" w:space="0" w:color="auto"/>
            </w:tcBorders>
          </w:tcPr>
          <w:p w:rsidR="00AA5D77" w:rsidRPr="006C40C1" w:rsidRDefault="00AA5D77">
            <w:pPr>
              <w:pStyle w:val="Tabelltext"/>
              <w:rPr>
                <w:snapToGrid w:val="0"/>
                <w:lang w:eastAsia="sv-SE"/>
              </w:rPr>
            </w:pPr>
          </w:p>
        </w:tc>
        <w:tc>
          <w:tcPr>
            <w:tcW w:w="993" w:type="dxa"/>
            <w:tcBorders>
              <w:bottom w:val="single" w:sz="4" w:space="0" w:color="auto"/>
            </w:tcBorders>
          </w:tcPr>
          <w:p w:rsidR="00AA5D77" w:rsidRPr="006C40C1" w:rsidRDefault="00AA5D77">
            <w:pPr>
              <w:pStyle w:val="Tabelltext"/>
              <w:rPr>
                <w:snapToGrid w:val="0"/>
                <w:lang w:eastAsia="sv-SE"/>
              </w:rPr>
            </w:pPr>
          </w:p>
        </w:tc>
        <w:tc>
          <w:tcPr>
            <w:tcW w:w="992" w:type="dxa"/>
            <w:tcBorders>
              <w:bottom w:val="single" w:sz="4" w:space="0" w:color="auto"/>
            </w:tcBorders>
          </w:tcPr>
          <w:p w:rsidR="00AA5D77" w:rsidRPr="006C40C1" w:rsidRDefault="00AA5D77">
            <w:pPr>
              <w:pStyle w:val="Tabelltext"/>
              <w:rPr>
                <w:snapToGrid w:val="0"/>
                <w:lang w:eastAsia="sv-SE"/>
              </w:rPr>
            </w:pPr>
          </w:p>
        </w:tc>
        <w:tc>
          <w:tcPr>
            <w:tcW w:w="850" w:type="dxa"/>
            <w:tcBorders>
              <w:bottom w:val="single" w:sz="4" w:space="0" w:color="auto"/>
            </w:tcBorders>
          </w:tcPr>
          <w:p w:rsidR="00AA5D77" w:rsidRPr="006C40C1" w:rsidRDefault="00AA5D77">
            <w:pPr>
              <w:pStyle w:val="Tabelltext"/>
              <w:rPr>
                <w:snapToGrid w:val="0"/>
                <w:lang w:eastAsia="sv-SE"/>
              </w:rPr>
            </w:pPr>
          </w:p>
        </w:tc>
        <w:tc>
          <w:tcPr>
            <w:tcW w:w="1134" w:type="dxa"/>
            <w:tcBorders>
              <w:top w:val="single" w:sz="4" w:space="0" w:color="auto"/>
              <w:bottom w:val="single" w:sz="4" w:space="0" w:color="auto"/>
            </w:tcBorders>
          </w:tcPr>
          <w:p w:rsidR="00AA5D77" w:rsidRPr="006C40C1" w:rsidRDefault="00AA5D77">
            <w:pPr>
              <w:pStyle w:val="Tabelltext"/>
              <w:jc w:val="center"/>
              <w:rPr>
                <w:snapToGrid w:val="0"/>
                <w:lang w:eastAsia="sv-SE"/>
              </w:rPr>
            </w:pPr>
            <w:r w:rsidRPr="006C40C1">
              <w:rPr>
                <w:snapToGrid w:val="0"/>
                <w:lang w:eastAsia="sv-SE"/>
              </w:rPr>
              <w:t>Res. 8 (m)</w:t>
            </w:r>
          </w:p>
        </w:tc>
        <w:tc>
          <w:tcPr>
            <w:tcW w:w="1134" w:type="dxa"/>
            <w:tcBorders>
              <w:top w:val="single" w:sz="4" w:space="0" w:color="auto"/>
              <w:bottom w:val="single" w:sz="4" w:space="0" w:color="auto"/>
            </w:tcBorders>
          </w:tcPr>
          <w:p w:rsidR="00AA5D77" w:rsidRPr="006C40C1" w:rsidRDefault="00AA5D77">
            <w:pPr>
              <w:pStyle w:val="Tabelltext"/>
              <w:jc w:val="center"/>
              <w:rPr>
                <w:snapToGrid w:val="0"/>
                <w:lang w:eastAsia="sv-SE"/>
              </w:rPr>
            </w:pPr>
            <w:r w:rsidRPr="006C40C1">
              <w:rPr>
                <w:snapToGrid w:val="0"/>
                <w:lang w:eastAsia="sv-SE"/>
              </w:rPr>
              <w:t>Res.9 (fp)</w:t>
            </w:r>
          </w:p>
        </w:tc>
        <w:tc>
          <w:tcPr>
            <w:tcW w:w="1134" w:type="dxa"/>
            <w:tcBorders>
              <w:top w:val="single" w:sz="4" w:space="0" w:color="auto"/>
              <w:bottom w:val="single" w:sz="4" w:space="0" w:color="auto"/>
            </w:tcBorders>
          </w:tcPr>
          <w:p w:rsidR="00AA5D77" w:rsidRPr="006C40C1" w:rsidRDefault="00AA5D77">
            <w:pPr>
              <w:pStyle w:val="Tabelltext"/>
              <w:jc w:val="center"/>
              <w:rPr>
                <w:snapToGrid w:val="0"/>
                <w:lang w:eastAsia="sv-SE"/>
              </w:rPr>
            </w:pPr>
            <w:r w:rsidRPr="006C40C1">
              <w:rPr>
                <w:snapToGrid w:val="0"/>
                <w:lang w:eastAsia="sv-SE"/>
              </w:rPr>
              <w:t>Res. 10 (kd)</w:t>
            </w:r>
          </w:p>
        </w:tc>
        <w:tc>
          <w:tcPr>
            <w:tcW w:w="1134" w:type="dxa"/>
            <w:tcBorders>
              <w:top w:val="single" w:sz="4" w:space="0" w:color="auto"/>
              <w:bottom w:val="single" w:sz="4" w:space="0" w:color="auto"/>
            </w:tcBorders>
          </w:tcPr>
          <w:p w:rsidR="00AA5D77" w:rsidRPr="006C40C1" w:rsidRDefault="00AA5D77">
            <w:pPr>
              <w:pStyle w:val="Tabelltext"/>
              <w:jc w:val="center"/>
              <w:rPr>
                <w:snapToGrid w:val="0"/>
                <w:lang w:eastAsia="sv-SE"/>
              </w:rPr>
            </w:pPr>
            <w:r w:rsidRPr="006C40C1">
              <w:rPr>
                <w:snapToGrid w:val="0"/>
                <w:lang w:eastAsia="sv-SE"/>
              </w:rPr>
              <w:t>Res. 11 (c)</w:t>
            </w:r>
          </w:p>
        </w:tc>
      </w:tr>
      <w:tr w:rsidR="00000000" w:rsidRPr="006C40C1">
        <w:tblPrEx>
          <w:tblCellMar>
            <w:top w:w="0" w:type="dxa"/>
            <w:bottom w:w="0" w:type="dxa"/>
          </w:tblCellMar>
        </w:tblPrEx>
        <w:trPr>
          <w:trHeight w:hRule="exact" w:val="100"/>
          <w:tblHeader/>
        </w:trPr>
        <w:tc>
          <w:tcPr>
            <w:tcW w:w="552" w:type="dxa"/>
            <w:gridSpan w:val="2"/>
            <w:tcBorders>
              <w:top w:val="single" w:sz="4" w:space="0" w:color="auto"/>
            </w:tcBorders>
          </w:tcPr>
          <w:p w:rsidR="00AA5D77" w:rsidRPr="006C40C1" w:rsidRDefault="00AA5D77">
            <w:pPr>
              <w:pStyle w:val="Tabelltext"/>
              <w:rPr>
                <w:snapToGrid w:val="0"/>
                <w:lang w:eastAsia="sv-SE"/>
              </w:rPr>
            </w:pPr>
          </w:p>
        </w:tc>
        <w:tc>
          <w:tcPr>
            <w:tcW w:w="2880" w:type="dxa"/>
            <w:tcBorders>
              <w:top w:val="single" w:sz="4" w:space="0" w:color="auto"/>
            </w:tcBorders>
          </w:tcPr>
          <w:p w:rsidR="00AA5D77" w:rsidRPr="006C40C1" w:rsidRDefault="00AA5D77">
            <w:pPr>
              <w:pStyle w:val="Tabelltext"/>
              <w:rPr>
                <w:snapToGrid w:val="0"/>
                <w:lang w:eastAsia="sv-SE"/>
              </w:rPr>
            </w:pPr>
          </w:p>
        </w:tc>
        <w:tc>
          <w:tcPr>
            <w:tcW w:w="993" w:type="dxa"/>
            <w:tcBorders>
              <w:top w:val="single" w:sz="4" w:space="0" w:color="auto"/>
            </w:tcBorders>
          </w:tcPr>
          <w:p w:rsidR="00AA5D77" w:rsidRPr="006C40C1" w:rsidRDefault="00AA5D77">
            <w:pPr>
              <w:pStyle w:val="Tabelltext"/>
              <w:rPr>
                <w:snapToGrid w:val="0"/>
                <w:lang w:eastAsia="sv-SE"/>
              </w:rPr>
            </w:pPr>
          </w:p>
        </w:tc>
        <w:tc>
          <w:tcPr>
            <w:tcW w:w="992" w:type="dxa"/>
            <w:tcBorders>
              <w:top w:val="single" w:sz="4" w:space="0" w:color="auto"/>
            </w:tcBorders>
          </w:tcPr>
          <w:p w:rsidR="00AA5D77" w:rsidRPr="006C40C1" w:rsidRDefault="00AA5D77">
            <w:pPr>
              <w:pStyle w:val="Tabelltext"/>
              <w:rPr>
                <w:snapToGrid w:val="0"/>
                <w:lang w:eastAsia="sv-SE"/>
              </w:rPr>
            </w:pPr>
          </w:p>
        </w:tc>
        <w:tc>
          <w:tcPr>
            <w:tcW w:w="850" w:type="dxa"/>
            <w:tcBorders>
              <w:top w:val="single" w:sz="4" w:space="0" w:color="auto"/>
            </w:tcBorders>
          </w:tcPr>
          <w:p w:rsidR="00AA5D77" w:rsidRPr="006C40C1" w:rsidRDefault="00AA5D77">
            <w:pPr>
              <w:pStyle w:val="Tabelltext"/>
              <w:rPr>
                <w:snapToGrid w:val="0"/>
                <w:lang w:eastAsia="sv-SE"/>
              </w:rPr>
            </w:pPr>
          </w:p>
        </w:tc>
        <w:tc>
          <w:tcPr>
            <w:tcW w:w="1134" w:type="dxa"/>
            <w:tcBorders>
              <w:top w:val="single" w:sz="4" w:space="0" w:color="auto"/>
            </w:tcBorders>
          </w:tcPr>
          <w:p w:rsidR="00AA5D77" w:rsidRPr="006C40C1" w:rsidRDefault="00AA5D77">
            <w:pPr>
              <w:pStyle w:val="Tabelltext"/>
              <w:rPr>
                <w:snapToGrid w:val="0"/>
                <w:lang w:eastAsia="sv-SE"/>
              </w:rPr>
            </w:pPr>
          </w:p>
        </w:tc>
        <w:tc>
          <w:tcPr>
            <w:tcW w:w="1134" w:type="dxa"/>
            <w:tcBorders>
              <w:top w:val="single" w:sz="4" w:space="0" w:color="auto"/>
            </w:tcBorders>
          </w:tcPr>
          <w:p w:rsidR="00AA5D77" w:rsidRPr="006C40C1" w:rsidRDefault="00AA5D77">
            <w:pPr>
              <w:pStyle w:val="Tabelltext"/>
              <w:rPr>
                <w:snapToGrid w:val="0"/>
                <w:lang w:eastAsia="sv-SE"/>
              </w:rPr>
            </w:pPr>
          </w:p>
        </w:tc>
        <w:tc>
          <w:tcPr>
            <w:tcW w:w="1134" w:type="dxa"/>
            <w:tcBorders>
              <w:top w:val="single" w:sz="4" w:space="0" w:color="auto"/>
            </w:tcBorders>
          </w:tcPr>
          <w:p w:rsidR="00AA5D77" w:rsidRPr="006C40C1" w:rsidRDefault="00AA5D77">
            <w:pPr>
              <w:pStyle w:val="Tabelltext"/>
              <w:rPr>
                <w:snapToGrid w:val="0"/>
                <w:lang w:eastAsia="sv-SE"/>
              </w:rPr>
            </w:pPr>
          </w:p>
        </w:tc>
        <w:tc>
          <w:tcPr>
            <w:tcW w:w="1134" w:type="dxa"/>
            <w:tcBorders>
              <w:top w:val="single" w:sz="4" w:space="0" w:color="auto"/>
            </w:tcBorders>
          </w:tcPr>
          <w:p w:rsidR="00AA5D77" w:rsidRPr="006C40C1" w:rsidRDefault="00AA5D77">
            <w:pPr>
              <w:pStyle w:val="Tabelltex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i/>
                <w:snapToGrid w:val="0"/>
                <w:lang w:eastAsia="sv-SE"/>
              </w:rPr>
            </w:pPr>
            <w:r w:rsidRPr="006C40C1">
              <w:rPr>
                <w:i/>
                <w:snapToGrid w:val="0"/>
                <w:lang w:eastAsia="sv-SE"/>
              </w:rPr>
              <w:t>1000</w:t>
            </w:r>
          </w:p>
        </w:tc>
        <w:tc>
          <w:tcPr>
            <w:tcW w:w="2880" w:type="dxa"/>
          </w:tcPr>
          <w:p w:rsidR="00AA5D77" w:rsidRPr="006C40C1" w:rsidRDefault="00AA5D77">
            <w:pPr>
              <w:pStyle w:val="Tabelltext"/>
              <w:rPr>
                <w:i/>
                <w:snapToGrid w:val="0"/>
                <w:lang w:eastAsia="sv-SE"/>
              </w:rPr>
            </w:pPr>
            <w:r w:rsidRPr="006C40C1">
              <w:rPr>
                <w:i/>
                <w:snapToGrid w:val="0"/>
                <w:lang w:eastAsia="sv-SE"/>
              </w:rPr>
              <w:t>Skatter m.m.:</w:t>
            </w:r>
          </w:p>
        </w:tc>
        <w:tc>
          <w:tcPr>
            <w:tcW w:w="993" w:type="dxa"/>
          </w:tcPr>
          <w:p w:rsidR="00AA5D77" w:rsidRPr="006C40C1" w:rsidRDefault="00AA5D77">
            <w:pPr>
              <w:pStyle w:val="Tabelltext"/>
              <w:jc w:val="right"/>
              <w:rPr>
                <w:i/>
                <w:snapToGrid w:val="0"/>
                <w:lang w:eastAsia="sv-SE"/>
              </w:rPr>
            </w:pPr>
            <w:r w:rsidRPr="006C40C1">
              <w:rPr>
                <w:i/>
                <w:snapToGrid w:val="0"/>
                <w:lang w:eastAsia="sv-SE"/>
              </w:rPr>
              <w:t>637 458 791</w:t>
            </w:r>
          </w:p>
        </w:tc>
        <w:tc>
          <w:tcPr>
            <w:tcW w:w="992" w:type="dxa"/>
          </w:tcPr>
          <w:p w:rsidR="00AA5D77" w:rsidRPr="006C40C1" w:rsidRDefault="00AA5D77">
            <w:pPr>
              <w:pStyle w:val="Tabelltext"/>
              <w:jc w:val="right"/>
              <w:rPr>
                <w:i/>
                <w:snapToGrid w:val="0"/>
                <w:lang w:eastAsia="sv-SE"/>
              </w:rPr>
            </w:pPr>
            <w:r w:rsidRPr="006C40C1">
              <w:rPr>
                <w:i/>
                <w:snapToGrid w:val="0"/>
                <w:lang w:eastAsia="sv-SE"/>
              </w:rPr>
              <w:t>637 117 443</w:t>
            </w:r>
          </w:p>
        </w:tc>
        <w:tc>
          <w:tcPr>
            <w:tcW w:w="850" w:type="dxa"/>
          </w:tcPr>
          <w:p w:rsidR="00AA5D77" w:rsidRPr="006C40C1" w:rsidRDefault="00AA5D77">
            <w:pPr>
              <w:pStyle w:val="Tabelltext"/>
              <w:jc w:val="right"/>
              <w:rPr>
                <w:i/>
                <w:snapToGrid w:val="0"/>
                <w:lang w:eastAsia="sv-SE"/>
              </w:rPr>
            </w:pPr>
            <w:r w:rsidRPr="006C40C1">
              <w:rPr>
                <w:i/>
                <w:snapToGrid w:val="0"/>
                <w:lang w:eastAsia="sv-SE"/>
              </w:rPr>
              <w:t>-341 347</w:t>
            </w:r>
          </w:p>
        </w:tc>
        <w:tc>
          <w:tcPr>
            <w:tcW w:w="1134" w:type="dxa"/>
          </w:tcPr>
          <w:p w:rsidR="00AA5D77" w:rsidRPr="006C40C1" w:rsidRDefault="00AA5D77">
            <w:pPr>
              <w:spacing w:before="0" w:line="200" w:lineRule="exact"/>
              <w:jc w:val="right"/>
              <w:rPr>
                <w:i/>
                <w:snapToGrid w:val="0"/>
                <w:color w:val="000000"/>
                <w:sz w:val="16"/>
                <w:lang w:eastAsia="sv-SE"/>
              </w:rPr>
            </w:pPr>
            <w:r w:rsidRPr="006C40C1">
              <w:rPr>
                <w:i/>
                <w:snapToGrid w:val="0"/>
                <w:color w:val="000000"/>
                <w:sz w:val="16"/>
                <w:lang w:eastAsia="sv-SE"/>
              </w:rPr>
              <w:t>+45 510 000</w:t>
            </w:r>
          </w:p>
        </w:tc>
        <w:tc>
          <w:tcPr>
            <w:tcW w:w="1134" w:type="dxa"/>
          </w:tcPr>
          <w:p w:rsidR="00AA5D77" w:rsidRPr="006C40C1" w:rsidRDefault="00AA5D77">
            <w:pPr>
              <w:pStyle w:val="Tabelltext"/>
              <w:jc w:val="right"/>
              <w:rPr>
                <w:i/>
                <w:snapToGrid w:val="0"/>
                <w:color w:val="000000"/>
                <w:lang w:eastAsia="sv-SE"/>
              </w:rPr>
            </w:pPr>
            <w:r w:rsidRPr="006C40C1">
              <w:rPr>
                <w:i/>
                <w:snapToGrid w:val="0"/>
                <w:color w:val="000000"/>
                <w:lang w:eastAsia="sv-SE"/>
              </w:rPr>
              <w:t>-13 311 347</w:t>
            </w:r>
          </w:p>
        </w:tc>
        <w:tc>
          <w:tcPr>
            <w:tcW w:w="1134" w:type="dxa"/>
          </w:tcPr>
          <w:p w:rsidR="00AA5D77" w:rsidRPr="006C40C1" w:rsidRDefault="00AA5D77">
            <w:pPr>
              <w:spacing w:before="0" w:line="200" w:lineRule="exact"/>
              <w:jc w:val="right"/>
              <w:rPr>
                <w:i/>
                <w:snapToGrid w:val="0"/>
                <w:color w:val="000000"/>
                <w:sz w:val="16"/>
                <w:lang w:eastAsia="sv-SE"/>
              </w:rPr>
            </w:pPr>
            <w:r w:rsidRPr="006C40C1">
              <w:rPr>
                <w:i/>
                <w:snapToGrid w:val="0"/>
                <w:color w:val="000000"/>
                <w:sz w:val="16"/>
                <w:lang w:eastAsia="sv-SE"/>
              </w:rPr>
              <w:t>-9 750 000</w:t>
            </w:r>
          </w:p>
        </w:tc>
        <w:tc>
          <w:tcPr>
            <w:tcW w:w="1134" w:type="dxa"/>
          </w:tcPr>
          <w:p w:rsidR="00AA5D77" w:rsidRPr="006C40C1" w:rsidRDefault="00AA5D77">
            <w:pPr>
              <w:spacing w:before="0" w:line="200" w:lineRule="exact"/>
              <w:jc w:val="right"/>
              <w:rPr>
                <w:i/>
                <w:snapToGrid w:val="0"/>
                <w:color w:val="000000"/>
                <w:sz w:val="16"/>
                <w:lang w:eastAsia="sv-SE"/>
              </w:rPr>
            </w:pPr>
            <w:r w:rsidRPr="006C40C1">
              <w:rPr>
                <w:i/>
                <w:snapToGrid w:val="0"/>
                <w:color w:val="000000"/>
                <w:sz w:val="16"/>
                <w:lang w:eastAsia="sv-SE"/>
              </w:rPr>
              <w:t>-34 790 000</w:t>
            </w: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1111</w:t>
            </w:r>
          </w:p>
        </w:tc>
        <w:tc>
          <w:tcPr>
            <w:tcW w:w="2880" w:type="dxa"/>
          </w:tcPr>
          <w:p w:rsidR="00AA5D77" w:rsidRPr="006C40C1" w:rsidRDefault="00AA5D77">
            <w:pPr>
              <w:pStyle w:val="Tabelltext"/>
              <w:rPr>
                <w:snapToGrid w:val="0"/>
                <w:lang w:eastAsia="sv-SE"/>
              </w:rPr>
            </w:pPr>
            <w:r w:rsidRPr="006C40C1">
              <w:rPr>
                <w:snapToGrid w:val="0"/>
                <w:lang w:eastAsia="sv-SE"/>
              </w:rPr>
              <w:t>Fysiska personers inkomstskatt</w:t>
            </w:r>
          </w:p>
        </w:tc>
        <w:tc>
          <w:tcPr>
            <w:tcW w:w="993" w:type="dxa"/>
          </w:tcPr>
          <w:p w:rsidR="00AA5D77" w:rsidRPr="006C40C1" w:rsidRDefault="00AA5D77">
            <w:pPr>
              <w:pStyle w:val="Tabelltext"/>
              <w:jc w:val="right"/>
              <w:rPr>
                <w:snapToGrid w:val="0"/>
                <w:lang w:eastAsia="sv-SE"/>
              </w:rPr>
            </w:pPr>
            <w:r w:rsidRPr="006C40C1">
              <w:rPr>
                <w:snapToGrid w:val="0"/>
                <w:lang w:eastAsia="sv-SE"/>
              </w:rPr>
              <w:t>-22 821 442</w:t>
            </w:r>
          </w:p>
        </w:tc>
        <w:tc>
          <w:tcPr>
            <w:tcW w:w="992" w:type="dxa"/>
          </w:tcPr>
          <w:p w:rsidR="00AA5D77" w:rsidRPr="006C40C1" w:rsidRDefault="00AA5D77">
            <w:pPr>
              <w:pStyle w:val="Tabelltext"/>
              <w:jc w:val="right"/>
              <w:rPr>
                <w:snapToGrid w:val="0"/>
                <w:lang w:eastAsia="sv-SE"/>
              </w:rPr>
            </w:pPr>
            <w:r w:rsidRPr="006C40C1">
              <w:rPr>
                <w:snapToGrid w:val="0"/>
                <w:lang w:eastAsia="sv-SE"/>
              </w:rPr>
              <w:t>-23 474 789</w:t>
            </w:r>
          </w:p>
        </w:tc>
        <w:tc>
          <w:tcPr>
            <w:tcW w:w="850" w:type="dxa"/>
          </w:tcPr>
          <w:p w:rsidR="00AA5D77" w:rsidRPr="006C40C1" w:rsidRDefault="00AA5D77">
            <w:pPr>
              <w:pStyle w:val="Tabelltext"/>
              <w:jc w:val="right"/>
              <w:rPr>
                <w:snapToGrid w:val="0"/>
                <w:lang w:eastAsia="sv-SE"/>
              </w:rPr>
            </w:pPr>
            <w:r w:rsidRPr="006C40C1">
              <w:rPr>
                <w:snapToGrid w:val="0"/>
                <w:lang w:eastAsia="sv-SE"/>
              </w:rPr>
              <w:t>-653 347</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+55 310 000</w:t>
            </w:r>
          </w:p>
        </w:tc>
        <w:tc>
          <w:tcPr>
            <w:tcW w:w="1134" w:type="dxa"/>
          </w:tcPr>
          <w:p w:rsidR="00AA5D77" w:rsidRPr="006C40C1" w:rsidRDefault="00AA5D77">
            <w:pPr>
              <w:pStyle w:val="Tabelltext"/>
              <w:jc w:val="right"/>
              <w:rPr>
                <w:snapToGrid w:val="0"/>
                <w:color w:val="000000"/>
                <w:lang w:eastAsia="sv-SE"/>
              </w:rPr>
            </w:pPr>
            <w:r w:rsidRPr="006C40C1">
              <w:rPr>
                <w:snapToGrid w:val="0"/>
                <w:color w:val="000000"/>
                <w:lang w:eastAsia="sv-SE"/>
              </w:rPr>
              <w:t>-12 156 347</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+3 050 000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-31 290 000</w:t>
            </w: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1121</w:t>
            </w:r>
          </w:p>
        </w:tc>
        <w:tc>
          <w:tcPr>
            <w:tcW w:w="2880" w:type="dxa"/>
          </w:tcPr>
          <w:p w:rsidR="00AA5D77" w:rsidRPr="006C40C1" w:rsidRDefault="00AA5D77">
            <w:pPr>
              <w:pStyle w:val="Tabelltext"/>
              <w:rPr>
                <w:snapToGrid w:val="0"/>
                <w:lang w:eastAsia="sv-SE"/>
              </w:rPr>
            </w:pPr>
            <w:r w:rsidRPr="006C40C1">
              <w:rPr>
                <w:snapToGrid w:val="0"/>
                <w:lang w:eastAsia="sv-SE"/>
              </w:rPr>
              <w:t>Juridiska personers inkomstskatt</w:t>
            </w:r>
          </w:p>
        </w:tc>
        <w:tc>
          <w:tcPr>
            <w:tcW w:w="993" w:type="dxa"/>
          </w:tcPr>
          <w:p w:rsidR="00AA5D77" w:rsidRPr="006C40C1" w:rsidRDefault="00AA5D77">
            <w:pPr>
              <w:pStyle w:val="Tabelltext"/>
              <w:jc w:val="right"/>
              <w:rPr>
                <w:snapToGrid w:val="0"/>
                <w:lang w:eastAsia="sv-SE"/>
              </w:rPr>
            </w:pPr>
            <w:r w:rsidRPr="006C40C1">
              <w:rPr>
                <w:snapToGrid w:val="0"/>
                <w:lang w:eastAsia="sv-SE"/>
              </w:rPr>
              <w:t>77 565 837</w:t>
            </w:r>
          </w:p>
        </w:tc>
        <w:tc>
          <w:tcPr>
            <w:tcW w:w="992" w:type="dxa"/>
          </w:tcPr>
          <w:p w:rsidR="00AA5D77" w:rsidRPr="006C40C1" w:rsidRDefault="00AA5D77">
            <w:pPr>
              <w:pStyle w:val="Tabelltext"/>
              <w:jc w:val="right"/>
              <w:rPr>
                <w:snapToGrid w:val="0"/>
                <w:lang w:eastAsia="sv-SE"/>
              </w:rPr>
            </w:pPr>
            <w:r w:rsidRPr="006C40C1">
              <w:rPr>
                <w:snapToGrid w:val="0"/>
                <w:lang w:eastAsia="sv-SE"/>
              </w:rPr>
              <w:t>77 565 837</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-320 000</w:t>
            </w:r>
          </w:p>
        </w:tc>
        <w:tc>
          <w:tcPr>
            <w:tcW w:w="1134" w:type="dxa"/>
          </w:tcPr>
          <w:p w:rsidR="00AA5D77" w:rsidRPr="006C40C1" w:rsidRDefault="00AA5D77">
            <w:pPr>
              <w:pStyle w:val="Tabelltext"/>
              <w:jc w:val="right"/>
              <w:rPr>
                <w:snapToGrid w:val="0"/>
                <w:lang w:eastAsia="sv-SE"/>
              </w:rPr>
            </w:pPr>
            <w:r w:rsidRPr="006C40C1">
              <w:rPr>
                <w:snapToGrid w:val="0"/>
                <w:lang w:eastAsia="sv-SE"/>
              </w:rPr>
              <w:t>-800 000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-80 000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-700 000</w:t>
            </w: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1123</w:t>
            </w:r>
          </w:p>
        </w:tc>
        <w:tc>
          <w:tcPr>
            <w:tcW w:w="2880" w:type="dxa"/>
          </w:tcPr>
          <w:p w:rsidR="00AA5D77" w:rsidRPr="006C40C1" w:rsidRDefault="00AA5D77">
            <w:pPr>
              <w:pStyle w:val="Tabelltext"/>
              <w:rPr>
                <w:snapToGrid w:val="0"/>
                <w:lang w:eastAsia="sv-SE"/>
              </w:rPr>
            </w:pPr>
            <w:r w:rsidRPr="006C40C1">
              <w:rPr>
                <w:snapToGrid w:val="0"/>
                <w:lang w:eastAsia="sv-SE"/>
              </w:rPr>
              <w:t>Beskattning av tjänstegruppliv</w:t>
            </w:r>
          </w:p>
        </w:tc>
        <w:tc>
          <w:tcPr>
            <w:tcW w:w="993" w:type="dxa"/>
          </w:tcPr>
          <w:p w:rsidR="00AA5D77" w:rsidRPr="006C40C1" w:rsidRDefault="00AA5D77">
            <w:pPr>
              <w:pStyle w:val="Tabelltext"/>
              <w:jc w:val="right"/>
              <w:rPr>
                <w:snapToGrid w:val="0"/>
                <w:lang w:eastAsia="sv-SE"/>
              </w:rPr>
            </w:pPr>
            <w:r w:rsidRPr="006C40C1">
              <w:rPr>
                <w:snapToGrid w:val="0"/>
                <w:lang w:eastAsia="sv-SE"/>
              </w:rPr>
              <w:t>1 100 103</w:t>
            </w:r>
          </w:p>
        </w:tc>
        <w:tc>
          <w:tcPr>
            <w:tcW w:w="992" w:type="dxa"/>
          </w:tcPr>
          <w:p w:rsidR="00AA5D77" w:rsidRPr="006C40C1" w:rsidRDefault="00AA5D77">
            <w:pPr>
              <w:pStyle w:val="Tabelltext"/>
              <w:jc w:val="right"/>
              <w:rPr>
                <w:snapToGrid w:val="0"/>
                <w:lang w:eastAsia="sv-SE"/>
              </w:rPr>
            </w:pPr>
            <w:r w:rsidRPr="006C40C1">
              <w:rPr>
                <w:snapToGrid w:val="0"/>
                <w:lang w:eastAsia="sv-SE"/>
              </w:rPr>
              <w:t>1 100 103</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1131</w:t>
            </w:r>
          </w:p>
        </w:tc>
        <w:tc>
          <w:tcPr>
            <w:tcW w:w="2880" w:type="dxa"/>
          </w:tcPr>
          <w:p w:rsidR="00AA5D77" w:rsidRPr="006C40C1" w:rsidRDefault="00AA5D77">
            <w:pPr>
              <w:pStyle w:val="Tabelltext"/>
              <w:rPr>
                <w:snapToGrid w:val="0"/>
                <w:lang w:eastAsia="sv-SE"/>
              </w:rPr>
            </w:pPr>
            <w:r w:rsidRPr="006C40C1">
              <w:rPr>
                <w:snapToGrid w:val="0"/>
                <w:lang w:eastAsia="sv-SE"/>
              </w:rPr>
              <w:t>Ofördelbara inkomstskatter</w:t>
            </w:r>
          </w:p>
        </w:tc>
        <w:tc>
          <w:tcPr>
            <w:tcW w:w="993" w:type="dxa"/>
          </w:tcPr>
          <w:p w:rsidR="00AA5D77" w:rsidRPr="006C40C1" w:rsidRDefault="00AA5D77">
            <w:pPr>
              <w:pStyle w:val="Tabelltext"/>
              <w:jc w:val="right"/>
              <w:rPr>
                <w:snapToGrid w:val="0"/>
                <w:lang w:eastAsia="sv-SE"/>
              </w:rPr>
            </w:pPr>
            <w:r w:rsidRPr="006C40C1">
              <w:rPr>
                <w:snapToGrid w:val="0"/>
                <w:lang w:eastAsia="sv-SE"/>
              </w:rPr>
              <w:t>912 446</w:t>
            </w:r>
          </w:p>
        </w:tc>
        <w:tc>
          <w:tcPr>
            <w:tcW w:w="992" w:type="dxa"/>
          </w:tcPr>
          <w:p w:rsidR="00AA5D77" w:rsidRPr="006C40C1" w:rsidRDefault="00AA5D77">
            <w:pPr>
              <w:pStyle w:val="Tabelltext"/>
              <w:jc w:val="right"/>
              <w:rPr>
                <w:snapToGrid w:val="0"/>
                <w:lang w:eastAsia="sv-SE"/>
              </w:rPr>
            </w:pPr>
            <w:r w:rsidRPr="006C40C1">
              <w:rPr>
                <w:snapToGrid w:val="0"/>
                <w:lang w:eastAsia="sv-SE"/>
              </w:rPr>
              <w:t>912 446</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1141</w:t>
            </w:r>
          </w:p>
        </w:tc>
        <w:tc>
          <w:tcPr>
            <w:tcW w:w="2880" w:type="dxa"/>
          </w:tcPr>
          <w:p w:rsidR="00AA5D77" w:rsidRPr="006C40C1" w:rsidRDefault="00AA5D77">
            <w:pPr>
              <w:pStyle w:val="Tabelltext"/>
              <w:rPr>
                <w:snapToGrid w:val="0"/>
                <w:lang w:eastAsia="sv-SE"/>
              </w:rPr>
            </w:pPr>
            <w:r w:rsidRPr="006C40C1">
              <w:rPr>
                <w:snapToGrid w:val="0"/>
                <w:lang w:eastAsia="sv-SE"/>
              </w:rPr>
              <w:t>Kupongskatt</w:t>
            </w:r>
          </w:p>
        </w:tc>
        <w:tc>
          <w:tcPr>
            <w:tcW w:w="993" w:type="dxa"/>
          </w:tcPr>
          <w:p w:rsidR="00AA5D77" w:rsidRPr="006C40C1" w:rsidRDefault="00AA5D77">
            <w:pPr>
              <w:pStyle w:val="Tabelltext"/>
              <w:jc w:val="right"/>
              <w:rPr>
                <w:snapToGrid w:val="0"/>
                <w:lang w:eastAsia="sv-SE"/>
              </w:rPr>
            </w:pPr>
            <w:r w:rsidRPr="006C40C1">
              <w:rPr>
                <w:snapToGrid w:val="0"/>
                <w:lang w:eastAsia="sv-SE"/>
              </w:rPr>
              <w:t>2 000 473</w:t>
            </w:r>
          </w:p>
        </w:tc>
        <w:tc>
          <w:tcPr>
            <w:tcW w:w="992" w:type="dxa"/>
          </w:tcPr>
          <w:p w:rsidR="00AA5D77" w:rsidRPr="006C40C1" w:rsidRDefault="00AA5D77">
            <w:pPr>
              <w:pStyle w:val="Tabelltext"/>
              <w:jc w:val="right"/>
              <w:rPr>
                <w:snapToGrid w:val="0"/>
                <w:lang w:eastAsia="sv-SE"/>
              </w:rPr>
            </w:pPr>
            <w:r w:rsidRPr="006C40C1">
              <w:rPr>
                <w:snapToGrid w:val="0"/>
                <w:lang w:eastAsia="sv-SE"/>
              </w:rPr>
              <w:t>2 000 473</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1144</w:t>
            </w:r>
          </w:p>
        </w:tc>
        <w:tc>
          <w:tcPr>
            <w:tcW w:w="2880" w:type="dxa"/>
          </w:tcPr>
          <w:p w:rsidR="00AA5D77" w:rsidRPr="006C40C1" w:rsidRDefault="00AA5D77">
            <w:pPr>
              <w:pStyle w:val="Tabelltext"/>
              <w:rPr>
                <w:snapToGrid w:val="0"/>
                <w:lang w:eastAsia="sv-SE"/>
              </w:rPr>
            </w:pPr>
            <w:r w:rsidRPr="006C40C1">
              <w:rPr>
                <w:snapToGrid w:val="0"/>
                <w:lang w:eastAsia="sv-SE"/>
              </w:rPr>
              <w:t>Lotteriskatt</w:t>
            </w:r>
          </w:p>
        </w:tc>
        <w:tc>
          <w:tcPr>
            <w:tcW w:w="993" w:type="dxa"/>
          </w:tcPr>
          <w:p w:rsidR="00AA5D77" w:rsidRPr="006C40C1" w:rsidRDefault="00AA5D77">
            <w:pPr>
              <w:pStyle w:val="Tabelltext"/>
              <w:jc w:val="right"/>
              <w:rPr>
                <w:snapToGrid w:val="0"/>
                <w:lang w:eastAsia="sv-SE"/>
              </w:rPr>
            </w:pPr>
            <w:r w:rsidRPr="006C40C1">
              <w:rPr>
                <w:snapToGrid w:val="0"/>
                <w:lang w:eastAsia="sv-SE"/>
              </w:rPr>
              <w:t>1 180 576</w:t>
            </w:r>
          </w:p>
        </w:tc>
        <w:tc>
          <w:tcPr>
            <w:tcW w:w="992" w:type="dxa"/>
          </w:tcPr>
          <w:p w:rsidR="00AA5D77" w:rsidRPr="006C40C1" w:rsidRDefault="00AA5D77">
            <w:pPr>
              <w:pStyle w:val="Tabelltext"/>
              <w:jc w:val="right"/>
              <w:rPr>
                <w:snapToGrid w:val="0"/>
                <w:lang w:eastAsia="sv-SE"/>
              </w:rPr>
            </w:pPr>
            <w:r w:rsidRPr="006C40C1">
              <w:rPr>
                <w:snapToGrid w:val="0"/>
                <w:lang w:eastAsia="sv-SE"/>
              </w:rPr>
              <w:t>1 180 576</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1200</w:t>
            </w:r>
          </w:p>
        </w:tc>
        <w:tc>
          <w:tcPr>
            <w:tcW w:w="2880" w:type="dxa"/>
          </w:tcPr>
          <w:p w:rsidR="00AA5D77" w:rsidRPr="006C40C1" w:rsidRDefault="00AA5D77">
            <w:pPr>
              <w:pStyle w:val="Tabelltext"/>
              <w:rPr>
                <w:snapToGrid w:val="0"/>
                <w:lang w:eastAsia="sv-SE"/>
              </w:rPr>
            </w:pPr>
            <w:r w:rsidRPr="006C40C1">
              <w:rPr>
                <w:snapToGrid w:val="0"/>
                <w:lang w:eastAsia="sv-SE"/>
              </w:rPr>
              <w:t>Socialavgifter</w:t>
            </w:r>
          </w:p>
        </w:tc>
        <w:tc>
          <w:tcPr>
            <w:tcW w:w="993" w:type="dxa"/>
          </w:tcPr>
          <w:p w:rsidR="00AA5D77" w:rsidRPr="006C40C1" w:rsidRDefault="00AA5D77">
            <w:pPr>
              <w:pStyle w:val="Tabelltext"/>
              <w:jc w:val="right"/>
              <w:rPr>
                <w:snapToGrid w:val="0"/>
                <w:lang w:eastAsia="sv-SE"/>
              </w:rPr>
            </w:pPr>
          </w:p>
        </w:tc>
        <w:tc>
          <w:tcPr>
            <w:tcW w:w="992" w:type="dxa"/>
          </w:tcPr>
          <w:p w:rsidR="00AA5D77" w:rsidRPr="006C40C1" w:rsidRDefault="00AA5D77">
            <w:pPr>
              <w:pStyle w:val="Tabelltext"/>
              <w:jc w:val="right"/>
              <w:rPr>
                <w:snapToGrid w:val="0"/>
                <w:lang w:eastAsia="sv-SE"/>
              </w:rPr>
            </w:pPr>
          </w:p>
        </w:tc>
        <w:tc>
          <w:tcPr>
            <w:tcW w:w="850" w:type="dxa"/>
          </w:tcPr>
          <w:p w:rsidR="00AA5D77" w:rsidRPr="006C40C1" w:rsidRDefault="00AA5D77">
            <w:pPr>
              <w:pStyle w:val="Tabelltext"/>
              <w:jc w:val="right"/>
              <w:rPr>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-300 000</w:t>
            </w:r>
          </w:p>
        </w:tc>
        <w:tc>
          <w:tcPr>
            <w:tcW w:w="1134" w:type="dxa"/>
          </w:tcPr>
          <w:p w:rsidR="00AA5D77" w:rsidRPr="006C40C1" w:rsidRDefault="00AA5D77">
            <w:pPr>
              <w:pStyle w:val="Tabelltext"/>
              <w:jc w:val="right"/>
              <w:rPr>
                <w:snapToGrid w:val="0"/>
                <w:lang w:eastAsia="sv-SE"/>
              </w:rPr>
            </w:pPr>
            <w:r w:rsidRPr="006C40C1">
              <w:rPr>
                <w:snapToGrid w:val="0"/>
                <w:lang w:eastAsia="sv-SE"/>
              </w:rPr>
              <w:t>-1 300 000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+4 680 000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-3 700 000</w:t>
            </w: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1211</w:t>
            </w:r>
          </w:p>
        </w:tc>
        <w:tc>
          <w:tcPr>
            <w:tcW w:w="2880" w:type="dxa"/>
          </w:tcPr>
          <w:p w:rsidR="00AA5D77" w:rsidRPr="006C40C1" w:rsidRDefault="00AA5D77">
            <w:pPr>
              <w:pStyle w:val="Tabelltext"/>
              <w:rPr>
                <w:snapToGrid w:val="0"/>
                <w:lang w:eastAsia="sv-SE"/>
              </w:rPr>
            </w:pPr>
            <w:r w:rsidRPr="006C40C1">
              <w:rPr>
                <w:snapToGrid w:val="0"/>
                <w:lang w:eastAsia="sv-SE"/>
              </w:rPr>
              <w:t>Folkpensionsavgift</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1212</w:t>
            </w:r>
          </w:p>
        </w:tc>
        <w:tc>
          <w:tcPr>
            <w:tcW w:w="2880" w:type="dxa"/>
          </w:tcPr>
          <w:p w:rsidR="00AA5D77" w:rsidRPr="006C40C1" w:rsidRDefault="00AA5D77">
            <w:pPr>
              <w:pStyle w:val="Tabelltext"/>
              <w:rPr>
                <w:snapToGrid w:val="0"/>
                <w:lang w:eastAsia="sv-SE"/>
              </w:rPr>
            </w:pPr>
            <w:r w:rsidRPr="006C40C1">
              <w:rPr>
                <w:snapToGrid w:val="0"/>
                <w:lang w:eastAsia="sv-SE"/>
              </w:rPr>
              <w:t>Efterlevandepensionsavgift</w:t>
            </w:r>
          </w:p>
        </w:tc>
        <w:tc>
          <w:tcPr>
            <w:tcW w:w="993" w:type="dxa"/>
          </w:tcPr>
          <w:p w:rsidR="00AA5D77" w:rsidRPr="006C40C1" w:rsidRDefault="00AA5D77">
            <w:pPr>
              <w:pStyle w:val="Tabelltext"/>
              <w:jc w:val="right"/>
              <w:rPr>
                <w:snapToGrid w:val="0"/>
                <w:lang w:eastAsia="sv-SE"/>
              </w:rPr>
            </w:pPr>
            <w:r w:rsidRPr="006C40C1">
              <w:rPr>
                <w:snapToGrid w:val="0"/>
                <w:lang w:eastAsia="sv-SE"/>
              </w:rPr>
              <w:t>17 468 486</w:t>
            </w:r>
          </w:p>
        </w:tc>
        <w:tc>
          <w:tcPr>
            <w:tcW w:w="992" w:type="dxa"/>
          </w:tcPr>
          <w:p w:rsidR="00AA5D77" w:rsidRPr="006C40C1" w:rsidRDefault="00AA5D77">
            <w:pPr>
              <w:pStyle w:val="Tabelltext"/>
              <w:jc w:val="right"/>
              <w:rPr>
                <w:snapToGrid w:val="0"/>
                <w:lang w:eastAsia="sv-SE"/>
              </w:rPr>
            </w:pPr>
            <w:r w:rsidRPr="006C40C1">
              <w:rPr>
                <w:snapToGrid w:val="0"/>
                <w:lang w:eastAsia="sv-SE"/>
              </w:rPr>
              <w:t>17 468 486</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1221</w:t>
            </w:r>
          </w:p>
        </w:tc>
        <w:tc>
          <w:tcPr>
            <w:tcW w:w="2880" w:type="dxa"/>
          </w:tcPr>
          <w:p w:rsidR="00AA5D77" w:rsidRPr="006C40C1" w:rsidRDefault="00AA5D77">
            <w:pPr>
              <w:pStyle w:val="Tabelltext"/>
              <w:rPr>
                <w:snapToGrid w:val="0"/>
                <w:lang w:eastAsia="sv-SE"/>
              </w:rPr>
            </w:pPr>
            <w:r w:rsidRPr="006C40C1">
              <w:rPr>
                <w:snapToGrid w:val="0"/>
                <w:lang w:eastAsia="sv-SE"/>
              </w:rPr>
              <w:t>Sjukförsäkringsavgift</w:t>
            </w:r>
          </w:p>
        </w:tc>
        <w:tc>
          <w:tcPr>
            <w:tcW w:w="993" w:type="dxa"/>
          </w:tcPr>
          <w:p w:rsidR="00AA5D77" w:rsidRPr="006C40C1" w:rsidRDefault="00AA5D77">
            <w:pPr>
              <w:pStyle w:val="Tabelltext"/>
              <w:jc w:val="right"/>
              <w:rPr>
                <w:snapToGrid w:val="0"/>
                <w:lang w:eastAsia="sv-SE"/>
              </w:rPr>
            </w:pPr>
            <w:r w:rsidRPr="006C40C1">
              <w:rPr>
                <w:snapToGrid w:val="0"/>
                <w:lang w:eastAsia="sv-SE"/>
              </w:rPr>
              <w:t>110 999 413</w:t>
            </w:r>
          </w:p>
        </w:tc>
        <w:tc>
          <w:tcPr>
            <w:tcW w:w="992" w:type="dxa"/>
          </w:tcPr>
          <w:p w:rsidR="00AA5D77" w:rsidRPr="006C40C1" w:rsidRDefault="00AA5D77">
            <w:pPr>
              <w:pStyle w:val="Tabelltext"/>
              <w:jc w:val="right"/>
              <w:rPr>
                <w:snapToGrid w:val="0"/>
                <w:lang w:eastAsia="sv-SE"/>
              </w:rPr>
            </w:pPr>
            <w:r w:rsidRPr="006C40C1">
              <w:rPr>
                <w:snapToGrid w:val="0"/>
                <w:lang w:eastAsia="sv-SE"/>
              </w:rPr>
              <w:t>110 999 413</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1222</w:t>
            </w:r>
          </w:p>
        </w:tc>
        <w:tc>
          <w:tcPr>
            <w:tcW w:w="2880" w:type="dxa"/>
          </w:tcPr>
          <w:p w:rsidR="00AA5D77" w:rsidRPr="006C40C1" w:rsidRDefault="00AA5D77">
            <w:pPr>
              <w:pStyle w:val="Tabelltext"/>
              <w:rPr>
                <w:snapToGrid w:val="0"/>
                <w:lang w:eastAsia="sv-SE"/>
              </w:rPr>
            </w:pPr>
            <w:r w:rsidRPr="006C40C1">
              <w:rPr>
                <w:snapToGrid w:val="0"/>
                <w:lang w:eastAsia="sv-SE"/>
              </w:rPr>
              <w:t>Föräldraförsäkringsavgift</w:t>
            </w:r>
          </w:p>
        </w:tc>
        <w:tc>
          <w:tcPr>
            <w:tcW w:w="993" w:type="dxa"/>
          </w:tcPr>
          <w:p w:rsidR="00AA5D77" w:rsidRPr="006C40C1" w:rsidRDefault="00AA5D77">
            <w:pPr>
              <w:pStyle w:val="Tabelltext"/>
              <w:jc w:val="right"/>
              <w:rPr>
                <w:snapToGrid w:val="0"/>
                <w:lang w:eastAsia="sv-SE"/>
              </w:rPr>
            </w:pPr>
            <w:r w:rsidRPr="006C40C1">
              <w:rPr>
                <w:snapToGrid w:val="0"/>
                <w:lang w:eastAsia="sv-SE"/>
              </w:rPr>
              <w:t>22 606 826</w:t>
            </w:r>
          </w:p>
        </w:tc>
        <w:tc>
          <w:tcPr>
            <w:tcW w:w="992" w:type="dxa"/>
          </w:tcPr>
          <w:p w:rsidR="00AA5D77" w:rsidRPr="006C40C1" w:rsidRDefault="00AA5D77">
            <w:pPr>
              <w:pStyle w:val="Tabelltext"/>
              <w:jc w:val="right"/>
              <w:rPr>
                <w:snapToGrid w:val="0"/>
                <w:lang w:eastAsia="sv-SE"/>
              </w:rPr>
            </w:pPr>
            <w:r w:rsidRPr="006C40C1">
              <w:rPr>
                <w:snapToGrid w:val="0"/>
                <w:lang w:eastAsia="sv-SE"/>
              </w:rPr>
              <w:t>22 606 826</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1231</w:t>
            </w:r>
          </w:p>
        </w:tc>
        <w:tc>
          <w:tcPr>
            <w:tcW w:w="2880" w:type="dxa"/>
          </w:tcPr>
          <w:p w:rsidR="00AA5D77" w:rsidRPr="006C40C1" w:rsidRDefault="00AA5D77">
            <w:pPr>
              <w:pStyle w:val="Tabelltext"/>
              <w:rPr>
                <w:snapToGrid w:val="0"/>
                <w:lang w:eastAsia="sv-SE"/>
              </w:rPr>
            </w:pPr>
            <w:r w:rsidRPr="006C40C1">
              <w:rPr>
                <w:snapToGrid w:val="0"/>
                <w:lang w:eastAsia="sv-SE"/>
              </w:rPr>
              <w:t>Barnomsorgsavgift</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1241</w:t>
            </w:r>
          </w:p>
        </w:tc>
        <w:tc>
          <w:tcPr>
            <w:tcW w:w="2880" w:type="dxa"/>
          </w:tcPr>
          <w:p w:rsidR="00AA5D77" w:rsidRPr="006C40C1" w:rsidRDefault="00AA5D77">
            <w:pPr>
              <w:pStyle w:val="Tabelltext"/>
              <w:rPr>
                <w:snapToGrid w:val="0"/>
                <w:lang w:eastAsia="sv-SE"/>
              </w:rPr>
            </w:pPr>
            <w:r w:rsidRPr="006C40C1">
              <w:rPr>
                <w:snapToGrid w:val="0"/>
                <w:lang w:eastAsia="sv-SE"/>
              </w:rPr>
              <w:t>Utbildningsavgift</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1251</w:t>
            </w:r>
          </w:p>
        </w:tc>
        <w:tc>
          <w:tcPr>
            <w:tcW w:w="2880" w:type="dxa"/>
          </w:tcPr>
          <w:p w:rsidR="00AA5D77" w:rsidRPr="006C40C1" w:rsidRDefault="00AA5D77">
            <w:pPr>
              <w:pStyle w:val="Tabelltext"/>
              <w:rPr>
                <w:snapToGrid w:val="0"/>
                <w:lang w:eastAsia="sv-SE"/>
              </w:rPr>
            </w:pPr>
            <w:r w:rsidRPr="006C40C1">
              <w:rPr>
                <w:snapToGrid w:val="0"/>
                <w:lang w:eastAsia="sv-SE"/>
              </w:rPr>
              <w:t>Ålderspensionsavgift, netto</w:t>
            </w:r>
          </w:p>
        </w:tc>
        <w:tc>
          <w:tcPr>
            <w:tcW w:w="993" w:type="dxa"/>
          </w:tcPr>
          <w:p w:rsidR="00AA5D77" w:rsidRPr="006C40C1" w:rsidRDefault="00AA5D77">
            <w:pPr>
              <w:pStyle w:val="Tabelltext"/>
              <w:jc w:val="right"/>
              <w:rPr>
                <w:snapToGrid w:val="0"/>
                <w:lang w:eastAsia="sv-SE"/>
              </w:rPr>
            </w:pPr>
            <w:r w:rsidRPr="006C40C1">
              <w:rPr>
                <w:snapToGrid w:val="0"/>
                <w:lang w:eastAsia="sv-SE"/>
              </w:rPr>
              <w:t>11 728 330</w:t>
            </w:r>
          </w:p>
        </w:tc>
        <w:tc>
          <w:tcPr>
            <w:tcW w:w="992" w:type="dxa"/>
          </w:tcPr>
          <w:p w:rsidR="00AA5D77" w:rsidRPr="006C40C1" w:rsidRDefault="00AA5D77">
            <w:pPr>
              <w:pStyle w:val="Tabelltext"/>
              <w:jc w:val="right"/>
              <w:rPr>
                <w:snapToGrid w:val="0"/>
                <w:lang w:eastAsia="sv-SE"/>
              </w:rPr>
            </w:pPr>
            <w:r w:rsidRPr="006C40C1">
              <w:rPr>
                <w:snapToGrid w:val="0"/>
                <w:lang w:eastAsia="sv-SE"/>
              </w:rPr>
              <w:t>11 728 330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1252</w:t>
            </w:r>
          </w:p>
        </w:tc>
        <w:tc>
          <w:tcPr>
            <w:tcW w:w="2880" w:type="dxa"/>
          </w:tcPr>
          <w:p w:rsidR="00AA5D77" w:rsidRPr="006C40C1" w:rsidRDefault="00AA5D77">
            <w:pPr>
              <w:pStyle w:val="Tabelltext"/>
              <w:rPr>
                <w:snapToGrid w:val="0"/>
                <w:lang w:eastAsia="sv-SE"/>
              </w:rPr>
            </w:pPr>
            <w:r w:rsidRPr="006C40C1">
              <w:rPr>
                <w:snapToGrid w:val="0"/>
                <w:lang w:eastAsia="sv-SE"/>
              </w:rPr>
              <w:t>Delpensionsavgift, netto</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1253</w:t>
            </w:r>
          </w:p>
        </w:tc>
        <w:tc>
          <w:tcPr>
            <w:tcW w:w="2880" w:type="dxa"/>
          </w:tcPr>
          <w:p w:rsidR="00AA5D77" w:rsidRPr="006C40C1" w:rsidRDefault="00AA5D77">
            <w:pPr>
              <w:pStyle w:val="Tabelltext"/>
              <w:rPr>
                <w:snapToGrid w:val="0"/>
                <w:lang w:eastAsia="sv-SE"/>
              </w:rPr>
            </w:pPr>
            <w:r w:rsidRPr="006C40C1">
              <w:rPr>
                <w:snapToGrid w:val="0"/>
                <w:lang w:eastAsia="sv-SE"/>
              </w:rPr>
              <w:t>Arbetsskadeavgift</w:t>
            </w:r>
          </w:p>
        </w:tc>
        <w:tc>
          <w:tcPr>
            <w:tcW w:w="993" w:type="dxa"/>
          </w:tcPr>
          <w:p w:rsidR="00AA5D77" w:rsidRPr="006C40C1" w:rsidRDefault="00AA5D77">
            <w:pPr>
              <w:pStyle w:val="Tabelltext"/>
              <w:jc w:val="right"/>
              <w:rPr>
                <w:snapToGrid w:val="0"/>
                <w:lang w:eastAsia="sv-SE"/>
              </w:rPr>
            </w:pPr>
            <w:r w:rsidRPr="006C40C1">
              <w:rPr>
                <w:snapToGrid w:val="0"/>
                <w:lang w:eastAsia="sv-SE"/>
              </w:rPr>
              <w:t>7 777 602</w:t>
            </w:r>
          </w:p>
        </w:tc>
        <w:tc>
          <w:tcPr>
            <w:tcW w:w="992" w:type="dxa"/>
          </w:tcPr>
          <w:p w:rsidR="00AA5D77" w:rsidRPr="006C40C1" w:rsidRDefault="00AA5D77">
            <w:pPr>
              <w:pStyle w:val="Tabelltext"/>
              <w:jc w:val="right"/>
              <w:rPr>
                <w:snapToGrid w:val="0"/>
                <w:lang w:eastAsia="sv-SE"/>
              </w:rPr>
            </w:pPr>
            <w:r w:rsidRPr="006C40C1">
              <w:rPr>
                <w:snapToGrid w:val="0"/>
                <w:lang w:eastAsia="sv-SE"/>
              </w:rPr>
              <w:t>7 777 602</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1254</w:t>
            </w:r>
          </w:p>
        </w:tc>
        <w:tc>
          <w:tcPr>
            <w:tcW w:w="2880" w:type="dxa"/>
          </w:tcPr>
          <w:p w:rsidR="00AA5D77" w:rsidRPr="006C40C1" w:rsidRDefault="00AA5D77">
            <w:pPr>
              <w:pStyle w:val="Tabelltext"/>
              <w:rPr>
                <w:snapToGrid w:val="0"/>
                <w:lang w:eastAsia="sv-SE"/>
              </w:rPr>
            </w:pPr>
            <w:r w:rsidRPr="006C40C1">
              <w:rPr>
                <w:snapToGrid w:val="0"/>
                <w:lang w:eastAsia="sv-SE"/>
              </w:rPr>
              <w:t>Arbetsmarknadsavgift</w:t>
            </w:r>
          </w:p>
        </w:tc>
        <w:tc>
          <w:tcPr>
            <w:tcW w:w="993" w:type="dxa"/>
          </w:tcPr>
          <w:p w:rsidR="00AA5D77" w:rsidRPr="006C40C1" w:rsidRDefault="00AA5D77">
            <w:pPr>
              <w:pStyle w:val="Tabelltext"/>
              <w:jc w:val="right"/>
              <w:rPr>
                <w:snapToGrid w:val="0"/>
                <w:lang w:eastAsia="sv-SE"/>
              </w:rPr>
            </w:pPr>
            <w:r w:rsidRPr="006C40C1">
              <w:rPr>
                <w:snapToGrid w:val="0"/>
                <w:lang w:eastAsia="sv-SE"/>
              </w:rPr>
              <w:t>33 403 344</w:t>
            </w:r>
          </w:p>
        </w:tc>
        <w:tc>
          <w:tcPr>
            <w:tcW w:w="992" w:type="dxa"/>
          </w:tcPr>
          <w:p w:rsidR="00AA5D77" w:rsidRPr="006C40C1" w:rsidRDefault="00AA5D77">
            <w:pPr>
              <w:pStyle w:val="Tabelltext"/>
              <w:jc w:val="right"/>
              <w:rPr>
                <w:snapToGrid w:val="0"/>
                <w:lang w:eastAsia="sv-SE"/>
              </w:rPr>
            </w:pPr>
            <w:r w:rsidRPr="006C40C1">
              <w:rPr>
                <w:snapToGrid w:val="0"/>
                <w:lang w:eastAsia="sv-SE"/>
              </w:rPr>
              <w:t>33 403 344</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1257</w:t>
            </w:r>
          </w:p>
        </w:tc>
        <w:tc>
          <w:tcPr>
            <w:tcW w:w="2880" w:type="dxa"/>
          </w:tcPr>
          <w:p w:rsidR="00AA5D77" w:rsidRPr="006C40C1" w:rsidRDefault="00AA5D77">
            <w:pPr>
              <w:pStyle w:val="Tabelltext"/>
              <w:rPr>
                <w:snapToGrid w:val="0"/>
                <w:lang w:eastAsia="sv-SE"/>
              </w:rPr>
            </w:pPr>
            <w:r w:rsidRPr="006C40C1">
              <w:rPr>
                <w:snapToGrid w:val="0"/>
                <w:lang w:eastAsia="sv-SE"/>
              </w:rPr>
              <w:t>Sjömanspensionsavgift, netto</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1260</w:t>
            </w:r>
          </w:p>
        </w:tc>
        <w:tc>
          <w:tcPr>
            <w:tcW w:w="2880" w:type="dxa"/>
          </w:tcPr>
          <w:p w:rsidR="00AA5D77" w:rsidRPr="006C40C1" w:rsidRDefault="00AA5D77">
            <w:pPr>
              <w:pStyle w:val="Tabelltext"/>
              <w:rPr>
                <w:snapToGrid w:val="0"/>
                <w:lang w:eastAsia="sv-SE"/>
              </w:rPr>
            </w:pPr>
            <w:r w:rsidRPr="006C40C1">
              <w:rPr>
                <w:snapToGrid w:val="0"/>
                <w:lang w:eastAsia="sv-SE"/>
              </w:rPr>
              <w:t>Allmänna egenavgifter</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1261</w:t>
            </w:r>
          </w:p>
        </w:tc>
        <w:tc>
          <w:tcPr>
            <w:tcW w:w="2880" w:type="dxa"/>
          </w:tcPr>
          <w:p w:rsidR="00AA5D77" w:rsidRPr="006C40C1" w:rsidRDefault="00AA5D77">
            <w:pPr>
              <w:pStyle w:val="Tabelltext"/>
              <w:rPr>
                <w:snapToGrid w:val="0"/>
                <w:lang w:eastAsia="sv-SE"/>
              </w:rPr>
            </w:pPr>
            <w:r w:rsidRPr="006C40C1">
              <w:rPr>
                <w:snapToGrid w:val="0"/>
                <w:lang w:eastAsia="sv-SE"/>
              </w:rPr>
              <w:t>Allmän sjukförsäkringsavgift</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1262</w:t>
            </w:r>
          </w:p>
        </w:tc>
        <w:tc>
          <w:tcPr>
            <w:tcW w:w="2880" w:type="dxa"/>
          </w:tcPr>
          <w:p w:rsidR="00AA5D77" w:rsidRPr="006C40C1" w:rsidRDefault="00AA5D77">
            <w:pPr>
              <w:pStyle w:val="Tabelltext"/>
              <w:rPr>
                <w:snapToGrid w:val="0"/>
                <w:lang w:eastAsia="sv-SE"/>
              </w:rPr>
            </w:pPr>
            <w:r w:rsidRPr="006C40C1">
              <w:rPr>
                <w:snapToGrid w:val="0"/>
                <w:lang w:eastAsia="sv-SE"/>
              </w:rPr>
              <w:t>Allmän pensionsavgift, netto</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1281</w:t>
            </w:r>
          </w:p>
        </w:tc>
        <w:tc>
          <w:tcPr>
            <w:tcW w:w="2880" w:type="dxa"/>
          </w:tcPr>
          <w:p w:rsidR="00AA5D77" w:rsidRPr="006C40C1" w:rsidRDefault="00AA5D77">
            <w:pPr>
              <w:pStyle w:val="Tabelltext"/>
              <w:rPr>
                <w:snapToGrid w:val="0"/>
                <w:lang w:eastAsia="sv-SE"/>
              </w:rPr>
            </w:pPr>
            <w:r w:rsidRPr="006C40C1">
              <w:rPr>
                <w:snapToGrid w:val="0"/>
                <w:lang w:eastAsia="sv-SE"/>
              </w:rPr>
              <w:t>Allmän löneavgift</w:t>
            </w:r>
          </w:p>
        </w:tc>
        <w:tc>
          <w:tcPr>
            <w:tcW w:w="993" w:type="dxa"/>
          </w:tcPr>
          <w:p w:rsidR="00AA5D77" w:rsidRPr="006C40C1" w:rsidRDefault="00AA5D77">
            <w:pPr>
              <w:pStyle w:val="Tabelltext"/>
              <w:jc w:val="right"/>
              <w:rPr>
                <w:snapToGrid w:val="0"/>
                <w:lang w:eastAsia="sv-SE"/>
              </w:rPr>
            </w:pPr>
            <w:r w:rsidRPr="006C40C1">
              <w:rPr>
                <w:snapToGrid w:val="0"/>
                <w:lang w:eastAsia="sv-SE"/>
              </w:rPr>
              <w:t>32 764 464</w:t>
            </w:r>
          </w:p>
        </w:tc>
        <w:tc>
          <w:tcPr>
            <w:tcW w:w="992" w:type="dxa"/>
          </w:tcPr>
          <w:p w:rsidR="00AA5D77" w:rsidRPr="006C40C1" w:rsidRDefault="00AA5D77">
            <w:pPr>
              <w:pStyle w:val="Tabelltext"/>
              <w:jc w:val="right"/>
              <w:rPr>
                <w:snapToGrid w:val="0"/>
                <w:lang w:eastAsia="sv-SE"/>
              </w:rPr>
            </w:pPr>
            <w:r w:rsidRPr="006C40C1">
              <w:rPr>
                <w:snapToGrid w:val="0"/>
                <w:lang w:eastAsia="sv-SE"/>
              </w:rPr>
              <w:t>32 764 464</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1291</w:t>
            </w:r>
          </w:p>
        </w:tc>
        <w:tc>
          <w:tcPr>
            <w:tcW w:w="2880" w:type="dxa"/>
          </w:tcPr>
          <w:p w:rsidR="00AA5D77" w:rsidRPr="006C40C1" w:rsidRDefault="00AA5D77">
            <w:pPr>
              <w:pStyle w:val="Tabelltext"/>
              <w:rPr>
                <w:snapToGrid w:val="0"/>
                <w:lang w:eastAsia="sv-SE"/>
              </w:rPr>
            </w:pPr>
            <w:r w:rsidRPr="006C40C1">
              <w:rPr>
                <w:snapToGrid w:val="0"/>
                <w:lang w:eastAsia="sv-SE"/>
              </w:rPr>
              <w:t>Särskild löneskatt</w:t>
            </w:r>
          </w:p>
        </w:tc>
        <w:tc>
          <w:tcPr>
            <w:tcW w:w="993" w:type="dxa"/>
          </w:tcPr>
          <w:p w:rsidR="00AA5D77" w:rsidRPr="006C40C1" w:rsidRDefault="00AA5D77">
            <w:pPr>
              <w:pStyle w:val="Tabelltext"/>
              <w:jc w:val="right"/>
              <w:rPr>
                <w:snapToGrid w:val="0"/>
                <w:lang w:eastAsia="sv-SE"/>
              </w:rPr>
            </w:pPr>
            <w:r w:rsidRPr="006C40C1">
              <w:rPr>
                <w:snapToGrid w:val="0"/>
                <w:lang w:eastAsia="sv-SE"/>
              </w:rPr>
              <w:t>23 296 291</w:t>
            </w:r>
          </w:p>
        </w:tc>
        <w:tc>
          <w:tcPr>
            <w:tcW w:w="992" w:type="dxa"/>
          </w:tcPr>
          <w:p w:rsidR="00AA5D77" w:rsidRPr="006C40C1" w:rsidRDefault="00AA5D77">
            <w:pPr>
              <w:pStyle w:val="Tabelltext"/>
              <w:jc w:val="right"/>
              <w:rPr>
                <w:snapToGrid w:val="0"/>
                <w:lang w:eastAsia="sv-SE"/>
              </w:rPr>
            </w:pPr>
            <w:r w:rsidRPr="006C40C1">
              <w:rPr>
                <w:snapToGrid w:val="0"/>
                <w:lang w:eastAsia="sv-SE"/>
              </w:rPr>
              <w:t>23 296 291</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1299</w:t>
            </w:r>
          </w:p>
        </w:tc>
        <w:tc>
          <w:tcPr>
            <w:tcW w:w="2880" w:type="dxa"/>
          </w:tcPr>
          <w:p w:rsidR="00AA5D77" w:rsidRPr="006C40C1" w:rsidRDefault="00AA5D77">
            <w:pPr>
              <w:pStyle w:val="Tabelltext"/>
              <w:rPr>
                <w:snapToGrid w:val="0"/>
                <w:lang w:eastAsia="sv-SE"/>
              </w:rPr>
            </w:pPr>
            <w:r w:rsidRPr="006C40C1">
              <w:rPr>
                <w:snapToGrid w:val="0"/>
                <w:lang w:eastAsia="sv-SE"/>
              </w:rPr>
              <w:t>Avräkning av socialavgifter</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1312</w:t>
            </w:r>
          </w:p>
        </w:tc>
        <w:tc>
          <w:tcPr>
            <w:tcW w:w="2880" w:type="dxa"/>
          </w:tcPr>
          <w:p w:rsidR="00AA5D77" w:rsidRPr="006C40C1" w:rsidRDefault="00AA5D77">
            <w:pPr>
              <w:pStyle w:val="Tabelltext"/>
              <w:rPr>
                <w:snapToGrid w:val="0"/>
                <w:lang w:eastAsia="sv-SE"/>
              </w:rPr>
            </w:pPr>
            <w:r w:rsidRPr="006C40C1">
              <w:rPr>
                <w:snapToGrid w:val="0"/>
                <w:lang w:eastAsia="sv-SE"/>
              </w:rPr>
              <w:t>Fastighetsskatt</w:t>
            </w:r>
          </w:p>
        </w:tc>
        <w:tc>
          <w:tcPr>
            <w:tcW w:w="993" w:type="dxa"/>
          </w:tcPr>
          <w:p w:rsidR="00AA5D77" w:rsidRPr="006C40C1" w:rsidRDefault="00AA5D77">
            <w:pPr>
              <w:pStyle w:val="Tabelltext"/>
              <w:jc w:val="right"/>
              <w:rPr>
                <w:snapToGrid w:val="0"/>
                <w:lang w:eastAsia="sv-SE"/>
              </w:rPr>
            </w:pPr>
            <w:r w:rsidRPr="006C40C1">
              <w:rPr>
                <w:snapToGrid w:val="0"/>
                <w:lang w:eastAsia="sv-SE"/>
              </w:rPr>
              <w:t>21 173 092</w:t>
            </w:r>
          </w:p>
        </w:tc>
        <w:tc>
          <w:tcPr>
            <w:tcW w:w="992" w:type="dxa"/>
          </w:tcPr>
          <w:p w:rsidR="00AA5D77" w:rsidRPr="006C40C1" w:rsidRDefault="00AA5D77">
            <w:pPr>
              <w:pStyle w:val="Tabelltext"/>
              <w:jc w:val="right"/>
              <w:rPr>
                <w:snapToGrid w:val="0"/>
                <w:lang w:eastAsia="sv-SE"/>
              </w:rPr>
            </w:pPr>
            <w:r w:rsidRPr="006C40C1">
              <w:rPr>
                <w:snapToGrid w:val="0"/>
                <w:lang w:eastAsia="sv-SE"/>
              </w:rPr>
              <w:t>21 173 092</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-540 000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-20 000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-15 300 000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+430 000</w:t>
            </w: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1321</w:t>
            </w:r>
          </w:p>
        </w:tc>
        <w:tc>
          <w:tcPr>
            <w:tcW w:w="2880" w:type="dxa"/>
          </w:tcPr>
          <w:p w:rsidR="00AA5D77" w:rsidRPr="006C40C1" w:rsidRDefault="00AA5D77">
            <w:pPr>
              <w:pStyle w:val="Tabelltext"/>
              <w:rPr>
                <w:snapToGrid w:val="0"/>
                <w:lang w:eastAsia="sv-SE"/>
              </w:rPr>
            </w:pPr>
            <w:r w:rsidRPr="006C40C1">
              <w:rPr>
                <w:snapToGrid w:val="0"/>
                <w:lang w:eastAsia="sv-SE"/>
              </w:rPr>
              <w:t>Fysiska personers förmögenhetsskatt</w:t>
            </w:r>
          </w:p>
        </w:tc>
        <w:tc>
          <w:tcPr>
            <w:tcW w:w="993" w:type="dxa"/>
          </w:tcPr>
          <w:p w:rsidR="00AA5D77" w:rsidRPr="006C40C1" w:rsidRDefault="00AA5D77">
            <w:pPr>
              <w:pStyle w:val="Tabelltext"/>
              <w:jc w:val="right"/>
              <w:rPr>
                <w:snapToGrid w:val="0"/>
                <w:lang w:eastAsia="sv-SE"/>
              </w:rPr>
            </w:pPr>
            <w:r w:rsidRPr="006C40C1">
              <w:rPr>
                <w:snapToGrid w:val="0"/>
                <w:lang w:eastAsia="sv-SE"/>
              </w:rPr>
              <w:t>6 330 000</w:t>
            </w:r>
          </w:p>
        </w:tc>
        <w:tc>
          <w:tcPr>
            <w:tcW w:w="992" w:type="dxa"/>
          </w:tcPr>
          <w:p w:rsidR="00AA5D77" w:rsidRPr="006C40C1" w:rsidRDefault="00AA5D77">
            <w:pPr>
              <w:pStyle w:val="Tabelltext"/>
              <w:jc w:val="right"/>
              <w:rPr>
                <w:snapToGrid w:val="0"/>
                <w:lang w:eastAsia="sv-SE"/>
              </w:rPr>
            </w:pPr>
            <w:r w:rsidRPr="006C40C1">
              <w:rPr>
                <w:snapToGrid w:val="0"/>
                <w:lang w:eastAsia="sv-SE"/>
              </w:rPr>
              <w:t>6 330 000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-1 800 000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-1 100 000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-1 600 000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-1 100 000</w:t>
            </w: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1322</w:t>
            </w:r>
          </w:p>
        </w:tc>
        <w:tc>
          <w:tcPr>
            <w:tcW w:w="2880" w:type="dxa"/>
          </w:tcPr>
          <w:p w:rsidR="00AA5D77" w:rsidRPr="006C40C1" w:rsidRDefault="00AA5D77">
            <w:pPr>
              <w:pStyle w:val="Tabelltext"/>
              <w:rPr>
                <w:snapToGrid w:val="0"/>
                <w:lang w:eastAsia="sv-SE"/>
              </w:rPr>
            </w:pPr>
            <w:r w:rsidRPr="006C40C1">
              <w:rPr>
                <w:snapToGrid w:val="0"/>
                <w:lang w:eastAsia="sv-SE"/>
              </w:rPr>
              <w:t>Juridiska personers förmögenhetsskatt</w:t>
            </w:r>
          </w:p>
        </w:tc>
        <w:tc>
          <w:tcPr>
            <w:tcW w:w="993" w:type="dxa"/>
          </w:tcPr>
          <w:p w:rsidR="00AA5D77" w:rsidRPr="006C40C1" w:rsidRDefault="00AA5D77">
            <w:pPr>
              <w:pStyle w:val="Tabelltext"/>
              <w:jc w:val="right"/>
              <w:rPr>
                <w:snapToGrid w:val="0"/>
                <w:lang w:eastAsia="sv-SE"/>
              </w:rPr>
            </w:pPr>
            <w:r w:rsidRPr="006C40C1">
              <w:rPr>
                <w:snapToGrid w:val="0"/>
                <w:lang w:eastAsia="sv-SE"/>
              </w:rPr>
              <w:t>184 680</w:t>
            </w:r>
          </w:p>
        </w:tc>
        <w:tc>
          <w:tcPr>
            <w:tcW w:w="992" w:type="dxa"/>
          </w:tcPr>
          <w:p w:rsidR="00AA5D77" w:rsidRPr="006C40C1" w:rsidRDefault="00AA5D77">
            <w:pPr>
              <w:pStyle w:val="Tabelltext"/>
              <w:jc w:val="right"/>
              <w:rPr>
                <w:snapToGrid w:val="0"/>
                <w:lang w:eastAsia="sv-SE"/>
              </w:rPr>
            </w:pPr>
            <w:r w:rsidRPr="006C40C1">
              <w:rPr>
                <w:snapToGrid w:val="0"/>
                <w:lang w:eastAsia="sv-SE"/>
              </w:rPr>
              <w:t>184 680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1331</w:t>
            </w:r>
          </w:p>
        </w:tc>
        <w:tc>
          <w:tcPr>
            <w:tcW w:w="2880" w:type="dxa"/>
          </w:tcPr>
          <w:p w:rsidR="00AA5D77" w:rsidRPr="006C40C1" w:rsidRDefault="00AA5D77">
            <w:pPr>
              <w:pStyle w:val="Tabelltext"/>
              <w:rPr>
                <w:snapToGrid w:val="0"/>
                <w:lang w:eastAsia="sv-SE"/>
              </w:rPr>
            </w:pPr>
            <w:r w:rsidRPr="006C40C1">
              <w:rPr>
                <w:snapToGrid w:val="0"/>
                <w:lang w:eastAsia="sv-SE"/>
              </w:rPr>
              <w:t>Arvsskatt</w:t>
            </w:r>
          </w:p>
        </w:tc>
        <w:tc>
          <w:tcPr>
            <w:tcW w:w="993" w:type="dxa"/>
          </w:tcPr>
          <w:p w:rsidR="00AA5D77" w:rsidRPr="006C40C1" w:rsidRDefault="00AA5D77">
            <w:pPr>
              <w:pStyle w:val="Tabelltext"/>
              <w:jc w:val="right"/>
              <w:rPr>
                <w:snapToGrid w:val="0"/>
                <w:lang w:eastAsia="sv-SE"/>
              </w:rPr>
            </w:pPr>
            <w:r w:rsidRPr="006C40C1">
              <w:rPr>
                <w:snapToGrid w:val="0"/>
                <w:lang w:eastAsia="sv-SE"/>
              </w:rPr>
              <w:t>2 487 020</w:t>
            </w:r>
          </w:p>
        </w:tc>
        <w:tc>
          <w:tcPr>
            <w:tcW w:w="992" w:type="dxa"/>
          </w:tcPr>
          <w:p w:rsidR="00AA5D77" w:rsidRPr="006C40C1" w:rsidRDefault="00AA5D77">
            <w:pPr>
              <w:pStyle w:val="Tabelltext"/>
              <w:jc w:val="right"/>
              <w:rPr>
                <w:snapToGrid w:val="0"/>
                <w:lang w:eastAsia="sv-SE"/>
              </w:rPr>
            </w:pPr>
            <w:r w:rsidRPr="006C40C1">
              <w:rPr>
                <w:snapToGrid w:val="0"/>
                <w:lang w:eastAsia="sv-SE"/>
              </w:rPr>
              <w:t>2 487 020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-10 000</w:t>
            </w: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1332</w:t>
            </w:r>
          </w:p>
        </w:tc>
        <w:tc>
          <w:tcPr>
            <w:tcW w:w="2880" w:type="dxa"/>
          </w:tcPr>
          <w:p w:rsidR="00AA5D77" w:rsidRPr="006C40C1" w:rsidRDefault="00AA5D77">
            <w:pPr>
              <w:pStyle w:val="Tabelltext"/>
              <w:rPr>
                <w:snapToGrid w:val="0"/>
                <w:lang w:eastAsia="sv-SE"/>
              </w:rPr>
            </w:pPr>
            <w:r w:rsidRPr="006C40C1">
              <w:rPr>
                <w:snapToGrid w:val="0"/>
                <w:lang w:eastAsia="sv-SE"/>
              </w:rPr>
              <w:t>Gåvoskatt</w:t>
            </w:r>
          </w:p>
        </w:tc>
        <w:tc>
          <w:tcPr>
            <w:tcW w:w="993" w:type="dxa"/>
          </w:tcPr>
          <w:p w:rsidR="00AA5D77" w:rsidRPr="006C40C1" w:rsidRDefault="00AA5D77">
            <w:pPr>
              <w:pStyle w:val="Tabelltext"/>
              <w:jc w:val="right"/>
              <w:rPr>
                <w:snapToGrid w:val="0"/>
                <w:lang w:eastAsia="sv-SE"/>
              </w:rPr>
            </w:pPr>
            <w:r w:rsidRPr="006C40C1">
              <w:rPr>
                <w:snapToGrid w:val="0"/>
                <w:lang w:eastAsia="sv-SE"/>
              </w:rPr>
              <w:t>410 000</w:t>
            </w:r>
          </w:p>
        </w:tc>
        <w:tc>
          <w:tcPr>
            <w:tcW w:w="992" w:type="dxa"/>
          </w:tcPr>
          <w:p w:rsidR="00AA5D77" w:rsidRPr="006C40C1" w:rsidRDefault="00AA5D77">
            <w:pPr>
              <w:pStyle w:val="Tabelltext"/>
              <w:jc w:val="right"/>
              <w:rPr>
                <w:snapToGrid w:val="0"/>
                <w:lang w:eastAsia="sv-SE"/>
              </w:rPr>
            </w:pPr>
            <w:r w:rsidRPr="006C40C1">
              <w:rPr>
                <w:snapToGrid w:val="0"/>
                <w:lang w:eastAsia="sv-SE"/>
              </w:rPr>
              <w:t>410 000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1341</w:t>
            </w:r>
          </w:p>
        </w:tc>
        <w:tc>
          <w:tcPr>
            <w:tcW w:w="2880" w:type="dxa"/>
          </w:tcPr>
          <w:p w:rsidR="00AA5D77" w:rsidRPr="006C40C1" w:rsidRDefault="00AA5D77">
            <w:pPr>
              <w:pStyle w:val="Tabelltext"/>
              <w:rPr>
                <w:snapToGrid w:val="0"/>
                <w:lang w:eastAsia="sv-SE"/>
              </w:rPr>
            </w:pPr>
            <w:r w:rsidRPr="006C40C1">
              <w:rPr>
                <w:snapToGrid w:val="0"/>
                <w:lang w:eastAsia="sv-SE"/>
              </w:rPr>
              <w:t>Stämpelskatt</w:t>
            </w:r>
          </w:p>
        </w:tc>
        <w:tc>
          <w:tcPr>
            <w:tcW w:w="993" w:type="dxa"/>
          </w:tcPr>
          <w:p w:rsidR="00AA5D77" w:rsidRPr="006C40C1" w:rsidRDefault="00AA5D77">
            <w:pPr>
              <w:pStyle w:val="Tabelltext"/>
              <w:jc w:val="right"/>
              <w:rPr>
                <w:snapToGrid w:val="0"/>
                <w:lang w:eastAsia="sv-SE"/>
              </w:rPr>
            </w:pPr>
            <w:r w:rsidRPr="006C40C1">
              <w:rPr>
                <w:snapToGrid w:val="0"/>
                <w:lang w:eastAsia="sv-SE"/>
              </w:rPr>
              <w:t>5 550 000</w:t>
            </w:r>
          </w:p>
        </w:tc>
        <w:tc>
          <w:tcPr>
            <w:tcW w:w="992" w:type="dxa"/>
          </w:tcPr>
          <w:p w:rsidR="00AA5D77" w:rsidRPr="006C40C1" w:rsidRDefault="00AA5D77">
            <w:pPr>
              <w:pStyle w:val="Tabelltext"/>
              <w:jc w:val="right"/>
              <w:rPr>
                <w:snapToGrid w:val="0"/>
                <w:lang w:eastAsia="sv-SE"/>
              </w:rPr>
            </w:pPr>
            <w:r w:rsidRPr="006C40C1">
              <w:rPr>
                <w:snapToGrid w:val="0"/>
                <w:lang w:eastAsia="sv-SE"/>
              </w:rPr>
              <w:t>5 550 000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1411</w:t>
            </w:r>
          </w:p>
        </w:tc>
        <w:tc>
          <w:tcPr>
            <w:tcW w:w="2880" w:type="dxa"/>
          </w:tcPr>
          <w:p w:rsidR="00AA5D77" w:rsidRPr="006C40C1" w:rsidRDefault="00AA5D77">
            <w:pPr>
              <w:pStyle w:val="Tabelltext"/>
              <w:rPr>
                <w:snapToGrid w:val="0"/>
                <w:lang w:eastAsia="sv-SE"/>
              </w:rPr>
            </w:pPr>
            <w:r w:rsidRPr="006C40C1">
              <w:rPr>
                <w:snapToGrid w:val="0"/>
                <w:lang w:eastAsia="sv-SE"/>
              </w:rPr>
              <w:t>Mervärdesskatt, netto</w:t>
            </w:r>
          </w:p>
        </w:tc>
        <w:tc>
          <w:tcPr>
            <w:tcW w:w="993" w:type="dxa"/>
          </w:tcPr>
          <w:p w:rsidR="00AA5D77" w:rsidRPr="006C40C1" w:rsidRDefault="00AA5D77">
            <w:pPr>
              <w:pStyle w:val="Tabelltext"/>
              <w:jc w:val="right"/>
              <w:rPr>
                <w:snapToGrid w:val="0"/>
                <w:lang w:eastAsia="sv-SE"/>
              </w:rPr>
            </w:pPr>
            <w:r w:rsidRPr="006C40C1">
              <w:rPr>
                <w:snapToGrid w:val="0"/>
                <w:lang w:eastAsia="sv-SE"/>
              </w:rPr>
              <w:t>207 158 561</w:t>
            </w:r>
          </w:p>
        </w:tc>
        <w:tc>
          <w:tcPr>
            <w:tcW w:w="992" w:type="dxa"/>
          </w:tcPr>
          <w:p w:rsidR="00AA5D77" w:rsidRPr="006C40C1" w:rsidRDefault="00AA5D77">
            <w:pPr>
              <w:pStyle w:val="Tabelltext"/>
              <w:jc w:val="right"/>
              <w:rPr>
                <w:snapToGrid w:val="0"/>
                <w:lang w:eastAsia="sv-SE"/>
              </w:rPr>
            </w:pPr>
            <w:r w:rsidRPr="006C40C1">
              <w:rPr>
                <w:snapToGrid w:val="0"/>
                <w:lang w:eastAsia="sv-SE"/>
              </w:rPr>
              <w:t>207 238 561</w:t>
            </w:r>
          </w:p>
        </w:tc>
        <w:tc>
          <w:tcPr>
            <w:tcW w:w="850" w:type="dxa"/>
          </w:tcPr>
          <w:p w:rsidR="00AA5D77" w:rsidRPr="006C40C1" w:rsidRDefault="00AA5D77">
            <w:pPr>
              <w:pStyle w:val="Tabelltext"/>
              <w:jc w:val="right"/>
              <w:rPr>
                <w:snapToGrid w:val="0"/>
                <w:lang w:eastAsia="sv-SE"/>
              </w:rPr>
            </w:pPr>
            <w:r w:rsidRPr="006C40C1">
              <w:rPr>
                <w:snapToGrid w:val="0"/>
                <w:lang w:eastAsia="sv-SE"/>
              </w:rPr>
              <w:t xml:space="preserve">+80 000 </w:t>
            </w: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pStyle w:val="Tabelltext"/>
              <w:jc w:val="right"/>
              <w:rPr>
                <w:snapToGrid w:val="0"/>
                <w:color w:val="000000"/>
                <w:lang w:eastAsia="sv-SE"/>
              </w:rPr>
            </w:pPr>
            <w:r w:rsidRPr="006C40C1">
              <w:rPr>
                <w:snapToGrid w:val="0"/>
                <w:color w:val="000000"/>
                <w:lang w:eastAsia="sv-SE"/>
              </w:rPr>
              <w:t>-180 000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+540 000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+400 000</w:t>
            </w: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1423</w:t>
            </w:r>
          </w:p>
        </w:tc>
        <w:tc>
          <w:tcPr>
            <w:tcW w:w="2880" w:type="dxa"/>
          </w:tcPr>
          <w:p w:rsidR="00AA5D77" w:rsidRPr="006C40C1" w:rsidRDefault="00AA5D77">
            <w:pPr>
              <w:pStyle w:val="Tabelltext"/>
              <w:rPr>
                <w:snapToGrid w:val="0"/>
                <w:lang w:eastAsia="sv-SE"/>
              </w:rPr>
            </w:pPr>
            <w:r w:rsidRPr="006C40C1">
              <w:rPr>
                <w:snapToGrid w:val="0"/>
                <w:lang w:eastAsia="sv-SE"/>
              </w:rPr>
              <w:t>Försäljningsskatt på motorfordon</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color w:val="00000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1424</w:t>
            </w:r>
          </w:p>
        </w:tc>
        <w:tc>
          <w:tcPr>
            <w:tcW w:w="2880" w:type="dxa"/>
          </w:tcPr>
          <w:p w:rsidR="00AA5D77" w:rsidRPr="006C40C1" w:rsidRDefault="00AA5D77">
            <w:pPr>
              <w:pStyle w:val="Tabelltext"/>
              <w:rPr>
                <w:snapToGrid w:val="0"/>
                <w:lang w:eastAsia="sv-SE"/>
              </w:rPr>
            </w:pPr>
            <w:r w:rsidRPr="006C40C1">
              <w:rPr>
                <w:snapToGrid w:val="0"/>
                <w:lang w:eastAsia="sv-SE"/>
              </w:rPr>
              <w:t>Tobaksskatt</w:t>
            </w:r>
          </w:p>
        </w:tc>
        <w:tc>
          <w:tcPr>
            <w:tcW w:w="993" w:type="dxa"/>
          </w:tcPr>
          <w:p w:rsidR="00AA5D77" w:rsidRPr="006C40C1" w:rsidRDefault="00AA5D77">
            <w:pPr>
              <w:pStyle w:val="Tabelltext"/>
              <w:jc w:val="right"/>
              <w:rPr>
                <w:snapToGrid w:val="0"/>
                <w:lang w:eastAsia="sv-SE"/>
              </w:rPr>
            </w:pPr>
            <w:r w:rsidRPr="006C40C1">
              <w:rPr>
                <w:snapToGrid w:val="0"/>
                <w:lang w:eastAsia="sv-SE"/>
              </w:rPr>
              <w:t>8 247 149</w:t>
            </w:r>
          </w:p>
        </w:tc>
        <w:tc>
          <w:tcPr>
            <w:tcW w:w="992" w:type="dxa"/>
          </w:tcPr>
          <w:p w:rsidR="00AA5D77" w:rsidRPr="006C40C1" w:rsidRDefault="00AA5D77">
            <w:pPr>
              <w:pStyle w:val="Tabelltext"/>
              <w:jc w:val="right"/>
              <w:rPr>
                <w:snapToGrid w:val="0"/>
                <w:lang w:eastAsia="sv-SE"/>
              </w:rPr>
            </w:pPr>
            <w:r w:rsidRPr="006C40C1">
              <w:rPr>
                <w:snapToGrid w:val="0"/>
                <w:lang w:eastAsia="sv-SE"/>
              </w:rPr>
              <w:t>8 247 149</w:t>
            </w:r>
          </w:p>
        </w:tc>
        <w:tc>
          <w:tcPr>
            <w:tcW w:w="850"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color w:val="00000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1425</w:t>
            </w:r>
          </w:p>
        </w:tc>
        <w:tc>
          <w:tcPr>
            <w:tcW w:w="2880" w:type="dxa"/>
          </w:tcPr>
          <w:p w:rsidR="00AA5D77" w:rsidRPr="006C40C1" w:rsidRDefault="00AA5D77">
            <w:pPr>
              <w:pStyle w:val="Tabelltext"/>
              <w:rPr>
                <w:snapToGrid w:val="0"/>
                <w:lang w:eastAsia="sv-SE"/>
              </w:rPr>
            </w:pPr>
            <w:r w:rsidRPr="006C40C1">
              <w:rPr>
                <w:snapToGrid w:val="0"/>
                <w:lang w:eastAsia="sv-SE"/>
              </w:rPr>
              <w:t>Alkoholskatt</w:t>
            </w:r>
          </w:p>
        </w:tc>
        <w:tc>
          <w:tcPr>
            <w:tcW w:w="993" w:type="dxa"/>
          </w:tcPr>
          <w:p w:rsidR="00AA5D77" w:rsidRPr="006C40C1" w:rsidRDefault="00AA5D77">
            <w:pPr>
              <w:pStyle w:val="Tabelltext"/>
              <w:jc w:val="right"/>
              <w:rPr>
                <w:snapToGrid w:val="0"/>
                <w:lang w:eastAsia="sv-SE"/>
              </w:rPr>
            </w:pPr>
            <w:r w:rsidRPr="006C40C1">
              <w:rPr>
                <w:snapToGrid w:val="0"/>
                <w:lang w:eastAsia="sv-SE"/>
              </w:rPr>
              <w:t>9 985 069</w:t>
            </w:r>
          </w:p>
        </w:tc>
        <w:tc>
          <w:tcPr>
            <w:tcW w:w="992" w:type="dxa"/>
          </w:tcPr>
          <w:p w:rsidR="00AA5D77" w:rsidRPr="006C40C1" w:rsidRDefault="00AA5D77">
            <w:pPr>
              <w:pStyle w:val="Tabelltext"/>
              <w:jc w:val="right"/>
              <w:rPr>
                <w:snapToGrid w:val="0"/>
                <w:lang w:eastAsia="sv-SE"/>
              </w:rPr>
            </w:pPr>
            <w:r w:rsidRPr="006C40C1">
              <w:rPr>
                <w:snapToGrid w:val="0"/>
                <w:lang w:eastAsia="sv-SE"/>
              </w:rPr>
              <w:t>9 985 069</w:t>
            </w:r>
          </w:p>
        </w:tc>
        <w:tc>
          <w:tcPr>
            <w:tcW w:w="850"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color w:val="00000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1428</w:t>
            </w:r>
          </w:p>
        </w:tc>
        <w:tc>
          <w:tcPr>
            <w:tcW w:w="2880" w:type="dxa"/>
          </w:tcPr>
          <w:p w:rsidR="00AA5D77" w:rsidRPr="006C40C1" w:rsidRDefault="00AA5D77">
            <w:pPr>
              <w:pStyle w:val="Tabelltext"/>
              <w:rPr>
                <w:snapToGrid w:val="0"/>
                <w:lang w:eastAsia="sv-SE"/>
              </w:rPr>
            </w:pPr>
            <w:r w:rsidRPr="006C40C1">
              <w:rPr>
                <w:snapToGrid w:val="0"/>
                <w:lang w:eastAsia="sv-SE"/>
              </w:rPr>
              <w:t>Energiskatt</w:t>
            </w:r>
          </w:p>
        </w:tc>
        <w:tc>
          <w:tcPr>
            <w:tcW w:w="993" w:type="dxa"/>
          </w:tcPr>
          <w:p w:rsidR="00AA5D77" w:rsidRPr="006C40C1" w:rsidRDefault="00AA5D77">
            <w:pPr>
              <w:pStyle w:val="Tabelltext"/>
              <w:jc w:val="right"/>
              <w:rPr>
                <w:snapToGrid w:val="0"/>
                <w:lang w:eastAsia="sv-SE"/>
              </w:rPr>
            </w:pPr>
            <w:r w:rsidRPr="006C40C1">
              <w:rPr>
                <w:snapToGrid w:val="0"/>
                <w:lang w:eastAsia="sv-SE"/>
              </w:rPr>
              <w:t>58 559 045</w:t>
            </w:r>
          </w:p>
        </w:tc>
        <w:tc>
          <w:tcPr>
            <w:tcW w:w="992" w:type="dxa"/>
          </w:tcPr>
          <w:p w:rsidR="00AA5D77" w:rsidRPr="006C40C1" w:rsidRDefault="00AA5D77">
            <w:pPr>
              <w:pStyle w:val="Tabelltext"/>
              <w:jc w:val="right"/>
              <w:rPr>
                <w:snapToGrid w:val="0"/>
                <w:lang w:eastAsia="sv-SE"/>
              </w:rPr>
            </w:pPr>
            <w:r w:rsidRPr="006C40C1">
              <w:rPr>
                <w:snapToGrid w:val="0"/>
                <w:lang w:eastAsia="sv-SE"/>
              </w:rPr>
              <w:t>58 791 045</w:t>
            </w:r>
          </w:p>
        </w:tc>
        <w:tc>
          <w:tcPr>
            <w:tcW w:w="850" w:type="dxa"/>
          </w:tcPr>
          <w:p w:rsidR="00AA5D77" w:rsidRPr="006C40C1" w:rsidRDefault="00AA5D77">
            <w:pPr>
              <w:pStyle w:val="Tabelltext"/>
              <w:jc w:val="right"/>
              <w:rPr>
                <w:snapToGrid w:val="0"/>
                <w:lang w:eastAsia="sv-SE"/>
              </w:rPr>
            </w:pPr>
            <w:r w:rsidRPr="006C40C1">
              <w:rPr>
                <w:snapToGrid w:val="0"/>
                <w:lang w:eastAsia="sv-SE"/>
              </w:rPr>
              <w:t>+232 000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-8 400 000</w:t>
            </w:r>
          </w:p>
        </w:tc>
        <w:tc>
          <w:tcPr>
            <w:tcW w:w="1134" w:type="dxa"/>
          </w:tcPr>
          <w:p w:rsidR="00AA5D77" w:rsidRPr="006C40C1" w:rsidRDefault="00AA5D77">
            <w:pPr>
              <w:pStyle w:val="Tabelltext"/>
              <w:jc w:val="right"/>
              <w:rPr>
                <w:snapToGrid w:val="0"/>
                <w:color w:val="000000"/>
                <w:lang w:eastAsia="sv-SE"/>
              </w:rPr>
            </w:pPr>
            <w:r w:rsidRPr="006C40C1">
              <w:rPr>
                <w:snapToGrid w:val="0"/>
                <w:color w:val="000000"/>
                <w:lang w:eastAsia="sv-SE"/>
              </w:rPr>
              <w:t>+232 000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-1 410 000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+980 000</w:t>
            </w: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1429</w:t>
            </w:r>
          </w:p>
        </w:tc>
        <w:tc>
          <w:tcPr>
            <w:tcW w:w="2880" w:type="dxa"/>
          </w:tcPr>
          <w:p w:rsidR="00AA5D77" w:rsidRPr="006C40C1" w:rsidRDefault="00AA5D77">
            <w:pPr>
              <w:pStyle w:val="Tabelltext"/>
              <w:rPr>
                <w:snapToGrid w:val="0"/>
                <w:lang w:eastAsia="sv-SE"/>
              </w:rPr>
            </w:pPr>
            <w:r w:rsidRPr="006C40C1">
              <w:rPr>
                <w:snapToGrid w:val="0"/>
                <w:lang w:eastAsia="sv-SE"/>
              </w:rPr>
              <w:t>Särskild avgift på svavelhaltigt bränsle</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1431</w:t>
            </w:r>
          </w:p>
        </w:tc>
        <w:tc>
          <w:tcPr>
            <w:tcW w:w="2880" w:type="dxa"/>
          </w:tcPr>
          <w:p w:rsidR="00AA5D77" w:rsidRPr="006C40C1" w:rsidRDefault="00AA5D77">
            <w:pPr>
              <w:pStyle w:val="Tabelltext"/>
              <w:rPr>
                <w:snapToGrid w:val="0"/>
                <w:lang w:eastAsia="sv-SE"/>
              </w:rPr>
            </w:pPr>
            <w:r w:rsidRPr="006C40C1">
              <w:rPr>
                <w:snapToGrid w:val="0"/>
                <w:lang w:eastAsia="sv-SE"/>
              </w:rPr>
              <w:t>Särskild skatt på elektrisk kraft från kär</w:t>
            </w:r>
            <w:r w:rsidRPr="006C40C1">
              <w:rPr>
                <w:snapToGrid w:val="0"/>
                <w:lang w:eastAsia="sv-SE"/>
              </w:rPr>
              <w:t>n</w:t>
            </w:r>
            <w:r w:rsidRPr="006C40C1">
              <w:rPr>
                <w:snapToGrid w:val="0"/>
                <w:lang w:eastAsia="sv-SE"/>
              </w:rPr>
              <w:t>kraftverk</w:t>
            </w:r>
          </w:p>
        </w:tc>
        <w:tc>
          <w:tcPr>
            <w:tcW w:w="993" w:type="dxa"/>
          </w:tcPr>
          <w:p w:rsidR="00AA5D77" w:rsidRPr="006C40C1" w:rsidRDefault="00AA5D77">
            <w:pPr>
              <w:pStyle w:val="Tabelltext"/>
              <w:jc w:val="right"/>
              <w:rPr>
                <w:snapToGrid w:val="0"/>
                <w:lang w:eastAsia="sv-SE"/>
              </w:rPr>
            </w:pPr>
            <w:r w:rsidRPr="006C40C1">
              <w:rPr>
                <w:snapToGrid w:val="0"/>
                <w:lang w:eastAsia="sv-SE"/>
              </w:rPr>
              <w:t>1 863 092</w:t>
            </w:r>
          </w:p>
        </w:tc>
        <w:tc>
          <w:tcPr>
            <w:tcW w:w="992" w:type="dxa"/>
          </w:tcPr>
          <w:p w:rsidR="00AA5D77" w:rsidRPr="006C40C1" w:rsidRDefault="00AA5D77">
            <w:pPr>
              <w:pStyle w:val="Tabelltext"/>
              <w:jc w:val="right"/>
              <w:rPr>
                <w:snapToGrid w:val="0"/>
                <w:lang w:eastAsia="sv-SE"/>
              </w:rPr>
            </w:pPr>
            <w:r w:rsidRPr="006C40C1">
              <w:rPr>
                <w:snapToGrid w:val="0"/>
                <w:lang w:eastAsia="sv-SE"/>
              </w:rPr>
              <w:t>1 863 092</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-310 000</w:t>
            </w: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1435</w:t>
            </w:r>
          </w:p>
        </w:tc>
        <w:tc>
          <w:tcPr>
            <w:tcW w:w="2880" w:type="dxa"/>
          </w:tcPr>
          <w:p w:rsidR="00AA5D77" w:rsidRPr="006C40C1" w:rsidRDefault="00AA5D77">
            <w:pPr>
              <w:pStyle w:val="Tabelltext"/>
              <w:rPr>
                <w:snapToGrid w:val="0"/>
                <w:lang w:eastAsia="sv-SE"/>
              </w:rPr>
            </w:pPr>
            <w:r w:rsidRPr="006C40C1">
              <w:rPr>
                <w:snapToGrid w:val="0"/>
                <w:lang w:eastAsia="sv-SE"/>
              </w:rPr>
              <w:t>Särskild skatt  mot försurning</w:t>
            </w:r>
          </w:p>
        </w:tc>
        <w:tc>
          <w:tcPr>
            <w:tcW w:w="993" w:type="dxa"/>
          </w:tcPr>
          <w:p w:rsidR="00AA5D77" w:rsidRPr="006C40C1" w:rsidRDefault="00AA5D77">
            <w:pPr>
              <w:pStyle w:val="Tabelltext"/>
              <w:jc w:val="right"/>
              <w:rPr>
                <w:snapToGrid w:val="0"/>
                <w:lang w:eastAsia="sv-SE"/>
              </w:rPr>
            </w:pPr>
            <w:r w:rsidRPr="006C40C1">
              <w:rPr>
                <w:snapToGrid w:val="0"/>
                <w:lang w:eastAsia="sv-SE"/>
              </w:rPr>
              <w:t>50 846</w:t>
            </w:r>
          </w:p>
        </w:tc>
        <w:tc>
          <w:tcPr>
            <w:tcW w:w="992" w:type="dxa"/>
          </w:tcPr>
          <w:p w:rsidR="00AA5D77" w:rsidRPr="006C40C1" w:rsidRDefault="00AA5D77">
            <w:pPr>
              <w:pStyle w:val="Tabelltext"/>
              <w:jc w:val="right"/>
              <w:rPr>
                <w:snapToGrid w:val="0"/>
                <w:lang w:eastAsia="sv-SE"/>
              </w:rPr>
            </w:pPr>
            <w:r w:rsidRPr="006C40C1">
              <w:rPr>
                <w:snapToGrid w:val="0"/>
                <w:lang w:eastAsia="sv-SE"/>
              </w:rPr>
              <w:t>50 846</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1436</w:t>
            </w:r>
          </w:p>
        </w:tc>
        <w:tc>
          <w:tcPr>
            <w:tcW w:w="2880" w:type="dxa"/>
          </w:tcPr>
          <w:p w:rsidR="00AA5D77" w:rsidRPr="006C40C1" w:rsidRDefault="00AA5D77">
            <w:pPr>
              <w:pStyle w:val="Tabelltext"/>
              <w:rPr>
                <w:snapToGrid w:val="0"/>
                <w:lang w:eastAsia="sv-SE"/>
              </w:rPr>
            </w:pPr>
            <w:r w:rsidRPr="006C40C1">
              <w:rPr>
                <w:snapToGrid w:val="0"/>
                <w:lang w:eastAsia="sv-SE"/>
              </w:rPr>
              <w:t>Skatt på avfall</w:t>
            </w:r>
          </w:p>
        </w:tc>
        <w:tc>
          <w:tcPr>
            <w:tcW w:w="993" w:type="dxa"/>
          </w:tcPr>
          <w:p w:rsidR="00AA5D77" w:rsidRPr="006C40C1" w:rsidRDefault="00AA5D77">
            <w:pPr>
              <w:pStyle w:val="Tabelltext"/>
              <w:jc w:val="right"/>
              <w:rPr>
                <w:snapToGrid w:val="0"/>
                <w:lang w:eastAsia="sv-SE"/>
              </w:rPr>
            </w:pPr>
            <w:r w:rsidRPr="006C40C1">
              <w:rPr>
                <w:snapToGrid w:val="0"/>
                <w:lang w:eastAsia="sv-SE"/>
              </w:rPr>
              <w:t>1 240 000</w:t>
            </w:r>
          </w:p>
        </w:tc>
        <w:tc>
          <w:tcPr>
            <w:tcW w:w="992" w:type="dxa"/>
          </w:tcPr>
          <w:p w:rsidR="00AA5D77" w:rsidRPr="006C40C1" w:rsidRDefault="00AA5D77">
            <w:pPr>
              <w:pStyle w:val="Tabelltext"/>
              <w:jc w:val="right"/>
              <w:rPr>
                <w:snapToGrid w:val="0"/>
                <w:lang w:eastAsia="sv-SE"/>
              </w:rPr>
            </w:pPr>
            <w:r w:rsidRPr="006C40C1">
              <w:rPr>
                <w:snapToGrid w:val="0"/>
                <w:lang w:eastAsia="sv-SE"/>
              </w:rPr>
              <w:t>1 240 000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+300 000</w:t>
            </w: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+150 000</w:t>
            </w: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1437</w:t>
            </w:r>
          </w:p>
        </w:tc>
        <w:tc>
          <w:tcPr>
            <w:tcW w:w="2880" w:type="dxa"/>
          </w:tcPr>
          <w:p w:rsidR="00AA5D77" w:rsidRPr="006C40C1" w:rsidRDefault="00AA5D77">
            <w:pPr>
              <w:pStyle w:val="Tabelltext"/>
              <w:rPr>
                <w:snapToGrid w:val="0"/>
                <w:lang w:eastAsia="sv-SE"/>
              </w:rPr>
            </w:pPr>
            <w:r w:rsidRPr="006C40C1">
              <w:rPr>
                <w:snapToGrid w:val="0"/>
                <w:lang w:eastAsia="sv-SE"/>
              </w:rPr>
              <w:t>Skatt på bekämpnings- och gödselm</w:t>
            </w:r>
            <w:r w:rsidRPr="006C40C1">
              <w:rPr>
                <w:snapToGrid w:val="0"/>
                <w:lang w:eastAsia="sv-SE"/>
              </w:rPr>
              <w:t>e</w:t>
            </w:r>
            <w:r w:rsidRPr="006C40C1">
              <w:rPr>
                <w:snapToGrid w:val="0"/>
                <w:lang w:eastAsia="sv-SE"/>
              </w:rPr>
              <w:t>del</w:t>
            </w:r>
          </w:p>
        </w:tc>
        <w:tc>
          <w:tcPr>
            <w:tcW w:w="993" w:type="dxa"/>
          </w:tcPr>
          <w:p w:rsidR="00AA5D77" w:rsidRPr="006C40C1" w:rsidRDefault="00AA5D77">
            <w:pPr>
              <w:pStyle w:val="Tabelltext"/>
              <w:jc w:val="right"/>
              <w:rPr>
                <w:snapToGrid w:val="0"/>
                <w:lang w:eastAsia="sv-SE"/>
              </w:rPr>
            </w:pPr>
            <w:r w:rsidRPr="006C40C1">
              <w:rPr>
                <w:snapToGrid w:val="0"/>
                <w:lang w:eastAsia="sv-SE"/>
              </w:rPr>
              <w:t>428 939</w:t>
            </w:r>
          </w:p>
        </w:tc>
        <w:tc>
          <w:tcPr>
            <w:tcW w:w="992" w:type="dxa"/>
          </w:tcPr>
          <w:p w:rsidR="00AA5D77" w:rsidRPr="006C40C1" w:rsidRDefault="00AA5D77">
            <w:pPr>
              <w:pStyle w:val="Tabelltext"/>
              <w:jc w:val="right"/>
              <w:rPr>
                <w:snapToGrid w:val="0"/>
                <w:lang w:eastAsia="sv-SE"/>
              </w:rPr>
            </w:pPr>
            <w:r w:rsidRPr="006C40C1">
              <w:rPr>
                <w:snapToGrid w:val="0"/>
                <w:lang w:eastAsia="sv-SE"/>
              </w:rPr>
              <w:t>428 939</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1442</w:t>
            </w:r>
          </w:p>
        </w:tc>
        <w:tc>
          <w:tcPr>
            <w:tcW w:w="2880" w:type="dxa"/>
          </w:tcPr>
          <w:p w:rsidR="00AA5D77" w:rsidRPr="006C40C1" w:rsidRDefault="00AA5D77">
            <w:pPr>
              <w:pStyle w:val="Tabelltext"/>
              <w:rPr>
                <w:snapToGrid w:val="0"/>
                <w:lang w:eastAsia="sv-SE"/>
              </w:rPr>
            </w:pPr>
            <w:r w:rsidRPr="006C40C1">
              <w:rPr>
                <w:snapToGrid w:val="0"/>
                <w:lang w:eastAsia="sv-SE"/>
              </w:rPr>
              <w:t>Systembolaget AB:s inlevererade överskott</w:t>
            </w:r>
          </w:p>
        </w:tc>
        <w:tc>
          <w:tcPr>
            <w:tcW w:w="993" w:type="dxa"/>
          </w:tcPr>
          <w:p w:rsidR="00AA5D77" w:rsidRPr="006C40C1" w:rsidRDefault="00AA5D77">
            <w:pPr>
              <w:pStyle w:val="Tabelltext"/>
              <w:jc w:val="right"/>
              <w:rPr>
                <w:snapToGrid w:val="0"/>
                <w:lang w:eastAsia="sv-SE"/>
              </w:rPr>
            </w:pPr>
            <w:r w:rsidRPr="006C40C1">
              <w:rPr>
                <w:snapToGrid w:val="0"/>
                <w:lang w:eastAsia="sv-SE"/>
              </w:rPr>
              <w:t>100 000</w:t>
            </w:r>
          </w:p>
        </w:tc>
        <w:tc>
          <w:tcPr>
            <w:tcW w:w="992" w:type="dxa"/>
          </w:tcPr>
          <w:p w:rsidR="00AA5D77" w:rsidRPr="006C40C1" w:rsidRDefault="00AA5D77">
            <w:pPr>
              <w:pStyle w:val="Tabelltext"/>
              <w:jc w:val="right"/>
              <w:rPr>
                <w:snapToGrid w:val="0"/>
                <w:lang w:eastAsia="sv-SE"/>
              </w:rPr>
            </w:pPr>
            <w:r w:rsidRPr="006C40C1">
              <w:rPr>
                <w:snapToGrid w:val="0"/>
                <w:lang w:eastAsia="sv-SE"/>
              </w:rPr>
              <w:t>100 000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1451</w:t>
            </w:r>
          </w:p>
        </w:tc>
        <w:tc>
          <w:tcPr>
            <w:tcW w:w="2880" w:type="dxa"/>
          </w:tcPr>
          <w:p w:rsidR="00AA5D77" w:rsidRPr="006C40C1" w:rsidRDefault="00AA5D77">
            <w:pPr>
              <w:pStyle w:val="Tabelltext"/>
              <w:rPr>
                <w:snapToGrid w:val="0"/>
                <w:lang w:eastAsia="sv-SE"/>
              </w:rPr>
            </w:pPr>
            <w:r w:rsidRPr="006C40C1">
              <w:rPr>
                <w:snapToGrid w:val="0"/>
                <w:lang w:eastAsia="sv-SE"/>
              </w:rPr>
              <w:t>Reseskatt</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1452</w:t>
            </w:r>
          </w:p>
        </w:tc>
        <w:tc>
          <w:tcPr>
            <w:tcW w:w="2880" w:type="dxa"/>
          </w:tcPr>
          <w:p w:rsidR="00AA5D77" w:rsidRPr="006C40C1" w:rsidRDefault="00AA5D77">
            <w:pPr>
              <w:pStyle w:val="Tabelltext"/>
              <w:rPr>
                <w:snapToGrid w:val="0"/>
                <w:lang w:eastAsia="sv-SE"/>
              </w:rPr>
            </w:pPr>
            <w:r w:rsidRPr="006C40C1">
              <w:rPr>
                <w:snapToGrid w:val="0"/>
                <w:lang w:eastAsia="sv-SE"/>
              </w:rPr>
              <w:t>Skatt på annonser och reklam</w:t>
            </w:r>
          </w:p>
        </w:tc>
        <w:tc>
          <w:tcPr>
            <w:tcW w:w="993" w:type="dxa"/>
          </w:tcPr>
          <w:p w:rsidR="00AA5D77" w:rsidRPr="006C40C1" w:rsidRDefault="00AA5D77">
            <w:pPr>
              <w:pStyle w:val="Tabelltext"/>
              <w:jc w:val="right"/>
              <w:rPr>
                <w:snapToGrid w:val="0"/>
                <w:lang w:eastAsia="sv-SE"/>
              </w:rPr>
            </w:pPr>
            <w:r w:rsidRPr="006C40C1">
              <w:rPr>
                <w:snapToGrid w:val="0"/>
                <w:lang w:eastAsia="sv-SE"/>
              </w:rPr>
              <w:t>826 523</w:t>
            </w:r>
          </w:p>
        </w:tc>
        <w:tc>
          <w:tcPr>
            <w:tcW w:w="992" w:type="dxa"/>
          </w:tcPr>
          <w:p w:rsidR="00AA5D77" w:rsidRPr="006C40C1" w:rsidRDefault="00AA5D77">
            <w:pPr>
              <w:pStyle w:val="Tabelltext"/>
              <w:jc w:val="right"/>
              <w:rPr>
                <w:snapToGrid w:val="0"/>
                <w:lang w:eastAsia="sv-SE"/>
              </w:rPr>
            </w:pPr>
            <w:r w:rsidRPr="006C40C1">
              <w:rPr>
                <w:snapToGrid w:val="0"/>
                <w:lang w:eastAsia="sv-SE"/>
              </w:rPr>
              <w:t>826 523</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-790 000</w:t>
            </w: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1454</w:t>
            </w:r>
          </w:p>
        </w:tc>
        <w:tc>
          <w:tcPr>
            <w:tcW w:w="2880" w:type="dxa"/>
          </w:tcPr>
          <w:p w:rsidR="00AA5D77" w:rsidRPr="006C40C1" w:rsidRDefault="00AA5D77">
            <w:pPr>
              <w:pStyle w:val="Tabelltext"/>
              <w:rPr>
                <w:snapToGrid w:val="0"/>
                <w:lang w:eastAsia="sv-SE"/>
              </w:rPr>
            </w:pPr>
            <w:r w:rsidRPr="006C40C1">
              <w:rPr>
                <w:snapToGrid w:val="0"/>
                <w:lang w:eastAsia="sv-SE"/>
              </w:rPr>
              <w:t>Skatt på spel</w:t>
            </w:r>
          </w:p>
        </w:tc>
        <w:tc>
          <w:tcPr>
            <w:tcW w:w="993" w:type="dxa"/>
          </w:tcPr>
          <w:p w:rsidR="00AA5D77" w:rsidRPr="006C40C1" w:rsidRDefault="00AA5D77">
            <w:pPr>
              <w:pStyle w:val="Tabelltext"/>
              <w:jc w:val="right"/>
              <w:rPr>
                <w:snapToGrid w:val="0"/>
                <w:lang w:eastAsia="sv-SE"/>
              </w:rPr>
            </w:pPr>
            <w:r w:rsidRPr="006C40C1">
              <w:rPr>
                <w:snapToGrid w:val="0"/>
                <w:lang w:eastAsia="sv-SE"/>
              </w:rPr>
              <w:t>37 890</w:t>
            </w:r>
          </w:p>
        </w:tc>
        <w:tc>
          <w:tcPr>
            <w:tcW w:w="992" w:type="dxa"/>
          </w:tcPr>
          <w:p w:rsidR="00AA5D77" w:rsidRPr="006C40C1" w:rsidRDefault="00AA5D77">
            <w:pPr>
              <w:pStyle w:val="Tabelltext"/>
              <w:jc w:val="right"/>
              <w:rPr>
                <w:snapToGrid w:val="0"/>
                <w:lang w:eastAsia="sv-SE"/>
              </w:rPr>
            </w:pPr>
            <w:r w:rsidRPr="006C40C1">
              <w:rPr>
                <w:snapToGrid w:val="0"/>
                <w:lang w:eastAsia="sv-SE"/>
              </w:rPr>
              <w:t>37 890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1461</w:t>
            </w:r>
          </w:p>
        </w:tc>
        <w:tc>
          <w:tcPr>
            <w:tcW w:w="2880" w:type="dxa"/>
          </w:tcPr>
          <w:p w:rsidR="00AA5D77" w:rsidRPr="006C40C1" w:rsidRDefault="00AA5D77">
            <w:pPr>
              <w:pStyle w:val="Tabelltext"/>
              <w:rPr>
                <w:snapToGrid w:val="0"/>
                <w:lang w:eastAsia="sv-SE"/>
              </w:rPr>
            </w:pPr>
            <w:r w:rsidRPr="006C40C1">
              <w:rPr>
                <w:snapToGrid w:val="0"/>
                <w:lang w:eastAsia="sv-SE"/>
              </w:rPr>
              <w:t>Fordonsskatt</w:t>
            </w:r>
          </w:p>
        </w:tc>
        <w:tc>
          <w:tcPr>
            <w:tcW w:w="993" w:type="dxa"/>
          </w:tcPr>
          <w:p w:rsidR="00AA5D77" w:rsidRPr="006C40C1" w:rsidRDefault="00AA5D77">
            <w:pPr>
              <w:pStyle w:val="Tabelltext"/>
              <w:jc w:val="right"/>
              <w:rPr>
                <w:snapToGrid w:val="0"/>
                <w:lang w:eastAsia="sv-SE"/>
              </w:rPr>
            </w:pPr>
            <w:r w:rsidRPr="006C40C1">
              <w:rPr>
                <w:snapToGrid w:val="0"/>
                <w:lang w:eastAsia="sv-SE"/>
              </w:rPr>
              <w:t>7 415 535</w:t>
            </w:r>
          </w:p>
        </w:tc>
        <w:tc>
          <w:tcPr>
            <w:tcW w:w="992" w:type="dxa"/>
          </w:tcPr>
          <w:p w:rsidR="00AA5D77" w:rsidRPr="006C40C1" w:rsidRDefault="00AA5D77">
            <w:pPr>
              <w:pStyle w:val="Tabelltext"/>
              <w:jc w:val="right"/>
              <w:rPr>
                <w:snapToGrid w:val="0"/>
                <w:lang w:eastAsia="sv-SE"/>
              </w:rPr>
            </w:pPr>
            <w:r w:rsidRPr="006C40C1">
              <w:rPr>
                <w:snapToGrid w:val="0"/>
                <w:lang w:eastAsia="sv-SE"/>
              </w:rPr>
              <w:t>7 415 535</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+70 000</w:t>
            </w: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1462</w:t>
            </w:r>
          </w:p>
        </w:tc>
        <w:tc>
          <w:tcPr>
            <w:tcW w:w="2880" w:type="dxa"/>
          </w:tcPr>
          <w:p w:rsidR="00AA5D77" w:rsidRPr="006C40C1" w:rsidRDefault="00AA5D77">
            <w:pPr>
              <w:pStyle w:val="Tabelltext"/>
              <w:rPr>
                <w:snapToGrid w:val="0"/>
                <w:lang w:eastAsia="sv-SE"/>
              </w:rPr>
            </w:pPr>
            <w:r w:rsidRPr="006C40C1">
              <w:rPr>
                <w:snapToGrid w:val="0"/>
                <w:lang w:eastAsia="sv-SE"/>
              </w:rPr>
              <w:t>Vägavgifter</w:t>
            </w:r>
          </w:p>
        </w:tc>
        <w:tc>
          <w:tcPr>
            <w:tcW w:w="993" w:type="dxa"/>
          </w:tcPr>
          <w:p w:rsidR="00AA5D77" w:rsidRPr="006C40C1" w:rsidRDefault="00AA5D77">
            <w:pPr>
              <w:pStyle w:val="Tabelltext"/>
              <w:jc w:val="right"/>
              <w:rPr>
                <w:snapToGrid w:val="0"/>
                <w:lang w:eastAsia="sv-SE"/>
              </w:rPr>
            </w:pPr>
            <w:r w:rsidRPr="006C40C1">
              <w:rPr>
                <w:snapToGrid w:val="0"/>
                <w:lang w:eastAsia="sv-SE"/>
              </w:rPr>
              <w:t>619 153</w:t>
            </w:r>
          </w:p>
        </w:tc>
        <w:tc>
          <w:tcPr>
            <w:tcW w:w="992" w:type="dxa"/>
          </w:tcPr>
          <w:p w:rsidR="00AA5D77" w:rsidRPr="006C40C1" w:rsidRDefault="00AA5D77">
            <w:pPr>
              <w:pStyle w:val="Tabelltext"/>
              <w:jc w:val="right"/>
              <w:rPr>
                <w:snapToGrid w:val="0"/>
                <w:lang w:eastAsia="sv-SE"/>
              </w:rPr>
            </w:pPr>
            <w:r w:rsidRPr="006C40C1">
              <w:rPr>
                <w:snapToGrid w:val="0"/>
                <w:lang w:eastAsia="sv-SE"/>
              </w:rPr>
              <w:t>619 153</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1471</w:t>
            </w:r>
          </w:p>
        </w:tc>
        <w:tc>
          <w:tcPr>
            <w:tcW w:w="2880" w:type="dxa"/>
          </w:tcPr>
          <w:p w:rsidR="00AA5D77" w:rsidRPr="006C40C1" w:rsidRDefault="00AA5D77">
            <w:pPr>
              <w:pStyle w:val="Tabelltext"/>
              <w:rPr>
                <w:snapToGrid w:val="0"/>
                <w:lang w:eastAsia="sv-SE"/>
              </w:rPr>
            </w:pPr>
            <w:r w:rsidRPr="006C40C1">
              <w:rPr>
                <w:snapToGrid w:val="0"/>
                <w:lang w:eastAsia="sv-SE"/>
              </w:rPr>
              <w:t>Tullmedel</w:t>
            </w:r>
          </w:p>
        </w:tc>
        <w:tc>
          <w:tcPr>
            <w:tcW w:w="993" w:type="dxa"/>
          </w:tcPr>
          <w:p w:rsidR="00AA5D77" w:rsidRPr="006C40C1" w:rsidRDefault="00AA5D77">
            <w:pPr>
              <w:pStyle w:val="Tabelltext"/>
              <w:jc w:val="right"/>
              <w:rPr>
                <w:snapToGrid w:val="0"/>
                <w:lang w:eastAsia="sv-SE"/>
              </w:rPr>
            </w:pPr>
            <w:r w:rsidRPr="006C40C1">
              <w:rPr>
                <w:snapToGrid w:val="0"/>
                <w:lang w:eastAsia="sv-SE"/>
              </w:rPr>
              <w:t>3 478 297</w:t>
            </w:r>
          </w:p>
        </w:tc>
        <w:tc>
          <w:tcPr>
            <w:tcW w:w="992" w:type="dxa"/>
          </w:tcPr>
          <w:p w:rsidR="00AA5D77" w:rsidRPr="006C40C1" w:rsidRDefault="00AA5D77">
            <w:pPr>
              <w:pStyle w:val="Tabelltext"/>
              <w:jc w:val="right"/>
              <w:rPr>
                <w:snapToGrid w:val="0"/>
                <w:lang w:eastAsia="sv-SE"/>
              </w:rPr>
            </w:pPr>
            <w:r w:rsidRPr="006C40C1">
              <w:rPr>
                <w:snapToGrid w:val="0"/>
                <w:lang w:eastAsia="sv-SE"/>
              </w:rPr>
              <w:t>3 478 297</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1472</w:t>
            </w:r>
          </w:p>
        </w:tc>
        <w:tc>
          <w:tcPr>
            <w:tcW w:w="2880" w:type="dxa"/>
          </w:tcPr>
          <w:p w:rsidR="00AA5D77" w:rsidRPr="006C40C1" w:rsidRDefault="00AA5D77">
            <w:pPr>
              <w:pStyle w:val="Tabelltext"/>
              <w:rPr>
                <w:snapToGrid w:val="0"/>
                <w:lang w:eastAsia="sv-SE"/>
              </w:rPr>
            </w:pPr>
            <w:r w:rsidRPr="006C40C1">
              <w:rPr>
                <w:snapToGrid w:val="0"/>
                <w:lang w:eastAsia="sv-SE"/>
              </w:rPr>
              <w:t>Övriga skatter m.m. på import</w:t>
            </w:r>
          </w:p>
        </w:tc>
        <w:tc>
          <w:tcPr>
            <w:tcW w:w="993" w:type="dxa"/>
          </w:tcPr>
          <w:p w:rsidR="00AA5D77" w:rsidRPr="006C40C1" w:rsidRDefault="00AA5D77">
            <w:pPr>
              <w:pStyle w:val="Tabelltext"/>
              <w:jc w:val="right"/>
              <w:rPr>
                <w:snapToGrid w:val="0"/>
                <w:lang w:eastAsia="sv-SE"/>
              </w:rPr>
            </w:pPr>
            <w:r w:rsidRPr="006C40C1">
              <w:rPr>
                <w:snapToGrid w:val="0"/>
                <w:lang w:eastAsia="sv-SE"/>
              </w:rPr>
              <w:t>4 000</w:t>
            </w:r>
          </w:p>
        </w:tc>
        <w:tc>
          <w:tcPr>
            <w:tcW w:w="992" w:type="dxa"/>
          </w:tcPr>
          <w:p w:rsidR="00AA5D77" w:rsidRPr="006C40C1" w:rsidRDefault="00AA5D77">
            <w:pPr>
              <w:pStyle w:val="Tabelltext"/>
              <w:jc w:val="right"/>
              <w:rPr>
                <w:snapToGrid w:val="0"/>
                <w:lang w:eastAsia="sv-SE"/>
              </w:rPr>
            </w:pPr>
            <w:r w:rsidRPr="006C40C1">
              <w:rPr>
                <w:snapToGrid w:val="0"/>
                <w:lang w:eastAsia="sv-SE"/>
              </w:rPr>
              <w:t>4 000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1473</w:t>
            </w:r>
          </w:p>
        </w:tc>
        <w:tc>
          <w:tcPr>
            <w:tcW w:w="2880" w:type="dxa"/>
          </w:tcPr>
          <w:p w:rsidR="00AA5D77" w:rsidRPr="006C40C1" w:rsidRDefault="00AA5D77">
            <w:pPr>
              <w:pStyle w:val="Tabelltext"/>
              <w:rPr>
                <w:snapToGrid w:val="0"/>
                <w:lang w:eastAsia="sv-SE"/>
              </w:rPr>
            </w:pPr>
            <w:r w:rsidRPr="006C40C1">
              <w:rPr>
                <w:snapToGrid w:val="0"/>
                <w:lang w:eastAsia="sv-SE"/>
              </w:rPr>
              <w:t>Särskilda jordbrukstullar och socke</w:t>
            </w:r>
            <w:r w:rsidRPr="006C40C1">
              <w:rPr>
                <w:snapToGrid w:val="0"/>
                <w:lang w:eastAsia="sv-SE"/>
              </w:rPr>
              <w:t>r</w:t>
            </w:r>
            <w:r w:rsidRPr="006C40C1">
              <w:rPr>
                <w:snapToGrid w:val="0"/>
                <w:lang w:eastAsia="sv-SE"/>
              </w:rPr>
              <w:t>avgifter</w:t>
            </w:r>
          </w:p>
        </w:tc>
        <w:tc>
          <w:tcPr>
            <w:tcW w:w="993" w:type="dxa"/>
          </w:tcPr>
          <w:p w:rsidR="00AA5D77" w:rsidRPr="006C40C1" w:rsidRDefault="00AA5D77">
            <w:pPr>
              <w:pStyle w:val="Tabelltext"/>
              <w:jc w:val="right"/>
              <w:rPr>
                <w:snapToGrid w:val="0"/>
                <w:lang w:eastAsia="sv-SE"/>
              </w:rPr>
            </w:pPr>
            <w:r w:rsidRPr="006C40C1">
              <w:rPr>
                <w:snapToGrid w:val="0"/>
                <w:lang w:eastAsia="sv-SE"/>
              </w:rPr>
              <w:t>230 000</w:t>
            </w:r>
          </w:p>
        </w:tc>
        <w:tc>
          <w:tcPr>
            <w:tcW w:w="992" w:type="dxa"/>
          </w:tcPr>
          <w:p w:rsidR="00AA5D77" w:rsidRPr="006C40C1" w:rsidRDefault="00AA5D77">
            <w:pPr>
              <w:pStyle w:val="Tabelltext"/>
              <w:jc w:val="right"/>
              <w:rPr>
                <w:snapToGrid w:val="0"/>
                <w:lang w:eastAsia="sv-SE"/>
              </w:rPr>
            </w:pPr>
            <w:r w:rsidRPr="006C40C1">
              <w:rPr>
                <w:snapToGrid w:val="0"/>
                <w:lang w:eastAsia="sv-SE"/>
              </w:rPr>
              <w:t>230 000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1481</w:t>
            </w:r>
          </w:p>
        </w:tc>
        <w:tc>
          <w:tcPr>
            <w:tcW w:w="2880" w:type="dxa"/>
          </w:tcPr>
          <w:p w:rsidR="00AA5D77" w:rsidRPr="006C40C1" w:rsidRDefault="00AA5D77">
            <w:pPr>
              <w:pStyle w:val="Tabelltext"/>
              <w:rPr>
                <w:snapToGrid w:val="0"/>
                <w:lang w:eastAsia="sv-SE"/>
              </w:rPr>
            </w:pPr>
            <w:r w:rsidRPr="006C40C1">
              <w:rPr>
                <w:snapToGrid w:val="0"/>
                <w:lang w:eastAsia="sv-SE"/>
              </w:rPr>
              <w:t>Övriga skatter på varor och tjänster</w:t>
            </w:r>
          </w:p>
        </w:tc>
        <w:tc>
          <w:tcPr>
            <w:tcW w:w="993" w:type="dxa"/>
          </w:tcPr>
          <w:p w:rsidR="00AA5D77" w:rsidRPr="006C40C1" w:rsidRDefault="00AA5D77">
            <w:pPr>
              <w:pStyle w:val="Tabelltext"/>
              <w:jc w:val="right"/>
              <w:rPr>
                <w:snapToGrid w:val="0"/>
                <w:lang w:eastAsia="sv-SE"/>
              </w:rPr>
            </w:pPr>
            <w:r w:rsidRPr="006C40C1">
              <w:rPr>
                <w:snapToGrid w:val="0"/>
                <w:lang w:eastAsia="sv-SE"/>
              </w:rPr>
              <w:t>119 521</w:t>
            </w:r>
          </w:p>
        </w:tc>
        <w:tc>
          <w:tcPr>
            <w:tcW w:w="992" w:type="dxa"/>
          </w:tcPr>
          <w:p w:rsidR="00AA5D77" w:rsidRPr="006C40C1" w:rsidRDefault="00AA5D77">
            <w:pPr>
              <w:pStyle w:val="Tabelltext"/>
              <w:jc w:val="right"/>
              <w:rPr>
                <w:snapToGrid w:val="0"/>
                <w:lang w:eastAsia="sv-SE"/>
              </w:rPr>
            </w:pPr>
            <w:r w:rsidRPr="006C40C1">
              <w:rPr>
                <w:snapToGrid w:val="0"/>
                <w:lang w:eastAsia="sv-SE"/>
              </w:rPr>
              <w:t>119 521</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1511</w:t>
            </w:r>
          </w:p>
        </w:tc>
        <w:tc>
          <w:tcPr>
            <w:tcW w:w="2880" w:type="dxa"/>
          </w:tcPr>
          <w:p w:rsidR="00AA5D77" w:rsidRPr="006C40C1" w:rsidRDefault="00AA5D77">
            <w:pPr>
              <w:pStyle w:val="Tabelltext"/>
              <w:rPr>
                <w:snapToGrid w:val="0"/>
                <w:lang w:eastAsia="sv-SE"/>
              </w:rPr>
            </w:pPr>
            <w:r w:rsidRPr="006C40C1">
              <w:rPr>
                <w:snapToGrid w:val="0"/>
                <w:lang w:eastAsia="sv-SE"/>
              </w:rPr>
              <w:t>Utjämningsavgift för kommuner och land</w:t>
            </w:r>
            <w:r w:rsidRPr="006C40C1">
              <w:rPr>
                <w:snapToGrid w:val="0"/>
                <w:lang w:eastAsia="sv-SE"/>
              </w:rPr>
              <w:t>s</w:t>
            </w:r>
            <w:r w:rsidRPr="006C40C1">
              <w:rPr>
                <w:snapToGrid w:val="0"/>
                <w:lang w:eastAsia="sv-SE"/>
              </w:rPr>
              <w:t>ting</w:t>
            </w:r>
          </w:p>
        </w:tc>
        <w:tc>
          <w:tcPr>
            <w:tcW w:w="993" w:type="dxa"/>
          </w:tcPr>
          <w:p w:rsidR="00AA5D77" w:rsidRPr="006C40C1" w:rsidRDefault="00AA5D77">
            <w:pPr>
              <w:pStyle w:val="Tabelltext"/>
              <w:jc w:val="right"/>
              <w:rPr>
                <w:snapToGrid w:val="0"/>
                <w:lang w:eastAsia="sv-SE"/>
              </w:rPr>
            </w:pPr>
            <w:r w:rsidRPr="006C40C1">
              <w:rPr>
                <w:snapToGrid w:val="0"/>
                <w:lang w:eastAsia="sv-SE"/>
              </w:rPr>
              <w:t>23 759 000</w:t>
            </w:r>
          </w:p>
        </w:tc>
        <w:tc>
          <w:tcPr>
            <w:tcW w:w="992" w:type="dxa"/>
          </w:tcPr>
          <w:p w:rsidR="00AA5D77" w:rsidRPr="006C40C1" w:rsidRDefault="00AA5D77">
            <w:pPr>
              <w:pStyle w:val="Tabelltext"/>
              <w:jc w:val="right"/>
              <w:rPr>
                <w:snapToGrid w:val="0"/>
                <w:lang w:eastAsia="sv-SE"/>
              </w:rPr>
            </w:pPr>
            <w:r w:rsidRPr="006C40C1">
              <w:rPr>
                <w:snapToGrid w:val="0"/>
                <w:lang w:eastAsia="sv-SE"/>
              </w:rPr>
              <w:t>23 759 000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r w:rsidRPr="006C40C1">
              <w:rPr>
                <w:snapToGrid w:val="0"/>
                <w:color w:val="000000"/>
                <w:lang w:eastAsia="sv-SE"/>
              </w:rPr>
              <w:t>-500 000</w:t>
            </w: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1512</w:t>
            </w:r>
          </w:p>
        </w:tc>
        <w:tc>
          <w:tcPr>
            <w:tcW w:w="2880" w:type="dxa"/>
          </w:tcPr>
          <w:p w:rsidR="00AA5D77" w:rsidRPr="006C40C1" w:rsidRDefault="00AA5D77">
            <w:pPr>
              <w:pStyle w:val="Tabelltext"/>
              <w:rPr>
                <w:snapToGrid w:val="0"/>
                <w:lang w:eastAsia="sv-SE"/>
              </w:rPr>
            </w:pPr>
            <w:r w:rsidRPr="006C40C1">
              <w:rPr>
                <w:snapToGrid w:val="0"/>
                <w:lang w:eastAsia="sv-SE"/>
              </w:rPr>
              <w:t>Kompensation för mervärdesskatt till kommuner  och land</w:t>
            </w:r>
            <w:r w:rsidRPr="006C40C1">
              <w:rPr>
                <w:snapToGrid w:val="0"/>
                <w:lang w:eastAsia="sv-SE"/>
              </w:rPr>
              <w:t>s</w:t>
            </w:r>
            <w:r w:rsidRPr="006C40C1">
              <w:rPr>
                <w:snapToGrid w:val="0"/>
                <w:lang w:eastAsia="sv-SE"/>
              </w:rPr>
              <w:t>ting</w:t>
            </w:r>
          </w:p>
        </w:tc>
        <w:tc>
          <w:tcPr>
            <w:tcW w:w="993" w:type="dxa"/>
          </w:tcPr>
          <w:p w:rsidR="00AA5D77" w:rsidRPr="006C40C1" w:rsidRDefault="00AA5D77">
            <w:pPr>
              <w:pStyle w:val="Tabelltext"/>
              <w:jc w:val="right"/>
              <w:rPr>
                <w:snapToGrid w:val="0"/>
                <w:lang w:eastAsia="sv-SE"/>
              </w:rPr>
            </w:pPr>
            <w:r w:rsidRPr="006C40C1">
              <w:rPr>
                <w:snapToGrid w:val="0"/>
                <w:lang w:eastAsia="sv-SE"/>
              </w:rPr>
              <w:t>-31 357 000</w:t>
            </w:r>
          </w:p>
        </w:tc>
        <w:tc>
          <w:tcPr>
            <w:tcW w:w="992" w:type="dxa"/>
          </w:tcPr>
          <w:p w:rsidR="00AA5D77" w:rsidRPr="006C40C1" w:rsidRDefault="00AA5D77">
            <w:pPr>
              <w:pStyle w:val="Tabelltext"/>
              <w:jc w:val="right"/>
              <w:rPr>
                <w:snapToGrid w:val="0"/>
                <w:lang w:eastAsia="sv-SE"/>
              </w:rPr>
            </w:pPr>
            <w:r w:rsidRPr="006C40C1">
              <w:rPr>
                <w:snapToGrid w:val="0"/>
                <w:lang w:eastAsia="sv-SE"/>
              </w:rPr>
              <w:t>-31 357 000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1611</w:t>
            </w:r>
          </w:p>
        </w:tc>
        <w:tc>
          <w:tcPr>
            <w:tcW w:w="2880" w:type="dxa"/>
          </w:tcPr>
          <w:p w:rsidR="00AA5D77" w:rsidRPr="006C40C1" w:rsidRDefault="00AA5D77">
            <w:pPr>
              <w:pStyle w:val="Tabelltext"/>
              <w:rPr>
                <w:snapToGrid w:val="0"/>
                <w:lang w:eastAsia="sv-SE"/>
              </w:rPr>
            </w:pPr>
            <w:r w:rsidRPr="006C40C1">
              <w:rPr>
                <w:snapToGrid w:val="0"/>
                <w:lang w:eastAsia="sv-SE"/>
              </w:rPr>
              <w:t>Betalningsdifferenser pga anstånd, netto</w:t>
            </w:r>
          </w:p>
        </w:tc>
        <w:tc>
          <w:tcPr>
            <w:tcW w:w="993" w:type="dxa"/>
          </w:tcPr>
          <w:p w:rsidR="00AA5D77" w:rsidRPr="006C40C1" w:rsidRDefault="00AA5D77">
            <w:pPr>
              <w:pStyle w:val="Tabelltext"/>
              <w:jc w:val="right"/>
              <w:rPr>
                <w:snapToGrid w:val="0"/>
                <w:lang w:eastAsia="sv-SE"/>
              </w:rPr>
            </w:pPr>
            <w:r w:rsidRPr="006C40C1">
              <w:rPr>
                <w:snapToGrid w:val="0"/>
                <w:lang w:eastAsia="sv-SE"/>
              </w:rPr>
              <w:t>-170 710</w:t>
            </w:r>
          </w:p>
        </w:tc>
        <w:tc>
          <w:tcPr>
            <w:tcW w:w="992" w:type="dxa"/>
          </w:tcPr>
          <w:p w:rsidR="00AA5D77" w:rsidRPr="006C40C1" w:rsidRDefault="00AA5D77">
            <w:pPr>
              <w:pStyle w:val="Tabelltext"/>
              <w:jc w:val="right"/>
              <w:rPr>
                <w:snapToGrid w:val="0"/>
                <w:lang w:eastAsia="sv-SE"/>
              </w:rPr>
            </w:pPr>
            <w:r w:rsidRPr="006C40C1">
              <w:rPr>
                <w:snapToGrid w:val="0"/>
                <w:lang w:eastAsia="sv-SE"/>
              </w:rPr>
              <w:t>-170 710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1621</w:t>
            </w:r>
          </w:p>
        </w:tc>
        <w:tc>
          <w:tcPr>
            <w:tcW w:w="2880" w:type="dxa"/>
          </w:tcPr>
          <w:p w:rsidR="00AA5D77" w:rsidRPr="006C40C1" w:rsidRDefault="00AA5D77">
            <w:pPr>
              <w:pStyle w:val="Tabelltext"/>
              <w:rPr>
                <w:snapToGrid w:val="0"/>
                <w:lang w:eastAsia="sv-SE"/>
              </w:rPr>
            </w:pPr>
            <w:r w:rsidRPr="006C40C1">
              <w:rPr>
                <w:snapToGrid w:val="0"/>
                <w:lang w:eastAsia="sv-SE"/>
              </w:rPr>
              <w:t>Uppbördsförluster, netto, fysiska personers  inkoms</w:t>
            </w:r>
            <w:r w:rsidRPr="006C40C1">
              <w:rPr>
                <w:snapToGrid w:val="0"/>
                <w:lang w:eastAsia="sv-SE"/>
              </w:rPr>
              <w:t>t</w:t>
            </w:r>
            <w:r w:rsidRPr="006C40C1">
              <w:rPr>
                <w:snapToGrid w:val="0"/>
                <w:lang w:eastAsia="sv-SE"/>
              </w:rPr>
              <w:t>skatt</w:t>
            </w:r>
          </w:p>
        </w:tc>
        <w:tc>
          <w:tcPr>
            <w:tcW w:w="993" w:type="dxa"/>
          </w:tcPr>
          <w:p w:rsidR="00AA5D77" w:rsidRPr="006C40C1" w:rsidRDefault="00AA5D77">
            <w:pPr>
              <w:pStyle w:val="Tabelltext"/>
              <w:jc w:val="right"/>
              <w:rPr>
                <w:snapToGrid w:val="0"/>
                <w:lang w:eastAsia="sv-SE"/>
              </w:rPr>
            </w:pPr>
            <w:r w:rsidRPr="006C40C1">
              <w:rPr>
                <w:snapToGrid w:val="0"/>
                <w:lang w:eastAsia="sv-SE"/>
              </w:rPr>
              <w:t>-2 347 250</w:t>
            </w:r>
          </w:p>
        </w:tc>
        <w:tc>
          <w:tcPr>
            <w:tcW w:w="992" w:type="dxa"/>
          </w:tcPr>
          <w:p w:rsidR="00AA5D77" w:rsidRPr="006C40C1" w:rsidRDefault="00AA5D77">
            <w:pPr>
              <w:pStyle w:val="Tabelltext"/>
              <w:jc w:val="right"/>
              <w:rPr>
                <w:snapToGrid w:val="0"/>
                <w:lang w:eastAsia="sv-SE"/>
              </w:rPr>
            </w:pPr>
            <w:r w:rsidRPr="006C40C1">
              <w:rPr>
                <w:snapToGrid w:val="0"/>
                <w:lang w:eastAsia="sv-SE"/>
              </w:rPr>
              <w:t>-2 347 250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1622</w:t>
            </w:r>
          </w:p>
        </w:tc>
        <w:tc>
          <w:tcPr>
            <w:tcW w:w="2880" w:type="dxa"/>
          </w:tcPr>
          <w:p w:rsidR="00AA5D77" w:rsidRPr="006C40C1" w:rsidRDefault="00AA5D77">
            <w:pPr>
              <w:pStyle w:val="Tabelltext"/>
              <w:rPr>
                <w:snapToGrid w:val="0"/>
                <w:lang w:eastAsia="sv-SE"/>
              </w:rPr>
            </w:pPr>
            <w:r w:rsidRPr="006C40C1">
              <w:rPr>
                <w:snapToGrid w:val="0"/>
                <w:lang w:eastAsia="sv-SE"/>
              </w:rPr>
              <w:t>Uppbördsförluster, netto, juridiska pers</w:t>
            </w:r>
            <w:r w:rsidRPr="006C40C1">
              <w:rPr>
                <w:snapToGrid w:val="0"/>
                <w:lang w:eastAsia="sv-SE"/>
              </w:rPr>
              <w:t>o</w:t>
            </w:r>
            <w:r w:rsidRPr="006C40C1">
              <w:rPr>
                <w:snapToGrid w:val="0"/>
                <w:lang w:eastAsia="sv-SE"/>
              </w:rPr>
              <w:t>ners  i</w:t>
            </w:r>
            <w:r w:rsidRPr="006C40C1">
              <w:rPr>
                <w:snapToGrid w:val="0"/>
                <w:lang w:eastAsia="sv-SE"/>
              </w:rPr>
              <w:t>n</w:t>
            </w:r>
            <w:r w:rsidRPr="006C40C1">
              <w:rPr>
                <w:snapToGrid w:val="0"/>
                <w:lang w:eastAsia="sv-SE"/>
              </w:rPr>
              <w:t>komstskatt</w:t>
            </w:r>
          </w:p>
        </w:tc>
        <w:tc>
          <w:tcPr>
            <w:tcW w:w="993" w:type="dxa"/>
          </w:tcPr>
          <w:p w:rsidR="00AA5D77" w:rsidRPr="006C40C1" w:rsidRDefault="00AA5D77">
            <w:pPr>
              <w:pStyle w:val="Tabelltext"/>
              <w:jc w:val="right"/>
              <w:rPr>
                <w:snapToGrid w:val="0"/>
                <w:lang w:eastAsia="sv-SE"/>
              </w:rPr>
            </w:pPr>
            <w:r w:rsidRPr="006C40C1">
              <w:rPr>
                <w:snapToGrid w:val="0"/>
                <w:lang w:eastAsia="sv-SE"/>
              </w:rPr>
              <w:t>-335 321</w:t>
            </w:r>
          </w:p>
        </w:tc>
        <w:tc>
          <w:tcPr>
            <w:tcW w:w="992" w:type="dxa"/>
          </w:tcPr>
          <w:p w:rsidR="00AA5D77" w:rsidRPr="006C40C1" w:rsidRDefault="00AA5D77">
            <w:pPr>
              <w:pStyle w:val="Tabelltext"/>
              <w:jc w:val="right"/>
              <w:rPr>
                <w:snapToGrid w:val="0"/>
                <w:lang w:eastAsia="sv-SE"/>
              </w:rPr>
            </w:pPr>
            <w:r w:rsidRPr="006C40C1">
              <w:rPr>
                <w:snapToGrid w:val="0"/>
                <w:lang w:eastAsia="sv-SE"/>
              </w:rPr>
              <w:t>-335 321</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1623</w:t>
            </w:r>
          </w:p>
        </w:tc>
        <w:tc>
          <w:tcPr>
            <w:tcW w:w="2880" w:type="dxa"/>
          </w:tcPr>
          <w:p w:rsidR="00AA5D77" w:rsidRPr="006C40C1" w:rsidRDefault="00AA5D77">
            <w:pPr>
              <w:pStyle w:val="Tabelltext"/>
              <w:rPr>
                <w:snapToGrid w:val="0"/>
                <w:lang w:eastAsia="sv-SE"/>
              </w:rPr>
            </w:pPr>
            <w:r w:rsidRPr="006C40C1">
              <w:rPr>
                <w:snapToGrid w:val="0"/>
                <w:lang w:eastAsia="sv-SE"/>
              </w:rPr>
              <w:t>Uppbördsförluster, netto, arbetsgivaravgi</w:t>
            </w:r>
            <w:r w:rsidRPr="006C40C1">
              <w:rPr>
                <w:snapToGrid w:val="0"/>
                <w:lang w:eastAsia="sv-SE"/>
              </w:rPr>
              <w:t>f</w:t>
            </w:r>
            <w:r w:rsidRPr="006C40C1">
              <w:rPr>
                <w:snapToGrid w:val="0"/>
                <w:lang w:eastAsia="sv-SE"/>
              </w:rPr>
              <w:t>ter</w:t>
            </w:r>
          </w:p>
        </w:tc>
        <w:tc>
          <w:tcPr>
            <w:tcW w:w="993" w:type="dxa"/>
          </w:tcPr>
          <w:p w:rsidR="00AA5D77" w:rsidRPr="006C40C1" w:rsidRDefault="00AA5D77">
            <w:pPr>
              <w:pStyle w:val="Tabelltext"/>
              <w:jc w:val="right"/>
              <w:rPr>
                <w:snapToGrid w:val="0"/>
                <w:lang w:eastAsia="sv-SE"/>
              </w:rPr>
            </w:pPr>
            <w:r w:rsidRPr="006C40C1">
              <w:rPr>
                <w:snapToGrid w:val="0"/>
                <w:lang w:eastAsia="sv-SE"/>
              </w:rPr>
              <w:t>-614 756</w:t>
            </w:r>
          </w:p>
        </w:tc>
        <w:tc>
          <w:tcPr>
            <w:tcW w:w="992" w:type="dxa"/>
          </w:tcPr>
          <w:p w:rsidR="00AA5D77" w:rsidRPr="006C40C1" w:rsidRDefault="00AA5D77">
            <w:pPr>
              <w:pStyle w:val="Tabelltext"/>
              <w:jc w:val="right"/>
              <w:rPr>
                <w:snapToGrid w:val="0"/>
                <w:lang w:eastAsia="sv-SE"/>
              </w:rPr>
            </w:pPr>
            <w:r w:rsidRPr="006C40C1">
              <w:rPr>
                <w:snapToGrid w:val="0"/>
                <w:lang w:eastAsia="sv-SE"/>
              </w:rPr>
              <w:t>-614 756</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1624</w:t>
            </w:r>
          </w:p>
        </w:tc>
        <w:tc>
          <w:tcPr>
            <w:tcW w:w="2880" w:type="dxa"/>
          </w:tcPr>
          <w:p w:rsidR="00AA5D77" w:rsidRPr="006C40C1" w:rsidRDefault="00AA5D77">
            <w:pPr>
              <w:pStyle w:val="Tabelltext"/>
              <w:rPr>
                <w:snapToGrid w:val="0"/>
                <w:lang w:eastAsia="sv-SE"/>
              </w:rPr>
            </w:pPr>
            <w:r w:rsidRPr="006C40C1">
              <w:rPr>
                <w:snapToGrid w:val="0"/>
                <w:lang w:eastAsia="sv-SE"/>
              </w:rPr>
              <w:t>Uppbördsförluster, netto, mervärde</w:t>
            </w:r>
            <w:r w:rsidRPr="006C40C1">
              <w:rPr>
                <w:snapToGrid w:val="0"/>
                <w:lang w:eastAsia="sv-SE"/>
              </w:rPr>
              <w:t>s</w:t>
            </w:r>
            <w:r w:rsidRPr="006C40C1">
              <w:rPr>
                <w:snapToGrid w:val="0"/>
                <w:lang w:eastAsia="sv-SE"/>
              </w:rPr>
              <w:t>skatt</w:t>
            </w:r>
          </w:p>
        </w:tc>
        <w:tc>
          <w:tcPr>
            <w:tcW w:w="993" w:type="dxa"/>
          </w:tcPr>
          <w:p w:rsidR="00AA5D77" w:rsidRPr="006C40C1" w:rsidRDefault="00AA5D77">
            <w:pPr>
              <w:pStyle w:val="Tabelltext"/>
              <w:jc w:val="right"/>
              <w:rPr>
                <w:snapToGrid w:val="0"/>
                <w:lang w:eastAsia="sv-SE"/>
              </w:rPr>
            </w:pPr>
            <w:r w:rsidRPr="006C40C1">
              <w:rPr>
                <w:snapToGrid w:val="0"/>
                <w:lang w:eastAsia="sv-SE"/>
              </w:rPr>
              <w:t>-894 190</w:t>
            </w:r>
          </w:p>
        </w:tc>
        <w:tc>
          <w:tcPr>
            <w:tcW w:w="992" w:type="dxa"/>
          </w:tcPr>
          <w:p w:rsidR="00AA5D77" w:rsidRPr="006C40C1" w:rsidRDefault="00AA5D77">
            <w:pPr>
              <w:pStyle w:val="Tabelltext"/>
              <w:jc w:val="right"/>
              <w:rPr>
                <w:snapToGrid w:val="0"/>
                <w:lang w:eastAsia="sv-SE"/>
              </w:rPr>
            </w:pPr>
            <w:r w:rsidRPr="006C40C1">
              <w:rPr>
                <w:snapToGrid w:val="0"/>
                <w:lang w:eastAsia="sv-SE"/>
              </w:rPr>
              <w:t>-894 190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1625</w:t>
            </w:r>
          </w:p>
        </w:tc>
        <w:tc>
          <w:tcPr>
            <w:tcW w:w="2880" w:type="dxa"/>
          </w:tcPr>
          <w:p w:rsidR="00AA5D77" w:rsidRPr="006C40C1" w:rsidRDefault="00AA5D77">
            <w:pPr>
              <w:pStyle w:val="Tabelltext"/>
              <w:rPr>
                <w:snapToGrid w:val="0"/>
                <w:lang w:eastAsia="sv-SE"/>
              </w:rPr>
            </w:pPr>
            <w:r w:rsidRPr="006C40C1">
              <w:rPr>
                <w:snapToGrid w:val="0"/>
                <w:lang w:eastAsia="sv-SE"/>
              </w:rPr>
              <w:t>Uppbördsförluster, netto, räntor m.m.</w:t>
            </w:r>
          </w:p>
        </w:tc>
        <w:tc>
          <w:tcPr>
            <w:tcW w:w="993" w:type="dxa"/>
          </w:tcPr>
          <w:p w:rsidR="00AA5D77" w:rsidRPr="006C40C1" w:rsidRDefault="00AA5D77">
            <w:pPr>
              <w:pStyle w:val="Tabelltext"/>
              <w:jc w:val="right"/>
              <w:rPr>
                <w:snapToGrid w:val="0"/>
                <w:lang w:eastAsia="sv-SE"/>
              </w:rPr>
            </w:pPr>
            <w:r w:rsidRPr="006C40C1">
              <w:rPr>
                <w:snapToGrid w:val="0"/>
                <w:lang w:eastAsia="sv-SE"/>
              </w:rPr>
              <w:t>-1 397 172</w:t>
            </w:r>
          </w:p>
        </w:tc>
        <w:tc>
          <w:tcPr>
            <w:tcW w:w="992" w:type="dxa"/>
          </w:tcPr>
          <w:p w:rsidR="00AA5D77" w:rsidRPr="006C40C1" w:rsidRDefault="00AA5D77">
            <w:pPr>
              <w:pStyle w:val="Tabelltext"/>
              <w:jc w:val="right"/>
              <w:rPr>
                <w:snapToGrid w:val="0"/>
                <w:lang w:eastAsia="sv-SE"/>
              </w:rPr>
            </w:pPr>
            <w:r w:rsidRPr="006C40C1">
              <w:rPr>
                <w:snapToGrid w:val="0"/>
                <w:lang w:eastAsia="sv-SE"/>
              </w:rPr>
              <w:t>-1 397 172</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1631</w:t>
            </w:r>
          </w:p>
        </w:tc>
        <w:tc>
          <w:tcPr>
            <w:tcW w:w="2880" w:type="dxa"/>
          </w:tcPr>
          <w:p w:rsidR="00AA5D77" w:rsidRPr="006C40C1" w:rsidRDefault="00AA5D77">
            <w:pPr>
              <w:pStyle w:val="Tabelltext"/>
              <w:rPr>
                <w:snapToGrid w:val="0"/>
                <w:lang w:eastAsia="sv-SE"/>
              </w:rPr>
            </w:pPr>
            <w:r w:rsidRPr="006C40C1">
              <w:rPr>
                <w:snapToGrid w:val="0"/>
                <w:lang w:eastAsia="sv-SE"/>
              </w:rPr>
              <w:t>Betalningsdifferenser, övriga</w:t>
            </w:r>
          </w:p>
        </w:tc>
        <w:tc>
          <w:tcPr>
            <w:tcW w:w="993" w:type="dxa"/>
          </w:tcPr>
          <w:p w:rsidR="00AA5D77" w:rsidRPr="006C40C1" w:rsidRDefault="00AA5D77">
            <w:pPr>
              <w:pStyle w:val="Tabelltext"/>
              <w:jc w:val="right"/>
              <w:rPr>
                <w:snapToGrid w:val="0"/>
                <w:lang w:eastAsia="sv-SE"/>
              </w:rPr>
            </w:pPr>
            <w:r w:rsidRPr="006C40C1">
              <w:rPr>
                <w:snapToGrid w:val="0"/>
                <w:lang w:eastAsia="sv-SE"/>
              </w:rPr>
              <w:t>1 016 362</w:t>
            </w:r>
          </w:p>
        </w:tc>
        <w:tc>
          <w:tcPr>
            <w:tcW w:w="992" w:type="dxa"/>
          </w:tcPr>
          <w:p w:rsidR="00AA5D77" w:rsidRPr="006C40C1" w:rsidRDefault="00AA5D77">
            <w:pPr>
              <w:pStyle w:val="Tabelltext"/>
              <w:jc w:val="right"/>
              <w:rPr>
                <w:snapToGrid w:val="0"/>
                <w:lang w:eastAsia="sv-SE"/>
              </w:rPr>
            </w:pPr>
            <w:r w:rsidRPr="006C40C1">
              <w:rPr>
                <w:snapToGrid w:val="0"/>
                <w:lang w:eastAsia="sv-SE"/>
              </w:rPr>
              <w:t>1 016 362</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1691</w:t>
            </w:r>
          </w:p>
        </w:tc>
        <w:tc>
          <w:tcPr>
            <w:tcW w:w="2880" w:type="dxa"/>
          </w:tcPr>
          <w:p w:rsidR="00AA5D77" w:rsidRPr="006C40C1" w:rsidRDefault="00AA5D77">
            <w:pPr>
              <w:pStyle w:val="Tabelltext"/>
              <w:rPr>
                <w:snapToGrid w:val="0"/>
                <w:lang w:eastAsia="sv-SE"/>
              </w:rPr>
            </w:pPr>
            <w:r w:rsidRPr="006C40C1">
              <w:rPr>
                <w:snapToGrid w:val="0"/>
                <w:lang w:eastAsia="sv-SE"/>
              </w:rPr>
              <w:t>Betalningsdifferenser, skattemyndighete</w:t>
            </w:r>
            <w:r w:rsidRPr="006C40C1">
              <w:rPr>
                <w:snapToGrid w:val="0"/>
                <w:lang w:eastAsia="sv-SE"/>
              </w:rPr>
              <w:t>r</w:t>
            </w:r>
            <w:r w:rsidRPr="006C40C1">
              <w:rPr>
                <w:snapToGrid w:val="0"/>
                <w:lang w:eastAsia="sv-SE"/>
              </w:rPr>
              <w:t>na,  netto</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1692</w:t>
            </w:r>
          </w:p>
        </w:tc>
        <w:tc>
          <w:tcPr>
            <w:tcW w:w="2880" w:type="dxa"/>
          </w:tcPr>
          <w:p w:rsidR="00AA5D77" w:rsidRPr="006C40C1" w:rsidRDefault="00AA5D77">
            <w:pPr>
              <w:pStyle w:val="Tabelltext"/>
              <w:rPr>
                <w:snapToGrid w:val="0"/>
                <w:lang w:eastAsia="sv-SE"/>
              </w:rPr>
            </w:pPr>
            <w:r w:rsidRPr="006C40C1">
              <w:rPr>
                <w:snapToGrid w:val="0"/>
                <w:lang w:eastAsia="sv-SE"/>
              </w:rPr>
              <w:t>Indrivna medel, kronofogdemyndigheterna,  netto</w:t>
            </w:r>
          </w:p>
        </w:tc>
        <w:tc>
          <w:tcPr>
            <w:tcW w:w="993" w:type="dxa"/>
          </w:tcPr>
          <w:p w:rsidR="00AA5D77" w:rsidRPr="006C40C1" w:rsidRDefault="00AA5D77">
            <w:pPr>
              <w:pStyle w:val="Tabelltext"/>
              <w:jc w:val="right"/>
              <w:rPr>
                <w:snapToGrid w:val="0"/>
                <w:lang w:eastAsia="sv-SE"/>
              </w:rPr>
            </w:pPr>
            <w:r w:rsidRPr="006C40C1">
              <w:rPr>
                <w:snapToGrid w:val="0"/>
                <w:lang w:eastAsia="sv-SE"/>
              </w:rPr>
              <w:t>0</w:t>
            </w:r>
          </w:p>
        </w:tc>
        <w:tc>
          <w:tcPr>
            <w:tcW w:w="992" w:type="dxa"/>
          </w:tcPr>
          <w:p w:rsidR="00AA5D77" w:rsidRPr="006C40C1" w:rsidRDefault="00AA5D77">
            <w:pPr>
              <w:pStyle w:val="Tabelltext"/>
              <w:jc w:val="right"/>
              <w:rPr>
                <w:snapToGrid w:val="0"/>
                <w:lang w:eastAsia="sv-SE"/>
              </w:rPr>
            </w:pPr>
            <w:r w:rsidRPr="006C40C1">
              <w:rPr>
                <w:snapToGrid w:val="0"/>
                <w:lang w:eastAsia="sv-SE"/>
              </w:rPr>
              <w:t>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1711</w:t>
            </w:r>
          </w:p>
        </w:tc>
        <w:tc>
          <w:tcPr>
            <w:tcW w:w="2880" w:type="dxa"/>
          </w:tcPr>
          <w:p w:rsidR="00AA5D77" w:rsidRPr="006C40C1" w:rsidRDefault="00AA5D77">
            <w:pPr>
              <w:pStyle w:val="Tabelltext"/>
              <w:rPr>
                <w:snapToGrid w:val="0"/>
                <w:lang w:eastAsia="sv-SE"/>
              </w:rPr>
            </w:pPr>
            <w:r w:rsidRPr="006C40C1">
              <w:rPr>
                <w:snapToGrid w:val="0"/>
                <w:lang w:eastAsia="sv-SE"/>
              </w:rPr>
              <w:t>Nedsättning, anställningsstöd</w:t>
            </w:r>
          </w:p>
        </w:tc>
        <w:tc>
          <w:tcPr>
            <w:tcW w:w="993" w:type="dxa"/>
          </w:tcPr>
          <w:p w:rsidR="00AA5D77" w:rsidRPr="006C40C1" w:rsidRDefault="00AA5D77">
            <w:pPr>
              <w:pStyle w:val="Tabelltext"/>
              <w:jc w:val="right"/>
              <w:rPr>
                <w:snapToGrid w:val="0"/>
                <w:lang w:eastAsia="sv-SE"/>
              </w:rPr>
            </w:pPr>
            <w:r w:rsidRPr="006C40C1">
              <w:rPr>
                <w:snapToGrid w:val="0"/>
                <w:lang w:eastAsia="sv-SE"/>
              </w:rPr>
              <w:t>-1 545 000</w:t>
            </w:r>
          </w:p>
        </w:tc>
        <w:tc>
          <w:tcPr>
            <w:tcW w:w="992" w:type="dxa"/>
          </w:tcPr>
          <w:p w:rsidR="00AA5D77" w:rsidRPr="006C40C1" w:rsidRDefault="00AA5D77">
            <w:pPr>
              <w:pStyle w:val="Tabelltext"/>
              <w:jc w:val="right"/>
              <w:rPr>
                <w:snapToGrid w:val="0"/>
                <w:lang w:eastAsia="sv-SE"/>
              </w:rPr>
            </w:pPr>
            <w:r w:rsidRPr="006C40C1">
              <w:rPr>
                <w:snapToGrid w:val="0"/>
                <w:lang w:eastAsia="sv-SE"/>
              </w:rPr>
              <w:t>-1 545 000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+1 800 000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+1 545 000</w:t>
            </w: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1712</w:t>
            </w:r>
          </w:p>
        </w:tc>
        <w:tc>
          <w:tcPr>
            <w:tcW w:w="2880" w:type="dxa"/>
          </w:tcPr>
          <w:p w:rsidR="00AA5D77" w:rsidRPr="006C40C1" w:rsidRDefault="00AA5D77">
            <w:pPr>
              <w:pStyle w:val="Tabelltext"/>
              <w:rPr>
                <w:snapToGrid w:val="0"/>
                <w:lang w:eastAsia="sv-SE"/>
              </w:rPr>
            </w:pPr>
            <w:r w:rsidRPr="006C40C1">
              <w:rPr>
                <w:snapToGrid w:val="0"/>
                <w:lang w:eastAsia="sv-SE"/>
              </w:rPr>
              <w:t>Nedsättning, kompetensutveckling</w:t>
            </w:r>
          </w:p>
        </w:tc>
        <w:tc>
          <w:tcPr>
            <w:tcW w:w="993" w:type="dxa"/>
          </w:tcPr>
          <w:p w:rsidR="00AA5D77" w:rsidRPr="006C40C1" w:rsidRDefault="00AA5D77">
            <w:pPr>
              <w:pStyle w:val="Tabelltext"/>
              <w:jc w:val="right"/>
              <w:rPr>
                <w:snapToGrid w:val="0"/>
                <w:lang w:eastAsia="sv-SE"/>
              </w:rPr>
            </w:pPr>
            <w:r w:rsidRPr="006C40C1">
              <w:rPr>
                <w:snapToGrid w:val="0"/>
                <w:lang w:eastAsia="sv-SE"/>
              </w:rPr>
              <w:t>-118 000</w:t>
            </w:r>
          </w:p>
        </w:tc>
        <w:tc>
          <w:tcPr>
            <w:tcW w:w="992" w:type="dxa"/>
          </w:tcPr>
          <w:p w:rsidR="00AA5D77" w:rsidRPr="006C40C1" w:rsidRDefault="00AA5D77">
            <w:pPr>
              <w:pStyle w:val="Tabelltext"/>
              <w:jc w:val="right"/>
              <w:rPr>
                <w:snapToGrid w:val="0"/>
                <w:lang w:eastAsia="sv-SE"/>
              </w:rPr>
            </w:pPr>
            <w:r w:rsidRPr="006C40C1">
              <w:rPr>
                <w:snapToGrid w:val="0"/>
                <w:lang w:eastAsia="sv-SE"/>
              </w:rPr>
              <w:t>-118 000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+118 000</w:t>
            </w: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1713</w:t>
            </w:r>
          </w:p>
        </w:tc>
        <w:tc>
          <w:tcPr>
            <w:tcW w:w="2880" w:type="dxa"/>
          </w:tcPr>
          <w:p w:rsidR="00AA5D77" w:rsidRPr="006C40C1" w:rsidRDefault="00AA5D77">
            <w:pPr>
              <w:pStyle w:val="Tabelltext"/>
              <w:rPr>
                <w:snapToGrid w:val="0"/>
                <w:lang w:eastAsia="sv-SE"/>
              </w:rPr>
            </w:pPr>
            <w:r w:rsidRPr="006C40C1">
              <w:rPr>
                <w:snapToGrid w:val="0"/>
                <w:lang w:eastAsia="sv-SE"/>
              </w:rPr>
              <w:t>Nedsättning, bredbandsinstallation</w:t>
            </w:r>
          </w:p>
        </w:tc>
        <w:tc>
          <w:tcPr>
            <w:tcW w:w="993" w:type="dxa"/>
          </w:tcPr>
          <w:p w:rsidR="00AA5D77" w:rsidRPr="006C40C1" w:rsidRDefault="00AA5D77">
            <w:pPr>
              <w:pStyle w:val="Tabelltext"/>
              <w:jc w:val="right"/>
              <w:rPr>
                <w:snapToGrid w:val="0"/>
                <w:lang w:eastAsia="sv-SE"/>
              </w:rPr>
            </w:pPr>
            <w:r w:rsidRPr="006C40C1">
              <w:rPr>
                <w:snapToGrid w:val="0"/>
                <w:lang w:eastAsia="sv-SE"/>
              </w:rPr>
              <w:t>-50 000</w:t>
            </w:r>
          </w:p>
        </w:tc>
        <w:tc>
          <w:tcPr>
            <w:tcW w:w="992" w:type="dxa"/>
          </w:tcPr>
          <w:p w:rsidR="00AA5D77" w:rsidRPr="006C40C1" w:rsidRDefault="00AA5D77">
            <w:pPr>
              <w:pStyle w:val="Tabelltext"/>
              <w:jc w:val="right"/>
              <w:rPr>
                <w:snapToGrid w:val="0"/>
                <w:lang w:eastAsia="sv-SE"/>
              </w:rPr>
            </w:pPr>
            <w:r w:rsidRPr="006C40C1">
              <w:rPr>
                <w:snapToGrid w:val="0"/>
                <w:lang w:eastAsia="sv-SE"/>
              </w:rPr>
              <w:t>-50 000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+60 000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+50 000</w:t>
            </w: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+50 000</w:t>
            </w: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1714</w:t>
            </w:r>
          </w:p>
        </w:tc>
        <w:tc>
          <w:tcPr>
            <w:tcW w:w="2880" w:type="dxa"/>
          </w:tcPr>
          <w:p w:rsidR="00AA5D77" w:rsidRPr="006C40C1" w:rsidRDefault="00AA5D77">
            <w:pPr>
              <w:pStyle w:val="Tabelltext"/>
              <w:rPr>
                <w:snapToGrid w:val="0"/>
                <w:lang w:eastAsia="sv-SE"/>
              </w:rPr>
            </w:pPr>
            <w:r w:rsidRPr="006C40C1">
              <w:rPr>
                <w:snapToGrid w:val="0"/>
                <w:lang w:eastAsia="sv-SE"/>
              </w:rPr>
              <w:t>Nedsättning, stöd till sjöfart</w:t>
            </w:r>
          </w:p>
        </w:tc>
        <w:tc>
          <w:tcPr>
            <w:tcW w:w="993" w:type="dxa"/>
          </w:tcPr>
          <w:p w:rsidR="00AA5D77" w:rsidRPr="006C40C1" w:rsidRDefault="00AA5D77">
            <w:pPr>
              <w:pStyle w:val="Tabelltext"/>
              <w:jc w:val="right"/>
              <w:rPr>
                <w:snapToGrid w:val="0"/>
                <w:lang w:eastAsia="sv-SE"/>
              </w:rPr>
            </w:pPr>
            <w:r w:rsidRPr="006C40C1">
              <w:rPr>
                <w:snapToGrid w:val="0"/>
                <w:lang w:eastAsia="sv-SE"/>
              </w:rPr>
              <w:t>-1 300 000</w:t>
            </w:r>
          </w:p>
        </w:tc>
        <w:tc>
          <w:tcPr>
            <w:tcW w:w="992" w:type="dxa"/>
          </w:tcPr>
          <w:p w:rsidR="00AA5D77" w:rsidRPr="006C40C1" w:rsidRDefault="00AA5D77">
            <w:pPr>
              <w:pStyle w:val="Tabelltext"/>
              <w:jc w:val="right"/>
              <w:rPr>
                <w:snapToGrid w:val="0"/>
                <w:lang w:eastAsia="sv-SE"/>
              </w:rPr>
            </w:pPr>
            <w:r w:rsidRPr="006C40C1">
              <w:rPr>
                <w:snapToGrid w:val="0"/>
                <w:lang w:eastAsia="sv-SE"/>
              </w:rPr>
              <w:t>-1 300 000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+1 300 000</w:t>
            </w: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1715</w:t>
            </w:r>
          </w:p>
        </w:tc>
        <w:tc>
          <w:tcPr>
            <w:tcW w:w="2880" w:type="dxa"/>
          </w:tcPr>
          <w:p w:rsidR="00AA5D77" w:rsidRPr="006C40C1" w:rsidRDefault="00AA5D77">
            <w:pPr>
              <w:pStyle w:val="Tabelltext"/>
              <w:rPr>
                <w:snapToGrid w:val="0"/>
                <w:lang w:eastAsia="sv-SE"/>
              </w:rPr>
            </w:pPr>
            <w:r w:rsidRPr="006C40C1">
              <w:rPr>
                <w:snapToGrid w:val="0"/>
                <w:lang w:eastAsia="sv-SE"/>
              </w:rPr>
              <w:t>Nedsättning, skattereduktion pension</w:t>
            </w:r>
            <w:r w:rsidRPr="006C40C1">
              <w:rPr>
                <w:snapToGrid w:val="0"/>
                <w:lang w:eastAsia="sv-SE"/>
              </w:rPr>
              <w:t>ä</w:t>
            </w:r>
            <w:r w:rsidRPr="006C40C1">
              <w:rPr>
                <w:snapToGrid w:val="0"/>
                <w:lang w:eastAsia="sv-SE"/>
              </w:rPr>
              <w:t>rer</w:t>
            </w:r>
          </w:p>
        </w:tc>
        <w:tc>
          <w:tcPr>
            <w:tcW w:w="993" w:type="dxa"/>
          </w:tcPr>
          <w:p w:rsidR="00AA5D77" w:rsidRPr="006C40C1" w:rsidRDefault="00AA5D77">
            <w:pPr>
              <w:pStyle w:val="Tabelltext"/>
              <w:jc w:val="right"/>
              <w:rPr>
                <w:snapToGrid w:val="0"/>
                <w:lang w:eastAsia="sv-SE"/>
              </w:rPr>
            </w:pPr>
            <w:r w:rsidRPr="006C40C1">
              <w:rPr>
                <w:snapToGrid w:val="0"/>
                <w:lang w:eastAsia="sv-SE"/>
              </w:rPr>
              <w:t>-165 000</w:t>
            </w:r>
          </w:p>
        </w:tc>
        <w:tc>
          <w:tcPr>
            <w:tcW w:w="992" w:type="dxa"/>
          </w:tcPr>
          <w:p w:rsidR="00AA5D77" w:rsidRPr="006C40C1" w:rsidRDefault="00AA5D77">
            <w:pPr>
              <w:pStyle w:val="Tabelltext"/>
              <w:jc w:val="right"/>
              <w:rPr>
                <w:snapToGrid w:val="0"/>
                <w:lang w:eastAsia="sv-SE"/>
              </w:rPr>
            </w:pPr>
            <w:r w:rsidRPr="006C40C1">
              <w:rPr>
                <w:snapToGrid w:val="0"/>
                <w:lang w:eastAsia="sv-SE"/>
              </w:rPr>
              <w:t>-165 000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1716</w:t>
            </w:r>
          </w:p>
        </w:tc>
        <w:tc>
          <w:tcPr>
            <w:tcW w:w="2880" w:type="dxa"/>
          </w:tcPr>
          <w:p w:rsidR="00AA5D77" w:rsidRPr="006C40C1" w:rsidRDefault="00AA5D77">
            <w:pPr>
              <w:pStyle w:val="Tabelltext"/>
              <w:rPr>
                <w:snapToGrid w:val="0"/>
                <w:lang w:eastAsia="sv-SE"/>
              </w:rPr>
            </w:pPr>
            <w:r w:rsidRPr="006C40C1">
              <w:rPr>
                <w:snapToGrid w:val="0"/>
                <w:lang w:eastAsia="sv-SE"/>
              </w:rPr>
              <w:t>Nedsättning, sysselsättningsstöd till ko</w:t>
            </w:r>
            <w:r w:rsidRPr="006C40C1">
              <w:rPr>
                <w:snapToGrid w:val="0"/>
                <w:lang w:eastAsia="sv-SE"/>
              </w:rPr>
              <w:t>m</w:t>
            </w:r>
            <w:r w:rsidRPr="006C40C1">
              <w:rPr>
                <w:snapToGrid w:val="0"/>
                <w:lang w:eastAsia="sv-SE"/>
              </w:rPr>
              <w:t>muner  och land</w:t>
            </w:r>
            <w:r w:rsidRPr="006C40C1">
              <w:rPr>
                <w:snapToGrid w:val="0"/>
                <w:lang w:eastAsia="sv-SE"/>
              </w:rPr>
              <w:t>s</w:t>
            </w:r>
            <w:r w:rsidRPr="006C40C1">
              <w:rPr>
                <w:snapToGrid w:val="0"/>
                <w:lang w:eastAsia="sv-SE"/>
              </w:rPr>
              <w:t>ting</w:t>
            </w:r>
          </w:p>
        </w:tc>
        <w:tc>
          <w:tcPr>
            <w:tcW w:w="993" w:type="dxa"/>
          </w:tcPr>
          <w:p w:rsidR="00AA5D77" w:rsidRPr="006C40C1" w:rsidRDefault="00AA5D77">
            <w:pPr>
              <w:pStyle w:val="Tabelltext"/>
              <w:jc w:val="right"/>
              <w:rPr>
                <w:snapToGrid w:val="0"/>
                <w:lang w:eastAsia="sv-SE"/>
              </w:rPr>
            </w:pPr>
            <w:r w:rsidRPr="006C40C1">
              <w:rPr>
                <w:snapToGrid w:val="0"/>
                <w:lang w:eastAsia="sv-SE"/>
              </w:rPr>
              <w:t>-3 100 000</w:t>
            </w:r>
          </w:p>
        </w:tc>
        <w:tc>
          <w:tcPr>
            <w:tcW w:w="992" w:type="dxa"/>
          </w:tcPr>
          <w:p w:rsidR="00AA5D77" w:rsidRPr="006C40C1" w:rsidRDefault="00AA5D77">
            <w:pPr>
              <w:pStyle w:val="Tabelltext"/>
              <w:jc w:val="right"/>
              <w:rPr>
                <w:snapToGrid w:val="0"/>
                <w:lang w:eastAsia="sv-SE"/>
              </w:rPr>
            </w:pPr>
            <w:r w:rsidRPr="006C40C1">
              <w:rPr>
                <w:snapToGrid w:val="0"/>
                <w:lang w:eastAsia="sv-SE"/>
              </w:rPr>
              <w:t>-3 100 000</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snapToGrid w:val="0"/>
                <w:lang w:eastAsia="sv-SE"/>
              </w:rPr>
            </w:pPr>
            <w:r w:rsidRPr="006C40C1">
              <w:rPr>
                <w:snapToGrid w:val="0"/>
                <w:lang w:eastAsia="sv-SE"/>
              </w:rPr>
              <w:t>1717</w:t>
            </w:r>
          </w:p>
        </w:tc>
        <w:tc>
          <w:tcPr>
            <w:tcW w:w="2880" w:type="dxa"/>
          </w:tcPr>
          <w:p w:rsidR="00AA5D77" w:rsidRPr="006C40C1" w:rsidRDefault="00AA5D77">
            <w:pPr>
              <w:pStyle w:val="Tabelltext"/>
              <w:rPr>
                <w:snapToGrid w:val="0"/>
                <w:lang w:eastAsia="sv-SE"/>
              </w:rPr>
            </w:pPr>
            <w:r w:rsidRPr="006C40C1">
              <w:rPr>
                <w:snapToGrid w:val="0"/>
                <w:lang w:eastAsia="sv-SE"/>
              </w:rPr>
              <w:t>Nedsättning, skattelättnad för vissa byg</w:t>
            </w:r>
            <w:r w:rsidRPr="006C40C1">
              <w:rPr>
                <w:snapToGrid w:val="0"/>
                <w:lang w:eastAsia="sv-SE"/>
              </w:rPr>
              <w:t>g</w:t>
            </w:r>
            <w:r w:rsidRPr="006C40C1">
              <w:rPr>
                <w:snapToGrid w:val="0"/>
                <w:lang w:eastAsia="sv-SE"/>
              </w:rPr>
              <w:t>tjänster</w:t>
            </w:r>
          </w:p>
        </w:tc>
        <w:tc>
          <w:tcPr>
            <w:tcW w:w="993" w:type="dxa"/>
          </w:tcPr>
          <w:p w:rsidR="00AA5D77" w:rsidRPr="006C40C1" w:rsidRDefault="00AA5D77">
            <w:pPr>
              <w:pStyle w:val="Tabelltext"/>
              <w:jc w:val="right"/>
              <w:rPr>
                <w:snapToGrid w:val="0"/>
                <w:lang w:eastAsia="sv-SE"/>
              </w:rPr>
            </w:pPr>
            <w:r w:rsidRPr="006C40C1">
              <w:rPr>
                <w:snapToGrid w:val="0"/>
                <w:lang w:eastAsia="sv-SE"/>
              </w:rPr>
              <w:t>-403 333</w:t>
            </w:r>
          </w:p>
        </w:tc>
        <w:tc>
          <w:tcPr>
            <w:tcW w:w="992" w:type="dxa"/>
          </w:tcPr>
          <w:p w:rsidR="00AA5D77" w:rsidRPr="006C40C1" w:rsidRDefault="00AA5D77">
            <w:pPr>
              <w:pStyle w:val="Tabelltext"/>
              <w:jc w:val="right"/>
              <w:rPr>
                <w:snapToGrid w:val="0"/>
                <w:lang w:eastAsia="sv-SE"/>
              </w:rPr>
            </w:pPr>
            <w:r w:rsidRPr="006C40C1">
              <w:rPr>
                <w:snapToGrid w:val="0"/>
                <w:lang w:eastAsia="sv-SE"/>
              </w:rPr>
              <w:t>-403 333</w:t>
            </w: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+300 000</w:t>
            </w: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b/>
                <w:snapToGrid w:val="0"/>
                <w:lang w:eastAsia="sv-SE"/>
              </w:rPr>
            </w:pPr>
          </w:p>
        </w:tc>
        <w:tc>
          <w:tcPr>
            <w:tcW w:w="2880" w:type="dxa"/>
          </w:tcPr>
          <w:p w:rsidR="00AA5D77" w:rsidRPr="006C40C1" w:rsidRDefault="00AA5D77">
            <w:pPr>
              <w:pStyle w:val="Tabelltext"/>
              <w:rPr>
                <w:b/>
                <w:snapToGrid w:val="0"/>
                <w:lang w:eastAsia="sv-SE"/>
              </w:rPr>
            </w:pPr>
          </w:p>
        </w:tc>
        <w:tc>
          <w:tcPr>
            <w:tcW w:w="993" w:type="dxa"/>
          </w:tcPr>
          <w:p w:rsidR="00AA5D77" w:rsidRPr="006C40C1" w:rsidRDefault="00AA5D77">
            <w:pPr>
              <w:pStyle w:val="Tabelltext"/>
              <w:jc w:val="right"/>
              <w:rPr>
                <w:b/>
                <w:snapToGrid w:val="0"/>
                <w:lang w:eastAsia="sv-SE"/>
              </w:rPr>
            </w:pPr>
          </w:p>
        </w:tc>
        <w:tc>
          <w:tcPr>
            <w:tcW w:w="992" w:type="dxa"/>
          </w:tcPr>
          <w:p w:rsidR="00AA5D77" w:rsidRPr="006C40C1" w:rsidRDefault="00AA5D77">
            <w:pPr>
              <w:pStyle w:val="Tabelltext"/>
              <w:jc w:val="right"/>
              <w:rPr>
                <w:snapToGrid w:val="0"/>
                <w:lang w:eastAsia="sv-SE"/>
              </w:rPr>
            </w:pPr>
          </w:p>
        </w:tc>
        <w:tc>
          <w:tcPr>
            <w:tcW w:w="850" w:type="dxa"/>
          </w:tcPr>
          <w:p w:rsidR="00AA5D77" w:rsidRPr="006C40C1" w:rsidRDefault="00AA5D77">
            <w:pPr>
              <w:pStyle w:val="Tabelltext"/>
              <w:jc w:val="right"/>
              <w:rPr>
                <w:b/>
                <w:snapToGrid w:val="0"/>
                <w:lang w:eastAsia="sv-SE"/>
              </w:rPr>
            </w:pPr>
          </w:p>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i/>
                <w:snapToGrid w:val="0"/>
                <w:lang w:eastAsia="sv-SE"/>
              </w:rPr>
            </w:pPr>
            <w:r w:rsidRPr="006C40C1">
              <w:rPr>
                <w:i/>
                <w:snapToGrid w:val="0"/>
                <w:lang w:eastAsia="sv-SE"/>
              </w:rPr>
              <w:t>2000</w:t>
            </w:r>
          </w:p>
        </w:tc>
        <w:tc>
          <w:tcPr>
            <w:tcW w:w="2880" w:type="dxa"/>
          </w:tcPr>
          <w:p w:rsidR="00AA5D77" w:rsidRPr="006C40C1" w:rsidRDefault="00AA5D77">
            <w:pPr>
              <w:pStyle w:val="Tabelltext"/>
              <w:rPr>
                <w:i/>
                <w:snapToGrid w:val="0"/>
                <w:lang w:eastAsia="sv-SE"/>
              </w:rPr>
            </w:pPr>
            <w:r w:rsidRPr="006C40C1">
              <w:rPr>
                <w:i/>
                <w:snapToGrid w:val="0"/>
                <w:lang w:eastAsia="sv-SE"/>
              </w:rPr>
              <w:t>Inkomster av statens verksamhet:</w:t>
            </w:r>
          </w:p>
        </w:tc>
        <w:tc>
          <w:tcPr>
            <w:tcW w:w="993" w:type="dxa"/>
          </w:tcPr>
          <w:p w:rsidR="00AA5D77" w:rsidRPr="006C40C1" w:rsidRDefault="00AA5D77">
            <w:pPr>
              <w:pStyle w:val="Tabelltext"/>
              <w:jc w:val="right"/>
              <w:rPr>
                <w:i/>
                <w:snapToGrid w:val="0"/>
                <w:lang w:eastAsia="sv-SE"/>
              </w:rPr>
            </w:pPr>
            <w:r w:rsidRPr="006C40C1">
              <w:rPr>
                <w:i/>
                <w:snapToGrid w:val="0"/>
                <w:lang w:eastAsia="sv-SE"/>
              </w:rPr>
              <w:t>28 502 360</w:t>
            </w:r>
          </w:p>
        </w:tc>
        <w:tc>
          <w:tcPr>
            <w:tcW w:w="992" w:type="dxa"/>
          </w:tcPr>
          <w:p w:rsidR="00AA5D77" w:rsidRPr="006C40C1" w:rsidRDefault="00AA5D77">
            <w:pPr>
              <w:pStyle w:val="Tabelltext"/>
              <w:jc w:val="right"/>
              <w:rPr>
                <w:i/>
                <w:snapToGrid w:val="0"/>
                <w:lang w:eastAsia="sv-SE"/>
              </w:rPr>
            </w:pPr>
            <w:r w:rsidRPr="006C40C1">
              <w:rPr>
                <w:i/>
                <w:snapToGrid w:val="0"/>
                <w:lang w:eastAsia="sv-SE"/>
              </w:rPr>
              <w:t>28 502 360</w:t>
            </w:r>
          </w:p>
        </w:tc>
        <w:tc>
          <w:tcPr>
            <w:tcW w:w="850" w:type="dxa"/>
          </w:tcPr>
          <w:p w:rsidR="00AA5D77" w:rsidRPr="006C40C1" w:rsidRDefault="00AA5D77">
            <w:pPr>
              <w:pStyle w:val="Tabelltext"/>
              <w:jc w:val="right"/>
              <w:rPr>
                <w:i/>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+300 000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+1 705 000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+80 000</w:t>
            </w:r>
          </w:p>
        </w:tc>
        <w:tc>
          <w:tcPr>
            <w:tcW w:w="1134" w:type="dxa"/>
          </w:tcPr>
          <w:p w:rsidR="00AA5D77" w:rsidRPr="006C40C1" w:rsidRDefault="00AA5D77">
            <w:pPr>
              <w:spacing w:before="0" w:line="200" w:lineRule="exact"/>
              <w:jc w:val="right"/>
              <w:rPr>
                <w:snapToGrid w:val="0"/>
                <w:color w:val="000000"/>
                <w:sz w:val="16"/>
                <w:lang w:eastAsia="sv-SE"/>
              </w:rPr>
            </w:pPr>
          </w:p>
        </w:tc>
      </w:tr>
      <w:tr w:rsidR="00000000" w:rsidRPr="006C40C1">
        <w:tblPrEx>
          <w:tblCellMar>
            <w:top w:w="0" w:type="dxa"/>
            <w:bottom w:w="0" w:type="dxa"/>
          </w:tblCellMar>
        </w:tblPrEx>
        <w:trPr>
          <w:trHeight w:hRule="exact" w:val="100"/>
        </w:trPr>
        <w:tc>
          <w:tcPr>
            <w:tcW w:w="552" w:type="dxa"/>
            <w:gridSpan w:val="2"/>
          </w:tcPr>
          <w:p w:rsidR="00AA5D77" w:rsidRPr="006C40C1" w:rsidRDefault="00AA5D77">
            <w:pPr>
              <w:pStyle w:val="Tabelltext"/>
              <w:rPr>
                <w:snapToGrid w:val="0"/>
                <w:lang w:eastAsia="sv-SE"/>
              </w:rPr>
            </w:pPr>
          </w:p>
        </w:tc>
        <w:tc>
          <w:tcPr>
            <w:tcW w:w="2880" w:type="dxa"/>
          </w:tcPr>
          <w:p w:rsidR="00AA5D77" w:rsidRPr="006C40C1" w:rsidRDefault="00AA5D77">
            <w:pPr>
              <w:pStyle w:val="Tabelltext"/>
              <w:rPr>
                <w:snapToGrid w:val="0"/>
                <w:lang w:eastAsia="sv-SE"/>
              </w:rPr>
            </w:pPr>
          </w:p>
        </w:tc>
        <w:tc>
          <w:tcPr>
            <w:tcW w:w="993" w:type="dxa"/>
          </w:tcPr>
          <w:p w:rsidR="00AA5D77" w:rsidRPr="006C40C1" w:rsidRDefault="00AA5D77">
            <w:pPr>
              <w:pStyle w:val="Tabelltext"/>
              <w:jc w:val="right"/>
              <w:rPr>
                <w:snapToGrid w:val="0"/>
                <w:lang w:eastAsia="sv-SE"/>
              </w:rPr>
            </w:pPr>
          </w:p>
        </w:tc>
        <w:tc>
          <w:tcPr>
            <w:tcW w:w="992" w:type="dxa"/>
          </w:tcPr>
          <w:p w:rsidR="00AA5D77" w:rsidRPr="006C40C1" w:rsidRDefault="00AA5D77">
            <w:pPr>
              <w:pStyle w:val="Tabelltext"/>
              <w:jc w:val="right"/>
              <w:rPr>
                <w:snapToGrid w:val="0"/>
                <w:lang w:eastAsia="sv-SE"/>
              </w:rPr>
            </w:pPr>
          </w:p>
        </w:tc>
        <w:tc>
          <w:tcPr>
            <w:tcW w:w="850"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i/>
                <w:snapToGrid w:val="0"/>
                <w:lang w:eastAsia="sv-SE"/>
              </w:rPr>
            </w:pPr>
            <w:r w:rsidRPr="006C40C1">
              <w:rPr>
                <w:i/>
                <w:snapToGrid w:val="0"/>
                <w:lang w:eastAsia="sv-SE"/>
              </w:rPr>
              <w:t>3000</w:t>
            </w:r>
          </w:p>
        </w:tc>
        <w:tc>
          <w:tcPr>
            <w:tcW w:w="2880" w:type="dxa"/>
          </w:tcPr>
          <w:p w:rsidR="00AA5D77" w:rsidRPr="006C40C1" w:rsidRDefault="00AA5D77">
            <w:pPr>
              <w:pStyle w:val="Tabelltext"/>
              <w:rPr>
                <w:i/>
                <w:snapToGrid w:val="0"/>
                <w:lang w:eastAsia="sv-SE"/>
              </w:rPr>
            </w:pPr>
            <w:r w:rsidRPr="006C40C1">
              <w:rPr>
                <w:i/>
                <w:snapToGrid w:val="0"/>
                <w:lang w:eastAsia="sv-SE"/>
              </w:rPr>
              <w:t>Inkomster av försåld egendom:</w:t>
            </w:r>
          </w:p>
        </w:tc>
        <w:tc>
          <w:tcPr>
            <w:tcW w:w="993" w:type="dxa"/>
          </w:tcPr>
          <w:p w:rsidR="00AA5D77" w:rsidRPr="006C40C1" w:rsidRDefault="00AA5D77">
            <w:pPr>
              <w:pStyle w:val="Tabelltext"/>
              <w:jc w:val="right"/>
              <w:rPr>
                <w:i/>
                <w:snapToGrid w:val="0"/>
                <w:lang w:eastAsia="sv-SE"/>
              </w:rPr>
            </w:pPr>
            <w:r w:rsidRPr="006C40C1">
              <w:rPr>
                <w:i/>
                <w:snapToGrid w:val="0"/>
                <w:lang w:eastAsia="sv-SE"/>
              </w:rPr>
              <w:t>15 000 000</w:t>
            </w:r>
          </w:p>
        </w:tc>
        <w:tc>
          <w:tcPr>
            <w:tcW w:w="992" w:type="dxa"/>
          </w:tcPr>
          <w:p w:rsidR="00AA5D77" w:rsidRPr="006C40C1" w:rsidRDefault="00AA5D77">
            <w:pPr>
              <w:pStyle w:val="Tabelltext"/>
              <w:jc w:val="right"/>
              <w:rPr>
                <w:i/>
                <w:snapToGrid w:val="0"/>
                <w:lang w:eastAsia="sv-SE"/>
              </w:rPr>
            </w:pPr>
            <w:r w:rsidRPr="006C40C1">
              <w:rPr>
                <w:i/>
                <w:snapToGrid w:val="0"/>
                <w:lang w:eastAsia="sv-SE"/>
              </w:rPr>
              <w:t>15 000 000</w:t>
            </w:r>
          </w:p>
        </w:tc>
        <w:tc>
          <w:tcPr>
            <w:tcW w:w="850" w:type="dxa"/>
          </w:tcPr>
          <w:p w:rsidR="00AA5D77" w:rsidRPr="006C40C1" w:rsidRDefault="00AA5D77">
            <w:pPr>
              <w:pStyle w:val="Tabelltext"/>
              <w:jc w:val="right"/>
              <w:rPr>
                <w:i/>
                <w:snapToGrid w:val="0"/>
                <w:lang w:eastAsia="sv-SE"/>
              </w:rPr>
            </w:pP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+30 000 000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+30 000 000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+30 000 000</w:t>
            </w:r>
          </w:p>
        </w:tc>
        <w:tc>
          <w:tcPr>
            <w:tcW w:w="1134" w:type="dxa"/>
          </w:tcPr>
          <w:p w:rsidR="00AA5D77" w:rsidRPr="006C40C1" w:rsidRDefault="00AA5D77">
            <w:pPr>
              <w:spacing w:before="0" w:line="200" w:lineRule="exact"/>
              <w:jc w:val="right"/>
              <w:rPr>
                <w:snapToGrid w:val="0"/>
                <w:color w:val="000000"/>
                <w:sz w:val="16"/>
                <w:lang w:eastAsia="sv-SE"/>
              </w:rPr>
            </w:pPr>
            <w:r w:rsidRPr="006C40C1">
              <w:rPr>
                <w:snapToGrid w:val="0"/>
                <w:color w:val="000000"/>
                <w:sz w:val="16"/>
                <w:lang w:eastAsia="sv-SE"/>
              </w:rPr>
              <w:t>+30 000 000</w:t>
            </w:r>
          </w:p>
        </w:tc>
      </w:tr>
      <w:tr w:rsidR="00000000" w:rsidRPr="006C40C1">
        <w:tblPrEx>
          <w:tblCellMar>
            <w:top w:w="0" w:type="dxa"/>
            <w:bottom w:w="0" w:type="dxa"/>
          </w:tblCellMar>
        </w:tblPrEx>
        <w:trPr>
          <w:trHeight w:hRule="exact" w:val="100"/>
        </w:trPr>
        <w:tc>
          <w:tcPr>
            <w:tcW w:w="552" w:type="dxa"/>
            <w:gridSpan w:val="2"/>
          </w:tcPr>
          <w:p w:rsidR="00AA5D77" w:rsidRPr="006C40C1" w:rsidRDefault="00AA5D77">
            <w:pPr>
              <w:pStyle w:val="Tabelltext"/>
              <w:rPr>
                <w:snapToGrid w:val="0"/>
                <w:lang w:eastAsia="sv-SE"/>
              </w:rPr>
            </w:pPr>
          </w:p>
        </w:tc>
        <w:tc>
          <w:tcPr>
            <w:tcW w:w="2880" w:type="dxa"/>
          </w:tcPr>
          <w:p w:rsidR="00AA5D77" w:rsidRPr="006C40C1" w:rsidRDefault="00AA5D77">
            <w:pPr>
              <w:pStyle w:val="Tabelltext"/>
              <w:rPr>
                <w:snapToGrid w:val="0"/>
                <w:lang w:eastAsia="sv-SE"/>
              </w:rPr>
            </w:pPr>
          </w:p>
        </w:tc>
        <w:tc>
          <w:tcPr>
            <w:tcW w:w="993" w:type="dxa"/>
          </w:tcPr>
          <w:p w:rsidR="00AA5D77" w:rsidRPr="006C40C1" w:rsidRDefault="00AA5D77">
            <w:pPr>
              <w:pStyle w:val="Tabelltext"/>
              <w:rPr>
                <w:snapToGrid w:val="0"/>
                <w:lang w:eastAsia="sv-SE"/>
              </w:rPr>
            </w:pPr>
          </w:p>
        </w:tc>
        <w:tc>
          <w:tcPr>
            <w:tcW w:w="992" w:type="dxa"/>
          </w:tcPr>
          <w:p w:rsidR="00AA5D77" w:rsidRPr="006C40C1" w:rsidRDefault="00AA5D77">
            <w:pPr>
              <w:pStyle w:val="Tabelltext"/>
              <w:rPr>
                <w:snapToGrid w:val="0"/>
                <w:lang w:eastAsia="sv-SE"/>
              </w:rPr>
            </w:pPr>
          </w:p>
        </w:tc>
        <w:tc>
          <w:tcPr>
            <w:tcW w:w="850" w:type="dxa"/>
          </w:tcPr>
          <w:p w:rsidR="00AA5D77" w:rsidRPr="006C40C1" w:rsidRDefault="00AA5D77">
            <w:pPr>
              <w:pStyle w:val="Tabelltext"/>
              <w:rPr>
                <w:snapToGrid w:val="0"/>
                <w:lang w:eastAsia="sv-SE"/>
              </w:rPr>
            </w:pPr>
          </w:p>
        </w:tc>
        <w:tc>
          <w:tcPr>
            <w:tcW w:w="1134" w:type="dxa"/>
          </w:tcPr>
          <w:p w:rsidR="00AA5D77" w:rsidRPr="006C40C1" w:rsidRDefault="00AA5D77">
            <w:pPr>
              <w:pStyle w:val="Tabelltext"/>
              <w:rPr>
                <w:snapToGrid w:val="0"/>
                <w:lang w:eastAsia="sv-SE"/>
              </w:rPr>
            </w:pPr>
          </w:p>
        </w:tc>
        <w:tc>
          <w:tcPr>
            <w:tcW w:w="1134" w:type="dxa"/>
          </w:tcPr>
          <w:p w:rsidR="00AA5D77" w:rsidRPr="006C40C1" w:rsidRDefault="00AA5D77">
            <w:pPr>
              <w:pStyle w:val="Tabelltext"/>
              <w:rPr>
                <w:snapToGrid w:val="0"/>
                <w:lang w:eastAsia="sv-SE"/>
              </w:rPr>
            </w:pPr>
          </w:p>
        </w:tc>
        <w:tc>
          <w:tcPr>
            <w:tcW w:w="1134" w:type="dxa"/>
          </w:tcPr>
          <w:p w:rsidR="00AA5D77" w:rsidRPr="006C40C1" w:rsidRDefault="00AA5D77">
            <w:pPr>
              <w:pStyle w:val="Tabelltext"/>
              <w:rPr>
                <w:snapToGrid w:val="0"/>
                <w:lang w:eastAsia="sv-SE"/>
              </w:rPr>
            </w:pPr>
          </w:p>
        </w:tc>
        <w:tc>
          <w:tcPr>
            <w:tcW w:w="1134" w:type="dxa"/>
          </w:tcPr>
          <w:p w:rsidR="00AA5D77" w:rsidRPr="006C40C1" w:rsidRDefault="00AA5D77">
            <w:pPr>
              <w:pStyle w:val="Tabelltex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i/>
                <w:snapToGrid w:val="0"/>
                <w:lang w:eastAsia="sv-SE"/>
              </w:rPr>
            </w:pPr>
            <w:r w:rsidRPr="006C40C1">
              <w:rPr>
                <w:i/>
                <w:snapToGrid w:val="0"/>
                <w:lang w:eastAsia="sv-SE"/>
              </w:rPr>
              <w:t>4000</w:t>
            </w:r>
          </w:p>
        </w:tc>
        <w:tc>
          <w:tcPr>
            <w:tcW w:w="2880" w:type="dxa"/>
          </w:tcPr>
          <w:p w:rsidR="00AA5D77" w:rsidRPr="006C40C1" w:rsidRDefault="00AA5D77">
            <w:pPr>
              <w:pStyle w:val="Tabelltext"/>
              <w:rPr>
                <w:i/>
                <w:snapToGrid w:val="0"/>
                <w:lang w:eastAsia="sv-SE"/>
              </w:rPr>
            </w:pPr>
            <w:r w:rsidRPr="006C40C1">
              <w:rPr>
                <w:i/>
                <w:snapToGrid w:val="0"/>
                <w:lang w:eastAsia="sv-SE"/>
              </w:rPr>
              <w:t>Återbetalning av lån:</w:t>
            </w:r>
          </w:p>
        </w:tc>
        <w:tc>
          <w:tcPr>
            <w:tcW w:w="993" w:type="dxa"/>
          </w:tcPr>
          <w:p w:rsidR="00AA5D77" w:rsidRPr="006C40C1" w:rsidRDefault="00AA5D77">
            <w:pPr>
              <w:pStyle w:val="Tabelltext"/>
              <w:jc w:val="right"/>
              <w:rPr>
                <w:i/>
                <w:snapToGrid w:val="0"/>
                <w:lang w:eastAsia="sv-SE"/>
              </w:rPr>
            </w:pPr>
            <w:r w:rsidRPr="006C40C1">
              <w:rPr>
                <w:i/>
                <w:snapToGrid w:val="0"/>
                <w:lang w:eastAsia="sv-SE"/>
              </w:rPr>
              <w:t>2 325 641</w:t>
            </w:r>
          </w:p>
        </w:tc>
        <w:tc>
          <w:tcPr>
            <w:tcW w:w="992" w:type="dxa"/>
          </w:tcPr>
          <w:p w:rsidR="00AA5D77" w:rsidRPr="006C40C1" w:rsidRDefault="00AA5D77">
            <w:pPr>
              <w:pStyle w:val="Tabelltext"/>
              <w:jc w:val="right"/>
              <w:rPr>
                <w:i/>
                <w:snapToGrid w:val="0"/>
                <w:lang w:eastAsia="sv-SE"/>
              </w:rPr>
            </w:pPr>
            <w:r w:rsidRPr="006C40C1">
              <w:rPr>
                <w:i/>
                <w:snapToGrid w:val="0"/>
                <w:lang w:eastAsia="sv-SE"/>
              </w:rPr>
              <w:t>2 325 641</w:t>
            </w:r>
          </w:p>
        </w:tc>
        <w:tc>
          <w:tcPr>
            <w:tcW w:w="850"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r>
      <w:tr w:rsidR="00000000" w:rsidRPr="006C40C1">
        <w:tblPrEx>
          <w:tblCellMar>
            <w:top w:w="0" w:type="dxa"/>
            <w:bottom w:w="0" w:type="dxa"/>
          </w:tblCellMar>
        </w:tblPrEx>
        <w:trPr>
          <w:trHeight w:hRule="exact" w:val="100"/>
        </w:trPr>
        <w:tc>
          <w:tcPr>
            <w:tcW w:w="552" w:type="dxa"/>
            <w:gridSpan w:val="2"/>
          </w:tcPr>
          <w:p w:rsidR="00AA5D77" w:rsidRPr="006C40C1" w:rsidRDefault="00AA5D77">
            <w:pPr>
              <w:pStyle w:val="Tabelltext"/>
              <w:rPr>
                <w:snapToGrid w:val="0"/>
                <w:lang w:eastAsia="sv-SE"/>
              </w:rPr>
            </w:pPr>
          </w:p>
        </w:tc>
        <w:tc>
          <w:tcPr>
            <w:tcW w:w="2880" w:type="dxa"/>
          </w:tcPr>
          <w:p w:rsidR="00AA5D77" w:rsidRPr="006C40C1" w:rsidRDefault="00AA5D77">
            <w:pPr>
              <w:pStyle w:val="Tabelltext"/>
              <w:rPr>
                <w:snapToGrid w:val="0"/>
                <w:lang w:eastAsia="sv-SE"/>
              </w:rPr>
            </w:pPr>
          </w:p>
        </w:tc>
        <w:tc>
          <w:tcPr>
            <w:tcW w:w="993" w:type="dxa"/>
          </w:tcPr>
          <w:p w:rsidR="00AA5D77" w:rsidRPr="006C40C1" w:rsidRDefault="00AA5D77">
            <w:pPr>
              <w:pStyle w:val="Tabelltext"/>
              <w:jc w:val="right"/>
              <w:rPr>
                <w:snapToGrid w:val="0"/>
                <w:lang w:eastAsia="sv-SE"/>
              </w:rPr>
            </w:pPr>
          </w:p>
        </w:tc>
        <w:tc>
          <w:tcPr>
            <w:tcW w:w="992" w:type="dxa"/>
          </w:tcPr>
          <w:p w:rsidR="00AA5D77" w:rsidRPr="006C40C1" w:rsidRDefault="00AA5D77">
            <w:pPr>
              <w:pStyle w:val="Tabelltext"/>
              <w:jc w:val="right"/>
              <w:rPr>
                <w:snapToGrid w:val="0"/>
                <w:lang w:eastAsia="sv-SE"/>
              </w:rPr>
            </w:pPr>
          </w:p>
        </w:tc>
        <w:tc>
          <w:tcPr>
            <w:tcW w:w="850"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c>
          <w:tcPr>
            <w:tcW w:w="1134" w:type="dxa"/>
          </w:tcPr>
          <w:p w:rsidR="00AA5D77" w:rsidRPr="006C40C1" w:rsidRDefault="00AA5D77">
            <w:pPr>
              <w:pStyle w:val="Tabelltext"/>
              <w:jc w:val="right"/>
              <w:rPr>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i/>
                <w:snapToGrid w:val="0"/>
                <w:lang w:eastAsia="sv-SE"/>
              </w:rPr>
            </w:pPr>
            <w:r w:rsidRPr="006C40C1">
              <w:rPr>
                <w:i/>
                <w:snapToGrid w:val="0"/>
                <w:lang w:eastAsia="sv-SE"/>
              </w:rPr>
              <w:t>5000</w:t>
            </w:r>
          </w:p>
        </w:tc>
        <w:tc>
          <w:tcPr>
            <w:tcW w:w="2880" w:type="dxa"/>
          </w:tcPr>
          <w:p w:rsidR="00AA5D77" w:rsidRPr="006C40C1" w:rsidRDefault="00AA5D77">
            <w:pPr>
              <w:pStyle w:val="Tabelltext"/>
              <w:rPr>
                <w:i/>
                <w:snapToGrid w:val="0"/>
                <w:lang w:eastAsia="sv-SE"/>
              </w:rPr>
            </w:pPr>
            <w:r w:rsidRPr="006C40C1">
              <w:rPr>
                <w:i/>
                <w:snapToGrid w:val="0"/>
                <w:lang w:eastAsia="sv-SE"/>
              </w:rPr>
              <w:t>Kalkylmässiga inkomster:</w:t>
            </w:r>
          </w:p>
        </w:tc>
        <w:tc>
          <w:tcPr>
            <w:tcW w:w="993" w:type="dxa"/>
          </w:tcPr>
          <w:p w:rsidR="00AA5D77" w:rsidRPr="006C40C1" w:rsidRDefault="00AA5D77">
            <w:pPr>
              <w:pStyle w:val="Tabelltext"/>
              <w:jc w:val="right"/>
              <w:rPr>
                <w:i/>
                <w:snapToGrid w:val="0"/>
                <w:lang w:eastAsia="sv-SE"/>
              </w:rPr>
            </w:pPr>
            <w:r w:rsidRPr="006C40C1">
              <w:rPr>
                <w:i/>
                <w:snapToGrid w:val="0"/>
                <w:lang w:eastAsia="sv-SE"/>
              </w:rPr>
              <w:t>6 347 000</w:t>
            </w:r>
          </w:p>
        </w:tc>
        <w:tc>
          <w:tcPr>
            <w:tcW w:w="992" w:type="dxa"/>
          </w:tcPr>
          <w:p w:rsidR="00AA5D77" w:rsidRPr="006C40C1" w:rsidRDefault="00AA5D77">
            <w:pPr>
              <w:pStyle w:val="Tabelltext"/>
              <w:jc w:val="right"/>
              <w:rPr>
                <w:i/>
                <w:snapToGrid w:val="0"/>
                <w:lang w:eastAsia="sv-SE"/>
              </w:rPr>
            </w:pPr>
            <w:r w:rsidRPr="006C40C1">
              <w:rPr>
                <w:i/>
                <w:snapToGrid w:val="0"/>
                <w:lang w:eastAsia="sv-SE"/>
              </w:rPr>
              <w:t>6 347 000</w:t>
            </w:r>
          </w:p>
        </w:tc>
        <w:tc>
          <w:tcPr>
            <w:tcW w:w="850"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r>
      <w:tr w:rsidR="00000000" w:rsidRPr="006C40C1">
        <w:tblPrEx>
          <w:tblCellMar>
            <w:top w:w="0" w:type="dxa"/>
            <w:bottom w:w="0" w:type="dxa"/>
          </w:tblCellMar>
        </w:tblPrEx>
        <w:trPr>
          <w:trHeight w:hRule="exact" w:val="100"/>
        </w:trPr>
        <w:tc>
          <w:tcPr>
            <w:tcW w:w="552" w:type="dxa"/>
            <w:gridSpan w:val="2"/>
          </w:tcPr>
          <w:p w:rsidR="00AA5D77" w:rsidRPr="006C40C1" w:rsidRDefault="00AA5D77">
            <w:pPr>
              <w:pStyle w:val="Tabelltext"/>
              <w:rPr>
                <w:i/>
                <w:snapToGrid w:val="0"/>
                <w:lang w:eastAsia="sv-SE"/>
              </w:rPr>
            </w:pPr>
          </w:p>
        </w:tc>
        <w:tc>
          <w:tcPr>
            <w:tcW w:w="2880" w:type="dxa"/>
          </w:tcPr>
          <w:p w:rsidR="00AA5D77" w:rsidRPr="006C40C1" w:rsidRDefault="00AA5D77">
            <w:pPr>
              <w:pStyle w:val="Tabelltext"/>
              <w:rPr>
                <w:i/>
                <w:snapToGrid w:val="0"/>
                <w:lang w:eastAsia="sv-SE"/>
              </w:rPr>
            </w:pPr>
          </w:p>
        </w:tc>
        <w:tc>
          <w:tcPr>
            <w:tcW w:w="993" w:type="dxa"/>
          </w:tcPr>
          <w:p w:rsidR="00AA5D77" w:rsidRPr="006C40C1" w:rsidRDefault="00AA5D77">
            <w:pPr>
              <w:pStyle w:val="Tabelltext"/>
              <w:jc w:val="right"/>
              <w:rPr>
                <w:i/>
                <w:snapToGrid w:val="0"/>
                <w:lang w:eastAsia="sv-SE"/>
              </w:rPr>
            </w:pPr>
          </w:p>
        </w:tc>
        <w:tc>
          <w:tcPr>
            <w:tcW w:w="992" w:type="dxa"/>
          </w:tcPr>
          <w:p w:rsidR="00AA5D77" w:rsidRPr="006C40C1" w:rsidRDefault="00AA5D77">
            <w:pPr>
              <w:pStyle w:val="Tabelltext"/>
              <w:jc w:val="right"/>
              <w:rPr>
                <w:i/>
                <w:snapToGrid w:val="0"/>
                <w:lang w:eastAsia="sv-SE"/>
              </w:rPr>
            </w:pPr>
          </w:p>
        </w:tc>
        <w:tc>
          <w:tcPr>
            <w:tcW w:w="850"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r>
      <w:tr w:rsidR="00000000" w:rsidRPr="006C40C1">
        <w:tblPrEx>
          <w:tblCellMar>
            <w:top w:w="0" w:type="dxa"/>
            <w:bottom w:w="0" w:type="dxa"/>
          </w:tblCellMar>
        </w:tblPrEx>
        <w:trPr>
          <w:trHeight w:val="160"/>
        </w:trPr>
        <w:tc>
          <w:tcPr>
            <w:tcW w:w="552" w:type="dxa"/>
            <w:gridSpan w:val="2"/>
          </w:tcPr>
          <w:p w:rsidR="00AA5D77" w:rsidRPr="006C40C1" w:rsidRDefault="00AA5D77">
            <w:pPr>
              <w:pStyle w:val="Tabelltext"/>
              <w:rPr>
                <w:i/>
                <w:snapToGrid w:val="0"/>
                <w:lang w:eastAsia="sv-SE"/>
              </w:rPr>
            </w:pPr>
            <w:r w:rsidRPr="006C40C1">
              <w:rPr>
                <w:i/>
                <w:snapToGrid w:val="0"/>
                <w:lang w:eastAsia="sv-SE"/>
              </w:rPr>
              <w:t>6000</w:t>
            </w:r>
          </w:p>
        </w:tc>
        <w:tc>
          <w:tcPr>
            <w:tcW w:w="2880" w:type="dxa"/>
          </w:tcPr>
          <w:p w:rsidR="00AA5D77" w:rsidRPr="006C40C1" w:rsidRDefault="00AA5D77">
            <w:pPr>
              <w:pStyle w:val="Tabelltext"/>
              <w:rPr>
                <w:i/>
                <w:snapToGrid w:val="0"/>
                <w:lang w:eastAsia="sv-SE"/>
              </w:rPr>
            </w:pPr>
            <w:r w:rsidRPr="006C40C1">
              <w:rPr>
                <w:i/>
                <w:snapToGrid w:val="0"/>
                <w:lang w:eastAsia="sv-SE"/>
              </w:rPr>
              <w:t>Bidrag m.m. från EU:</w:t>
            </w:r>
          </w:p>
        </w:tc>
        <w:tc>
          <w:tcPr>
            <w:tcW w:w="993" w:type="dxa"/>
          </w:tcPr>
          <w:p w:rsidR="00AA5D77" w:rsidRPr="006C40C1" w:rsidRDefault="00AA5D77">
            <w:pPr>
              <w:pStyle w:val="Tabelltext"/>
              <w:jc w:val="right"/>
              <w:rPr>
                <w:i/>
                <w:snapToGrid w:val="0"/>
                <w:lang w:eastAsia="sv-SE"/>
              </w:rPr>
            </w:pPr>
            <w:r w:rsidRPr="006C40C1">
              <w:rPr>
                <w:i/>
                <w:snapToGrid w:val="0"/>
                <w:lang w:eastAsia="sv-SE"/>
              </w:rPr>
              <w:t>11 646 700</w:t>
            </w:r>
          </w:p>
        </w:tc>
        <w:tc>
          <w:tcPr>
            <w:tcW w:w="992" w:type="dxa"/>
          </w:tcPr>
          <w:p w:rsidR="00AA5D77" w:rsidRPr="006C40C1" w:rsidRDefault="00AA5D77">
            <w:pPr>
              <w:pStyle w:val="Tabelltext"/>
              <w:jc w:val="right"/>
              <w:rPr>
                <w:i/>
                <w:snapToGrid w:val="0"/>
                <w:lang w:eastAsia="sv-SE"/>
              </w:rPr>
            </w:pPr>
            <w:r w:rsidRPr="006C40C1">
              <w:rPr>
                <w:i/>
                <w:snapToGrid w:val="0"/>
                <w:lang w:eastAsia="sv-SE"/>
              </w:rPr>
              <w:t>11 646 700</w:t>
            </w:r>
          </w:p>
        </w:tc>
        <w:tc>
          <w:tcPr>
            <w:tcW w:w="850"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c>
          <w:tcPr>
            <w:tcW w:w="1134" w:type="dxa"/>
          </w:tcPr>
          <w:p w:rsidR="00AA5D77" w:rsidRPr="006C40C1" w:rsidRDefault="00AA5D77">
            <w:pPr>
              <w:pStyle w:val="Tabelltext"/>
              <w:jc w:val="right"/>
              <w:rPr>
                <w:i/>
                <w:snapToGrid w:val="0"/>
                <w:lang w:eastAsia="sv-SE"/>
              </w:rPr>
            </w:pPr>
          </w:p>
        </w:tc>
      </w:tr>
      <w:tr w:rsidR="00000000" w:rsidRPr="006C40C1">
        <w:tblPrEx>
          <w:tblCellMar>
            <w:top w:w="0" w:type="dxa"/>
            <w:bottom w:w="0" w:type="dxa"/>
          </w:tblCellMar>
        </w:tblPrEx>
        <w:trPr>
          <w:trHeight w:hRule="exact" w:val="100"/>
        </w:trPr>
        <w:tc>
          <w:tcPr>
            <w:tcW w:w="552" w:type="dxa"/>
            <w:gridSpan w:val="2"/>
          </w:tcPr>
          <w:p w:rsidR="00AA5D77" w:rsidRPr="006C40C1" w:rsidRDefault="00AA5D77">
            <w:pPr>
              <w:pStyle w:val="Tabelltext"/>
              <w:rPr>
                <w:snapToGrid w:val="0"/>
                <w:lang w:eastAsia="sv-SE"/>
              </w:rPr>
            </w:pPr>
          </w:p>
        </w:tc>
        <w:tc>
          <w:tcPr>
            <w:tcW w:w="2880" w:type="dxa"/>
          </w:tcPr>
          <w:p w:rsidR="00AA5D77" w:rsidRPr="006C40C1" w:rsidRDefault="00AA5D77">
            <w:pPr>
              <w:pStyle w:val="Tabelltext"/>
              <w:rPr>
                <w:snapToGrid w:val="0"/>
                <w:lang w:eastAsia="sv-SE"/>
              </w:rPr>
            </w:pPr>
          </w:p>
        </w:tc>
        <w:tc>
          <w:tcPr>
            <w:tcW w:w="993" w:type="dxa"/>
          </w:tcPr>
          <w:p w:rsidR="00AA5D77" w:rsidRPr="006C40C1" w:rsidRDefault="00AA5D77">
            <w:pPr>
              <w:pStyle w:val="Tabelltext"/>
              <w:jc w:val="right"/>
              <w:rPr>
                <w:snapToGrid w:val="0"/>
                <w:lang w:eastAsia="sv-SE"/>
              </w:rPr>
            </w:pPr>
          </w:p>
        </w:tc>
        <w:tc>
          <w:tcPr>
            <w:tcW w:w="992" w:type="dxa"/>
          </w:tcPr>
          <w:p w:rsidR="00AA5D77" w:rsidRPr="006C40C1" w:rsidRDefault="00AA5D77">
            <w:pPr>
              <w:pStyle w:val="Tabelltext"/>
              <w:jc w:val="right"/>
              <w:rPr>
                <w:snapToGrid w:val="0"/>
                <w:lang w:eastAsia="sv-SE"/>
              </w:rPr>
            </w:pPr>
          </w:p>
        </w:tc>
        <w:tc>
          <w:tcPr>
            <w:tcW w:w="850"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b/>
                <w:snapToGrid w:val="0"/>
                <w:lang w:eastAsia="sv-SE"/>
              </w:rPr>
            </w:pPr>
          </w:p>
        </w:tc>
        <w:tc>
          <w:tcPr>
            <w:tcW w:w="1134" w:type="dxa"/>
          </w:tcPr>
          <w:p w:rsidR="00AA5D77" w:rsidRPr="006C40C1" w:rsidRDefault="00AA5D77">
            <w:pPr>
              <w:pStyle w:val="Tabelltext"/>
              <w:jc w:val="right"/>
              <w:rPr>
                <w:b/>
                <w:snapToGrid w:val="0"/>
                <w:lang w:eastAsia="sv-SE"/>
              </w:rPr>
            </w:pPr>
          </w:p>
        </w:tc>
      </w:tr>
      <w:tr w:rsidR="00000000" w:rsidRPr="006C40C1">
        <w:tblPrEx>
          <w:tblCellMar>
            <w:top w:w="0" w:type="dxa"/>
            <w:bottom w:w="0" w:type="dxa"/>
          </w:tblCellMar>
        </w:tblPrEx>
        <w:trPr>
          <w:trHeight w:val="160"/>
        </w:trPr>
        <w:tc>
          <w:tcPr>
            <w:tcW w:w="3432" w:type="dxa"/>
            <w:hMerge w:val="restart"/>
            <w:tcBorders>
              <w:bottom w:val="single" w:sz="4" w:space="0" w:color="auto"/>
            </w:tcBorders>
          </w:tcPr>
          <w:p w:rsidR="00AA5D77" w:rsidRPr="006C40C1" w:rsidRDefault="00AA5D77">
            <w:pPr>
              <w:pStyle w:val="Tabelltext"/>
              <w:rPr>
                <w:b/>
                <w:snapToGrid w:val="0"/>
                <w:lang w:eastAsia="sv-SE"/>
              </w:rPr>
            </w:pPr>
            <w:r w:rsidRPr="006C40C1">
              <w:rPr>
                <w:b/>
                <w:snapToGrid w:val="0"/>
                <w:lang w:eastAsia="sv-SE"/>
              </w:rPr>
              <w:t>Summa</w:t>
            </w:r>
          </w:p>
        </w:tc>
        <w:tc>
          <w:tcPr>
            <w:gridSpan w:val="2"/>
            <w:hMerge/>
            <w:tcBorders>
              <w:bottom w:val="single" w:sz="4" w:space="0" w:color="auto"/>
            </w:tcBorders>
          </w:tcPr>
          <w:p w:rsidR="00AA5D77" w:rsidRPr="006C40C1" w:rsidRDefault="00AA5D77">
            <w:pPr>
              <w:pStyle w:val="Tabelltext"/>
              <w:rPr>
                <w:b/>
                <w:snapToGrid w:val="0"/>
                <w:lang w:eastAsia="sv-SE"/>
              </w:rPr>
            </w:pPr>
          </w:p>
        </w:tc>
        <w:tc>
          <w:tcPr>
            <w:tcW w:w="993" w:type="dxa"/>
            <w:tcBorders>
              <w:bottom w:val="single" w:sz="4" w:space="0" w:color="auto"/>
            </w:tcBorders>
          </w:tcPr>
          <w:p w:rsidR="00AA5D77" w:rsidRPr="006C40C1" w:rsidRDefault="00AA5D77">
            <w:pPr>
              <w:pStyle w:val="Tabelltext"/>
              <w:jc w:val="right"/>
              <w:rPr>
                <w:b/>
                <w:snapToGrid w:val="0"/>
                <w:lang w:eastAsia="sv-SE"/>
              </w:rPr>
            </w:pPr>
            <w:r w:rsidRPr="006C40C1">
              <w:rPr>
                <w:b/>
                <w:snapToGrid w:val="0"/>
                <w:lang w:eastAsia="sv-SE"/>
              </w:rPr>
              <w:t>701 280 491</w:t>
            </w:r>
          </w:p>
        </w:tc>
        <w:tc>
          <w:tcPr>
            <w:tcW w:w="992" w:type="dxa"/>
            <w:tcBorders>
              <w:bottom w:val="single" w:sz="4" w:space="0" w:color="auto"/>
            </w:tcBorders>
          </w:tcPr>
          <w:p w:rsidR="00AA5D77" w:rsidRPr="006C40C1" w:rsidRDefault="00AA5D77">
            <w:pPr>
              <w:pStyle w:val="Tabelltext"/>
              <w:jc w:val="right"/>
              <w:rPr>
                <w:b/>
                <w:snapToGrid w:val="0"/>
                <w:lang w:eastAsia="sv-SE"/>
              </w:rPr>
            </w:pPr>
            <w:r w:rsidRPr="006C40C1">
              <w:rPr>
                <w:b/>
                <w:snapToGrid w:val="0"/>
                <w:lang w:eastAsia="sv-SE"/>
              </w:rPr>
              <w:t>700 939 144</w:t>
            </w:r>
          </w:p>
        </w:tc>
        <w:tc>
          <w:tcPr>
            <w:tcW w:w="850" w:type="dxa"/>
            <w:tcBorders>
              <w:bottom w:val="single" w:sz="4" w:space="0" w:color="auto"/>
            </w:tcBorders>
          </w:tcPr>
          <w:p w:rsidR="00AA5D77" w:rsidRPr="006C40C1" w:rsidRDefault="00AA5D77">
            <w:pPr>
              <w:pStyle w:val="Tabelltext"/>
              <w:jc w:val="right"/>
              <w:rPr>
                <w:b/>
                <w:snapToGrid w:val="0"/>
                <w:lang w:eastAsia="sv-SE"/>
              </w:rPr>
            </w:pPr>
            <w:r w:rsidRPr="006C40C1">
              <w:rPr>
                <w:b/>
                <w:snapToGrid w:val="0"/>
                <w:lang w:eastAsia="sv-SE"/>
              </w:rPr>
              <w:t>-341 347</w:t>
            </w:r>
          </w:p>
        </w:tc>
        <w:tc>
          <w:tcPr>
            <w:tcW w:w="1134" w:type="dxa"/>
            <w:tcBorders>
              <w:bottom w:val="single" w:sz="4" w:space="0" w:color="auto"/>
            </w:tcBorders>
          </w:tcPr>
          <w:p w:rsidR="00AA5D77" w:rsidRPr="006C40C1" w:rsidRDefault="00AA5D77">
            <w:pPr>
              <w:spacing w:before="0" w:line="200" w:lineRule="exact"/>
              <w:jc w:val="right"/>
              <w:rPr>
                <w:b/>
                <w:snapToGrid w:val="0"/>
                <w:color w:val="000000"/>
                <w:sz w:val="16"/>
                <w:lang w:eastAsia="sv-SE"/>
              </w:rPr>
            </w:pPr>
            <w:r w:rsidRPr="006C40C1">
              <w:rPr>
                <w:b/>
                <w:snapToGrid w:val="0"/>
                <w:color w:val="000000"/>
                <w:sz w:val="16"/>
                <w:lang w:eastAsia="sv-SE"/>
              </w:rPr>
              <w:t>+75 810 000</w:t>
            </w:r>
          </w:p>
        </w:tc>
        <w:tc>
          <w:tcPr>
            <w:tcW w:w="1134" w:type="dxa"/>
            <w:tcBorders>
              <w:bottom w:val="single" w:sz="4" w:space="0" w:color="auto"/>
            </w:tcBorders>
          </w:tcPr>
          <w:p w:rsidR="00AA5D77" w:rsidRPr="006C40C1" w:rsidRDefault="00AA5D77">
            <w:pPr>
              <w:pStyle w:val="Tabelltext"/>
              <w:jc w:val="right"/>
              <w:rPr>
                <w:b/>
                <w:snapToGrid w:val="0"/>
                <w:color w:val="000000"/>
                <w:lang w:eastAsia="sv-SE"/>
              </w:rPr>
            </w:pPr>
            <w:r w:rsidRPr="006C40C1">
              <w:rPr>
                <w:b/>
                <w:snapToGrid w:val="0"/>
                <w:color w:val="000000"/>
                <w:lang w:eastAsia="sv-SE"/>
              </w:rPr>
              <w:t>+18 393 653</w:t>
            </w:r>
          </w:p>
        </w:tc>
        <w:tc>
          <w:tcPr>
            <w:tcW w:w="1134" w:type="dxa"/>
            <w:tcBorders>
              <w:bottom w:val="single" w:sz="4" w:space="0" w:color="auto"/>
            </w:tcBorders>
          </w:tcPr>
          <w:p w:rsidR="00AA5D77" w:rsidRPr="006C40C1" w:rsidRDefault="00AA5D77">
            <w:pPr>
              <w:spacing w:before="0" w:line="200" w:lineRule="exact"/>
              <w:jc w:val="right"/>
              <w:rPr>
                <w:b/>
                <w:snapToGrid w:val="0"/>
                <w:color w:val="000000"/>
                <w:sz w:val="16"/>
                <w:lang w:eastAsia="sv-SE"/>
              </w:rPr>
            </w:pPr>
            <w:r w:rsidRPr="006C40C1">
              <w:rPr>
                <w:b/>
                <w:snapToGrid w:val="0"/>
                <w:color w:val="000000"/>
                <w:sz w:val="16"/>
                <w:lang w:eastAsia="sv-SE"/>
              </w:rPr>
              <w:t>+20 330 000</w:t>
            </w:r>
          </w:p>
        </w:tc>
        <w:tc>
          <w:tcPr>
            <w:tcW w:w="1134" w:type="dxa"/>
            <w:tcBorders>
              <w:bottom w:val="single" w:sz="4" w:space="0" w:color="auto"/>
            </w:tcBorders>
          </w:tcPr>
          <w:p w:rsidR="00AA5D77" w:rsidRPr="006C40C1" w:rsidRDefault="00AA5D77">
            <w:pPr>
              <w:spacing w:before="0" w:line="200" w:lineRule="exact"/>
              <w:jc w:val="right"/>
              <w:rPr>
                <w:b/>
                <w:snapToGrid w:val="0"/>
                <w:color w:val="000000"/>
                <w:sz w:val="16"/>
                <w:lang w:eastAsia="sv-SE"/>
              </w:rPr>
            </w:pPr>
            <w:r w:rsidRPr="006C40C1">
              <w:rPr>
                <w:b/>
                <w:snapToGrid w:val="0"/>
                <w:color w:val="000000"/>
                <w:sz w:val="16"/>
                <w:lang w:eastAsia="sv-SE"/>
              </w:rPr>
              <w:t>-34 790 000</w:t>
            </w:r>
          </w:p>
        </w:tc>
      </w:tr>
    </w:tbl>
    <w:p w:rsidR="00AA5D77" w:rsidRPr="006C40C1" w:rsidRDefault="00AA5D77">
      <w:pPr>
        <w:pStyle w:val="Normaltindrag"/>
      </w:pPr>
    </w:p>
    <w:p w:rsidR="00AA5D77" w:rsidRPr="006C40C1" w:rsidRDefault="00AA5D77">
      <w:pPr>
        <w:sectPr w:rsidR="00000000" w:rsidRPr="006C40C1">
          <w:headerReference w:type="even" r:id="rId26"/>
          <w:headerReference w:type="default" r:id="rId27"/>
          <w:footerReference w:type="even" r:id="rId28"/>
          <w:footerReference w:type="default" r:id="rId29"/>
          <w:headerReference w:type="first" r:id="rId30"/>
          <w:footerReference w:type="first" r:id="rId31"/>
          <w:pgSz w:w="16838" w:h="11906" w:orient="landscape" w:code="9"/>
          <w:pgMar w:top="2976" w:right="1020" w:bottom="2976" w:left="4422" w:header="340" w:footer="227" w:gutter="0"/>
          <w:cols w:space="720"/>
          <w:titlePg/>
        </w:sectPr>
      </w:pPr>
    </w:p>
    <w:p w:rsidR="00AA5D77" w:rsidRPr="006C40C1" w:rsidRDefault="00AA5D77">
      <w:pPr>
        <w:pStyle w:val="Rubrik2"/>
        <w:spacing w:before="125"/>
      </w:pPr>
      <w:bookmarkStart w:id="29" w:name="_Toc26191380"/>
      <w:r w:rsidRPr="006C40C1">
        <w:t>Förteckning över av utskottet i punkt 5 avstyrkta motionsyrkanden</w:t>
      </w:r>
      <w:bookmarkEnd w:id="29"/>
    </w:p>
    <w:p w:rsidR="00AA5D77" w:rsidRPr="006C40C1" w:rsidRDefault="00AA5D77">
      <w:pPr>
        <w:pStyle w:val="Deltagare"/>
        <w:keepLines w:val="0"/>
        <w:pBdr>
          <w:top w:val="single" w:sz="4" w:space="1" w:color="auto"/>
          <w:bottom w:val="single" w:sz="4" w:space="1" w:color="auto"/>
        </w:pBdr>
        <w:tabs>
          <w:tab w:val="left" w:pos="1701"/>
          <w:tab w:val="left" w:pos="4962"/>
        </w:tabs>
        <w:spacing w:before="62" w:line="250" w:lineRule="atLeast"/>
        <w:rPr>
          <w:noProof w:val="0"/>
        </w:rPr>
      </w:pPr>
      <w:r w:rsidRPr="006C40C1">
        <w:rPr>
          <w:noProof w:val="0"/>
        </w:rPr>
        <w:t>Motion</w:t>
      </w:r>
      <w:r w:rsidRPr="006C40C1">
        <w:rPr>
          <w:noProof w:val="0"/>
        </w:rPr>
        <w:tab/>
        <w:t>Motionärer</w:t>
      </w:r>
      <w:r w:rsidRPr="006C40C1">
        <w:rPr>
          <w:noProof w:val="0"/>
        </w:rPr>
        <w:tab/>
        <w:t>Yrkanden</w:t>
      </w:r>
    </w:p>
    <w:p w:rsidR="00AA5D77" w:rsidRPr="006C40C1" w:rsidRDefault="00AA5D77">
      <w:pPr>
        <w:tabs>
          <w:tab w:val="left" w:pos="1701"/>
          <w:tab w:val="left" w:pos="4962"/>
        </w:tabs>
      </w:pPr>
    </w:p>
    <w:p w:rsidR="00AA5D77" w:rsidRPr="006C40C1" w:rsidRDefault="00AA5D77">
      <w:pPr>
        <w:pStyle w:val="Normaltindrag"/>
        <w:tabs>
          <w:tab w:val="left" w:pos="1701"/>
          <w:tab w:val="left" w:pos="4962"/>
        </w:tabs>
        <w:ind w:firstLine="0"/>
        <w:rPr>
          <w:sz w:val="27"/>
        </w:rPr>
      </w:pPr>
      <w:r w:rsidRPr="006C40C1">
        <w:tab/>
      </w:r>
      <w:r w:rsidRPr="006C40C1">
        <w:rPr>
          <w:sz w:val="27"/>
        </w:rPr>
        <w:t>Utgifter</w:t>
      </w:r>
    </w:p>
    <w:p w:rsidR="00AA5D77" w:rsidRPr="006C40C1" w:rsidRDefault="00AA5D77">
      <w:pPr>
        <w:pStyle w:val="Normaltindrag"/>
        <w:tabs>
          <w:tab w:val="left" w:pos="1701"/>
          <w:tab w:val="left" w:pos="4962"/>
        </w:tabs>
        <w:ind w:firstLine="0"/>
        <w:rPr>
          <w:i/>
        </w:rPr>
      </w:pPr>
      <w:r w:rsidRPr="006C40C1">
        <w:rPr>
          <w:i/>
        </w:rPr>
        <w:t>Punkt 5 a</w:t>
      </w:r>
      <w:r w:rsidRPr="006C40C1">
        <w:rPr>
          <w:i/>
        </w:rPr>
        <w:tab/>
        <w:t>Utgiftstak för staten 2002–2004</w:t>
      </w:r>
    </w:p>
    <w:p w:rsidR="00AA5D77" w:rsidRPr="006C40C1" w:rsidRDefault="00AA5D77">
      <w:pPr>
        <w:pStyle w:val="Normaltindrag"/>
        <w:tabs>
          <w:tab w:val="left" w:pos="1701"/>
          <w:tab w:val="left" w:pos="4962"/>
        </w:tabs>
        <w:ind w:firstLine="0"/>
        <w:rPr>
          <w:i/>
        </w:rPr>
      </w:pPr>
      <w:r w:rsidRPr="006C40C1">
        <w:rPr>
          <w:i/>
        </w:rPr>
        <w:tab/>
        <w:t>(prop. 2002/03:1 punkt 2)</w:t>
      </w:r>
    </w:p>
    <w:p w:rsidR="00AA5D77" w:rsidRPr="006C40C1" w:rsidRDefault="00AA5D77">
      <w:pPr>
        <w:pStyle w:val="Normaltindrag"/>
        <w:tabs>
          <w:tab w:val="left" w:pos="1701"/>
          <w:tab w:val="left" w:pos="4962"/>
        </w:tabs>
        <w:ind w:firstLine="0"/>
      </w:pPr>
      <w:r w:rsidRPr="006C40C1">
        <w:t>2002/03:Fi231</w:t>
      </w:r>
      <w:r w:rsidRPr="006C40C1">
        <w:tab/>
        <w:t>Bo Lundgren m.fl. (m)</w:t>
      </w:r>
      <w:r w:rsidRPr="006C40C1">
        <w:tab/>
        <w:t>3</w:t>
      </w:r>
    </w:p>
    <w:p w:rsidR="00AA5D77" w:rsidRPr="006C40C1" w:rsidRDefault="00AA5D77">
      <w:pPr>
        <w:pStyle w:val="Normaltindrag"/>
        <w:tabs>
          <w:tab w:val="left" w:pos="1701"/>
          <w:tab w:val="left" w:pos="4962"/>
        </w:tabs>
        <w:ind w:firstLine="0"/>
      </w:pPr>
      <w:r w:rsidRPr="006C40C1">
        <w:t>2002/03:Fi232</w:t>
      </w:r>
      <w:r w:rsidRPr="006C40C1">
        <w:tab/>
        <w:t>Lars Leijonborg m.fl. (fp)</w:t>
      </w:r>
      <w:r w:rsidRPr="006C40C1">
        <w:tab/>
        <w:t>2</w:t>
      </w:r>
    </w:p>
    <w:p w:rsidR="00AA5D77" w:rsidRPr="006C40C1" w:rsidRDefault="00AA5D77">
      <w:pPr>
        <w:pStyle w:val="Normaltindrag"/>
        <w:tabs>
          <w:tab w:val="left" w:pos="1701"/>
          <w:tab w:val="left" w:pos="4962"/>
        </w:tabs>
        <w:ind w:firstLine="0"/>
      </w:pPr>
      <w:r w:rsidRPr="006C40C1">
        <w:t>2002/03:Fi233</w:t>
      </w:r>
      <w:r w:rsidRPr="006C40C1">
        <w:tab/>
        <w:t>Alf  Svensson m.fl. (kd)</w:t>
      </w:r>
      <w:r w:rsidRPr="006C40C1">
        <w:tab/>
        <w:t>5</w:t>
      </w:r>
    </w:p>
    <w:p w:rsidR="00AA5D77" w:rsidRPr="006C40C1" w:rsidRDefault="00AA5D77">
      <w:pPr>
        <w:pStyle w:val="Normaltindrag"/>
        <w:tabs>
          <w:tab w:val="left" w:pos="1701"/>
          <w:tab w:val="left" w:pos="4962"/>
        </w:tabs>
        <w:ind w:firstLine="0"/>
      </w:pPr>
      <w:r w:rsidRPr="006C40C1">
        <w:t>2002/03:Fi234</w:t>
      </w:r>
      <w:r w:rsidRPr="006C40C1">
        <w:tab/>
        <w:t>Maud Olofsson m.fl. (c)</w:t>
      </w:r>
      <w:r w:rsidRPr="006C40C1">
        <w:tab/>
        <w:t>3</w:t>
      </w:r>
    </w:p>
    <w:p w:rsidR="00AA5D77" w:rsidRPr="006C40C1" w:rsidRDefault="00AA5D77">
      <w:pPr>
        <w:pStyle w:val="Normaltindrag"/>
        <w:tabs>
          <w:tab w:val="left" w:pos="1701"/>
          <w:tab w:val="left" w:pos="4962"/>
        </w:tabs>
        <w:ind w:firstLine="0"/>
      </w:pPr>
    </w:p>
    <w:p w:rsidR="00AA5D77" w:rsidRPr="006C40C1" w:rsidRDefault="00AA5D77">
      <w:pPr>
        <w:pStyle w:val="Normaltindrag"/>
        <w:tabs>
          <w:tab w:val="left" w:pos="1701"/>
          <w:tab w:val="left" w:pos="4962"/>
        </w:tabs>
        <w:ind w:firstLine="0"/>
        <w:rPr>
          <w:i/>
        </w:rPr>
      </w:pPr>
      <w:r w:rsidRPr="006C40C1">
        <w:rPr>
          <w:i/>
        </w:rPr>
        <w:t>Punkt 5 b</w:t>
      </w:r>
      <w:r w:rsidRPr="006C40C1">
        <w:rPr>
          <w:i/>
        </w:rPr>
        <w:tab/>
        <w:t>Beräkning av den offentliga sektorns</w:t>
      </w:r>
    </w:p>
    <w:p w:rsidR="00AA5D77" w:rsidRPr="006C40C1" w:rsidRDefault="00AA5D77">
      <w:pPr>
        <w:pStyle w:val="Normaltindrag"/>
        <w:tabs>
          <w:tab w:val="left" w:pos="1701"/>
          <w:tab w:val="left" w:pos="4962"/>
        </w:tabs>
        <w:ind w:firstLine="0"/>
        <w:rPr>
          <w:i/>
        </w:rPr>
      </w:pPr>
      <w:r w:rsidRPr="006C40C1">
        <w:rPr>
          <w:i/>
        </w:rPr>
        <w:tab/>
        <w:t>utgifter åren 2003 och 2004</w:t>
      </w:r>
    </w:p>
    <w:p w:rsidR="00AA5D77" w:rsidRPr="006C40C1" w:rsidRDefault="00AA5D77">
      <w:pPr>
        <w:pStyle w:val="Normaltindrag"/>
        <w:tabs>
          <w:tab w:val="left" w:pos="1701"/>
          <w:tab w:val="left" w:pos="4962"/>
        </w:tabs>
        <w:ind w:firstLine="0"/>
        <w:rPr>
          <w:i/>
        </w:rPr>
      </w:pPr>
      <w:r w:rsidRPr="006C40C1">
        <w:rPr>
          <w:i/>
        </w:rPr>
        <w:tab/>
        <w:t>(prop. 2002/03:1 punkt 3)</w:t>
      </w:r>
    </w:p>
    <w:p w:rsidR="00AA5D77" w:rsidRPr="006C40C1" w:rsidRDefault="00AA5D77">
      <w:pPr>
        <w:pStyle w:val="Normaltindrag"/>
        <w:tabs>
          <w:tab w:val="left" w:pos="1701"/>
          <w:tab w:val="left" w:pos="4962"/>
        </w:tabs>
        <w:ind w:firstLine="0"/>
      </w:pPr>
      <w:r w:rsidRPr="006C40C1">
        <w:t>2002/03:Fi231</w:t>
      </w:r>
      <w:r w:rsidRPr="006C40C1">
        <w:tab/>
        <w:t>Bo Lundgren m.fl. (m)</w:t>
      </w:r>
      <w:r w:rsidRPr="006C40C1">
        <w:tab/>
        <w:t>2</w:t>
      </w:r>
    </w:p>
    <w:p w:rsidR="00AA5D77" w:rsidRPr="006C40C1" w:rsidRDefault="00AA5D77">
      <w:pPr>
        <w:pStyle w:val="Normaltindrag"/>
        <w:tabs>
          <w:tab w:val="left" w:pos="1701"/>
          <w:tab w:val="left" w:pos="4962"/>
        </w:tabs>
        <w:ind w:firstLine="0"/>
      </w:pPr>
      <w:r w:rsidRPr="006C40C1">
        <w:t>2002/03:Fi232</w:t>
      </w:r>
      <w:r w:rsidRPr="006C40C1">
        <w:tab/>
        <w:t>Lars Leijonborg m.fl. (fp)</w:t>
      </w:r>
      <w:r w:rsidRPr="006C40C1">
        <w:tab/>
        <w:t>3</w:t>
      </w:r>
    </w:p>
    <w:p w:rsidR="00AA5D77" w:rsidRPr="006C40C1" w:rsidRDefault="00AA5D77">
      <w:pPr>
        <w:pStyle w:val="Normaltindrag"/>
        <w:tabs>
          <w:tab w:val="left" w:pos="1701"/>
          <w:tab w:val="left" w:pos="4962"/>
        </w:tabs>
        <w:ind w:firstLine="0"/>
      </w:pPr>
      <w:r w:rsidRPr="006C40C1">
        <w:t>2002/03:Fi233</w:t>
      </w:r>
      <w:r w:rsidRPr="006C40C1">
        <w:tab/>
        <w:t>Alf  Svensson m.fl. (kd)</w:t>
      </w:r>
      <w:r w:rsidRPr="006C40C1">
        <w:tab/>
        <w:t>12</w:t>
      </w:r>
    </w:p>
    <w:p w:rsidR="00AA5D77" w:rsidRPr="006C40C1" w:rsidRDefault="00AA5D77">
      <w:pPr>
        <w:pStyle w:val="Normaltindrag"/>
        <w:tabs>
          <w:tab w:val="left" w:pos="1701"/>
          <w:tab w:val="left" w:pos="4962"/>
        </w:tabs>
        <w:ind w:firstLine="0"/>
      </w:pPr>
    </w:p>
    <w:p w:rsidR="00AA5D77" w:rsidRPr="006C40C1" w:rsidRDefault="00AA5D77">
      <w:pPr>
        <w:pStyle w:val="Normaltindrag"/>
        <w:tabs>
          <w:tab w:val="left" w:pos="1701"/>
          <w:tab w:val="left" w:pos="4962"/>
        </w:tabs>
        <w:ind w:firstLine="0"/>
        <w:rPr>
          <w:i/>
        </w:rPr>
      </w:pPr>
      <w:r w:rsidRPr="006C40C1">
        <w:rPr>
          <w:i/>
        </w:rPr>
        <w:t>Punkt 5 c</w:t>
      </w:r>
      <w:r w:rsidRPr="006C40C1">
        <w:rPr>
          <w:i/>
        </w:rPr>
        <w:tab/>
        <w:t>Fördelning av statsbudgetens utgifter</w:t>
      </w:r>
    </w:p>
    <w:p w:rsidR="00AA5D77" w:rsidRPr="006C40C1" w:rsidRDefault="00AA5D77">
      <w:pPr>
        <w:pStyle w:val="Normaltindrag"/>
        <w:tabs>
          <w:tab w:val="left" w:pos="1701"/>
          <w:tab w:val="left" w:pos="4962"/>
        </w:tabs>
        <w:ind w:firstLine="0"/>
        <w:rPr>
          <w:i/>
        </w:rPr>
      </w:pPr>
      <w:r w:rsidRPr="006C40C1">
        <w:rPr>
          <w:i/>
        </w:rPr>
        <w:tab/>
        <w:t>på utgiftsområden 2003</w:t>
      </w:r>
    </w:p>
    <w:p w:rsidR="00AA5D77" w:rsidRPr="006C40C1" w:rsidRDefault="00AA5D77">
      <w:pPr>
        <w:pStyle w:val="Normaltindrag"/>
        <w:tabs>
          <w:tab w:val="left" w:pos="1701"/>
          <w:tab w:val="left" w:pos="4962"/>
        </w:tabs>
        <w:ind w:firstLine="0"/>
        <w:rPr>
          <w:i/>
        </w:rPr>
      </w:pPr>
      <w:r w:rsidRPr="006C40C1">
        <w:rPr>
          <w:i/>
        </w:rPr>
        <w:tab/>
        <w:t>(prop. 2002/03:1 punkt 8)</w:t>
      </w:r>
    </w:p>
    <w:p w:rsidR="00AA5D77" w:rsidRPr="006C40C1" w:rsidRDefault="00AA5D77">
      <w:pPr>
        <w:pStyle w:val="Normaltindrag"/>
        <w:tabs>
          <w:tab w:val="left" w:pos="1701"/>
          <w:tab w:val="left" w:pos="4962"/>
        </w:tabs>
        <w:ind w:firstLine="0"/>
      </w:pPr>
      <w:r w:rsidRPr="006C40C1">
        <w:t>2002/03:Fi231</w:t>
      </w:r>
      <w:r w:rsidRPr="006C40C1">
        <w:tab/>
        <w:t>Bo Lundgren m.fl. (m)</w:t>
      </w:r>
      <w:r w:rsidRPr="006C40C1">
        <w:tab/>
        <w:t>5</w:t>
      </w:r>
    </w:p>
    <w:p w:rsidR="00AA5D77" w:rsidRPr="006C40C1" w:rsidRDefault="00AA5D77">
      <w:pPr>
        <w:pStyle w:val="Normaltindrag"/>
        <w:tabs>
          <w:tab w:val="left" w:pos="1701"/>
          <w:tab w:val="left" w:pos="4962"/>
        </w:tabs>
        <w:ind w:firstLine="0"/>
      </w:pPr>
      <w:r w:rsidRPr="006C40C1">
        <w:t>2002/03:Fi232</w:t>
      </w:r>
      <w:r w:rsidRPr="006C40C1">
        <w:tab/>
        <w:t>Lars Leijonborg m.fl. (fp)</w:t>
      </w:r>
      <w:r w:rsidRPr="006C40C1">
        <w:tab/>
        <w:t>6</w:t>
      </w:r>
    </w:p>
    <w:p w:rsidR="00AA5D77" w:rsidRPr="006C40C1" w:rsidRDefault="00AA5D77">
      <w:pPr>
        <w:pStyle w:val="Normaltindrag"/>
        <w:tabs>
          <w:tab w:val="left" w:pos="1701"/>
          <w:tab w:val="left" w:pos="4962"/>
        </w:tabs>
        <w:ind w:firstLine="0"/>
      </w:pPr>
      <w:r w:rsidRPr="006C40C1">
        <w:t>2002/03:Fi233</w:t>
      </w:r>
      <w:r w:rsidRPr="006C40C1">
        <w:tab/>
        <w:t>Alf  Svensson m.fl. (kd)</w:t>
      </w:r>
      <w:r w:rsidRPr="006C40C1">
        <w:tab/>
        <w:t>8</w:t>
      </w:r>
    </w:p>
    <w:p w:rsidR="00AA5D77" w:rsidRPr="006C40C1" w:rsidRDefault="00AA5D77">
      <w:pPr>
        <w:pStyle w:val="Normaltindrag"/>
        <w:tabs>
          <w:tab w:val="left" w:pos="1701"/>
          <w:tab w:val="left" w:pos="4962"/>
        </w:tabs>
        <w:ind w:firstLine="0"/>
      </w:pPr>
      <w:r w:rsidRPr="006C40C1">
        <w:t>2002/03:Fi234</w:t>
      </w:r>
      <w:r w:rsidRPr="006C40C1">
        <w:tab/>
        <w:t>Maud Olofsson m.fl. (c)</w:t>
      </w:r>
      <w:r w:rsidRPr="006C40C1">
        <w:tab/>
        <w:t>6</w:t>
      </w:r>
    </w:p>
    <w:p w:rsidR="00AA5D77" w:rsidRPr="006C40C1" w:rsidRDefault="00AA5D77">
      <w:pPr>
        <w:pStyle w:val="Normaltindrag"/>
        <w:tabs>
          <w:tab w:val="left" w:pos="1701"/>
          <w:tab w:val="left" w:pos="4962"/>
        </w:tabs>
        <w:ind w:firstLine="0"/>
      </w:pPr>
    </w:p>
    <w:p w:rsidR="00AA5D77" w:rsidRPr="006C40C1" w:rsidRDefault="00AA5D77">
      <w:pPr>
        <w:pStyle w:val="Normaltindrag"/>
        <w:tabs>
          <w:tab w:val="left" w:pos="1701"/>
          <w:tab w:val="left" w:pos="4962"/>
        </w:tabs>
        <w:ind w:firstLine="0"/>
        <w:rPr>
          <w:i/>
        </w:rPr>
      </w:pPr>
      <w:r w:rsidRPr="006C40C1">
        <w:rPr>
          <w:i/>
        </w:rPr>
        <w:t>Punkt 5 d</w:t>
      </w:r>
      <w:r w:rsidRPr="006C40C1">
        <w:rPr>
          <w:i/>
        </w:rPr>
        <w:tab/>
        <w:t>Förändringar av anslagsbehållningar</w:t>
      </w:r>
    </w:p>
    <w:p w:rsidR="00AA5D77" w:rsidRPr="006C40C1" w:rsidRDefault="00AA5D77">
      <w:pPr>
        <w:pStyle w:val="Normaltindrag"/>
        <w:tabs>
          <w:tab w:val="left" w:pos="1701"/>
          <w:tab w:val="left" w:pos="4962"/>
        </w:tabs>
        <w:ind w:firstLine="0"/>
        <w:rPr>
          <w:i/>
        </w:rPr>
      </w:pPr>
      <w:r w:rsidRPr="006C40C1">
        <w:rPr>
          <w:i/>
        </w:rPr>
        <w:tab/>
        <w:t>för budgetåret 2003</w:t>
      </w:r>
    </w:p>
    <w:p w:rsidR="00AA5D77" w:rsidRPr="006C40C1" w:rsidRDefault="00AA5D77">
      <w:pPr>
        <w:pStyle w:val="Normaltindrag"/>
        <w:tabs>
          <w:tab w:val="left" w:pos="1701"/>
          <w:tab w:val="left" w:pos="4962"/>
        </w:tabs>
        <w:ind w:firstLine="0"/>
        <w:rPr>
          <w:i/>
        </w:rPr>
      </w:pPr>
      <w:r w:rsidRPr="006C40C1">
        <w:rPr>
          <w:i/>
        </w:rPr>
        <w:tab/>
        <w:t>(prop. 2002/03:1 punkt 9)</w:t>
      </w:r>
    </w:p>
    <w:p w:rsidR="00AA5D77" w:rsidRPr="006C40C1" w:rsidRDefault="00AA5D77">
      <w:pPr>
        <w:pStyle w:val="Normaltindrag"/>
        <w:tabs>
          <w:tab w:val="left" w:pos="1701"/>
          <w:tab w:val="left" w:pos="4962"/>
        </w:tabs>
        <w:ind w:firstLine="0"/>
      </w:pPr>
      <w:r w:rsidRPr="006C40C1">
        <w:t>2002/03:Fi232</w:t>
      </w:r>
      <w:r w:rsidRPr="006C40C1">
        <w:tab/>
        <w:t>Lars Leijonborg m.fl. (fp)</w:t>
      </w:r>
      <w:r w:rsidRPr="006C40C1">
        <w:tab/>
        <w:t>5</w:t>
      </w:r>
    </w:p>
    <w:p w:rsidR="00AA5D77" w:rsidRPr="006C40C1" w:rsidRDefault="00AA5D77">
      <w:pPr>
        <w:pStyle w:val="Normaltindrag"/>
        <w:tabs>
          <w:tab w:val="left" w:pos="1701"/>
          <w:tab w:val="left" w:pos="4962"/>
        </w:tabs>
        <w:ind w:firstLine="0"/>
      </w:pPr>
    </w:p>
    <w:p w:rsidR="00AA5D77" w:rsidRPr="006C40C1" w:rsidRDefault="00AA5D77">
      <w:pPr>
        <w:pStyle w:val="Normaltindrag"/>
        <w:tabs>
          <w:tab w:val="left" w:pos="1701"/>
          <w:tab w:val="left" w:pos="4962"/>
        </w:tabs>
        <w:ind w:firstLine="0"/>
        <w:rPr>
          <w:i/>
        </w:rPr>
      </w:pPr>
      <w:r w:rsidRPr="006C40C1">
        <w:rPr>
          <w:i/>
        </w:rPr>
        <w:t>Punkt 5 e</w:t>
      </w:r>
      <w:r w:rsidRPr="006C40C1">
        <w:rPr>
          <w:i/>
        </w:rPr>
        <w:tab/>
        <w:t xml:space="preserve">Myndigheternas in- och utlåning i </w:t>
      </w:r>
    </w:p>
    <w:p w:rsidR="00AA5D77" w:rsidRPr="006C40C1" w:rsidRDefault="00AA5D77">
      <w:pPr>
        <w:pStyle w:val="Normaltindrag"/>
        <w:tabs>
          <w:tab w:val="left" w:pos="1701"/>
          <w:tab w:val="left" w:pos="4962"/>
        </w:tabs>
        <w:ind w:firstLine="0"/>
        <w:rPr>
          <w:i/>
        </w:rPr>
      </w:pPr>
      <w:r w:rsidRPr="006C40C1">
        <w:rPr>
          <w:i/>
        </w:rPr>
        <w:tab/>
        <w:t>Riksgäldskontoret</w:t>
      </w:r>
    </w:p>
    <w:p w:rsidR="00AA5D77" w:rsidRPr="006C40C1" w:rsidRDefault="00AA5D77">
      <w:pPr>
        <w:pStyle w:val="Normaltindrag"/>
        <w:tabs>
          <w:tab w:val="left" w:pos="1701"/>
          <w:tab w:val="left" w:pos="4962"/>
        </w:tabs>
        <w:ind w:firstLine="0"/>
        <w:rPr>
          <w:i/>
        </w:rPr>
      </w:pPr>
      <w:r w:rsidRPr="006C40C1">
        <w:rPr>
          <w:i/>
        </w:rPr>
        <w:tab/>
        <w:t>(prop. 2002/03:1 punkt 5)</w:t>
      </w:r>
    </w:p>
    <w:p w:rsidR="00AA5D77" w:rsidRPr="006C40C1" w:rsidRDefault="00AA5D77">
      <w:pPr>
        <w:pStyle w:val="Normaltindrag"/>
        <w:tabs>
          <w:tab w:val="left" w:pos="1701"/>
          <w:tab w:val="left" w:pos="4962"/>
        </w:tabs>
        <w:ind w:firstLine="0"/>
      </w:pPr>
      <w:r w:rsidRPr="006C40C1">
        <w:t>2002/03:Fi233</w:t>
      </w:r>
      <w:r w:rsidRPr="006C40C1">
        <w:tab/>
        <w:t>Alf  Svensson m.fl. (kd)</w:t>
      </w:r>
      <w:r w:rsidRPr="006C40C1">
        <w:tab/>
        <w:t>11</w:t>
      </w:r>
    </w:p>
    <w:p w:rsidR="00AA5D77" w:rsidRPr="006C40C1" w:rsidRDefault="00AA5D77">
      <w:pPr>
        <w:pStyle w:val="Normaltindrag"/>
        <w:pBdr>
          <w:top w:val="single" w:sz="4" w:space="1" w:color="auto"/>
          <w:bottom w:val="single" w:sz="4" w:space="1" w:color="auto"/>
        </w:pBdr>
        <w:tabs>
          <w:tab w:val="left" w:pos="1701"/>
          <w:tab w:val="left" w:pos="4962"/>
        </w:tabs>
        <w:ind w:firstLine="0"/>
      </w:pPr>
      <w:r w:rsidRPr="006C40C1">
        <w:br w:type="page"/>
        <w:t>Motion</w:t>
      </w:r>
      <w:r w:rsidRPr="006C40C1">
        <w:tab/>
        <w:t>Motionärer</w:t>
      </w:r>
      <w:r w:rsidRPr="006C40C1">
        <w:tab/>
        <w:t>Yrkanden</w:t>
      </w:r>
    </w:p>
    <w:p w:rsidR="00AA5D77" w:rsidRPr="006C40C1" w:rsidRDefault="00AA5D77">
      <w:pPr>
        <w:pStyle w:val="Normaltindrag"/>
        <w:tabs>
          <w:tab w:val="left" w:pos="1701"/>
          <w:tab w:val="left" w:pos="4962"/>
        </w:tabs>
        <w:ind w:firstLine="0"/>
        <w:rPr>
          <w:i/>
        </w:rPr>
      </w:pPr>
      <w:r w:rsidRPr="006C40C1">
        <w:rPr>
          <w:i/>
        </w:rPr>
        <w:t xml:space="preserve"> </w:t>
      </w:r>
    </w:p>
    <w:p w:rsidR="00AA5D77" w:rsidRPr="006C40C1" w:rsidRDefault="00AA5D77">
      <w:pPr>
        <w:pStyle w:val="Normaltindrag"/>
        <w:tabs>
          <w:tab w:val="left" w:pos="1701"/>
          <w:tab w:val="left" w:pos="4962"/>
        </w:tabs>
        <w:ind w:firstLine="0"/>
        <w:rPr>
          <w:sz w:val="27"/>
        </w:rPr>
      </w:pPr>
      <w:r w:rsidRPr="006C40C1">
        <w:tab/>
      </w:r>
      <w:r w:rsidRPr="006C40C1">
        <w:rPr>
          <w:sz w:val="27"/>
        </w:rPr>
        <w:t>Inkomster</w:t>
      </w:r>
    </w:p>
    <w:p w:rsidR="00AA5D77" w:rsidRPr="006C40C1" w:rsidRDefault="00AA5D77">
      <w:pPr>
        <w:pStyle w:val="Normaltindrag"/>
        <w:tabs>
          <w:tab w:val="left" w:pos="1701"/>
          <w:tab w:val="left" w:pos="4962"/>
        </w:tabs>
        <w:ind w:firstLine="0"/>
        <w:rPr>
          <w:i/>
        </w:rPr>
      </w:pPr>
      <w:r w:rsidRPr="006C40C1">
        <w:tab/>
      </w:r>
      <w:r w:rsidRPr="006C40C1">
        <w:rPr>
          <w:i/>
        </w:rPr>
        <w:t>Skattepolitikens inriktning</w:t>
      </w:r>
    </w:p>
    <w:p w:rsidR="00AA5D77" w:rsidRPr="006C40C1" w:rsidRDefault="00AA5D77">
      <w:pPr>
        <w:pStyle w:val="Normaltindrag"/>
        <w:tabs>
          <w:tab w:val="left" w:pos="1701"/>
          <w:tab w:val="left" w:pos="4962"/>
        </w:tabs>
        <w:ind w:firstLine="0"/>
      </w:pPr>
      <w:r w:rsidRPr="006C40C1">
        <w:t>2002/03:Fi231</w:t>
      </w:r>
      <w:r w:rsidRPr="006C40C1">
        <w:tab/>
        <w:t>Bo Lundgren m.fl. (m)</w:t>
      </w:r>
      <w:r w:rsidRPr="006C40C1">
        <w:tab/>
        <w:t>9, 11</w:t>
      </w:r>
    </w:p>
    <w:p w:rsidR="00AA5D77" w:rsidRPr="006C40C1" w:rsidRDefault="00AA5D77">
      <w:pPr>
        <w:pStyle w:val="Normaltindrag"/>
        <w:tabs>
          <w:tab w:val="left" w:pos="1701"/>
          <w:tab w:val="left" w:pos="4962"/>
        </w:tabs>
        <w:ind w:firstLine="0"/>
      </w:pPr>
      <w:r w:rsidRPr="006C40C1">
        <w:t>2002/03:Fi233</w:t>
      </w:r>
      <w:r w:rsidRPr="006C40C1">
        <w:tab/>
        <w:t>Alf  Svensson m.fl. (kd)</w:t>
      </w:r>
      <w:r w:rsidRPr="006C40C1">
        <w:tab/>
        <w:t>7 (i denna</w:t>
      </w:r>
    </w:p>
    <w:p w:rsidR="00AA5D77" w:rsidRPr="006C40C1" w:rsidRDefault="00AA5D77">
      <w:pPr>
        <w:pStyle w:val="Normaltindrag"/>
        <w:tabs>
          <w:tab w:val="left" w:pos="1701"/>
          <w:tab w:val="left" w:pos="4962"/>
        </w:tabs>
        <w:ind w:firstLine="0"/>
      </w:pPr>
      <w:r w:rsidRPr="006C40C1">
        <w:tab/>
      </w:r>
      <w:r w:rsidRPr="006C40C1">
        <w:tab/>
        <w:t>del)</w:t>
      </w:r>
    </w:p>
    <w:p w:rsidR="00AA5D77" w:rsidRPr="006C40C1" w:rsidRDefault="00AA5D77">
      <w:pPr>
        <w:pStyle w:val="Normaltindrag"/>
        <w:tabs>
          <w:tab w:val="left" w:pos="1701"/>
          <w:tab w:val="left" w:pos="4962"/>
        </w:tabs>
        <w:ind w:firstLine="0"/>
      </w:pPr>
      <w:r w:rsidRPr="006C40C1">
        <w:t>2002/03:Fi234</w:t>
      </w:r>
      <w:r w:rsidRPr="006C40C1">
        <w:tab/>
        <w:t>Maud Olofsson m.fl. (c)</w:t>
      </w:r>
      <w:r w:rsidRPr="006C40C1">
        <w:tab/>
        <w:t>12</w:t>
      </w:r>
    </w:p>
    <w:p w:rsidR="00AA5D77" w:rsidRPr="006C40C1" w:rsidRDefault="00AA5D77">
      <w:pPr>
        <w:pStyle w:val="Normaltindrag"/>
        <w:tabs>
          <w:tab w:val="left" w:pos="1701"/>
          <w:tab w:val="left" w:pos="4962"/>
        </w:tabs>
        <w:ind w:firstLine="0"/>
      </w:pPr>
      <w:r w:rsidRPr="006C40C1">
        <w:t>2002/03:Fi255</w:t>
      </w:r>
      <w:r w:rsidRPr="006C40C1">
        <w:tab/>
        <w:t>Per Landgren m.fl. (kd)</w:t>
      </w:r>
      <w:r w:rsidRPr="006C40C1">
        <w:tab/>
        <w:t>1, 7</w:t>
      </w:r>
    </w:p>
    <w:p w:rsidR="00AA5D77" w:rsidRPr="006C40C1" w:rsidRDefault="00AA5D77">
      <w:pPr>
        <w:pStyle w:val="Normaltindrag"/>
        <w:tabs>
          <w:tab w:val="left" w:pos="1701"/>
          <w:tab w:val="left" w:pos="4962"/>
        </w:tabs>
        <w:ind w:firstLine="0"/>
      </w:pPr>
      <w:r w:rsidRPr="006C40C1">
        <w:t>2002/03:Fi256</w:t>
      </w:r>
      <w:r w:rsidRPr="006C40C1">
        <w:tab/>
        <w:t>Alf  Svensson m.fl. (kd)</w:t>
      </w:r>
      <w:r w:rsidRPr="006C40C1">
        <w:tab/>
        <w:t>2–7, 23</w:t>
      </w:r>
    </w:p>
    <w:p w:rsidR="00AA5D77" w:rsidRPr="006C40C1" w:rsidRDefault="00AA5D77">
      <w:pPr>
        <w:pStyle w:val="Normaltindrag"/>
        <w:tabs>
          <w:tab w:val="left" w:pos="1701"/>
          <w:tab w:val="left" w:pos="4962"/>
        </w:tabs>
        <w:ind w:firstLine="0"/>
      </w:pPr>
      <w:r w:rsidRPr="006C40C1">
        <w:t>2002/03:Fi286</w:t>
      </w:r>
      <w:r w:rsidRPr="006C40C1">
        <w:tab/>
        <w:t>Maud Olofsson m.fl. (c)</w:t>
      </w:r>
      <w:r w:rsidRPr="006C40C1">
        <w:tab/>
        <w:t>1</w:t>
      </w:r>
    </w:p>
    <w:p w:rsidR="00AA5D77" w:rsidRPr="006C40C1" w:rsidRDefault="00AA5D77">
      <w:pPr>
        <w:pStyle w:val="Normaltindrag"/>
        <w:tabs>
          <w:tab w:val="left" w:pos="1701"/>
          <w:tab w:val="left" w:pos="4962"/>
        </w:tabs>
        <w:ind w:firstLine="0"/>
      </w:pPr>
      <w:r w:rsidRPr="006C40C1">
        <w:t>2002/03:Sk382</w:t>
      </w:r>
      <w:r w:rsidRPr="006C40C1">
        <w:tab/>
        <w:t>Lars Leijonborg m.fl. (fp)</w:t>
      </w:r>
      <w:r w:rsidRPr="006C40C1">
        <w:tab/>
        <w:t>1, 3, 4, 26</w:t>
      </w:r>
    </w:p>
    <w:p w:rsidR="00AA5D77" w:rsidRPr="006C40C1" w:rsidRDefault="00AA5D77">
      <w:pPr>
        <w:pStyle w:val="Normaltindrag"/>
        <w:tabs>
          <w:tab w:val="left" w:pos="1701"/>
          <w:tab w:val="left" w:pos="4962"/>
        </w:tabs>
        <w:ind w:firstLine="0"/>
      </w:pPr>
      <w:r w:rsidRPr="006C40C1">
        <w:t>2002/03:MJ432</w:t>
      </w:r>
      <w:r w:rsidRPr="006C40C1">
        <w:tab/>
        <w:t>Alf  Svensson m.fl. (kd)</w:t>
      </w:r>
      <w:r w:rsidRPr="006C40C1">
        <w:tab/>
        <w:t>23</w:t>
      </w:r>
    </w:p>
    <w:p w:rsidR="00AA5D77" w:rsidRPr="006C40C1" w:rsidRDefault="00AA5D77">
      <w:pPr>
        <w:pStyle w:val="Normaltindrag"/>
        <w:tabs>
          <w:tab w:val="left" w:pos="1701"/>
          <w:tab w:val="left" w:pos="4962"/>
        </w:tabs>
        <w:ind w:firstLine="0"/>
      </w:pPr>
    </w:p>
    <w:p w:rsidR="00AA5D77" w:rsidRPr="006C40C1" w:rsidRDefault="00AA5D77">
      <w:pPr>
        <w:pStyle w:val="Normaltindrag"/>
        <w:tabs>
          <w:tab w:val="left" w:pos="1701"/>
          <w:tab w:val="left" w:pos="4962"/>
        </w:tabs>
        <w:ind w:firstLine="0"/>
        <w:rPr>
          <w:i/>
        </w:rPr>
      </w:pPr>
      <w:r w:rsidRPr="006C40C1">
        <w:rPr>
          <w:i/>
        </w:rPr>
        <w:t>Punkt 5 g</w:t>
      </w:r>
      <w:r w:rsidRPr="006C40C1">
        <w:rPr>
          <w:i/>
        </w:rPr>
        <w:tab/>
        <w:t>Beskattning av förvärvsinkomster</w:t>
      </w:r>
    </w:p>
    <w:p w:rsidR="00AA5D77" w:rsidRPr="006C40C1" w:rsidRDefault="00AA5D77">
      <w:pPr>
        <w:pStyle w:val="Normaltindrag"/>
        <w:tabs>
          <w:tab w:val="left" w:pos="1701"/>
          <w:tab w:val="left" w:pos="4962"/>
        </w:tabs>
        <w:ind w:firstLine="0"/>
        <w:rPr>
          <w:i/>
        </w:rPr>
      </w:pPr>
      <w:r w:rsidRPr="006C40C1">
        <w:rPr>
          <w:i/>
        </w:rPr>
        <w:tab/>
        <w:t>(prop. 2002/03:1 punkt 27)</w:t>
      </w:r>
    </w:p>
    <w:p w:rsidR="00AA5D77" w:rsidRPr="006C40C1" w:rsidRDefault="00AA5D77">
      <w:pPr>
        <w:pStyle w:val="Normaltindrag"/>
        <w:tabs>
          <w:tab w:val="left" w:pos="1701"/>
          <w:tab w:val="left" w:pos="4962"/>
        </w:tabs>
        <w:ind w:firstLine="0"/>
      </w:pPr>
      <w:r w:rsidRPr="006C40C1">
        <w:t>2002/03:Fi255</w:t>
      </w:r>
      <w:r w:rsidRPr="006C40C1">
        <w:tab/>
        <w:t>Per Landgren m.fl. (kd)</w:t>
      </w:r>
      <w:r w:rsidRPr="006C40C1">
        <w:tab/>
        <w:t>2–5, 8</w:t>
      </w:r>
    </w:p>
    <w:p w:rsidR="00AA5D77" w:rsidRPr="006C40C1" w:rsidRDefault="00AA5D77">
      <w:pPr>
        <w:pStyle w:val="Normaltindrag"/>
        <w:tabs>
          <w:tab w:val="left" w:pos="1701"/>
          <w:tab w:val="left" w:pos="4962"/>
        </w:tabs>
        <w:ind w:firstLine="0"/>
      </w:pPr>
      <w:r w:rsidRPr="006C40C1">
        <w:t>2002/03:Fi256</w:t>
      </w:r>
      <w:r w:rsidRPr="006C40C1">
        <w:tab/>
        <w:t>Alf  Svensson m.fl. (kd)</w:t>
      </w:r>
      <w:r w:rsidRPr="006C40C1">
        <w:tab/>
        <w:t>8–11, 33</w:t>
      </w:r>
    </w:p>
    <w:p w:rsidR="00AA5D77" w:rsidRPr="006C40C1" w:rsidRDefault="00AA5D77">
      <w:pPr>
        <w:pStyle w:val="Normaltindrag"/>
        <w:tabs>
          <w:tab w:val="left" w:pos="1701"/>
          <w:tab w:val="left" w:pos="4962"/>
        </w:tabs>
        <w:ind w:firstLine="0"/>
      </w:pPr>
      <w:r w:rsidRPr="006C40C1">
        <w:t>2002/03:Fi286</w:t>
      </w:r>
      <w:r w:rsidRPr="006C40C1">
        <w:tab/>
        <w:t>Maud Olofsson m.fl. (c)</w:t>
      </w:r>
      <w:r w:rsidRPr="006C40C1">
        <w:tab/>
        <w:t>2–4</w:t>
      </w:r>
    </w:p>
    <w:p w:rsidR="00AA5D77" w:rsidRPr="006C40C1" w:rsidRDefault="00AA5D77">
      <w:pPr>
        <w:pStyle w:val="Normaltindrag"/>
        <w:tabs>
          <w:tab w:val="left" w:pos="1701"/>
          <w:tab w:val="left" w:pos="4962"/>
        </w:tabs>
        <w:ind w:firstLine="0"/>
      </w:pPr>
      <w:r w:rsidRPr="006C40C1">
        <w:t>2002/03:Fi287</w:t>
      </w:r>
      <w:r w:rsidRPr="006C40C1">
        <w:tab/>
        <w:t>Lennart Hedquist m.fl. (m)</w:t>
      </w:r>
      <w:r w:rsidRPr="006C40C1">
        <w:tab/>
        <w:t>1–7, 33</w:t>
      </w:r>
    </w:p>
    <w:p w:rsidR="00AA5D77" w:rsidRPr="006C40C1" w:rsidRDefault="00AA5D77">
      <w:pPr>
        <w:pStyle w:val="Normaltindrag"/>
        <w:tabs>
          <w:tab w:val="left" w:pos="1701"/>
          <w:tab w:val="left" w:pos="4962"/>
        </w:tabs>
        <w:ind w:firstLine="0"/>
      </w:pPr>
      <w:r w:rsidRPr="006C40C1">
        <w:t>2002/03:Sk382</w:t>
      </w:r>
      <w:r w:rsidRPr="006C40C1">
        <w:tab/>
        <w:t>Lars Leijonborg m.fl. (fp)</w:t>
      </w:r>
      <w:r w:rsidRPr="006C40C1">
        <w:tab/>
        <w:t>2</w:t>
      </w:r>
    </w:p>
    <w:p w:rsidR="00AA5D77" w:rsidRPr="006C40C1" w:rsidRDefault="00AA5D77">
      <w:pPr>
        <w:pStyle w:val="Normaltindrag"/>
        <w:tabs>
          <w:tab w:val="left" w:pos="1701"/>
          <w:tab w:val="left" w:pos="4962"/>
        </w:tabs>
        <w:ind w:firstLine="0"/>
      </w:pPr>
    </w:p>
    <w:p w:rsidR="00AA5D77" w:rsidRPr="006C40C1" w:rsidRDefault="00AA5D77">
      <w:pPr>
        <w:pStyle w:val="Normaltindrag"/>
        <w:tabs>
          <w:tab w:val="left" w:pos="1701"/>
          <w:tab w:val="left" w:pos="4962"/>
        </w:tabs>
        <w:ind w:firstLine="0"/>
        <w:rPr>
          <w:i/>
        </w:rPr>
      </w:pPr>
      <w:r w:rsidRPr="006C40C1">
        <w:rPr>
          <w:i/>
        </w:rPr>
        <w:tab/>
        <w:t>Skattereduktion för fackföreningsavgifter</w:t>
      </w:r>
    </w:p>
    <w:p w:rsidR="00AA5D77" w:rsidRPr="006C40C1" w:rsidRDefault="00AA5D77">
      <w:pPr>
        <w:pStyle w:val="Normaltindrag"/>
        <w:tabs>
          <w:tab w:val="left" w:pos="1701"/>
          <w:tab w:val="left" w:pos="4962"/>
        </w:tabs>
        <w:ind w:firstLine="0"/>
      </w:pPr>
      <w:r w:rsidRPr="006C40C1">
        <w:t>2002/03:Fi286</w:t>
      </w:r>
      <w:r w:rsidRPr="006C40C1">
        <w:tab/>
        <w:t>Maud Olofsson m.fl. (c)</w:t>
      </w:r>
      <w:r w:rsidRPr="006C40C1">
        <w:tab/>
        <w:t>5</w:t>
      </w:r>
    </w:p>
    <w:p w:rsidR="00AA5D77" w:rsidRPr="006C40C1" w:rsidRDefault="00AA5D77">
      <w:pPr>
        <w:pStyle w:val="Normaltindrag"/>
        <w:tabs>
          <w:tab w:val="left" w:pos="1701"/>
          <w:tab w:val="left" w:pos="4962"/>
        </w:tabs>
        <w:ind w:firstLine="0"/>
      </w:pPr>
      <w:r w:rsidRPr="006C40C1">
        <w:t>2002/03:Fi287</w:t>
      </w:r>
      <w:r w:rsidRPr="006C40C1">
        <w:tab/>
        <w:t>Lennart Hedquist m.fl. (m)</w:t>
      </w:r>
      <w:r w:rsidRPr="006C40C1">
        <w:tab/>
        <w:t>37, 38</w:t>
      </w:r>
    </w:p>
    <w:p w:rsidR="00AA5D77" w:rsidRPr="006C40C1" w:rsidRDefault="00AA5D77">
      <w:pPr>
        <w:pStyle w:val="Normaltindrag"/>
        <w:tabs>
          <w:tab w:val="left" w:pos="1701"/>
          <w:tab w:val="left" w:pos="4962"/>
        </w:tabs>
        <w:ind w:firstLine="0"/>
        <w:rPr>
          <w:i/>
        </w:rPr>
      </w:pPr>
    </w:p>
    <w:p w:rsidR="00AA5D77" w:rsidRPr="006C40C1" w:rsidRDefault="00AA5D77">
      <w:pPr>
        <w:pStyle w:val="Normaltindrag"/>
        <w:tabs>
          <w:tab w:val="left" w:pos="1701"/>
          <w:tab w:val="left" w:pos="4962"/>
        </w:tabs>
        <w:ind w:firstLine="0"/>
        <w:rPr>
          <w:i/>
        </w:rPr>
      </w:pPr>
      <w:r w:rsidRPr="006C40C1">
        <w:rPr>
          <w:i/>
        </w:rPr>
        <w:tab/>
        <w:t>Utökade reseavdrag</w:t>
      </w:r>
    </w:p>
    <w:p w:rsidR="00AA5D77" w:rsidRPr="006C40C1" w:rsidRDefault="00AA5D77">
      <w:pPr>
        <w:pStyle w:val="Normaltindrag"/>
        <w:tabs>
          <w:tab w:val="left" w:pos="1701"/>
          <w:tab w:val="left" w:pos="4962"/>
        </w:tabs>
        <w:ind w:firstLine="0"/>
      </w:pPr>
      <w:r w:rsidRPr="006C40C1">
        <w:t>2002/03:Fi255</w:t>
      </w:r>
      <w:r w:rsidRPr="006C40C1">
        <w:tab/>
        <w:t>Per Landgren m.fl. (kd)</w:t>
      </w:r>
      <w:r w:rsidRPr="006C40C1">
        <w:tab/>
        <w:t>6</w:t>
      </w:r>
    </w:p>
    <w:p w:rsidR="00AA5D77" w:rsidRPr="006C40C1" w:rsidRDefault="00AA5D77">
      <w:pPr>
        <w:pStyle w:val="Normaltindrag"/>
        <w:tabs>
          <w:tab w:val="left" w:pos="1701"/>
          <w:tab w:val="left" w:pos="4962"/>
        </w:tabs>
        <w:ind w:firstLine="0"/>
      </w:pPr>
      <w:r w:rsidRPr="006C40C1">
        <w:t>2002/03:Fi256</w:t>
      </w:r>
      <w:r w:rsidRPr="006C40C1">
        <w:tab/>
        <w:t>Alf  Svensson m.fl. (kd)</w:t>
      </w:r>
      <w:r w:rsidRPr="006C40C1">
        <w:tab/>
        <w:t>12</w:t>
      </w:r>
    </w:p>
    <w:p w:rsidR="00AA5D77" w:rsidRPr="006C40C1" w:rsidRDefault="00AA5D77">
      <w:pPr>
        <w:pStyle w:val="Normaltindrag"/>
        <w:tabs>
          <w:tab w:val="left" w:pos="1701"/>
          <w:tab w:val="left" w:pos="4962"/>
        </w:tabs>
        <w:ind w:firstLine="0"/>
      </w:pPr>
      <w:r w:rsidRPr="006C40C1">
        <w:t>2002/03:Fi286</w:t>
      </w:r>
      <w:r w:rsidRPr="006C40C1">
        <w:tab/>
        <w:t>Maud Olofsson m.fl. (c)</w:t>
      </w:r>
      <w:r w:rsidRPr="006C40C1">
        <w:tab/>
        <w:t>6, 8</w:t>
      </w:r>
    </w:p>
    <w:p w:rsidR="00AA5D77" w:rsidRPr="006C40C1" w:rsidRDefault="00AA5D77">
      <w:pPr>
        <w:pStyle w:val="Normaltindrag"/>
        <w:tabs>
          <w:tab w:val="left" w:pos="1701"/>
          <w:tab w:val="left" w:pos="4962"/>
        </w:tabs>
        <w:ind w:firstLine="0"/>
      </w:pPr>
      <w:r w:rsidRPr="006C40C1">
        <w:t>2002/03:Fi287</w:t>
      </w:r>
      <w:r w:rsidRPr="006C40C1">
        <w:tab/>
        <w:t>Lennart Hedquist m.fl. (m)</w:t>
      </w:r>
      <w:r w:rsidRPr="006C40C1">
        <w:tab/>
        <w:t>8, 9</w:t>
      </w:r>
    </w:p>
    <w:p w:rsidR="00AA5D77" w:rsidRPr="006C40C1" w:rsidRDefault="00AA5D77">
      <w:pPr>
        <w:pStyle w:val="Normaltindrag"/>
        <w:tabs>
          <w:tab w:val="left" w:pos="1701"/>
          <w:tab w:val="left" w:pos="4962"/>
        </w:tabs>
        <w:ind w:firstLine="0"/>
      </w:pPr>
      <w:r w:rsidRPr="006C40C1">
        <w:t>2002/03:N304</w:t>
      </w:r>
      <w:r w:rsidRPr="006C40C1">
        <w:tab/>
        <w:t>Mikael Odenberg m.fl. (m)</w:t>
      </w:r>
      <w:r w:rsidRPr="006C40C1">
        <w:tab/>
        <w:t xml:space="preserve">4 (i denna </w:t>
      </w:r>
    </w:p>
    <w:p w:rsidR="00AA5D77" w:rsidRPr="006C40C1" w:rsidRDefault="00AA5D77">
      <w:pPr>
        <w:pStyle w:val="Normaltindrag"/>
        <w:tabs>
          <w:tab w:val="left" w:pos="1701"/>
          <w:tab w:val="left" w:pos="4962"/>
        </w:tabs>
        <w:ind w:firstLine="0"/>
      </w:pPr>
      <w:r w:rsidRPr="006C40C1">
        <w:tab/>
      </w:r>
      <w:r w:rsidRPr="006C40C1">
        <w:tab/>
        <w:t>del)</w:t>
      </w:r>
    </w:p>
    <w:p w:rsidR="00AA5D77" w:rsidRPr="006C40C1" w:rsidRDefault="00AA5D77">
      <w:pPr>
        <w:pStyle w:val="Normaltindrag"/>
        <w:tabs>
          <w:tab w:val="left" w:pos="1701"/>
          <w:tab w:val="left" w:pos="4962"/>
        </w:tabs>
        <w:ind w:firstLine="0"/>
        <w:jc w:val="left"/>
        <w:rPr>
          <w:i/>
        </w:rPr>
      </w:pPr>
      <w:r w:rsidRPr="006C40C1">
        <w:rPr>
          <w:i/>
        </w:rPr>
        <w:tab/>
        <w:t>Hushållstjänster</w:t>
      </w:r>
    </w:p>
    <w:p w:rsidR="00AA5D77" w:rsidRPr="006C40C1" w:rsidRDefault="00AA5D77">
      <w:pPr>
        <w:pStyle w:val="Normaltindrag"/>
        <w:tabs>
          <w:tab w:val="left" w:pos="1701"/>
          <w:tab w:val="left" w:pos="4962"/>
        </w:tabs>
        <w:ind w:firstLine="0"/>
        <w:jc w:val="left"/>
      </w:pPr>
      <w:r w:rsidRPr="006C40C1">
        <w:t>2002/03:Fi286</w:t>
      </w:r>
      <w:r w:rsidRPr="006C40C1">
        <w:tab/>
        <w:t>Maud Olofsson m.fl. (c)</w:t>
      </w:r>
      <w:r w:rsidRPr="006C40C1">
        <w:tab/>
        <w:t>7</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29</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ab/>
        <w:t>Pensions- och kompetenssparande</w:t>
      </w:r>
    </w:p>
    <w:p w:rsidR="00AA5D77" w:rsidRPr="006C40C1" w:rsidRDefault="00AA5D77">
      <w:pPr>
        <w:pStyle w:val="Normaltindrag"/>
        <w:tabs>
          <w:tab w:val="left" w:pos="1701"/>
          <w:tab w:val="left" w:pos="4962"/>
        </w:tabs>
        <w:ind w:firstLine="0"/>
        <w:jc w:val="left"/>
      </w:pPr>
      <w:r w:rsidRPr="006C40C1">
        <w:t>2002/03:Sk382</w:t>
      </w:r>
      <w:r w:rsidRPr="006C40C1">
        <w:tab/>
        <w:t>Lars Leijonborg m.fl. (fp)</w:t>
      </w:r>
      <w:r w:rsidRPr="006C40C1">
        <w:tab/>
        <w:t>7</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ab/>
        <w:t>Gåvor till ideell verksamhet</w:t>
      </w:r>
    </w:p>
    <w:p w:rsidR="00AA5D77" w:rsidRPr="006C40C1" w:rsidRDefault="00AA5D77">
      <w:pPr>
        <w:pStyle w:val="Normaltindrag"/>
        <w:tabs>
          <w:tab w:val="left" w:pos="1701"/>
          <w:tab w:val="left" w:pos="4962"/>
        </w:tabs>
        <w:ind w:firstLine="0"/>
        <w:jc w:val="left"/>
      </w:pPr>
      <w:r w:rsidRPr="006C40C1">
        <w:t>2002/03:Sk382</w:t>
      </w:r>
      <w:r w:rsidRPr="006C40C1">
        <w:tab/>
        <w:t>Lars Leijonborg m.fl. (fp)</w:t>
      </w:r>
      <w:r w:rsidRPr="006C40C1">
        <w:tab/>
        <w:t>14</w:t>
      </w:r>
    </w:p>
    <w:p w:rsidR="00AA5D77" w:rsidRPr="006C40C1" w:rsidRDefault="00AA5D77">
      <w:pPr>
        <w:pStyle w:val="Normaltindrag"/>
        <w:tabs>
          <w:tab w:val="left" w:pos="1701"/>
          <w:tab w:val="left" w:pos="4962"/>
        </w:tabs>
        <w:ind w:firstLine="0"/>
        <w:jc w:val="left"/>
        <w:rPr>
          <w:i/>
        </w:rPr>
      </w:pPr>
    </w:p>
    <w:p w:rsidR="00AA5D77" w:rsidRPr="006C40C1" w:rsidRDefault="00AA5D77">
      <w:pPr>
        <w:pStyle w:val="Normaltindrag"/>
        <w:tabs>
          <w:tab w:val="left" w:pos="1701"/>
          <w:tab w:val="left" w:pos="4962"/>
        </w:tabs>
        <w:ind w:firstLine="0"/>
        <w:jc w:val="left"/>
        <w:rPr>
          <w:i/>
        </w:rPr>
      </w:pPr>
      <w:r w:rsidRPr="006C40C1">
        <w:rPr>
          <w:i/>
        </w:rPr>
        <w:br w:type="page"/>
      </w:r>
      <w:r w:rsidRPr="006C40C1">
        <w:rPr>
          <w:i/>
        </w:rPr>
        <w:tab/>
        <w:t>Företagsbeskattning, dubbelbeskattning</w:t>
      </w:r>
    </w:p>
    <w:p w:rsidR="00AA5D77" w:rsidRPr="006C40C1" w:rsidRDefault="00AA5D77">
      <w:pPr>
        <w:pStyle w:val="Normaltindrag"/>
        <w:tabs>
          <w:tab w:val="left" w:pos="1701"/>
          <w:tab w:val="left" w:pos="4962"/>
        </w:tabs>
        <w:ind w:firstLine="0"/>
        <w:jc w:val="left"/>
      </w:pPr>
      <w:r w:rsidRPr="006C40C1">
        <w:t>2002/03:Fi256</w:t>
      </w:r>
      <w:r w:rsidRPr="006C40C1">
        <w:tab/>
        <w:t>Alf  Svensson m.fl. (kd)</w:t>
      </w:r>
      <w:r w:rsidRPr="006C40C1">
        <w:tab/>
        <w:t>19, 20</w:t>
      </w:r>
    </w:p>
    <w:p w:rsidR="00AA5D77" w:rsidRPr="006C40C1" w:rsidRDefault="00AA5D77">
      <w:pPr>
        <w:pStyle w:val="Normaltindrag"/>
        <w:tabs>
          <w:tab w:val="left" w:pos="1701"/>
          <w:tab w:val="left" w:pos="4962"/>
        </w:tabs>
        <w:ind w:firstLine="0"/>
        <w:jc w:val="left"/>
      </w:pPr>
      <w:r w:rsidRPr="006C40C1">
        <w:t>2002/03:Fi286</w:t>
      </w:r>
      <w:r w:rsidRPr="006C40C1">
        <w:tab/>
        <w:t>Maud Olofsson m.fl. (c)</w:t>
      </w:r>
      <w:r w:rsidRPr="006C40C1">
        <w:tab/>
        <w:t>16, 17, 22</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26</w:t>
      </w:r>
    </w:p>
    <w:p w:rsidR="00AA5D77" w:rsidRPr="006C40C1" w:rsidRDefault="00AA5D77">
      <w:pPr>
        <w:pStyle w:val="Normaltindrag"/>
        <w:tabs>
          <w:tab w:val="left" w:pos="1701"/>
          <w:tab w:val="left" w:pos="4962"/>
        </w:tabs>
        <w:ind w:firstLine="0"/>
        <w:jc w:val="left"/>
      </w:pPr>
      <w:r w:rsidRPr="006C40C1">
        <w:t>2002/03:Sk382</w:t>
      </w:r>
      <w:r w:rsidRPr="006C40C1">
        <w:tab/>
        <w:t>Lars Leijonborg m.fl. (fp)</w:t>
      </w:r>
      <w:r w:rsidRPr="006C40C1">
        <w:tab/>
        <w:t>24</w:t>
      </w:r>
    </w:p>
    <w:p w:rsidR="00AA5D77" w:rsidRPr="006C40C1" w:rsidRDefault="00AA5D77">
      <w:pPr>
        <w:pStyle w:val="Normaltindrag"/>
        <w:tabs>
          <w:tab w:val="left" w:pos="1701"/>
          <w:tab w:val="left" w:pos="4962"/>
        </w:tabs>
        <w:ind w:firstLine="0"/>
        <w:jc w:val="left"/>
      </w:pPr>
      <w:r w:rsidRPr="006C40C1">
        <w:t>2002/03:Sk383</w:t>
      </w:r>
      <w:r w:rsidRPr="006C40C1">
        <w:tab/>
        <w:t>Per Landgren m.fl. (kd)</w:t>
      </w:r>
      <w:r w:rsidRPr="006C40C1">
        <w:tab/>
        <w:t>2, 6, 14</w:t>
      </w:r>
    </w:p>
    <w:p w:rsidR="00AA5D77" w:rsidRPr="006C40C1" w:rsidRDefault="00AA5D77">
      <w:pPr>
        <w:pStyle w:val="Normaltindrag"/>
        <w:tabs>
          <w:tab w:val="left" w:pos="1701"/>
          <w:tab w:val="left" w:pos="4962"/>
        </w:tabs>
        <w:ind w:firstLine="0"/>
        <w:jc w:val="left"/>
        <w:rPr>
          <w:i/>
        </w:rPr>
      </w:pPr>
    </w:p>
    <w:p w:rsidR="00AA5D77" w:rsidRPr="006C40C1" w:rsidRDefault="00AA5D77">
      <w:pPr>
        <w:pStyle w:val="Normaltindrag"/>
        <w:tabs>
          <w:tab w:val="left" w:pos="1701"/>
          <w:tab w:val="left" w:pos="4962"/>
        </w:tabs>
        <w:ind w:firstLine="0"/>
        <w:jc w:val="left"/>
        <w:rPr>
          <w:i/>
        </w:rPr>
      </w:pPr>
      <w:r w:rsidRPr="006C40C1">
        <w:rPr>
          <w:i/>
        </w:rPr>
        <w:tab/>
        <w:t>Avyttring av fåmansföretag genom</w:t>
      </w:r>
    </w:p>
    <w:p w:rsidR="00AA5D77" w:rsidRPr="006C40C1" w:rsidRDefault="00AA5D77">
      <w:pPr>
        <w:pStyle w:val="Normaltindrag"/>
        <w:tabs>
          <w:tab w:val="left" w:pos="1701"/>
          <w:tab w:val="left" w:pos="4962"/>
        </w:tabs>
        <w:ind w:firstLine="0"/>
        <w:jc w:val="left"/>
        <w:rPr>
          <w:i/>
        </w:rPr>
      </w:pPr>
      <w:r w:rsidRPr="006C40C1">
        <w:rPr>
          <w:i/>
        </w:rPr>
        <w:tab/>
        <w:t xml:space="preserve">andelsbyte </w:t>
      </w:r>
    </w:p>
    <w:p w:rsidR="00AA5D77" w:rsidRPr="006C40C1" w:rsidRDefault="00AA5D77">
      <w:pPr>
        <w:pStyle w:val="Normaltindrag"/>
        <w:tabs>
          <w:tab w:val="left" w:pos="1701"/>
          <w:tab w:val="left" w:pos="4962"/>
        </w:tabs>
        <w:ind w:firstLine="0"/>
        <w:jc w:val="left"/>
      </w:pPr>
      <w:r w:rsidRPr="006C40C1">
        <w:t>2002/03:Fi261</w:t>
      </w:r>
      <w:r w:rsidRPr="006C40C1">
        <w:tab/>
        <w:t>Per Rosengren (v)</w:t>
      </w:r>
      <w:r w:rsidRPr="006C40C1">
        <w:tab/>
      </w:r>
    </w:p>
    <w:p w:rsidR="00AA5D77" w:rsidRPr="006C40C1" w:rsidRDefault="00AA5D77">
      <w:pPr>
        <w:pStyle w:val="Normaltindrag"/>
        <w:tabs>
          <w:tab w:val="left" w:pos="1701"/>
          <w:tab w:val="left" w:pos="4962"/>
        </w:tabs>
        <w:ind w:firstLine="0"/>
        <w:jc w:val="left"/>
      </w:pPr>
      <w:r w:rsidRPr="006C40C1">
        <w:t>2002/03:Fi286</w:t>
      </w:r>
      <w:r w:rsidRPr="006C40C1">
        <w:tab/>
        <w:t>Maud Olofsson m.fl. (c)</w:t>
      </w:r>
      <w:r w:rsidRPr="006C40C1">
        <w:tab/>
        <w:t>23</w:t>
      </w:r>
    </w:p>
    <w:p w:rsidR="00AA5D77" w:rsidRPr="006C40C1" w:rsidRDefault="00AA5D77">
      <w:pPr>
        <w:pStyle w:val="Normaltindrag"/>
        <w:tabs>
          <w:tab w:val="left" w:pos="1701"/>
          <w:tab w:val="left" w:pos="4962"/>
        </w:tabs>
        <w:ind w:firstLine="0"/>
        <w:jc w:val="left"/>
      </w:pPr>
      <w:r w:rsidRPr="006C40C1">
        <w:t>2002/03:Sk382</w:t>
      </w:r>
      <w:r w:rsidRPr="006C40C1">
        <w:tab/>
        <w:t>Lars Leijonborg m.fl. (fp)</w:t>
      </w:r>
      <w:r w:rsidRPr="006C40C1">
        <w:tab/>
        <w:t>22</w:t>
      </w:r>
    </w:p>
    <w:p w:rsidR="00AA5D77" w:rsidRPr="006C40C1" w:rsidRDefault="00AA5D77">
      <w:pPr>
        <w:pStyle w:val="Normaltindrag"/>
        <w:tabs>
          <w:tab w:val="left" w:pos="1701"/>
          <w:tab w:val="left" w:pos="4962"/>
        </w:tabs>
        <w:ind w:firstLine="0"/>
        <w:jc w:val="left"/>
      </w:pPr>
      <w:r w:rsidRPr="006C40C1">
        <w:t>2002/03:Sk417</w:t>
      </w:r>
      <w:r w:rsidRPr="006C40C1">
        <w:tab/>
        <w:t>Lennart Hedquist m.fl. (m)</w:t>
      </w:r>
      <w:r w:rsidRPr="006C40C1">
        <w:tab/>
        <w:t>14, 15</w:t>
      </w:r>
    </w:p>
    <w:p w:rsidR="00AA5D77" w:rsidRPr="006C40C1" w:rsidRDefault="00AA5D77">
      <w:pPr>
        <w:pStyle w:val="Normaltindrag"/>
        <w:tabs>
          <w:tab w:val="left" w:pos="1701"/>
          <w:tab w:val="left" w:pos="4962"/>
        </w:tabs>
        <w:ind w:firstLine="0"/>
        <w:jc w:val="left"/>
        <w:rPr>
          <w:i/>
        </w:rPr>
      </w:pPr>
    </w:p>
    <w:p w:rsidR="00AA5D77" w:rsidRPr="006C40C1" w:rsidRDefault="00AA5D77">
      <w:pPr>
        <w:pStyle w:val="Normaltindrag"/>
        <w:tabs>
          <w:tab w:val="left" w:pos="1701"/>
          <w:tab w:val="left" w:pos="4962"/>
        </w:tabs>
        <w:ind w:firstLine="0"/>
        <w:jc w:val="left"/>
        <w:rPr>
          <w:i/>
        </w:rPr>
      </w:pPr>
      <w:r w:rsidRPr="006C40C1">
        <w:rPr>
          <w:i/>
        </w:rPr>
        <w:tab/>
        <w:t>Skatt på royalty</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27</w:t>
      </w:r>
    </w:p>
    <w:p w:rsidR="00AA5D77" w:rsidRPr="006C40C1" w:rsidRDefault="00AA5D77">
      <w:pPr>
        <w:pStyle w:val="Normaltindrag"/>
        <w:tabs>
          <w:tab w:val="left" w:pos="1701"/>
          <w:tab w:val="left" w:pos="4962"/>
        </w:tabs>
        <w:ind w:firstLine="0"/>
        <w:jc w:val="left"/>
      </w:pPr>
      <w:r w:rsidRPr="006C40C1">
        <w:t>2002/03:Sk383</w:t>
      </w:r>
      <w:r w:rsidRPr="006C40C1">
        <w:tab/>
        <w:t>Per Landgren m.fl. (kd)</w:t>
      </w:r>
      <w:r w:rsidRPr="006C40C1">
        <w:tab/>
        <w:t>12</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Punkt 5 k</w:t>
      </w:r>
      <w:r w:rsidRPr="006C40C1">
        <w:rPr>
          <w:i/>
        </w:rPr>
        <w:tab/>
        <w:t>Förändrade nivåer för socialavgifter</w:t>
      </w:r>
    </w:p>
    <w:p w:rsidR="00AA5D77" w:rsidRPr="006C40C1" w:rsidRDefault="00AA5D77">
      <w:pPr>
        <w:pStyle w:val="Normaltindrag"/>
        <w:tabs>
          <w:tab w:val="left" w:pos="1701"/>
          <w:tab w:val="left" w:pos="4962"/>
        </w:tabs>
        <w:ind w:firstLine="0"/>
        <w:jc w:val="left"/>
        <w:rPr>
          <w:i/>
        </w:rPr>
      </w:pPr>
      <w:r w:rsidRPr="006C40C1">
        <w:rPr>
          <w:i/>
        </w:rPr>
        <w:tab/>
        <w:t>(prop. 2002/03:1 punkterna 28 och 29)</w:t>
      </w:r>
    </w:p>
    <w:p w:rsidR="00AA5D77" w:rsidRPr="006C40C1" w:rsidRDefault="00AA5D77">
      <w:pPr>
        <w:pStyle w:val="Normaltindrag"/>
        <w:tabs>
          <w:tab w:val="left" w:pos="1701"/>
          <w:tab w:val="left" w:pos="4962"/>
        </w:tabs>
        <w:ind w:firstLine="0"/>
        <w:jc w:val="left"/>
      </w:pPr>
      <w:r w:rsidRPr="006C40C1">
        <w:t>2002/03:Fi256</w:t>
      </w:r>
      <w:r w:rsidRPr="006C40C1">
        <w:tab/>
        <w:t>Alf  Svensson m.fl. (kd)</w:t>
      </w:r>
      <w:r w:rsidRPr="006C40C1">
        <w:tab/>
        <w:t>15, 16</w:t>
      </w:r>
    </w:p>
    <w:p w:rsidR="00AA5D77" w:rsidRPr="006C40C1" w:rsidRDefault="00AA5D77">
      <w:pPr>
        <w:pStyle w:val="Normaltindrag"/>
        <w:tabs>
          <w:tab w:val="left" w:pos="1701"/>
          <w:tab w:val="left" w:pos="4962"/>
        </w:tabs>
        <w:ind w:firstLine="0"/>
        <w:jc w:val="left"/>
      </w:pPr>
      <w:r w:rsidRPr="006C40C1">
        <w:t>2002/03:Fi286</w:t>
      </w:r>
      <w:r w:rsidRPr="006C40C1">
        <w:tab/>
        <w:t>Maud Olofsson m.fl. (c)</w:t>
      </w:r>
      <w:r w:rsidRPr="006C40C1">
        <w:tab/>
        <w:t>18–20</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39</w:t>
      </w:r>
    </w:p>
    <w:p w:rsidR="00AA5D77" w:rsidRPr="006C40C1" w:rsidRDefault="00AA5D77">
      <w:pPr>
        <w:pStyle w:val="Normaltindrag"/>
        <w:tabs>
          <w:tab w:val="left" w:pos="1701"/>
          <w:tab w:val="left" w:pos="4962"/>
        </w:tabs>
        <w:ind w:firstLine="0"/>
        <w:jc w:val="left"/>
      </w:pPr>
      <w:r w:rsidRPr="006C40C1">
        <w:t>2002/03:Sk382</w:t>
      </w:r>
      <w:r w:rsidRPr="006C40C1">
        <w:tab/>
        <w:t>Lars Leijonborg m.fl. (fp)</w:t>
      </w:r>
      <w:r w:rsidRPr="006C40C1">
        <w:tab/>
        <w:t>25</w:t>
      </w:r>
    </w:p>
    <w:p w:rsidR="00AA5D77" w:rsidRPr="006C40C1" w:rsidRDefault="00AA5D77">
      <w:pPr>
        <w:pStyle w:val="Normaltindrag"/>
        <w:tabs>
          <w:tab w:val="left" w:pos="1701"/>
          <w:tab w:val="left" w:pos="4962"/>
        </w:tabs>
        <w:ind w:firstLine="0"/>
        <w:jc w:val="left"/>
      </w:pPr>
      <w:r w:rsidRPr="006C40C1">
        <w:t>2002/03:Sk383</w:t>
      </w:r>
      <w:r w:rsidRPr="006C40C1">
        <w:tab/>
        <w:t>Per Landgren m.fl. (kd)</w:t>
      </w:r>
      <w:r w:rsidRPr="006C40C1">
        <w:tab/>
        <w:t>5</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ab/>
        <w:t>Fastighetsskatt</w:t>
      </w:r>
    </w:p>
    <w:p w:rsidR="00AA5D77" w:rsidRPr="006C40C1" w:rsidRDefault="00AA5D77">
      <w:pPr>
        <w:pStyle w:val="Normaltindrag"/>
        <w:tabs>
          <w:tab w:val="left" w:pos="1701"/>
          <w:tab w:val="left" w:pos="4962"/>
        </w:tabs>
        <w:ind w:firstLine="0"/>
        <w:jc w:val="left"/>
      </w:pPr>
      <w:r w:rsidRPr="006C40C1">
        <w:t>2002/03:Fi245</w:t>
      </w:r>
      <w:r w:rsidRPr="006C40C1">
        <w:tab/>
        <w:t>Karin Enström (m)</w:t>
      </w:r>
      <w:r w:rsidRPr="006C40C1">
        <w:tab/>
        <w:t>1</w:t>
      </w:r>
    </w:p>
    <w:p w:rsidR="00AA5D77" w:rsidRPr="006C40C1" w:rsidRDefault="00AA5D77">
      <w:pPr>
        <w:pStyle w:val="Normaltindrag"/>
        <w:tabs>
          <w:tab w:val="left" w:pos="1701"/>
          <w:tab w:val="left" w:pos="4962"/>
        </w:tabs>
        <w:ind w:firstLine="0"/>
        <w:jc w:val="left"/>
      </w:pPr>
      <w:r w:rsidRPr="006C40C1">
        <w:t>2002/03:Fi254</w:t>
      </w:r>
      <w:r w:rsidRPr="006C40C1">
        <w:tab/>
        <w:t>Per Landgren m.fl. (kd)</w:t>
      </w:r>
      <w:r w:rsidRPr="006C40C1">
        <w:tab/>
        <w:t>1–3</w:t>
      </w:r>
    </w:p>
    <w:p w:rsidR="00AA5D77" w:rsidRPr="006C40C1" w:rsidRDefault="00AA5D77">
      <w:pPr>
        <w:pStyle w:val="Normaltindrag"/>
        <w:tabs>
          <w:tab w:val="left" w:pos="1701"/>
          <w:tab w:val="left" w:pos="4962"/>
        </w:tabs>
        <w:ind w:firstLine="0"/>
        <w:jc w:val="left"/>
      </w:pPr>
      <w:r w:rsidRPr="006C40C1">
        <w:t>2002/03:Fi256</w:t>
      </w:r>
      <w:r w:rsidRPr="006C40C1">
        <w:tab/>
        <w:t>Alf  Svensson m.fl. (kd)</w:t>
      </w:r>
      <w:r w:rsidRPr="006C40C1">
        <w:tab/>
        <w:t>13, 14</w:t>
      </w:r>
    </w:p>
    <w:p w:rsidR="00AA5D77" w:rsidRPr="006C40C1" w:rsidRDefault="00AA5D77">
      <w:pPr>
        <w:pStyle w:val="Normaltindrag"/>
        <w:tabs>
          <w:tab w:val="left" w:pos="1701"/>
          <w:tab w:val="left" w:pos="4962"/>
        </w:tabs>
        <w:ind w:firstLine="0"/>
        <w:jc w:val="left"/>
      </w:pPr>
      <w:r w:rsidRPr="006C40C1">
        <w:t>2002/03:Fi286</w:t>
      </w:r>
      <w:r w:rsidRPr="006C40C1">
        <w:tab/>
        <w:t>Maud Olofsson m.fl. (c)</w:t>
      </w:r>
      <w:r w:rsidRPr="006C40C1">
        <w:tab/>
        <w:t>9, 11</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18 (i denna</w:t>
      </w:r>
    </w:p>
    <w:p w:rsidR="00AA5D77" w:rsidRPr="006C40C1" w:rsidRDefault="00AA5D77">
      <w:pPr>
        <w:pStyle w:val="Normaltindrag"/>
        <w:tabs>
          <w:tab w:val="left" w:pos="1701"/>
          <w:tab w:val="left" w:pos="4962"/>
        </w:tabs>
        <w:ind w:firstLine="0"/>
        <w:jc w:val="left"/>
      </w:pPr>
      <w:r w:rsidRPr="006C40C1">
        <w:tab/>
      </w:r>
      <w:r w:rsidRPr="006C40C1">
        <w:tab/>
        <w:t>del), 19, 21</w:t>
      </w:r>
    </w:p>
    <w:p w:rsidR="00AA5D77" w:rsidRPr="006C40C1" w:rsidRDefault="00AA5D77">
      <w:pPr>
        <w:pStyle w:val="Normaltindrag"/>
        <w:tabs>
          <w:tab w:val="left" w:pos="1701"/>
          <w:tab w:val="left" w:pos="4962"/>
        </w:tabs>
        <w:ind w:firstLine="0"/>
        <w:jc w:val="left"/>
      </w:pPr>
      <w:r w:rsidRPr="006C40C1">
        <w:t>2002/03:Sk382</w:t>
      </w:r>
      <w:r w:rsidRPr="006C40C1">
        <w:tab/>
        <w:t>Lars Leijonborg m.fl. (fp)</w:t>
      </w:r>
      <w:r w:rsidRPr="006C40C1">
        <w:tab/>
        <w:t>8–10</w:t>
      </w:r>
    </w:p>
    <w:p w:rsidR="00AA5D77" w:rsidRPr="006C40C1" w:rsidRDefault="00AA5D77">
      <w:pPr>
        <w:pStyle w:val="Normaltindrag"/>
        <w:tabs>
          <w:tab w:val="left" w:pos="1701"/>
          <w:tab w:val="left" w:pos="4962"/>
        </w:tabs>
        <w:ind w:firstLine="0"/>
        <w:jc w:val="left"/>
      </w:pPr>
      <w:r w:rsidRPr="006C40C1">
        <w:t>2002/03:Bo216</w:t>
      </w:r>
      <w:r w:rsidRPr="006C40C1">
        <w:tab/>
        <w:t>Annelie Enochson (kd)</w:t>
      </w:r>
      <w:r w:rsidRPr="006C40C1">
        <w:tab/>
        <w:t>6</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ab/>
        <w:t>Förmögenhetsskatt</w:t>
      </w:r>
    </w:p>
    <w:p w:rsidR="00AA5D77" w:rsidRPr="006C40C1" w:rsidRDefault="00AA5D77">
      <w:pPr>
        <w:pStyle w:val="Normaltindrag"/>
        <w:tabs>
          <w:tab w:val="left" w:pos="1701"/>
          <w:tab w:val="left" w:pos="4962"/>
        </w:tabs>
        <w:ind w:firstLine="0"/>
        <w:jc w:val="left"/>
      </w:pPr>
      <w:r w:rsidRPr="006C40C1">
        <w:t>2002/03:Fi245</w:t>
      </w:r>
      <w:r w:rsidRPr="006C40C1">
        <w:tab/>
        <w:t>Karin Enström (m)</w:t>
      </w:r>
      <w:r w:rsidRPr="006C40C1">
        <w:tab/>
        <w:t>2</w:t>
      </w:r>
    </w:p>
    <w:p w:rsidR="00AA5D77" w:rsidRPr="006C40C1" w:rsidRDefault="00AA5D77">
      <w:pPr>
        <w:pStyle w:val="Normaltindrag"/>
        <w:tabs>
          <w:tab w:val="left" w:pos="1701"/>
          <w:tab w:val="left" w:pos="4962"/>
        </w:tabs>
        <w:ind w:firstLine="0"/>
        <w:jc w:val="left"/>
      </w:pPr>
      <w:r w:rsidRPr="006C40C1">
        <w:t>2002/03:Fi256</w:t>
      </w:r>
      <w:r w:rsidRPr="006C40C1">
        <w:tab/>
        <w:t>Alf  Svensson m.fl. (kd)</w:t>
      </w:r>
      <w:r w:rsidRPr="006C40C1">
        <w:tab/>
        <w:t>21, 22</w:t>
      </w:r>
    </w:p>
    <w:p w:rsidR="00AA5D77" w:rsidRPr="006C40C1" w:rsidRDefault="00AA5D77">
      <w:pPr>
        <w:pStyle w:val="Normaltindrag"/>
        <w:tabs>
          <w:tab w:val="left" w:pos="1701"/>
          <w:tab w:val="left" w:pos="4962"/>
        </w:tabs>
        <w:ind w:firstLine="0"/>
        <w:jc w:val="left"/>
      </w:pPr>
      <w:r w:rsidRPr="006C40C1">
        <w:t>2002/03:Fi286</w:t>
      </w:r>
      <w:r w:rsidRPr="006C40C1">
        <w:tab/>
        <w:t>Maud Olofsson m.fl. (c)</w:t>
      </w:r>
      <w:r w:rsidRPr="006C40C1">
        <w:tab/>
        <w:t>13, 14</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18 (i denna</w:t>
      </w:r>
    </w:p>
    <w:p w:rsidR="00AA5D77" w:rsidRPr="006C40C1" w:rsidRDefault="00AA5D77">
      <w:pPr>
        <w:pStyle w:val="Normaltindrag"/>
        <w:tabs>
          <w:tab w:val="left" w:pos="1701"/>
          <w:tab w:val="left" w:pos="4962"/>
        </w:tabs>
        <w:ind w:firstLine="0"/>
        <w:jc w:val="left"/>
      </w:pPr>
      <w:r w:rsidRPr="006C40C1">
        <w:tab/>
      </w:r>
      <w:r w:rsidRPr="006C40C1">
        <w:tab/>
        <w:t>del), 22–24</w:t>
      </w:r>
    </w:p>
    <w:p w:rsidR="00AA5D77" w:rsidRPr="006C40C1" w:rsidRDefault="00AA5D77">
      <w:pPr>
        <w:pStyle w:val="Normaltindrag"/>
        <w:tabs>
          <w:tab w:val="left" w:pos="1701"/>
          <w:tab w:val="left" w:pos="4962"/>
        </w:tabs>
        <w:ind w:firstLine="0"/>
        <w:jc w:val="left"/>
      </w:pPr>
      <w:r w:rsidRPr="006C40C1">
        <w:t>2002/03:Sk382</w:t>
      </w:r>
      <w:r w:rsidRPr="006C40C1">
        <w:tab/>
        <w:t>Lars Leijonborg m.fl. (fp)</w:t>
      </w:r>
      <w:r w:rsidRPr="006C40C1">
        <w:tab/>
        <w:t>11, 12</w:t>
      </w:r>
    </w:p>
    <w:p w:rsidR="00AA5D77" w:rsidRPr="006C40C1" w:rsidRDefault="00AA5D77">
      <w:pPr>
        <w:pStyle w:val="Normaltindrag"/>
        <w:tabs>
          <w:tab w:val="left" w:pos="1701"/>
          <w:tab w:val="left" w:pos="4962"/>
        </w:tabs>
        <w:ind w:firstLine="0"/>
        <w:jc w:val="left"/>
      </w:pPr>
      <w:r w:rsidRPr="006C40C1">
        <w:t>2002/03:Sk383</w:t>
      </w:r>
      <w:r w:rsidRPr="006C40C1">
        <w:tab/>
        <w:t>Per Landgren m.fl. (kd)</w:t>
      </w:r>
      <w:r w:rsidRPr="006C40C1">
        <w:tab/>
        <w:t>3</w:t>
      </w:r>
    </w:p>
    <w:p w:rsidR="00AA5D77" w:rsidRPr="006C40C1" w:rsidRDefault="00AA5D77">
      <w:pPr>
        <w:pStyle w:val="Normaltindrag"/>
        <w:tabs>
          <w:tab w:val="left" w:pos="1701"/>
          <w:tab w:val="left" w:pos="4962"/>
        </w:tabs>
        <w:ind w:firstLine="0"/>
        <w:jc w:val="left"/>
      </w:pPr>
      <w:r w:rsidRPr="006C40C1">
        <w:t>2002/03:A315</w:t>
      </w:r>
      <w:r w:rsidRPr="006C40C1">
        <w:tab/>
        <w:t>Anders G Högmark m.fl. (m)</w:t>
      </w:r>
      <w:r w:rsidRPr="006C40C1">
        <w:tab/>
        <w:t>2</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ab/>
        <w:t>Skattelättnad för studentbostäder och</w:t>
      </w:r>
    </w:p>
    <w:p w:rsidR="00AA5D77" w:rsidRPr="006C40C1" w:rsidRDefault="00AA5D77">
      <w:pPr>
        <w:pStyle w:val="Normaltindrag"/>
        <w:tabs>
          <w:tab w:val="left" w:pos="1701"/>
          <w:tab w:val="left" w:pos="4962"/>
        </w:tabs>
        <w:ind w:firstLine="0"/>
        <w:jc w:val="left"/>
        <w:rPr>
          <w:i/>
        </w:rPr>
      </w:pPr>
      <w:r w:rsidRPr="006C40C1">
        <w:rPr>
          <w:i/>
        </w:rPr>
        <w:tab/>
        <w:t>äldrebostäder</w:t>
      </w:r>
    </w:p>
    <w:p w:rsidR="00AA5D77" w:rsidRPr="006C40C1" w:rsidRDefault="00AA5D77">
      <w:pPr>
        <w:pStyle w:val="Normaltindrag"/>
        <w:tabs>
          <w:tab w:val="left" w:pos="1701"/>
          <w:tab w:val="left" w:pos="4962"/>
        </w:tabs>
        <w:ind w:firstLine="0"/>
        <w:jc w:val="left"/>
      </w:pPr>
      <w:r w:rsidRPr="006C40C1">
        <w:t>2002/03:Fi256</w:t>
      </w:r>
      <w:r w:rsidRPr="006C40C1">
        <w:tab/>
        <w:t>Alf  Svensson m.fl. (kd)</w:t>
      </w:r>
      <w:r w:rsidRPr="006C40C1">
        <w:tab/>
        <w:t>26</w:t>
      </w:r>
    </w:p>
    <w:p w:rsidR="00AA5D77" w:rsidRPr="006C40C1" w:rsidRDefault="00AA5D77">
      <w:pPr>
        <w:pStyle w:val="Normaltindrag"/>
        <w:tabs>
          <w:tab w:val="left" w:pos="1701"/>
          <w:tab w:val="left" w:pos="4962"/>
        </w:tabs>
        <w:ind w:firstLine="0"/>
        <w:jc w:val="left"/>
      </w:pPr>
      <w:r w:rsidRPr="006C40C1">
        <w:t>2002/03:Fi286</w:t>
      </w:r>
      <w:r w:rsidRPr="006C40C1">
        <w:tab/>
        <w:t>Maud Olofsson m.fl. (c)</w:t>
      </w:r>
      <w:r w:rsidRPr="006C40C1">
        <w:tab/>
        <w:t>15</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ab/>
        <w:t xml:space="preserve">Sänkt mervärdesskatt på böcker och </w:t>
      </w:r>
    </w:p>
    <w:p w:rsidR="00AA5D77" w:rsidRPr="006C40C1" w:rsidRDefault="00AA5D77">
      <w:pPr>
        <w:pStyle w:val="Normaltindrag"/>
        <w:tabs>
          <w:tab w:val="left" w:pos="1701"/>
          <w:tab w:val="left" w:pos="4962"/>
        </w:tabs>
        <w:ind w:firstLine="0"/>
        <w:jc w:val="left"/>
        <w:rPr>
          <w:i/>
        </w:rPr>
      </w:pPr>
      <w:r w:rsidRPr="006C40C1">
        <w:rPr>
          <w:i/>
        </w:rPr>
        <w:tab/>
        <w:t>tidskrifter</w:t>
      </w:r>
    </w:p>
    <w:p w:rsidR="00AA5D77" w:rsidRPr="006C40C1" w:rsidRDefault="00AA5D77">
      <w:pPr>
        <w:pStyle w:val="Normaltindrag"/>
        <w:tabs>
          <w:tab w:val="left" w:pos="1701"/>
          <w:tab w:val="left" w:pos="4962"/>
        </w:tabs>
        <w:ind w:firstLine="0"/>
        <w:jc w:val="left"/>
      </w:pPr>
      <w:r w:rsidRPr="006C40C1">
        <w:t>2002/03:Fi256</w:t>
      </w:r>
      <w:r w:rsidRPr="006C40C1">
        <w:tab/>
        <w:t>Alf  Svensson m.fl. (kd)</w:t>
      </w:r>
      <w:r w:rsidRPr="006C40C1">
        <w:tab/>
        <w:t>27, 29</w:t>
      </w:r>
    </w:p>
    <w:p w:rsidR="00AA5D77" w:rsidRPr="006C40C1" w:rsidRDefault="00AA5D77">
      <w:pPr>
        <w:pStyle w:val="Normaltindrag"/>
        <w:tabs>
          <w:tab w:val="left" w:pos="1701"/>
          <w:tab w:val="left" w:pos="4962"/>
        </w:tabs>
        <w:ind w:firstLine="0"/>
        <w:jc w:val="left"/>
      </w:pPr>
      <w:r w:rsidRPr="006C40C1">
        <w:t>2002/03:Fi286</w:t>
      </w:r>
      <w:r w:rsidRPr="006C40C1">
        <w:tab/>
        <w:t>Maud Olofsson m.fl. (c)</w:t>
      </w:r>
      <w:r w:rsidRPr="006C40C1">
        <w:tab/>
        <w:t>31</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Punkt 5 l</w:t>
      </w:r>
      <w:r w:rsidRPr="006C40C1">
        <w:rPr>
          <w:i/>
        </w:rPr>
        <w:tab/>
        <w:t>Skatt på lågpriscigaretter</w:t>
      </w:r>
    </w:p>
    <w:p w:rsidR="00AA5D77" w:rsidRPr="006C40C1" w:rsidRDefault="00AA5D77">
      <w:pPr>
        <w:pStyle w:val="Normaltindrag"/>
        <w:tabs>
          <w:tab w:val="left" w:pos="1701"/>
          <w:tab w:val="left" w:pos="4962"/>
        </w:tabs>
        <w:ind w:firstLine="0"/>
        <w:jc w:val="left"/>
        <w:rPr>
          <w:i/>
        </w:rPr>
      </w:pPr>
      <w:r w:rsidRPr="006C40C1">
        <w:rPr>
          <w:i/>
        </w:rPr>
        <w:tab/>
        <w:t>(prop. 2002/03:1 punkt 36)</w:t>
      </w:r>
    </w:p>
    <w:p w:rsidR="00AA5D77" w:rsidRPr="006C40C1" w:rsidRDefault="00AA5D77">
      <w:pPr>
        <w:pStyle w:val="Normaltindrag"/>
        <w:tabs>
          <w:tab w:val="left" w:pos="1701"/>
          <w:tab w:val="left" w:pos="4962"/>
        </w:tabs>
        <w:ind w:firstLine="0"/>
        <w:jc w:val="left"/>
      </w:pPr>
      <w:r w:rsidRPr="006C40C1">
        <w:t>2002/03:Sk397</w:t>
      </w:r>
      <w:r w:rsidRPr="006C40C1">
        <w:tab/>
        <w:t>Ragnwi Marcelind (kd)</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tab/>
      </w:r>
      <w:r w:rsidRPr="006C40C1">
        <w:rPr>
          <w:i/>
        </w:rPr>
        <w:t>Skatt på alkoholdrycker</w:t>
      </w:r>
    </w:p>
    <w:p w:rsidR="00AA5D77" w:rsidRPr="006C40C1" w:rsidRDefault="00AA5D77">
      <w:pPr>
        <w:pStyle w:val="Normaltindrag"/>
        <w:tabs>
          <w:tab w:val="left" w:pos="1701"/>
          <w:tab w:val="left" w:pos="4962"/>
        </w:tabs>
        <w:ind w:firstLine="0"/>
        <w:jc w:val="left"/>
      </w:pPr>
      <w:r w:rsidRPr="006C40C1">
        <w:t>2002/03:Fi207</w:t>
      </w:r>
      <w:r w:rsidRPr="006C40C1">
        <w:tab/>
        <w:t>Lennart Hedquist m.fl. (m)</w:t>
      </w:r>
      <w:r w:rsidRPr="006C40C1">
        <w:tab/>
        <w:t>1–4</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30–32</w:t>
      </w:r>
    </w:p>
    <w:p w:rsidR="00AA5D77" w:rsidRPr="006C40C1" w:rsidRDefault="00AA5D77">
      <w:pPr>
        <w:pStyle w:val="Normaltindrag"/>
        <w:tabs>
          <w:tab w:val="left" w:pos="1701"/>
          <w:tab w:val="left" w:pos="4962"/>
        </w:tabs>
        <w:ind w:firstLine="0"/>
        <w:jc w:val="left"/>
        <w:rPr>
          <w:i/>
        </w:rPr>
      </w:pPr>
    </w:p>
    <w:p w:rsidR="00AA5D77" w:rsidRPr="006C40C1" w:rsidRDefault="00AA5D77">
      <w:pPr>
        <w:pStyle w:val="Normaltindrag"/>
        <w:tabs>
          <w:tab w:val="left" w:pos="1701"/>
          <w:tab w:val="left" w:pos="4962"/>
        </w:tabs>
        <w:ind w:firstLine="0"/>
        <w:jc w:val="left"/>
        <w:rPr>
          <w:i/>
        </w:rPr>
      </w:pPr>
      <w:r w:rsidRPr="006C40C1">
        <w:rPr>
          <w:i/>
        </w:rPr>
        <w:t>Punkt 5 n</w:t>
      </w:r>
      <w:r w:rsidRPr="006C40C1">
        <w:rPr>
          <w:i/>
        </w:rPr>
        <w:tab/>
        <w:t>En fortsatt grön skatteväxling – höjd</w:t>
      </w:r>
    </w:p>
    <w:p w:rsidR="00AA5D77" w:rsidRPr="006C40C1" w:rsidRDefault="00AA5D77">
      <w:pPr>
        <w:pStyle w:val="Normaltindrag"/>
        <w:tabs>
          <w:tab w:val="left" w:pos="1701"/>
          <w:tab w:val="left" w:pos="4962"/>
        </w:tabs>
        <w:ind w:firstLine="0"/>
        <w:jc w:val="left"/>
        <w:rPr>
          <w:i/>
        </w:rPr>
      </w:pPr>
      <w:r w:rsidRPr="006C40C1">
        <w:rPr>
          <w:i/>
        </w:rPr>
        <w:tab/>
        <w:t>koldioxidskatt och elskatt</w:t>
      </w:r>
    </w:p>
    <w:p w:rsidR="00AA5D77" w:rsidRPr="006C40C1" w:rsidRDefault="00AA5D77">
      <w:pPr>
        <w:pStyle w:val="Normaltindrag"/>
        <w:tabs>
          <w:tab w:val="left" w:pos="1701"/>
          <w:tab w:val="left" w:pos="4962"/>
        </w:tabs>
        <w:ind w:firstLine="0"/>
        <w:jc w:val="left"/>
        <w:rPr>
          <w:i/>
        </w:rPr>
      </w:pPr>
      <w:r w:rsidRPr="006C40C1">
        <w:tab/>
      </w:r>
      <w:r w:rsidRPr="006C40C1">
        <w:rPr>
          <w:i/>
        </w:rPr>
        <w:t>(prop. 2002/03:1 punkt 33 i denna del)</w:t>
      </w:r>
    </w:p>
    <w:p w:rsidR="00AA5D77" w:rsidRPr="006C40C1" w:rsidRDefault="00AA5D77">
      <w:pPr>
        <w:pStyle w:val="Normaltindrag"/>
        <w:tabs>
          <w:tab w:val="left" w:pos="1701"/>
          <w:tab w:val="left" w:pos="4962"/>
        </w:tabs>
        <w:ind w:firstLine="0"/>
        <w:jc w:val="left"/>
      </w:pPr>
      <w:r w:rsidRPr="006C40C1">
        <w:t>2002/03:Fi256</w:t>
      </w:r>
      <w:r w:rsidRPr="006C40C1">
        <w:tab/>
        <w:t>Alf  Svensson m.fl. (kd)</w:t>
      </w:r>
      <w:r w:rsidRPr="006C40C1">
        <w:tab/>
        <w:t>32</w:t>
      </w:r>
    </w:p>
    <w:p w:rsidR="00AA5D77" w:rsidRPr="006C40C1" w:rsidRDefault="00AA5D77">
      <w:pPr>
        <w:pStyle w:val="Normaltindrag"/>
        <w:tabs>
          <w:tab w:val="left" w:pos="1701"/>
          <w:tab w:val="left" w:pos="4962"/>
        </w:tabs>
        <w:ind w:firstLine="0"/>
        <w:jc w:val="left"/>
      </w:pPr>
      <w:r w:rsidRPr="006C40C1">
        <w:t>2002/03:Fi286</w:t>
      </w:r>
      <w:r w:rsidRPr="006C40C1">
        <w:tab/>
        <w:t>Maud Olofsson m.fl. (c)</w:t>
      </w:r>
      <w:r w:rsidRPr="006C40C1">
        <w:tab/>
        <w:t>25, 26</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12, 13</w:t>
      </w:r>
    </w:p>
    <w:p w:rsidR="00AA5D77" w:rsidRPr="006C40C1" w:rsidRDefault="00AA5D77">
      <w:pPr>
        <w:pStyle w:val="Normaltindrag"/>
        <w:tabs>
          <w:tab w:val="left" w:pos="1701"/>
          <w:tab w:val="left" w:pos="4962"/>
        </w:tabs>
        <w:ind w:firstLine="0"/>
        <w:jc w:val="left"/>
      </w:pPr>
      <w:r w:rsidRPr="006C40C1">
        <w:t>2002/03:N301</w:t>
      </w:r>
      <w:r w:rsidRPr="006C40C1">
        <w:tab/>
        <w:t>Mikael Odenberg m.fl. (m)</w:t>
      </w:r>
      <w:r w:rsidRPr="006C40C1">
        <w:tab/>
        <w:t>9</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Punkt 5 o</w:t>
      </w:r>
      <w:r w:rsidRPr="006C40C1">
        <w:rPr>
          <w:i/>
        </w:rPr>
        <w:tab/>
        <w:t>Kraftvärmebeskattningen</w:t>
      </w:r>
    </w:p>
    <w:p w:rsidR="00AA5D77" w:rsidRPr="006C40C1" w:rsidRDefault="00AA5D77">
      <w:pPr>
        <w:pStyle w:val="Normaltindrag"/>
        <w:tabs>
          <w:tab w:val="left" w:pos="1701"/>
          <w:tab w:val="left" w:pos="4962"/>
        </w:tabs>
        <w:ind w:firstLine="0"/>
        <w:jc w:val="left"/>
        <w:rPr>
          <w:i/>
        </w:rPr>
      </w:pPr>
      <w:r w:rsidRPr="006C40C1">
        <w:rPr>
          <w:i/>
        </w:rPr>
        <w:tab/>
        <w:t>(prop. 2002/03:1 punkt 33 i denna del)</w:t>
      </w:r>
    </w:p>
    <w:p w:rsidR="00AA5D77" w:rsidRPr="006C40C1" w:rsidRDefault="00AA5D77">
      <w:pPr>
        <w:pStyle w:val="Normaltindrag"/>
        <w:tabs>
          <w:tab w:val="left" w:pos="1701"/>
          <w:tab w:val="left" w:pos="4962"/>
        </w:tabs>
        <w:ind w:firstLine="0"/>
        <w:jc w:val="left"/>
      </w:pPr>
      <w:r w:rsidRPr="006C40C1">
        <w:t>2002/03:N394</w:t>
      </w:r>
      <w:r w:rsidRPr="006C40C1">
        <w:tab/>
        <w:t>Åsa Torstensson m.fl. (c)</w:t>
      </w:r>
      <w:r w:rsidRPr="006C40C1">
        <w:tab/>
        <w:t>2</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ab/>
        <w:t>Beskattning av alternativa drivmedel</w:t>
      </w:r>
    </w:p>
    <w:p w:rsidR="00AA5D77" w:rsidRPr="006C40C1" w:rsidRDefault="00AA5D77">
      <w:pPr>
        <w:pStyle w:val="Normaltindrag"/>
        <w:tabs>
          <w:tab w:val="left" w:pos="1701"/>
          <w:tab w:val="left" w:pos="4962"/>
        </w:tabs>
        <w:ind w:firstLine="0"/>
        <w:jc w:val="left"/>
      </w:pPr>
      <w:r w:rsidRPr="006C40C1">
        <w:t>2002/03:Fi256</w:t>
      </w:r>
      <w:r w:rsidRPr="006C40C1">
        <w:tab/>
        <w:t>Alf  Svensson m.fl. (kd)</w:t>
      </w:r>
      <w:r w:rsidRPr="006C40C1">
        <w:tab/>
        <w:t>30, 31</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ab/>
        <w:t>Skatt på drivmedel</w:t>
      </w:r>
    </w:p>
    <w:p w:rsidR="00AA5D77" w:rsidRPr="006C40C1" w:rsidRDefault="00AA5D77">
      <w:pPr>
        <w:pStyle w:val="Normaltindrag"/>
        <w:tabs>
          <w:tab w:val="left" w:pos="1701"/>
          <w:tab w:val="left" w:pos="4962"/>
        </w:tabs>
        <w:ind w:firstLine="0"/>
        <w:jc w:val="left"/>
      </w:pPr>
      <w:r w:rsidRPr="006C40C1">
        <w:t>2002/03:Fi227</w:t>
      </w:r>
      <w:r w:rsidRPr="006C40C1">
        <w:tab/>
        <w:t>Ulla Löfgren och Elizabeth Nyström (m)</w:t>
      </w:r>
      <w:r w:rsidRPr="006C40C1">
        <w:tab/>
      </w:r>
    </w:p>
    <w:p w:rsidR="00AA5D77" w:rsidRPr="006C40C1" w:rsidRDefault="00AA5D77">
      <w:pPr>
        <w:pStyle w:val="Normaltindrag"/>
        <w:tabs>
          <w:tab w:val="left" w:pos="1701"/>
          <w:tab w:val="left" w:pos="4962"/>
        </w:tabs>
        <w:ind w:firstLine="0"/>
        <w:jc w:val="left"/>
      </w:pPr>
      <w:r w:rsidRPr="006C40C1">
        <w:t>2002/03:Fi256</w:t>
      </w:r>
      <w:r w:rsidRPr="006C40C1">
        <w:tab/>
        <w:t>Alf  Svensson m.fl. (kd)</w:t>
      </w:r>
      <w:r w:rsidRPr="006C40C1">
        <w:tab/>
        <w:t>17, 18</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14</w:t>
      </w:r>
    </w:p>
    <w:p w:rsidR="00AA5D77" w:rsidRPr="006C40C1" w:rsidRDefault="00AA5D77">
      <w:pPr>
        <w:pStyle w:val="Normaltindrag"/>
        <w:tabs>
          <w:tab w:val="left" w:pos="1701"/>
          <w:tab w:val="left" w:pos="4962"/>
        </w:tabs>
        <w:ind w:firstLine="0"/>
        <w:jc w:val="left"/>
      </w:pPr>
      <w:r w:rsidRPr="006C40C1">
        <w:t>2002/03:Sk383</w:t>
      </w:r>
      <w:r w:rsidRPr="006C40C1">
        <w:tab/>
        <w:t>Per Landgren m.fl. (kd)</w:t>
      </w:r>
      <w:r w:rsidRPr="006C40C1">
        <w:tab/>
        <w:t>8, 9</w:t>
      </w:r>
    </w:p>
    <w:p w:rsidR="00AA5D77" w:rsidRPr="006C40C1" w:rsidRDefault="00AA5D77">
      <w:pPr>
        <w:pStyle w:val="Normaltindrag"/>
        <w:tabs>
          <w:tab w:val="left" w:pos="1701"/>
          <w:tab w:val="left" w:pos="4962"/>
        </w:tabs>
        <w:ind w:firstLine="0"/>
        <w:jc w:val="left"/>
      </w:pPr>
      <w:r w:rsidRPr="006C40C1">
        <w:t>2002/03:MJ377</w:t>
      </w:r>
      <w:r w:rsidRPr="006C40C1">
        <w:tab/>
        <w:t>Lars Gustafsson m.fl. (kd)</w:t>
      </w:r>
      <w:r w:rsidRPr="006C40C1">
        <w:tab/>
        <w:t>2</w:t>
      </w:r>
    </w:p>
    <w:p w:rsidR="00AA5D77" w:rsidRPr="006C40C1" w:rsidRDefault="00AA5D77">
      <w:pPr>
        <w:pStyle w:val="Normaltindrag"/>
        <w:tabs>
          <w:tab w:val="left" w:pos="1701"/>
          <w:tab w:val="left" w:pos="4962"/>
        </w:tabs>
        <w:ind w:firstLine="0"/>
        <w:jc w:val="left"/>
      </w:pPr>
      <w:r w:rsidRPr="006C40C1">
        <w:t>2002/03:N304</w:t>
      </w:r>
      <w:r w:rsidRPr="006C40C1">
        <w:tab/>
        <w:t>Mikael Odenberg m.fl. (m)</w:t>
      </w:r>
      <w:r w:rsidRPr="006C40C1">
        <w:tab/>
        <w:t>4 (i denna</w:t>
      </w:r>
    </w:p>
    <w:p w:rsidR="00AA5D77" w:rsidRPr="006C40C1" w:rsidRDefault="00AA5D77">
      <w:pPr>
        <w:pStyle w:val="Normaltindrag"/>
        <w:tabs>
          <w:tab w:val="left" w:pos="1701"/>
          <w:tab w:val="left" w:pos="4962"/>
        </w:tabs>
        <w:ind w:firstLine="0"/>
        <w:jc w:val="left"/>
      </w:pPr>
      <w:r w:rsidRPr="006C40C1">
        <w:tab/>
      </w:r>
      <w:r w:rsidRPr="006C40C1">
        <w:tab/>
        <w:t>del)</w:t>
      </w:r>
    </w:p>
    <w:p w:rsidR="00AA5D77" w:rsidRPr="006C40C1" w:rsidRDefault="00AA5D77">
      <w:pPr>
        <w:pStyle w:val="Normaltindrag"/>
        <w:tabs>
          <w:tab w:val="left" w:pos="1701"/>
          <w:tab w:val="left" w:pos="4962"/>
        </w:tabs>
        <w:ind w:firstLine="0"/>
        <w:jc w:val="left"/>
      </w:pPr>
      <w:r w:rsidRPr="006C40C1">
        <w:t>2002/03:N307</w:t>
      </w:r>
      <w:r w:rsidRPr="006C40C1">
        <w:tab/>
        <w:t>Sven Gunnar Persson m.fl. (kd)</w:t>
      </w:r>
      <w:r w:rsidRPr="006C40C1">
        <w:tab/>
        <w:t>3</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br w:type="page"/>
      </w:r>
      <w:r w:rsidRPr="006C40C1">
        <w:rPr>
          <w:i/>
        </w:rPr>
        <w:tab/>
        <w:t>Kärnkraftsproducerad el</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15, 16</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Punkt 5 q</w:t>
      </w:r>
      <w:r w:rsidRPr="006C40C1">
        <w:rPr>
          <w:i/>
        </w:rPr>
        <w:tab/>
        <w:t>Grön skatteväxling – höjd avfallsskatt</w:t>
      </w:r>
    </w:p>
    <w:p w:rsidR="00AA5D77" w:rsidRPr="006C40C1" w:rsidRDefault="00AA5D77">
      <w:pPr>
        <w:pStyle w:val="Normaltindrag"/>
        <w:tabs>
          <w:tab w:val="left" w:pos="1701"/>
          <w:tab w:val="left" w:pos="4962"/>
        </w:tabs>
        <w:ind w:firstLine="0"/>
        <w:jc w:val="left"/>
      </w:pPr>
      <w:r w:rsidRPr="006C40C1">
        <w:rPr>
          <w:i/>
        </w:rPr>
        <w:tab/>
        <w:t>(prop. 2002/03:1 punkt 34)</w:t>
      </w:r>
    </w:p>
    <w:p w:rsidR="00AA5D77" w:rsidRPr="006C40C1" w:rsidRDefault="00AA5D77">
      <w:pPr>
        <w:pStyle w:val="Normaltindrag"/>
        <w:tabs>
          <w:tab w:val="left" w:pos="1701"/>
          <w:tab w:val="left" w:pos="4962"/>
        </w:tabs>
        <w:ind w:firstLine="0"/>
        <w:jc w:val="left"/>
      </w:pPr>
      <w:r w:rsidRPr="006C40C1">
        <w:t>2002/03:Fi286</w:t>
      </w:r>
      <w:r w:rsidRPr="006C40C1">
        <w:tab/>
        <w:t>Maud Olofsson m.fl. (c)</w:t>
      </w:r>
      <w:r w:rsidRPr="006C40C1">
        <w:tab/>
        <w:t>27</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Punkt 5 r</w:t>
      </w:r>
      <w:r w:rsidRPr="006C40C1">
        <w:rPr>
          <w:i/>
        </w:rPr>
        <w:tab/>
        <w:t>Grön skatteväxling – höjd naturgrusskatt</w:t>
      </w:r>
    </w:p>
    <w:p w:rsidR="00AA5D77" w:rsidRPr="006C40C1" w:rsidRDefault="00AA5D77">
      <w:pPr>
        <w:pStyle w:val="Normaltindrag"/>
        <w:tabs>
          <w:tab w:val="left" w:pos="1701"/>
          <w:tab w:val="left" w:pos="4962"/>
        </w:tabs>
        <w:ind w:firstLine="0"/>
        <w:jc w:val="left"/>
        <w:rPr>
          <w:i/>
        </w:rPr>
      </w:pPr>
      <w:r w:rsidRPr="006C40C1">
        <w:rPr>
          <w:i/>
        </w:rPr>
        <w:tab/>
        <w:t>(prop. 2002/03:1 punkt 35)</w:t>
      </w:r>
    </w:p>
    <w:p w:rsidR="00AA5D77" w:rsidRPr="006C40C1" w:rsidRDefault="00AA5D77">
      <w:pPr>
        <w:pStyle w:val="Normaltindrag"/>
        <w:tabs>
          <w:tab w:val="left" w:pos="1701"/>
          <w:tab w:val="left" w:pos="4962"/>
        </w:tabs>
        <w:ind w:firstLine="0"/>
        <w:jc w:val="left"/>
      </w:pPr>
      <w:r w:rsidRPr="006C40C1">
        <w:t>2002/03:T288</w:t>
      </w:r>
      <w:r w:rsidRPr="006C40C1">
        <w:tab/>
        <w:t>Ulla Löfgren och Anders G Högmark (m)</w:t>
      </w:r>
      <w:r w:rsidRPr="006C40C1">
        <w:tab/>
        <w:t>2</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ab/>
        <w:t>Reklamskatt</w:t>
      </w:r>
    </w:p>
    <w:p w:rsidR="00AA5D77" w:rsidRPr="006C40C1" w:rsidRDefault="00AA5D77">
      <w:pPr>
        <w:pStyle w:val="Normaltindrag"/>
        <w:tabs>
          <w:tab w:val="left" w:pos="1701"/>
          <w:tab w:val="left" w:pos="4962"/>
        </w:tabs>
        <w:ind w:firstLine="0"/>
        <w:jc w:val="left"/>
      </w:pPr>
      <w:r w:rsidRPr="006C40C1">
        <w:t>2002/03:Fi203</w:t>
      </w:r>
      <w:r w:rsidRPr="006C40C1">
        <w:tab/>
        <w:t>Marietta de Pourbaix-Lundin (m)</w:t>
      </w:r>
    </w:p>
    <w:p w:rsidR="00AA5D77" w:rsidRPr="006C40C1" w:rsidRDefault="00AA5D77">
      <w:pPr>
        <w:pStyle w:val="Normaltindrag"/>
        <w:tabs>
          <w:tab w:val="left" w:pos="1701"/>
          <w:tab w:val="left" w:pos="4962"/>
        </w:tabs>
        <w:ind w:firstLine="0"/>
        <w:jc w:val="left"/>
      </w:pPr>
      <w:r w:rsidRPr="006C40C1">
        <w:t>2002/03:Fi205</w:t>
      </w:r>
      <w:r w:rsidRPr="006C40C1">
        <w:tab/>
        <w:t>Cristina Husmark Pehrsson och</w:t>
      </w:r>
    </w:p>
    <w:p w:rsidR="00AA5D77" w:rsidRPr="006C40C1" w:rsidRDefault="00AA5D77">
      <w:pPr>
        <w:pStyle w:val="Normaltindrag"/>
        <w:tabs>
          <w:tab w:val="left" w:pos="1701"/>
          <w:tab w:val="left" w:pos="4962"/>
        </w:tabs>
        <w:ind w:firstLine="0"/>
        <w:jc w:val="left"/>
      </w:pPr>
      <w:r w:rsidRPr="006C40C1">
        <w:tab/>
        <w:t>Anne Marie Brodén (m)</w:t>
      </w:r>
    </w:p>
    <w:p w:rsidR="00AA5D77" w:rsidRPr="006C40C1" w:rsidRDefault="00AA5D77">
      <w:pPr>
        <w:pStyle w:val="Normaltindrag"/>
        <w:tabs>
          <w:tab w:val="left" w:pos="1701"/>
          <w:tab w:val="left" w:pos="4962"/>
        </w:tabs>
        <w:ind w:firstLine="0"/>
        <w:jc w:val="left"/>
      </w:pPr>
      <w:r w:rsidRPr="006C40C1">
        <w:t>2002/03:Fi228</w:t>
      </w:r>
      <w:r w:rsidRPr="006C40C1">
        <w:tab/>
        <w:t>Gunnar Axén och Per Bill (m)</w:t>
      </w:r>
    </w:p>
    <w:p w:rsidR="00AA5D77" w:rsidRPr="006C40C1" w:rsidRDefault="00AA5D77">
      <w:pPr>
        <w:pStyle w:val="Normaltindrag"/>
        <w:tabs>
          <w:tab w:val="left" w:pos="1701"/>
          <w:tab w:val="left" w:pos="4962"/>
        </w:tabs>
        <w:ind w:firstLine="0"/>
        <w:jc w:val="left"/>
      </w:pPr>
      <w:r w:rsidRPr="006C40C1">
        <w:t>2002/03:Fi229</w:t>
      </w:r>
      <w:r w:rsidRPr="006C40C1">
        <w:tab/>
        <w:t>Ingvar Svensson (kd)</w:t>
      </w:r>
    </w:p>
    <w:p w:rsidR="00AA5D77" w:rsidRPr="006C40C1" w:rsidRDefault="00AA5D77">
      <w:pPr>
        <w:pStyle w:val="Normaltindrag"/>
        <w:tabs>
          <w:tab w:val="left" w:pos="1701"/>
          <w:tab w:val="left" w:pos="4962"/>
        </w:tabs>
        <w:ind w:firstLine="0"/>
        <w:jc w:val="left"/>
      </w:pPr>
      <w:r w:rsidRPr="006C40C1">
        <w:t>2002/03:Fi243</w:t>
      </w:r>
      <w:r w:rsidRPr="006C40C1">
        <w:tab/>
        <w:t>Christina Nenes och Göte Wahlström (s)</w:t>
      </w:r>
    </w:p>
    <w:p w:rsidR="00AA5D77" w:rsidRPr="006C40C1" w:rsidRDefault="00AA5D77">
      <w:pPr>
        <w:pStyle w:val="Normaltindrag"/>
        <w:tabs>
          <w:tab w:val="left" w:pos="1701"/>
          <w:tab w:val="left" w:pos="4962"/>
        </w:tabs>
        <w:ind w:firstLine="0"/>
        <w:jc w:val="left"/>
      </w:pPr>
      <w:r w:rsidRPr="006C40C1">
        <w:t>2002/03:Fi251</w:t>
      </w:r>
      <w:r w:rsidRPr="006C40C1">
        <w:tab/>
        <w:t>Johan Pehrson (fp)</w:t>
      </w:r>
    </w:p>
    <w:p w:rsidR="00AA5D77" w:rsidRPr="006C40C1" w:rsidRDefault="00AA5D77">
      <w:pPr>
        <w:pStyle w:val="Normaltindrag"/>
        <w:tabs>
          <w:tab w:val="left" w:pos="1701"/>
          <w:tab w:val="left" w:pos="4962"/>
        </w:tabs>
        <w:ind w:firstLine="0"/>
        <w:jc w:val="left"/>
      </w:pPr>
      <w:r w:rsidRPr="006C40C1">
        <w:t>2002/03:Fi252</w:t>
      </w:r>
      <w:r w:rsidRPr="006C40C1">
        <w:tab/>
        <w:t>Sven Bergström och Håkan Larsson (c)</w:t>
      </w:r>
    </w:p>
    <w:p w:rsidR="00AA5D77" w:rsidRPr="006C40C1" w:rsidRDefault="00AA5D77">
      <w:pPr>
        <w:pStyle w:val="Normaltindrag"/>
        <w:tabs>
          <w:tab w:val="left" w:pos="1701"/>
          <w:tab w:val="left" w:pos="4962"/>
        </w:tabs>
        <w:ind w:firstLine="0"/>
        <w:jc w:val="left"/>
      </w:pPr>
      <w:r w:rsidRPr="006C40C1">
        <w:t>2002/03:Fi268</w:t>
      </w:r>
      <w:r w:rsidRPr="006C40C1">
        <w:tab/>
        <w:t>Carl-Axel Roslund (m)</w:t>
      </w:r>
    </w:p>
    <w:p w:rsidR="00AA5D77" w:rsidRPr="006C40C1" w:rsidRDefault="00AA5D77">
      <w:pPr>
        <w:pStyle w:val="Normaltindrag"/>
        <w:tabs>
          <w:tab w:val="left" w:pos="1701"/>
          <w:tab w:val="left" w:pos="4962"/>
        </w:tabs>
        <w:ind w:firstLine="0"/>
        <w:jc w:val="left"/>
      </w:pPr>
      <w:r w:rsidRPr="006C40C1">
        <w:t>2002/03:Fi277</w:t>
      </w:r>
      <w:r w:rsidRPr="006C40C1">
        <w:tab/>
        <w:t>Kenth Högström m.fl. (s)</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28</w:t>
      </w:r>
    </w:p>
    <w:p w:rsidR="00AA5D77" w:rsidRPr="006C40C1" w:rsidRDefault="00AA5D77">
      <w:pPr>
        <w:pStyle w:val="Normaltindrag"/>
        <w:tabs>
          <w:tab w:val="left" w:pos="1701"/>
          <w:tab w:val="left" w:pos="4962"/>
        </w:tabs>
        <w:ind w:firstLine="0"/>
        <w:jc w:val="left"/>
      </w:pPr>
      <w:r w:rsidRPr="006C40C1">
        <w:t>2002/03:Sk223</w:t>
      </w:r>
      <w:r w:rsidRPr="006C40C1">
        <w:tab/>
        <w:t>Rigmor Stenmark (c)</w:t>
      </w:r>
    </w:p>
    <w:p w:rsidR="00AA5D77" w:rsidRPr="006C40C1" w:rsidRDefault="00AA5D77">
      <w:pPr>
        <w:pStyle w:val="Normaltindrag"/>
        <w:tabs>
          <w:tab w:val="left" w:pos="1701"/>
          <w:tab w:val="left" w:pos="4962"/>
        </w:tabs>
        <w:ind w:firstLine="0"/>
        <w:jc w:val="left"/>
      </w:pPr>
      <w:r w:rsidRPr="006C40C1">
        <w:t>2002/03:Sk295</w:t>
      </w:r>
      <w:r w:rsidRPr="006C40C1">
        <w:tab/>
        <w:t>Gunnar Andrén (fp)</w:t>
      </w:r>
    </w:p>
    <w:p w:rsidR="00AA5D77" w:rsidRPr="006C40C1" w:rsidRDefault="00AA5D77">
      <w:pPr>
        <w:pStyle w:val="Normaltindrag"/>
        <w:tabs>
          <w:tab w:val="left" w:pos="1701"/>
          <w:tab w:val="left" w:pos="4962"/>
        </w:tabs>
        <w:ind w:firstLine="0"/>
        <w:jc w:val="left"/>
      </w:pPr>
      <w:r w:rsidRPr="006C40C1">
        <w:t>2002/03:Sk346</w:t>
      </w:r>
      <w:r w:rsidRPr="006C40C1">
        <w:tab/>
        <w:t>Jörgen Johansson och Jan Andersson (c)</w:t>
      </w:r>
      <w:r w:rsidRPr="006C40C1">
        <w:tab/>
        <w:t>2</w:t>
      </w:r>
    </w:p>
    <w:p w:rsidR="00AA5D77" w:rsidRPr="006C40C1" w:rsidRDefault="00AA5D77">
      <w:pPr>
        <w:pStyle w:val="Normaltindrag"/>
        <w:tabs>
          <w:tab w:val="left" w:pos="1701"/>
          <w:tab w:val="left" w:pos="4962"/>
        </w:tabs>
        <w:ind w:firstLine="0"/>
        <w:jc w:val="left"/>
      </w:pPr>
      <w:r w:rsidRPr="006C40C1">
        <w:t>2002/03:Sk417</w:t>
      </w:r>
      <w:r w:rsidRPr="006C40C1">
        <w:tab/>
        <w:t>Lennart Hedquist m.fl. (m)</w:t>
      </w:r>
      <w:r w:rsidRPr="006C40C1">
        <w:tab/>
        <w:t>8</w:t>
      </w:r>
    </w:p>
    <w:p w:rsidR="00AA5D77" w:rsidRPr="006C40C1" w:rsidRDefault="00AA5D77">
      <w:pPr>
        <w:pStyle w:val="Normaltindrag"/>
        <w:tabs>
          <w:tab w:val="left" w:pos="1701"/>
          <w:tab w:val="left" w:pos="4962"/>
        </w:tabs>
        <w:ind w:firstLine="0"/>
        <w:jc w:val="left"/>
      </w:pPr>
      <w:r w:rsidRPr="006C40C1">
        <w:t>2002/03:Kr297</w:t>
      </w:r>
      <w:r w:rsidRPr="006C40C1">
        <w:tab/>
        <w:t>Kent Olsson m.fl. (m)</w:t>
      </w:r>
      <w:r w:rsidRPr="006C40C1">
        <w:tab/>
        <w:t>13</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ab/>
        <w:t>Jordbrukets beskattning</w:t>
      </w:r>
    </w:p>
    <w:p w:rsidR="00AA5D77" w:rsidRPr="006C40C1" w:rsidRDefault="00AA5D77">
      <w:pPr>
        <w:pStyle w:val="Normaltindrag"/>
        <w:tabs>
          <w:tab w:val="left" w:pos="1701"/>
          <w:tab w:val="left" w:pos="4962"/>
        </w:tabs>
        <w:ind w:firstLine="0"/>
        <w:jc w:val="left"/>
      </w:pPr>
      <w:r w:rsidRPr="006C40C1">
        <w:t>2002/03:Fi286</w:t>
      </w:r>
      <w:r w:rsidRPr="006C40C1">
        <w:tab/>
        <w:t>Maud Olofsson m.fl. (c)</w:t>
      </w:r>
      <w:r w:rsidRPr="006C40C1">
        <w:tab/>
        <w:t>28–30</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10, 11</w:t>
      </w:r>
    </w:p>
    <w:p w:rsidR="00AA5D77" w:rsidRPr="006C40C1" w:rsidRDefault="00AA5D77">
      <w:pPr>
        <w:pStyle w:val="Normaltindrag"/>
        <w:tabs>
          <w:tab w:val="left" w:pos="1701"/>
          <w:tab w:val="left" w:pos="4962"/>
        </w:tabs>
        <w:ind w:firstLine="0"/>
        <w:jc w:val="left"/>
      </w:pPr>
      <w:r w:rsidRPr="006C40C1">
        <w:t>2002/03:Sk383</w:t>
      </w:r>
      <w:r w:rsidRPr="006C40C1">
        <w:tab/>
        <w:t>Per Landgren m.fl. (kd)</w:t>
      </w:r>
      <w:r w:rsidRPr="006C40C1">
        <w:tab/>
        <w:t>7</w:t>
      </w:r>
    </w:p>
    <w:p w:rsidR="00AA5D77" w:rsidRPr="006C40C1" w:rsidRDefault="00AA5D77">
      <w:pPr>
        <w:pStyle w:val="Normaltindrag"/>
        <w:tabs>
          <w:tab w:val="left" w:pos="1701"/>
          <w:tab w:val="left" w:pos="4962"/>
        </w:tabs>
        <w:ind w:firstLine="0"/>
        <w:jc w:val="left"/>
      </w:pPr>
      <w:r w:rsidRPr="006C40C1">
        <w:t>2002/03:MJ268</w:t>
      </w:r>
      <w:r w:rsidRPr="006C40C1">
        <w:tab/>
        <w:t>Per Westerberg m.fl. (m)</w:t>
      </w:r>
      <w:r w:rsidRPr="006C40C1">
        <w:tab/>
        <w:t>4, 5</w:t>
      </w:r>
    </w:p>
    <w:p w:rsidR="00AA5D77" w:rsidRPr="006C40C1" w:rsidRDefault="00AA5D77">
      <w:pPr>
        <w:pStyle w:val="Normaltindrag"/>
        <w:tabs>
          <w:tab w:val="left" w:pos="1701"/>
          <w:tab w:val="left" w:pos="4962"/>
        </w:tabs>
        <w:ind w:firstLine="0"/>
        <w:jc w:val="left"/>
      </w:pPr>
      <w:r w:rsidRPr="006C40C1">
        <w:t>2002/03:MJ487</w:t>
      </w:r>
      <w:r w:rsidRPr="006C40C1">
        <w:tab/>
        <w:t>Jan Andersson m.fl. (c)</w:t>
      </w:r>
      <w:r w:rsidRPr="006C40C1">
        <w:tab/>
        <w:t>2</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Punkt 5 s</w:t>
      </w:r>
      <w:r w:rsidRPr="006C40C1">
        <w:rPr>
          <w:i/>
        </w:rPr>
        <w:tab/>
        <w:t>Bredbandsinstallation</w:t>
      </w:r>
    </w:p>
    <w:p w:rsidR="00AA5D77" w:rsidRPr="006C40C1" w:rsidRDefault="00AA5D77">
      <w:pPr>
        <w:pStyle w:val="Normaltindrag"/>
        <w:tabs>
          <w:tab w:val="left" w:pos="1701"/>
          <w:tab w:val="left" w:pos="4962"/>
        </w:tabs>
        <w:ind w:firstLine="0"/>
        <w:jc w:val="left"/>
        <w:rPr>
          <w:i/>
        </w:rPr>
      </w:pPr>
      <w:r w:rsidRPr="006C40C1">
        <w:rPr>
          <w:i/>
        </w:rPr>
        <w:tab/>
        <w:t>(prop. 2002/03:1 punkt 30)</w:t>
      </w:r>
    </w:p>
    <w:p w:rsidR="00AA5D77" w:rsidRPr="006C40C1" w:rsidRDefault="00AA5D77">
      <w:pPr>
        <w:pStyle w:val="Normaltindrag"/>
        <w:tabs>
          <w:tab w:val="left" w:pos="1701"/>
          <w:tab w:val="left" w:pos="4962"/>
        </w:tabs>
        <w:ind w:firstLine="0"/>
        <w:jc w:val="left"/>
      </w:pPr>
      <w:r w:rsidRPr="006C40C1">
        <w:t>2002/03:Fi232</w:t>
      </w:r>
      <w:r w:rsidRPr="006C40C1">
        <w:tab/>
        <w:t>Lars Leijonborg m.fl. (fp)</w:t>
      </w:r>
      <w:r w:rsidRPr="006C40C1">
        <w:tab/>
        <w:t>26</w:t>
      </w:r>
    </w:p>
    <w:p w:rsidR="00AA5D77" w:rsidRPr="006C40C1" w:rsidRDefault="00AA5D77">
      <w:pPr>
        <w:pStyle w:val="Normaltindrag"/>
        <w:tabs>
          <w:tab w:val="left" w:pos="1701"/>
          <w:tab w:val="left" w:pos="4962"/>
        </w:tabs>
        <w:ind w:firstLine="0"/>
        <w:jc w:val="left"/>
      </w:pPr>
      <w:r w:rsidRPr="006C40C1">
        <w:t>2002/03:Fi286</w:t>
      </w:r>
      <w:r w:rsidRPr="006C40C1">
        <w:tab/>
        <w:t>Maud Olofsson m.fl. (c)</w:t>
      </w:r>
      <w:r w:rsidRPr="006C40C1">
        <w:tab/>
        <w:t>33</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36</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ab/>
        <w:t>Anställningsstöd och rederistöd</w:t>
      </w:r>
    </w:p>
    <w:p w:rsidR="00AA5D77" w:rsidRPr="006C40C1" w:rsidRDefault="00AA5D77">
      <w:pPr>
        <w:pStyle w:val="Normaltindrag"/>
        <w:tabs>
          <w:tab w:val="left" w:pos="1701"/>
          <w:tab w:val="left" w:pos="4962"/>
        </w:tabs>
        <w:ind w:firstLine="0"/>
        <w:jc w:val="left"/>
      </w:pPr>
      <w:r w:rsidRPr="006C40C1">
        <w:t>2002/03:Fi256</w:t>
      </w:r>
      <w:r w:rsidRPr="006C40C1">
        <w:tab/>
        <w:t>Alf  Svensson m.fl. (kd)</w:t>
      </w:r>
      <w:r w:rsidRPr="006C40C1">
        <w:tab/>
        <w:t>28</w:t>
      </w:r>
    </w:p>
    <w:p w:rsidR="00AA5D77" w:rsidRPr="006C40C1" w:rsidRDefault="00AA5D77">
      <w:pPr>
        <w:pStyle w:val="Normaltindrag"/>
        <w:tabs>
          <w:tab w:val="left" w:pos="1701"/>
          <w:tab w:val="left" w:pos="4962"/>
        </w:tabs>
        <w:ind w:firstLine="0"/>
        <w:jc w:val="left"/>
      </w:pPr>
      <w:r w:rsidRPr="006C40C1">
        <w:t>2002/03:Fi287</w:t>
      </w:r>
      <w:r w:rsidRPr="006C40C1">
        <w:tab/>
        <w:t>Lennart Hedquist m.fl. (m)</w:t>
      </w:r>
      <w:r w:rsidRPr="006C40C1">
        <w:tab/>
        <w:t>34, 35</w:t>
      </w:r>
    </w:p>
    <w:p w:rsidR="00AA5D77" w:rsidRPr="006C40C1" w:rsidRDefault="00AA5D77">
      <w:pPr>
        <w:pStyle w:val="Normaltindrag"/>
        <w:tabs>
          <w:tab w:val="left" w:pos="1701"/>
          <w:tab w:val="left" w:pos="4962"/>
        </w:tabs>
        <w:ind w:firstLine="0"/>
        <w:jc w:val="left"/>
        <w:rPr>
          <w:i/>
        </w:rPr>
      </w:pPr>
      <w:r w:rsidRPr="006C40C1">
        <w:rPr>
          <w:i/>
        </w:rPr>
        <w:tab/>
        <w:t>Inkomster av statens verksamhet</w:t>
      </w:r>
    </w:p>
    <w:p w:rsidR="00AA5D77" w:rsidRPr="006C40C1" w:rsidRDefault="00AA5D77">
      <w:pPr>
        <w:pStyle w:val="Normaltindrag"/>
        <w:tabs>
          <w:tab w:val="left" w:pos="1701"/>
          <w:tab w:val="left" w:pos="4962"/>
        </w:tabs>
        <w:ind w:firstLine="0"/>
        <w:jc w:val="left"/>
      </w:pPr>
      <w:r w:rsidRPr="006C40C1">
        <w:t>2002/03:Fi231</w:t>
      </w:r>
      <w:r w:rsidRPr="006C40C1">
        <w:tab/>
        <w:t>Bo Lundgren m.fl. (m)</w:t>
      </w:r>
      <w:r w:rsidRPr="006C40C1">
        <w:tab/>
        <w:t xml:space="preserve">4 (i denna </w:t>
      </w:r>
    </w:p>
    <w:p w:rsidR="00AA5D77" w:rsidRPr="006C40C1" w:rsidRDefault="00AA5D77">
      <w:pPr>
        <w:pStyle w:val="Normaltindrag"/>
        <w:tabs>
          <w:tab w:val="left" w:pos="1701"/>
          <w:tab w:val="left" w:pos="4962"/>
        </w:tabs>
        <w:ind w:firstLine="0"/>
        <w:jc w:val="left"/>
      </w:pPr>
      <w:r w:rsidRPr="006C40C1">
        <w:tab/>
      </w:r>
      <w:r w:rsidRPr="006C40C1">
        <w:tab/>
        <w:t>del)</w:t>
      </w:r>
    </w:p>
    <w:p w:rsidR="00AA5D77" w:rsidRPr="006C40C1" w:rsidRDefault="00AA5D77">
      <w:pPr>
        <w:pStyle w:val="Normaltindrag"/>
        <w:tabs>
          <w:tab w:val="left" w:pos="1701"/>
          <w:tab w:val="left" w:pos="4962"/>
        </w:tabs>
        <w:ind w:firstLine="0"/>
        <w:jc w:val="left"/>
      </w:pPr>
      <w:r w:rsidRPr="006C40C1">
        <w:t>2002/03:Fi232</w:t>
      </w:r>
      <w:r w:rsidRPr="006C40C1">
        <w:tab/>
        <w:t>Lars Leijonborg m.fl. (fp)</w:t>
      </w:r>
      <w:r w:rsidRPr="006C40C1">
        <w:tab/>
        <w:t>4 (i denna</w:t>
      </w:r>
    </w:p>
    <w:p w:rsidR="00AA5D77" w:rsidRPr="006C40C1" w:rsidRDefault="00AA5D77">
      <w:pPr>
        <w:pStyle w:val="Normaltindrag"/>
        <w:tabs>
          <w:tab w:val="left" w:pos="1701"/>
          <w:tab w:val="left" w:pos="4962"/>
        </w:tabs>
        <w:ind w:firstLine="0"/>
        <w:jc w:val="left"/>
      </w:pPr>
      <w:r w:rsidRPr="006C40C1">
        <w:tab/>
      </w:r>
      <w:r w:rsidRPr="006C40C1">
        <w:tab/>
        <w:t>del)</w:t>
      </w:r>
    </w:p>
    <w:p w:rsidR="00AA5D77" w:rsidRPr="006C40C1" w:rsidRDefault="00AA5D77">
      <w:pPr>
        <w:pStyle w:val="Normaltindrag"/>
        <w:tabs>
          <w:tab w:val="left" w:pos="1701"/>
          <w:tab w:val="left" w:pos="4962"/>
        </w:tabs>
        <w:ind w:firstLine="0"/>
        <w:jc w:val="left"/>
      </w:pPr>
      <w:r w:rsidRPr="006C40C1">
        <w:t>2002/03:Fi233</w:t>
      </w:r>
      <w:r w:rsidRPr="006C40C1">
        <w:tab/>
        <w:t>Alf  Svensson m.fl. (kd)</w:t>
      </w:r>
      <w:r w:rsidRPr="006C40C1">
        <w:tab/>
        <w:t>6 (i denna</w:t>
      </w:r>
    </w:p>
    <w:p w:rsidR="00AA5D77" w:rsidRPr="006C40C1" w:rsidRDefault="00AA5D77">
      <w:pPr>
        <w:pStyle w:val="Normaltindrag"/>
        <w:tabs>
          <w:tab w:val="left" w:pos="1701"/>
          <w:tab w:val="left" w:pos="4962"/>
        </w:tabs>
        <w:ind w:firstLine="0"/>
        <w:jc w:val="left"/>
      </w:pPr>
      <w:r w:rsidRPr="006C40C1">
        <w:tab/>
      </w:r>
      <w:r w:rsidRPr="006C40C1">
        <w:tab/>
        <w:t>del)</w:t>
      </w:r>
    </w:p>
    <w:p w:rsidR="00AA5D77" w:rsidRPr="006C40C1" w:rsidRDefault="00AA5D77">
      <w:pPr>
        <w:pStyle w:val="Normaltindrag"/>
        <w:tabs>
          <w:tab w:val="left" w:pos="1701"/>
          <w:tab w:val="left" w:pos="4962"/>
        </w:tabs>
        <w:ind w:firstLine="0"/>
        <w:jc w:val="left"/>
      </w:pPr>
    </w:p>
    <w:p w:rsidR="00AA5D77" w:rsidRPr="006C40C1" w:rsidRDefault="00AA5D77">
      <w:pPr>
        <w:pStyle w:val="Normaltindrag"/>
        <w:tabs>
          <w:tab w:val="left" w:pos="1701"/>
          <w:tab w:val="left" w:pos="4962"/>
        </w:tabs>
        <w:ind w:firstLine="0"/>
        <w:jc w:val="left"/>
        <w:rPr>
          <w:i/>
        </w:rPr>
      </w:pPr>
      <w:r w:rsidRPr="006C40C1">
        <w:rPr>
          <w:i/>
        </w:rPr>
        <w:t>Punkt 5 u</w:t>
      </w:r>
      <w:r w:rsidRPr="006C40C1">
        <w:rPr>
          <w:i/>
        </w:rPr>
        <w:tab/>
        <w:t>Beräkning av statsbudgetens inkomster</w:t>
      </w:r>
    </w:p>
    <w:p w:rsidR="00AA5D77" w:rsidRPr="006C40C1" w:rsidRDefault="00AA5D77">
      <w:pPr>
        <w:pStyle w:val="Normaltindrag"/>
        <w:tabs>
          <w:tab w:val="left" w:pos="1701"/>
          <w:tab w:val="left" w:pos="4962"/>
        </w:tabs>
        <w:ind w:firstLine="0"/>
        <w:jc w:val="left"/>
        <w:rPr>
          <w:i/>
        </w:rPr>
      </w:pPr>
      <w:r w:rsidRPr="006C40C1">
        <w:rPr>
          <w:i/>
        </w:rPr>
        <w:tab/>
        <w:t>för 2003</w:t>
      </w:r>
    </w:p>
    <w:p w:rsidR="00AA5D77" w:rsidRPr="006C40C1" w:rsidRDefault="00AA5D77">
      <w:pPr>
        <w:pStyle w:val="Normaltindrag"/>
        <w:tabs>
          <w:tab w:val="left" w:pos="1701"/>
          <w:tab w:val="left" w:pos="4962"/>
        </w:tabs>
        <w:ind w:firstLine="0"/>
        <w:jc w:val="left"/>
        <w:rPr>
          <w:i/>
        </w:rPr>
      </w:pPr>
      <w:r w:rsidRPr="006C40C1">
        <w:rPr>
          <w:i/>
        </w:rPr>
        <w:tab/>
        <w:t>(prop. 2002/03:1 punkt 7)</w:t>
      </w:r>
    </w:p>
    <w:p w:rsidR="00AA5D77" w:rsidRPr="006C40C1" w:rsidRDefault="00AA5D77">
      <w:pPr>
        <w:pStyle w:val="Normaltindrag"/>
        <w:tabs>
          <w:tab w:val="left" w:pos="1701"/>
          <w:tab w:val="left" w:pos="4962"/>
        </w:tabs>
        <w:ind w:firstLine="0"/>
        <w:jc w:val="left"/>
      </w:pPr>
      <w:r w:rsidRPr="006C40C1">
        <w:t>2002/03:Fi231</w:t>
      </w:r>
      <w:r w:rsidRPr="006C40C1">
        <w:tab/>
        <w:t>Bo Lundgren m.fl. (m)</w:t>
      </w:r>
      <w:r w:rsidRPr="006C40C1">
        <w:tab/>
        <w:t>4 (i denna</w:t>
      </w:r>
    </w:p>
    <w:p w:rsidR="00AA5D77" w:rsidRPr="006C40C1" w:rsidRDefault="00AA5D77">
      <w:pPr>
        <w:pStyle w:val="Normaltindrag"/>
        <w:tabs>
          <w:tab w:val="left" w:pos="1701"/>
          <w:tab w:val="left" w:pos="4962"/>
        </w:tabs>
        <w:ind w:firstLine="0"/>
        <w:jc w:val="left"/>
      </w:pPr>
      <w:r w:rsidRPr="006C40C1">
        <w:tab/>
      </w:r>
      <w:r w:rsidRPr="006C40C1">
        <w:tab/>
        <w:t>del)</w:t>
      </w:r>
    </w:p>
    <w:p w:rsidR="00AA5D77" w:rsidRPr="006C40C1" w:rsidRDefault="00AA5D77">
      <w:pPr>
        <w:pStyle w:val="Normaltindrag"/>
        <w:tabs>
          <w:tab w:val="left" w:pos="1701"/>
          <w:tab w:val="left" w:pos="4962"/>
        </w:tabs>
        <w:ind w:firstLine="0"/>
        <w:jc w:val="left"/>
      </w:pPr>
      <w:r w:rsidRPr="006C40C1">
        <w:t>2002/03:Fi232</w:t>
      </w:r>
      <w:r w:rsidRPr="006C40C1">
        <w:tab/>
        <w:t>Lars Leijonborg m.fl. (fp)</w:t>
      </w:r>
      <w:r w:rsidRPr="006C40C1">
        <w:tab/>
        <w:t>4 (i denna</w:t>
      </w:r>
    </w:p>
    <w:p w:rsidR="00AA5D77" w:rsidRPr="006C40C1" w:rsidRDefault="00AA5D77">
      <w:pPr>
        <w:pStyle w:val="Normaltindrag"/>
        <w:tabs>
          <w:tab w:val="left" w:pos="1701"/>
          <w:tab w:val="left" w:pos="4962"/>
        </w:tabs>
        <w:ind w:firstLine="0"/>
        <w:jc w:val="left"/>
      </w:pPr>
      <w:r w:rsidRPr="006C40C1">
        <w:tab/>
      </w:r>
      <w:r w:rsidRPr="006C40C1">
        <w:tab/>
        <w:t>del)</w:t>
      </w:r>
    </w:p>
    <w:p w:rsidR="00AA5D77" w:rsidRPr="006C40C1" w:rsidRDefault="00AA5D77">
      <w:pPr>
        <w:pStyle w:val="Normaltindrag"/>
        <w:tabs>
          <w:tab w:val="left" w:pos="1701"/>
          <w:tab w:val="left" w:pos="4962"/>
        </w:tabs>
        <w:ind w:firstLine="0"/>
        <w:jc w:val="left"/>
      </w:pPr>
      <w:r w:rsidRPr="006C40C1">
        <w:t>2002/03:Fi233</w:t>
      </w:r>
      <w:r w:rsidRPr="006C40C1">
        <w:tab/>
        <w:t>Alf  Svensson m.fl. (kd)</w:t>
      </w:r>
      <w:r w:rsidRPr="006C40C1">
        <w:tab/>
        <w:t>6 (i denna</w:t>
      </w:r>
    </w:p>
    <w:p w:rsidR="00AA5D77" w:rsidRPr="006C40C1" w:rsidRDefault="00AA5D77">
      <w:pPr>
        <w:pStyle w:val="Normaltindrag"/>
        <w:tabs>
          <w:tab w:val="left" w:pos="1701"/>
          <w:tab w:val="left" w:pos="4962"/>
        </w:tabs>
        <w:ind w:firstLine="0"/>
        <w:jc w:val="left"/>
      </w:pPr>
      <w:r w:rsidRPr="006C40C1">
        <w:tab/>
      </w:r>
      <w:r w:rsidRPr="006C40C1">
        <w:tab/>
        <w:t>del)</w:t>
      </w:r>
    </w:p>
    <w:p w:rsidR="00AA5D77" w:rsidRPr="006C40C1" w:rsidRDefault="00AA5D77">
      <w:pPr>
        <w:pStyle w:val="Normaltindrag"/>
        <w:tabs>
          <w:tab w:val="left" w:pos="1701"/>
          <w:tab w:val="left" w:pos="4962"/>
        </w:tabs>
        <w:ind w:firstLine="0"/>
        <w:jc w:val="left"/>
      </w:pPr>
      <w:r w:rsidRPr="006C40C1">
        <w:t>2002/03:Fi234</w:t>
      </w:r>
      <w:r w:rsidRPr="006C40C1">
        <w:tab/>
        <w:t>Maud Olofsson m.fl. (c)</w:t>
      </w:r>
      <w:r w:rsidRPr="006C40C1">
        <w:tab/>
        <w:t>11</w:t>
      </w:r>
    </w:p>
    <w:p w:rsidR="00AA5D77" w:rsidRPr="006C40C1" w:rsidRDefault="00AA5D77">
      <w:pPr>
        <w:pStyle w:val="Normaltindrag"/>
        <w:tabs>
          <w:tab w:val="left" w:pos="1701"/>
          <w:tab w:val="left" w:pos="4962"/>
        </w:tabs>
        <w:ind w:firstLine="0"/>
        <w:jc w:val="left"/>
      </w:pPr>
      <w:r w:rsidRPr="006C40C1">
        <w:t>2002/03:Fi256</w:t>
      </w:r>
      <w:r w:rsidRPr="006C40C1">
        <w:tab/>
        <w:t>Alf Svensson m.fl. (kd)</w:t>
      </w:r>
      <w:r w:rsidRPr="006C40C1">
        <w:tab/>
        <w:t>1, 24</w:t>
      </w:r>
    </w:p>
    <w:p w:rsidR="00AA5D77" w:rsidRPr="006C40C1" w:rsidRDefault="00AA5D77">
      <w:pPr>
        <w:pStyle w:val="Normaltindrag"/>
        <w:tabs>
          <w:tab w:val="left" w:pos="4962"/>
        </w:tabs>
      </w:pPr>
    </w:p>
    <w:p w:rsidR="00AA5D77" w:rsidRPr="006C40C1" w:rsidRDefault="00AA5D77">
      <w:pPr>
        <w:pStyle w:val="Normaltindrag"/>
        <w:sectPr w:rsidR="00000000" w:rsidRPr="006C40C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A5D77" w:rsidRPr="006C40C1" w:rsidRDefault="00AA5D77">
      <w:pPr>
        <w:pStyle w:val="Rubrik1"/>
        <w:spacing w:after="0"/>
        <w:rPr>
          <w:noProof w:val="0"/>
        </w:rPr>
      </w:pPr>
      <w:bookmarkStart w:id="30" w:name="_Toc26191381"/>
      <w:r w:rsidRPr="006C40C1">
        <w:rPr>
          <w:noProof w:val="0"/>
        </w:rPr>
        <w:t>Redogörelse för ärendet</w:t>
      </w:r>
      <w:bookmarkEnd w:id="30"/>
    </w:p>
    <w:p w:rsidR="00AA5D77" w:rsidRPr="006C40C1" w:rsidRDefault="00AA5D77">
      <w:pPr>
        <w:pStyle w:val="R2"/>
      </w:pPr>
      <w:r w:rsidRPr="006C40C1">
        <w:t>Bakgrund</w:t>
      </w:r>
    </w:p>
    <w:p w:rsidR="00AA5D77" w:rsidRPr="006C40C1" w:rsidRDefault="00AA5D77">
      <w:r w:rsidRPr="006C40C1">
        <w:t xml:space="preserve">I detta betänkande behandlas regeringens och partiernas förslag till fördelning av statsutgifterna på utgiftsområden. Betänkandet, ibland kallat </w:t>
      </w:r>
      <w:r w:rsidRPr="006C40C1">
        <w:rPr>
          <w:i/>
        </w:rPr>
        <w:t>rambetä</w:t>
      </w:r>
      <w:r w:rsidRPr="006C40C1">
        <w:rPr>
          <w:i/>
        </w:rPr>
        <w:t>n</w:t>
      </w:r>
      <w:r w:rsidRPr="006C40C1">
        <w:rPr>
          <w:i/>
        </w:rPr>
        <w:t>kandet</w:t>
      </w:r>
      <w:r w:rsidRPr="006C40C1">
        <w:t>, utgör underlaget för riksdagens beslut om statsbudgeten och utgift</w:t>
      </w:r>
      <w:r w:rsidRPr="006C40C1">
        <w:t>s</w:t>
      </w:r>
      <w:r w:rsidRPr="006C40C1">
        <w:t xml:space="preserve">ramar för de olika utgiftsområdena. I riksdagens </w:t>
      </w:r>
      <w:r w:rsidRPr="006C40C1">
        <w:rPr>
          <w:i/>
        </w:rPr>
        <w:t>rambeslutsmodell</w:t>
      </w:r>
      <w:r w:rsidRPr="006C40C1">
        <w:t xml:space="preserve"> innebär beslutet om ramarna att en utgiftsram fastställs för varje utgiftsområde som i den fortsatta beredningen av anslaget inte får överskridas. Ett förslag från ett utskott till fördelning av anslagen inom ett utgiftsområde kan inte behandlas av riksdagen förrän riksdagen fattat beslutet om ramarna (RO 5:12). De olika fackutskotten som bereder och lägger fra</w:t>
      </w:r>
      <w:r w:rsidRPr="006C40C1">
        <w:t>m förslag till beslut om anslagen inom respektive utgiftsområde kan göra omprioriteringar mellan anslagen men får inte lägga fram ett förslag som går utöver den fastställda ramen. Inte heller får förslag läggas fram reservationsvis som överskrider ramen.</w:t>
      </w:r>
    </w:p>
    <w:p w:rsidR="00AA5D77" w:rsidRPr="006C40C1" w:rsidRDefault="00AA5D77">
      <w:pPr>
        <w:pStyle w:val="Normaltindrag"/>
      </w:pPr>
      <w:r w:rsidRPr="006C40C1">
        <w:t xml:space="preserve">Riksdagen fastställer statsbudgetens sammansättning i stort genom </w:t>
      </w:r>
      <w:r w:rsidRPr="006C40C1">
        <w:rPr>
          <w:i/>
        </w:rPr>
        <w:t>ett</w:t>
      </w:r>
      <w:r w:rsidRPr="006C40C1">
        <w:t xml:space="preserve"> sä</w:t>
      </w:r>
      <w:r w:rsidRPr="006C40C1">
        <w:t>r</w:t>
      </w:r>
      <w:r w:rsidRPr="006C40C1">
        <w:t>skilt beslut som innefattar</w:t>
      </w:r>
    </w:p>
    <w:p w:rsidR="00AA5D77" w:rsidRPr="006C40C1" w:rsidRDefault="00AA5D77">
      <w:pPr>
        <w:pStyle w:val="Normaltindrag"/>
      </w:pPr>
      <w:r w:rsidRPr="006C40C1">
        <w:rPr>
          <w:i/>
        </w:rPr>
        <w:t>dels</w:t>
      </w:r>
      <w:r w:rsidRPr="006C40C1">
        <w:t xml:space="preserve"> utgiftsramar för utgiftsområden,</w:t>
      </w:r>
    </w:p>
    <w:p w:rsidR="00AA5D77" w:rsidRPr="006C40C1" w:rsidRDefault="00AA5D77">
      <w:pPr>
        <w:pStyle w:val="Normaltindrag"/>
      </w:pPr>
      <w:r w:rsidRPr="006C40C1">
        <w:rPr>
          <w:i/>
        </w:rPr>
        <w:t>dels</w:t>
      </w:r>
      <w:r w:rsidRPr="006C40C1">
        <w:t xml:space="preserve"> en beräkning av inkomsterna på statsbudgeten (inklusive skatteförsl</w:t>
      </w:r>
      <w:r w:rsidRPr="006C40C1">
        <w:t>a</w:t>
      </w:r>
      <w:r w:rsidRPr="006C40C1">
        <w:t>gen).</w:t>
      </w:r>
    </w:p>
    <w:p w:rsidR="00AA5D77" w:rsidRPr="006C40C1" w:rsidRDefault="00AA5D77">
      <w:r w:rsidRPr="006C40C1">
        <w:t>Detta beslut ingår som punkt 5 i Utskottets förslag till riksdagsbeslut. U</w:t>
      </w:r>
      <w:r w:rsidRPr="006C40C1">
        <w:t>t</w:t>
      </w:r>
      <w:r w:rsidRPr="006C40C1">
        <w:t>skottets motivering för förslaget behandlas i betänkandet i avsnitten 2.4–2.12, 3 och 4.1.</w:t>
      </w:r>
    </w:p>
    <w:p w:rsidR="00AA5D77" w:rsidRPr="006C40C1" w:rsidRDefault="00AA5D77">
      <w:pPr>
        <w:pStyle w:val="Rubrik2"/>
      </w:pPr>
      <w:bookmarkStart w:id="31" w:name="_Toc530479365"/>
      <w:bookmarkStart w:id="32" w:name="_Toc26191382"/>
      <w:r w:rsidRPr="006C40C1">
        <w:t>Ärendet och dess beredning</w:t>
      </w:r>
      <w:bookmarkEnd w:id="31"/>
      <w:bookmarkEnd w:id="32"/>
    </w:p>
    <w:p w:rsidR="00AA5D77" w:rsidRPr="006C40C1" w:rsidRDefault="00AA5D77">
      <w:pPr>
        <w:outlineLvl w:val="0"/>
      </w:pPr>
      <w:r w:rsidRPr="006C40C1">
        <w:t>I detta betänkande behandlar utskottet</w:t>
      </w:r>
    </w:p>
    <w:p w:rsidR="00AA5D77" w:rsidRPr="006C40C1" w:rsidRDefault="00AA5D77">
      <w:r w:rsidRPr="006C40C1">
        <w:rPr>
          <w:i/>
        </w:rPr>
        <w:t>dels</w:t>
      </w:r>
      <w:r w:rsidRPr="006C40C1">
        <w:t xml:space="preserve"> proposition 2002/03:1 Budgetpropositionen för 2003 om förslag till statsbudget, finansplan m.m. punkterna 1–15 och 27–38,</w:t>
      </w:r>
    </w:p>
    <w:p w:rsidR="00AA5D77" w:rsidRPr="006C40C1" w:rsidRDefault="00AA5D77">
      <w:r w:rsidRPr="006C40C1">
        <w:rPr>
          <w:i/>
        </w:rPr>
        <w:t>dels</w:t>
      </w:r>
      <w:r w:rsidRPr="006C40C1">
        <w:t xml:space="preserve"> de motioner som väckts med anledning av ärendet under allmänna m</w:t>
      </w:r>
      <w:r w:rsidRPr="006C40C1">
        <w:t>o</w:t>
      </w:r>
      <w:r w:rsidRPr="006C40C1">
        <w:t xml:space="preserve">tionstiden 2002 enligt förteckningen i </w:t>
      </w:r>
      <w:r w:rsidRPr="006C40C1">
        <w:rPr>
          <w:i/>
        </w:rPr>
        <w:t>bilaga 1</w:t>
      </w:r>
      <w:r w:rsidRPr="006C40C1">
        <w:t>.</w:t>
      </w:r>
    </w:p>
    <w:p w:rsidR="00AA5D77" w:rsidRPr="006C40C1" w:rsidRDefault="00AA5D77">
      <w:r w:rsidRPr="006C40C1">
        <w:t xml:space="preserve">Finansplanens avsnitt 9 </w:t>
      </w:r>
      <w:r w:rsidRPr="006C40C1">
        <w:rPr>
          <w:i/>
        </w:rPr>
        <w:t xml:space="preserve">Tilläggsbudget 2002 </w:t>
      </w:r>
      <w:r w:rsidRPr="006C40C1">
        <w:t>(punkterna 16–26) behandlas i finansutskottets betänkande 2002/03:FiU11.</w:t>
      </w:r>
    </w:p>
    <w:p w:rsidR="00AA5D77" w:rsidRPr="006C40C1" w:rsidRDefault="00AA5D77">
      <w:pPr>
        <w:pStyle w:val="Normaltindrag"/>
      </w:pPr>
      <w:r w:rsidRPr="006C40C1">
        <w:t>Motioner om frågan om deltagande i det europeiska valutasamarbetet b</w:t>
      </w:r>
      <w:r w:rsidRPr="006C40C1">
        <w:t>e</w:t>
      </w:r>
      <w:r w:rsidRPr="006C40C1">
        <w:t>han</w:t>
      </w:r>
      <w:r w:rsidRPr="006C40C1">
        <w:t>d</w:t>
      </w:r>
      <w:r w:rsidRPr="006C40C1">
        <w:t>las i finansutskottets betänkande 2002/03:FiU8.</w:t>
      </w:r>
    </w:p>
    <w:p w:rsidR="00AA5D77" w:rsidRPr="006C40C1" w:rsidRDefault="00AA5D77">
      <w:pPr>
        <w:pStyle w:val="Rubrik3"/>
        <w:rPr>
          <w:noProof w:val="0"/>
        </w:rPr>
      </w:pPr>
      <w:bookmarkStart w:id="33" w:name="_Toc530479366"/>
      <w:bookmarkStart w:id="34" w:name="_Toc26191383"/>
      <w:r w:rsidRPr="006C40C1">
        <w:rPr>
          <w:noProof w:val="0"/>
        </w:rPr>
        <w:t>Regeringens lagförslag</w:t>
      </w:r>
      <w:bookmarkEnd w:id="33"/>
      <w:bookmarkEnd w:id="34"/>
    </w:p>
    <w:p w:rsidR="00AA5D77" w:rsidRPr="006C40C1" w:rsidRDefault="00AA5D77">
      <w:r w:rsidRPr="006C40C1">
        <w:t xml:space="preserve">De lagförslag som regeringen lägger fram i budgetpropositionen återges i </w:t>
      </w:r>
      <w:r w:rsidRPr="006C40C1">
        <w:rPr>
          <w:i/>
        </w:rPr>
        <w:t>bilaga 2</w:t>
      </w:r>
      <w:r w:rsidRPr="006C40C1">
        <w:t xml:space="preserve"> i betänkandet.</w:t>
      </w:r>
    </w:p>
    <w:p w:rsidR="00AA5D77" w:rsidRPr="006C40C1" w:rsidRDefault="00AA5D77">
      <w:pPr>
        <w:pStyle w:val="Normaltindrag"/>
      </w:pPr>
      <w:r w:rsidRPr="006C40C1">
        <w:t xml:space="preserve">Utskottets förslag till ändringar i regeringens förslag återges i </w:t>
      </w:r>
      <w:r w:rsidRPr="006C40C1">
        <w:rPr>
          <w:i/>
        </w:rPr>
        <w:t>bilaga 3</w:t>
      </w:r>
      <w:r w:rsidRPr="006C40C1">
        <w:t xml:space="preserve"> i betänkandet.</w:t>
      </w:r>
    </w:p>
    <w:p w:rsidR="00AA5D77" w:rsidRPr="006C40C1" w:rsidRDefault="00AA5D77">
      <w:pPr>
        <w:pStyle w:val="Rubrik3"/>
        <w:rPr>
          <w:noProof w:val="0"/>
        </w:rPr>
      </w:pPr>
      <w:bookmarkStart w:id="35" w:name="_Toc530479367"/>
      <w:bookmarkStart w:id="36" w:name="_Toc26191384"/>
      <w:r w:rsidRPr="006C40C1">
        <w:rPr>
          <w:noProof w:val="0"/>
        </w:rPr>
        <w:t>Yttranden från andra utskott</w:t>
      </w:r>
      <w:bookmarkEnd w:id="35"/>
      <w:bookmarkEnd w:id="36"/>
    </w:p>
    <w:p w:rsidR="00AA5D77" w:rsidRPr="006C40C1" w:rsidRDefault="00AA5D77">
      <w:r w:rsidRPr="006C40C1">
        <w:t>Yttranden över budgetpropositionens förslag jämte motioner i de delar som berör respektive utskotts beredningsområde har inkommit från</w:t>
      </w:r>
    </w:p>
    <w:p w:rsidR="00AA5D77" w:rsidRPr="006C40C1" w:rsidRDefault="00AA5D77">
      <w:pPr>
        <w:spacing w:before="0"/>
      </w:pPr>
      <w:r w:rsidRPr="006C40C1">
        <w:t>– skatteutskottet (2002/03:SkU1y),</w:t>
      </w:r>
    </w:p>
    <w:p w:rsidR="00AA5D77" w:rsidRPr="006C40C1" w:rsidRDefault="00AA5D77">
      <w:pPr>
        <w:spacing w:before="0"/>
      </w:pPr>
      <w:r w:rsidRPr="006C40C1">
        <w:t>– justitieutskottet (protokollsutdrag 2002/03:4.3),</w:t>
      </w:r>
    </w:p>
    <w:p w:rsidR="00AA5D77" w:rsidRPr="006C40C1" w:rsidRDefault="00AA5D77">
      <w:pPr>
        <w:spacing w:before="0"/>
      </w:pPr>
      <w:r w:rsidRPr="006C40C1">
        <w:t>– utrikesutskottet (2002/03:UU2y),</w:t>
      </w:r>
    </w:p>
    <w:p w:rsidR="00AA5D77" w:rsidRPr="006C40C1" w:rsidRDefault="00AA5D77">
      <w:pPr>
        <w:pStyle w:val="Reservantfrslag"/>
      </w:pPr>
      <w:r w:rsidRPr="006C40C1">
        <w:t>– försvarsutskottet (2002/03:FöU1y),</w:t>
      </w:r>
    </w:p>
    <w:p w:rsidR="00AA5D77" w:rsidRPr="006C40C1" w:rsidRDefault="00AA5D77">
      <w:pPr>
        <w:spacing w:before="0"/>
      </w:pPr>
      <w:r w:rsidRPr="006C40C1">
        <w:t>– socialförsäkringsutskottet (2002/03:SfU1y),</w:t>
      </w:r>
    </w:p>
    <w:p w:rsidR="00AA5D77" w:rsidRPr="006C40C1" w:rsidRDefault="00AA5D77">
      <w:pPr>
        <w:spacing w:before="0"/>
      </w:pPr>
      <w:r w:rsidRPr="006C40C1">
        <w:t>– socialutskottet (2002/03:SoU1y),</w:t>
      </w:r>
    </w:p>
    <w:p w:rsidR="00AA5D77" w:rsidRPr="006C40C1" w:rsidRDefault="00AA5D77">
      <w:pPr>
        <w:spacing w:before="0"/>
      </w:pPr>
      <w:r w:rsidRPr="006C40C1">
        <w:t>– kulturutskottet (protokollsutdrag 2002/03:2.7),</w:t>
      </w:r>
    </w:p>
    <w:p w:rsidR="00AA5D77" w:rsidRPr="006C40C1" w:rsidRDefault="00AA5D77">
      <w:pPr>
        <w:spacing w:before="0"/>
      </w:pPr>
      <w:r w:rsidRPr="006C40C1">
        <w:t>– trafikutskottet (protokollsutdrag 2002/03:4.3),</w:t>
      </w:r>
    </w:p>
    <w:p w:rsidR="00AA5D77" w:rsidRPr="006C40C1" w:rsidRDefault="00AA5D77">
      <w:pPr>
        <w:spacing w:before="0"/>
      </w:pPr>
      <w:r w:rsidRPr="006C40C1">
        <w:t>– miljö- och jordbruksutskottet (2002/03:MJU1y),</w:t>
      </w:r>
    </w:p>
    <w:p w:rsidR="00AA5D77" w:rsidRPr="006C40C1" w:rsidRDefault="00AA5D77">
      <w:pPr>
        <w:spacing w:before="0"/>
      </w:pPr>
      <w:r w:rsidRPr="006C40C1">
        <w:t>– näringsutskottet (protokollsutdrag 2002/03:2.2),</w:t>
      </w:r>
    </w:p>
    <w:p w:rsidR="00AA5D77" w:rsidRPr="006C40C1" w:rsidRDefault="00AA5D77">
      <w:pPr>
        <w:spacing w:before="0"/>
      </w:pPr>
      <w:r w:rsidRPr="006C40C1">
        <w:t>– arbetsmarknadsutskottet (2002/03:AU1y),</w:t>
      </w:r>
    </w:p>
    <w:p w:rsidR="00AA5D77" w:rsidRPr="006C40C1" w:rsidRDefault="00AA5D77">
      <w:pPr>
        <w:spacing w:before="0"/>
      </w:pPr>
      <w:r w:rsidRPr="006C40C1">
        <w:t>– bostadsutskottet (2002/03:BoU1y).</w:t>
      </w:r>
    </w:p>
    <w:p w:rsidR="00AA5D77" w:rsidRPr="006C40C1" w:rsidRDefault="00AA5D77">
      <w:r w:rsidRPr="006C40C1">
        <w:t xml:space="preserve">Yttrandena återfinns i </w:t>
      </w:r>
      <w:r w:rsidRPr="006C40C1">
        <w:rPr>
          <w:i/>
        </w:rPr>
        <w:t xml:space="preserve">bilagorna 4–15 </w:t>
      </w:r>
      <w:r w:rsidRPr="006C40C1">
        <w:t xml:space="preserve">i </w:t>
      </w:r>
      <w:r w:rsidRPr="006C40C1">
        <w:rPr>
          <w:i/>
        </w:rPr>
        <w:t>del 2</w:t>
      </w:r>
      <w:r w:rsidRPr="006C40C1">
        <w:t xml:space="preserve"> av betänkandet.</w:t>
      </w:r>
    </w:p>
    <w:p w:rsidR="00AA5D77" w:rsidRPr="006C40C1" w:rsidRDefault="00AA5D77">
      <w:r w:rsidRPr="006C40C1">
        <w:t>Konstitutionsutskottet och utbildningsutskottet har avstått från att yttra sig.</w:t>
      </w:r>
    </w:p>
    <w:p w:rsidR="00AA5D77" w:rsidRPr="006C40C1" w:rsidRDefault="00AA5D77">
      <w:pPr>
        <w:pStyle w:val="Rubrik3"/>
        <w:rPr>
          <w:noProof w:val="0"/>
        </w:rPr>
      </w:pPr>
      <w:bookmarkStart w:id="37" w:name="_Toc530479368"/>
      <w:bookmarkStart w:id="38" w:name="_Toc26191385"/>
      <w:r w:rsidRPr="006C40C1">
        <w:rPr>
          <w:noProof w:val="0"/>
        </w:rPr>
        <w:t>Utfrågningar</w:t>
      </w:r>
      <w:bookmarkEnd w:id="37"/>
      <w:bookmarkEnd w:id="38"/>
    </w:p>
    <w:p w:rsidR="00AA5D77" w:rsidRPr="006C40C1" w:rsidRDefault="00AA5D77">
      <w:r w:rsidRPr="006C40C1">
        <w:t xml:space="preserve">Utskottet anordnade den 17 oktober 2002 en offentlig utfrågning om </w:t>
      </w:r>
      <w:r w:rsidRPr="006C40C1">
        <w:rPr>
          <w:i/>
        </w:rPr>
        <w:t>den aktuella penningpolitiken</w:t>
      </w:r>
      <w:r w:rsidRPr="006C40C1">
        <w:t xml:space="preserve"> med riksbankschefen Urban Bäckström. </w:t>
      </w:r>
    </w:p>
    <w:p w:rsidR="00AA5D77" w:rsidRPr="006C40C1" w:rsidRDefault="00AA5D77">
      <w:pPr>
        <w:pStyle w:val="Normaltindrag"/>
      </w:pPr>
      <w:r w:rsidRPr="006C40C1">
        <w:t xml:space="preserve">Protokoll från utfrågningen finns i </w:t>
      </w:r>
      <w:r w:rsidRPr="006C40C1">
        <w:rPr>
          <w:i/>
        </w:rPr>
        <w:t xml:space="preserve">bilaga 16 </w:t>
      </w:r>
      <w:r w:rsidRPr="006C40C1">
        <w:t xml:space="preserve">i </w:t>
      </w:r>
      <w:r w:rsidRPr="006C40C1">
        <w:rPr>
          <w:i/>
        </w:rPr>
        <w:t>del 2</w:t>
      </w:r>
      <w:r w:rsidRPr="006C40C1">
        <w:t xml:space="preserve"> av betä</w:t>
      </w:r>
      <w:r w:rsidRPr="006C40C1">
        <w:t>n</w:t>
      </w:r>
      <w:r w:rsidRPr="006C40C1">
        <w:t>kandet.</w:t>
      </w:r>
    </w:p>
    <w:p w:rsidR="00AA5D77" w:rsidRPr="006C40C1" w:rsidRDefault="00AA5D77">
      <w:r w:rsidRPr="006C40C1">
        <w:t>Den 5 november 2002 informerade generaldirektör Ingemar Hansson och prognoschef Hans Lindberg, Konjunkturinstitutet, om lönebildningen och den 12 november 2002 informerade statssekreterare Jens Henriksson och ämne</w:t>
      </w:r>
      <w:r w:rsidRPr="006C40C1">
        <w:t>s</w:t>
      </w:r>
      <w:r w:rsidRPr="006C40C1">
        <w:t>rådet Yngve Lind, Finansdepartementet, om uppdateringen av Sveriges ko</w:t>
      </w:r>
      <w:r w:rsidRPr="006C40C1">
        <w:t>n</w:t>
      </w:r>
      <w:r w:rsidRPr="006C40C1">
        <w:t>ve</w:t>
      </w:r>
      <w:r w:rsidRPr="006C40C1">
        <w:t>r</w:t>
      </w:r>
      <w:r w:rsidRPr="006C40C1">
        <w:t>gens</w:t>
      </w:r>
      <w:r w:rsidRPr="006C40C1">
        <w:softHyphen/>
        <w:t>prog</w:t>
      </w:r>
      <w:r w:rsidRPr="006C40C1">
        <w:softHyphen/>
        <w:t>ram 2002.</w:t>
      </w:r>
    </w:p>
    <w:p w:rsidR="00AA5D77" w:rsidRPr="006C40C1" w:rsidRDefault="00AA5D77">
      <w:pPr>
        <w:pStyle w:val="Rubrik3"/>
        <w:rPr>
          <w:noProof w:val="0"/>
        </w:rPr>
      </w:pPr>
      <w:bookmarkStart w:id="39" w:name="_Toc530479369"/>
      <w:bookmarkStart w:id="40" w:name="_Toc26191386"/>
      <w:r w:rsidRPr="006C40C1">
        <w:rPr>
          <w:noProof w:val="0"/>
        </w:rPr>
        <w:t>Skrivelser</w:t>
      </w:r>
      <w:bookmarkEnd w:id="39"/>
      <w:bookmarkEnd w:id="40"/>
    </w:p>
    <w:p w:rsidR="00AA5D77" w:rsidRPr="006C40C1" w:rsidRDefault="00AA5D77">
      <w:r w:rsidRPr="006C40C1">
        <w:t>Skrivelser i ärendet har inkommit från Växjö Energi AB Sandviksverket, Spel &amp; Servicehandlarnas Riksförbund AB samt Betongvaruindustrin, Sveriges Bergmaterialindustri och Svenska Fabriksbetongföreningen.</w:t>
      </w:r>
    </w:p>
    <w:p w:rsidR="00AA5D77" w:rsidRPr="006C40C1" w:rsidRDefault="00AA5D77"/>
    <w:p w:rsidR="00AA5D77" w:rsidRPr="006C40C1" w:rsidRDefault="00AA5D77"/>
    <w:p w:rsidR="00AA5D77" w:rsidRPr="006C40C1" w:rsidRDefault="00AA5D77"/>
    <w:p w:rsidR="00AA5D77" w:rsidRPr="006C40C1" w:rsidRDefault="00AA5D77">
      <w:pPr>
        <w:pStyle w:val="Normaltindrag"/>
        <w:sectPr w:rsidR="00000000" w:rsidRPr="006C40C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A5D77" w:rsidRPr="006C40C1" w:rsidRDefault="00AA5D77">
      <w:pPr>
        <w:pStyle w:val="Rubrik1"/>
        <w:spacing w:after="240"/>
        <w:rPr>
          <w:noProof w:val="0"/>
        </w:rPr>
      </w:pPr>
      <w:bookmarkStart w:id="41" w:name="_Toc25302111"/>
      <w:bookmarkStart w:id="42" w:name="_Toc25375188"/>
      <w:bookmarkStart w:id="43" w:name="_Toc26191387"/>
      <w:r w:rsidRPr="006C40C1">
        <w:rPr>
          <w:noProof w:val="0"/>
        </w:rPr>
        <w:t>Utskottets överväganden</w:t>
      </w:r>
      <w:bookmarkEnd w:id="41"/>
      <w:bookmarkEnd w:id="42"/>
      <w:bookmarkEnd w:id="43"/>
    </w:p>
    <w:p w:rsidR="00AA5D77" w:rsidRPr="006C40C1" w:rsidRDefault="00AA5D77">
      <w:pPr>
        <w:pStyle w:val="Rubrik1"/>
        <w:spacing w:after="120"/>
        <w:rPr>
          <w:noProof w:val="0"/>
        </w:rPr>
      </w:pPr>
      <w:bookmarkStart w:id="44" w:name="_Toc25302112"/>
      <w:bookmarkStart w:id="45" w:name="_Toc25375189"/>
      <w:bookmarkStart w:id="46" w:name="_Toc26191388"/>
      <w:r w:rsidRPr="006C40C1">
        <w:rPr>
          <w:noProof w:val="0"/>
        </w:rPr>
        <w:t>1 Den ekonomiska politiken</w:t>
      </w:r>
      <w:bookmarkEnd w:id="44"/>
      <w:bookmarkEnd w:id="45"/>
      <w:bookmarkEnd w:id="46"/>
    </w:p>
    <w:p w:rsidR="00AA5D77" w:rsidRPr="006C40C1" w:rsidRDefault="00AA5D77">
      <w:pPr>
        <w:pStyle w:val="Rubrik2"/>
        <w:spacing w:before="240"/>
      </w:pPr>
      <w:bookmarkStart w:id="47" w:name="_Toc25302113"/>
      <w:bookmarkStart w:id="48" w:name="_Toc25375190"/>
      <w:bookmarkStart w:id="49" w:name="_Toc26191389"/>
      <w:r w:rsidRPr="006C40C1">
        <w:t>1.1 Den internationella utvecklingen</w:t>
      </w:r>
      <w:bookmarkEnd w:id="47"/>
      <w:bookmarkEnd w:id="48"/>
      <w:bookmarkEnd w:id="49"/>
    </w:p>
    <w:p w:rsidR="00AA5D77" w:rsidRPr="006C40C1" w:rsidRDefault="00AA5D77">
      <w:pPr>
        <w:pStyle w:val="Rubrik3"/>
        <w:spacing w:before="240"/>
        <w:rPr>
          <w:noProof w:val="0"/>
        </w:rPr>
      </w:pPr>
      <w:bookmarkStart w:id="50" w:name="_Toc25302114"/>
      <w:bookmarkStart w:id="51" w:name="_Toc25375191"/>
      <w:bookmarkStart w:id="52" w:name="_Toc26191390"/>
      <w:r w:rsidRPr="006C40C1">
        <w:rPr>
          <w:noProof w:val="0"/>
        </w:rPr>
        <w:t>1.1.1 Långsammare återhämtning</w:t>
      </w:r>
      <w:bookmarkEnd w:id="50"/>
      <w:bookmarkEnd w:id="51"/>
      <w:bookmarkEnd w:id="52"/>
      <w:r w:rsidRPr="006C40C1">
        <w:rPr>
          <w:noProof w:val="0"/>
        </w:rPr>
        <w:t xml:space="preserve"> </w:t>
      </w:r>
    </w:p>
    <w:p w:rsidR="00AA5D77" w:rsidRPr="006C40C1" w:rsidRDefault="00AA5D77">
      <w:r w:rsidRPr="006C40C1">
        <w:t>Världsekonomin återhämtade sig under våren efter den kraftiga konjunktu</w:t>
      </w:r>
      <w:r w:rsidRPr="006C40C1">
        <w:t>r</w:t>
      </w:r>
      <w:r w:rsidRPr="006C40C1">
        <w:t>nedgången i fjol, då tillväxttakten i världsekonomins draglok Förenta staterna sjönk från drygt 4 % 2000 till 0,3 % 2001. Under sommaren och hösten har det emellertid kommit signaler om att uppgången stannat av bl.a. till följd av fallande kurser på världens aktiebörser och hot om krig och militära insatser mot Irak. Samtidigt har både hushållens och företagens förväntningar om den framtida ekonomiska utvecklingen i t.ex. Förenta staterna och i länderna i euroområdet dämpats en del.</w:t>
      </w:r>
    </w:p>
    <w:p w:rsidR="00AA5D77" w:rsidRPr="006C40C1" w:rsidRDefault="00AA5D77">
      <w:pPr>
        <w:pStyle w:val="Normaltindrag"/>
        <w:rPr>
          <w:b/>
          <w:sz w:val="16"/>
        </w:rPr>
      </w:pPr>
      <w:r w:rsidRPr="006C40C1">
        <w:t>Trots den senaste tiden</w:t>
      </w:r>
      <w:r w:rsidRPr="006C40C1">
        <w:t>s växande osäkerhet räknar regeringen i budgetpr</w:t>
      </w:r>
      <w:r w:rsidRPr="006C40C1">
        <w:t>o</w:t>
      </w:r>
      <w:r w:rsidRPr="006C40C1">
        <w:t>positionen med att återhämtningen i världsekonomin fortsätter under de nä</w:t>
      </w:r>
      <w:r w:rsidRPr="006C40C1">
        <w:t>r</w:t>
      </w:r>
      <w:r w:rsidRPr="006C40C1">
        <w:t>maste åren. Orsaken är bl.a. att den samlade ekonomiska politiken alltjämt är expansiv och att hushållens efterfrågan i Förenta staterna är relativt stark trots turbulensen på de finansiella marknaderna. Vidare förutses stigande vinster i näringslivet vilket öppnar för ökade investeringar, produktion och sysselsät</w:t>
      </w:r>
      <w:r w:rsidRPr="006C40C1">
        <w:t>t</w:t>
      </w:r>
      <w:r w:rsidRPr="006C40C1">
        <w:t>ning. Återhämtningen blir dock svagare än vad regeringen räknade med i vå</w:t>
      </w:r>
      <w:r w:rsidRPr="006C40C1">
        <w:t>rpropositionen.  Anledningen är bl.a. att fallet på aktiebörserna får en dä</w:t>
      </w:r>
      <w:r w:rsidRPr="006C40C1">
        <w:t>m</w:t>
      </w:r>
      <w:r w:rsidRPr="006C40C1">
        <w:t>pande effekt  på  konsumtionen  och  investeringarna,  speciellt  i  Förenta staterna.</w:t>
      </w:r>
    </w:p>
    <w:p w:rsidR="00AA5D77" w:rsidRPr="006C40C1" w:rsidRDefault="00AA5D77">
      <w:pPr>
        <w:pStyle w:val="Bildrubrik"/>
        <w:rPr>
          <w:b/>
          <w:caps w:val="0"/>
          <w:sz w:val="16"/>
        </w:rPr>
      </w:pPr>
      <w:r w:rsidRPr="006C40C1">
        <w:rPr>
          <w:b/>
          <w:caps w:val="0"/>
          <w:sz w:val="16"/>
        </w:rPr>
        <w:t>Diagram 1. Tillväxten i olika delar av världen</w:t>
      </w:r>
    </w:p>
    <w:p w:rsidR="00AA5D77" w:rsidRPr="006C40C1" w:rsidRDefault="00AA5D77">
      <w:pPr>
        <w:spacing w:before="0"/>
        <w:rPr>
          <w:sz w:val="14"/>
        </w:rPr>
      </w:pPr>
      <w:r w:rsidRPr="006C40C1">
        <w:rPr>
          <w:sz w:val="14"/>
        </w:rPr>
        <w:t>Årlig procentuell förändring</w:t>
      </w:r>
    </w:p>
    <w:p w:rsidR="00AA5D77" w:rsidRPr="006C40C1" w:rsidRDefault="006C40C1">
      <w:r w:rsidRPr="006C40C1">
        <w:rPr>
          <w:noProof/>
        </w:rPr>
        <w:drawing>
          <wp:inline distT="0" distB="0" distL="0" distR="0">
            <wp:extent cx="4572000" cy="22752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l="780" t="1253" b="1878"/>
                    <a:stretch>
                      <a:fillRect/>
                    </a:stretch>
                  </pic:blipFill>
                  <pic:spPr bwMode="auto">
                    <a:xfrm>
                      <a:off x="0" y="0"/>
                      <a:ext cx="4572000" cy="2275205"/>
                    </a:xfrm>
                    <a:prstGeom prst="rect">
                      <a:avLst/>
                    </a:prstGeom>
                    <a:noFill/>
                    <a:ln>
                      <a:noFill/>
                    </a:ln>
                  </pic:spPr>
                </pic:pic>
              </a:graphicData>
            </a:graphic>
          </wp:inline>
        </w:drawing>
      </w:r>
      <w:r w:rsidR="00AA5D77" w:rsidRPr="006C40C1">
        <w:rPr>
          <w:sz w:val="16"/>
        </w:rPr>
        <w:t>Källa: Finansdepartementet</w:t>
      </w:r>
    </w:p>
    <w:p w:rsidR="00AA5D77" w:rsidRPr="006C40C1" w:rsidRDefault="00AA5D77"/>
    <w:p w:rsidR="00AA5D77" w:rsidRPr="006C40C1" w:rsidRDefault="00AA5D77">
      <w:pPr>
        <w:pStyle w:val="Normaltindrag"/>
      </w:pPr>
      <w:r w:rsidRPr="006C40C1">
        <w:t>I fjol ökade bruttonationalprodukten (BNP) i världen med 2,3 %, vilket är ett av de svagaste tillväxttalen för världsekonomin sedan 1970-talet. I år stiger tillväxttakten till 2,7 % – även det en låg siffra i ett historiskt perspektiv – för att nästa år öka till 3,6 %, enligt regeringens bedömning i budgetpropositi</w:t>
      </w:r>
      <w:r w:rsidRPr="006C40C1">
        <w:t>o</w:t>
      </w:r>
      <w:r w:rsidRPr="006C40C1">
        <w:t xml:space="preserve">nen. Det är 0,1 procentenheter högre respektive 0,6 procentenheter lägre än vad regeringen förväntade sig i vårpropositionen. I sin s.k. baskalkyl fram till 2004 räknar regeringen med att BNP stiger med 4,1 % 2004, vilket är samma bedömning som i vårpropositionen. </w:t>
      </w:r>
    </w:p>
    <w:p w:rsidR="00AA5D77" w:rsidRPr="006C40C1" w:rsidRDefault="00AA5D77">
      <w:pPr>
        <w:pStyle w:val="Normaltindrag"/>
      </w:pPr>
      <w:r w:rsidRPr="006C40C1">
        <w:t>Den låga tillväxten gör att arbetslösheten stiger i flertalet större länder. I t.ex. Förenta staterna bedöms arbetslösheten öka från 4,8 % av arbetskraften i fjol till 5,7 % i år.</w:t>
      </w:r>
    </w:p>
    <w:p w:rsidR="00AA5D77" w:rsidRPr="006C40C1" w:rsidRDefault="00AA5D77">
      <w:pPr>
        <w:pStyle w:val="Bildrubrik"/>
        <w:rPr>
          <w:b/>
          <w:caps w:val="0"/>
          <w:sz w:val="16"/>
        </w:rPr>
      </w:pPr>
      <w:r w:rsidRPr="006C40C1">
        <w:rPr>
          <w:b/>
          <w:caps w:val="0"/>
          <w:sz w:val="16"/>
        </w:rPr>
        <w:t>Tabell 1. Tillväxt, inflation och arbetslöshet i världsekonomin</w:t>
      </w:r>
    </w:p>
    <w:p w:rsidR="00AA5D77" w:rsidRPr="006C40C1" w:rsidRDefault="00AA5D77">
      <w:pPr>
        <w:pStyle w:val="Tabellfrklaring"/>
        <w:keepNext w:val="0"/>
        <w:keepLines w:val="0"/>
        <w:spacing w:before="62" w:after="0" w:line="250" w:lineRule="atLeast"/>
      </w:pPr>
      <w:r w:rsidRPr="006C40C1">
        <w:t>Årlig procentuell förändring</w:t>
      </w:r>
    </w:p>
    <w:p w:rsidR="00AA5D77" w:rsidRPr="006C40C1" w:rsidRDefault="006C40C1">
      <w:r w:rsidRPr="006C40C1">
        <w:rPr>
          <w:noProof/>
        </w:rPr>
        <w:drawing>
          <wp:inline distT="0" distB="0" distL="0" distR="0">
            <wp:extent cx="3777615" cy="40112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77615" cy="4011295"/>
                    </a:xfrm>
                    <a:prstGeom prst="rect">
                      <a:avLst/>
                    </a:prstGeom>
                    <a:noFill/>
                    <a:ln>
                      <a:noFill/>
                    </a:ln>
                  </pic:spPr>
                </pic:pic>
              </a:graphicData>
            </a:graphic>
          </wp:inline>
        </w:drawing>
      </w:r>
    </w:p>
    <w:p w:rsidR="00AA5D77" w:rsidRPr="006C40C1" w:rsidRDefault="00AA5D77"/>
    <w:p w:rsidR="00AA5D77" w:rsidRPr="006C40C1" w:rsidRDefault="00AA5D77">
      <w:pPr>
        <w:pStyle w:val="Rubrik3"/>
        <w:rPr>
          <w:noProof w:val="0"/>
        </w:rPr>
      </w:pPr>
      <w:bookmarkStart w:id="53" w:name="_Toc25302115"/>
      <w:bookmarkStart w:id="54" w:name="_Toc25375192"/>
      <w:bookmarkStart w:id="55" w:name="_Toc26191391"/>
      <w:r w:rsidRPr="006C40C1">
        <w:rPr>
          <w:noProof w:val="0"/>
        </w:rPr>
        <w:t>1.1.2 Återhämtningen i Förenta staterna svagare än förväntat</w:t>
      </w:r>
      <w:bookmarkEnd w:id="53"/>
      <w:bookmarkEnd w:id="54"/>
      <w:bookmarkEnd w:id="55"/>
    </w:p>
    <w:p w:rsidR="00AA5D77" w:rsidRPr="006C40C1" w:rsidRDefault="00AA5D77">
      <w:r w:rsidRPr="006C40C1">
        <w:t xml:space="preserve">Förra året steg BNP i Förenta staterna med 0,3 % – den svagaste tillväxten i den amerikanska ekonomin sedan början av 1980-talet, om man bortser från 1991 då BNP till följd av det s.k. Kuwaitkriget sjönk med 0,5 procentenheter. </w:t>
      </w:r>
    </w:p>
    <w:p w:rsidR="00AA5D77" w:rsidRPr="006C40C1" w:rsidRDefault="00AA5D77">
      <w:pPr>
        <w:pStyle w:val="Normaltindrag"/>
      </w:pPr>
      <w:r w:rsidRPr="006C40C1">
        <w:t xml:space="preserve">Kraftigt sänkta räntor, skattesänkningar, omfattande rabatter vid bilinköp och dämpad lageravveckling förde med sig att aktiviteten i den amerikanska ekonomin började stiga på nytt mot slutet av förra året och under inledningen av 2002. Under våren och sommaren har dock uppgången bromsats upp. Hushållens och företagens förväntningar om framtiden har minskat markant samtidigt som tillväxten i hushållskonsumtionen mattats av, bl.a. på grund av den kraftiga prisnedgången på aktier. </w:t>
      </w:r>
    </w:p>
    <w:p w:rsidR="00AA5D77" w:rsidRPr="006C40C1" w:rsidRDefault="00AA5D77">
      <w:pPr>
        <w:pStyle w:val="Normaltindrag"/>
      </w:pPr>
      <w:r w:rsidRPr="006C40C1">
        <w:t>Regeringen räknar dock med att uppgången i Förenta staternas ekonomi fortsätter under de närmaste åren, om än i en långsammare takt än vad som förväntades i vårpropositionen. Den fortsatt expansiva ekonomiska politiken, en hög efterfrågan hos hushållen trots de senaste månadernas minskade fö</w:t>
      </w:r>
      <w:r w:rsidRPr="006C40C1">
        <w:t>r</w:t>
      </w:r>
      <w:r w:rsidRPr="006C40C1">
        <w:t>troende, ökad sysselsättning och stigande reallöner väntas höja förtroendet, öka produktionen och vinsterna i näringslivet. Nedgången på aktiebörserna betyder emellertid att konjunkturuppgången blir svagare än vad som varit fallit vid tidigare återhämtningar. De lägre aktiekurserna ökar hushållsspara</w:t>
      </w:r>
      <w:r w:rsidRPr="006C40C1">
        <w:t>n</w:t>
      </w:r>
      <w:r w:rsidRPr="006C40C1">
        <w:t>det och dämpar både konsumtionen och investeringarna, enligt regeringens bedömning.</w:t>
      </w:r>
    </w:p>
    <w:p w:rsidR="00AA5D77" w:rsidRPr="006C40C1" w:rsidRDefault="00AA5D77">
      <w:pPr>
        <w:pStyle w:val="Normaltindrag"/>
      </w:pPr>
      <w:r w:rsidRPr="006C40C1">
        <w:t>Sammantaget räknar regeringen med att BNP i Förenta staterna stiger med 2,3 % respektive 2,7 % under 2002 och 2003 – en tillv</w:t>
      </w:r>
      <w:r w:rsidRPr="006C40C1">
        <w:t>äxt som under de bägge åren är totalt 0,7 procentenheter lägre än vad regeringen kalkylerade med i vårpropositionen. I regeringens huvudkalkyl förväntas en tillväxt 2004 på 4,1 %, dvs. samma tillväxttal som i vårpr</w:t>
      </w:r>
      <w:r w:rsidRPr="006C40C1">
        <w:t>o</w:t>
      </w:r>
      <w:r w:rsidRPr="006C40C1">
        <w:t>positionen.</w:t>
      </w:r>
    </w:p>
    <w:p w:rsidR="00AA5D77" w:rsidRPr="006C40C1" w:rsidRDefault="00AA5D77">
      <w:pPr>
        <w:pStyle w:val="Rubrik3"/>
        <w:rPr>
          <w:noProof w:val="0"/>
        </w:rPr>
      </w:pPr>
      <w:bookmarkStart w:id="56" w:name="_Toc25302116"/>
      <w:bookmarkStart w:id="57" w:name="_Toc25375193"/>
      <w:bookmarkStart w:id="58" w:name="_Toc26191392"/>
      <w:r w:rsidRPr="006C40C1">
        <w:rPr>
          <w:noProof w:val="0"/>
        </w:rPr>
        <w:t>1.1.3 Svag konjunktur i euroområdet</w:t>
      </w:r>
      <w:bookmarkEnd w:id="56"/>
      <w:bookmarkEnd w:id="57"/>
      <w:bookmarkEnd w:id="58"/>
    </w:p>
    <w:p w:rsidR="00AA5D77" w:rsidRPr="006C40C1" w:rsidRDefault="00AA5D77">
      <w:r w:rsidRPr="006C40C1">
        <w:t>Konjunkturen i euroområdet nådde sin botten i slutet av förra året. Sedan dess har det skett en viss återhämtning, framför allt beroende på stigande export till Förenta staterna. De inhemska investeringarna har dock fortsatt att minska samtidigt som konsumtionen varit svag bl.a. på grund av stigande arbetslöshet och lägre sysse</w:t>
      </w:r>
      <w:r w:rsidRPr="006C40C1">
        <w:t>l</w:t>
      </w:r>
      <w:r w:rsidRPr="006C40C1">
        <w:t xml:space="preserve">sättningstillväxt. </w:t>
      </w:r>
    </w:p>
    <w:p w:rsidR="00AA5D77" w:rsidRPr="006C40C1" w:rsidRDefault="00AA5D77">
      <w:pPr>
        <w:pStyle w:val="Normaltindrag"/>
      </w:pPr>
      <w:r w:rsidRPr="006C40C1">
        <w:t>Till skillnad från utvecklingen i Förenta staterna räknar regeringen i bu</w:t>
      </w:r>
      <w:r w:rsidRPr="006C40C1">
        <w:t>d</w:t>
      </w:r>
      <w:r w:rsidRPr="006C40C1">
        <w:t>getpropositionen med att tillväxttakten i euroområdet fortsätter att sjunka i år, efter den dryga halveringen av tillväxttakten i fjol. Speciellt tydlig är ne</w:t>
      </w:r>
      <w:r w:rsidRPr="006C40C1">
        <w:t>d</w:t>
      </w:r>
      <w:r w:rsidRPr="006C40C1">
        <w:t xml:space="preserve">gången i de större länderna. För t.ex. Tyskland väntas BNP stiga med 0,4 %, efter en tillväxt i fjol på 0,6 %. I Italien och Frankrike sjunker tillväxttakten från 1,8 % i fjol till 0,5 % respektive 1,1 % i år. </w:t>
      </w:r>
    </w:p>
    <w:p w:rsidR="00AA5D77" w:rsidRPr="006C40C1" w:rsidRDefault="00AA5D77">
      <w:pPr>
        <w:pStyle w:val="Normaltindrag"/>
      </w:pPr>
      <w:r w:rsidRPr="006C40C1">
        <w:t>En fortsatt stigande internationell efterfrågan, ökad sysselsättning och st</w:t>
      </w:r>
      <w:r w:rsidRPr="006C40C1">
        <w:t>i</w:t>
      </w:r>
      <w:r w:rsidRPr="006C40C1">
        <w:t>gande reallöner gör enligt regeringens bedömning att efterfrågan i euroomr</w:t>
      </w:r>
      <w:r w:rsidRPr="006C40C1">
        <w:t>å</w:t>
      </w:r>
      <w:r w:rsidRPr="006C40C1">
        <w:t>det stiger och tillväxttakten ökar under de kommande åren. Till det bidrar också de räntesänkningar som Europeiska centralbanken (ECB) genomförde under förra året plus att regeringen kalkylerar med ytterligare en räntesän</w:t>
      </w:r>
      <w:r w:rsidRPr="006C40C1">
        <w:t>k</w:t>
      </w:r>
      <w:r w:rsidRPr="006C40C1">
        <w:t>ning mot slutet av året. Sammantaget bedömer regeringen att BNP i euroo</w:t>
      </w:r>
      <w:r w:rsidRPr="006C40C1">
        <w:t>m</w:t>
      </w:r>
      <w:r w:rsidRPr="006C40C1">
        <w:t xml:space="preserve">rådet stiger med 2,2 % 2003 och 3,0 % 2004, efter en förväntad tillväxt i år på 0,9 %. </w:t>
      </w:r>
    </w:p>
    <w:p w:rsidR="00AA5D77" w:rsidRPr="006C40C1" w:rsidRDefault="00AA5D77">
      <w:pPr>
        <w:pStyle w:val="Normaltindrag"/>
      </w:pPr>
      <w:r w:rsidRPr="006C40C1">
        <w:t>Frågetecknen om styrkan i uppgången i Förenta staterna</w:t>
      </w:r>
      <w:r w:rsidRPr="006C40C1">
        <w:t xml:space="preserve"> och en fortsatt svag arbetsmarknad har under sommaren ökat osäkerheten om konjunktu</w:t>
      </w:r>
      <w:r w:rsidRPr="006C40C1">
        <w:t>r</w:t>
      </w:r>
      <w:r w:rsidRPr="006C40C1">
        <w:t>uppgången i euroområdet, enligt regeringens bedömning. Om inte arbet</w:t>
      </w:r>
      <w:r w:rsidRPr="006C40C1">
        <w:t>s</w:t>
      </w:r>
      <w:r w:rsidRPr="006C40C1">
        <w:t>marknaden förbättras kan uppgången bli svagare och långsammare än vad som antagits i huvudprognosen.</w:t>
      </w:r>
    </w:p>
    <w:p w:rsidR="00AA5D77" w:rsidRPr="006C40C1" w:rsidRDefault="00AA5D77">
      <w:pPr>
        <w:pStyle w:val="Normaltindrag"/>
      </w:pPr>
      <w:r w:rsidRPr="006C40C1">
        <w:t>Tillväxten i den brittiska ekonomin avtog markant mot slutet av förra året bl.a. på grund minskad efterfrågan i den tidigare kraftigt växande tjänstese</w:t>
      </w:r>
      <w:r w:rsidRPr="006C40C1">
        <w:t>k</w:t>
      </w:r>
      <w:r w:rsidRPr="006C40C1">
        <w:t>torn. Tillväxten i år hålls uppe av en hög offentlig konsumtion och en fortsatt förhållandevis stark hushållskonsumtion. En expansiv ekonomisk politik i kombination med ökad sysselsättning gör att tillväxten ökar under de ko</w:t>
      </w:r>
      <w:r w:rsidRPr="006C40C1">
        <w:t>m</w:t>
      </w:r>
      <w:r w:rsidRPr="006C40C1">
        <w:t>mande åren. I takt med att den internationella efterfrågan ökar stiger också industriproduktionen och de brittiska investeringarna. Storbritanniens BNP stiger 1,5 % 2002 och 2,6 % 2003, enligt regeringens bedömning.</w:t>
      </w:r>
    </w:p>
    <w:p w:rsidR="00AA5D77" w:rsidRPr="006C40C1" w:rsidRDefault="00AA5D77">
      <w:pPr>
        <w:pStyle w:val="Normaltindrag"/>
      </w:pPr>
      <w:r w:rsidRPr="006C40C1">
        <w:t>Vid sidan av Tyskland är de övriga nordiska länderna – Danmark, Finlan</w:t>
      </w:r>
      <w:r w:rsidRPr="006C40C1">
        <w:t>d och Norge – de viktigaste marknaderna i Europa för svensk exportindustri.</w:t>
      </w:r>
    </w:p>
    <w:p w:rsidR="00AA5D77" w:rsidRPr="006C40C1" w:rsidRDefault="00AA5D77">
      <w:pPr>
        <w:pStyle w:val="Normaltindrag"/>
      </w:pPr>
      <w:r w:rsidRPr="006C40C1">
        <w:t>Som framgår av tabell 1 räknar regeringen med att Norges BNP växer med 1,7 % i år, efter en uppgång under förra året på 1,5 %. Tillväxten drivs av en stark konsumtion som i sin tur drivs av bl.a. en expansiv ekonomisk politik och stora reala lönepåslag. Den inhemska norska industrin gynnas av kraftiga oljerelaterade investeringar, samtidigt som exportindustrin tyngs av ett högt kostnadsläge och en stark norsk krona. Nästa år ökar ti</w:t>
      </w:r>
      <w:r w:rsidRPr="006C40C1">
        <w:t>llväxttakten till 2,2 %, för att stiga med ytterligare 1,8 % 2004, enligt regeringens bedömning. En svag export och en svag inhemsk efterfrågan gjorde att Danmarks BNP i fjol steg med endast 0,9 %. I år förväntas tillväxttakten stiga till 1,7 % till följd av ökad hushållskonsumtion. Tillväxttakten stiger ytterligare något 2003 när export och investeringar ökar i takt med den internationella konjunkturfö</w:t>
      </w:r>
      <w:r w:rsidRPr="006C40C1">
        <w:t>r</w:t>
      </w:r>
      <w:r w:rsidRPr="006C40C1">
        <w:t>bättringen. Den internationella lågkonjunkturen och nedgången i IKT-sektorn (sektorn för informations- oc</w:t>
      </w:r>
      <w:r w:rsidRPr="006C40C1">
        <w:t>h kommunikationsteknik) slog under förra året hårt mot den finländska ekonomin – tillväxttakten sjönk till 0,7 % efter en uppgång året innan på 5,6 %. Regeringen räknar i budgetpropositionen med att den finländska konjunkturen förbättras under året men att BNP-tillväxten stannar på 1 % 2002. I takt med stigande konsumtion och ökande investerin</w:t>
      </w:r>
      <w:r w:rsidRPr="006C40C1">
        <w:t>g</w:t>
      </w:r>
      <w:r w:rsidRPr="006C40C1">
        <w:t>ar ökar tillväxttakten till 3,1 % 2003 respektive 3,6 % 2004.</w:t>
      </w:r>
    </w:p>
    <w:p w:rsidR="00AA5D77" w:rsidRPr="006C40C1" w:rsidRDefault="00AA5D77">
      <w:pPr>
        <w:pStyle w:val="Normaltindrag"/>
      </w:pPr>
      <w:r w:rsidRPr="006C40C1">
        <w:t>Efter att ha minskat under senare år stiger arbetslösheten på nytt i EU. Som framgår av tabell 1 ökar ar</w:t>
      </w:r>
      <w:r w:rsidRPr="006C40C1">
        <w:t>betslösheten i EU till i genomsnitt 7,8 % 2002. I euroområdet stiger den till 8,5 % efter en arbetslöshet i fjol på 8,3 %. Trots det fortsätter skillnaden i arbetslöshet mellan Europa och Förenta staterna att minska, eftersom arbetslösheten i den amerikanska ekonomin stiger mer än i Europa. I år uppgår skillnaden i arbetslöshet till 2,1 procentenheter, enligt regeringens bedömning. För fem år sedan, i slutet av 1990-talet, var arbet</w:t>
      </w:r>
      <w:r w:rsidRPr="006C40C1">
        <w:t>s</w:t>
      </w:r>
      <w:r w:rsidRPr="006C40C1">
        <w:t>lösheten i E</w:t>
      </w:r>
      <w:r w:rsidRPr="006C40C1">
        <w:t>u</w:t>
      </w:r>
      <w:r w:rsidRPr="006C40C1">
        <w:t>ropa mer än 6 procentenheter högre än i Förenta staterna.</w:t>
      </w:r>
    </w:p>
    <w:p w:rsidR="00AA5D77" w:rsidRPr="006C40C1" w:rsidRDefault="00AA5D77">
      <w:pPr>
        <w:pStyle w:val="Rubrik3"/>
        <w:rPr>
          <w:noProof w:val="0"/>
        </w:rPr>
      </w:pPr>
      <w:bookmarkStart w:id="59" w:name="_Toc25302117"/>
      <w:bookmarkStart w:id="60" w:name="_Toc25375194"/>
      <w:bookmarkStart w:id="61" w:name="_Toc26191393"/>
      <w:r w:rsidRPr="006C40C1">
        <w:rPr>
          <w:noProof w:val="0"/>
        </w:rPr>
        <w:t>1.1.</w:t>
      </w:r>
      <w:r w:rsidRPr="006C40C1">
        <w:rPr>
          <w:noProof w:val="0"/>
        </w:rPr>
        <w:t>4 Deflationen i Japan består</w:t>
      </w:r>
      <w:bookmarkEnd w:id="59"/>
      <w:bookmarkEnd w:id="60"/>
      <w:bookmarkEnd w:id="61"/>
    </w:p>
    <w:p w:rsidR="00AA5D77" w:rsidRPr="006C40C1" w:rsidRDefault="00AA5D77">
      <w:r w:rsidRPr="006C40C1">
        <w:t>Den ekonomiska situationen i Japan ljusnade något under första halvåret. Stigande efterfrågan i framför allt de asiatiska grannländerna stimulerade den japanska exporten och industriproduktionen. Däremot fortsatte den inhemska japanska efterfrågan att vara svag. Visserligen steg hushållens konsumtion något, men det uppvägdes av en fortsatt mycket svag investeringsutveckling och en tilltagande lageravveckling hos företagen. Vidare fortsätter antalet konkurser att öka och arbetslö</w:t>
      </w:r>
      <w:r w:rsidRPr="006C40C1">
        <w:t>sheten ligger på historiskt höga nivåer samtidigt som pr</w:t>
      </w:r>
      <w:r w:rsidRPr="006C40C1">
        <w:t>i</w:t>
      </w:r>
      <w:r w:rsidRPr="006C40C1">
        <w:t xml:space="preserve">serna i ekonomin i genomsnitt sjunker med 1 %. </w:t>
      </w:r>
    </w:p>
    <w:p w:rsidR="00AA5D77" w:rsidRPr="006C40C1" w:rsidRDefault="00AA5D77">
      <w:pPr>
        <w:pStyle w:val="Normaltindrag"/>
      </w:pPr>
      <w:r w:rsidRPr="006C40C1">
        <w:t>Några tecken på en avgörande förbättring under de närmaste åren saknas. Behovet av reformer inom finans- och företagssektorerna är stort. Andelen s.k. dåliga lån i banksystemet är hög och kreditgivningen har forsatt att min</w:t>
      </w:r>
      <w:r w:rsidRPr="006C40C1">
        <w:t>s</w:t>
      </w:r>
      <w:r w:rsidRPr="006C40C1">
        <w:t>ka trots extremt låga räntor och centralbankens försök att öka likviditeten i ekonomin. Möjligheterna att via finanspolitiken stimulera konsumtionen och investeringarna är begränsade genom den stora och snabbt växande offentliga skulden.</w:t>
      </w:r>
    </w:p>
    <w:p w:rsidR="00AA5D77" w:rsidRPr="006C40C1" w:rsidRDefault="00AA5D77">
      <w:pPr>
        <w:pStyle w:val="Normaltindrag"/>
      </w:pPr>
      <w:r w:rsidRPr="006C40C1">
        <w:t>Regeringen gör bedömningen att Japans BNP minskar med 0,5 % i år, e</w:t>
      </w:r>
      <w:r w:rsidRPr="006C40C1">
        <w:t>f</w:t>
      </w:r>
      <w:r w:rsidRPr="006C40C1">
        <w:t xml:space="preserve">ter en nedgång under förra året på 0,3 %. Nästa år stiger BNP med 1,1 % till följd av framför allt stigande internationell efterfrågan och ökad japansk export. </w:t>
      </w:r>
    </w:p>
    <w:p w:rsidR="00AA5D77" w:rsidRPr="006C40C1" w:rsidRDefault="00AA5D77">
      <w:pPr>
        <w:pStyle w:val="Normaltindrag"/>
      </w:pPr>
      <w:r w:rsidRPr="006C40C1">
        <w:t>De exportberoende mindre länderna i Asien, t.ex. Sydkorea, Taiwan, M</w:t>
      </w:r>
      <w:r w:rsidRPr="006C40C1">
        <w:t>a</w:t>
      </w:r>
      <w:r w:rsidRPr="006C40C1">
        <w:t>laysia och Singapore, drabbades hårt av förra årets nedgång i IKT-sektorn och den internationella konjunkturförsvagningen. Hittills i år har emellertid lä</w:t>
      </w:r>
      <w:r w:rsidRPr="006C40C1">
        <w:t>n</w:t>
      </w:r>
      <w:r w:rsidRPr="006C40C1">
        <w:t>derna uppvisat en tydlig återhämtning till följd av en stark export. En fortsatt ökad export och en ökad inhemsk efterfrågan gör att tillväxten utvecklas väl de närmaste åren.</w:t>
      </w:r>
    </w:p>
    <w:p w:rsidR="00AA5D77" w:rsidRPr="006C40C1" w:rsidRDefault="00AA5D77">
      <w:pPr>
        <w:pStyle w:val="Normaltindrag"/>
      </w:pPr>
      <w:r w:rsidRPr="006C40C1">
        <w:t>En stark inhemsk efterfrågan bidrar till att tillväxten i Kina och Indien fortsätter att öka i år och under nästa år. Som helhet växer ekonomierna i Sydostasien med drygt 6 % per å</w:t>
      </w:r>
      <w:r w:rsidRPr="006C40C1">
        <w:t>r både 2002 och 2003, enligt regeringens bedömning.</w:t>
      </w:r>
    </w:p>
    <w:p w:rsidR="00AA5D77" w:rsidRPr="006C40C1" w:rsidRDefault="00AA5D77">
      <w:pPr>
        <w:pStyle w:val="Rubrik3"/>
        <w:rPr>
          <w:noProof w:val="0"/>
        </w:rPr>
      </w:pPr>
      <w:bookmarkStart w:id="62" w:name="_Toc25302118"/>
      <w:bookmarkStart w:id="63" w:name="_Toc25375195"/>
      <w:bookmarkStart w:id="64" w:name="_Toc26191394"/>
      <w:r w:rsidRPr="006C40C1">
        <w:rPr>
          <w:noProof w:val="0"/>
        </w:rPr>
        <w:t>1.1.5 Svag utveckling i Latinamerika</w:t>
      </w:r>
      <w:bookmarkEnd w:id="62"/>
      <w:bookmarkEnd w:id="63"/>
      <w:bookmarkEnd w:id="64"/>
    </w:p>
    <w:p w:rsidR="00AA5D77" w:rsidRPr="006C40C1" w:rsidRDefault="00AA5D77">
      <w:r w:rsidRPr="006C40C1">
        <w:t>Den internationella lågkonjunkturen och stora politiska och ekonomiska problem i flera länder har förvärrat det ekonomiska läget i Latinamerika. I Argentina förväntas produktionen falla kraftigt både i år och under nästa år. Bidragande orsaker till den utvecklingen är höga realräntor bl.a. till följd av låg tillit till växelkurspolitiken, en snabbt stigande inflation, en rekordhög arbetslöshet och krisen inom banksystemet. Även den brasilianska ekonomin tyngs av finansiell oro och politisk osäkerhet som sl</w:t>
      </w:r>
      <w:r w:rsidRPr="006C40C1">
        <w:t xml:space="preserve">år mot tillväxtutsikterna. </w:t>
      </w:r>
    </w:p>
    <w:p w:rsidR="00AA5D77" w:rsidRPr="006C40C1" w:rsidRDefault="00AA5D77">
      <w:pPr>
        <w:pStyle w:val="Normaltindrag"/>
      </w:pPr>
      <w:r w:rsidRPr="006C40C1">
        <w:t>Den mexikanska ekonomin har, i motsatts till den argentinska och brasil</w:t>
      </w:r>
      <w:r w:rsidRPr="006C40C1">
        <w:t>i</w:t>
      </w:r>
      <w:r w:rsidRPr="006C40C1">
        <w:t>anska ekonomin, visat på återhämtning hittills i år, bl.a. till följd av stigande investeringar.</w:t>
      </w:r>
    </w:p>
    <w:p w:rsidR="00AA5D77" w:rsidRPr="006C40C1" w:rsidRDefault="00AA5D77">
      <w:pPr>
        <w:pStyle w:val="Normaltindrag"/>
      </w:pPr>
      <w:r w:rsidRPr="006C40C1">
        <w:t xml:space="preserve">Regeringen bedömer att regionens samlade BNP i år minskar med 0,4 % för att öka med 3,0 % 2003. </w:t>
      </w:r>
    </w:p>
    <w:p w:rsidR="00AA5D77" w:rsidRPr="006C40C1" w:rsidRDefault="00AA5D77">
      <w:pPr>
        <w:pStyle w:val="Rubrik3"/>
        <w:rPr>
          <w:noProof w:val="0"/>
        </w:rPr>
      </w:pPr>
      <w:bookmarkStart w:id="65" w:name="_Toc25302119"/>
      <w:bookmarkStart w:id="66" w:name="_Toc25375196"/>
      <w:bookmarkStart w:id="67" w:name="_Toc26191395"/>
      <w:r w:rsidRPr="006C40C1">
        <w:rPr>
          <w:noProof w:val="0"/>
        </w:rPr>
        <w:t>1.1.6 Osäkerheter i den internationella bedömningen</w:t>
      </w:r>
      <w:bookmarkEnd w:id="65"/>
      <w:bookmarkEnd w:id="66"/>
      <w:bookmarkEnd w:id="67"/>
    </w:p>
    <w:p w:rsidR="00AA5D77" w:rsidRPr="006C40C1" w:rsidRDefault="00AA5D77">
      <w:r w:rsidRPr="006C40C1">
        <w:t>Sammanfattningsvis räknar regeringen med att den internationella konjunkt</w:t>
      </w:r>
      <w:r w:rsidRPr="006C40C1">
        <w:t>u</w:t>
      </w:r>
      <w:r w:rsidRPr="006C40C1">
        <w:t>ren fortsätter att förbättras under prognosperioden. Utvecklingen under våren och sommaren med fallande aktiekurser och minskat förtroende bland ko</w:t>
      </w:r>
      <w:r w:rsidRPr="006C40C1">
        <w:t>n</w:t>
      </w:r>
      <w:r w:rsidRPr="006C40C1">
        <w:t>sumenter och företagare väntas dock innebära att återhämtningen sker i en långsammare takt än vad regeringen förväntade i vårpropositi</w:t>
      </w:r>
      <w:r w:rsidRPr="006C40C1">
        <w:t>o</w:t>
      </w:r>
      <w:r w:rsidRPr="006C40C1">
        <w:t>nen.</w:t>
      </w:r>
    </w:p>
    <w:p w:rsidR="00AA5D77" w:rsidRPr="006C40C1" w:rsidRDefault="00AA5D77">
      <w:pPr>
        <w:pStyle w:val="Normaltindrag"/>
      </w:pPr>
      <w:r w:rsidRPr="006C40C1">
        <w:t>Den största risken och osäkerheten i bedömningen gäller den internati</w:t>
      </w:r>
      <w:r w:rsidRPr="006C40C1">
        <w:t>o</w:t>
      </w:r>
      <w:r w:rsidRPr="006C40C1">
        <w:t>nella utvecklingen. I prognosen räknar regeringen t.ex. med att den senaste tidens turbulens på aktiemarknaderna avtar och att hushållens förtroende för den ekonomiska utvecklingen stiger och att därmed konsumtionen ökar. Det finns en klar risk för att oron på finansmarknaderna fortsätter och att det i större utsträckning än hittills leder till att konsumenterna i t.ex. Förenta st</w:t>
      </w:r>
      <w:r w:rsidRPr="006C40C1">
        <w:t>a</w:t>
      </w:r>
      <w:r w:rsidRPr="006C40C1">
        <w:t>terna blir mer återhållsamma. En sådan utveckling skulle kunna bidra till att  konjunkturen på nytt vänder nedåt och att tillvä</w:t>
      </w:r>
      <w:r w:rsidRPr="006C40C1">
        <w:t xml:space="preserve">xten i världsekonomin under de närmaste åren blir lägre. </w:t>
      </w:r>
    </w:p>
    <w:p w:rsidR="00AA5D77" w:rsidRPr="006C40C1" w:rsidRDefault="00AA5D77">
      <w:pPr>
        <w:pStyle w:val="Normaltindrag"/>
      </w:pPr>
      <w:r w:rsidRPr="006C40C1">
        <w:t xml:space="preserve">Regeringen räknar vidare i prognosen med att arbetsmarknadssituationen i euroområdet förbättras framöver. Fortsätter arbetslösheten att stiga kan det leda till en svagare inhemsk efterfrågan och därmed en ännu lägre tillväxttakt i euroområdet framöver. </w:t>
      </w:r>
    </w:p>
    <w:p w:rsidR="00AA5D77" w:rsidRPr="006C40C1" w:rsidRDefault="00AA5D77">
      <w:pPr>
        <w:pStyle w:val="Normaltindrag"/>
      </w:pPr>
      <w:r w:rsidRPr="006C40C1">
        <w:t>Med anledning av det osäkra internationella konjunkturläget redovisar r</w:t>
      </w:r>
      <w:r w:rsidRPr="006C40C1">
        <w:t>e</w:t>
      </w:r>
      <w:r w:rsidRPr="006C40C1">
        <w:t>geringen i budgetpropositionen ett s.k. lågtillväxtalternativ, i vilket antas att den internationella återhämtningen stannar av och vänds till en nedgång under nästa år. Lågtillväxtalternativet redovisas mer utförligt i avsnitt 1.2.6 Altern</w:t>
      </w:r>
      <w:r w:rsidRPr="006C40C1">
        <w:t>a</w:t>
      </w:r>
      <w:r w:rsidRPr="006C40C1">
        <w:t>tiva kalkyler för utvec</w:t>
      </w:r>
      <w:r w:rsidRPr="006C40C1">
        <w:t>k</w:t>
      </w:r>
      <w:r w:rsidRPr="006C40C1">
        <w:t>lingen fram till 2004.</w:t>
      </w:r>
    </w:p>
    <w:p w:rsidR="00AA5D77" w:rsidRPr="006C40C1" w:rsidRDefault="00AA5D77">
      <w:pPr>
        <w:pStyle w:val="Rubrik2"/>
      </w:pPr>
      <w:bookmarkStart w:id="68" w:name="_Toc25302120"/>
      <w:bookmarkStart w:id="69" w:name="_Toc25375197"/>
      <w:bookmarkStart w:id="70" w:name="_Toc26191396"/>
      <w:r w:rsidRPr="006C40C1">
        <w:t>1.2 Den ekonomiska utvecklingen i Sverige</w:t>
      </w:r>
      <w:bookmarkEnd w:id="68"/>
      <w:bookmarkEnd w:id="69"/>
      <w:bookmarkEnd w:id="70"/>
    </w:p>
    <w:p w:rsidR="00AA5D77" w:rsidRPr="006C40C1" w:rsidRDefault="00AA5D77">
      <w:pPr>
        <w:pStyle w:val="Rubrik3"/>
        <w:spacing w:before="110"/>
        <w:rPr>
          <w:noProof w:val="0"/>
        </w:rPr>
      </w:pPr>
      <w:bookmarkStart w:id="71" w:name="_Toc25302121"/>
      <w:bookmarkStart w:id="72" w:name="_Toc25375198"/>
      <w:bookmarkStart w:id="73" w:name="_Toc26191397"/>
      <w:r w:rsidRPr="006C40C1">
        <w:rPr>
          <w:noProof w:val="0"/>
        </w:rPr>
        <w:t>1.2.1 Bättre än förväntat i den svenska ekonomin</w:t>
      </w:r>
      <w:bookmarkEnd w:id="71"/>
      <w:bookmarkEnd w:id="72"/>
      <w:bookmarkEnd w:id="73"/>
    </w:p>
    <w:p w:rsidR="00AA5D77" w:rsidRPr="006C40C1" w:rsidRDefault="00AA5D77">
      <w:r w:rsidRPr="006C40C1">
        <w:t>Hittills i år har den svenska ekonomin utvecklats relativt gynnsamt, trots den låga tillväxten i världsekonomin och den svaga utvecklingen i delar av eur</w:t>
      </w:r>
      <w:r w:rsidRPr="006C40C1">
        <w:t>o</w:t>
      </w:r>
      <w:r w:rsidRPr="006C40C1">
        <w:t>området. Den svenska exporten steg överraskande kraftigt under första hal</w:t>
      </w:r>
      <w:r w:rsidRPr="006C40C1">
        <w:t>v</w:t>
      </w:r>
      <w:r w:rsidRPr="006C40C1">
        <w:t xml:space="preserve">året, bl.a. på grund av en god konkurrenskraft och en lågt värderad krona. Även hushållskonsumtionen har, trots den internationella oron och den svaga börsutvecklingen, ökat förhållandevis starkt hittills i år, efter den mycket svaga utvecklingen under 2001. Den stigande konsumtionen förklaras bl.a. av kraftigt ökade inkomster – hushållens reala disponibla inkomster väntas i år stiga med 4,8 %, varav mer än hälften av ökningen beror </w:t>
      </w:r>
      <w:r w:rsidRPr="006C40C1">
        <w:t>på finanspolitiska åtgärder i form av t.ex. sänkta skatter och lägre daghemsavgifter när maxta</w:t>
      </w:r>
      <w:r w:rsidRPr="006C40C1">
        <w:t>x</w:t>
      </w:r>
      <w:r w:rsidRPr="006C40C1">
        <w:t>an infördes vid årsskiftet. En annan förklaring är att den öppna arbetslösheten, i motsats till regeringens förväntningar i vårpropositionen, legat kvar på ung</w:t>
      </w:r>
      <w:r w:rsidRPr="006C40C1">
        <w:t>e</w:t>
      </w:r>
      <w:r w:rsidRPr="006C40C1">
        <w:t>fär samma nivå som under förra året. Som framgår av diagram 2 har också hushållens förväntningar om den ekonomiska framtiden (enligt Konjunkturi</w:t>
      </w:r>
      <w:r w:rsidRPr="006C40C1">
        <w:t>n</w:t>
      </w:r>
      <w:r w:rsidRPr="006C40C1">
        <w:t xml:space="preserve">stitutets samlade tillförsiktsindikator, den s.k. CCI) ökat under det senaste året, även om en viss nedgång kan </w:t>
      </w:r>
      <w:r w:rsidRPr="006C40C1">
        <w:t>noteras de senaste månaderna bl.a. som en följd av sommarens och höstens prisfall på Stockholm</w:t>
      </w:r>
      <w:r w:rsidRPr="006C40C1">
        <w:t>s</w:t>
      </w:r>
      <w:r w:rsidRPr="006C40C1">
        <w:t xml:space="preserve">börsen. </w:t>
      </w:r>
    </w:p>
    <w:p w:rsidR="00AA5D77" w:rsidRPr="006C40C1" w:rsidRDefault="00AA5D77">
      <w:pPr>
        <w:pStyle w:val="Normaltindrag"/>
      </w:pPr>
      <w:r w:rsidRPr="006C40C1">
        <w:t>Tillväxten i den svenska ekonomin hittills under 2002 har också gynnats av att både den statliga och kommunala konsumtionen ökat mer än förväntat. Däremot har investeringarna, med undantag för bostadsinvesteringarna, u</w:t>
      </w:r>
      <w:r w:rsidRPr="006C40C1">
        <w:t>t</w:t>
      </w:r>
      <w:r w:rsidRPr="006C40C1">
        <w:t>vecklats svagare än vad som förväntades i vårpropositionen. Det låga kapac</w:t>
      </w:r>
      <w:r w:rsidRPr="006C40C1">
        <w:t>i</w:t>
      </w:r>
      <w:r w:rsidRPr="006C40C1">
        <w:t>tetsutnyttjandet i industrin gör att industriinvesteringarna fortsätter att sjunka i år. Till skillnad från utvecklingen under förra året bedöms även investering</w:t>
      </w:r>
      <w:r w:rsidRPr="006C40C1">
        <w:t>s</w:t>
      </w:r>
      <w:r w:rsidRPr="006C40C1">
        <w:t>verksamheten i tjänstesektorn minska i år. Anledningen är bl.a. en svagare efterfrågan men nedgången beror också delvis på de mycket omfattande inv</w:t>
      </w:r>
      <w:r w:rsidRPr="006C40C1">
        <w:t>e</w:t>
      </w:r>
      <w:r w:rsidRPr="006C40C1">
        <w:t xml:space="preserve">steringar som branschen genomfört under de senaste åren. </w:t>
      </w:r>
    </w:p>
    <w:p w:rsidR="00AA5D77" w:rsidRPr="006C40C1" w:rsidRDefault="00AA5D77">
      <w:pPr>
        <w:pStyle w:val="Normaltindrag"/>
      </w:pPr>
      <w:r w:rsidRPr="006C40C1">
        <w:t>I likhet med utvecklingen under förra året begränsas årets BNP-tillv</w:t>
      </w:r>
      <w:r w:rsidRPr="006C40C1">
        <w:t>äxt av att både industrin och handeln i viss utsträckning tillgodosett efterfrågan genom lagera</w:t>
      </w:r>
      <w:r w:rsidRPr="006C40C1">
        <w:t>v</w:t>
      </w:r>
      <w:r w:rsidRPr="006C40C1">
        <w:t>veckling.</w:t>
      </w:r>
    </w:p>
    <w:p w:rsidR="00AA5D77" w:rsidRPr="006C40C1" w:rsidRDefault="00AA5D77">
      <w:pPr>
        <w:pStyle w:val="Bildrubrik"/>
        <w:rPr>
          <w:b/>
          <w:sz w:val="16"/>
        </w:rPr>
      </w:pPr>
      <w:r w:rsidRPr="006C40C1">
        <w:rPr>
          <w:b/>
          <w:caps w:val="0"/>
          <w:sz w:val="16"/>
        </w:rPr>
        <w:t>Diagram 2. Hushållens och företagens framtidsförväntningar</w:t>
      </w:r>
      <w:r w:rsidRPr="006C40C1">
        <w:rPr>
          <w:b/>
          <w:caps w:val="0"/>
          <w:sz w:val="16"/>
          <w:vertAlign w:val="superscript"/>
        </w:rPr>
        <w:t>1</w:t>
      </w:r>
    </w:p>
    <w:p w:rsidR="00AA5D77" w:rsidRPr="006C40C1" w:rsidRDefault="006C40C1">
      <w:r w:rsidRPr="006C40C1">
        <w:rPr>
          <w:noProof/>
        </w:rPr>
        <w:drawing>
          <wp:inline distT="0" distB="0" distL="0" distR="0">
            <wp:extent cx="3564890" cy="21932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l="1558" r="40520" b="36322"/>
                    <a:stretch>
                      <a:fillRect/>
                    </a:stretch>
                  </pic:blipFill>
                  <pic:spPr bwMode="auto">
                    <a:xfrm>
                      <a:off x="0" y="0"/>
                      <a:ext cx="3564890" cy="2193290"/>
                    </a:xfrm>
                    <a:prstGeom prst="rect">
                      <a:avLst/>
                    </a:prstGeom>
                    <a:noFill/>
                    <a:ln>
                      <a:noFill/>
                    </a:ln>
                  </pic:spPr>
                </pic:pic>
              </a:graphicData>
            </a:graphic>
          </wp:inline>
        </w:drawing>
      </w:r>
    </w:p>
    <w:p w:rsidR="00AA5D77" w:rsidRPr="006C40C1" w:rsidRDefault="00AA5D77">
      <w:pPr>
        <w:pStyle w:val="Fotnotstext"/>
        <w:rPr>
          <w:sz w:val="14"/>
        </w:rPr>
      </w:pPr>
      <w:r w:rsidRPr="006C40C1">
        <w:rPr>
          <w:sz w:val="14"/>
          <w:vertAlign w:val="superscript"/>
        </w:rPr>
        <w:t>1</w:t>
      </w:r>
      <w:r w:rsidRPr="006C40C1">
        <w:rPr>
          <w:sz w:val="14"/>
        </w:rPr>
        <w:t xml:space="preserve"> Skillnaden mellan andelen positiva och andelen negativa.</w:t>
      </w:r>
    </w:p>
    <w:p w:rsidR="00AA5D77" w:rsidRPr="006C40C1" w:rsidRDefault="00AA5D77">
      <w:pPr>
        <w:pStyle w:val="Fotnotstext"/>
        <w:rPr>
          <w:sz w:val="14"/>
        </w:rPr>
      </w:pPr>
      <w:r w:rsidRPr="006C40C1">
        <w:rPr>
          <w:sz w:val="14"/>
        </w:rPr>
        <w:t>Källa: Konjunkturinstitutet och Statistiska centralbyrån</w:t>
      </w:r>
    </w:p>
    <w:p w:rsidR="00AA5D77" w:rsidRPr="006C40C1" w:rsidRDefault="00AA5D77">
      <w:pPr>
        <w:pStyle w:val="Fotnotstextindrag"/>
      </w:pPr>
    </w:p>
    <w:p w:rsidR="00AA5D77" w:rsidRPr="006C40C1" w:rsidRDefault="00AA5D77">
      <w:r w:rsidRPr="006C40C1">
        <w:t>Den stigande exporten och den ökande konsumtionen gör att Sveriges BNP stiger med 2,1 % 2002, enligt regeringens bedömning i budgetpropositionen. Det är 0,4 procentenheter högre än vad regeringen räknade med i vårpropos</w:t>
      </w:r>
      <w:r w:rsidRPr="006C40C1">
        <w:t>i</w:t>
      </w:r>
      <w:r w:rsidRPr="006C40C1">
        <w:t>tionen. Under förutsättning att återhämtningen i världsekonomin inte bryts och att situationen på världens finansmarknader stabiliseras fortsätter aktiv</w:t>
      </w:r>
      <w:r w:rsidRPr="006C40C1">
        <w:t>i</w:t>
      </w:r>
      <w:r w:rsidRPr="006C40C1">
        <w:t xml:space="preserve">teten i den svenska ekonomin att öka under de närmaste åren. BNP stiger med 2,5 % per år både 2003 och 2004, enligt regeringens bedömning. </w:t>
      </w:r>
    </w:p>
    <w:p w:rsidR="00AA5D77" w:rsidRPr="006C40C1" w:rsidRDefault="00AA5D77">
      <w:pPr>
        <w:pStyle w:val="Normaltindrag"/>
      </w:pPr>
      <w:r w:rsidRPr="006C40C1">
        <w:t>Som framgår av tabell 2 är det framför allt hushållens konsumtion som även i fortsättningen väntas vara motorn i den svenska ekonomin under de närmaste åren. Stigande inkomster, en förhållandevis god förmögenhetsstäl</w:t>
      </w:r>
      <w:r w:rsidRPr="006C40C1">
        <w:t>l</w:t>
      </w:r>
      <w:r w:rsidRPr="006C40C1">
        <w:t>ning i hushållssektorn trots de senaste årens börsfall och en låg öppen arbet</w:t>
      </w:r>
      <w:r w:rsidRPr="006C40C1">
        <w:t>s</w:t>
      </w:r>
      <w:r w:rsidRPr="006C40C1">
        <w:t>löshet ger utrymme för en fortsatt relativt hög konsumtion framöver. Rege</w:t>
      </w:r>
      <w:r w:rsidRPr="006C40C1">
        <w:t>r</w:t>
      </w:r>
      <w:r w:rsidRPr="006C40C1">
        <w:t>ingen räknar med att hushållens konsumtion ökar med i genomsnitt 2,5 % per år under de kommande två åren, jämfört med en förväntad uppgång i år på omkring 2 %.</w:t>
      </w:r>
    </w:p>
    <w:p w:rsidR="00AA5D77" w:rsidRPr="006C40C1" w:rsidRDefault="00AA5D77">
      <w:pPr>
        <w:pStyle w:val="Normaltindrag"/>
      </w:pPr>
      <w:r w:rsidRPr="006C40C1">
        <w:t>Som nämnts ovan och som även framgår av tabell 2 väntas utrikeshandeln som helhet ge ett relativt stort bidrag till årets tillväxt, på grund av en förhå</w:t>
      </w:r>
      <w:r w:rsidRPr="006C40C1">
        <w:t>l</w:t>
      </w:r>
      <w:r w:rsidRPr="006C40C1">
        <w:t>landevis stark export och en svag utveckling av importen. Den förväntade ökade internationella efterfrågan bidrar till att den svenska exporten fortsätter att stiga under de närmaste åren. Utrikeshandelns bidrag till tillväxten blir dock lägre, eller t.o.m. negativt 2003, bl.a. till följd av att importen ökar i takt med att exporten av varor med stort importinnehåll stiger, lagren inom ind</w:t>
      </w:r>
      <w:r w:rsidRPr="006C40C1">
        <w:t>u</w:t>
      </w:r>
      <w:r w:rsidRPr="006C40C1">
        <w:t>strin och handeln vänds från avveckling till uppbyggnad samt att kronans värde väntas stiga, vilket gör importen billi</w:t>
      </w:r>
      <w:r w:rsidRPr="006C40C1">
        <w:t xml:space="preserve">gare. </w:t>
      </w:r>
    </w:p>
    <w:p w:rsidR="00AA5D77" w:rsidRPr="006C40C1" w:rsidRDefault="00AA5D77">
      <w:pPr>
        <w:pStyle w:val="Bildrubrik"/>
        <w:rPr>
          <w:b/>
          <w:caps w:val="0"/>
          <w:sz w:val="16"/>
          <w:vertAlign w:val="superscript"/>
        </w:rPr>
      </w:pPr>
      <w:r w:rsidRPr="006C40C1">
        <w:rPr>
          <w:b/>
          <w:caps w:val="0"/>
          <w:sz w:val="16"/>
        </w:rPr>
        <w:t>Tabell 2. Bidrag till BNP-tillväxten</w:t>
      </w:r>
      <w:r w:rsidRPr="006C40C1">
        <w:rPr>
          <w:b/>
          <w:caps w:val="0"/>
          <w:sz w:val="16"/>
          <w:vertAlign w:val="superscript"/>
        </w:rPr>
        <w:t>1</w:t>
      </w:r>
    </w:p>
    <w:p w:rsidR="00AA5D77" w:rsidRPr="006C40C1" w:rsidRDefault="00AA5D77">
      <w:pPr>
        <w:pStyle w:val="Tabellfrklaring"/>
        <w:keepNext w:val="0"/>
        <w:keepLines w:val="0"/>
        <w:spacing w:before="62" w:after="0" w:line="250" w:lineRule="atLeast"/>
      </w:pPr>
      <w:r w:rsidRPr="006C40C1">
        <w:t>Procentenheter</w:t>
      </w:r>
    </w:p>
    <w:p w:rsidR="00AA5D77" w:rsidRPr="006C40C1" w:rsidRDefault="006C40C1">
      <w:r w:rsidRPr="006C40C1">
        <w:rPr>
          <w:noProof/>
        </w:rPr>
        <w:drawing>
          <wp:inline distT="0" distB="0" distL="0" distR="0">
            <wp:extent cx="3733800" cy="9632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33800" cy="963295"/>
                    </a:xfrm>
                    <a:prstGeom prst="rect">
                      <a:avLst/>
                    </a:prstGeom>
                    <a:noFill/>
                    <a:ln>
                      <a:noFill/>
                    </a:ln>
                  </pic:spPr>
                </pic:pic>
              </a:graphicData>
            </a:graphic>
          </wp:inline>
        </w:drawing>
      </w:r>
    </w:p>
    <w:p w:rsidR="00AA5D77" w:rsidRPr="006C40C1" w:rsidRDefault="00AA5D77">
      <w:pPr>
        <w:spacing w:line="240" w:lineRule="auto"/>
        <w:rPr>
          <w:sz w:val="14"/>
        </w:rPr>
      </w:pPr>
      <w:r w:rsidRPr="006C40C1">
        <w:rPr>
          <w:sz w:val="14"/>
          <w:vertAlign w:val="superscript"/>
        </w:rPr>
        <w:t xml:space="preserve">1 </w:t>
      </w:r>
      <w:r w:rsidRPr="006C40C1">
        <w:rPr>
          <w:sz w:val="14"/>
        </w:rPr>
        <w:t>Bidragen för 2000 redovisas exklusive effekten av att Svenska kyrkan fr.o.m. 2000 ingår i hushållsse</w:t>
      </w:r>
      <w:r w:rsidRPr="006C40C1">
        <w:rPr>
          <w:sz w:val="14"/>
        </w:rPr>
        <w:t>k</w:t>
      </w:r>
      <w:r w:rsidRPr="006C40C1">
        <w:rPr>
          <w:sz w:val="14"/>
        </w:rPr>
        <w:t>torn.</w:t>
      </w:r>
    </w:p>
    <w:p w:rsidR="00AA5D77" w:rsidRPr="006C40C1" w:rsidRDefault="00AA5D77">
      <w:pPr>
        <w:pStyle w:val="Tabellfrklaring"/>
        <w:keepNext w:val="0"/>
        <w:keepLines w:val="0"/>
        <w:spacing w:before="62" w:after="0"/>
      </w:pPr>
      <w:r w:rsidRPr="006C40C1">
        <w:t>Källa: Finansdepartementet</w:t>
      </w:r>
    </w:p>
    <w:p w:rsidR="00AA5D77" w:rsidRPr="006C40C1" w:rsidRDefault="00AA5D77">
      <w:r w:rsidRPr="006C40C1">
        <w:t>I takt med att efterfrågan och produktionen i ekonomin (och industrin) stiger ökar investeringarna under de närmaste åren. Sammantaget räknar regeringen med en investeringsökning på 4,6 % 2003 och 5,1 % 2004. När det gäller investeringarna i post- och telekommunikationsbranschen har dessa kraftigt justerats ned jämfört med vårpropositionen. Endast en liten ökning förutses. Orsaken är att utbyggnaden av tredje generationens mobiltelefoni, det s.k. 3 G, nu, till skillnad från tidigare, endast väntas kompense</w:t>
      </w:r>
      <w:r w:rsidRPr="006C40C1">
        <w:t>ra för de investe</w:t>
      </w:r>
      <w:r w:rsidRPr="006C40C1">
        <w:t>r</w:t>
      </w:r>
      <w:r w:rsidRPr="006C40C1">
        <w:t>ing</w:t>
      </w:r>
      <w:r w:rsidRPr="006C40C1">
        <w:t>s</w:t>
      </w:r>
      <w:r w:rsidRPr="006C40C1">
        <w:t xml:space="preserve">minskningar som sker i branschen i övrigt. </w:t>
      </w:r>
    </w:p>
    <w:p w:rsidR="00AA5D77" w:rsidRPr="006C40C1" w:rsidRDefault="00AA5D77">
      <w:pPr>
        <w:pStyle w:val="Normaltindrag"/>
      </w:pPr>
      <w:r w:rsidRPr="006C40C1">
        <w:t>Regeringen gör vidare bedömningen att det finns lediga resurser i den svenska ekonomin. Det s.k. BNP-gapet i ekonomin, dvs. skillnaden mellan den faktiska produktionsnivån i samhället och den praktiskt möjliga, väntas vara negativ under hela prognosperioden. BNP-gapet antas slutas först 2005. Det innebär att ekonomin under 2003 och 2004 kan växa snabbare än den svenska ekonomins långsiktiga tillväxttrend på omkring 2 % utan att inflati</w:t>
      </w:r>
      <w:r w:rsidRPr="006C40C1">
        <w:t>o</w:t>
      </w:r>
      <w:r w:rsidRPr="006C40C1">
        <w:t>nen tar fart.</w:t>
      </w:r>
    </w:p>
    <w:p w:rsidR="00AA5D77" w:rsidRPr="006C40C1" w:rsidRDefault="00AA5D77">
      <w:pPr>
        <w:pStyle w:val="Normaltindrag"/>
      </w:pPr>
      <w:r w:rsidRPr="006C40C1">
        <w:t>Som redovisats ovan räknar regeringen i sin baskalkyl med att BNP stiger med 2,1 % 2002 och 2,5 % per år 2003 respektive 2004. Mot bakgrund av den osäkra internationella konjunkturen och osäkra beräkningar av resursläget i den svenska ekonomin redovisar regeringen två alternativa utveckling</w:t>
      </w:r>
      <w:r w:rsidRPr="006C40C1">
        <w:t>s</w:t>
      </w:r>
      <w:r w:rsidRPr="006C40C1">
        <w:t>scenarier för perioden fram till 2004 – det s.k. högtillväxtalternativet som utgår från att det inledningsvis finns mer lediga resurser i ekonomin och att sysselsättningsmålet nås 2004 och det s.k. lågtillväxtalternativet i vilket antas att återhämtningen i den internationella ekonomin bromsas upp och helt sta</w:t>
      </w:r>
      <w:r w:rsidRPr="006C40C1">
        <w:t>n</w:t>
      </w:r>
      <w:r w:rsidRPr="006C40C1">
        <w:t>nar av under nästa år. De bägge alternativen redovisas mer utförligt nedan under avsnittet Alternativa kalkyler för utvecklingen fram till 2004.</w:t>
      </w:r>
    </w:p>
    <w:p w:rsidR="00AA5D77" w:rsidRPr="006C40C1" w:rsidRDefault="00AA5D77">
      <w:pPr>
        <w:pStyle w:val="Rubrik3"/>
        <w:rPr>
          <w:noProof w:val="0"/>
        </w:rPr>
      </w:pPr>
      <w:bookmarkStart w:id="74" w:name="_Toc25302122"/>
      <w:bookmarkStart w:id="75" w:name="_Toc25375199"/>
      <w:bookmarkStart w:id="76" w:name="_Toc26191398"/>
      <w:r w:rsidRPr="006C40C1">
        <w:rPr>
          <w:noProof w:val="0"/>
        </w:rPr>
        <w:t>1.2.2 Prognosförutsättningar och nyckeltal</w:t>
      </w:r>
      <w:bookmarkEnd w:id="74"/>
      <w:bookmarkEnd w:id="75"/>
      <w:bookmarkEnd w:id="76"/>
    </w:p>
    <w:p w:rsidR="00AA5D77" w:rsidRPr="006C40C1" w:rsidRDefault="00AA5D77">
      <w:r w:rsidRPr="006C40C1">
        <w:t>Regeringens prognos bygger på den ekonomiska och statistiska information som fanns tillgänglig t.o.m. den 4 oktober 2002. Ett viktigt antagande i pr</w:t>
      </w:r>
      <w:r w:rsidRPr="006C40C1">
        <w:t>o</w:t>
      </w:r>
      <w:r w:rsidRPr="006C40C1">
        <w:t>gnosen är att de avtalsmässiga löneökningarna och löneglidningen hålls til</w:t>
      </w:r>
      <w:r w:rsidRPr="006C40C1">
        <w:t>l</w:t>
      </w:r>
      <w:r w:rsidRPr="006C40C1">
        <w:t>baka så att de totala lönekostnadsökningarna i ekonomin begränsas till 3,5 % per år under de närmaste åren. Siffrorna för 2002 och 2003 är prognoser, medan uppgifterna för 2004 bygger på antagandet att det vid utgången av 2003 fortf</w:t>
      </w:r>
      <w:r w:rsidRPr="006C40C1">
        <w:t>a</w:t>
      </w:r>
      <w:r w:rsidRPr="006C40C1">
        <w:t xml:space="preserve">rande finns lediga resurser i den svenska ekonomin. </w:t>
      </w:r>
    </w:p>
    <w:p w:rsidR="00AA5D77" w:rsidRPr="006C40C1" w:rsidRDefault="00AA5D77">
      <w:pPr>
        <w:pStyle w:val="Normaltindrag"/>
      </w:pPr>
      <w:r w:rsidRPr="006C40C1">
        <w:t>I tabell 3 och 4 redovisas förutsättningarna och nyckeltalen i regeringens prognos. I punkterna nedan sammanfattas några av de viktigaste elementen:</w:t>
      </w:r>
    </w:p>
    <w:p w:rsidR="00AA5D77" w:rsidRPr="006C40C1" w:rsidRDefault="00AA5D77">
      <w:pPr>
        <w:pStyle w:val="Bildrubrik"/>
        <w:rPr>
          <w:b/>
          <w:sz w:val="16"/>
        </w:rPr>
      </w:pPr>
      <w:r w:rsidRPr="006C40C1">
        <w:rPr>
          <w:b/>
          <w:caps w:val="0"/>
          <w:sz w:val="16"/>
        </w:rPr>
        <w:t>Tabell 3. Prognosförutsättningar 2000–2004</w:t>
      </w:r>
    </w:p>
    <w:p w:rsidR="00AA5D77" w:rsidRPr="006C40C1" w:rsidRDefault="006C40C1">
      <w:r w:rsidRPr="006C40C1">
        <w:rPr>
          <w:noProof/>
        </w:rPr>
        <w:drawing>
          <wp:inline distT="0" distB="0" distL="0" distR="0">
            <wp:extent cx="3771900" cy="196469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771900" cy="1964690"/>
                    </a:xfrm>
                    <a:prstGeom prst="rect">
                      <a:avLst/>
                    </a:prstGeom>
                    <a:noFill/>
                    <a:ln>
                      <a:noFill/>
                    </a:ln>
                  </pic:spPr>
                </pic:pic>
              </a:graphicData>
            </a:graphic>
          </wp:inline>
        </w:drawing>
      </w:r>
    </w:p>
    <w:p w:rsidR="00AA5D77" w:rsidRPr="006C40C1" w:rsidRDefault="00AA5D77">
      <w:pPr>
        <w:pStyle w:val="PunktlistaBomb"/>
      </w:pPr>
      <w:r w:rsidRPr="006C40C1">
        <w:sym w:font="Symbol" w:char="F0B7"/>
      </w:r>
      <w:r w:rsidRPr="006C40C1">
        <w:tab/>
        <w:t>Som nämndes ovan antar regeringen att de totala lönekostnadsökninga</w:t>
      </w:r>
      <w:r w:rsidRPr="006C40C1">
        <w:t>r</w:t>
      </w:r>
      <w:r w:rsidRPr="006C40C1">
        <w:t>na begränsas till 3,5 % 2003 och 2004. I fjol steg lönekostnaderna med 4,3 %, och i år väntas en uppgång på 3,7 %.</w:t>
      </w:r>
    </w:p>
    <w:p w:rsidR="00AA5D77" w:rsidRPr="006C40C1" w:rsidRDefault="00AA5D77">
      <w:pPr>
        <w:pStyle w:val="PunktlistaBomb"/>
      </w:pPr>
      <w:r w:rsidRPr="006C40C1">
        <w:sym w:font="Symbol" w:char="F0B7"/>
      </w:r>
      <w:r w:rsidRPr="006C40C1">
        <w:tab/>
        <w:t>Jämfört med vårpropositionen räknar regeringen med en svagare svensk krona under de närmaste åren. Mätt enligt det s.k. TCW-index ligger kronans värde på i genomsnitt 133,8 år 2002, 128,8 år 2003 och 127 år 2004 mot förväntade 131,6, 124,8 respektive 122,5 i vårpropositionen (ju högre vä</w:t>
      </w:r>
      <w:r w:rsidRPr="006C40C1">
        <w:t>r</w:t>
      </w:r>
      <w:r w:rsidRPr="006C40C1">
        <w:t>de, desto svagare krona).</w:t>
      </w:r>
    </w:p>
    <w:p w:rsidR="00AA5D77" w:rsidRPr="006C40C1" w:rsidRDefault="00AA5D77">
      <w:pPr>
        <w:pStyle w:val="PunktlistaBomb"/>
      </w:pPr>
      <w:r w:rsidRPr="006C40C1">
        <w:sym w:font="Symbol" w:char="F0B7"/>
      </w:r>
      <w:r w:rsidRPr="006C40C1">
        <w:tab/>
        <w:t>Som framgår av tabell 4 har regeringen till följd av den oväntat gyn</w:t>
      </w:r>
      <w:r w:rsidRPr="006C40C1">
        <w:t>n</w:t>
      </w:r>
      <w:r w:rsidRPr="006C40C1">
        <w:t>samma utvecklingen hittills i år justerat upp sin arbetsmarknadsprognos för perioden fram till 2004. Den öppna arbetslösheten sjunker från 4 % av arbetskraften i fjol till 3,9 % i år. I vårpropositionen räknade regerin</w:t>
      </w:r>
      <w:r w:rsidRPr="006C40C1">
        <w:t>g</w:t>
      </w:r>
      <w:r w:rsidRPr="006C40C1">
        <w:t>en med en öppen arbetslöshetsnivå på 4,3 %. Antalet deltagare i ko</w:t>
      </w:r>
      <w:r w:rsidRPr="006C40C1">
        <w:t>n</w:t>
      </w:r>
      <w:r w:rsidRPr="006C40C1">
        <w:t>junkturberoende arbetsmarknadspolitiska åtgärder bedöms dock bli högre i år än vad som antogs i vårpropositionen. Den öppna arbetslösheten väntas sedan sjun</w:t>
      </w:r>
      <w:r w:rsidRPr="006C40C1">
        <w:t>ka ytterligare, till 3,8 % 2003, vilket är 0,2 procente</w:t>
      </w:r>
      <w:r w:rsidRPr="006C40C1">
        <w:t>n</w:t>
      </w:r>
      <w:r w:rsidRPr="006C40C1">
        <w:t>heter lägre än prognosen i vårprop</w:t>
      </w:r>
      <w:r w:rsidRPr="006C40C1">
        <w:t>o</w:t>
      </w:r>
      <w:r w:rsidRPr="006C40C1">
        <w:t>sitionen.</w:t>
      </w:r>
    </w:p>
    <w:p w:rsidR="00AA5D77" w:rsidRPr="006C40C1" w:rsidRDefault="00AA5D77">
      <w:pPr>
        <w:pStyle w:val="Bildrubrik"/>
        <w:rPr>
          <w:b/>
          <w:sz w:val="16"/>
        </w:rPr>
      </w:pPr>
      <w:r w:rsidRPr="006C40C1">
        <w:rPr>
          <w:b/>
          <w:caps w:val="0"/>
          <w:sz w:val="16"/>
        </w:rPr>
        <w:t>Tabell 4. Nyckeltal 2000–2004</w:t>
      </w:r>
    </w:p>
    <w:p w:rsidR="00AA5D77" w:rsidRPr="006C40C1" w:rsidRDefault="006C40C1">
      <w:r w:rsidRPr="006C40C1">
        <w:rPr>
          <w:noProof/>
        </w:rPr>
        <w:drawing>
          <wp:inline distT="0" distB="0" distL="0" distR="0">
            <wp:extent cx="3771900" cy="329819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71900" cy="3298190"/>
                    </a:xfrm>
                    <a:prstGeom prst="rect">
                      <a:avLst/>
                    </a:prstGeom>
                    <a:noFill/>
                    <a:ln>
                      <a:noFill/>
                    </a:ln>
                  </pic:spPr>
                </pic:pic>
              </a:graphicData>
            </a:graphic>
          </wp:inline>
        </w:drawing>
      </w:r>
    </w:p>
    <w:p w:rsidR="00AA5D77" w:rsidRPr="006C40C1" w:rsidRDefault="00AA5D77">
      <w:pPr>
        <w:pStyle w:val="Normaltindrag"/>
      </w:pPr>
    </w:p>
    <w:p w:rsidR="00AA5D77" w:rsidRPr="006C40C1" w:rsidRDefault="00AA5D77">
      <w:pPr>
        <w:pStyle w:val="PunktlistaBomb"/>
      </w:pPr>
      <w:r w:rsidRPr="006C40C1">
        <w:sym w:font="Symbol" w:char="F0B7"/>
      </w:r>
      <w:r w:rsidRPr="006C40C1">
        <w:tab/>
        <w:t>Den kraftiga inkomstförstärkningen i kombination med en återhållen konsumtion gör att hushållens sparande fortsätter att stiga i år, efter det minskade sparandet i slutet av 1990-talet. Under de kommande åren sjunker dock sparandet något beroende på bl.a. en stigande konsumtion och en svagare inkomstutveckling.</w:t>
      </w:r>
    </w:p>
    <w:p w:rsidR="00AA5D77" w:rsidRPr="006C40C1" w:rsidRDefault="00AA5D77">
      <w:pPr>
        <w:pStyle w:val="Rubrik3"/>
        <w:rPr>
          <w:noProof w:val="0"/>
        </w:rPr>
      </w:pPr>
      <w:bookmarkStart w:id="77" w:name="_Toc25302123"/>
      <w:bookmarkStart w:id="78" w:name="_Toc25375200"/>
      <w:bookmarkStart w:id="79" w:name="_Toc26191399"/>
      <w:r w:rsidRPr="006C40C1">
        <w:rPr>
          <w:noProof w:val="0"/>
        </w:rPr>
        <w:t>1.2.3 Försörjningsbalansen</w:t>
      </w:r>
      <w:bookmarkEnd w:id="77"/>
      <w:bookmarkEnd w:id="78"/>
      <w:bookmarkEnd w:id="79"/>
    </w:p>
    <w:p w:rsidR="00AA5D77" w:rsidRPr="006C40C1" w:rsidRDefault="00AA5D77">
      <w:r w:rsidRPr="006C40C1">
        <w:t>Under förutsättning att återhämtningen i den internationella ekonomin inte avbryts fortsätter aktiviteten i den svenska ekonomin att öka och Sveriges BNP växer med i genomsnitt ca 2,4 % per år under perioden 2002–2004, enligt regeringens bedömning i baskalkylen. Det är mer än en procentenhet lägre än vad den svenska ekonomin växte med under perioden 1998-2000, men något högre än genomsnittstillväxten under de senaste 30 åren. Rege</w:t>
      </w:r>
      <w:r w:rsidRPr="006C40C1">
        <w:t>r</w:t>
      </w:r>
      <w:r w:rsidRPr="006C40C1">
        <w:t>ingens prognos innebär vidare att Sveriges tillväxt under de närmaste åren kommer att li</w:t>
      </w:r>
      <w:r w:rsidRPr="006C40C1">
        <w:t>g</w:t>
      </w:r>
      <w:r w:rsidRPr="006C40C1">
        <w:t xml:space="preserve">ga något högre än tillväxtgenomsnittet bland EU- och euro-länderna. </w:t>
      </w:r>
    </w:p>
    <w:p w:rsidR="00AA5D77" w:rsidRPr="006C40C1" w:rsidRDefault="00AA5D77">
      <w:pPr>
        <w:pStyle w:val="Normaltindrag"/>
      </w:pPr>
      <w:r w:rsidRPr="006C40C1">
        <w:t>De olika delarna av försörjningsbalansen utvecklar sig enligt regeringens bedömning på följande sätt (se tabell 5):</w:t>
      </w:r>
    </w:p>
    <w:p w:rsidR="00AA5D77" w:rsidRPr="006C40C1" w:rsidRDefault="00AA5D77">
      <w:pPr>
        <w:pStyle w:val="Bildrubrik"/>
        <w:rPr>
          <w:b/>
          <w:sz w:val="16"/>
        </w:rPr>
      </w:pPr>
      <w:r w:rsidRPr="006C40C1">
        <w:rPr>
          <w:b/>
          <w:caps w:val="0"/>
          <w:sz w:val="16"/>
        </w:rPr>
        <w:t>Tabell 5. Försörjningsbalansen 2000–2004</w:t>
      </w:r>
    </w:p>
    <w:p w:rsidR="00AA5D77" w:rsidRPr="006C40C1" w:rsidRDefault="006C40C1">
      <w:r w:rsidRPr="006C40C1">
        <w:rPr>
          <w:noProof/>
        </w:rPr>
        <w:drawing>
          <wp:inline distT="0" distB="0" distL="0" distR="0">
            <wp:extent cx="3771900" cy="187769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extLst>
                        <a:ext uri="{28A0092B-C50C-407E-A947-70E740481C1C}">
                          <a14:useLocalDpi xmlns:a14="http://schemas.microsoft.com/office/drawing/2010/main" val="0"/>
                        </a:ext>
                      </a:extLst>
                    </a:blip>
                    <a:srcRect t="3067" b="26492"/>
                    <a:stretch>
                      <a:fillRect/>
                    </a:stretch>
                  </pic:blipFill>
                  <pic:spPr bwMode="auto">
                    <a:xfrm>
                      <a:off x="0" y="0"/>
                      <a:ext cx="3771900" cy="1877695"/>
                    </a:xfrm>
                    <a:prstGeom prst="rect">
                      <a:avLst/>
                    </a:prstGeom>
                    <a:noFill/>
                    <a:ln>
                      <a:noFill/>
                    </a:ln>
                  </pic:spPr>
                </pic:pic>
              </a:graphicData>
            </a:graphic>
          </wp:inline>
        </w:drawing>
      </w:r>
    </w:p>
    <w:p w:rsidR="00AA5D77" w:rsidRPr="006C40C1" w:rsidRDefault="00AA5D77">
      <w:pPr>
        <w:spacing w:before="0"/>
        <w:rPr>
          <w:sz w:val="14"/>
        </w:rPr>
      </w:pPr>
      <w:r w:rsidRPr="006C40C1">
        <w:rPr>
          <w:sz w:val="14"/>
          <w:vertAlign w:val="superscript"/>
        </w:rPr>
        <w:t>1</w:t>
      </w:r>
      <w:r w:rsidRPr="006C40C1">
        <w:rPr>
          <w:sz w:val="14"/>
        </w:rPr>
        <w:t xml:space="preserve"> Bidrag till BNP-tillväxt.</w:t>
      </w:r>
    </w:p>
    <w:p w:rsidR="00AA5D77" w:rsidRPr="006C40C1" w:rsidRDefault="00AA5D77">
      <w:pPr>
        <w:spacing w:before="0" w:line="240" w:lineRule="auto"/>
        <w:rPr>
          <w:sz w:val="14"/>
        </w:rPr>
      </w:pPr>
      <w:r w:rsidRPr="006C40C1">
        <w:rPr>
          <w:sz w:val="14"/>
          <w:vertAlign w:val="superscript"/>
        </w:rPr>
        <w:t>2</w:t>
      </w:r>
      <w:r w:rsidRPr="006C40C1">
        <w:rPr>
          <w:sz w:val="14"/>
        </w:rPr>
        <w:t xml:space="preserve"> Exklusive effekten av kyrkans avskiljande från staten 1 januari 2000. Inklusive denna effekt hade ökningstakten 2000 för hushållens konsumtionsutgifter i stället blivit 4,6 %, för offentliga konsumtion</w:t>
      </w:r>
      <w:r w:rsidRPr="006C40C1">
        <w:rPr>
          <w:sz w:val="14"/>
        </w:rPr>
        <w:t>s</w:t>
      </w:r>
      <w:r w:rsidRPr="006C40C1">
        <w:rPr>
          <w:sz w:val="14"/>
        </w:rPr>
        <w:t>utgifter –0,9 % och för kommunal konsumtion –0,2 %.</w:t>
      </w:r>
    </w:p>
    <w:p w:rsidR="00AA5D77" w:rsidRPr="006C40C1" w:rsidRDefault="00AA5D77">
      <w:pPr>
        <w:pStyle w:val="Tabellfrklaring"/>
        <w:keepNext w:val="0"/>
        <w:keepLines w:val="0"/>
        <w:spacing w:before="0" w:after="0"/>
      </w:pPr>
      <w:r w:rsidRPr="006C40C1">
        <w:t>Siffrorna inom parentes anger regeringens bedömning i vårpropositionen.</w:t>
      </w:r>
    </w:p>
    <w:p w:rsidR="00AA5D77" w:rsidRPr="006C40C1" w:rsidRDefault="00AA5D77">
      <w:pPr>
        <w:pStyle w:val="Tabellfrklaring"/>
        <w:keepNext w:val="0"/>
        <w:keepLines w:val="0"/>
        <w:spacing w:before="0" w:after="0"/>
      </w:pPr>
      <w:r w:rsidRPr="006C40C1">
        <w:t>Källa: Finansdepartementet</w:t>
      </w:r>
    </w:p>
    <w:p w:rsidR="00AA5D77" w:rsidRPr="006C40C1" w:rsidRDefault="00AA5D77">
      <w:pPr>
        <w:tabs>
          <w:tab w:val="num" w:pos="420"/>
        </w:tabs>
        <w:ind w:left="340" w:hanging="340"/>
      </w:pPr>
      <w:r w:rsidRPr="006C40C1">
        <w:sym w:font="Symbol" w:char="F0B7"/>
      </w:r>
      <w:r w:rsidRPr="006C40C1">
        <w:tab/>
        <w:t>Hushållens konsumtion stiger under perioden jämfört med den svaga utvec</w:t>
      </w:r>
      <w:r w:rsidRPr="006C40C1">
        <w:t>k</w:t>
      </w:r>
      <w:r w:rsidRPr="006C40C1">
        <w:t xml:space="preserve">lingen under 2001. </w:t>
      </w:r>
    </w:p>
    <w:p w:rsidR="00AA5D77" w:rsidRPr="006C40C1" w:rsidRDefault="00AA5D77">
      <w:pPr>
        <w:tabs>
          <w:tab w:val="num" w:pos="420"/>
        </w:tabs>
        <w:ind w:left="340" w:hanging="340"/>
      </w:pPr>
      <w:r w:rsidRPr="006C40C1">
        <w:sym w:font="Symbol" w:char="F0B7"/>
      </w:r>
      <w:r w:rsidRPr="006C40C1">
        <w:tab/>
        <w:t>Den offentliga konsumtionen ökar starkare än vad regeringen förväntade sig i vårpropositionen, bl.a. på grund av det statliga stödet till den ko</w:t>
      </w:r>
      <w:r w:rsidRPr="006C40C1">
        <w:t>m</w:t>
      </w:r>
      <w:r w:rsidRPr="006C40C1">
        <w:t>munala sektorn som föreslås i budgetpropositionen och det antagande som görs om en genomsnittlig höjning av landstingsskatten med 0,25 procentenheter fr.o.m. nästa år.</w:t>
      </w:r>
    </w:p>
    <w:p w:rsidR="00AA5D77" w:rsidRPr="006C40C1" w:rsidRDefault="00AA5D77">
      <w:pPr>
        <w:tabs>
          <w:tab w:val="num" w:pos="420"/>
        </w:tabs>
        <w:ind w:left="340" w:hanging="340"/>
      </w:pPr>
      <w:r w:rsidRPr="006C40C1">
        <w:sym w:font="Symbol" w:char="F0B7"/>
      </w:r>
      <w:r w:rsidRPr="006C40C1">
        <w:tab/>
        <w:t>I likhet med i fjol förväntas industrins och handelns utförsäljning av lager bidra till att dämpa årets tillväxt. I takt med att efterfrågan och försäl</w:t>
      </w:r>
      <w:r w:rsidRPr="006C40C1">
        <w:t>j</w:t>
      </w:r>
      <w:r w:rsidRPr="006C40C1">
        <w:t>ningen ökar väntas företagen på nytt bygga upp sina lager, vilket bidrar till att öka BNP med 0,4 procentenheter nästa år.</w:t>
      </w:r>
    </w:p>
    <w:p w:rsidR="00AA5D77" w:rsidRPr="006C40C1" w:rsidRDefault="00AA5D77">
      <w:pPr>
        <w:pStyle w:val="Rubrik3"/>
        <w:rPr>
          <w:noProof w:val="0"/>
        </w:rPr>
      </w:pPr>
      <w:bookmarkStart w:id="80" w:name="_Toc25302124"/>
      <w:bookmarkStart w:id="81" w:name="_Toc25375201"/>
      <w:bookmarkStart w:id="82" w:name="_Toc26191400"/>
      <w:r w:rsidRPr="006C40C1">
        <w:rPr>
          <w:noProof w:val="0"/>
        </w:rPr>
        <w:t>1.2.4 Oväntat stark export hittills i år</w:t>
      </w:r>
      <w:bookmarkEnd w:id="80"/>
      <w:bookmarkEnd w:id="81"/>
      <w:bookmarkEnd w:id="82"/>
    </w:p>
    <w:p w:rsidR="00AA5D77" w:rsidRPr="006C40C1" w:rsidRDefault="00AA5D77">
      <w:r w:rsidRPr="006C40C1">
        <w:t>Förra året var det svagaste året för den svenska exportindustrin sedan mitten på 1970-talet. Fallande efterfrågan på IKT-produkter och en markant nedgång i industrikonjunkturen på Sveriges viktigaste exportmarknader bidrog till att den totala exporten av varor och tjänster sjönk med 1,4 % under 2001.</w:t>
      </w:r>
    </w:p>
    <w:p w:rsidR="00AA5D77" w:rsidRPr="006C40C1" w:rsidRDefault="00AA5D77">
      <w:pPr>
        <w:pStyle w:val="Normaltindrag"/>
      </w:pPr>
      <w:r w:rsidRPr="006C40C1">
        <w:t xml:space="preserve"> Hittills i år har exporten ökat starkare än vad regeringen förväntade sig i vårpropositionen. Enligt uppgifter från Statistiska centralbyrån (SCB) steg exporten med 6,8 % under första halvåret i år, jämfört med samma period i fjol. Starkast var utvecklingen för fordon, läkemedel och teleprodu</w:t>
      </w:r>
      <w:r w:rsidRPr="006C40C1">
        <w:t>k</w:t>
      </w:r>
      <w:r w:rsidRPr="006C40C1">
        <w:t xml:space="preserve">ter. </w:t>
      </w:r>
    </w:p>
    <w:p w:rsidR="00AA5D77" w:rsidRPr="006C40C1" w:rsidRDefault="00AA5D77">
      <w:pPr>
        <w:pStyle w:val="Normaltindrag"/>
      </w:pPr>
      <w:r w:rsidRPr="006C40C1">
        <w:t>Regeringen räknar i budgetpropositionen med att exporten fortsätter att öka under prognosperioden i takt med att den internationella konjunkturen förbättras. Efter hand blir också sammansättningen av den ökade efterfrågan mer gynnsam för den svenska exportindustrin. Industrin internationellt har för tillfället ett relativt lågt kapacitetsutnyttjande. I takt med att efterfrågan och utnyttjandet stiger ökar efterfrågan på investeringsvaror, vilket gynnar svensk export. Importefterfrågan på svenska expo</w:t>
      </w:r>
      <w:r w:rsidRPr="006C40C1">
        <w:t>rtmarknader, dvs. världsmarknad</w:t>
      </w:r>
      <w:r w:rsidRPr="006C40C1">
        <w:t>s</w:t>
      </w:r>
      <w:r w:rsidRPr="006C40C1">
        <w:t xml:space="preserve">tillväxten, väntas stiga med 2,1 % i år, 7,4 % nästa år och 7,6 % 2004, enligt regeringens bedömning. </w:t>
      </w:r>
    </w:p>
    <w:p w:rsidR="00AA5D77" w:rsidRPr="006C40C1" w:rsidRDefault="00AA5D77">
      <w:pPr>
        <w:pStyle w:val="Normaltindrag"/>
      </w:pPr>
      <w:r w:rsidRPr="006C40C1">
        <w:t>Teleprodukterna har under de senaste åren blivit en allt viktigare ingred</w:t>
      </w:r>
      <w:r w:rsidRPr="006C40C1">
        <w:t>i</w:t>
      </w:r>
      <w:r w:rsidRPr="006C40C1">
        <w:t>ens i den svenska exporten och den svenska tillväxten. I början av 1990-talet var teleprodukternas andel av den totala exporten ca 5 %.  I slutet av 2000 uppgick andelen till omkring 15 % för att sjunka till ca 10 % förra året när den svenska teleproduktexporten minskade med 34 %. Trots att teleproduk</w:t>
      </w:r>
      <w:r w:rsidRPr="006C40C1">
        <w:t>t</w:t>
      </w:r>
      <w:r w:rsidRPr="006C40C1">
        <w:t>exporten utvecklades relativt starkt under första halvåret i år räknar regerin</w:t>
      </w:r>
      <w:r w:rsidRPr="006C40C1">
        <w:t>g</w:t>
      </w:r>
      <w:r w:rsidRPr="006C40C1">
        <w:t>en med att efterfrågan på teleprodukter fortsätter att vara relativt svag under hela prognosperioden. Det ligger också i linje me</w:t>
      </w:r>
      <w:r w:rsidRPr="006C40C1">
        <w:t>d de uppgifter som bra</w:t>
      </w:r>
      <w:r w:rsidRPr="006C40C1">
        <w:t>n</w:t>
      </w:r>
      <w:r w:rsidRPr="006C40C1">
        <w:t>schen själv uppger i t.ex. KI:s olika barometrar.</w:t>
      </w:r>
    </w:p>
    <w:p w:rsidR="00AA5D77" w:rsidRPr="006C40C1" w:rsidRDefault="00AA5D77">
      <w:pPr>
        <w:pStyle w:val="Normaltindrag"/>
      </w:pPr>
      <w:r w:rsidRPr="006C40C1">
        <w:t>Sammanfattningsvis gör regeringen bedömningen att den totala exporten stiger med 3,8 % 2002 och 6,3 % 2003. I prognosen ingår, som redovisades ovan, en förstärkning av kronans värde på de internationella valutamarkn</w:t>
      </w:r>
      <w:r w:rsidRPr="006C40C1">
        <w:t>a</w:t>
      </w:r>
      <w:r w:rsidRPr="006C40C1">
        <w:t>derna under 2003.</w:t>
      </w:r>
    </w:p>
    <w:p w:rsidR="00AA5D77" w:rsidRPr="006C40C1" w:rsidRDefault="00AA5D77">
      <w:pPr>
        <w:pStyle w:val="Rubrik3"/>
        <w:rPr>
          <w:noProof w:val="0"/>
        </w:rPr>
      </w:pPr>
      <w:bookmarkStart w:id="83" w:name="_Toc25302125"/>
      <w:bookmarkStart w:id="84" w:name="_Toc25375202"/>
      <w:bookmarkStart w:id="85" w:name="_Toc26191401"/>
      <w:r w:rsidRPr="006C40C1">
        <w:rPr>
          <w:noProof w:val="0"/>
        </w:rPr>
        <w:t>1.2.5 Även sysselsättningen bättre än väntat</w:t>
      </w:r>
      <w:bookmarkEnd w:id="83"/>
      <w:bookmarkEnd w:id="84"/>
      <w:bookmarkEnd w:id="85"/>
    </w:p>
    <w:p w:rsidR="00AA5D77" w:rsidRPr="006C40C1" w:rsidRDefault="00AA5D77">
      <w:r w:rsidRPr="006C40C1">
        <w:t xml:space="preserve"> Den svenska arbetsmarknaden förbättrades kraftigt från första halvåret 1997 till första halvåret 2001, då antalet sysselsatta säsongrensat steg med omkring 320 000 personer och den öppna arbetslösheten sjönk till omkring 4 %. Sedan dess har efterfrågan på arbetskraft minskat betydligt i takt med den svagare internationella konjunkturen. Som framgår av diagram 3 har sysselsättningen varit i stort sett oförän</w:t>
      </w:r>
      <w:r w:rsidRPr="006C40C1">
        <w:t>d</w:t>
      </w:r>
      <w:r w:rsidRPr="006C40C1">
        <w:t xml:space="preserve">rad sedan början av 2001. </w:t>
      </w:r>
    </w:p>
    <w:p w:rsidR="00AA5D77" w:rsidRPr="006C40C1" w:rsidRDefault="00AA5D77">
      <w:pPr>
        <w:pStyle w:val="Normaltindrag"/>
      </w:pPr>
      <w:r w:rsidRPr="006C40C1">
        <w:t>Hittills i år har emellertid arbetsmarknadsläget överraskat positivt jämfört med regeringens bedömningar i vårpropositionen. Under första halvåret i år steg sysselsättningen säsongsrensat med i genomsnitt 5 700 personer jämfört samma period i fjol. Framför allt har sysselsättningen ökat inom näringslivets tjänstesektorer och i staten och primärkommunerna, vilket motverkat en fa</w:t>
      </w:r>
      <w:r w:rsidRPr="006C40C1">
        <w:t>l</w:t>
      </w:r>
      <w:r w:rsidRPr="006C40C1">
        <w:t>lande sysselsättning inom industrin. Andelen öppet arbetslösa var under första halvåret i genomsnitt 3,9 %, vilket kan jämföras med 4 % under första hal</w:t>
      </w:r>
      <w:r w:rsidRPr="006C40C1">
        <w:t>v</w:t>
      </w:r>
      <w:r w:rsidRPr="006C40C1">
        <w:t>året i fjol. Den totala arbetslösheten, dvs. öppet arbetslösa plus antalet pers</w:t>
      </w:r>
      <w:r w:rsidRPr="006C40C1">
        <w:t>o</w:t>
      </w:r>
      <w:r w:rsidRPr="006C40C1">
        <w:t>ner i konjunkturberoende arbetsmarknadsåtgärder, har dock legat på i stort sett samma nivå som under motsvarande period i fjol. Anledningen är att antalet deltagare i de arbetsmarknadspolitiska åtgärderna ökat något i år.</w:t>
      </w:r>
    </w:p>
    <w:p w:rsidR="00AA5D77" w:rsidRPr="006C40C1" w:rsidRDefault="00AA5D77">
      <w:pPr>
        <w:pStyle w:val="Normaltindrag"/>
      </w:pPr>
      <w:r w:rsidRPr="006C40C1">
        <w:t xml:space="preserve">Under sommaren (juli till augusti) har sysselsättningen </w:t>
      </w:r>
      <w:r w:rsidRPr="006C40C1">
        <w:t>minskat något jä</w:t>
      </w:r>
      <w:r w:rsidRPr="006C40C1">
        <w:t>m</w:t>
      </w:r>
      <w:r w:rsidRPr="006C40C1">
        <w:t>fört med samma period förra året, och flertalet indikatorer som t.ex. KI:s olika barometrar, SCB:s vakansundersökningar och AMS statistik över antalet lediga platser på arbetsförmedlingarna indikerar att sysselsättningen fortsätter att minska under hösten och vintern. Regeringen räknar också i budgetprop</w:t>
      </w:r>
      <w:r w:rsidRPr="006C40C1">
        <w:t>o</w:t>
      </w:r>
      <w:r w:rsidRPr="006C40C1">
        <w:t>sitionen med att sysselsättningen sjunker något under hösten. Det innebär att förändringen i sysselsättningen mellan 2001 och 2002 därmed blir noll, mätt som årsgenomsnitt. I vårproposition</w:t>
      </w:r>
      <w:r w:rsidRPr="006C40C1">
        <w:t>en räknade regeringen med att antalet sysselsatta i år skulle sjunka med 0,4 procentenh</w:t>
      </w:r>
      <w:r w:rsidRPr="006C40C1">
        <w:t>e</w:t>
      </w:r>
      <w:r w:rsidRPr="006C40C1">
        <w:t>ter.</w:t>
      </w:r>
    </w:p>
    <w:p w:rsidR="00AA5D77" w:rsidRPr="006C40C1" w:rsidRDefault="00AA5D77">
      <w:pPr>
        <w:pStyle w:val="Bildrubrik"/>
        <w:rPr>
          <w:b/>
          <w:sz w:val="16"/>
        </w:rPr>
      </w:pPr>
      <w:r w:rsidRPr="006C40C1">
        <w:rPr>
          <w:b/>
          <w:caps w:val="0"/>
          <w:sz w:val="16"/>
        </w:rPr>
        <w:t>Diagram 3. Sysselsättningen 1995–augusti 2002</w:t>
      </w:r>
    </w:p>
    <w:p w:rsidR="00AA5D77" w:rsidRPr="006C40C1" w:rsidRDefault="006C40C1">
      <w:r w:rsidRPr="006C40C1">
        <w:rPr>
          <w:noProof/>
        </w:rPr>
        <w:drawing>
          <wp:inline distT="0" distB="0" distL="0" distR="0">
            <wp:extent cx="3875405" cy="225869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l="1558" t="626" r="24934" b="28807"/>
                    <a:stretch>
                      <a:fillRect/>
                    </a:stretch>
                  </pic:blipFill>
                  <pic:spPr bwMode="auto">
                    <a:xfrm>
                      <a:off x="0" y="0"/>
                      <a:ext cx="3875405" cy="2258695"/>
                    </a:xfrm>
                    <a:prstGeom prst="rect">
                      <a:avLst/>
                    </a:prstGeom>
                    <a:noFill/>
                    <a:ln>
                      <a:noFill/>
                    </a:ln>
                  </pic:spPr>
                </pic:pic>
              </a:graphicData>
            </a:graphic>
          </wp:inline>
        </w:drawing>
      </w:r>
    </w:p>
    <w:p w:rsidR="00AA5D77" w:rsidRPr="006C40C1" w:rsidRDefault="00AA5D77">
      <w:pPr>
        <w:pStyle w:val="Fotnotstext"/>
        <w:rPr>
          <w:sz w:val="14"/>
        </w:rPr>
      </w:pPr>
      <w:r w:rsidRPr="006C40C1">
        <w:rPr>
          <w:sz w:val="14"/>
        </w:rPr>
        <w:t>Källa: Statistiska centralbyrån</w:t>
      </w:r>
    </w:p>
    <w:p w:rsidR="00AA5D77" w:rsidRPr="006C40C1" w:rsidRDefault="00AA5D77"/>
    <w:p w:rsidR="00AA5D77" w:rsidRPr="006C40C1" w:rsidRDefault="00AA5D77">
      <w:r w:rsidRPr="006C40C1">
        <w:t>I takt med att den internationella konjunkturen förstärks ökar efterfrågan på arbetskraft på nytt, och regeringen räknar med att sysselsättningen stiger med 0,2 % 2003 och 0,5 % 2004. Räknat i antalet personer innebär detta att ytte</w:t>
      </w:r>
      <w:r w:rsidRPr="006C40C1">
        <w:t>r</w:t>
      </w:r>
      <w:r w:rsidRPr="006C40C1">
        <w:t>ligare omkring 13 000 personer bedöms vara sysselsatta nästa år jämfört med den prognos som regeringen gjorde i vårpropositi</w:t>
      </w:r>
      <w:r w:rsidRPr="006C40C1">
        <w:t>o</w:t>
      </w:r>
      <w:r w:rsidRPr="006C40C1">
        <w:t>nen.</w:t>
      </w:r>
    </w:p>
    <w:p w:rsidR="00AA5D77" w:rsidRPr="006C40C1" w:rsidRDefault="00AA5D77">
      <w:pPr>
        <w:pStyle w:val="Bildrubrik"/>
        <w:rPr>
          <w:b/>
          <w:sz w:val="16"/>
        </w:rPr>
      </w:pPr>
      <w:r w:rsidRPr="006C40C1">
        <w:rPr>
          <w:b/>
          <w:caps w:val="0"/>
          <w:sz w:val="16"/>
        </w:rPr>
        <w:t>Diagram 4. Den öppna arbetslösheten 1995–augusti 2002</w:t>
      </w:r>
    </w:p>
    <w:p w:rsidR="00AA5D77" w:rsidRPr="006C40C1" w:rsidRDefault="00AA5D77">
      <w:r w:rsidRPr="006C40C1">
        <w:t xml:space="preserve"> </w:t>
      </w:r>
      <w:r w:rsidR="006C40C1" w:rsidRPr="006C40C1">
        <w:rPr>
          <w:noProof/>
        </w:rPr>
        <w:drawing>
          <wp:inline distT="0" distB="0" distL="0" distR="0">
            <wp:extent cx="3717290" cy="231330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a:extLst>
                        <a:ext uri="{28A0092B-C50C-407E-A947-70E740481C1C}">
                          <a14:useLocalDpi xmlns:a14="http://schemas.microsoft.com/office/drawing/2010/main" val="0"/>
                        </a:ext>
                      </a:extLst>
                    </a:blip>
                    <a:srcRect l="1558" t="1253" r="25714" b="27556"/>
                    <a:stretch>
                      <a:fillRect/>
                    </a:stretch>
                  </pic:blipFill>
                  <pic:spPr bwMode="auto">
                    <a:xfrm>
                      <a:off x="0" y="0"/>
                      <a:ext cx="3717290" cy="2313305"/>
                    </a:xfrm>
                    <a:prstGeom prst="rect">
                      <a:avLst/>
                    </a:prstGeom>
                    <a:noFill/>
                    <a:ln>
                      <a:noFill/>
                    </a:ln>
                  </pic:spPr>
                </pic:pic>
              </a:graphicData>
            </a:graphic>
          </wp:inline>
        </w:drawing>
      </w:r>
    </w:p>
    <w:p w:rsidR="00AA5D77" w:rsidRPr="006C40C1" w:rsidRDefault="00AA5D77">
      <w:pPr>
        <w:pStyle w:val="Fotnotstext"/>
        <w:rPr>
          <w:sz w:val="14"/>
        </w:rPr>
      </w:pPr>
      <w:r w:rsidRPr="006C40C1">
        <w:rPr>
          <w:sz w:val="14"/>
        </w:rPr>
        <w:t>Källa: Statistiska centralbyrån</w:t>
      </w:r>
    </w:p>
    <w:p w:rsidR="00AA5D77" w:rsidRPr="006C40C1" w:rsidRDefault="00AA5D77"/>
    <w:p w:rsidR="00AA5D77" w:rsidRPr="006C40C1" w:rsidRDefault="00AA5D77">
      <w:r w:rsidRPr="006C40C1">
        <w:t>Regeringen räknar vidare med att utbudet av arbetskraft är oförändrat i år för att stiga med 0,1 procentenheter 2003 och 0,4 procentenheter 2004. Den förväntade utvecklingen av sysselsättningen och arbetskraftsutbudet gör att den öppna arbetslösheten sjunker till 3,8 % 2003 från 3,9 % 2002. Eftersom regeringen bedömer att andelen deltagare i de arbetsmarknadspolitiska pr</w:t>
      </w:r>
      <w:r w:rsidRPr="006C40C1">
        <w:t>o</w:t>
      </w:r>
      <w:r w:rsidRPr="006C40C1">
        <w:t>gram sjunker under nästa år, innebär det att även arbetslösheten inklusive arbetsmarknadsåtgärder sjunker under nästa år.</w:t>
      </w:r>
    </w:p>
    <w:p w:rsidR="00AA5D77" w:rsidRPr="006C40C1" w:rsidRDefault="00AA5D77"/>
    <w:p w:rsidR="00AA5D77" w:rsidRPr="006C40C1" w:rsidRDefault="00AA5D77">
      <w:pPr>
        <w:rPr>
          <w:b/>
          <w:sz w:val="16"/>
        </w:rPr>
      </w:pPr>
      <w:r w:rsidRPr="006C40C1">
        <w:rPr>
          <w:b/>
          <w:sz w:val="16"/>
        </w:rPr>
        <w:t>Diagram 5. Sysselsättningsgraden enligt regeringens sysselsättningsmål 1995–augusti 2002</w:t>
      </w:r>
    </w:p>
    <w:p w:rsidR="00AA5D77" w:rsidRPr="006C40C1" w:rsidRDefault="006C40C1">
      <w:r w:rsidRPr="006C40C1">
        <w:rPr>
          <w:noProof/>
        </w:rPr>
        <w:drawing>
          <wp:inline distT="0" distB="0" distL="0" distR="0">
            <wp:extent cx="3837305" cy="24765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a:extLst>
                        <a:ext uri="{28A0092B-C50C-407E-A947-70E740481C1C}">
                          <a14:useLocalDpi xmlns:a14="http://schemas.microsoft.com/office/drawing/2010/main" val="0"/>
                        </a:ext>
                      </a:extLst>
                    </a:blip>
                    <a:srcRect l="1558" t="626" r="26494" b="25050"/>
                    <a:stretch>
                      <a:fillRect/>
                    </a:stretch>
                  </pic:blipFill>
                  <pic:spPr bwMode="auto">
                    <a:xfrm>
                      <a:off x="0" y="0"/>
                      <a:ext cx="3837305" cy="2476500"/>
                    </a:xfrm>
                    <a:prstGeom prst="rect">
                      <a:avLst/>
                    </a:prstGeom>
                    <a:noFill/>
                    <a:ln>
                      <a:noFill/>
                    </a:ln>
                  </pic:spPr>
                </pic:pic>
              </a:graphicData>
            </a:graphic>
          </wp:inline>
        </w:drawing>
      </w:r>
    </w:p>
    <w:p w:rsidR="00AA5D77" w:rsidRPr="006C40C1" w:rsidRDefault="00AA5D77">
      <w:pPr>
        <w:pStyle w:val="Fotnotstext"/>
        <w:rPr>
          <w:sz w:val="14"/>
        </w:rPr>
      </w:pPr>
      <w:r w:rsidRPr="006C40C1">
        <w:rPr>
          <w:sz w:val="14"/>
        </w:rPr>
        <w:t>Källa: Statistiska centralbyrån</w:t>
      </w:r>
    </w:p>
    <w:p w:rsidR="00AA5D77" w:rsidRPr="006C40C1" w:rsidRDefault="00AA5D77"/>
    <w:p w:rsidR="00AA5D77" w:rsidRPr="006C40C1" w:rsidRDefault="00AA5D77">
      <w:r w:rsidRPr="006C40C1">
        <w:t>Riksdagens och regeringens mål för sysselsättningen är att sysselsättning</w:t>
      </w:r>
      <w:r w:rsidRPr="006C40C1">
        <w:t>s</w:t>
      </w:r>
      <w:r w:rsidRPr="006C40C1">
        <w:t>graden i ekonomin, dvs. antalet sysselsatta i åldern 20–64 år i procent av befolkningen i samma åldersgrupp, ska stiga till 80 % 2004. Som framgår av diagram 5 har sysselsättningsgraden stigit under de senaste åren till en nivå på omkring 78 %. Regeringens prognos och baskalkyl i budgetpropositionen innebär att sysselsättningsgraden 2003 och 2004 ligger kvar på ungefär sa</w:t>
      </w:r>
      <w:r w:rsidRPr="006C40C1">
        <w:t>m</w:t>
      </w:r>
      <w:r w:rsidRPr="006C40C1">
        <w:t>ma nivå som i dagsläget. För att nå sysselsättningsmålet 2004 krävs att den reguljära sysselsättningen i åldersgruppen 20–64 år ökar med</w:t>
      </w:r>
      <w:r w:rsidRPr="006C40C1">
        <w:t xml:space="preserve"> ytterligare ungefär 100 000 personer. </w:t>
      </w:r>
    </w:p>
    <w:p w:rsidR="00AA5D77" w:rsidRPr="006C40C1" w:rsidRDefault="00AA5D77">
      <w:pPr>
        <w:pStyle w:val="Normaltindrag"/>
      </w:pPr>
      <w:r w:rsidRPr="006C40C1">
        <w:t>I en alternativ kalkyl för den ekonomiska utvecklingen under de närmaste åren redovisar regeringen vad som krävs för att målet ska nås. Kalkylen, som benämns högtillväxtalternativet, redovisas nedan under avsnittet Alternativa kalkyler för utvecklingen fram till 2004. För att målet ska uppfyllas krävs, vid sidan av en högre ekonomisk tillväxt, att utbudet av arbetskraft växer väsen</w:t>
      </w:r>
      <w:r w:rsidRPr="006C40C1">
        <w:t>t</w:t>
      </w:r>
      <w:r w:rsidRPr="006C40C1">
        <w:t>ligt snabbare än i de kalkyler som presenterats ovan.</w:t>
      </w:r>
    </w:p>
    <w:p w:rsidR="00AA5D77" w:rsidRPr="006C40C1" w:rsidRDefault="00AA5D77">
      <w:pPr>
        <w:pStyle w:val="Bildrubrik"/>
      </w:pPr>
    </w:p>
    <w:p w:rsidR="00AA5D77" w:rsidRPr="006C40C1" w:rsidRDefault="00AA5D77"/>
    <w:p w:rsidR="00AA5D77" w:rsidRPr="006C40C1" w:rsidRDefault="00AA5D77">
      <w:pPr>
        <w:pStyle w:val="Bildrubrik"/>
        <w:rPr>
          <w:b/>
          <w:sz w:val="16"/>
        </w:rPr>
      </w:pPr>
      <w:r w:rsidRPr="006C40C1">
        <w:rPr>
          <w:b/>
          <w:caps w:val="0"/>
          <w:sz w:val="16"/>
        </w:rPr>
        <w:t>Tabell 6. Nyckeltal för arbetsmarknaden 2001–2004</w:t>
      </w:r>
    </w:p>
    <w:p w:rsidR="00AA5D77" w:rsidRPr="006C40C1" w:rsidRDefault="006C40C1">
      <w:r w:rsidRPr="006C40C1">
        <w:rPr>
          <w:noProof/>
        </w:rPr>
        <w:drawing>
          <wp:inline distT="0" distB="0" distL="0" distR="0">
            <wp:extent cx="3777615" cy="182308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a:extLst>
                        <a:ext uri="{28A0092B-C50C-407E-A947-70E740481C1C}">
                          <a14:useLocalDpi xmlns:a14="http://schemas.microsoft.com/office/drawing/2010/main" val="0"/>
                        </a:ext>
                      </a:extLst>
                    </a:blip>
                    <a:srcRect b="23842"/>
                    <a:stretch>
                      <a:fillRect/>
                    </a:stretch>
                  </pic:blipFill>
                  <pic:spPr bwMode="auto">
                    <a:xfrm>
                      <a:off x="0" y="0"/>
                      <a:ext cx="3777615" cy="1823085"/>
                    </a:xfrm>
                    <a:prstGeom prst="rect">
                      <a:avLst/>
                    </a:prstGeom>
                    <a:noFill/>
                    <a:ln>
                      <a:noFill/>
                    </a:ln>
                  </pic:spPr>
                </pic:pic>
              </a:graphicData>
            </a:graphic>
          </wp:inline>
        </w:drawing>
      </w:r>
    </w:p>
    <w:p w:rsidR="00AA5D77" w:rsidRPr="006C40C1" w:rsidRDefault="00AA5D77">
      <w:pPr>
        <w:pStyle w:val="Rubrik3"/>
        <w:spacing w:before="0" w:line="240" w:lineRule="auto"/>
        <w:rPr>
          <w:b w:val="0"/>
          <w:noProof w:val="0"/>
          <w:sz w:val="14"/>
        </w:rPr>
      </w:pPr>
      <w:bookmarkStart w:id="86" w:name="_Toc25302126"/>
      <w:bookmarkStart w:id="87" w:name="_Toc25375203"/>
      <w:bookmarkStart w:id="88" w:name="_Toc26191402"/>
      <w:r w:rsidRPr="006C40C1">
        <w:rPr>
          <w:noProof w:val="0"/>
          <w:sz w:val="14"/>
          <w:vertAlign w:val="superscript"/>
        </w:rPr>
        <w:t>1</w:t>
      </w:r>
      <w:r w:rsidRPr="006C40C1">
        <w:rPr>
          <w:noProof w:val="0"/>
          <w:sz w:val="14"/>
        </w:rPr>
        <w:t xml:space="preserve"> </w:t>
      </w:r>
      <w:r w:rsidRPr="006C40C1">
        <w:rPr>
          <w:b w:val="0"/>
          <w:noProof w:val="0"/>
          <w:sz w:val="14"/>
        </w:rPr>
        <w:t>Antalet personer i procent av arbetskraften.</w:t>
      </w:r>
      <w:bookmarkEnd w:id="88"/>
    </w:p>
    <w:p w:rsidR="00AA5D77" w:rsidRPr="006C40C1" w:rsidRDefault="00AA5D77">
      <w:pPr>
        <w:spacing w:line="240" w:lineRule="auto"/>
        <w:rPr>
          <w:sz w:val="14"/>
        </w:rPr>
      </w:pPr>
      <w:r w:rsidRPr="006C40C1">
        <w:rPr>
          <w:sz w:val="14"/>
          <w:vertAlign w:val="superscript"/>
        </w:rPr>
        <w:t>2</w:t>
      </w:r>
      <w:r w:rsidRPr="006C40C1">
        <w:rPr>
          <w:sz w:val="14"/>
        </w:rPr>
        <w:t xml:space="preserve"> Antalet sysselsatta exklusive konjunkturberoende arbetsmarknadspol. Åtgärder i % av befolkningen.</w:t>
      </w:r>
    </w:p>
    <w:p w:rsidR="00AA5D77" w:rsidRPr="006C40C1" w:rsidRDefault="00AA5D77">
      <w:pPr>
        <w:pStyle w:val="Tabellfrklaring"/>
        <w:keepNext w:val="0"/>
        <w:keepLines w:val="0"/>
        <w:spacing w:before="62" w:after="0"/>
      </w:pPr>
      <w:r w:rsidRPr="006C40C1">
        <w:t>Siffrorna inom parentes anger regeringens bedömning i vårpropositionen.</w:t>
      </w:r>
    </w:p>
    <w:p w:rsidR="00AA5D77" w:rsidRPr="006C40C1" w:rsidRDefault="00AA5D77">
      <w:pPr>
        <w:pStyle w:val="Tabellfrklaring"/>
        <w:keepNext w:val="0"/>
        <w:keepLines w:val="0"/>
        <w:spacing w:before="62" w:after="0"/>
      </w:pPr>
      <w:r w:rsidRPr="006C40C1">
        <w:t>Källa: Konjunkturinstitutet, Statistiska centralbyrån, Arbetsmarknadsstyrelsen och Finansdepartementet.</w:t>
      </w:r>
    </w:p>
    <w:p w:rsidR="00AA5D77" w:rsidRPr="006C40C1" w:rsidRDefault="00AA5D77">
      <w:pPr>
        <w:pStyle w:val="Rubrik3"/>
        <w:rPr>
          <w:noProof w:val="0"/>
        </w:rPr>
      </w:pPr>
      <w:bookmarkStart w:id="89" w:name="_Toc26191403"/>
      <w:r w:rsidRPr="006C40C1">
        <w:rPr>
          <w:noProof w:val="0"/>
        </w:rPr>
        <w:t>1.2.6 Alternativa kalkyler för utvecklingen fram till 2004</w:t>
      </w:r>
      <w:bookmarkEnd w:id="86"/>
      <w:bookmarkEnd w:id="87"/>
      <w:bookmarkEnd w:id="89"/>
    </w:p>
    <w:p w:rsidR="00AA5D77" w:rsidRPr="006C40C1" w:rsidRDefault="00AA5D77">
      <w:r w:rsidRPr="006C40C1">
        <w:t>Med anledning av den stora osäkerheten kring den internationella konjun</w:t>
      </w:r>
      <w:r w:rsidRPr="006C40C1">
        <w:t>k</w:t>
      </w:r>
      <w:r w:rsidRPr="006C40C1">
        <w:t>turutvecklingen och storleken på bl.a. resursutnyttjandet i den svenska ek</w:t>
      </w:r>
      <w:r w:rsidRPr="006C40C1">
        <w:t>o</w:t>
      </w:r>
      <w:r w:rsidRPr="006C40C1">
        <w:t>nomin redovisar regeringen i budgetpropositionen två alternativa scenarier för den ekonomiska utvecklingen t.o.m. 2004 – det s.k. lågtillväxtalternativet och det s.k. högtillväxtalternativet (alternativen jämförs med det som i budgetpr</w:t>
      </w:r>
      <w:r w:rsidRPr="006C40C1">
        <w:t>o</w:t>
      </w:r>
      <w:r w:rsidRPr="006C40C1">
        <w:t xml:space="preserve">positionen kallas för baskalkylen). </w:t>
      </w:r>
    </w:p>
    <w:p w:rsidR="00AA5D77" w:rsidRPr="006C40C1" w:rsidRDefault="00AA5D77">
      <w:pPr>
        <w:pStyle w:val="R4"/>
      </w:pPr>
      <w:bookmarkStart w:id="90" w:name="_Toc25302127"/>
      <w:r w:rsidRPr="006C40C1">
        <w:t>Lågtillväxtalternativet</w:t>
      </w:r>
      <w:bookmarkEnd w:id="90"/>
    </w:p>
    <w:p w:rsidR="00AA5D77" w:rsidRPr="006C40C1" w:rsidRDefault="00AA5D77">
      <w:r w:rsidRPr="006C40C1">
        <w:t>Utgångspunkten i detta alternativ är att årets återhämtning i världsekonomin bromsas upp och att konjunkturen på nytt vänder ned under 2003. Tillväxten ökar ånyo först mot slutet av prognosperioden.</w:t>
      </w:r>
    </w:p>
    <w:p w:rsidR="00AA5D77" w:rsidRPr="006C40C1" w:rsidRDefault="00AA5D77">
      <w:pPr>
        <w:pStyle w:val="Normaltindrag"/>
      </w:pPr>
      <w:r w:rsidRPr="006C40C1">
        <w:t xml:space="preserve"> Vad gäller Förenta staterna antas att tillväxttakten i den amerikanska ek</w:t>
      </w:r>
      <w:r w:rsidRPr="006C40C1">
        <w:t>o</w:t>
      </w:r>
      <w:r w:rsidRPr="006C40C1">
        <w:t>nomin faller till 1 % 2003 för att stiga till 3 % 2004. Konsumtionen dämpas till följd av att sysselsättningen inte stiger och inkomsterna utvecklas sämre än i baskalkylen. Aktiekurserna fortsätter att falla och företagen håller igen, vilket bl.a. dämpar investeringsverksamheten. Den uppgång i investeringarna och konsumtionen som förväntas i ba</w:t>
      </w:r>
      <w:r w:rsidRPr="006C40C1">
        <w:t>s</w:t>
      </w:r>
      <w:r w:rsidRPr="006C40C1">
        <w:t>kalkylen uteblir.</w:t>
      </w:r>
    </w:p>
    <w:p w:rsidR="00AA5D77" w:rsidRPr="006C40C1" w:rsidRDefault="00AA5D77">
      <w:pPr>
        <w:pStyle w:val="Normaltindrag"/>
      </w:pPr>
      <w:r w:rsidRPr="006C40C1">
        <w:t>Nedgången i Förenta staterna sprider sig till övriga delar av världen. Den redan svaga utvecklingen i euroområdet försämras ytterligare genom en s</w:t>
      </w:r>
      <w:r w:rsidRPr="006C40C1">
        <w:t>v</w:t>
      </w:r>
      <w:r w:rsidRPr="006C40C1">
        <w:t>a</w:t>
      </w:r>
      <w:r w:rsidRPr="006C40C1">
        <w:t>gare export och en minskad inhemsk efterfrågan till följd av bl.a. minskad framtidstro hos både företagare och konsumenter. Japan drabbas relativt hårt genom att den viktigaste tillväxtmotorn i den japanska ekonomin – exporten till Förenta staterna – försvagas. Effekterna internationellt mildras något genom att centralbankerna antas sänka sina styrräntor för motverka den sv</w:t>
      </w:r>
      <w:r w:rsidRPr="006C40C1">
        <w:t>a</w:t>
      </w:r>
      <w:r w:rsidRPr="006C40C1">
        <w:t>gare efterfrågan.</w:t>
      </w:r>
    </w:p>
    <w:p w:rsidR="00AA5D77" w:rsidRPr="006C40C1" w:rsidRDefault="00AA5D77">
      <w:pPr>
        <w:pStyle w:val="Normaltindrag"/>
      </w:pPr>
      <w:r w:rsidRPr="006C40C1">
        <w:t>Som framgår av tabell 7 får en lågkonjunktur av den typ som beskrivits ovan stora effekter på den svenska ekonomin.</w:t>
      </w:r>
      <w:r w:rsidRPr="006C40C1">
        <w:t xml:space="preserve"> Sysselsättningen utvecklas svagare än i baskalkylen och den öppna arbetslösheten stiger. Konsumente</w:t>
      </w:r>
      <w:r w:rsidRPr="006C40C1">
        <w:t>r</w:t>
      </w:r>
      <w:r w:rsidRPr="006C40C1">
        <w:t>nas förtroende för den ekonomiska utvecklingen sjunker och hushållens i</w:t>
      </w:r>
      <w:r w:rsidRPr="006C40C1">
        <w:t>n</w:t>
      </w:r>
      <w:r w:rsidRPr="006C40C1">
        <w:t>komst- och förmögenhetsställning försvagas, vilket slår mot konsumtionen. Exporten drabbas hårt av den försämrade efterfrågan på världsmarknaden och inv</w:t>
      </w:r>
      <w:r w:rsidRPr="006C40C1">
        <w:t>e</w:t>
      </w:r>
      <w:r w:rsidRPr="006C40C1">
        <w:t>steringarna utvecklas svagare i alla delar av samhällslivet.</w:t>
      </w:r>
    </w:p>
    <w:p w:rsidR="00AA5D77" w:rsidRPr="006C40C1" w:rsidRDefault="00AA5D77">
      <w:pPr>
        <w:pStyle w:val="Bildrubrik"/>
        <w:rPr>
          <w:b/>
          <w:sz w:val="16"/>
        </w:rPr>
      </w:pPr>
      <w:r w:rsidRPr="006C40C1">
        <w:rPr>
          <w:b/>
          <w:caps w:val="0"/>
          <w:sz w:val="16"/>
        </w:rPr>
        <w:t>Tabell 7. Nyckeltal för lågtillväxtalternativet</w:t>
      </w:r>
    </w:p>
    <w:p w:rsidR="00AA5D77" w:rsidRPr="006C40C1" w:rsidRDefault="006C40C1">
      <w:r w:rsidRPr="006C40C1">
        <w:rPr>
          <w:noProof/>
        </w:rPr>
        <w:drawing>
          <wp:inline distT="0" distB="0" distL="0" distR="0">
            <wp:extent cx="3771900" cy="163830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b="31758"/>
                    <a:stretch>
                      <a:fillRect/>
                    </a:stretch>
                  </pic:blipFill>
                  <pic:spPr bwMode="auto">
                    <a:xfrm>
                      <a:off x="0" y="0"/>
                      <a:ext cx="3771900" cy="1638300"/>
                    </a:xfrm>
                    <a:prstGeom prst="rect">
                      <a:avLst/>
                    </a:prstGeom>
                    <a:noFill/>
                    <a:ln>
                      <a:noFill/>
                    </a:ln>
                  </pic:spPr>
                </pic:pic>
              </a:graphicData>
            </a:graphic>
          </wp:inline>
        </w:drawing>
      </w:r>
    </w:p>
    <w:p w:rsidR="00AA5D77" w:rsidRPr="006C40C1" w:rsidRDefault="00AA5D77">
      <w:pPr>
        <w:spacing w:line="240" w:lineRule="auto"/>
        <w:rPr>
          <w:sz w:val="14"/>
        </w:rPr>
      </w:pPr>
      <w:r w:rsidRPr="006C40C1">
        <w:rPr>
          <w:sz w:val="14"/>
          <w:vertAlign w:val="superscript"/>
        </w:rPr>
        <w:t>1</w:t>
      </w:r>
      <w:r w:rsidRPr="006C40C1">
        <w:rPr>
          <w:sz w:val="14"/>
        </w:rPr>
        <w:t xml:space="preserve"> Skillnaden i procent mellan faktisk och potentiell produktion.</w:t>
      </w:r>
    </w:p>
    <w:p w:rsidR="00AA5D77" w:rsidRPr="006C40C1" w:rsidRDefault="00AA5D77">
      <w:pPr>
        <w:spacing w:line="240" w:lineRule="auto"/>
        <w:rPr>
          <w:sz w:val="14"/>
        </w:rPr>
      </w:pPr>
      <w:r w:rsidRPr="006C40C1">
        <w:rPr>
          <w:sz w:val="14"/>
          <w:vertAlign w:val="superscript"/>
        </w:rPr>
        <w:t>2</w:t>
      </w:r>
      <w:r w:rsidRPr="006C40C1">
        <w:rPr>
          <w:sz w:val="14"/>
        </w:rPr>
        <w:t xml:space="preserve"> Antalet sysselsatta i åldern 20–64 år exklusive arbetsmarknadspolitiska program som andel av befol</w:t>
      </w:r>
      <w:r w:rsidRPr="006C40C1">
        <w:rPr>
          <w:sz w:val="14"/>
        </w:rPr>
        <w:t>k</w:t>
      </w:r>
      <w:r w:rsidRPr="006C40C1">
        <w:rPr>
          <w:sz w:val="14"/>
        </w:rPr>
        <w:t>ningen i åldersgruppen.</w:t>
      </w:r>
    </w:p>
    <w:p w:rsidR="00AA5D77" w:rsidRPr="006C40C1" w:rsidRDefault="00AA5D77">
      <w:pPr>
        <w:spacing w:line="240" w:lineRule="auto"/>
        <w:rPr>
          <w:sz w:val="14"/>
        </w:rPr>
      </w:pPr>
      <w:r w:rsidRPr="006C40C1">
        <w:rPr>
          <w:sz w:val="14"/>
          <w:vertAlign w:val="superscript"/>
        </w:rPr>
        <w:t>3</w:t>
      </w:r>
      <w:r w:rsidRPr="006C40C1">
        <w:rPr>
          <w:sz w:val="14"/>
        </w:rPr>
        <w:t xml:space="preserve"> Procent av BNP.</w:t>
      </w:r>
    </w:p>
    <w:p w:rsidR="00AA5D77" w:rsidRPr="006C40C1" w:rsidRDefault="00AA5D77">
      <w:pPr>
        <w:spacing w:line="240" w:lineRule="auto"/>
        <w:rPr>
          <w:sz w:val="14"/>
        </w:rPr>
      </w:pPr>
      <w:r w:rsidRPr="006C40C1">
        <w:rPr>
          <w:sz w:val="14"/>
        </w:rPr>
        <w:t>Siffror inom parentes anger regeringens bedömning i baskalkylen.</w:t>
      </w:r>
    </w:p>
    <w:p w:rsidR="00AA5D77" w:rsidRPr="006C40C1" w:rsidRDefault="00AA5D77">
      <w:pPr>
        <w:spacing w:line="240" w:lineRule="auto"/>
        <w:rPr>
          <w:sz w:val="14"/>
        </w:rPr>
      </w:pPr>
      <w:r w:rsidRPr="006C40C1">
        <w:rPr>
          <w:sz w:val="14"/>
        </w:rPr>
        <w:t>Källa: Finansdepartementet</w:t>
      </w:r>
    </w:p>
    <w:p w:rsidR="00AA5D77" w:rsidRPr="006C40C1" w:rsidRDefault="00AA5D77">
      <w:pPr>
        <w:pStyle w:val="Normaltindrag"/>
      </w:pPr>
    </w:p>
    <w:p w:rsidR="00AA5D77" w:rsidRPr="006C40C1" w:rsidRDefault="00AA5D77">
      <w:r w:rsidRPr="006C40C1">
        <w:t>Sammantaget innebär lågtillväxtalternativet för svensk del att tillväxten över de tre åren blir 2,8 procentenheter lägre jämfört med baskalkylen och antalet sysselsatta 2004 är 75 000 personer lägre. De offentliga finanserna försvagas med drygt 1 % av BNP både 2003 och 2004. Den kommunala verksamheten drabbas bl.a. genom lägre skatteintäkter och för att klara balanskravet tvingas kommunerna att antingen höja skatterna ytterligare eller dra ned på konsu</w:t>
      </w:r>
      <w:r w:rsidRPr="006C40C1">
        <w:t>m</w:t>
      </w:r>
      <w:r w:rsidRPr="006C40C1">
        <w:t>tionen. I lågtillväxtalternativet antas att kommunsektorn anpassar sig genom att minska på sina utgifter.</w:t>
      </w:r>
    </w:p>
    <w:p w:rsidR="00AA5D77" w:rsidRPr="006C40C1" w:rsidRDefault="00AA5D77">
      <w:pPr>
        <w:pStyle w:val="Rubrik4"/>
        <w:rPr>
          <w:noProof w:val="0"/>
        </w:rPr>
      </w:pPr>
      <w:bookmarkStart w:id="91" w:name="_Toc25302128"/>
      <w:bookmarkStart w:id="92" w:name="_Toc26191404"/>
      <w:r w:rsidRPr="006C40C1">
        <w:rPr>
          <w:noProof w:val="0"/>
        </w:rPr>
        <w:t>Högtillväxtalternativet</w:t>
      </w:r>
      <w:bookmarkEnd w:id="91"/>
      <w:bookmarkEnd w:id="92"/>
    </w:p>
    <w:p w:rsidR="00AA5D77" w:rsidRPr="006C40C1" w:rsidRDefault="00AA5D77">
      <w:r w:rsidRPr="006C40C1">
        <w:t>I detta alternativ antas att riksdagens och regeringens sysselsättningsmål om en sysselsättningsgrad på 80 % för personer i åldern 16–64 år uppfylls 2004 (den internationella konjunkturen utvecklas som i baskalkylen). Det kräver att BNP-tillväxten över prognosperioden sammanlagt stiger med 3 procentenh</w:t>
      </w:r>
      <w:r w:rsidRPr="006C40C1">
        <w:t>e</w:t>
      </w:r>
      <w:r w:rsidRPr="006C40C1">
        <w:t>ter mer än i baskalkylen. På samma sätt måste sysselsättningen på den sven</w:t>
      </w:r>
      <w:r w:rsidRPr="006C40C1">
        <w:t>s</w:t>
      </w:r>
      <w:r w:rsidRPr="006C40C1">
        <w:t>ka arbetsmarknaden öka med ytterligare 107 000 personer jämfört med ba</w:t>
      </w:r>
      <w:r w:rsidRPr="006C40C1">
        <w:t>s</w:t>
      </w:r>
      <w:r w:rsidRPr="006C40C1">
        <w:t>kalkylen. För att det ska vara möjligt krävs att arbetskraftsutbudet ökar b</w:t>
      </w:r>
      <w:r w:rsidRPr="006C40C1">
        <w:t>e</w:t>
      </w:r>
      <w:r w:rsidRPr="006C40C1">
        <w:t>tydligt mer än vad som förväntas i baskalkylen. Antalet personer i arbet</w:t>
      </w:r>
      <w:r w:rsidRPr="006C40C1">
        <w:t>s</w:t>
      </w:r>
      <w:r w:rsidRPr="006C40C1">
        <w:t>marknadspolitiska program måste minska. Vidare måste sjukfrånvaron min</w:t>
      </w:r>
      <w:r w:rsidRPr="006C40C1">
        <w:t>s</w:t>
      </w:r>
      <w:r w:rsidRPr="006C40C1">
        <w:t>ka i enlighet med regeringens mål om en halvering av antalet sjukdagar till 2008 samtidigt som andelen förtidspensionerade sjunker. Dessutom måst</w:t>
      </w:r>
      <w:r w:rsidRPr="006C40C1">
        <w:t>e andra grupper som t.ex. latent arbetssökande och invandrare i högre grad än tidigare komma ut på arbetsmarknaden.</w:t>
      </w:r>
    </w:p>
    <w:p w:rsidR="00AA5D77" w:rsidRPr="006C40C1" w:rsidRDefault="00AA5D77">
      <w:pPr>
        <w:pStyle w:val="Normaltindrag"/>
      </w:pPr>
      <w:r w:rsidRPr="006C40C1">
        <w:t>Den högre tillväxten och den högre sysselsättningen gör att de offentliga finanserna påtagligt förbättras, med drygt 1 % av BNP mot slutet av perioden. Kommunernas ekonomi förbättras och utrymmet för kommunal konsumtion stiger. Den höjning av det kommunala skatteuttaget 2003 som antas i ba</w:t>
      </w:r>
      <w:r w:rsidRPr="006C40C1">
        <w:t>s</w:t>
      </w:r>
      <w:r w:rsidRPr="006C40C1">
        <w:t>kalkylen och de två alternativen kan i högtillväxtalternativet följas av en sänkning 2004.</w:t>
      </w:r>
    </w:p>
    <w:p w:rsidR="00AA5D77" w:rsidRPr="006C40C1" w:rsidRDefault="00AA5D77">
      <w:pPr>
        <w:pStyle w:val="Bildrubrik"/>
        <w:rPr>
          <w:b/>
          <w:sz w:val="16"/>
        </w:rPr>
      </w:pPr>
      <w:r w:rsidRPr="006C40C1">
        <w:rPr>
          <w:b/>
          <w:caps w:val="0"/>
          <w:sz w:val="16"/>
        </w:rPr>
        <w:t>Tabell 8. Nyckeltal för högtillväxtalternativet</w:t>
      </w:r>
    </w:p>
    <w:p w:rsidR="00AA5D77" w:rsidRPr="006C40C1" w:rsidRDefault="006C40C1">
      <w:r w:rsidRPr="006C40C1">
        <w:rPr>
          <w:noProof/>
        </w:rPr>
        <w:drawing>
          <wp:inline distT="0" distB="0" distL="0" distR="0">
            <wp:extent cx="3771900" cy="164909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6">
                      <a:extLst>
                        <a:ext uri="{28A0092B-C50C-407E-A947-70E740481C1C}">
                          <a14:useLocalDpi xmlns:a14="http://schemas.microsoft.com/office/drawing/2010/main" val="0"/>
                        </a:ext>
                      </a:extLst>
                    </a:blip>
                    <a:srcRect b="31758"/>
                    <a:stretch>
                      <a:fillRect/>
                    </a:stretch>
                  </pic:blipFill>
                  <pic:spPr bwMode="auto">
                    <a:xfrm>
                      <a:off x="0" y="0"/>
                      <a:ext cx="3771900" cy="1649095"/>
                    </a:xfrm>
                    <a:prstGeom prst="rect">
                      <a:avLst/>
                    </a:prstGeom>
                    <a:noFill/>
                    <a:ln>
                      <a:noFill/>
                    </a:ln>
                  </pic:spPr>
                </pic:pic>
              </a:graphicData>
            </a:graphic>
          </wp:inline>
        </w:drawing>
      </w:r>
    </w:p>
    <w:p w:rsidR="00AA5D77" w:rsidRPr="006C40C1" w:rsidRDefault="00AA5D77">
      <w:pPr>
        <w:pStyle w:val="Rubrik3"/>
        <w:spacing w:before="0" w:line="240" w:lineRule="auto"/>
        <w:rPr>
          <w:b w:val="0"/>
          <w:noProof w:val="0"/>
          <w:sz w:val="14"/>
        </w:rPr>
      </w:pPr>
      <w:bookmarkStart w:id="93" w:name="_Toc25302129"/>
      <w:bookmarkStart w:id="94" w:name="_Toc25375204"/>
      <w:bookmarkStart w:id="95" w:name="_Toc26191405"/>
      <w:r w:rsidRPr="006C40C1">
        <w:rPr>
          <w:b w:val="0"/>
          <w:noProof w:val="0"/>
          <w:sz w:val="14"/>
          <w:vertAlign w:val="superscript"/>
        </w:rPr>
        <w:t>1</w:t>
      </w:r>
      <w:r w:rsidRPr="006C40C1">
        <w:rPr>
          <w:b w:val="0"/>
          <w:noProof w:val="0"/>
          <w:sz w:val="14"/>
        </w:rPr>
        <w:t xml:space="preserve"> Skillnaden i procent mellan faktisk och potentiell produktion.</w:t>
      </w:r>
      <w:bookmarkEnd w:id="95"/>
    </w:p>
    <w:p w:rsidR="00AA5D77" w:rsidRPr="006C40C1" w:rsidRDefault="00AA5D77">
      <w:pPr>
        <w:spacing w:line="240" w:lineRule="auto"/>
        <w:rPr>
          <w:sz w:val="14"/>
        </w:rPr>
      </w:pPr>
      <w:r w:rsidRPr="006C40C1">
        <w:rPr>
          <w:sz w:val="14"/>
          <w:vertAlign w:val="superscript"/>
        </w:rPr>
        <w:t>2</w:t>
      </w:r>
      <w:r w:rsidRPr="006C40C1">
        <w:rPr>
          <w:sz w:val="14"/>
        </w:rPr>
        <w:t xml:space="preserve"> Antalet sysselsatta i åldern 20–64 år exklusive arbetsmarknadspolitiska program som andel av befol</w:t>
      </w:r>
      <w:r w:rsidRPr="006C40C1">
        <w:rPr>
          <w:sz w:val="14"/>
        </w:rPr>
        <w:t>k</w:t>
      </w:r>
      <w:r w:rsidRPr="006C40C1">
        <w:rPr>
          <w:sz w:val="14"/>
        </w:rPr>
        <w:t>ningen i åldersgruppen.</w:t>
      </w:r>
    </w:p>
    <w:p w:rsidR="00AA5D77" w:rsidRPr="006C40C1" w:rsidRDefault="00AA5D77">
      <w:pPr>
        <w:spacing w:line="240" w:lineRule="auto"/>
        <w:rPr>
          <w:sz w:val="14"/>
        </w:rPr>
      </w:pPr>
      <w:r w:rsidRPr="006C40C1">
        <w:rPr>
          <w:sz w:val="14"/>
          <w:vertAlign w:val="superscript"/>
        </w:rPr>
        <w:t>3</w:t>
      </w:r>
      <w:r w:rsidRPr="006C40C1">
        <w:rPr>
          <w:sz w:val="14"/>
        </w:rPr>
        <w:t xml:space="preserve"> Procent av BNP.</w:t>
      </w:r>
    </w:p>
    <w:p w:rsidR="00AA5D77" w:rsidRPr="006C40C1" w:rsidRDefault="00AA5D77">
      <w:pPr>
        <w:spacing w:line="240" w:lineRule="auto"/>
        <w:rPr>
          <w:sz w:val="14"/>
        </w:rPr>
      </w:pPr>
      <w:r w:rsidRPr="006C40C1">
        <w:rPr>
          <w:sz w:val="14"/>
        </w:rPr>
        <w:t>Siffror inom parentes anger regeringens bedömning i baskalkylen.</w:t>
      </w:r>
    </w:p>
    <w:p w:rsidR="00AA5D77" w:rsidRPr="006C40C1" w:rsidRDefault="00AA5D77">
      <w:pPr>
        <w:spacing w:line="240" w:lineRule="auto"/>
        <w:rPr>
          <w:sz w:val="14"/>
        </w:rPr>
      </w:pPr>
      <w:r w:rsidRPr="006C40C1">
        <w:rPr>
          <w:sz w:val="14"/>
        </w:rPr>
        <w:t>Källa: Finansdepartementet</w:t>
      </w:r>
    </w:p>
    <w:p w:rsidR="00AA5D77" w:rsidRPr="006C40C1" w:rsidRDefault="00AA5D77">
      <w:pPr>
        <w:pStyle w:val="Rubrik3"/>
        <w:rPr>
          <w:noProof w:val="0"/>
        </w:rPr>
      </w:pPr>
      <w:bookmarkStart w:id="96" w:name="_Toc26191406"/>
      <w:r w:rsidRPr="006C40C1">
        <w:rPr>
          <w:noProof w:val="0"/>
        </w:rPr>
        <w:t>1.2.7 Ny information efter det att regeringens prognos färdigställts</w:t>
      </w:r>
      <w:bookmarkEnd w:id="93"/>
      <w:bookmarkEnd w:id="94"/>
      <w:bookmarkEnd w:id="96"/>
    </w:p>
    <w:p w:rsidR="00AA5D77" w:rsidRPr="006C40C1" w:rsidRDefault="00AA5D77">
      <w:r w:rsidRPr="006C40C1">
        <w:t>Regeringen anger att prognoserna i budgetpropositionen bygger på uppgifter som fanns tillgängliga t.o.m. den 4 oktober 2002. Den information som ko</w:t>
      </w:r>
      <w:r w:rsidRPr="006C40C1">
        <w:t>m</w:t>
      </w:r>
      <w:r w:rsidRPr="006C40C1">
        <w:t>mit sedan regeringen avslutade sitt prognosarbete är blandad, men tyder sammantaget på en fortsatt dämpning av den internationella återhäm</w:t>
      </w:r>
      <w:r w:rsidRPr="006C40C1">
        <w:t>t</w:t>
      </w:r>
      <w:r w:rsidRPr="006C40C1">
        <w:t>ningen.</w:t>
      </w:r>
    </w:p>
    <w:p w:rsidR="00AA5D77" w:rsidRPr="006C40C1" w:rsidRDefault="00AA5D77">
      <w:pPr>
        <w:pStyle w:val="Normaltindrag"/>
      </w:pPr>
      <w:r w:rsidRPr="006C40C1">
        <w:t>De finansiella marknaderna har dock stabiliserats något under de senaste veckorna. Från bottennoteringarna i början av oktober fram till mitten av november steg kurserna på de större internationella aktiebörserna, med u</w:t>
      </w:r>
      <w:r w:rsidRPr="006C40C1">
        <w:t>n</w:t>
      </w:r>
      <w:r w:rsidRPr="006C40C1">
        <w:t>dantag av aktiebörsen i Tokyo, med omkring 15–20 %. Samtidigt har priset på olja under samma period sjunkit från omkring drygt 29 dollar per fat till omkring drygt 23 dollar per fat.</w:t>
      </w:r>
    </w:p>
    <w:p w:rsidR="00AA5D77" w:rsidRPr="006C40C1" w:rsidRDefault="00AA5D77">
      <w:pPr>
        <w:pStyle w:val="Normaltindrag"/>
      </w:pPr>
      <w:r w:rsidRPr="006C40C1">
        <w:t>Förenta staternas BNP steg under tredje kvartalet med 3,1 % i uppräknad årstakt jämfört med andra kvartalet, enligt preliminära uppgifter från det amerikanska handelsdepartementet. Jämfört med tredje kvartalet i fjol var uppgången 3 %. Det var något lägre än vad analytikerna förväntade sig. Up</w:t>
      </w:r>
      <w:r w:rsidRPr="006C40C1">
        <w:t>p</w:t>
      </w:r>
      <w:r w:rsidRPr="006C40C1">
        <w:t>gången förklaras framför allt av en stigande konsumtion. De amerikanska hushållens konsumtion ökade under perioden med 4,2 % i uppräknad årstakt. En annan positiv utveckling är att investeringarna steg under tredje kvartalet – den första uppgången på två år. Investeringarna i utrustning och mjukvara ökade med 6,5 % medan investeringarna i datorer steg med 28 %.</w:t>
      </w:r>
    </w:p>
    <w:p w:rsidR="00AA5D77" w:rsidRPr="006C40C1" w:rsidRDefault="00AA5D77">
      <w:pPr>
        <w:pStyle w:val="Normaltindrag"/>
      </w:pPr>
      <w:r w:rsidRPr="006C40C1">
        <w:t>Ny statistik och nya indikatorer tyder emellertid på att den försvagning i konsumtionen som blev tydlig mot slutet av sommaren har fortsatt under d</w:t>
      </w:r>
      <w:r w:rsidRPr="006C40C1">
        <w:t>en senaste tiden. Hushållens förtroende för den ekonomiska utvecklingen (mätt enligt det s.k. Conference Board) föll kraftigt i oktober, från en reviderad indexsiffra i september på 93,7 till 79,4. Det var en betydligt större nedgång än vad aktörerna på marknaden förväntat sig. I september sjönk försäljningen i detaljhandeln inklusive bilförsäljningen med 1,3 %, exklusive bilförsäl</w:t>
      </w:r>
      <w:r w:rsidRPr="006C40C1">
        <w:t>j</w:t>
      </w:r>
      <w:r w:rsidRPr="006C40C1">
        <w:t xml:space="preserve">ningen sjönk försäljningen med 0,1 %. I oktober var försäljning inklusive bilförsäljningen oförändrad gentemot september medan </w:t>
      </w:r>
      <w:r w:rsidRPr="006C40C1">
        <w:t>försäljningen exkl</w:t>
      </w:r>
      <w:r w:rsidRPr="006C40C1">
        <w:t>u</w:t>
      </w:r>
      <w:r w:rsidRPr="006C40C1">
        <w:t>sive bilar gick upp med 0,7 %, enligt preliminära siffror. Sysselsättningen i den amerikanska ekonomin fortsatte att sjunka något i oktober samtidigt som arbetslösheten steg till 5,7 %, från 5,6 % månaden innan. Sysselsättningsne</w:t>
      </w:r>
      <w:r w:rsidRPr="006C40C1">
        <w:t>d</w:t>
      </w:r>
      <w:r w:rsidRPr="006C40C1">
        <w:t>gången i oktober ska dock sättas i relation till att sysselsättningsutvecklingen i septe</w:t>
      </w:r>
      <w:r w:rsidRPr="006C40C1">
        <w:t>m</w:t>
      </w:r>
      <w:r w:rsidRPr="006C40C1">
        <w:t xml:space="preserve">ber samtidigt reviderades upp kraftigt. </w:t>
      </w:r>
    </w:p>
    <w:p w:rsidR="00AA5D77" w:rsidRPr="006C40C1" w:rsidRDefault="00AA5D77">
      <w:pPr>
        <w:pStyle w:val="Normaltindrag"/>
      </w:pPr>
      <w:r w:rsidRPr="006C40C1">
        <w:t>Nya siffror bekräftar att också industrikonjunkturen i Förenta staterna for</w:t>
      </w:r>
      <w:r w:rsidRPr="006C40C1">
        <w:t>t</w:t>
      </w:r>
      <w:r w:rsidRPr="006C40C1">
        <w:t>sätter att vara svag. Företagens förtroende för den ekonomiska utvecklingen sjönk i september och oktober, till en indexsiffra i oktober på 48,5. Värden under 50 tyder grovt sett på avmattning i den ekonomiska aktiviteten medan en siffra över 50 indikerar tillväxt. Industriproduktionen sjönk i september, enligt ny statistik. Bostadsmarknaden fortsätter däremot att utvecklas gyn</w:t>
      </w:r>
      <w:r w:rsidRPr="006C40C1">
        <w:t>n</w:t>
      </w:r>
      <w:r w:rsidRPr="006C40C1">
        <w:t>samt. I september steg bostadsbyggandet med 13,3 % jämfört med a</w:t>
      </w:r>
      <w:r w:rsidRPr="006C40C1">
        <w:t>u</w:t>
      </w:r>
      <w:r w:rsidRPr="006C40C1">
        <w:t>gusti.</w:t>
      </w:r>
    </w:p>
    <w:p w:rsidR="00AA5D77" w:rsidRPr="006C40C1" w:rsidRDefault="00AA5D77">
      <w:pPr>
        <w:pStyle w:val="Normaltindrag"/>
      </w:pPr>
      <w:r w:rsidRPr="006C40C1">
        <w:t>För att öka aktiviteten i ekonomin och hejda ytterligare a</w:t>
      </w:r>
      <w:r w:rsidRPr="006C40C1">
        <w:t>vmattning sänkte den amerikanska centralbanken, Federal Reserve, i början av november sty</w:t>
      </w:r>
      <w:r w:rsidRPr="006C40C1">
        <w:t>r</w:t>
      </w:r>
      <w:r w:rsidRPr="006C40C1">
        <w:t>räntan med ytterligare 0,50 procentenheter, till en nivå på 1,25 %. Sedan början av 2001 har Federal Reserve sänkt styrräntan med mer än 5 procente</w:t>
      </w:r>
      <w:r w:rsidRPr="006C40C1">
        <w:t>n</w:t>
      </w:r>
      <w:r w:rsidRPr="006C40C1">
        <w:t>heter.</w:t>
      </w:r>
    </w:p>
    <w:p w:rsidR="00AA5D77" w:rsidRPr="006C40C1" w:rsidRDefault="00AA5D77">
      <w:pPr>
        <w:pStyle w:val="Normaltindrag"/>
      </w:pPr>
      <w:r w:rsidRPr="006C40C1">
        <w:t>De senaste signalerna från EU och euroområdet indikerar däremot en viss förbättring i industrikonjunkturen. EU-kommissionens konjunkturbarometer för euroområdet sjönk visserligen i oktober, men nedgången gällde framför allt konsumtionsindikatorerna medan indikatorern</w:t>
      </w:r>
      <w:r w:rsidRPr="006C40C1">
        <w:t>a för industrin och detal</w:t>
      </w:r>
      <w:r w:rsidRPr="006C40C1">
        <w:t>j</w:t>
      </w:r>
      <w:r w:rsidRPr="006C40C1">
        <w:t>handeln förbättrades och indikatorn för byggbranschen låg på oförändrad nivå. Uppgången i industrin berodde bl.a. på stigande förväntningar om ökad produktion och förbättrad orderingång. Även inköpschefernas index för eur</w:t>
      </w:r>
      <w:r w:rsidRPr="006C40C1">
        <w:t>o</w:t>
      </w:r>
      <w:r w:rsidRPr="006C40C1">
        <w:t>området steg i oktober.</w:t>
      </w:r>
    </w:p>
    <w:p w:rsidR="00AA5D77" w:rsidRPr="006C40C1" w:rsidRDefault="00AA5D77">
      <w:pPr>
        <w:pStyle w:val="Normaltindrag"/>
      </w:pPr>
      <w:r w:rsidRPr="006C40C1">
        <w:t>I Tyskland är den senaste statistiken lite mer blandad. Det s.k. IFO-index för Tyskland fortsatte att sjunka i oktober. IFO-index är en barometer över den tyska industrins förväntningar och har historiskt sett varit en god indik</w:t>
      </w:r>
      <w:r w:rsidRPr="006C40C1">
        <w:t>a</w:t>
      </w:r>
      <w:r w:rsidRPr="006C40C1">
        <w:t>tor på industriproduktionen såväl i Tyskland som i euroområdet. Däremot steg de tyska inköpschefernas index i oktober, precis som för euroområdet som helhet. Industriproduktionen och den tyska industrins orderingång från såväl hemmamarknaden som exportmarknaderna sjönk i september. Efter att ha stigit under augusti och september sjönk de tyska hushållens förtroende för ekonomins utveckling i oktober. I september minskade också omsättningen i detaljhandeln med 1,3 % i årstakt, samtidigt som arbetslösheten i</w:t>
      </w:r>
      <w:r w:rsidRPr="006C40C1">
        <w:t xml:space="preserve"> säsongsre</w:t>
      </w:r>
      <w:r w:rsidRPr="006C40C1">
        <w:t>n</w:t>
      </w:r>
      <w:r w:rsidRPr="006C40C1">
        <w:t>sade termer ökade till 9,9 % i oktober från 9,8 i september, enligt statistik från Tysklands centra</w:t>
      </w:r>
      <w:r w:rsidRPr="006C40C1">
        <w:t>l</w:t>
      </w:r>
      <w:r w:rsidRPr="006C40C1">
        <w:t>bank Bundesbank.</w:t>
      </w:r>
    </w:p>
    <w:p w:rsidR="00AA5D77" w:rsidRPr="006C40C1" w:rsidRDefault="00AA5D77">
      <w:pPr>
        <w:pStyle w:val="Normaltindrag"/>
      </w:pPr>
      <w:r w:rsidRPr="006C40C1">
        <w:t>Den tyska regeringen skrev i slutet av oktober ned sin prognos över den tyska ekonomins utveckling 2002 och 2003. Regeringen räknar nu med att BNP stiger med 0,5 % i år och 1,5 % nästa år. Det är 0,25 procentenheter respektive 1 procentenhet lägre än vad regeringen tidigare räknade med.</w:t>
      </w:r>
    </w:p>
    <w:p w:rsidR="00AA5D77" w:rsidRPr="006C40C1" w:rsidRDefault="00AA5D77">
      <w:pPr>
        <w:pStyle w:val="Normaltindrag"/>
      </w:pPr>
      <w:r w:rsidRPr="006C40C1">
        <w:t>I mitten av november presenterade EU-kommissionen sin ekonomiska höstprognos. Kommissionen bedömer att BNP i EU och euroområdet stiger med i genomsnitt 1 % och 0,8 % 2002. Under 2003 ökar tillväxttakten till 2 % i EU och 1,8 % i euroområdet, enligt kommissionens prognos.</w:t>
      </w:r>
    </w:p>
    <w:p w:rsidR="00AA5D77" w:rsidRPr="006C40C1" w:rsidRDefault="00AA5D77">
      <w:pPr>
        <w:pStyle w:val="Normaltindrag"/>
      </w:pPr>
      <w:r w:rsidRPr="006C40C1">
        <w:t>Även den svenska industrikonjunkturen fortsatte att dämpas något under hösten, efter förbättringen i slutet av förra året och början av i år, enligt KI:s barometer för tredje kvartalet som publicerades i slutet av oktober. Under tredje kvartalet  var såväl orderingången som produktionen i tillverkningsi</w:t>
      </w:r>
      <w:r w:rsidRPr="006C40C1">
        <w:t>n</w:t>
      </w:r>
      <w:r w:rsidRPr="006C40C1">
        <w:t>dustrin i stort sett oförändrad jämfört med andra kvartalet, trots att företagen förväntat sig en ökning under perioden. Orderingången från exportmarknaden sjönk och den totala ordersituationen försämrades. Drygt 40 % av företagen angav att orderstocken är för liten. Mest negativa var företagen i teleproduk</w:t>
      </w:r>
      <w:r w:rsidRPr="006C40C1">
        <w:t>t</w:t>
      </w:r>
      <w:r w:rsidRPr="006C40C1">
        <w:t>industrin, men även i andra branscher har företagen blivit mer negativa över orderstockens utveckling. Ett undantag är sågverken, där orderingången stigit kraftigt och företagen är nöjda med ordertillst</w:t>
      </w:r>
      <w:r w:rsidRPr="006C40C1">
        <w:t>römningen. Sysselsättningen i tillverkningsindustrin har sjunkit och flertalet branscher räknar med en for</w:t>
      </w:r>
      <w:r w:rsidRPr="006C40C1">
        <w:t>t</w:t>
      </w:r>
      <w:r w:rsidRPr="006C40C1">
        <w:t>satt nedgång framöver. Den s.k. konfidensindikatorn, som speglar företagens konjunkturförväntningar, sjönk något under tredje kvartalet. Även byggko</w:t>
      </w:r>
      <w:r w:rsidRPr="006C40C1">
        <w:t>n</w:t>
      </w:r>
      <w:r w:rsidRPr="006C40C1">
        <w:t>junkturen försvagades under tredje kvartalet, enligt företagen. Såväl bygga</w:t>
      </w:r>
      <w:r w:rsidRPr="006C40C1">
        <w:t>n</w:t>
      </w:r>
      <w:r w:rsidRPr="006C40C1">
        <w:t>det som sysselsättningen i branschen minskade samtidigt som omkring häl</w:t>
      </w:r>
      <w:r w:rsidRPr="006C40C1">
        <w:t>f</w:t>
      </w:r>
      <w:r w:rsidRPr="006C40C1">
        <w:t>ten av byggföretagen uppgav att ordervolymen var för liten. Inom handeln steg försäljningen, även om uppgång</w:t>
      </w:r>
      <w:r w:rsidRPr="006C40C1">
        <w:t>en var svagare än vad företagen förväntat sig. I den övriga tjänstesektorn var konjunkturläget fortsatt svagt under tredje kvartalet, enligt tjänsteföretagen i barometern.</w:t>
      </w:r>
    </w:p>
    <w:p w:rsidR="00AA5D77" w:rsidRPr="006C40C1" w:rsidRDefault="00AA5D77">
      <w:pPr>
        <w:pStyle w:val="Normaltindrag"/>
      </w:pPr>
      <w:r w:rsidRPr="006C40C1">
        <w:t>Resultaten i KI:s barometer verifieras av att både produktionen och orde</w:t>
      </w:r>
      <w:r w:rsidRPr="006C40C1">
        <w:t>r</w:t>
      </w:r>
      <w:r w:rsidRPr="006C40C1">
        <w:t>ingången i industrin sjönk i augusti, enligt nya siffror från Statistiska centra</w:t>
      </w:r>
      <w:r w:rsidRPr="006C40C1">
        <w:t>l</w:t>
      </w:r>
      <w:r w:rsidRPr="006C40C1">
        <w:t>byrån (SCB). Även inköpschefsindex för den svenska industrin fortsatte att sjunka i oktober. Indexsiffran noterades till 51,7, vilket fortfarande är över expansionsgränsen 50.</w:t>
      </w:r>
    </w:p>
    <w:p w:rsidR="00AA5D77" w:rsidRPr="006C40C1" w:rsidRDefault="00AA5D77">
      <w:pPr>
        <w:pStyle w:val="Normaltindrag"/>
      </w:pPr>
      <w:r w:rsidRPr="006C40C1">
        <w:t>I den s.k. investeringsenkät som SCB redovisade i mitten av november r</w:t>
      </w:r>
      <w:r w:rsidRPr="006C40C1">
        <w:t>e</w:t>
      </w:r>
      <w:r w:rsidRPr="006C40C1">
        <w:t>dovisar industriföretagen att de i löpande priser planerar att minska investe</w:t>
      </w:r>
      <w:r w:rsidRPr="006C40C1">
        <w:t>r</w:t>
      </w:r>
      <w:r w:rsidRPr="006C40C1">
        <w:t xml:space="preserve">ingsvolymen i byggnader och maskiner under både 2002 och 2003. </w:t>
      </w:r>
    </w:p>
    <w:p w:rsidR="00AA5D77" w:rsidRPr="006C40C1" w:rsidRDefault="00AA5D77">
      <w:pPr>
        <w:pStyle w:val="Normaltindrag"/>
      </w:pPr>
      <w:r w:rsidRPr="006C40C1">
        <w:t>Sysselsättningen steg under september och oktober med 21 000 respektive 3 000 personer jämfört med samma månader året innan, enligt SCB:s arbet</w:t>
      </w:r>
      <w:r w:rsidRPr="006C40C1">
        <w:t>s</w:t>
      </w:r>
      <w:r w:rsidRPr="006C40C1">
        <w:t>kraftsundersökning AKU. Den öppna arbetslösheten var under samma mån</w:t>
      </w:r>
      <w:r w:rsidRPr="006C40C1">
        <w:t>a</w:t>
      </w:r>
      <w:r w:rsidRPr="006C40C1">
        <w:t>der 4,2 % respektive 3,7 %. Enligt Arbetsmarknadsstyrelsen (AMS) uppgifter för oktober, som publicerades i början av november, låg den öppna arbetslö</w:t>
      </w:r>
      <w:r w:rsidRPr="006C40C1">
        <w:t>s</w:t>
      </w:r>
      <w:r w:rsidRPr="006C40C1">
        <w:t>heten på 3,8 % i slutet av oktober, mot 4 % månaden innan och 3,9 % i slutet av oktober 2001. Det s.k. obalanstalet, dvs. antalet öppet arbetslösa plus a</w:t>
      </w:r>
      <w:r w:rsidRPr="006C40C1">
        <w:t>n</w:t>
      </w:r>
      <w:r w:rsidRPr="006C40C1">
        <w:t>talet deltagare i arbetsmarknadspolitiska program, steg dock till 6,6 % från 6,4 % i oktober i fjol, eftersom antalet deltagare i de arbet</w:t>
      </w:r>
      <w:r w:rsidRPr="006C40C1">
        <w:t xml:space="preserve">smarknadspolitiska programmen ökat. I oktober varslades 7 900 personer om uppsägning, enligt AMS. Det är den näst högsta siffran i oktober månad sedan 1993. Hittills i år har 52 800 personer varslats om uppsägning, vilket är ungefär samma siffra som i fjol. </w:t>
      </w:r>
    </w:p>
    <w:p w:rsidR="00AA5D77" w:rsidRPr="006C40C1" w:rsidRDefault="00AA5D77">
      <w:pPr>
        <w:pStyle w:val="Normaltindrag"/>
      </w:pPr>
      <w:r w:rsidRPr="006C40C1">
        <w:t>I månadsskiftet oktober/november sade Svenska Kommunalarbetarefö</w:t>
      </w:r>
      <w:r w:rsidRPr="006C40C1">
        <w:t>r</w:t>
      </w:r>
      <w:r w:rsidRPr="006C40C1">
        <w:t>bundet upp sina avtal med kommun- och landstingsförbunden och en rad andra arbetsgivare.</w:t>
      </w:r>
    </w:p>
    <w:p w:rsidR="00AA5D77" w:rsidRPr="006C40C1" w:rsidRDefault="00AA5D77">
      <w:pPr>
        <w:pStyle w:val="Normaltindrag"/>
      </w:pPr>
      <w:r w:rsidRPr="006C40C1">
        <w:t>Efter en nedgång i inflationstakten i september steg inflationstakten i okt</w:t>
      </w:r>
      <w:r w:rsidRPr="006C40C1">
        <w:t>o</w:t>
      </w:r>
      <w:r w:rsidRPr="006C40C1">
        <w:t>ber till 2,5 % mätt enligt konsumentprisindex (KPI), enligt statistik från SCB. Inflationstakten enligt det underliggande inflationsmåttet, UND1X, steg till 2,4 % jämfört med 1,9 % i september. Uppgången i oktober berodde enligt SCB på stigande priser på kläder och skor, höjda boendekostnader samt ökade priser på grönsaker.</w:t>
      </w:r>
    </w:p>
    <w:p w:rsidR="00AA5D77" w:rsidRPr="006C40C1" w:rsidRDefault="00AA5D77">
      <w:pPr>
        <w:pStyle w:val="Normaltindrag"/>
      </w:pPr>
      <w:r w:rsidRPr="006C40C1">
        <w:t>Till följd av den svagare konjunkturen sänkte även den svenska Riksba</w:t>
      </w:r>
      <w:r w:rsidRPr="006C40C1">
        <w:t>n</w:t>
      </w:r>
      <w:r w:rsidRPr="006C40C1">
        <w:t>ken sin styrränta i mitten av november med 0,25 procentenheter, till en nivå på 4 %.</w:t>
      </w:r>
    </w:p>
    <w:p w:rsidR="00AA5D77" w:rsidRPr="006C40C1" w:rsidRDefault="00AA5D77">
      <w:pPr>
        <w:pStyle w:val="Normaltindrag"/>
      </w:pPr>
      <w:r w:rsidRPr="006C40C1">
        <w:t>Hushållens förväntningar om ekonomins utveckling sjönk kraftigt i okt</w:t>
      </w:r>
      <w:r w:rsidRPr="006C40C1">
        <w:t>o</w:t>
      </w:r>
      <w:r w:rsidRPr="006C40C1">
        <w:t>ber när hushållens förtroendeindikator, den s.k. CCI, föll från 8,3 i september till 2,2 i oktober, enligt KI:s statistik. Alla delserier i indikatorn försämrades, dvs. hushållen har blivit mer pessimistiska vad gäller både den svenska ek</w:t>
      </w:r>
      <w:r w:rsidRPr="006C40C1">
        <w:t>o</w:t>
      </w:r>
      <w:r w:rsidRPr="006C40C1">
        <w:t xml:space="preserve">nomins och den egna ekonomins utveckling. </w:t>
      </w:r>
    </w:p>
    <w:p w:rsidR="00AA5D77" w:rsidRPr="006C40C1" w:rsidRDefault="00AA5D77">
      <w:pPr>
        <w:pStyle w:val="Normaltindrag"/>
      </w:pPr>
      <w:r w:rsidRPr="006C40C1">
        <w:t>Efter en svag utveckling i augusti ökade försäljningen i detaljhandeln kraftigt i september, enligt SCB. Omsättningen steg med 7,3 % jämfört med september i fjol. Försäljningen av kapitalvaror, den s.k. sällanköpsvaruha</w:t>
      </w:r>
      <w:r w:rsidRPr="006C40C1">
        <w:t>n</w:t>
      </w:r>
      <w:r w:rsidRPr="006C40C1">
        <w:t>deln, ökade under samma period med 11 %. Andra tecken på att konsumti</w:t>
      </w:r>
      <w:r w:rsidRPr="006C40C1">
        <w:t>o</w:t>
      </w:r>
      <w:r w:rsidRPr="006C40C1">
        <w:t xml:space="preserve">nen fortsätter att stiga, trots den ökade pessimismen bland hushållen, är att registreringen av nya personbilar ökade med 12 % i oktober jämfört med samma månad 2001. Priserna på småhus steg under augusti–oktober med 1 % jämfört med perioden maj–juli. Hittills i år har priserna stigit med 7 % jämfört med samma period i fjol. </w:t>
      </w:r>
    </w:p>
    <w:p w:rsidR="00AA5D77" w:rsidRPr="006C40C1" w:rsidRDefault="00AA5D77">
      <w:pPr>
        <w:pStyle w:val="Normaltindrag"/>
      </w:pPr>
      <w:r w:rsidRPr="006C40C1">
        <w:t>Sedan regeringen offentliggjorde sin konjunkturprognos har KI, Riksba</w:t>
      </w:r>
      <w:r w:rsidRPr="006C40C1">
        <w:t>n</w:t>
      </w:r>
      <w:r w:rsidRPr="006C40C1">
        <w:t>ken, Landsorganisationen (LO), OECD, SEB och EU-kommissionen prese</w:t>
      </w:r>
      <w:r w:rsidRPr="006C40C1">
        <w:t>n</w:t>
      </w:r>
      <w:r w:rsidRPr="006C40C1">
        <w:t xml:space="preserve">terat nya bedömningar av den svenska ekonomins utveckling under 2002 och 2003. I genomsnitt räknar dessa med att BNP stiger med 1,7 % i år och 2,2 % nästa år. Det kan jämföras med regeringens bedömning om en BNP-tillväxt på 2,1 % 2002 och 2,5 % 2003. </w:t>
      </w:r>
    </w:p>
    <w:p w:rsidR="00AA5D77" w:rsidRPr="006C40C1" w:rsidRDefault="00AA5D77">
      <w:pPr>
        <w:pStyle w:val="Normaltindrag"/>
      </w:pPr>
      <w:r w:rsidRPr="006C40C1">
        <w:t>Vid valutahandelns slut den 20 november låg den svenska kronans värde på 131,04, mätt enligt det s.k. TCW-index. Den sjunde oktober 2002 låg TCW-index på 132,15.</w:t>
      </w:r>
    </w:p>
    <w:p w:rsidR="00AA5D77" w:rsidRPr="006C40C1" w:rsidRDefault="00AA5D77">
      <w:pPr>
        <w:pStyle w:val="Rubrik3"/>
        <w:rPr>
          <w:noProof w:val="0"/>
        </w:rPr>
      </w:pPr>
      <w:r w:rsidRPr="006C40C1">
        <w:rPr>
          <w:noProof w:val="0"/>
        </w:rPr>
        <w:t xml:space="preserve"> </w:t>
      </w:r>
      <w:bookmarkStart w:id="97" w:name="_Toc25302130"/>
      <w:bookmarkStart w:id="98" w:name="_Toc25375205"/>
      <w:bookmarkStart w:id="99" w:name="_Toc26191407"/>
      <w:r w:rsidRPr="006C40C1">
        <w:rPr>
          <w:noProof w:val="0"/>
        </w:rPr>
        <w:t>1.2.8 Finansutskottets syn på budgetpropositionens och partimotionernas ko</w:t>
      </w:r>
      <w:r w:rsidRPr="006C40C1">
        <w:rPr>
          <w:noProof w:val="0"/>
        </w:rPr>
        <w:t>n</w:t>
      </w:r>
      <w:r w:rsidRPr="006C40C1">
        <w:rPr>
          <w:noProof w:val="0"/>
        </w:rPr>
        <w:t>junkturbedömningar</w:t>
      </w:r>
      <w:bookmarkEnd w:id="97"/>
      <w:bookmarkEnd w:id="98"/>
      <w:bookmarkEnd w:id="99"/>
    </w:p>
    <w:p w:rsidR="00AA5D77" w:rsidRPr="006C40C1" w:rsidRDefault="00AA5D77">
      <w:r w:rsidRPr="006C40C1">
        <w:t>Så gott som samtliga partier utgår i partimotionerna från att den internati</w:t>
      </w:r>
      <w:r w:rsidRPr="006C40C1">
        <w:t>o</w:t>
      </w:r>
      <w:r w:rsidRPr="006C40C1">
        <w:t>nella konjunkturen utvecklas sämre framöver än vad regeringen räknar med i budgetpropositionen, och att det sannolikt innebär att även den svenska til</w:t>
      </w:r>
      <w:r w:rsidRPr="006C40C1">
        <w:t>l</w:t>
      </w:r>
      <w:r w:rsidRPr="006C40C1">
        <w:t>växttakten blir lägre än vad regeringen förväntar sig, framför allt under 2003 men även under 2002.</w:t>
      </w:r>
    </w:p>
    <w:p w:rsidR="00AA5D77" w:rsidRPr="006C40C1" w:rsidRDefault="00AA5D77">
      <w:pPr>
        <w:pStyle w:val="Normaltindrag"/>
      </w:pPr>
      <w:r w:rsidRPr="006C40C1">
        <w:t>I motion Fi232 (fp) menar motionärerna att den svenska ekonomin fö</w:t>
      </w:r>
      <w:r w:rsidRPr="006C40C1">
        <w:t>r</w:t>
      </w:r>
      <w:r w:rsidRPr="006C40C1">
        <w:t>modligen kommer att utvecklas betydligt svagare än regeringen räknat med och därmed svagare än de förutsättningar som 2003 års budget är byggd på.</w:t>
      </w:r>
    </w:p>
    <w:p w:rsidR="00AA5D77" w:rsidRPr="006C40C1" w:rsidRDefault="00AA5D77">
      <w:pPr>
        <w:pStyle w:val="Normaltindrag"/>
      </w:pPr>
      <w:r w:rsidRPr="006C40C1">
        <w:t>”Detta beror både på en sämre internationell konjunktur och på en sämre inhemsk utveckling”, skriver motionärerna.</w:t>
      </w:r>
    </w:p>
    <w:p w:rsidR="00AA5D77" w:rsidRPr="006C40C1" w:rsidRDefault="00AA5D77">
      <w:pPr>
        <w:pStyle w:val="Normaltindrag"/>
      </w:pPr>
      <w:r w:rsidRPr="006C40C1">
        <w:t xml:space="preserve"> ”Den svagare internationella utveckling som är trolig medför att utrymmet för svensk export blir lägre. Dessutom kommer den svagare inhemska och internationella efterfrågan att medföra att företagen skjuter på investeringar och skrinlägger eventuella expansionsplaner.”</w:t>
      </w:r>
    </w:p>
    <w:p w:rsidR="00AA5D77" w:rsidRPr="006C40C1" w:rsidRDefault="00AA5D77">
      <w:pPr>
        <w:pStyle w:val="Normaltindrag"/>
      </w:pPr>
      <w:r w:rsidRPr="006C40C1">
        <w:t>Vidare, menar motionärerna, innebär hushållens ökade pessimism om både den svenska och den egna ekonomin och den ökade risken för stigande a</w:t>
      </w:r>
      <w:r w:rsidRPr="006C40C1">
        <w:t>r</w:t>
      </w:r>
      <w:r w:rsidRPr="006C40C1">
        <w:t>betslöshet att det inte är rimligt att, som regeringen gör, anta att hushållens konsu</w:t>
      </w:r>
      <w:r w:rsidRPr="006C40C1">
        <w:t>m</w:t>
      </w:r>
      <w:r w:rsidRPr="006C40C1">
        <w:t>tion nästa år ökar snabbare än i år.</w:t>
      </w:r>
    </w:p>
    <w:p w:rsidR="00AA5D77" w:rsidRPr="006C40C1" w:rsidRDefault="00AA5D77">
      <w:pPr>
        <w:pStyle w:val="Normaltindrag"/>
      </w:pPr>
      <w:r w:rsidRPr="006C40C1">
        <w:t>I motion Fi231 (m) anförs att skattehöjningarna nästa år blir större än vad regeringen räknar med, och att det talar för att den privata konsumtionen och därmed även BNP-tillväxten blir lägre än vad regeringen bedömer.</w:t>
      </w:r>
    </w:p>
    <w:p w:rsidR="00AA5D77" w:rsidRPr="006C40C1" w:rsidRDefault="00AA5D77">
      <w:pPr>
        <w:pStyle w:val="Normaltindrag"/>
      </w:pPr>
      <w:r w:rsidRPr="006C40C1">
        <w:t>”Regeringens prognos bygger även på att investeringarna ska ta fart nästa år och att företagen åter ska våga fylla lagerhyllorna. Det förutsätter att fra</w:t>
      </w:r>
      <w:r w:rsidRPr="006C40C1">
        <w:t>m</w:t>
      </w:r>
      <w:r w:rsidRPr="006C40C1">
        <w:t xml:space="preserve">tidstron ökar hos företagen, vilket förefaller något osäkert mot bakgrund av oron i omvärlden”, skriver motionärerna. </w:t>
      </w:r>
    </w:p>
    <w:p w:rsidR="00AA5D77" w:rsidRPr="006C40C1" w:rsidRDefault="00AA5D77">
      <w:pPr>
        <w:pStyle w:val="Normaltindrag"/>
      </w:pPr>
      <w:r w:rsidRPr="006C40C1">
        <w:t>Motionerna pekar vidare på att det nu kommer signaler om att bostadspr</w:t>
      </w:r>
      <w:r w:rsidRPr="006C40C1">
        <w:t>i</w:t>
      </w:r>
      <w:r w:rsidRPr="006C40C1">
        <w:t>serna i storstäderna börjat falla.</w:t>
      </w:r>
    </w:p>
    <w:p w:rsidR="00AA5D77" w:rsidRPr="006C40C1" w:rsidRDefault="00AA5D77">
      <w:pPr>
        <w:pStyle w:val="Normaltindrag"/>
      </w:pPr>
      <w:r w:rsidRPr="006C40C1">
        <w:t>”En ökad osäkerhet bland hushållen över hur bostadspriserna ska utvecklas borde resultera i ökat sparande och minskad konsumtion och inte minskat sparande och ökad konsumtion som i regeringens prognos.”</w:t>
      </w:r>
    </w:p>
    <w:p w:rsidR="00AA5D77" w:rsidRPr="006C40C1" w:rsidRDefault="00AA5D77">
      <w:r w:rsidRPr="006C40C1">
        <w:t>Utskottet delar regeringens bedömning i budgetpropositionen och synpun</w:t>
      </w:r>
      <w:r w:rsidRPr="006C40C1">
        <w:t>k</w:t>
      </w:r>
      <w:r w:rsidRPr="006C40C1">
        <w:t>terna i partimotionerna att osäkerheten kring den internationella konjunktu</w:t>
      </w:r>
      <w:r w:rsidRPr="006C40C1">
        <w:t>r</w:t>
      </w:r>
      <w:r w:rsidRPr="006C40C1">
        <w:t>utvecklingen är stor.</w:t>
      </w:r>
    </w:p>
    <w:p w:rsidR="00AA5D77" w:rsidRPr="006C40C1" w:rsidRDefault="00AA5D77">
      <w:pPr>
        <w:pStyle w:val="Normaltindrag"/>
      </w:pPr>
      <w:r w:rsidRPr="006C40C1">
        <w:t xml:space="preserve"> Efter den relativt starka uppgången under första halvåret i år har åte</w:t>
      </w:r>
      <w:r w:rsidRPr="006C40C1">
        <w:t>r</w:t>
      </w:r>
      <w:r w:rsidRPr="006C40C1">
        <w:t>hämtningen dämpats under sommaren och hösten, bl.a. på grund av låga vinster i företagssektorn, fallande kurser på världens aktiebörser, sommarens bokföringsskandaler i t.ex. Förenta staterna och hoten om militära insatser mot Irak. Hushållen och företagen i så gott som alla större länder har under de senaste månaderna blivit mer pessimistiska om den ekonomiska utvecklingen, vilket riskerar att leda till att den internationella efterfrågan dämpas och att konjunktu</w:t>
      </w:r>
      <w:r w:rsidRPr="006C40C1">
        <w:t>r</w:t>
      </w:r>
      <w:r w:rsidRPr="006C40C1">
        <w:t>uppgången försvagas eller t.o.m. vänds mot</w:t>
      </w:r>
      <w:r w:rsidRPr="006C40C1">
        <w:t xml:space="preserve"> en nedgång.</w:t>
      </w:r>
    </w:p>
    <w:p w:rsidR="00AA5D77" w:rsidRPr="006C40C1" w:rsidRDefault="00AA5D77">
      <w:pPr>
        <w:pStyle w:val="Normaltindrag"/>
      </w:pPr>
      <w:r w:rsidRPr="006C40C1">
        <w:t>Som framgår av redovisningen under punkt 1.2.7 Ny information efter det att regeringens prognos färdigställts tyder en del uppgifter på att återhäm</w:t>
      </w:r>
      <w:r w:rsidRPr="006C40C1">
        <w:t>t</w:t>
      </w:r>
      <w:r w:rsidRPr="006C40C1">
        <w:t>ningen i världsekonomin dämpats ytterligare något under oktober. Pessimi</w:t>
      </w:r>
      <w:r w:rsidRPr="006C40C1">
        <w:t>s</w:t>
      </w:r>
      <w:r w:rsidRPr="006C40C1">
        <w:t>men hos hushållen och företagen har ökat både i Förenta staterna och EU-länderna samtidigt som både konsumtionen och produktionen dämpats något jämfört med utvecklingen i våras. Utskottet vill dock framhålla att uppgifte</w:t>
      </w:r>
      <w:r w:rsidRPr="006C40C1">
        <w:t>r</w:t>
      </w:r>
      <w:r w:rsidRPr="006C40C1">
        <w:t>na bör tolkas med viss försiktighet. Merparten av informationen är av karakt</w:t>
      </w:r>
      <w:r w:rsidRPr="006C40C1">
        <w:t>ä</w:t>
      </w:r>
      <w:r w:rsidRPr="006C40C1">
        <w:t>ren indikatorer och andra mätare av förväntningar. Tidigare erfarenheter visar att denna typ av information tenderar att överdriva de ekonom</w:t>
      </w:r>
      <w:r w:rsidRPr="006C40C1">
        <w:t>iska effekterna av enskilda händelser och skeenden. De mord som utfördes av krypskyttar i Washingtonområdet i oktober har t.ex. framhållits som en viktig förklaring till det mycket stora fallet i konsumentförtroende i Förenta staterna under okt</w:t>
      </w:r>
      <w:r w:rsidRPr="006C40C1">
        <w:t>o</w:t>
      </w:r>
      <w:r w:rsidRPr="006C40C1">
        <w:t>ber.</w:t>
      </w:r>
    </w:p>
    <w:p w:rsidR="00AA5D77" w:rsidRPr="006C40C1" w:rsidRDefault="00AA5D77">
      <w:pPr>
        <w:pStyle w:val="Normaltindrag"/>
      </w:pPr>
      <w:r w:rsidRPr="006C40C1">
        <w:t>Utskottet kan samtidigt konstatera att all ny information inte är av negativ karaktär utan att det även inkommit uppgifter som kan tyda på att sommarens och höstens dämpning kan vara tillfällig. De senaste veckorna har t.ex. f</w:t>
      </w:r>
      <w:r w:rsidRPr="006C40C1">
        <w:t>i</w:t>
      </w:r>
      <w:r w:rsidRPr="006C40C1">
        <w:t>nansmarknaderna stabiliserats en del efter den kraftiga nedgången på akti</w:t>
      </w:r>
      <w:r w:rsidRPr="006C40C1">
        <w:t>e</w:t>
      </w:r>
      <w:r w:rsidRPr="006C40C1">
        <w:t>börserna sedan tidigt i våras och den accelererande nedgången under framför allt september. Sedan början av oktober har kurserna på de flesta större börser i världen stigit med 15–20 %. I Sverige har Stockholmsbörsen gått upp ung</w:t>
      </w:r>
      <w:r w:rsidRPr="006C40C1">
        <w:t>e</w:t>
      </w:r>
      <w:r w:rsidRPr="006C40C1">
        <w:t>fär 28 % från den 9 oktober till den 20 november, enligt det s.k. SAX-index. Vidare har priset på råolja sjunkit efter den kraftiga uppgången under se</w:t>
      </w:r>
      <w:r w:rsidRPr="006C40C1">
        <w:t>n</w:t>
      </w:r>
      <w:r w:rsidRPr="006C40C1">
        <w:t>sommaren. En annan positiv faktor är den räntesänkning p</w:t>
      </w:r>
      <w:r w:rsidRPr="006C40C1">
        <w:t>å 0,5 % som ce</w:t>
      </w:r>
      <w:r w:rsidRPr="006C40C1">
        <w:t>n</w:t>
      </w:r>
      <w:r w:rsidRPr="006C40C1">
        <w:t>tralbanken i Förenta staterna vidtog i början av november för att stimulera den amerikanska konsumtionen och investeringsverksamheten. Även den svenska Riksbanken sänkte i mitten av november sin styrränta med 0,25 procentenh</w:t>
      </w:r>
      <w:r w:rsidRPr="006C40C1">
        <w:t>e</w:t>
      </w:r>
      <w:r w:rsidRPr="006C40C1">
        <w:t>ter.</w:t>
      </w:r>
    </w:p>
    <w:p w:rsidR="00AA5D77" w:rsidRPr="006C40C1" w:rsidRDefault="00AA5D77">
      <w:pPr>
        <w:pStyle w:val="Normaltindrag"/>
      </w:pPr>
      <w:r w:rsidRPr="006C40C1">
        <w:t>När det gäller konsumtionen kan utskottet konstatera att hushållskonsu</w:t>
      </w:r>
      <w:r w:rsidRPr="006C40C1">
        <w:t>m</w:t>
      </w:r>
      <w:r w:rsidRPr="006C40C1">
        <w:t>tionen hittills i år ökat starkare än vad t.ex. regeringen räknade med i vårpr</w:t>
      </w:r>
      <w:r w:rsidRPr="006C40C1">
        <w:t>o</w:t>
      </w:r>
      <w:r w:rsidRPr="006C40C1">
        <w:t>positionen. Omsättningen i detaljhandeln steg t.o.m. september med 4,1 % jämfört samma period i fjol, enligt SCB:s säljindex, samtidigt som hushållens registreringar av nya personbilar ökat i snabb takt. I KI:s barometer för tredje kvartalet anger företagen inom handel att försäljningen fortsätter att stiga, och merparten av företagen, framför allt företagen inom sällanköps- och livsm</w:t>
      </w:r>
      <w:r w:rsidRPr="006C40C1">
        <w:t>e</w:t>
      </w:r>
      <w:r w:rsidRPr="006C40C1">
        <w:t>delshandeln, förväntar sig en stark tillväxt</w:t>
      </w:r>
      <w:r w:rsidRPr="006C40C1">
        <w:t xml:space="preserve"> framöver. Även företagen inom bilhandeln räknar med att försäljningen stiger ytterligare. Fortsatt stigande inkomster, en förhållandevis stark förmögenhetsställning i hushållssektorn, trots börsfallen, och en låg arbetslöshet ger enligt utskottets mening utrymme för en gynnsam konsumtionstillväxt även under nästa år. En oroande faktor i sammanhanget är dock att hushållens tilltro till både den egna och den sven</w:t>
      </w:r>
      <w:r w:rsidRPr="006C40C1">
        <w:t>s</w:t>
      </w:r>
      <w:r w:rsidRPr="006C40C1">
        <w:t>ka ekonomin dämpades en hel del i oktober, vilket skulle kunna vara en signal om att hushållen ä</w:t>
      </w:r>
      <w:r w:rsidRPr="006C40C1">
        <w:t>r på väg att bli lite mindre konsumtionsbenägna.</w:t>
      </w:r>
    </w:p>
    <w:p w:rsidR="00AA5D77" w:rsidRPr="006C40C1" w:rsidRDefault="00AA5D77">
      <w:pPr>
        <w:pStyle w:val="Normaltindrag"/>
      </w:pPr>
      <w:r w:rsidRPr="006C40C1">
        <w:t>Regeringen räknar i budgetpropositionen med att hushållens konsumtion under 2003 stiger med 2,6 %. Det är en nedjustering av den bedömning som gjordes i vårpropositionen med 0,3 procentenheter, bl.a. till följd av den st</w:t>
      </w:r>
      <w:r w:rsidRPr="006C40C1">
        <w:t>i</w:t>
      </w:r>
      <w:r w:rsidRPr="006C40C1">
        <w:t>gande oron på aktiemarknaderna och de effekter fallande kurser får på förm</w:t>
      </w:r>
      <w:r w:rsidRPr="006C40C1">
        <w:t>ö</w:t>
      </w:r>
      <w:r w:rsidRPr="006C40C1">
        <w:t>genhetsställningen och förväntningarna. Utskottet konstaterar att bl.a. KI, Riksbanken, LO och SEB har redovisat nya bedömningar av utvecklingen 2002 och 2003 efter det att regeringen avslutat sitt prognosarbete. I geno</w:t>
      </w:r>
      <w:r w:rsidRPr="006C40C1">
        <w:t>m</w:t>
      </w:r>
      <w:r w:rsidRPr="006C40C1">
        <w:t>snitt räknar de med att hushållens konsumtion nästa år stiger med 2,2 %, vilket är en uppgång med 0,6 procentenheter jämfört med deras genomsnitt</w:t>
      </w:r>
      <w:r w:rsidRPr="006C40C1">
        <w:t>s</w:t>
      </w:r>
      <w:r w:rsidRPr="006C40C1">
        <w:t xml:space="preserve">prognos för 2002. </w:t>
      </w:r>
    </w:p>
    <w:p w:rsidR="00AA5D77" w:rsidRPr="006C40C1" w:rsidRDefault="00AA5D77">
      <w:pPr>
        <w:pStyle w:val="Normaltindrag"/>
      </w:pPr>
      <w:r w:rsidRPr="006C40C1">
        <w:t>I motion Fi231 (m) anger motionärerna att det kommi</w:t>
      </w:r>
      <w:r w:rsidRPr="006C40C1">
        <w:t>t signaler om falla</w:t>
      </w:r>
      <w:r w:rsidRPr="006C40C1">
        <w:t>n</w:t>
      </w:r>
      <w:r w:rsidRPr="006C40C1">
        <w:t>de bostadspriser och att det riskerar att dämpa hushållskonsumtionen och öka sparandet. Utskottet kan dock samtidigt konstatera att priser på såväl villor som bostadsrätter fortsatt att stiga, om än i en kanske långsammare takt än tidigare. Enligt t.ex. SCB:s uppgifter steg priserna på småhus under perioden augusti–oktober med 1 % jämfört med perioden maj–juli. Jämfört med sa</w:t>
      </w:r>
      <w:r w:rsidRPr="006C40C1">
        <w:t>m</w:t>
      </w:r>
      <w:r w:rsidRPr="006C40C1">
        <w:t xml:space="preserve">ma period förra året steg priserna med 7 %. </w:t>
      </w:r>
    </w:p>
    <w:p w:rsidR="00AA5D77" w:rsidRPr="006C40C1" w:rsidRDefault="00AA5D77">
      <w:pPr>
        <w:pStyle w:val="Normaltindrag"/>
      </w:pPr>
      <w:r w:rsidRPr="006C40C1">
        <w:t>Sammantaget gör utskottet bedömningen att osäkerheten om både den i</w:t>
      </w:r>
      <w:r w:rsidRPr="006C40C1">
        <w:t>n</w:t>
      </w:r>
      <w:r w:rsidRPr="006C40C1">
        <w:t>ternationella och svenska konjunkturutvecklingen ökat under hösten. Enligt utskottets mening är det emellertid för tidigt att dra några säkra slutsatser om vilka effekter som t.ex. den senaste tidens stigande pessimism bland hushåll och företag får på den faktiska konsumtionen, produktionen och tillväxten i världsekonomin och i enskilda länder. Under de senaste månaderna har också börskurserna stigit från tidigare bottennivåer samtidigt som räntorna sjunkit, bl.a. till följd av räntesänkningen här hemma oc</w:t>
      </w:r>
      <w:r w:rsidRPr="006C40C1">
        <w:t>h i Förenta staterna.</w:t>
      </w:r>
    </w:p>
    <w:p w:rsidR="00AA5D77" w:rsidRPr="006C40C1" w:rsidRDefault="00AA5D77">
      <w:pPr>
        <w:pStyle w:val="Normaltindrag"/>
      </w:pPr>
      <w:r w:rsidRPr="006C40C1">
        <w:t>Utskottet vill i detta sammanhang erinra om att regeringen i budgetprop</w:t>
      </w:r>
      <w:r w:rsidRPr="006C40C1">
        <w:t>o</w:t>
      </w:r>
      <w:r w:rsidRPr="006C40C1">
        <w:t>sitionen redovisar ett lågtillväxtalternativ, i vilket antas att det senaste årets återhämtning i världsekonomin bromsas upp och att den internationella ko</w:t>
      </w:r>
      <w:r w:rsidRPr="006C40C1">
        <w:t>n</w:t>
      </w:r>
      <w:r w:rsidRPr="006C40C1">
        <w:t>junkturen på nytt vänder ned under nästa år. I det alternativet stiger tillväx</w:t>
      </w:r>
      <w:r w:rsidRPr="006C40C1">
        <w:t>t</w:t>
      </w:r>
      <w:r w:rsidRPr="006C40C1">
        <w:t xml:space="preserve">takten i den svenska ekonomin till 1,8 % i år för att sjunka till 0,7 % 2003 (se avsnitt 1.2.6 Alternativa kalkyler för utvecklingen fram till 2004). </w:t>
      </w:r>
    </w:p>
    <w:p w:rsidR="00AA5D77" w:rsidRPr="006C40C1" w:rsidRDefault="00AA5D77">
      <w:pPr>
        <w:pStyle w:val="Normaltindrag"/>
      </w:pPr>
      <w:r w:rsidRPr="006C40C1">
        <w:t>Enligt utskottets mening finns emellertid i dagsläget ingenting som talar för att lågtillväxtalternativet kommer att infrias.</w:t>
      </w:r>
    </w:p>
    <w:p w:rsidR="00AA5D77" w:rsidRPr="006C40C1" w:rsidRDefault="00AA5D77">
      <w:pPr>
        <w:pStyle w:val="Rubrik2"/>
      </w:pPr>
      <w:bookmarkStart w:id="100" w:name="_Toc25302131"/>
      <w:bookmarkStart w:id="101" w:name="_Toc25375206"/>
      <w:bookmarkStart w:id="102" w:name="_Toc26191408"/>
      <w:r w:rsidRPr="006C40C1">
        <w:t>1.3 Inriktningen av den allmänna ekonomiska politiken</w:t>
      </w:r>
      <w:bookmarkEnd w:id="100"/>
      <w:bookmarkEnd w:id="101"/>
      <w:bookmarkEnd w:id="102"/>
    </w:p>
    <w:p w:rsidR="00AA5D77" w:rsidRPr="006C40C1" w:rsidRDefault="00AA5D77">
      <w:pPr>
        <w:pStyle w:val="Utskottsfrslagikorthet-Rubrik"/>
        <w:rPr>
          <w:noProof w:val="0"/>
        </w:rPr>
      </w:pPr>
      <w:r w:rsidRPr="006C40C1">
        <w:rPr>
          <w:noProof w:val="0"/>
        </w:rPr>
        <w:t>Utskottets förslag i korthet</w:t>
      </w:r>
    </w:p>
    <w:p w:rsidR="00AA5D77" w:rsidRPr="006C40C1" w:rsidRDefault="00AA5D77">
      <w:pPr>
        <w:pStyle w:val="Utskottsfrslagikorthet-Rubrik"/>
        <w:jc w:val="both"/>
        <w:rPr>
          <w:b w:val="0"/>
          <w:noProof w:val="0"/>
        </w:rPr>
      </w:pPr>
      <w:r w:rsidRPr="006C40C1">
        <w:rPr>
          <w:b w:val="0"/>
          <w:noProof w:val="0"/>
        </w:rPr>
        <w:t>Utskottet föreslår att riksdagen godkänner det förslag till allmänna riktlinjer för den ekonomiska politiken som regeringen redovisar i budgetpropositionen. Förslaget bygger på en överenskommelse mellan Socialdemokraterna och Vänsterpartiet. Miljöpartiet de gröna har genom den gemensamma motionen Fi230 (s, v, mp) anslutit sig till riktlinjerna. Riksdagen avslår de förslag som förs fram i övriga motioner.</w:t>
      </w:r>
    </w:p>
    <w:p w:rsidR="00AA5D77" w:rsidRPr="006C40C1" w:rsidRDefault="00AA5D77">
      <w:pPr>
        <w:pStyle w:val="Utskottsfrslagikorthet-Rubrik"/>
        <w:jc w:val="both"/>
        <w:rPr>
          <w:b w:val="0"/>
          <w:noProof w:val="0"/>
        </w:rPr>
      </w:pPr>
      <w:r w:rsidRPr="006C40C1">
        <w:rPr>
          <w:b w:val="0"/>
          <w:noProof w:val="0"/>
        </w:rPr>
        <w:t xml:space="preserve">Jämför reservation 1 (m, fp, kd, c). </w:t>
      </w:r>
    </w:p>
    <w:p w:rsidR="00AA5D77" w:rsidRPr="006C40C1" w:rsidRDefault="00AA5D77">
      <w:pPr>
        <w:pStyle w:val="Rubrik3"/>
        <w:rPr>
          <w:noProof w:val="0"/>
        </w:rPr>
      </w:pPr>
      <w:bookmarkStart w:id="103" w:name="_Toc25302132"/>
      <w:bookmarkStart w:id="104" w:name="_Toc25375207"/>
      <w:bookmarkStart w:id="105" w:name="_Toc26191409"/>
      <w:r w:rsidRPr="006C40C1">
        <w:rPr>
          <w:noProof w:val="0"/>
        </w:rPr>
        <w:t>1.3.1 Finansutskottets förslag till inriktning av den allmänna ekonomiska politiken</w:t>
      </w:r>
      <w:bookmarkEnd w:id="103"/>
      <w:bookmarkEnd w:id="104"/>
      <w:bookmarkEnd w:id="105"/>
    </w:p>
    <w:p w:rsidR="00AA5D77" w:rsidRPr="006C40C1" w:rsidRDefault="00AA5D77">
      <w:r w:rsidRPr="006C40C1">
        <w:t>Budgetpropositionen bygger på en överenskommelse mellan den socialdem</w:t>
      </w:r>
      <w:r w:rsidRPr="006C40C1">
        <w:t>o</w:t>
      </w:r>
      <w:r w:rsidRPr="006C40C1">
        <w:t>kratiska regeringen och Vänsterpartiet, vilka står bakom riktlinjerna för den ekonomiska politiken, utgiftstaken, tilläggsbudgeten för 2002 och de för</w:t>
      </w:r>
      <w:r w:rsidRPr="006C40C1">
        <w:t>e</w:t>
      </w:r>
      <w:r w:rsidRPr="006C40C1">
        <w:t>slagna och aviserade skatteförändringarna. Miljöpartiet de gröna har genom den gemensamma motionen mellan Socialdemokraterna, Vänsterpartiet och Miljöpartiet de gröna, 2002/03:Fi230, anslutit sig till överenskommelsen vad gäller inriktningen av den ekonomiska politiken samt utgifter och inkomster för 2003.</w:t>
      </w:r>
    </w:p>
    <w:p w:rsidR="00AA5D77" w:rsidRPr="006C40C1" w:rsidRDefault="00AA5D77">
      <w:pPr>
        <w:pStyle w:val="Normaltindrag"/>
      </w:pPr>
      <w:r w:rsidRPr="006C40C1">
        <w:t>Tillväxttakten i den svenska ekonomin sjönk under fö</w:t>
      </w:r>
      <w:r w:rsidRPr="006C40C1">
        <w:t>rra året till följd av den internationella konjunkturnedgången och den ekonomiska oron efter terrordåden i Förenta staterna den 11 september 2001. Under våren steg akt</w:t>
      </w:r>
      <w:r w:rsidRPr="006C40C1">
        <w:t>i</w:t>
      </w:r>
      <w:r w:rsidRPr="006C40C1">
        <w:t>viteten i världsekonomin, men under sommaren och hösten har återhämtnin</w:t>
      </w:r>
      <w:r w:rsidRPr="006C40C1">
        <w:t>g</w:t>
      </w:r>
      <w:r w:rsidRPr="006C40C1">
        <w:t>en mattats av, bl.a. på grund av fallande aktiekurser, lågt ställda vinstförvän</w:t>
      </w:r>
      <w:r w:rsidRPr="006C40C1">
        <w:t>t</w:t>
      </w:r>
      <w:r w:rsidRPr="006C40C1">
        <w:t>ningar, bokföringsskandaler i företagssektorn och hoten om militära insatser mot Irak. Som utskottet redovisade under avsnitt 1.2.8  Finansutskottets syn på budgetpropositionens och partimotio</w:t>
      </w:r>
      <w:r w:rsidRPr="006C40C1">
        <w:t>nernas konjunkturbedömningar är osäkerheten om den världsekonomiska och därmed också den svenska ek</w:t>
      </w:r>
      <w:r w:rsidRPr="006C40C1">
        <w:t>o</w:t>
      </w:r>
      <w:r w:rsidRPr="006C40C1">
        <w:t>nomiska utvecklingen mycket stor. De senaste uppgifterna tyder visserligen på att återhämtningen fortsätter men att uppgången kan ske i en långsammare takt än vad bedömare tidigare räknat med. Positivt i sammanhanget är dock att finansmarknaderna stabiliserats en del under de senaste månaderna samt</w:t>
      </w:r>
      <w:r w:rsidRPr="006C40C1">
        <w:t>i</w:t>
      </w:r>
      <w:r w:rsidRPr="006C40C1">
        <w:t>digt som den amerikanska centralbanken och svenska Riksbanken nyligen sänkt styrräntorna för att stimulera efter</w:t>
      </w:r>
      <w:r w:rsidRPr="006C40C1">
        <w:t>frågan och produktionen.</w:t>
      </w:r>
    </w:p>
    <w:p w:rsidR="00AA5D77" w:rsidRPr="006C40C1" w:rsidRDefault="00AA5D77">
      <w:pPr>
        <w:pStyle w:val="Normaltindrag"/>
      </w:pPr>
      <w:r w:rsidRPr="006C40C1">
        <w:t>Osäkerheten innebär enligt utskottet att den ekonomiska politiken ska i</w:t>
      </w:r>
      <w:r w:rsidRPr="006C40C1">
        <w:t>n</w:t>
      </w:r>
      <w:r w:rsidRPr="006C40C1">
        <w:t>riktas på att hålla den svenska ekonomin fortsatt stark. Ordningen och redan i ekonomin ska vidmakthållas. Sverige har under senare år uppvisat en tillväxt som överstigit genomsnittet i t.ex. EU och euroområdet. Inflationen är låg, även om en viss uppgång noterats det senaste året, och räntorna ligger endast något över räntorna i t.ex. Tyskland. Sysselsättningen har stigit och arbetslö</w:t>
      </w:r>
      <w:r w:rsidRPr="006C40C1">
        <w:t>s</w:t>
      </w:r>
      <w:r w:rsidRPr="006C40C1">
        <w:t xml:space="preserve">heten sjunkit och överskottet i de samlade affärerna med utlandet är stort. De offentliga finanserna visar överskott, den </w:t>
      </w:r>
      <w:r w:rsidRPr="006C40C1">
        <w:t>offentliga bruttoskulden sjunker och den offentliga nettoskulden har vänts till en nettoförmöge</w:t>
      </w:r>
      <w:r w:rsidRPr="006C40C1">
        <w:t>n</w:t>
      </w:r>
      <w:r w:rsidRPr="006C40C1">
        <w:t>het.</w:t>
      </w:r>
    </w:p>
    <w:p w:rsidR="00AA5D77" w:rsidRPr="006C40C1" w:rsidRDefault="00AA5D77">
      <w:pPr>
        <w:pStyle w:val="Normaltindrag"/>
      </w:pPr>
      <w:r w:rsidRPr="006C40C1">
        <w:t>Målen för de offentliga finanserna ska hållas, utgiftstaken klaras och infl</w:t>
      </w:r>
      <w:r w:rsidRPr="006C40C1">
        <w:t>a</w:t>
      </w:r>
      <w:r w:rsidRPr="006C40C1">
        <w:t>tionen hållas låg, inte minst på grund av de långsiktiga utmaningarna som ställs på den svenska ekonomin till följd av den demografiska utvecklingen.</w:t>
      </w:r>
    </w:p>
    <w:p w:rsidR="00AA5D77" w:rsidRPr="006C40C1" w:rsidRDefault="00AA5D77">
      <w:pPr>
        <w:pStyle w:val="Normaltindrag"/>
      </w:pPr>
      <w:r w:rsidRPr="006C40C1">
        <w:t>Styrkan och saneringen av de offentliga finanserna har skapat ett utrymme för att möta konjunkturförsvagningen med en expansiv ekonomisk politik. Trots den internationella lågkonjunkturen har den öppna arbetslösheten varit fortsatt låg under det senaste året och sysselsättningen utvecklats förhålland</w:t>
      </w:r>
      <w:r w:rsidRPr="006C40C1">
        <w:t>e</w:t>
      </w:r>
      <w:r w:rsidRPr="006C40C1">
        <w:t>vis gynnsamt samtidigt som de offentliga finanserna fortsatt att visa öve</w:t>
      </w:r>
      <w:r w:rsidRPr="006C40C1">
        <w:t>r</w:t>
      </w:r>
      <w:r w:rsidRPr="006C40C1">
        <w:t>skott. Styrkan i finanserna gör det också möjligt för regeringen att föreslå reformer för att ytterligare öka rättvisan och tryggheten om drygt 19 miljarder kronor 2003 och 12 milja</w:t>
      </w:r>
      <w:r w:rsidRPr="006C40C1">
        <w:t>r</w:t>
      </w:r>
      <w:r w:rsidRPr="006C40C1">
        <w:t>der kronor 2004.</w:t>
      </w:r>
    </w:p>
    <w:p w:rsidR="00AA5D77" w:rsidRPr="006C40C1" w:rsidRDefault="00AA5D77">
      <w:pPr>
        <w:pStyle w:val="Normaltindrag"/>
      </w:pPr>
      <w:r w:rsidRPr="006C40C1">
        <w:t>Sysselsättningen i den svenska ekonomin ökade med omkring 320 000 personer under perioden 1997–2001 och målet om en halvering av den öppna arbetslösheten till 4 % nåddes i slutet av 2000. Samtidigt har antalet personer i olika arbetsmar</w:t>
      </w:r>
      <w:r w:rsidRPr="006C40C1">
        <w:t>k</w:t>
      </w:r>
      <w:r w:rsidRPr="006C40C1">
        <w:t>nadspolitiska program minskat kraftigt.</w:t>
      </w:r>
    </w:p>
    <w:p w:rsidR="00AA5D77" w:rsidRPr="006C40C1" w:rsidRDefault="00AA5D77">
      <w:pPr>
        <w:pStyle w:val="Normaltindrag"/>
      </w:pPr>
      <w:r w:rsidRPr="006C40C1">
        <w:t>Högst upp på dagordningen står den fortsatta kampen om jobben. Stora r</w:t>
      </w:r>
      <w:r w:rsidRPr="006C40C1">
        <w:t>e</w:t>
      </w:r>
      <w:r w:rsidRPr="006C40C1">
        <w:t>surser satsas för att minska den svaga konjunkturens effekter på arbetsmar</w:t>
      </w:r>
      <w:r w:rsidRPr="006C40C1">
        <w:t>k</w:t>
      </w:r>
      <w:r w:rsidRPr="006C40C1">
        <w:t>naden. Den stora utmaningen är att Sverige på nytt ska tillbaka till en situ</w:t>
      </w:r>
      <w:r w:rsidRPr="006C40C1">
        <w:t>a</w:t>
      </w:r>
      <w:r w:rsidRPr="006C40C1">
        <w:t>tion med full sysselsättning. Alla människors vilja till arbete ska tas till vara. Kraften riktas mot att sysselsättningsmålet ska nås, dvs. att 80 % av den vu</w:t>
      </w:r>
      <w:r w:rsidRPr="006C40C1">
        <w:t>x</w:t>
      </w:r>
      <w:r w:rsidRPr="006C40C1">
        <w:t>na befolkningen ska vara reguljärt sysselsatt 2004 (sysselsatta exklusive sy</w:t>
      </w:r>
      <w:r w:rsidRPr="006C40C1">
        <w:t>s</w:t>
      </w:r>
      <w:r w:rsidRPr="006C40C1">
        <w:t>selsatta i konjunkturberoende arbetsmarknadspolitiska program). Den svenska ekonomins långsiktiga produktionsförmåga ska h</w:t>
      </w:r>
      <w:r w:rsidRPr="006C40C1">
        <w:t>öjas genom att lediga a</w:t>
      </w:r>
      <w:r w:rsidRPr="006C40C1">
        <w:t>r</w:t>
      </w:r>
      <w:r w:rsidRPr="006C40C1">
        <w:t>betskraftsresurser mobiliseras. En central uppgift är att bryta den dramatiskt stigande sjukfrånvaron och förhindra att alltfler människor slås ut från a</w:t>
      </w:r>
      <w:r w:rsidRPr="006C40C1">
        <w:t>r</w:t>
      </w:r>
      <w:r w:rsidRPr="006C40C1">
        <w:t>betsmarknaden genom sjukdom eller förtidspension. Det elvapunktsprogram som regeringen presenterade för ett år sedan fortsätter och intensifieras. Målet för politiken är att antalet sjukdagar ska halveras till 2008. En annan viktig och central uppgift är att sysselsättningen bland invandrare ska öka. A</w:t>
      </w:r>
      <w:r w:rsidRPr="006C40C1">
        <w:t>n</w:t>
      </w:r>
      <w:r w:rsidRPr="006C40C1">
        <w:t>strängningarna för öka invandr</w:t>
      </w:r>
      <w:r w:rsidRPr="006C40C1">
        <w:t>arnas deltagande på arbetsmarknaden ska förstärkas. Integrationen ska bli en första rangens uppgift i polit</w:t>
      </w:r>
      <w:r w:rsidRPr="006C40C1">
        <w:t>i</w:t>
      </w:r>
      <w:r w:rsidRPr="006C40C1">
        <w:t xml:space="preserve">ken. </w:t>
      </w:r>
    </w:p>
    <w:p w:rsidR="00AA5D77" w:rsidRPr="006C40C1" w:rsidRDefault="00AA5D77">
      <w:pPr>
        <w:pStyle w:val="Normaltindrag"/>
      </w:pPr>
      <w:r w:rsidRPr="006C40C1">
        <w:t>Reformerna för tillväxt och rättvisa fortsätter. De går före stora skatt</w:t>
      </w:r>
      <w:r w:rsidRPr="006C40C1">
        <w:t>e</w:t>
      </w:r>
      <w:r w:rsidRPr="006C40C1">
        <w:t>sänkningar. Välfärden ska ytterligare byggas ut och för att den ekonomiska tillväxten ska bli långsiktigt hållbar måste den också komma alla till del. Det innebär att rättvisan ska stärkas genom en aktiv fördelningspolitik och genom åtgärder som förbättrar utvecklingsmöjligheterna för alla medborgare oavsett kön, etnisk eller kulturell tillhörighet eller var i landet man bor. Tillväxt och rättvisa går enligt utskottets mening hand i hand.</w:t>
      </w:r>
    </w:p>
    <w:p w:rsidR="00AA5D77" w:rsidRPr="006C40C1" w:rsidRDefault="00AA5D77">
      <w:pPr>
        <w:pStyle w:val="Normaltindrag"/>
      </w:pPr>
      <w:r w:rsidRPr="006C40C1">
        <w:t>Barn och ungdomar står i centrum för politiken. Goda villkor för dag</w:t>
      </w:r>
      <w:r w:rsidRPr="006C40C1">
        <w:t>ens unga och deras familjer är en rättvisefråga och en investering i framtiden. Den stora satsningen på familjepolitiken fortsätter under 2003 och 2004. Föräldr</w:t>
      </w:r>
      <w:r w:rsidRPr="006C40C1">
        <w:t>a</w:t>
      </w:r>
      <w:r w:rsidRPr="006C40C1">
        <w:t>försäkringen byggs ut ytterligare genom t.ex. höjningar av den lägsta dagpe</w:t>
      </w:r>
      <w:r w:rsidRPr="006C40C1">
        <w:t>n</w:t>
      </w:r>
      <w:r w:rsidRPr="006C40C1">
        <w:t>ningen och att taket i försäkringen höjs till tio prisbasbelopp. Arbetet med att bibehålla Sverige som en av världens främsta kunskapsnationer fortsätter. Resursförstärkningen till skolan fortsätter samtidigt som den högre utbil</w:t>
      </w:r>
      <w:r w:rsidRPr="006C40C1">
        <w:t>d</w:t>
      </w:r>
      <w:r w:rsidRPr="006C40C1">
        <w:t>ningen och forskningen ges ökade anslag. Åtgär</w:t>
      </w:r>
      <w:r w:rsidRPr="006C40C1">
        <w:t>der ska också vidtas så att forskningsresultat i ökad utsträckning omsätts i praktiska tillämpningar och innovationer. Studiebidraget utökas. Även de senaste årens reformer för att förbättra situationen för de äldre fortsätter. Ett nytt äldreförsörjningsstöd införs, pensionerna höjs och det förbättrade tandvårdsstödet för äldre förstärks ytterlig</w:t>
      </w:r>
      <w:r w:rsidRPr="006C40C1">
        <w:t>a</w:t>
      </w:r>
      <w:r w:rsidRPr="006C40C1">
        <w:t>re under nästa år.</w:t>
      </w:r>
    </w:p>
    <w:p w:rsidR="00AA5D77" w:rsidRPr="006C40C1" w:rsidRDefault="00AA5D77">
      <w:pPr>
        <w:pStyle w:val="Normaltindrag"/>
      </w:pPr>
      <w:r w:rsidRPr="006C40C1">
        <w:t xml:space="preserve">Satsningarna på vården och omsorgen fortsätter under de närmaste åren. De 9 miljarder kronor i resursförstärkning som tillkommer under perioden </w:t>
      </w:r>
      <w:r w:rsidRPr="006C40C1">
        <w:t>2001–2004 genom försvarsuppgörelsen kompletteras nu med ytterligare 1,25 miljarder kronor per år 2002–2004 för att minska väntetiderna i vården. U</w:t>
      </w:r>
      <w:r w:rsidRPr="006C40C1">
        <w:t>n</w:t>
      </w:r>
      <w:r w:rsidRPr="006C40C1">
        <w:t>der mandatperioden ska en nationell vårdgaranti införas, dock får inte prior</w:t>
      </w:r>
      <w:r w:rsidRPr="006C40C1">
        <w:t>i</w:t>
      </w:r>
      <w:r w:rsidRPr="006C40C1">
        <w:t>teringsordningen sättas ur spel. Kommunernas och landstingens ekonomi förstärks också genom att den s.k. 200-kronan i statlig skatt även nästa år förs över till kommunerna samt att det tillfälliga sysselsättningsstöd som infördes i år förlängs ytterligare ett år. Biståndet höjs ytterliga</w:t>
      </w:r>
      <w:r w:rsidRPr="006C40C1">
        <w:t>re och satsningar görs i rättsväsendet. Åtgärder ska vidtas för att öka bostadsby</w:t>
      </w:r>
      <w:r w:rsidRPr="006C40C1">
        <w:t>g</w:t>
      </w:r>
      <w:r w:rsidRPr="006C40C1">
        <w:t>gandet.</w:t>
      </w:r>
    </w:p>
    <w:p w:rsidR="00AA5D77" w:rsidRPr="006C40C1" w:rsidRDefault="00AA5D77">
      <w:pPr>
        <w:pStyle w:val="Normaltindrag"/>
      </w:pPr>
      <w:r w:rsidRPr="006C40C1">
        <w:t>En god miljö och en ekologiskt hållbar utveckling är enligt utskottets m</w:t>
      </w:r>
      <w:r w:rsidRPr="006C40C1">
        <w:t>e</w:t>
      </w:r>
      <w:r w:rsidRPr="006C40C1">
        <w:t>ning ett av den ekonomiska politikens viktigaste mål. Sverige ska vara ett föregångsland för en ekologiskt hållbar utveckling. Stora satsningar har gjorts för att skapa ett hållbart samhälle. Resurser har lagts på miljöforskning, mi</w:t>
      </w:r>
      <w:r w:rsidRPr="006C40C1">
        <w:t>l</w:t>
      </w:r>
      <w:r w:rsidRPr="006C40C1">
        <w:t>jöövervakning, skydd av biotoper och biologisk mångfald, och ytterligare insatser görs under de kommande åren. Under de senaste två åren har en grön skatteväxling om sammanlagt drygt 5 miljarder kronor genomförts och g</w:t>
      </w:r>
      <w:r w:rsidRPr="006C40C1">
        <w:t>e</w:t>
      </w:r>
      <w:r w:rsidRPr="006C40C1">
        <w:t>nom förslag i budgetpropositionen och samarbetspartiernas g</w:t>
      </w:r>
      <w:r w:rsidRPr="006C40C1">
        <w:t>emensamma motion Fi230 föreslås en ytterligare skatteväxling om ca 3 miljarder kronor 2003. Som ett led i skatteväxlingen sänks skatten på arbete genom att grun</w:t>
      </w:r>
      <w:r w:rsidRPr="006C40C1">
        <w:t>d</w:t>
      </w:r>
      <w:r w:rsidRPr="006C40C1">
        <w:t>avdraget för låg- och medelinkomsttagare höjs.</w:t>
      </w:r>
    </w:p>
    <w:p w:rsidR="00AA5D77" w:rsidRPr="006C40C1" w:rsidRDefault="00AA5D77">
      <w:pPr>
        <w:pStyle w:val="Normaltindrag"/>
      </w:pPr>
      <w:r w:rsidRPr="006C40C1">
        <w:t>De senaste årens höga tillväxt har gynnat hela Sverige. Arbetslösheten har gått ned i alla delar av landet och det kommunala utjämningssystemet bidrar till att alla kommuner får del av den ekonomiska utvecklingen. Den regionala klyvningen motverkas. Det är dock inte tillräckligt. Sverige präglas fortfar</w:t>
      </w:r>
      <w:r w:rsidRPr="006C40C1">
        <w:t>a</w:t>
      </w:r>
      <w:r w:rsidRPr="006C40C1">
        <w:t>n</w:t>
      </w:r>
      <w:r w:rsidRPr="006C40C1">
        <w:t>de av alltför stora klyftor och av otrygghet. Klyftorna ska minskas och den ekonomiska politiken ska fortsatt inriktas på att motverka konsekvenserna av den internationella konjunkturnedgången och att stärka Sveriges långsiktiga tillväxtförmåga. Omfattande investeringar för att bygga ut infrastrukturen görs under de kommande åren.</w:t>
      </w:r>
    </w:p>
    <w:p w:rsidR="00AA5D77" w:rsidRPr="006C40C1" w:rsidRDefault="00AA5D77">
      <w:pPr>
        <w:pStyle w:val="Normaltindrag"/>
      </w:pPr>
      <w:r w:rsidRPr="006C40C1">
        <w:t>Levnadsvillkoren ska fortsätta att förbättras, och som en följd av detta ska socialbidragsberoendet halveras mellan 1999 och 2004.</w:t>
      </w:r>
    </w:p>
    <w:p w:rsidR="00AA5D77" w:rsidRPr="006C40C1" w:rsidRDefault="00AA5D77">
      <w:pPr>
        <w:pStyle w:val="Normaltindrag"/>
      </w:pPr>
      <w:r w:rsidRPr="006C40C1">
        <w:t>Sverige ska också vara ett föregångsland där kvinnor och män ska ha samma möjligheter, rättigheter och skyldigheter inom alla områden i livet. Under det närmaste året ska en handlingsplan för ökad jämställdhet läggas fram. Planen ska innehålla förslag om hur löneskillnaderna mellan män och kvinnor ska minska.</w:t>
      </w:r>
    </w:p>
    <w:p w:rsidR="00AA5D77" w:rsidRPr="006C40C1" w:rsidRDefault="00AA5D77">
      <w:pPr>
        <w:pStyle w:val="Normaltindrag"/>
      </w:pPr>
      <w:r w:rsidRPr="006C40C1">
        <w:t>Att den svenska lönebildningen fungerar väl är enligt utskottets mening av avgörande betydelse för en hög tillväxt och en stigande sysselsättning. De senaste årens trend mot högre löneökningstakt än i omvärlden måste brytas. Det behövs ett nytt samförstånd i samhället för arbete och tillväxt. Sverige bör bygga vidare på de samverkanslösningar som företagen och de fackliga organisationerna utvecklat. Sverige ska vara de många möjligheternas land, inte motsättningarnas samhälle.</w:t>
      </w:r>
    </w:p>
    <w:p w:rsidR="00AA5D77" w:rsidRPr="006C40C1" w:rsidRDefault="00AA5D77">
      <w:pPr>
        <w:pStyle w:val="Rubrik3"/>
        <w:rPr>
          <w:noProof w:val="0"/>
        </w:rPr>
      </w:pPr>
      <w:bookmarkStart w:id="106" w:name="_Toc25302133"/>
      <w:bookmarkStart w:id="107" w:name="_Toc25375208"/>
      <w:bookmarkStart w:id="108" w:name="_Toc26191410"/>
      <w:r w:rsidRPr="006C40C1">
        <w:rPr>
          <w:noProof w:val="0"/>
        </w:rPr>
        <w:t>1.3.2 Partimotionernas förslag till inriktning av den allmänna ekonomiska politiken</w:t>
      </w:r>
      <w:bookmarkEnd w:id="106"/>
      <w:bookmarkEnd w:id="107"/>
      <w:bookmarkEnd w:id="108"/>
    </w:p>
    <w:p w:rsidR="00AA5D77" w:rsidRPr="006C40C1" w:rsidRDefault="00AA5D77">
      <w:r w:rsidRPr="006C40C1">
        <w:t xml:space="preserve">I </w:t>
      </w:r>
      <w:r w:rsidRPr="006C40C1">
        <w:rPr>
          <w:i/>
        </w:rPr>
        <w:t xml:space="preserve">Moderata samlingspartiets motion Fi231 </w:t>
      </w:r>
      <w:r w:rsidRPr="006C40C1">
        <w:t>anförs att Sverige under de senaste 30 åren trendmässigt halkat efter omvärlden i fråga om tillväxt och välstånd</w:t>
      </w:r>
      <w:r w:rsidRPr="006C40C1">
        <w:t>s</w:t>
      </w:r>
      <w:r w:rsidRPr="006C40C1">
        <w:t>skapande. Från att 1970 legat i toppskiktet i den internationella välståndsligan ligger Sverige nu i ligans undre halva. Det innebär att Sverige har blivit fatt</w:t>
      </w:r>
      <w:r w:rsidRPr="006C40C1">
        <w:t>i</w:t>
      </w:r>
      <w:r w:rsidRPr="006C40C1">
        <w:t>gare jämfört med flertalet andra länder.</w:t>
      </w:r>
    </w:p>
    <w:p w:rsidR="00AA5D77" w:rsidRPr="006C40C1" w:rsidRDefault="00AA5D77">
      <w:pPr>
        <w:pStyle w:val="Normaltindrag"/>
      </w:pPr>
      <w:r w:rsidRPr="006C40C1">
        <w:t>Detta visar att den svenska ekonomin har stora strukturella brister som l</w:t>
      </w:r>
      <w:r w:rsidRPr="006C40C1">
        <w:t>e</w:t>
      </w:r>
      <w:r w:rsidRPr="006C40C1">
        <w:t>der till en lägre tillväxtkraft. Att Sverige fortsätter att tappa mark i jämförelse med andra länder visar samtidigt att de strukturella bristerna i dag är lika stora som någonsin tidigare. Den stora offentliga sektorn kräver ett mycket högt skatteuttag som minskar den privata investeringsverksamheten, ger en svag sysselsättningsutveckling, sänker produktiviteten, försämrar konkurrensen och driver svenska företag utomlands. Den öppna arbetslösheten är nu den högsta någonsin i slutet av en högkonjunktur och</w:t>
      </w:r>
      <w:r w:rsidRPr="006C40C1">
        <w:t xml:space="preserve"> sjukfrånvaron växer snabbt. Den stigande sjukfrånvaron har ätit upp en stor del av den sysselsättningsö</w:t>
      </w:r>
      <w:r w:rsidRPr="006C40C1">
        <w:t>k</w:t>
      </w:r>
      <w:r w:rsidRPr="006C40C1">
        <w:t>ning som kom till stånd i slutet av 1990-talet. Ökningen i sjukfrånvaron mo</w:t>
      </w:r>
      <w:r w:rsidRPr="006C40C1">
        <w:t>t</w:t>
      </w:r>
      <w:r w:rsidRPr="006C40C1">
        <w:t>svarar tre fjärdedelar av sysselsättningsökningen mellan 1997 och 2001, enligt motionärerna. Den svenska kronans kraftiga försvagning under de senaste årtiondena är ytterligare ett bevis på Sveriges eftersläpning.</w:t>
      </w:r>
    </w:p>
    <w:p w:rsidR="00AA5D77" w:rsidRPr="006C40C1" w:rsidRDefault="00AA5D77">
      <w:pPr>
        <w:pStyle w:val="Normaltindrag"/>
      </w:pPr>
      <w:r w:rsidRPr="006C40C1">
        <w:t>För att bryta eftersläpningen presenterar motionärerna en ekonomisk pol</w:t>
      </w:r>
      <w:r w:rsidRPr="006C40C1">
        <w:t>i</w:t>
      </w:r>
      <w:r w:rsidRPr="006C40C1">
        <w:t>tik som utgår från målet att den svenska ekonomin långsiktigt ska kunna ha en uthållig tillväxt på 3 % per år utan att inflationen tar fart. För att det ska vara möjligt krävs att arbetskraftsutbudet ökar samt att konkurrensen och produktiviteten i hela den svenska ekonomin stiger. Den stora offentliga utgiftsexpansionen måste brytas och de höga utgifts- och skattenivåerna sä</w:t>
      </w:r>
      <w:r w:rsidRPr="006C40C1">
        <w:t>n</w:t>
      </w:r>
      <w:r w:rsidRPr="006C40C1">
        <w:t xml:space="preserve">kas. </w:t>
      </w:r>
    </w:p>
    <w:p w:rsidR="00AA5D77" w:rsidRPr="006C40C1" w:rsidRDefault="00AA5D77">
      <w:pPr>
        <w:pStyle w:val="Normaltindrag"/>
      </w:pPr>
      <w:r w:rsidRPr="006C40C1">
        <w:t>Högre välstånd, ökad tillväxt och möjlighet för medborgarna att öka infl</w:t>
      </w:r>
      <w:r w:rsidRPr="006C40C1">
        <w:t>y</w:t>
      </w:r>
      <w:r w:rsidRPr="006C40C1">
        <w:t>tandet över sina liv och kunna leva på sin lön skapas bl.a. genom sänkta och slopade skatter på företagande, arbete och sparande. Inkomstskatterna bör genomgripande reformeras och sänkas bl.a. genom att ett förvärvsavdrag om 13 % på pensionsgrundande inkomster införs och att grundavdraget vid den kommunala beskattningen höjs kraftigt till på sikt 50 000 kr samt att den statliga inkomstskatten successivt avvecklas. Dessutom bör ett extra ko</w:t>
      </w:r>
      <w:r w:rsidRPr="006C40C1">
        <w:t>m</w:t>
      </w:r>
      <w:r w:rsidRPr="006C40C1">
        <w:t>munalt grundavdrag för barnfamiljer införas på 12 000 kr per barn 2</w:t>
      </w:r>
      <w:r w:rsidRPr="006C40C1">
        <w:t>003, som höjs till 15 000 kr per barn 2004. Vidare bör dubbelbeskattningen på aktier avskaffas under mandatperioden och en avveckling av fastighetsskatten p</w:t>
      </w:r>
      <w:r w:rsidRPr="006C40C1">
        <w:t>å</w:t>
      </w:r>
      <w:r w:rsidRPr="006C40C1">
        <w:t>börjas genom att skattesatserna successivt sänks. Dessutom bör förmöge</w:t>
      </w:r>
      <w:r w:rsidRPr="006C40C1">
        <w:t>n</w:t>
      </w:r>
      <w:r w:rsidRPr="006C40C1">
        <w:t>hetsskatten samt arvs- och gåvoskatten slopas. I ett första steg slopas samb</w:t>
      </w:r>
      <w:r w:rsidRPr="006C40C1">
        <w:t>e</w:t>
      </w:r>
      <w:r w:rsidRPr="006C40C1">
        <w:t>skattningen i förmögenhetsbeskattningen och beslut tas om en avveckling av arvsskatten fr.o.m. 2005. Beskattningen av kapitalinkomster bör på sikt sä</w:t>
      </w:r>
      <w:r w:rsidRPr="006C40C1">
        <w:t>n</w:t>
      </w:r>
      <w:r w:rsidRPr="006C40C1">
        <w:t>kas till genomsnittlig EU-nivå för att underlätta kapital</w:t>
      </w:r>
      <w:r w:rsidRPr="006C40C1">
        <w:t>bildningen och nyf</w:t>
      </w:r>
      <w:r w:rsidRPr="006C40C1">
        <w:t>ö</w:t>
      </w:r>
      <w:r w:rsidRPr="006C40C1">
        <w:t>retagandet. Skatten på hus</w:t>
      </w:r>
      <w:r w:rsidRPr="006C40C1">
        <w:softHyphen/>
        <w:t>hålls</w:t>
      </w:r>
      <w:r w:rsidRPr="006C40C1">
        <w:softHyphen/>
        <w:t>nära tjänster och skatterna på bensin, diesel och produktionsmedel i jordbruket bör sänkas 2003. Vidare bör även de s.k. 3:12-reglerna för fåmansbolag tas bort fr.o.m. nästa år. Totalt föreslås i m</w:t>
      </w:r>
      <w:r w:rsidRPr="006C40C1">
        <w:t>o</w:t>
      </w:r>
      <w:r w:rsidRPr="006C40C1">
        <w:t xml:space="preserve">tionen skattesänkningar som i slutet av 2004 uppgår till netto 48 miljarder kronor utöver regeringens förslag. Vidare måste företagskrånglet minskas genom färre och enklare regler. </w:t>
      </w:r>
    </w:p>
    <w:p w:rsidR="00AA5D77" w:rsidRPr="006C40C1" w:rsidRDefault="00AA5D77">
      <w:pPr>
        <w:pStyle w:val="Normaltindrag"/>
      </w:pPr>
      <w:r w:rsidRPr="006C40C1">
        <w:t>För att pressa ned sjukfrånvaron, minska utgifterna för ohälsan och öka a</w:t>
      </w:r>
      <w:r w:rsidRPr="006C40C1">
        <w:t>r</w:t>
      </w:r>
      <w:r w:rsidRPr="006C40C1">
        <w:t>betskraftsutbudet i ekonomin presenterar motionärerna ett omfattande å</w:t>
      </w:r>
      <w:r w:rsidRPr="006C40C1">
        <w:t>t</w:t>
      </w:r>
      <w:r w:rsidRPr="006C40C1">
        <w:t>gärdspaket med bl.a. ökade anslag till försäkringskassorna för rehabilitering och införandet av en andra karensdag i sjukförsäkringen fr.o.m. den åttonde frånvarodagen. Även ett tiopunktsprogram för att öka kvaliteten i sjukvården presenteras. Bland annat bör en nationell vårdgaranti införas omedelbart och på sikt bör en obligatorisk och offentligt finansierad hälsoförsäkring införas. Alternativen inom vården måste släppas fram och remi</w:t>
      </w:r>
      <w:r w:rsidRPr="006C40C1">
        <w:t>sstvånget till speci</w:t>
      </w:r>
      <w:r w:rsidRPr="006C40C1">
        <w:t>a</w:t>
      </w:r>
      <w:r w:rsidRPr="006C40C1">
        <w:t>listläkare avvecklas. Apoteksbolagets monopol måste brytas och högkos</w:t>
      </w:r>
      <w:r w:rsidRPr="006C40C1">
        <w:t>t</w:t>
      </w:r>
      <w:r w:rsidRPr="006C40C1">
        <w:t>nadsskyddet i tandvården bör omedelbart förbät</w:t>
      </w:r>
      <w:r w:rsidRPr="006C40C1">
        <w:t>t</w:t>
      </w:r>
      <w:r w:rsidRPr="006C40C1">
        <w:t>ras, anser motionärerna.</w:t>
      </w:r>
    </w:p>
    <w:p w:rsidR="00AA5D77" w:rsidRPr="006C40C1" w:rsidRDefault="00AA5D77">
      <w:pPr>
        <w:pStyle w:val="Normaltindrag"/>
      </w:pPr>
      <w:r w:rsidRPr="006C40C1">
        <w:t>Utbildnings- och skolpolitiken måste läggas om och forskningen förstä</w:t>
      </w:r>
      <w:r w:rsidRPr="006C40C1">
        <w:t>r</w:t>
      </w:r>
      <w:r w:rsidRPr="006C40C1">
        <w:t>kas. Valfriheten och kvaliteten i skolan ökas genom t.ex. en nationell sko</w:t>
      </w:r>
      <w:r w:rsidRPr="006C40C1">
        <w:t>l</w:t>
      </w:r>
      <w:r w:rsidRPr="006C40C1">
        <w:t>peng, vilken innebär att staten tar över kostnaderna för skolväsendet, och genom inrättandet av ett fristående nationellt kvalitetsinstitut. Två nya stifte</w:t>
      </w:r>
      <w:r w:rsidRPr="006C40C1">
        <w:t>l</w:t>
      </w:r>
      <w:r w:rsidRPr="006C40C1">
        <w:t>seuniversitet bör bildas fr.o.m. 2005 och antalet platser i den kvalificerade yrkesu</w:t>
      </w:r>
      <w:r w:rsidRPr="006C40C1">
        <w:t>t</w:t>
      </w:r>
      <w:r w:rsidRPr="006C40C1">
        <w:t xml:space="preserve">bildningen bör öka kraftigt. </w:t>
      </w:r>
    </w:p>
    <w:p w:rsidR="00AA5D77" w:rsidRPr="006C40C1" w:rsidRDefault="00AA5D77">
      <w:pPr>
        <w:pStyle w:val="Normaltindrag"/>
      </w:pPr>
      <w:r w:rsidRPr="006C40C1">
        <w:t>Arbetsmarknadspolitiken bör reformeras med sikte på att skapa en större flexibilitet och mångfald. Flera arbetsmarknadspolitiska åtgärder som t.ex. aktivitetsgaranti</w:t>
      </w:r>
      <w:r w:rsidRPr="006C40C1">
        <w:t>n bör slopas till förmån för individuellt inriktade insatser. Arbetsförmedlingen bör effektiviseras genom ökad konkurrens. Dagens l</w:t>
      </w:r>
      <w:r w:rsidRPr="006C40C1">
        <w:t>o</w:t>
      </w:r>
      <w:r w:rsidRPr="006C40C1">
        <w:t>kala arbetsförmedlingar kan avknoppas från AMS. AMS bör i sin tur ersättas med en ny effektiv myndighet som bl.a. ska ansvara för att godtagbara fö</w:t>
      </w:r>
      <w:r w:rsidRPr="006C40C1">
        <w:t>r</w:t>
      </w:r>
      <w:r w:rsidRPr="006C40C1">
        <w:t>medlingstjänster erbjuds över hela landet samt administrera arbetsmarknad</w:t>
      </w:r>
      <w:r w:rsidRPr="006C40C1">
        <w:t>s</w:t>
      </w:r>
      <w:r w:rsidRPr="006C40C1">
        <w:t>politiska stöd. Vidare bör en allmän obligatorisk arbetslöshetsförsäkring införas. De försäkringsmässiga sambanden bör bli tydligare genom att dagens fasta av</w:t>
      </w:r>
      <w:r w:rsidRPr="006C40C1">
        <w:t>gifter ersätts av en premie som relateras till månadslönen. Premien bör också vara avdragsgill vid inkomstbeskattnin</w:t>
      </w:r>
      <w:r w:rsidRPr="006C40C1">
        <w:t>g</w:t>
      </w:r>
      <w:r w:rsidRPr="006C40C1">
        <w:t>en.</w:t>
      </w:r>
    </w:p>
    <w:p w:rsidR="00AA5D77" w:rsidRPr="006C40C1" w:rsidRDefault="00AA5D77">
      <w:pPr>
        <w:pStyle w:val="Normaltindrag"/>
      </w:pPr>
      <w:r w:rsidRPr="006C40C1">
        <w:t>Konkurrenstrycket i ekonomin måste öka genom reformeringar och a</w:t>
      </w:r>
      <w:r w:rsidRPr="006C40C1">
        <w:t>v</w:t>
      </w:r>
      <w:r w:rsidRPr="006C40C1">
        <w:t>regleringar av t.ex. bostadsmarknaden, vården, omsorgen och utbildningen. För att öka konkurrensen, den privata företagsamheten och amorteringen av statsskulden bör också de statliga företagen privatiseras i en betydligt snabb</w:t>
      </w:r>
      <w:r w:rsidRPr="006C40C1">
        <w:t>a</w:t>
      </w:r>
      <w:r w:rsidRPr="006C40C1">
        <w:t>re takt än vad regeringen räknar med. Motionärernas avsikt är att sälja ut statliga bolag för 30 miljarder kronor respektive 40 miljarder kronor 2003 och 2004, utöver regeringens förslag. Sveriges behov av utbyggda och förbättrade vägar är stort och en utökad satsning på vägar och jä</w:t>
      </w:r>
      <w:r w:rsidRPr="006C40C1">
        <w:t xml:space="preserve">rnvägar föreslås. </w:t>
      </w:r>
    </w:p>
    <w:p w:rsidR="00AA5D77" w:rsidRPr="006C40C1" w:rsidRDefault="00AA5D77">
      <w:pPr>
        <w:pStyle w:val="Normaltindrag"/>
      </w:pPr>
      <w:r w:rsidRPr="006C40C1">
        <w:t>För att förbättra barnfamiljernas ekonomiska situation och öka deras va</w:t>
      </w:r>
      <w:r w:rsidRPr="006C40C1">
        <w:t>l</w:t>
      </w:r>
      <w:r w:rsidRPr="006C40C1">
        <w:t>frihet bör det särskilda kommunala grundavdraget för barnfamiljer införas. Motionärerna föreslår vidare att en barnomsorgspeng införs 2004 för de f</w:t>
      </w:r>
      <w:r w:rsidRPr="006C40C1">
        <w:t>a</w:t>
      </w:r>
      <w:r w:rsidRPr="006C40C1">
        <w:t>miljer som inte utnyttjar kommunalt finansierad barnomsorg. Pengen bör utgå med 3 000 kr per månad, skattefritt, för barn mellan ett och tre år. Eftersom detta system ska gälla från ett års ålder bör den 13:e månaden i föräldrafö</w:t>
      </w:r>
      <w:r w:rsidRPr="006C40C1">
        <w:t>r</w:t>
      </w:r>
      <w:r w:rsidRPr="006C40C1">
        <w:t>säkringen och de extra garantimånaderna tas bort. De kommunala verksa</w:t>
      </w:r>
      <w:r w:rsidRPr="006C40C1">
        <w:t>m</w:t>
      </w:r>
      <w:r w:rsidRPr="006C40C1">
        <w:t>heterna måste fokuseras på kärnverksamheterna så att medborgarn</w:t>
      </w:r>
      <w:r w:rsidRPr="006C40C1">
        <w:t xml:space="preserve">a får ut mer av varje skattekrona, vilket enligt motionärerna underlättas av införandet av en skolpeng, en allmän hälsoförsäkring och en förändrad finansiering av äldreomsorgen. </w:t>
      </w:r>
    </w:p>
    <w:p w:rsidR="00AA5D77" w:rsidRPr="006C40C1" w:rsidRDefault="00AA5D77">
      <w:pPr>
        <w:pStyle w:val="Normaltindrag"/>
      </w:pPr>
      <w:r w:rsidRPr="006C40C1">
        <w:t>En översyn bör snarast göras om uppgiftsfördelningen mellan, stat, ko</w:t>
      </w:r>
      <w:r w:rsidRPr="006C40C1">
        <w:t>m</w:t>
      </w:r>
      <w:r w:rsidRPr="006C40C1">
        <w:t>mun, det civila samhället och gemenskaperna för att bl.a. minska kommune</w:t>
      </w:r>
      <w:r w:rsidRPr="006C40C1">
        <w:t>r</w:t>
      </w:r>
      <w:r w:rsidRPr="006C40C1">
        <w:t>nas obligatoriska åtaganden. Verksamheter bör avregleras och utsättas för konkurrens. Enligt motionärerna innebär deras politik och ökade kommunala skatteintäkter att statsbidragen till kommunerna kan sänkas under de närmaste åren. Enligt motionärerna leder regeringens ekonomiska politik nu till mycket stora skattehöjningar i många kommuner och landsting. Detta riskerar att sänka tillväxten, inte minst i tillväxtområden som Stockholm.</w:t>
      </w:r>
      <w:r w:rsidRPr="006C40C1">
        <w:t xml:space="preserve"> Kommunernas ekonomiska problem löses bäst genom en politik som ökar den allmänna tillväxten, vilket bl.a. innebär att dagens inomkommunala utjämningssystem snarast måste ersättas. </w:t>
      </w:r>
    </w:p>
    <w:p w:rsidR="00AA5D77" w:rsidRPr="006C40C1" w:rsidRDefault="00AA5D77">
      <w:pPr>
        <w:pStyle w:val="Normaltindrag"/>
      </w:pPr>
      <w:r w:rsidRPr="006C40C1">
        <w:t>Ledstjärnan i motionärernas utgiftspolitik är att sänka de offentliga utgi</w:t>
      </w:r>
      <w:r w:rsidRPr="006C40C1">
        <w:t>f</w:t>
      </w:r>
      <w:r w:rsidRPr="006C40C1">
        <w:t>ternas andel av ekonomin för att minska statsfinansernas konjunkturkänsli</w:t>
      </w:r>
      <w:r w:rsidRPr="006C40C1">
        <w:t>g</w:t>
      </w:r>
      <w:r w:rsidRPr="006C40C1">
        <w:t>het, öka medborgarnas frihet och öka det offentligas förmåga att klara kär</w:t>
      </w:r>
      <w:r w:rsidRPr="006C40C1">
        <w:t>n</w:t>
      </w:r>
      <w:r w:rsidRPr="006C40C1">
        <w:t>uppgifterna. Besparingar som i slutet av 2004 motsvarar 45 miljarder kronor netto presenteras i motionen. Det långsiktiga målet för budgetpolitiken bör vara att den offentliga bruttoskulden understiger 40 % av BNP och att de offentliga finanserna ska vara i balans över konjunkturcykeln. För att möjli</w:t>
      </w:r>
      <w:r w:rsidRPr="006C40C1">
        <w:t>g</w:t>
      </w:r>
      <w:r w:rsidRPr="006C40C1">
        <w:t>göra en skuldnivå på under 40 % av BNP bör de offentliga fin</w:t>
      </w:r>
      <w:r w:rsidRPr="006C40C1">
        <w:t>anserna under en övergångsperiod ge överskott. Enligt motionärerna kommer den offentliga bruttoskulden med deras budgetalternativ att uppgå till 46,7 % av BNP, o</w:t>
      </w:r>
      <w:r w:rsidRPr="006C40C1">
        <w:t>m</w:t>
      </w:r>
      <w:r w:rsidRPr="006C40C1">
        <w:t>kring 2,5 procentenheter lägre än den bruttoskuld regeringen förväntar sig. Minskad skuldkvot och lägre utgifts- och skattekvoter ökar stabiliteten i de offentliga finanserna avsevärt och minskar behovet av en offentlig förmöge</w:t>
      </w:r>
      <w:r w:rsidRPr="006C40C1">
        <w:t>n</w:t>
      </w:r>
      <w:r w:rsidRPr="006C40C1">
        <w:t>hetsuppbyggnad över konjunkturcykeln. Euron bör införas så snart som mö</w:t>
      </w:r>
      <w:r w:rsidRPr="006C40C1">
        <w:t>j</w:t>
      </w:r>
      <w:r w:rsidRPr="006C40C1">
        <w:t>ligt (yrkandena 1 och 12). I motion MJ420 av Per W</w:t>
      </w:r>
      <w:r w:rsidRPr="006C40C1">
        <w:t>esterberg m.fl. (m) anförs att en god ekonomisk tillväxt är en viktig grundförutsättning för att nå en god miljösituation (yrkande 2).</w:t>
      </w:r>
    </w:p>
    <w:p w:rsidR="00AA5D77" w:rsidRPr="006C40C1" w:rsidRDefault="00AA5D77">
      <w:r w:rsidRPr="006C40C1">
        <w:t xml:space="preserve">I </w:t>
      </w:r>
      <w:r w:rsidRPr="006C40C1">
        <w:rPr>
          <w:i/>
        </w:rPr>
        <w:t>Folkpartiet liberalernas motion Fi232</w:t>
      </w:r>
      <w:r w:rsidRPr="006C40C1">
        <w:t xml:space="preserve"> konstateras att en del eftervalsko</w:t>
      </w:r>
      <w:r w:rsidRPr="006C40C1">
        <w:t>m</w:t>
      </w:r>
      <w:r w:rsidRPr="006C40C1">
        <w:t>mentatorer varit snabba med att dra slutsatsen att den gamla svenska mode</w:t>
      </w:r>
      <w:r w:rsidRPr="006C40C1">
        <w:t>l</w:t>
      </w:r>
      <w:r w:rsidRPr="006C40C1">
        <w:t>len fått godkänt. Men det får enligt motionärerna inte vara sant. Den gamla svenska modellen kännetecknas av världens högsta skatter, monopol i offen</w:t>
      </w:r>
      <w:r w:rsidRPr="006C40C1">
        <w:t>t</w:t>
      </w:r>
      <w:r w:rsidRPr="006C40C1">
        <w:t>lig service, omfattande regleringar och dåligt företagsklimat. Modellen har bl.a. inneburit att Sverige halkat ned i välståndsligan, att nästan alla stora svenska företag flyttat ledningen utomlands, att Sverige tap</w:t>
      </w:r>
      <w:r w:rsidRPr="006C40C1">
        <w:t>pat sin tätposition som forskningsnation, att vi halkat ned i internationella jämförelser av sko</w:t>
      </w:r>
      <w:r w:rsidRPr="006C40C1">
        <w:t>l</w:t>
      </w:r>
      <w:r w:rsidRPr="006C40C1">
        <w:t>kvalitet och att vi misslyckats med integrationen av invandrare. Motionärerna är kritiska till att regeringen inte utnyttjat den internationella konjunkturup</w:t>
      </w:r>
      <w:r w:rsidRPr="006C40C1">
        <w:t>p</w:t>
      </w:r>
      <w:r w:rsidRPr="006C40C1">
        <w:t>gången till att dels öka förutsättningarna för en långsiktigt högre svensk til</w:t>
      </w:r>
      <w:r w:rsidRPr="006C40C1">
        <w:t>l</w:t>
      </w:r>
      <w:r w:rsidRPr="006C40C1">
        <w:t>växt, dels inte i grunden hanterat problemet med de konjunkturkänsliga stat</w:t>
      </w:r>
      <w:r w:rsidRPr="006C40C1">
        <w:t>s</w:t>
      </w:r>
      <w:r w:rsidRPr="006C40C1">
        <w:t>finanserna. Motionärerna menar vidare att börsnedgångarna och den ökade internationella osäkerheten ta</w:t>
      </w:r>
      <w:r w:rsidRPr="006C40C1">
        <w:t>lar för att både den internationella och svenska tillväxten under nästa år blir svagare än vad regeringen räknar med. Rege</w:t>
      </w:r>
      <w:r w:rsidRPr="006C40C1">
        <w:t>r</w:t>
      </w:r>
      <w:r w:rsidRPr="006C40C1">
        <w:t>ingen saknar dock helt beredskap för en sådan utveckling. Budgeten för 2003 är en ”vackert väder-budget” som saknar marginaler för en sämre utveckling.</w:t>
      </w:r>
    </w:p>
    <w:p w:rsidR="00AA5D77" w:rsidRPr="006C40C1" w:rsidRDefault="00AA5D77">
      <w:pPr>
        <w:pStyle w:val="Normaltindrag"/>
      </w:pPr>
      <w:r w:rsidRPr="006C40C1">
        <w:t>Vid sidan av kortsiktig handlingsberedskap krävs enligt motionärerna en långsiktig politik med uthålliga villkor som gynnar tillväxten av nya och befintliga företag och en omfattande reformering av de offentliga utgifts- och förmånssyste</w:t>
      </w:r>
      <w:r w:rsidRPr="006C40C1">
        <w:t>men. Det övergripande målet för den ekonomiska politiken bör vara att öka den långsiktiga BNP-tillväxten i den svenska ekonomin till 3 % från dagens 2 % per år. För att nå målet presenteras i motionen ett antal struktur- och systemreformer. En del av innehållet presenteras i punkterna nedan.</w:t>
      </w:r>
    </w:p>
    <w:p w:rsidR="00AA5D77" w:rsidRPr="006C40C1" w:rsidRDefault="00AA5D77">
      <w:pPr>
        <w:tabs>
          <w:tab w:val="num" w:pos="420"/>
        </w:tabs>
        <w:ind w:left="357" w:hanging="357"/>
      </w:pPr>
      <w:r w:rsidRPr="006C40C1">
        <w:sym w:font="Symbol" w:char="F0B7"/>
      </w:r>
      <w:r w:rsidRPr="006C40C1">
        <w:tab/>
      </w:r>
      <w:r w:rsidRPr="006C40C1">
        <w:rPr>
          <w:b/>
        </w:rPr>
        <w:t xml:space="preserve">Skattereform för en ny tid. </w:t>
      </w:r>
      <w:r w:rsidRPr="006C40C1">
        <w:t>En inkomstskattereform genomförs med sänkta margi</w:t>
      </w:r>
      <w:r w:rsidRPr="006C40C1">
        <w:softHyphen/>
        <w:t>nalskatter genom att värnskatten slopas, brytpunkten för den statliga skatten i ett första steg höjs till 26 000 kr i månadslön och ett kommunalt förvärvsavdrag på inledningsvis 3 % införs. Inkomstskatterna sänks ytterligare genom en skattereduktion på till en början 300 kr som stiger till 600 kr 2004, lika för alla. Motionärerna föreslår höjda men a</w:t>
      </w:r>
      <w:r w:rsidRPr="006C40C1">
        <w:t>v</w:t>
      </w:r>
      <w:r w:rsidRPr="006C40C1">
        <w:t>dragsgilla avgifter till a-kassan. Som ett led i att reformera familjepolit</w:t>
      </w:r>
      <w:r w:rsidRPr="006C40C1">
        <w:t>i</w:t>
      </w:r>
      <w:r w:rsidRPr="006C40C1">
        <w:t xml:space="preserve">ken </w:t>
      </w:r>
      <w:r w:rsidRPr="006C40C1">
        <w:t>bör barnfamiljernas marginaleffekter minskas genom att generella utökningar av barnstödet utformas som en skattereduktion på drygt 900 kr per år 2003. Reduktionen kombineras med en nedtrappning av b</w:t>
      </w:r>
      <w:r w:rsidRPr="006C40C1">
        <w:t>o</w:t>
      </w:r>
      <w:r w:rsidRPr="006C40C1">
        <w:t>stadsbidraget. Hushållstjänster får en skattereduktion på 50 %. Sparande underlättas genom att förmögenhetsskatten sänks och slopas på sikt. Ett första steg är en avskaffad sambeskattning och en höjning av fribeloppet till 2,1 miljoner kronor. Fastighetsskatten sänks genom att taxeringsvä</w:t>
      </w:r>
      <w:r w:rsidRPr="006C40C1">
        <w:t>r</w:t>
      </w:r>
      <w:r w:rsidRPr="006C40C1">
        <w:t>dena åter fryses på 199</w:t>
      </w:r>
      <w:r w:rsidRPr="006C40C1">
        <w:t>7 års nivå till skattesatsen 1,0 % för småhus och 0,5 % för flerbostadshus. Systemet för fastighetstaxering bör reformeras i grunden och olika boendeformer måste behandlas lika. Reavinstbeskat</w:t>
      </w:r>
      <w:r w:rsidRPr="006C40C1">
        <w:t>t</w:t>
      </w:r>
      <w:r w:rsidRPr="006C40C1">
        <w:t>ningen för bostäder höjs till 30 %.  Kompetens- och pensions</w:t>
      </w:r>
      <w:r w:rsidRPr="006C40C1">
        <w:softHyphen/>
        <w:t>sparandet underlättas genom att avdragsrätten höjs till ett basbelopp. Principerna från 1990/91 års skattereform – hälften kvar och att de allra flesta bara ska betala kommunalskatt – ska återupprättas. Motionärer stöder försl</w:t>
      </w:r>
      <w:r w:rsidRPr="006C40C1">
        <w:t>a</w:t>
      </w:r>
      <w:r w:rsidRPr="006C40C1">
        <w:t>get om höjd el- och koldioxidsk</w:t>
      </w:r>
      <w:r w:rsidRPr="006C40C1">
        <w:t>att och inför en särskild miljöskatt på sopförbränning som ett led i en grön skattevä</w:t>
      </w:r>
      <w:r w:rsidRPr="006C40C1">
        <w:t>x</w:t>
      </w:r>
      <w:r w:rsidRPr="006C40C1">
        <w:t xml:space="preserve">ling. </w:t>
      </w:r>
    </w:p>
    <w:p w:rsidR="00AA5D77" w:rsidRPr="006C40C1" w:rsidRDefault="00AA5D77">
      <w:pPr>
        <w:tabs>
          <w:tab w:val="num" w:pos="420"/>
        </w:tabs>
        <w:ind w:left="357" w:hanging="357"/>
      </w:pPr>
      <w:r w:rsidRPr="006C40C1">
        <w:sym w:font="Symbol" w:char="F0B7"/>
      </w:r>
      <w:r w:rsidRPr="006C40C1">
        <w:tab/>
      </w:r>
      <w:r w:rsidRPr="006C40C1">
        <w:rPr>
          <w:b/>
        </w:rPr>
        <w:t>Offensiv för bättre företagsklimat.</w:t>
      </w:r>
      <w:r w:rsidRPr="006C40C1">
        <w:t xml:space="preserve"> För att skapa fler företagare och jobb måste företagsskatterna sänkas, antalet regler för att driva företag minskas och förenklas samtidigt som konkurrensen måste öka. Dubbe</w:t>
      </w:r>
      <w:r w:rsidRPr="006C40C1">
        <w:t>l</w:t>
      </w:r>
      <w:r w:rsidRPr="006C40C1">
        <w:t>beskattningen på aktier bör slopas successivt, arbetsgivaravgifterna sä</w:t>
      </w:r>
      <w:r w:rsidRPr="006C40C1">
        <w:t>n</w:t>
      </w:r>
      <w:r w:rsidRPr="006C40C1">
        <w:t>kas ytterligare och de s.k. fåmansbolagsreglerna reformeras. Som en vi</w:t>
      </w:r>
      <w:r w:rsidRPr="006C40C1">
        <w:t>k</w:t>
      </w:r>
      <w:r w:rsidRPr="006C40C1">
        <w:t>tig ingrediens för bättre tillväxtklimat föreslår motionärerna en utökad satsning på väginvesteringar. Vidare måste b</w:t>
      </w:r>
      <w:r w:rsidRPr="006C40C1">
        <w:t>o</w:t>
      </w:r>
      <w:r w:rsidRPr="006C40C1">
        <w:t>stadspolitiken förnyas.</w:t>
      </w:r>
    </w:p>
    <w:p w:rsidR="00AA5D77" w:rsidRPr="006C40C1" w:rsidRDefault="00AA5D77">
      <w:pPr>
        <w:tabs>
          <w:tab w:val="num" w:pos="420"/>
        </w:tabs>
        <w:ind w:left="357" w:hanging="357"/>
      </w:pPr>
      <w:r w:rsidRPr="006C40C1">
        <w:sym w:font="Symbol" w:char="F0B7"/>
      </w:r>
      <w:r w:rsidRPr="006C40C1">
        <w:tab/>
      </w:r>
      <w:r w:rsidRPr="006C40C1">
        <w:rPr>
          <w:b/>
        </w:rPr>
        <w:t>Socialförsäkringsreform.</w:t>
      </w:r>
      <w:r w:rsidRPr="006C40C1">
        <w:t xml:space="preserve"> Trovärdigheten för socialförsäkringarna är viktig för ett bra arbets- och företagarklimat. Förutom det nya pension</w:t>
      </w:r>
      <w:r w:rsidRPr="006C40C1">
        <w:t>s</w:t>
      </w:r>
      <w:r w:rsidRPr="006C40C1">
        <w:t>systemet bör ytterligare två obligatoriska och från statens budget frist</w:t>
      </w:r>
      <w:r w:rsidRPr="006C40C1">
        <w:t>å</w:t>
      </w:r>
      <w:r w:rsidRPr="006C40C1">
        <w:t>ende försäkringar skapas – en allmän sjukförsäkring (inkl. förtidspensi</w:t>
      </w:r>
      <w:r w:rsidRPr="006C40C1">
        <w:t>o</w:t>
      </w:r>
      <w:r w:rsidRPr="006C40C1">
        <w:t>nen) och en allmän arbetslöshetsförsäkring. Försäkringarna bör bygga på inkomstbortfallsprincipen och det ska råda raka rör mellan avgifter och förmåner. Motionärerna stödjer förslaget om en höjning av taket i föräl</w:t>
      </w:r>
      <w:r w:rsidRPr="006C40C1">
        <w:t>d</w:t>
      </w:r>
      <w:r w:rsidRPr="006C40C1">
        <w:t>raförsäkri</w:t>
      </w:r>
      <w:r w:rsidRPr="006C40C1">
        <w:t>ngen till tio basbelopp.</w:t>
      </w:r>
    </w:p>
    <w:p w:rsidR="00AA5D77" w:rsidRPr="006C40C1" w:rsidRDefault="00AA5D77">
      <w:pPr>
        <w:tabs>
          <w:tab w:val="num" w:pos="420"/>
        </w:tabs>
        <w:ind w:left="357" w:hanging="357"/>
        <w:rPr>
          <w:i/>
        </w:rPr>
      </w:pPr>
      <w:r w:rsidRPr="006C40C1">
        <w:sym w:font="Symbol" w:char="F0B7"/>
      </w:r>
      <w:r w:rsidRPr="006C40C1">
        <w:tab/>
      </w:r>
      <w:r w:rsidRPr="006C40C1">
        <w:rPr>
          <w:b/>
        </w:rPr>
        <w:t>En skola för tillväxt.</w:t>
      </w:r>
      <w:r w:rsidRPr="006C40C1">
        <w:t xml:space="preserve"> En rad åtgärder föreslås för att förbättra skolan och öka kvaliteten inom högskolan, och större resurser avsätts till forsknin</w:t>
      </w:r>
      <w:r w:rsidRPr="006C40C1">
        <w:t>g</w:t>
      </w:r>
      <w:r w:rsidRPr="006C40C1">
        <w:t>en. Bland annat bör en speciallärarutbildning inrättas och en skolpeng i</w:t>
      </w:r>
      <w:r w:rsidRPr="006C40C1">
        <w:t>n</w:t>
      </w:r>
      <w:r w:rsidRPr="006C40C1">
        <w:t>f</w:t>
      </w:r>
      <w:r w:rsidRPr="006C40C1">
        <w:t>ö</w:t>
      </w:r>
      <w:r w:rsidRPr="006C40C1">
        <w:t>ras så att utbildningen blir likvärdig över landet.</w:t>
      </w:r>
      <w:r w:rsidRPr="006C40C1">
        <w:rPr>
          <w:i/>
        </w:rPr>
        <w:t xml:space="preserve"> </w:t>
      </w:r>
    </w:p>
    <w:p w:rsidR="00AA5D77" w:rsidRPr="006C40C1" w:rsidRDefault="00AA5D77">
      <w:pPr>
        <w:tabs>
          <w:tab w:val="num" w:pos="420"/>
        </w:tabs>
        <w:ind w:left="357" w:hanging="357"/>
      </w:pPr>
      <w:r w:rsidRPr="006C40C1">
        <w:sym w:font="Symbol" w:char="F0B7"/>
      </w:r>
      <w:r w:rsidRPr="006C40C1">
        <w:tab/>
      </w:r>
      <w:r w:rsidRPr="006C40C1">
        <w:rPr>
          <w:b/>
        </w:rPr>
        <w:t>Jämställdhetsreform för tillväxt.</w:t>
      </w:r>
      <w:r w:rsidRPr="006C40C1">
        <w:t xml:space="preserve"> Några av de mest prioriterade up</w:t>
      </w:r>
      <w:r w:rsidRPr="006C40C1">
        <w:t>p</w:t>
      </w:r>
      <w:r w:rsidRPr="006C40C1">
        <w:t>gifterna är att avskaffa löneskillnaderna mellan män och kvinnor och öka individernas inflytande över sina liv. Det bör enligt motionärerna bl.a. ske genom att de offentliga monopolen inom omsorgen, skolan och vå</w:t>
      </w:r>
      <w:r w:rsidRPr="006C40C1">
        <w:t>r</w:t>
      </w:r>
      <w:r w:rsidRPr="006C40C1">
        <w:t>den bryts upp. Förutom olika skatteåtgärder, som t.ex. skattereduktion på hushållsnära tjänster och sänkt skatt för barnfamiljer, bör ett barnkonto för att bl.a. öka valfriheten i barnomsorgen införas och en reformerad a</w:t>
      </w:r>
      <w:r w:rsidRPr="006C40C1">
        <w:t>r</w:t>
      </w:r>
      <w:r w:rsidRPr="006C40C1">
        <w:t>betstidsla</w:t>
      </w:r>
      <w:r w:rsidRPr="006C40C1">
        <w:t>gstiftning genomföras för att öka medborgarnas och familjernas möjlighet att själva ordna sin vardag. Vidare bör en jämställdhetsbonus införas. Bonusen innebär att varje månad som tas ut i föräldraledighet, som motsvaras av en månad som även den andra föräldern tar ut, ger 90 % i ersättning i stället dagens 80 %.</w:t>
      </w:r>
    </w:p>
    <w:p w:rsidR="00AA5D77" w:rsidRPr="006C40C1" w:rsidRDefault="00AA5D77">
      <w:pPr>
        <w:tabs>
          <w:tab w:val="num" w:pos="420"/>
        </w:tabs>
        <w:ind w:left="357" w:hanging="357"/>
      </w:pPr>
      <w:r w:rsidRPr="006C40C1">
        <w:sym w:font="Symbol" w:char="F0B7"/>
      </w:r>
      <w:r w:rsidRPr="006C40C1">
        <w:tab/>
      </w:r>
      <w:r w:rsidRPr="006C40C1">
        <w:rPr>
          <w:b/>
        </w:rPr>
        <w:t xml:space="preserve">Frihandelsreform och global solidaritet. </w:t>
      </w:r>
      <w:r w:rsidRPr="006C40C1">
        <w:t>Frihandel är avgörande för välfärdsutvecklingen. Sverige bör gå i spetsen för ökad frihandel i vär</w:t>
      </w:r>
      <w:r w:rsidRPr="006C40C1">
        <w:t>l</w:t>
      </w:r>
      <w:r w:rsidRPr="006C40C1">
        <w:t>den och verka för en avreglering av EU:s jordbrukspolitik. Sverige bör också gå med i EMU och arbeta för en fortsatt reformering av den inre marknaden. Biståndet bör höjas kraftigt. Enligt en konkret tidsplan bör enprocentsmålet vara återställt senast 2006. Gåvor till internationell hjälpver</w:t>
      </w:r>
      <w:r w:rsidRPr="006C40C1">
        <w:t>k</w:t>
      </w:r>
      <w:r w:rsidRPr="006C40C1">
        <w:t xml:space="preserve">samhet bör ge viss skattereduktion. </w:t>
      </w:r>
    </w:p>
    <w:p w:rsidR="00AA5D77" w:rsidRPr="006C40C1" w:rsidRDefault="00AA5D77">
      <w:pPr>
        <w:tabs>
          <w:tab w:val="num" w:pos="420"/>
        </w:tabs>
        <w:ind w:left="357" w:hanging="357"/>
      </w:pPr>
      <w:r w:rsidRPr="006C40C1">
        <w:sym w:font="Symbol" w:char="F0B7"/>
      </w:r>
      <w:r w:rsidRPr="006C40C1">
        <w:tab/>
      </w:r>
      <w:r w:rsidRPr="006C40C1">
        <w:rPr>
          <w:b/>
        </w:rPr>
        <w:t>Liberal miljöpolitik.</w:t>
      </w:r>
      <w:r w:rsidRPr="006C40C1">
        <w:t xml:space="preserve"> En rad åtgärder föreslås för att förena den ekon</w:t>
      </w:r>
      <w:r w:rsidRPr="006C40C1">
        <w:t>o</w:t>
      </w:r>
      <w:r w:rsidRPr="006C40C1">
        <w:t>miska tillväxten med en ekologiskt hållbar utveckling. För att förhindra växthuseffekten bör bl.a. europeiska minimiregler för koldioxidskatt i</w:t>
      </w:r>
      <w:r w:rsidRPr="006C40C1">
        <w:t>n</w:t>
      </w:r>
      <w:r w:rsidRPr="006C40C1">
        <w:t>föras som ett första steg. En hållbarhetskommission bör tillsättas med uppgift att se över vilka effektiviseringar och moderniseringar av regler och styrmedel som behövs för att öka den hållbara utvecklingen.</w:t>
      </w:r>
    </w:p>
    <w:p w:rsidR="00AA5D77" w:rsidRPr="006C40C1" w:rsidRDefault="00AA5D77">
      <w:pPr>
        <w:tabs>
          <w:tab w:val="num" w:pos="420"/>
        </w:tabs>
        <w:ind w:left="357" w:hanging="357"/>
      </w:pPr>
      <w:r w:rsidRPr="006C40C1">
        <w:sym w:font="Symbol" w:char="F0B7"/>
      </w:r>
      <w:r w:rsidRPr="006C40C1">
        <w:tab/>
      </w:r>
      <w:r w:rsidRPr="006C40C1">
        <w:rPr>
          <w:b/>
        </w:rPr>
        <w:t xml:space="preserve">Ny integrationspolitik. </w:t>
      </w:r>
      <w:r w:rsidRPr="006C40C1">
        <w:t>För att bryta segregation och utanförskap måste den enskildes initiativkraft frigöras. Bland annat måste skatter som hin</w:t>
      </w:r>
      <w:r w:rsidRPr="006C40C1">
        <w:t>d</w:t>
      </w:r>
      <w:r w:rsidRPr="006C40C1">
        <w:t xml:space="preserve">rar arbete och företagande sänkas, rigida arbetsmarknadslagar och krångliga företagsregler tas bort samtidigt som bidragssystemen måste förändras. Invandrarens möjlighet till svenskundervisning måste öka och satsning bör göras på skolor i </w:t>
      </w:r>
      <w:r w:rsidRPr="006C40C1">
        <w:rPr>
          <w:b/>
        </w:rPr>
        <w:t xml:space="preserve"> </w:t>
      </w:r>
      <w:r w:rsidRPr="006C40C1">
        <w:t>särskilt utsatta områden.  För att tillgodose det ökade behovet av arbetskraft bör möjligheterna till arbetskraftsi</w:t>
      </w:r>
      <w:r w:rsidRPr="006C40C1">
        <w:t>n</w:t>
      </w:r>
      <w:r w:rsidRPr="006C40C1">
        <w:t>vandring ö</w:t>
      </w:r>
      <w:r w:rsidRPr="006C40C1">
        <w:t>ka. Resu</w:t>
      </w:r>
      <w:r w:rsidRPr="006C40C1">
        <w:t>r</w:t>
      </w:r>
      <w:r w:rsidRPr="006C40C1">
        <w:t>serna för flyktingmottagning bör öka.</w:t>
      </w:r>
    </w:p>
    <w:p w:rsidR="00AA5D77" w:rsidRPr="006C40C1" w:rsidRDefault="00AA5D77">
      <w:pPr>
        <w:tabs>
          <w:tab w:val="num" w:pos="420"/>
        </w:tabs>
        <w:ind w:left="357" w:hanging="357"/>
      </w:pPr>
      <w:r w:rsidRPr="006C40C1">
        <w:sym w:font="Symbol" w:char="F0B7"/>
      </w:r>
      <w:r w:rsidRPr="006C40C1">
        <w:tab/>
      </w:r>
      <w:r w:rsidRPr="006C40C1">
        <w:rPr>
          <w:b/>
        </w:rPr>
        <w:t>Kamp mot ohälsan.</w:t>
      </w:r>
      <w:r w:rsidRPr="006C40C1">
        <w:t xml:space="preserve"> I motionen föreslås ett program inom olika politi</w:t>
      </w:r>
      <w:r w:rsidRPr="006C40C1">
        <w:t>k</w:t>
      </w:r>
      <w:r w:rsidRPr="006C40C1">
        <w:t>områden mot ohälsan. Bland annat måste finansiering av vården samor</w:t>
      </w:r>
      <w:r w:rsidRPr="006C40C1">
        <w:t>d</w:t>
      </w:r>
      <w:r w:rsidRPr="006C40C1">
        <w:t>nas mellan olika aktörer, en nationell vårdgaranti snarast återinföras och r</w:t>
      </w:r>
      <w:r w:rsidRPr="006C40C1">
        <w:t>e</w:t>
      </w:r>
      <w:r w:rsidRPr="006C40C1">
        <w:t>surserna för rehabilitering utökas.</w:t>
      </w:r>
    </w:p>
    <w:p w:rsidR="00AA5D77" w:rsidRPr="006C40C1" w:rsidRDefault="00AA5D77">
      <w:r w:rsidRPr="006C40C1">
        <w:t>Arbetsmarknadspolitiken måste enligt motionärerna radikalt förändras. D</w:t>
      </w:r>
      <w:r w:rsidRPr="006C40C1">
        <w:t>a</w:t>
      </w:r>
      <w:r w:rsidRPr="006C40C1">
        <w:t>gens AMS bör läggas ned och ersättas av en flora av platsförmedlingar som drivs av olika huvudmän. Arbetsmarknadsverkets förvaltningskostnader minskas väsentligt. Konkurrensen i ekonomin måste öka, enligt motionärerna. Kartellverksamhet bör kriminaliseras och beläggas med böter. Etablering</w:t>
      </w:r>
      <w:r w:rsidRPr="006C40C1">
        <w:t>s</w:t>
      </w:r>
      <w:r w:rsidRPr="006C40C1">
        <w:t>hinder för småföretagare bör avvecklas, t.ex. de regler i plan- och bygglagen som ger kommuner möjlighet att stoppa byggandet av köpcentrum. I princip bör all verksamhet inom den offentliga sektorn som inte är myndighets</w:t>
      </w:r>
      <w:r w:rsidRPr="006C40C1">
        <w:t>utö</w:t>
      </w:r>
      <w:r w:rsidRPr="006C40C1">
        <w:t>v</w:t>
      </w:r>
      <w:r w:rsidRPr="006C40C1">
        <w:t>ning vara konkurrensutsatt, vilket innebär att statlig och kommunal affär</w:t>
      </w:r>
      <w:r w:rsidRPr="006C40C1">
        <w:t>s</w:t>
      </w:r>
      <w:r w:rsidRPr="006C40C1">
        <w:t>verksamhet bör avvecklas eller säljas. Rättssäkerheten bör stärkas. Till följd av de osäkra internationella konjunkturutsikterna presenterar motionärerna en budgeteringsmarginal på omkring 11 miljarder kronor både 2003 och 2004. Motionärerna anser vidare att målet om överskott i de offentliga finanserna motsvarande 2 % av BNP över en konjunkturcykel bör tas upp till debatt. Sannolikt bör ett nytt mål formuleras för stat och kommun</w:t>
      </w:r>
      <w:r w:rsidRPr="006C40C1">
        <w:t>. Ett möjligt mål är att krav på bruttoskuldens utveckling införs. Avbetalningen av statsskulden bör påskyndas. Det ska ske genom att statliga företag säljs i en större omfat</w:t>
      </w:r>
      <w:r w:rsidRPr="006C40C1">
        <w:t>t</w:t>
      </w:r>
      <w:r w:rsidRPr="006C40C1">
        <w:t>ning än vad regeringen räknar med. Staten bör endast i undantagsfall driva företag (y</w:t>
      </w:r>
      <w:r w:rsidRPr="006C40C1">
        <w:t>r</w:t>
      </w:r>
      <w:r w:rsidRPr="006C40C1">
        <w:t>kande 1).</w:t>
      </w:r>
    </w:p>
    <w:p w:rsidR="00AA5D77" w:rsidRPr="006C40C1" w:rsidRDefault="00AA5D77">
      <w:r w:rsidRPr="006C40C1">
        <w:t xml:space="preserve">I </w:t>
      </w:r>
      <w:r w:rsidRPr="006C40C1">
        <w:rPr>
          <w:i/>
        </w:rPr>
        <w:t>Kristdemokraternas motion Fi233</w:t>
      </w:r>
      <w:r w:rsidRPr="006C40C1">
        <w:t xml:space="preserve"> konstateras att Sveriges långsiktiga til</w:t>
      </w:r>
      <w:r w:rsidRPr="006C40C1">
        <w:t>l</w:t>
      </w:r>
      <w:r w:rsidRPr="006C40C1">
        <w:t>växtproblem kvarstår. Budgetpropositionen för 2003 är den artonde stora ekonomisk-politiska proposition som regeringen sedan 1994 lagt på riksd</w:t>
      </w:r>
      <w:r w:rsidRPr="006C40C1">
        <w:t>a</w:t>
      </w:r>
      <w:r w:rsidRPr="006C40C1">
        <w:t>gens bord. Alla 18 har i stort sett saknat åtgärder för att förbättra företagskl</w:t>
      </w:r>
      <w:r w:rsidRPr="006C40C1">
        <w:t>i</w:t>
      </w:r>
      <w:r w:rsidRPr="006C40C1">
        <w:t>matet och de strukturella problem som gjort att Sverige tappat i tillväxttakt jämfört med många länder och sjunkit långt ned på OECD:s tillväxt- och välståndslistor. Eftersläpningen fortsätter, enligt regeringens e</w:t>
      </w:r>
      <w:r w:rsidRPr="006C40C1">
        <w:t>gen bedömning i budgetpropositionen, men regeringen presenterar ingen plan för att bryta denna utveckling. Den totala arbetslösheten är rekordhög med tanke på att vi nyss passerat en högkonjunktur, kapital och företag flyttar utomlands eller säljs ut till utländska ägare, sjukfrånvaron ökar kraftigt, arbetsmarknaden fungerar dåligt och lönerna ökar fortfarande snabbare än i omvärlden. Den ökade sysselsättningen i slutet av 1990-talet är också delvis en bubbla, genom att sjukfrånvaron stigit snabbt under sam</w:t>
      </w:r>
      <w:r w:rsidRPr="006C40C1">
        <w:t>ma period.</w:t>
      </w:r>
    </w:p>
    <w:p w:rsidR="00AA5D77" w:rsidRPr="006C40C1" w:rsidRDefault="00AA5D77">
      <w:pPr>
        <w:pStyle w:val="Normaltindrag"/>
      </w:pPr>
      <w:r w:rsidRPr="006C40C1">
        <w:t>Den vikande konjunkturen visar, enligt motionärerna, att det nu är hög tid att rätta till strukturfelen i den svenska ekonomin – rekordhögt skattetryck och stora marginaleffekter som gör att det lönar sig dåligt att arbeta och sk</w:t>
      </w:r>
      <w:r w:rsidRPr="006C40C1">
        <w:t>a</w:t>
      </w:r>
      <w:r w:rsidRPr="006C40C1">
        <w:t>par ett osunt bidragsberoende, en hög beskattning som gör det svårt att locka och behålla företag, kapital och kompetens i landet, en dåligt fungerande arbetsmarknad och lönebildning och en svag konkurrens i stora delar av ek</w:t>
      </w:r>
      <w:r w:rsidRPr="006C40C1">
        <w:t>o</w:t>
      </w:r>
      <w:r w:rsidRPr="006C40C1">
        <w:t>nomin. Målet bör vara en varaktigt hållbar tillväxt på minst 3 % per år, jä</w:t>
      </w:r>
      <w:r w:rsidRPr="006C40C1">
        <w:t>m</w:t>
      </w:r>
      <w:r w:rsidRPr="006C40C1">
        <w:t>fört med den tillväxt på knappt 2 % som Sverige i genomsnitt haft under de senaste 30 åren.</w:t>
      </w:r>
    </w:p>
    <w:p w:rsidR="00AA5D77" w:rsidRPr="006C40C1" w:rsidRDefault="00AA5D77">
      <w:pPr>
        <w:pStyle w:val="Normaltindrag"/>
      </w:pPr>
      <w:r w:rsidRPr="006C40C1">
        <w:t>För att öka sysselsättningen, minska arbetslösheten och öka möjligheterna för medborgarna att klara sig på sin egen l</w:t>
      </w:r>
      <w:r w:rsidRPr="006C40C1">
        <w:t>ön föreslås att inkomstskatten r</w:t>
      </w:r>
      <w:r w:rsidRPr="006C40C1">
        <w:t>e</w:t>
      </w:r>
      <w:r w:rsidRPr="006C40C1">
        <w:t>formeras i fyra steg bl.a. genom en kraftig höjning av grundavdraget till 26 500 kr, en skattereduktion på 4 000 kr per person och år, ett förvärvsa</w:t>
      </w:r>
      <w:r w:rsidRPr="006C40C1">
        <w:t>v</w:t>
      </w:r>
      <w:r w:rsidRPr="006C40C1">
        <w:t>drag på motsvarande 5 % av förvärvsinkomsten och genom att värn</w:t>
      </w:r>
      <w:r w:rsidRPr="006C40C1">
        <w:softHyphen/>
        <w:t>skatten avskaffas i två steg. Vidare sänks arbetsgivaravgifterna med 7 procentenheter på lönesummor upp till 900 000 kr från 2004, och en 50-procentig skatter</w:t>
      </w:r>
      <w:r w:rsidRPr="006C40C1">
        <w:t>e</w:t>
      </w:r>
      <w:r w:rsidRPr="006C40C1">
        <w:t>duktion på hushållens köp av tjänster i det egna hemmet införs. Vidare bör rimliga och rättvisa konkurrensv</w:t>
      </w:r>
      <w:r w:rsidRPr="006C40C1">
        <w:t>illkor för jordbruket, åkeri- och transpor</w:t>
      </w:r>
      <w:r w:rsidRPr="006C40C1">
        <w:t>t</w:t>
      </w:r>
      <w:r w:rsidRPr="006C40C1">
        <w:t>sektorn skapas genom sänkt dieselskatt. Förmögenhetsskatten och dubbelb</w:t>
      </w:r>
      <w:r w:rsidRPr="006C40C1">
        <w:t>e</w:t>
      </w:r>
      <w:r w:rsidRPr="006C40C1">
        <w:t>skattningen på utdelningsinkomster avvecklas stegvis och arvsskatten på bundet kapital vid generationsskifte i företag avskaffas. Dock höjs bolag</w:t>
      </w:r>
      <w:r w:rsidRPr="006C40C1">
        <w:t>s</w:t>
      </w:r>
      <w:r w:rsidRPr="006C40C1">
        <w:t>skatten med 2 procentenheter till 30 %. Avdragsrätten på pensionssparande höjs och gränsen för reseavdraget för resor till och från jobbet sänks från 7 000 kr till 5 000 kr. Vidare införs ett riskkapitalavdrag som innebär att högst 100 000 kr i invest</w:t>
      </w:r>
      <w:r w:rsidRPr="006C40C1">
        <w:t>eringar i onoterade företag blir avdragsgilla mot inkomst av tjänst eller kapital. Dessutom bör fastighetsskatten avskaffas 2003 samtidigt som kommunerna ges rätt att ta ut avgift på bostäder, kommersiella fastigheter och industrifastigheter. Förändringen av fastighetsskatten föreslås bl.a. finansieras genom en höjning av reavinstskatten på privatbostäder. Sammantaget föreslås skattesänkningar som i slutet av 2004 uppgår till netto omkring 36 miljarder kronor utöver regeringens fö</w:t>
      </w:r>
      <w:r w:rsidRPr="006C40C1">
        <w:t>r</w:t>
      </w:r>
      <w:r w:rsidRPr="006C40C1">
        <w:t>slag.</w:t>
      </w:r>
    </w:p>
    <w:p w:rsidR="00AA5D77" w:rsidRPr="006C40C1" w:rsidRDefault="00AA5D77">
      <w:pPr>
        <w:pStyle w:val="Normaltindrag"/>
      </w:pPr>
      <w:r w:rsidRPr="006C40C1">
        <w:t>Arbetsmarknadens fun</w:t>
      </w:r>
      <w:r w:rsidRPr="006C40C1">
        <w:t>ktionssätt måste förbättras för att minska riskerna för arbetskraftsbrist inom vissa områden och skapa en bättre balans i lön</w:t>
      </w:r>
      <w:r w:rsidRPr="006C40C1">
        <w:t>e</w:t>
      </w:r>
      <w:r w:rsidRPr="006C40C1">
        <w:t>bildningsprocessen. Ett av de allvarligaste hoten mot den svenska ekonomin är att lönerna fortsätter att stiga snabbare än i EU-länderna. Villkoren för lönebildningen bör förbättras genom t.ex. sänkta skatter och marginaleffekter, en högre egenfinansiering i en ny obligatorisk arbetslöshetsförsäkring och förlängda varseltider vid strejkåtgärder. En ökad dynamik och flexibilitet i lön</w:t>
      </w:r>
      <w:r w:rsidRPr="006C40C1">
        <w:t>esättningen måste skapas. De nuvarande arbetsmarknadspolitiska åtgä</w:t>
      </w:r>
      <w:r w:rsidRPr="006C40C1">
        <w:t>r</w:t>
      </w:r>
      <w:r w:rsidRPr="006C40C1">
        <w:t>derna måste ses över och minskas och regelverket förenklas. Ökade satsnin</w:t>
      </w:r>
      <w:r w:rsidRPr="006C40C1">
        <w:t>g</w:t>
      </w:r>
      <w:r w:rsidRPr="006C40C1">
        <w:t>ar bör göras på kvalificerad yrkesutbildning för att avhjälpa bristsituationer. Nya alternativ som kompletterar den traditionella arbetsförmedlingen bör släppas fram.</w:t>
      </w:r>
    </w:p>
    <w:p w:rsidR="00AA5D77" w:rsidRPr="006C40C1" w:rsidRDefault="00AA5D77">
      <w:pPr>
        <w:pStyle w:val="Normaltindrag"/>
      </w:pPr>
      <w:r w:rsidRPr="006C40C1">
        <w:t>Konkurrensen måste öka inom t.ex. varudistributionen, detaljhandeln, tjänstesektorn, byggsektorn och den offentliga sektorn. För att öka effektiv</w:t>
      </w:r>
      <w:r w:rsidRPr="006C40C1">
        <w:t>i</w:t>
      </w:r>
      <w:r w:rsidRPr="006C40C1">
        <w:t>teten i vården och omsorgen anser motionärerna att konkurrensen ska öka genom att bl.a. fler privata initiativ tillåts. Resurserna till Konkurrensverket bör höjas och konkurrenslagen skärpas, bl.a. genom att kartellbildning krim</w:t>
      </w:r>
      <w:r w:rsidRPr="006C40C1">
        <w:t>i</w:t>
      </w:r>
      <w:r w:rsidRPr="006C40C1">
        <w:t>naliseras. Kommunalt och statligt ägande bör avvecklas på de marknader privata alternativ konkurrerar eller skulle kunna konkurrera, och kommuna</w:t>
      </w:r>
      <w:r w:rsidRPr="006C40C1">
        <w:t>l</w:t>
      </w:r>
      <w:r w:rsidRPr="006C40C1">
        <w:t>lagen bör ses över i konkurrenshänseende. Kvarvarande konkurrenshämma</w:t>
      </w:r>
      <w:r w:rsidRPr="006C40C1">
        <w:t>n</w:t>
      </w:r>
      <w:r w:rsidRPr="006C40C1">
        <w:t>de regleringar i den privata sektorn bör avvecklas. De regelförenkl</w:t>
      </w:r>
      <w:r w:rsidRPr="006C40C1">
        <w:t>ingar som Småföretagsdelegationen föreslår bör snarast genomföras. Kristdemokraterna presenterar tillsammans med de övriga borgerliga partierna ett program inom olika områden för att öka företagandet. För att stimulera byggandet föreslår motionärerna en halvering av byggmomsen.</w:t>
      </w:r>
    </w:p>
    <w:p w:rsidR="00AA5D77" w:rsidRPr="006C40C1" w:rsidRDefault="00AA5D77">
      <w:pPr>
        <w:pStyle w:val="Normaltindrag"/>
      </w:pPr>
      <w:r w:rsidRPr="006C40C1">
        <w:t>Motionärerna anför vidare att regeringens okänsliga budgetsanering har drabbat pensionärerna hårt genom bl.a. nedskärningar, brister inom äldrevå</w:t>
      </w:r>
      <w:r w:rsidRPr="006C40C1">
        <w:t>r</w:t>
      </w:r>
      <w:r w:rsidRPr="006C40C1">
        <w:t>den samt genom de växande vårdköerna. Motionärerna föreslår därför att bl.a. inkomstprövningen i bostadstillägget inte ska innehålla fritidsfastigheter och att omställningspensionen för efterlevande återställs fullt ut. Nästa år förbät</w:t>
      </w:r>
      <w:r w:rsidRPr="006C40C1">
        <w:t>t</w:t>
      </w:r>
      <w:r w:rsidRPr="006C40C1">
        <w:t>ras pensionärernas situation genom förslaget om en höjning av grundavdrag, vilken bl.a. ger de sämst ställda pensionärerna 1 000 kr mer i månaden. Vå</w:t>
      </w:r>
      <w:r w:rsidRPr="006C40C1">
        <w:t>r</w:t>
      </w:r>
      <w:r w:rsidRPr="006C40C1">
        <w:t xml:space="preserve">den, skolan och omsorgen tillförs ytterligare resurser genom att resurserna till kommunsektorn ökar med 3,5 miljarder kronor </w:t>
      </w:r>
      <w:r w:rsidRPr="006C40C1">
        <w:t>de närmaste två åren utöver regeringens förslag. Dessutom tillförs landstingen ytterligare 1 miljard kronor under perioden genom den nationella vårdgaranti motionärerna vill införa från årsskiftet. Som delar i ett program för att minska sjukfrånvaron och öka hälsan föreslås att en ny samordnad rehabiliteringsförsäkring enligt den m</w:t>
      </w:r>
      <w:r w:rsidRPr="006C40C1">
        <w:t>o</w:t>
      </w:r>
      <w:r w:rsidRPr="006C40C1">
        <w:t>dell som presenterades i Rehabiliteringsutredningen införs. För detta ändamål avsätts omkring 4 miljarder kronor under 2003 och 2004. Vidare utökas st</w:t>
      </w:r>
      <w:r w:rsidRPr="006C40C1">
        <w:t>ö</w:t>
      </w:r>
      <w:r w:rsidRPr="006C40C1">
        <w:t>det till anhörig vårdare. S</w:t>
      </w:r>
      <w:r w:rsidRPr="006C40C1">
        <w:t>jukvårdens kostnader för trafikolycksfall bör föras över på den obligatoriska trafikförsäkringen.</w:t>
      </w:r>
    </w:p>
    <w:p w:rsidR="00AA5D77" w:rsidRPr="006C40C1" w:rsidRDefault="00AA5D77">
      <w:pPr>
        <w:pStyle w:val="Normaltindrag"/>
      </w:pPr>
      <w:r w:rsidRPr="006C40C1">
        <w:t>För att förbättra den snabbt förfallande väg- och järnvägsstrukturen satsas under de närmaste två åren 4,3 miljarder kronor utöver regeringens förslag. Resurserna ska användas för både investeringar och underhåll. Motionärerna vill som en långsiktig finansieringsmetod för investeringar införa ett program med partnerskap med den privata sektorn, s.k. PPP-finansiering (Public-Private Partnership). Motionärerna fö</w:t>
      </w:r>
      <w:r w:rsidRPr="006C40C1">
        <w:t>reslår också satsningar för att återup</w:t>
      </w:r>
      <w:r w:rsidRPr="006C40C1">
        <w:t>p</w:t>
      </w:r>
      <w:r w:rsidRPr="006C40C1">
        <w:t>rätta rättsväsendet. Det handlar om att utveckla och säkerställa närpolisver</w:t>
      </w:r>
      <w:r w:rsidRPr="006C40C1">
        <w:t>k</w:t>
      </w:r>
      <w:r w:rsidRPr="006C40C1">
        <w:t>samheten, stärka åklagar- och domstolsväsendena, öka kriminalvårdens resu</w:t>
      </w:r>
      <w:r w:rsidRPr="006C40C1">
        <w:t>r</w:t>
      </w:r>
      <w:r w:rsidRPr="006C40C1">
        <w:t>ser och en intensifiering av det brottsförebyggande arbetet. Biståndsmålet bör enligt motionärerna nås snabbare än vad regeringen räknar med.</w:t>
      </w:r>
    </w:p>
    <w:p w:rsidR="00AA5D77" w:rsidRPr="006C40C1" w:rsidRDefault="00AA5D77">
      <w:pPr>
        <w:pStyle w:val="Normaltindrag"/>
      </w:pPr>
      <w:r w:rsidRPr="006C40C1">
        <w:t>Kristdemokraterna kritiserar regeringen för valet av samarbetspartier. Vänsterpartiet och Miljöpartiet är av tradition negativa till ekonomisk tillväxt, och deras inflytande över r</w:t>
      </w:r>
      <w:r w:rsidRPr="006C40C1">
        <w:t>egeringspolitiken har ytterligare ökat osäkerheten om regeringens ekonomiska kurs och regeringens förmåga att göra någonting åt ekonomins grundläggande strukturella problem.</w:t>
      </w:r>
    </w:p>
    <w:p w:rsidR="00AA5D77" w:rsidRPr="006C40C1" w:rsidRDefault="00AA5D77">
      <w:pPr>
        <w:pStyle w:val="Normaltindrag"/>
      </w:pPr>
      <w:r w:rsidRPr="006C40C1">
        <w:t>Dagens familjepolitik har, enligt motionärerna, stora brister ur både valfr</w:t>
      </w:r>
      <w:r w:rsidRPr="006C40C1">
        <w:t>i</w:t>
      </w:r>
      <w:r w:rsidRPr="006C40C1">
        <w:t>hets- och fördelningssynvinkel. Införandet av maxtaxan har ökat orättvisorna genom att taxan gynnar de mest välbeställda samtidigt som valfriheten och kvaliteten i barnomsorgen minskar. Familjepolitiken måste reformeras för att öka valfriheten och rättvisan. Ett barnomsorgskonto på 80 000 kr per år för barn som fyllt ett år bör införas. Kontot ska ej vara skattepliktigt men trappas av i förhållande till hur mycket kommunal barnomsorg som utnyttjas. Halvtid på daghem ger halvt belopp på kontot etc. Vidare b</w:t>
      </w:r>
      <w:r w:rsidRPr="006C40C1">
        <w:t>ör barnfamiljernas ekon</w:t>
      </w:r>
      <w:r w:rsidRPr="006C40C1">
        <w:t>o</w:t>
      </w:r>
      <w:r w:rsidRPr="006C40C1">
        <w:t>mi stärkas genom att ersättningsnivån i föräldraförsäkringen höjs till 90 % samtidigt som taket för ersättning höjs till elva prisbasbelopp och den s.k. garantinivån i försäkringen till 200 kr per dag. Bostadsbidragen för de sämst ställda barnfamiljerna bör förbättras och reglerna för beräkning av den sju</w:t>
      </w:r>
      <w:r w:rsidRPr="006C40C1">
        <w:t>k</w:t>
      </w:r>
      <w:r w:rsidRPr="006C40C1">
        <w:t>penninggrundande inkomsten förändras. Fr.o.m. hösten 2004 bör också st</w:t>
      </w:r>
      <w:r w:rsidRPr="006C40C1">
        <w:t>u</w:t>
      </w:r>
      <w:r w:rsidRPr="006C40C1">
        <w:t>diebidr</w:t>
      </w:r>
      <w:r w:rsidRPr="006C40C1">
        <w:t>a</w:t>
      </w:r>
      <w:r w:rsidRPr="006C40C1">
        <w:t>gen och studiemedlen höjas.</w:t>
      </w:r>
    </w:p>
    <w:p w:rsidR="00AA5D77" w:rsidRPr="006C40C1" w:rsidRDefault="00AA5D77">
      <w:pPr>
        <w:pStyle w:val="Normaltindrag"/>
      </w:pPr>
      <w:r w:rsidRPr="006C40C1">
        <w:t>Enligt motionärerna bör socialförsäkringssystemen reformeras och u</w:t>
      </w:r>
      <w:r w:rsidRPr="006C40C1">
        <w:t>t</w:t>
      </w:r>
      <w:r w:rsidRPr="006C40C1">
        <w:t xml:space="preserve">vecklas mer mot fonderade system. För att även se över marginaleffekterna i skatte- och socialförsäkringssystemen bör överläggningar ske mellan de fem partier som står bakom pensionsreformen. </w:t>
      </w:r>
    </w:p>
    <w:p w:rsidR="00AA5D77" w:rsidRPr="006C40C1" w:rsidRDefault="00AA5D77">
      <w:pPr>
        <w:pStyle w:val="Normaltindrag"/>
      </w:pPr>
      <w:r w:rsidRPr="006C40C1">
        <w:t>Sverige bör delta i EMU fullt ut och för att minska statsfinansernas ko</w:t>
      </w:r>
      <w:r w:rsidRPr="006C40C1">
        <w:t>n</w:t>
      </w:r>
      <w:r w:rsidRPr="006C40C1">
        <w:t>junkturkänslighet bör statsskulden avbetalas i en snabbare takt än vad rege</w:t>
      </w:r>
      <w:r w:rsidRPr="006C40C1">
        <w:t>r</w:t>
      </w:r>
      <w:r w:rsidRPr="006C40C1">
        <w:t>ingen föreslår, bl.a. genom att fler statliga företag säljs ut. En sådan utförsäl</w:t>
      </w:r>
      <w:r w:rsidRPr="006C40C1">
        <w:t>j</w:t>
      </w:r>
      <w:r w:rsidRPr="006C40C1">
        <w:t>ning motiveras också av att staten måste renodla sin roll. Under 2003 och 2004 bör statliga företag för motsvarande 30 miljarder kronor respektive 60 miljarder kronor säljas ut, över regeringens planer.</w:t>
      </w:r>
    </w:p>
    <w:p w:rsidR="00AA5D77" w:rsidRPr="006C40C1" w:rsidRDefault="00AA5D77">
      <w:pPr>
        <w:pStyle w:val="Normaltindrag"/>
      </w:pPr>
      <w:r w:rsidRPr="006C40C1">
        <w:t>För att bl.a. finansiera satsningar och skatteförändringar föreslås besp</w:t>
      </w:r>
      <w:r w:rsidRPr="006C40C1">
        <w:t>a</w:t>
      </w:r>
      <w:r w:rsidRPr="006C40C1">
        <w:t>ringar motsvarande 36 miljarder kronor netto 2004, bl.a. genom en ytterligare karensdag i sjukförsäkringen kompletterad med ett högriskskydd, ökad ege</w:t>
      </w:r>
      <w:r w:rsidRPr="006C40C1">
        <w:t>n</w:t>
      </w:r>
      <w:r w:rsidRPr="006C40C1">
        <w:t>finansiering i arbetslöshetsförsäkringen och ändrade beräkningsregler för den sjukpenninggrundande inkomsten i sjuk- och föräldraförsäkringen. I sitt bu</w:t>
      </w:r>
      <w:r w:rsidRPr="006C40C1">
        <w:t>d</w:t>
      </w:r>
      <w:r w:rsidRPr="006C40C1">
        <w:t>getalternativ redovisar motionärerna ett utgiftstak för staten som för både 2003 och 2004 ligger under regeringens förslag i budgetpropositionen (y</w:t>
      </w:r>
      <w:r w:rsidRPr="006C40C1">
        <w:t>r</w:t>
      </w:r>
      <w:r w:rsidRPr="006C40C1">
        <w:t xml:space="preserve">kandena 1–3). </w:t>
      </w:r>
    </w:p>
    <w:p w:rsidR="00AA5D77" w:rsidRPr="006C40C1" w:rsidRDefault="00AA5D77">
      <w:r w:rsidRPr="006C40C1">
        <w:t xml:space="preserve">I </w:t>
      </w:r>
      <w:r w:rsidRPr="006C40C1">
        <w:rPr>
          <w:i/>
        </w:rPr>
        <w:t>Centerpartiets motion Fi234</w:t>
      </w:r>
      <w:r w:rsidRPr="006C40C1">
        <w:t xml:space="preserve"> anförs att utvecklingen under de senaste åren gått i fel riktning. Löneklyftorna mellan män och kvinnor har ökat samtidigt som en stor del av invandrarna trots flera års högkonjunktur fortfarande står utanför arbetsmarknaden. Under de senaste fem åren har sjukskrivningarna fördubblats, och 90 % av Sveriges yta är avfolkningsområden. Den regionala och sociala klyvningen av samhället har tilltagit.</w:t>
      </w:r>
    </w:p>
    <w:p w:rsidR="00AA5D77" w:rsidRPr="006C40C1" w:rsidRDefault="00AA5D77">
      <w:pPr>
        <w:pStyle w:val="Normaltindrag"/>
      </w:pPr>
      <w:r w:rsidRPr="006C40C1">
        <w:t>Enligt motionärerna visar utvecklingen i Finland att den svenska ekon</w:t>
      </w:r>
      <w:r w:rsidRPr="006C40C1">
        <w:t>o</w:t>
      </w:r>
      <w:r w:rsidRPr="006C40C1">
        <w:t>miska politiken inte varit bra under de senaste åren. Hade Sverige haft en liknande utveckling som Finland under 1990-talet skulle Sveriges BNP nu vara mer än 200 miljarder kronor högre. I stället för att under högkonjunktu</w:t>
      </w:r>
      <w:r w:rsidRPr="006C40C1">
        <w:t>r</w:t>
      </w:r>
      <w:r w:rsidRPr="006C40C1">
        <w:t>åren fortsätta med den långsiktiga omstruktureringen av den svenska ekon</w:t>
      </w:r>
      <w:r w:rsidRPr="006C40C1">
        <w:t>o</w:t>
      </w:r>
      <w:r w:rsidRPr="006C40C1">
        <w:t>min för att göra ekonomin mer robust och mindre känslig för konjunktu</w:t>
      </w:r>
      <w:r w:rsidRPr="006C40C1">
        <w:t>r</w:t>
      </w:r>
      <w:r w:rsidRPr="006C40C1">
        <w:t>svängningar har regeringen enögt satsat på fördelningspolitik som leder till försvagade offentliga finanser. Speciellt tydligt har detta varit u</w:t>
      </w:r>
      <w:r w:rsidRPr="006C40C1">
        <w:t>nder 2002. Långsiktiga tillväxtfrämjande åtgärder har lyst med sin frånvaro medan sat</w:t>
      </w:r>
      <w:r w:rsidRPr="006C40C1">
        <w:t>s</w:t>
      </w:r>
      <w:r w:rsidRPr="006C40C1">
        <w:t>ningarna varit koncentrerade till kortfristiga köpkraftsstimulanser som pe</w:t>
      </w:r>
      <w:r w:rsidRPr="006C40C1">
        <w:t>r</w:t>
      </w:r>
      <w:r w:rsidRPr="006C40C1">
        <w:t>manent ökat de offentliga kos</w:t>
      </w:r>
      <w:r w:rsidRPr="006C40C1">
        <w:t>t</w:t>
      </w:r>
      <w:r w:rsidRPr="006C40C1">
        <w:t>naderna.</w:t>
      </w:r>
    </w:p>
    <w:p w:rsidR="00AA5D77" w:rsidRPr="006C40C1" w:rsidRDefault="00AA5D77">
      <w:pPr>
        <w:pStyle w:val="Normaltindrag"/>
      </w:pPr>
      <w:r w:rsidRPr="006C40C1">
        <w:t>Det viktigaste målet med den ekonomiska politiken och finanspolitiken är enligt motionärerna att stärka och förbättra Sveriges långsiktiga tillväxtfö</w:t>
      </w:r>
      <w:r w:rsidRPr="006C40C1">
        <w:t>r</w:t>
      </w:r>
      <w:r w:rsidRPr="006C40C1">
        <w:t>måga och minska statsfinansernas konjunkturkänslighet. Med rätt ekonomisk politik kan Sverige följa det finländska exemplet och växla över till ett spår med snabbare tillväxt och bibehållen välfärdsstat. Viktiga inriktningar av den ekonomiska politiken är att sänka skatterna på låga och medelstora inkomster, minska de offentliga utgifterna och öka den lokala beslutandemakten över de ekonomiska resurserna. Det förtroendekapital för de svenska statsfinanserna som med stor möda byggts upp sedan mitten av 1990</w:t>
      </w:r>
      <w:r w:rsidRPr="006C40C1">
        <w:t>-talet får inte förskin</w:t>
      </w:r>
      <w:r w:rsidRPr="006C40C1">
        <w:t>g</w:t>
      </w:r>
      <w:r w:rsidRPr="006C40C1">
        <w:t xml:space="preserve">ras. I motionen presenteras ett reformprogram för att förnya Sverige. Några av punkterna i programmet är:   </w:t>
      </w:r>
    </w:p>
    <w:p w:rsidR="00AA5D77" w:rsidRPr="006C40C1" w:rsidRDefault="00AA5D77">
      <w:pPr>
        <w:tabs>
          <w:tab w:val="num" w:pos="360"/>
        </w:tabs>
        <w:ind w:left="360" w:hanging="360"/>
      </w:pPr>
      <w:r w:rsidRPr="006C40C1">
        <w:sym w:font="Symbol" w:char="F0B7"/>
      </w:r>
      <w:r w:rsidRPr="006C40C1">
        <w:tab/>
      </w:r>
      <w:r w:rsidRPr="006C40C1">
        <w:rPr>
          <w:b/>
        </w:rPr>
        <w:t xml:space="preserve">Ökat självbestämmande. </w:t>
      </w:r>
      <w:r w:rsidRPr="006C40C1">
        <w:t>För att öka självbestämmandet, uppmuntra företagandet och minska marginaleffekterna föreslås en inkomstskatter</w:t>
      </w:r>
      <w:r w:rsidRPr="006C40C1">
        <w:t>e</w:t>
      </w:r>
      <w:r w:rsidRPr="006C40C1">
        <w:t>form. Skatten sänks för framför allt medel- och låginkomsttagare genom en skatterabatt på 10 000 kr, lika för alla, och en särskild förvärvsrabatt på högst 10 800 kr. Förvärvsrabatten fasas in för att undvika marginale</w:t>
      </w:r>
      <w:r w:rsidRPr="006C40C1">
        <w:t>f</w:t>
      </w:r>
      <w:r w:rsidRPr="006C40C1">
        <w:t>fekter. Vidare bör beskattningen av boendet sänkas genom lägre tax</w:t>
      </w:r>
      <w:r w:rsidRPr="006C40C1">
        <w:t>e</w:t>
      </w:r>
      <w:r w:rsidRPr="006C40C1">
        <w:t>ringsvärden 2003 via en s.k. medianvärdesberäkning och genom att skattesatsen sänks 2004. F</w:t>
      </w:r>
      <w:r w:rsidRPr="006C40C1">
        <w:t>örmögenhetsskatten sänks genom bl.a. slopad sambeskattning och genom att endast halva taxeringsunderlaget ska ingå i förmögenhetsbeskattningen. En skattereduktion på hushållstjänster i</w:t>
      </w:r>
      <w:r w:rsidRPr="006C40C1">
        <w:t>n</w:t>
      </w:r>
      <w:r w:rsidRPr="006C40C1">
        <w:t>förs (reduktionen ska även omfatta s.k. ROT-arbeten) och reseavdraget höjs och inkluderar resor till och från barnomsorg. Vidare införs en skattereduktion för den höjning av a-kasseavgiften som föreslås i moti</w:t>
      </w:r>
      <w:r w:rsidRPr="006C40C1">
        <w:t>o</w:t>
      </w:r>
      <w:r w:rsidRPr="006C40C1">
        <w:t>nen. Barnfamiljernas självbestämmande ökas ytterligare genom att bar</w:t>
      </w:r>
      <w:r w:rsidRPr="006C40C1">
        <w:t>n</w:t>
      </w:r>
      <w:r w:rsidRPr="006C40C1">
        <w:t>bidraget för barn i åldrarna ett till fem år för</w:t>
      </w:r>
      <w:r w:rsidRPr="006C40C1">
        <w:t>dubblas fram till 2006 och att föräldrarna ges lagstadgad rätt att jobba halvtid under barnets första åtta år. Golvet och taket i föräldraförsäkringen och ersättningen under gara</w:t>
      </w:r>
      <w:r w:rsidRPr="006C40C1">
        <w:t>n</w:t>
      </w:r>
      <w:r w:rsidRPr="006C40C1">
        <w:t>tidagarna höjs. Samtidigt föreslås en jämställdhetsbonus för föräldrar som delar på föräldraledigheten. Sammantaget föreslås skattesänkningar som under 2004 uppgår till netto 40 miljarder kronor</w:t>
      </w:r>
      <w:r w:rsidRPr="006C40C1">
        <w:rPr>
          <w:i/>
        </w:rPr>
        <w:t>.</w:t>
      </w:r>
      <w:r w:rsidRPr="006C40C1">
        <w:t xml:space="preserve"> Som ett led i ökat självbestämmande föreslås också särskilda satsningar på rättsväsendet genom bl.a. ökade resurser till Polisen och Brot</w:t>
      </w:r>
      <w:r w:rsidRPr="006C40C1">
        <w:t>tsförebyggande rådet och skolan genom bl.a. fler lärare, införandet av en individuell kunskapsrätt och ett nationellt kvalitetsinstitut för att garantera kvaliteten i alla skolor. Vidare satsas resurser för att uppmuntra kvinnligt företagande, och för att minska lönediskrimineringen föreslås att mål i ärendet flyttas från A</w:t>
      </w:r>
      <w:r w:rsidRPr="006C40C1">
        <w:t>r</w:t>
      </w:r>
      <w:r w:rsidRPr="006C40C1">
        <w:t>betsdomstolen till allmän do</w:t>
      </w:r>
      <w:r w:rsidRPr="006C40C1">
        <w:t>m</w:t>
      </w:r>
      <w:r w:rsidRPr="006C40C1">
        <w:t>stol.</w:t>
      </w:r>
    </w:p>
    <w:p w:rsidR="00AA5D77" w:rsidRPr="006C40C1" w:rsidRDefault="00AA5D77">
      <w:pPr>
        <w:tabs>
          <w:tab w:val="num" w:pos="360"/>
        </w:tabs>
        <w:ind w:left="360" w:hanging="360"/>
      </w:pPr>
      <w:r w:rsidRPr="006C40C1">
        <w:sym w:font="Symbol" w:char="F0B7"/>
      </w:r>
      <w:r w:rsidRPr="006C40C1">
        <w:tab/>
      </w:r>
      <w:r w:rsidRPr="006C40C1">
        <w:rPr>
          <w:b/>
        </w:rPr>
        <w:t xml:space="preserve">Satsning på företagande. </w:t>
      </w:r>
      <w:r w:rsidRPr="006C40C1">
        <w:t>Arbetsgivaravgifterna bör fortsätta att sänkas och arbetet med att förenkla det regelverk som omger företagandet måste ta fart på allvar – 25 % av befintliga regler bör tas bort. Kvinnors föret</w:t>
      </w:r>
      <w:r w:rsidRPr="006C40C1">
        <w:t>a</w:t>
      </w:r>
      <w:r w:rsidRPr="006C40C1">
        <w:t>gande ska uppmuntras genom bl.a. s.k. mikrolån och resurser till affär</w:t>
      </w:r>
      <w:r w:rsidRPr="006C40C1">
        <w:t>s</w:t>
      </w:r>
      <w:r w:rsidRPr="006C40C1">
        <w:t>rådgivare och ett speciellt resurscentrum för kvinnliga företagare. Vidare bör ett riskkapitalavdrag och ett starta-eget-sparande införas. Beskat</w:t>
      </w:r>
      <w:r w:rsidRPr="006C40C1">
        <w:t>t</w:t>
      </w:r>
      <w:r w:rsidRPr="006C40C1">
        <w:t>ningen av förluster vid andelsbyten tas bort och arvsskatten på arbetande k</w:t>
      </w:r>
      <w:r w:rsidRPr="006C40C1">
        <w:t>apital i fåmansbolag slopas. Som ett led i en miljödriven tillväxt höjs skatten på utsläpp av kväveoxid och koldioxid i industrin och skatten på förbränning av osorterat avfall. Det svenska jordbrukets konkurrenskraft förstärks bl.a. genom att diesel- och kväveskatterna i jordbruket sänks och skatten på handelsgödsel slopas. Omställning till ekologiskt jordbruk stimuleras genom bl.a. stimulans av fånggrödor. Under 2004 bör ett p</w:t>
      </w:r>
      <w:r w:rsidRPr="006C40C1">
        <w:t>i</w:t>
      </w:r>
      <w:r w:rsidRPr="006C40C1">
        <w:t>lotprojekt med biodrivmedel genomföras. Projektet bör finansieras g</w:t>
      </w:r>
      <w:r w:rsidRPr="006C40C1">
        <w:t>e</w:t>
      </w:r>
      <w:r w:rsidRPr="006C40C1">
        <w:t>nom en skat</w:t>
      </w:r>
      <w:r w:rsidRPr="006C40C1">
        <w:t>tereduktion.</w:t>
      </w:r>
    </w:p>
    <w:p w:rsidR="00AA5D77" w:rsidRPr="006C40C1" w:rsidRDefault="00AA5D77">
      <w:pPr>
        <w:tabs>
          <w:tab w:val="num" w:pos="360"/>
        </w:tabs>
        <w:ind w:left="360" w:hanging="360"/>
      </w:pPr>
      <w:r w:rsidRPr="006C40C1">
        <w:sym w:font="Symbol" w:char="F0B7"/>
      </w:r>
      <w:r w:rsidRPr="006C40C1">
        <w:tab/>
      </w:r>
      <w:r w:rsidRPr="006C40C1">
        <w:rPr>
          <w:b/>
        </w:rPr>
        <w:t xml:space="preserve">Arbetsmarknaden. </w:t>
      </w:r>
      <w:r w:rsidRPr="006C40C1">
        <w:t>För att få ned arbetslösheten måste arbetsmarknad</w:t>
      </w:r>
      <w:r w:rsidRPr="006C40C1">
        <w:t>s</w:t>
      </w:r>
      <w:r w:rsidRPr="006C40C1">
        <w:t>politiken förnyas och decentraliseras för att bl.a. minska den sociala och regionala klyvningen i samhället. En rätt till utbildning bör införas, ine</w:t>
      </w:r>
      <w:r w:rsidRPr="006C40C1">
        <w:t>f</w:t>
      </w:r>
      <w:r w:rsidRPr="006C40C1">
        <w:t>fektiva volymåtgärder i AMS regi bör fasas ut och större vikt bör läggas på mer individanpassade utbildningar och yrkesutbildningar. Vidare bör s.k. övergångsarbetsmarknader inrättas. På dessa marknader ska arbet</w:t>
      </w:r>
      <w:r w:rsidRPr="006C40C1">
        <w:t>s</w:t>
      </w:r>
      <w:r w:rsidRPr="006C40C1">
        <w:t>kraften vara billigare genom en återföring av arbetsgivaravgifterna. A</w:t>
      </w:r>
      <w:r w:rsidRPr="006C40C1">
        <w:t>r</w:t>
      </w:r>
      <w:r w:rsidRPr="006C40C1">
        <w:t>betskrafts</w:t>
      </w:r>
      <w:r w:rsidRPr="006C40C1">
        <w:t>invandringen bör tillåtas öka för att Sverige ska klara framt</w:t>
      </w:r>
      <w:r w:rsidRPr="006C40C1">
        <w:t>i</w:t>
      </w:r>
      <w:r w:rsidRPr="006C40C1">
        <w:t>dens arbetskraftsbehov. Enligt motionärerna bör omställningsmomentet i arbetslöshetsförsäkringen tydliggöras genom en successiv avtrappning av ersättningen. Dessutom bör en allmän arbetslöshetsförsäkring införas med ökad självfinansiering</w:t>
      </w:r>
      <w:r w:rsidRPr="006C40C1">
        <w:t>s</w:t>
      </w:r>
      <w:r w:rsidRPr="006C40C1">
        <w:t>grad.</w:t>
      </w:r>
    </w:p>
    <w:p w:rsidR="00AA5D77" w:rsidRPr="006C40C1" w:rsidRDefault="00AA5D77">
      <w:pPr>
        <w:tabs>
          <w:tab w:val="num" w:pos="360"/>
        </w:tabs>
        <w:ind w:left="360" w:hanging="360"/>
      </w:pPr>
      <w:r w:rsidRPr="006C40C1">
        <w:sym w:font="Symbol" w:char="F0B7"/>
      </w:r>
      <w:r w:rsidRPr="006C40C1">
        <w:tab/>
      </w:r>
      <w:r w:rsidRPr="006C40C1">
        <w:rPr>
          <w:b/>
        </w:rPr>
        <w:t xml:space="preserve">Lika villkor genom bra kommunikationer. </w:t>
      </w:r>
      <w:r w:rsidRPr="006C40C1">
        <w:t>För att öka livskraften i hela Sverige föreslås en extra satsning utöver regeringens på kommun</w:t>
      </w:r>
      <w:r w:rsidRPr="006C40C1">
        <w:t>i</w:t>
      </w:r>
      <w:r w:rsidRPr="006C40C1">
        <w:t>kationer, främst för drift och underhåll av vägnätet. Dessutom bör en d</w:t>
      </w:r>
      <w:r w:rsidRPr="006C40C1">
        <w:t>i</w:t>
      </w:r>
      <w:r w:rsidRPr="006C40C1">
        <w:t xml:space="preserve">gital allemansrätt införas som gör att den digitala infrastrukturen kommer alla till del. </w:t>
      </w:r>
    </w:p>
    <w:p w:rsidR="00AA5D77" w:rsidRPr="006C40C1" w:rsidRDefault="00AA5D77">
      <w:pPr>
        <w:tabs>
          <w:tab w:val="num" w:pos="360"/>
        </w:tabs>
        <w:ind w:left="360" w:hanging="360"/>
      </w:pPr>
      <w:r w:rsidRPr="006C40C1">
        <w:sym w:font="Symbol" w:char="F0B7"/>
      </w:r>
      <w:r w:rsidRPr="006C40C1">
        <w:tab/>
      </w:r>
      <w:r w:rsidRPr="006C40C1">
        <w:rPr>
          <w:b/>
        </w:rPr>
        <w:t>Åtgärder mot ohälsan.</w:t>
      </w:r>
      <w:r w:rsidRPr="006C40C1">
        <w:t xml:space="preserve"> För att bekämpa de rekordhöga sjukskrivninga</w:t>
      </w:r>
      <w:r w:rsidRPr="006C40C1">
        <w:t>r</w:t>
      </w:r>
      <w:r w:rsidRPr="006C40C1">
        <w:t>na, som gröper hål i statsfinanserna och sänker produktiviteten i offentlig och privat sektor, måste kraftfulla åtgärder vidtas. Delmål bör vara att sjukskrivningarna ska minska med 20 % till 2004 och 40 % 2006. Enligt motionärerna bör de satsningar som Rehabiliteringsutredningen föresl</w:t>
      </w:r>
      <w:r w:rsidRPr="006C40C1">
        <w:t>a</w:t>
      </w:r>
      <w:r w:rsidRPr="006C40C1">
        <w:t xml:space="preserve">git genomföras. En rätt till rehabilitering och en ny nationell vårdgaranti bör införas. Dagens sjuk- och arbetsskadeförsäkring bör samordnas i en ny sjuk- </w:t>
      </w:r>
      <w:r w:rsidRPr="006C40C1">
        <w:t>och rehabiliteringsförsäkring. Motionärerna föreslår också ett nytt system med differentierat arbetsgivaransvar, i vilken arbetsgivarens ansvar för sjukersättningen ställs i relation till antalet a</w:t>
      </w:r>
      <w:r w:rsidRPr="006C40C1">
        <w:t>n</w:t>
      </w:r>
      <w:r w:rsidRPr="006C40C1">
        <w:t>ställda.</w:t>
      </w:r>
    </w:p>
    <w:p w:rsidR="00AA5D77" w:rsidRPr="006C40C1" w:rsidRDefault="00AA5D77">
      <w:pPr>
        <w:tabs>
          <w:tab w:val="num" w:pos="360"/>
        </w:tabs>
        <w:ind w:left="360" w:hanging="360"/>
      </w:pPr>
      <w:r w:rsidRPr="006C40C1">
        <w:sym w:font="Symbol" w:char="F0B7"/>
      </w:r>
      <w:r w:rsidRPr="006C40C1">
        <w:tab/>
      </w:r>
      <w:r w:rsidRPr="006C40C1">
        <w:rPr>
          <w:b/>
        </w:rPr>
        <w:t>Högre utbildning och forskning.</w:t>
      </w:r>
      <w:r w:rsidRPr="006C40C1">
        <w:t xml:space="preserve"> Kunskaper är viktiga för tillväxten och välfärden. Målet bör enligt motionärerna vara att skapa ett decentr</w:t>
      </w:r>
      <w:r w:rsidRPr="006C40C1">
        <w:t>a</w:t>
      </w:r>
      <w:r w:rsidRPr="006C40C1">
        <w:t>liserat kunskapssamhälle, där utbildningen når alla människor i alla delar av landet och under hela livet. Social snedrekrytering ska motverkas g</w:t>
      </w:r>
      <w:r w:rsidRPr="006C40C1">
        <w:t>e</w:t>
      </w:r>
      <w:r w:rsidRPr="006C40C1">
        <w:t>nom bl.a. ett nytt studiemedelssystem där lån och bidrag utgör vardera 50 %. För att säkra kvaliteten och stärka forskningen runt om i landet f</w:t>
      </w:r>
      <w:r w:rsidRPr="006C40C1">
        <w:t>ö</w:t>
      </w:r>
      <w:r w:rsidRPr="006C40C1">
        <w:t>reslås en ökning av forskningsresurserna. Hälften av medlen ska reserv</w:t>
      </w:r>
      <w:r w:rsidRPr="006C40C1">
        <w:t>e</w:t>
      </w:r>
      <w:r w:rsidRPr="006C40C1">
        <w:t>ras för fo</w:t>
      </w:r>
      <w:r w:rsidRPr="006C40C1">
        <w:t>rskning vid de nya universiteten och vid landets högskolor.</w:t>
      </w:r>
    </w:p>
    <w:p w:rsidR="00AA5D77" w:rsidRPr="006C40C1" w:rsidRDefault="00AA5D77">
      <w:pPr>
        <w:tabs>
          <w:tab w:val="num" w:pos="360"/>
        </w:tabs>
        <w:ind w:left="360" w:hanging="360"/>
        <w:rPr>
          <w:b/>
        </w:rPr>
      </w:pPr>
      <w:r w:rsidRPr="006C40C1">
        <w:sym w:font="Symbol" w:char="F0B7"/>
      </w:r>
      <w:r w:rsidRPr="006C40C1">
        <w:tab/>
      </w:r>
      <w:r w:rsidRPr="006C40C1">
        <w:rPr>
          <w:b/>
        </w:rPr>
        <w:t>Livskraft i hela landet.</w:t>
      </w:r>
      <w:r w:rsidRPr="006C40C1">
        <w:t xml:space="preserve"> En hög och hållbar tillväxt förutsätter att hela landet bidrar. De satsningar på kommunikation, en heltäckande digital infrastruktur, forskning och utbildning i hela landet och skatteförän</w:t>
      </w:r>
      <w:r w:rsidRPr="006C40C1">
        <w:t>d</w:t>
      </w:r>
      <w:r w:rsidRPr="006C40C1">
        <w:t>ringar som presenterats ovan bidrar till att stärka villkoren i alla delar av landet. Dessutom bör, enligt motionärerna, kommunernas och landstin</w:t>
      </w:r>
      <w:r w:rsidRPr="006C40C1">
        <w:t>g</w:t>
      </w:r>
      <w:r w:rsidRPr="006C40C1">
        <w:t>ens makt över utvecklingsmedel öka och resurserna för landsbygdens näringsliv utökas. Olika statliga verksamheter bör, helt eller delvis, utl</w:t>
      </w:r>
      <w:r w:rsidRPr="006C40C1">
        <w:t>o</w:t>
      </w:r>
      <w:r w:rsidRPr="006C40C1">
        <w:t>kaliseras</w:t>
      </w:r>
      <w:r w:rsidRPr="006C40C1">
        <w:t xml:space="preserve"> samtidigt som statliga bolag och verksamheter som Posten, Apoteket och Systembolaget bör åläggas att garantera en grundläggande se</w:t>
      </w:r>
      <w:r w:rsidRPr="006C40C1">
        <w:t>r</w:t>
      </w:r>
      <w:r w:rsidRPr="006C40C1">
        <w:t>vice.</w:t>
      </w:r>
    </w:p>
    <w:p w:rsidR="00AA5D77" w:rsidRPr="006C40C1" w:rsidRDefault="00AA5D77">
      <w:pPr>
        <w:tabs>
          <w:tab w:val="num" w:pos="360"/>
        </w:tabs>
        <w:ind w:left="360" w:hanging="360"/>
      </w:pPr>
      <w:r w:rsidRPr="006C40C1">
        <w:sym w:font="Symbol" w:char="F0B7"/>
      </w:r>
      <w:r w:rsidRPr="006C40C1">
        <w:tab/>
      </w:r>
      <w:r w:rsidRPr="006C40C1">
        <w:rPr>
          <w:b/>
        </w:rPr>
        <w:t xml:space="preserve">Ökat internationellt engagemang. </w:t>
      </w:r>
      <w:r w:rsidRPr="006C40C1">
        <w:t>Grogrunden för terror och fund</w:t>
      </w:r>
      <w:r w:rsidRPr="006C40C1">
        <w:t>a</w:t>
      </w:r>
      <w:r w:rsidRPr="006C40C1">
        <w:t>mentalism ligger ofta i fattigdom. Motionärerna anvisar bl.a. därför extra biståndsanslag så att målet om bistånd motsvarande 1 % av BNP nås 2005. En del av satsningen bör användas till miljöarbete i Sveriges nä</w:t>
      </w:r>
      <w:r w:rsidRPr="006C40C1">
        <w:t>r</w:t>
      </w:r>
      <w:r w:rsidRPr="006C40C1">
        <w:t>område.</w:t>
      </w:r>
    </w:p>
    <w:p w:rsidR="00AA5D77" w:rsidRPr="006C40C1" w:rsidRDefault="00AA5D77">
      <w:r w:rsidRPr="006C40C1">
        <w:t>De skattesänkningar som föreslås i motionen uppgår till netto 35 miljarder kronor 2003 och 40 miljarder kronor 2004. Vidare presenteras besparingar motsvarande 38 miljarder respektive 48 miljarder kronor 2003 och 2004, bl.a. ge</w:t>
      </w:r>
      <w:r w:rsidRPr="006C40C1">
        <w:t>nom dämpade utgifter för sjukpenning, förändringar inom arbetsmarknad</w:t>
      </w:r>
      <w:r w:rsidRPr="006C40C1">
        <w:t>s</w:t>
      </w:r>
      <w:r w:rsidRPr="006C40C1">
        <w:t>politikens område samt genom ändrad inkomstbeskattning, vilken minskar behovet av kompenserande statsbidrag till kommunerna.  Motionärerna anser i anslutning till detta att en parlamentarisk kommitté bör tillsättas med uppgift att studera hur kommunernas skattebaser kan stärkas och beroendet av stat</w:t>
      </w:r>
      <w:r w:rsidRPr="006C40C1">
        <w:t>s</w:t>
      </w:r>
      <w:r w:rsidRPr="006C40C1">
        <w:t>bidrag minska. Försäljning av statlig verksamhet bör under de kommande två åren uppgå till 30 miljarder kronor respektive 50 miljarder kronor</w:t>
      </w:r>
      <w:r w:rsidRPr="006C40C1">
        <w:t xml:space="preserve"> mer för 2003 och 2004 än vad regeringen föreslår i budgetpropositionen. Till följd av konjunkturläget bör utförsäljningar under det kommandet året koncentreras till relativt konjunkturokänsliga verksamheter som t.ex. statligt skogsinnehav, fastigheter och AB Vin &amp; Sprit (yrkandena 1 och 2).</w:t>
      </w:r>
    </w:p>
    <w:p w:rsidR="00AA5D77" w:rsidRPr="006C40C1" w:rsidRDefault="00AA5D77">
      <w:pPr>
        <w:pStyle w:val="Rubrik3"/>
        <w:rPr>
          <w:noProof w:val="0"/>
        </w:rPr>
      </w:pPr>
      <w:bookmarkStart w:id="109" w:name="_Toc25302134"/>
      <w:bookmarkStart w:id="110" w:name="_Toc25375209"/>
      <w:bookmarkStart w:id="111" w:name="_Toc26191411"/>
      <w:r w:rsidRPr="006C40C1">
        <w:rPr>
          <w:noProof w:val="0"/>
        </w:rPr>
        <w:t>1.3.3 Finansutskottets ställningstagande till partimotionernas förslag till inriktning av den allmänna ekonomiska utvecklingen</w:t>
      </w:r>
      <w:bookmarkEnd w:id="109"/>
      <w:bookmarkEnd w:id="110"/>
      <w:bookmarkEnd w:id="111"/>
    </w:p>
    <w:p w:rsidR="00AA5D77" w:rsidRPr="006C40C1" w:rsidRDefault="00AA5D77">
      <w:r w:rsidRPr="006C40C1">
        <w:rPr>
          <w:i/>
        </w:rPr>
        <w:t>Utskottet</w:t>
      </w:r>
      <w:r w:rsidRPr="006C40C1">
        <w:t xml:space="preserve"> börjar med att diskutera de övergripande tillväxtfrågorna.</w:t>
      </w:r>
    </w:p>
    <w:p w:rsidR="00AA5D77" w:rsidRPr="006C40C1" w:rsidRDefault="00AA5D77">
      <w:pPr>
        <w:pStyle w:val="Normaltindrag"/>
      </w:pPr>
      <w:r w:rsidRPr="006C40C1">
        <w:t>I sin politiska argumentation använder Moderata samlingspartiet, Kristd</w:t>
      </w:r>
      <w:r w:rsidRPr="006C40C1">
        <w:t>e</w:t>
      </w:r>
      <w:r w:rsidRPr="006C40C1">
        <w:t>mokraterna, Centerpartiet och Folkpartiet liberalerna ofta det som kallas för OECD:s tillväxt- eller välfärdsliga. ”Sverige rasar i välståndsligan” är ett vanligt förekommande uttryck i de ekonomisk-politiska motionerna. Vad det handlar om är den statistik som OECD sammanställer av s.k. köpkraftskorr</w:t>
      </w:r>
      <w:r w:rsidRPr="006C40C1">
        <w:t>i</w:t>
      </w:r>
      <w:r w:rsidRPr="006C40C1">
        <w:t>gerade BNP-uppgifter per invånare. Enligt t.ex. motion Fi231 (m) har Sverige sedan 1970 halkat från en fjärde till en sjuttonde plats i välfärdsl</w:t>
      </w:r>
      <w:r w:rsidRPr="006C40C1">
        <w:t>i</w:t>
      </w:r>
      <w:r w:rsidRPr="006C40C1">
        <w:t xml:space="preserve">gan. </w:t>
      </w:r>
    </w:p>
    <w:p w:rsidR="00AA5D77" w:rsidRPr="006C40C1" w:rsidRDefault="00AA5D77">
      <w:pPr>
        <w:pStyle w:val="Normaltindrag"/>
      </w:pPr>
      <w:r w:rsidRPr="006C40C1">
        <w:t>Som utskottet påpekat vid tidigare behandlingar (senast i</w:t>
      </w:r>
      <w:r w:rsidRPr="006C40C1">
        <w:t xml:space="preserve"> bet. 2001/02: FiU20) är OECD:s statistik så pass osäker att man bör vara mycket försiktig med att dra alltför långtgående slutsatser av uppgifterna. Möjligheten till jämförelser mellan länderna är mycket begränsad, enligt bl.a. OECD:s egna uppgifter. Dessutom har måttet stora brister som mått på den ekonomiska välfärden.</w:t>
      </w:r>
    </w:p>
    <w:p w:rsidR="00AA5D77" w:rsidRPr="006C40C1" w:rsidRDefault="00AA5D77">
      <w:pPr>
        <w:pStyle w:val="Normaltindrag"/>
      </w:pPr>
      <w:r w:rsidRPr="006C40C1">
        <w:t>Utskottet har också tidigare påpekat att valet av tidsperiod har en avgöra</w:t>
      </w:r>
      <w:r w:rsidRPr="006C40C1">
        <w:t>n</w:t>
      </w:r>
      <w:r w:rsidRPr="006C40C1">
        <w:t>de betydelse för resultatet. Till exempel har Arbetarrörelsens Ekonomiska Råd (AER) i en rapport (nr 5 2000) visat att om man i stället använder 1947 som utgångsår, 1997 som slutår och BNP per invånare i åldern 15–64 år som välfärdsmått blir resultatet en allmän, mycket kraftig utjämning mellan OECD-länderna. Sveriges placering ändras under perioden från plats sex till plats åtta. Samtidigt ökade Sveriges produktionsnivå från nästan 60 % till nästan 80 % av Förenta staternas nivå.</w:t>
      </w:r>
    </w:p>
    <w:p w:rsidR="00AA5D77" w:rsidRPr="006C40C1" w:rsidRDefault="00AA5D77">
      <w:pPr>
        <w:pStyle w:val="Normaltindrag"/>
      </w:pPr>
      <w:r w:rsidRPr="006C40C1">
        <w:t xml:space="preserve">Utskottet kan emellertid </w:t>
      </w:r>
      <w:r w:rsidRPr="006C40C1">
        <w:t>utifrån t.ex. OECD:s statistik konstatera att svensk ekonomi tappat i relativ position mot andra länder under framför allt två perioder de senaste 30 åren – under andra hälften av 1970-talet och i början av 1990-talet. Den absolut största nedgången kom i början av 1990-talet då Sveriges BNP föll samtidigt som flera andra länder fortsatte att ha en positiv tillväxt.</w:t>
      </w:r>
    </w:p>
    <w:p w:rsidR="00AA5D77" w:rsidRPr="006C40C1" w:rsidRDefault="00AA5D77">
      <w:pPr>
        <w:pStyle w:val="Rubrik4"/>
        <w:spacing w:before="375"/>
        <w:rPr>
          <w:noProof w:val="0"/>
        </w:rPr>
      </w:pPr>
      <w:bookmarkStart w:id="112" w:name="_Toc10877619"/>
      <w:bookmarkStart w:id="113" w:name="_Toc25302135"/>
      <w:bookmarkStart w:id="114" w:name="_Toc26191412"/>
      <w:r w:rsidRPr="006C40C1">
        <w:rPr>
          <w:noProof w:val="0"/>
        </w:rPr>
        <w:t>Sveriges relativa  position förbättras</w:t>
      </w:r>
      <w:bookmarkEnd w:id="112"/>
      <w:bookmarkEnd w:id="113"/>
      <w:bookmarkEnd w:id="114"/>
    </w:p>
    <w:p w:rsidR="00AA5D77" w:rsidRPr="006C40C1" w:rsidRDefault="00AA5D77">
      <w:r w:rsidRPr="006C40C1">
        <w:t>I motion Fi233 (kd) redovisas en del beräkningar som anses bevisa att Sverige släpat efter i tillväxt även i slutet av 1990-talet. Sådana beräkningar är dock mycket beroende av t.ex. val av tidsperiod och val av jämförelseländer. I motionen sägs t.ex. att Sveriges BNP 2001 skulle ha varit 204 miljarder kr</w:t>
      </w:r>
      <w:r w:rsidRPr="006C40C1">
        <w:t>o</w:t>
      </w:r>
      <w:r w:rsidRPr="006C40C1">
        <w:t xml:space="preserve">nor högre om Sverige under perioden 1995–2001 hade haft samma tillväxttakt som Finland. Även Centerpartiet gör i motion Fi234 samma hänvisning och hävdar att Sverige borde följa det finländska exemplet. </w:t>
      </w:r>
    </w:p>
    <w:p w:rsidR="00AA5D77" w:rsidRPr="006C40C1" w:rsidRDefault="00AA5D77">
      <w:pPr>
        <w:pStyle w:val="Normaltindrag"/>
      </w:pPr>
      <w:r w:rsidRPr="006C40C1">
        <w:t>Enligt utskottets mening är det mycket tillfredsställande att Finland under de senaste åren haft en hög ekonomisk tillväxt. Finland är en viktig granne och handelspartner och forskning visar att svensk och finländsk konjunktu</w:t>
      </w:r>
      <w:r w:rsidRPr="006C40C1">
        <w:t>r</w:t>
      </w:r>
      <w:r w:rsidRPr="006C40C1">
        <w:t>utveckling ofta är intimt sammanvävda. Sverige har också mycket att lära av Finland på skilda områden. Men samtidigt måste man komma ihåg att Fi</w:t>
      </w:r>
      <w:r w:rsidRPr="006C40C1">
        <w:t>n</w:t>
      </w:r>
      <w:r w:rsidRPr="006C40C1">
        <w:t>lands uppgång delvis är en följd av den kraftiga nedgången i början av 1990-talet, då Finlands BNP föll betydligt mer än Sveriges. Uppgången medförde också att Finland, innan den internationella konjunkturnedgången påbörjades 2001, visade tydliga tecken på  bristsituationer på arbetsmarknaden och st</w:t>
      </w:r>
      <w:r w:rsidRPr="006C40C1">
        <w:t>i</w:t>
      </w:r>
      <w:r w:rsidRPr="006C40C1">
        <w:t xml:space="preserve">gande inflationstakt, enligt OECD:s bedömning. Till detta kommer </w:t>
      </w:r>
      <w:r w:rsidRPr="006C40C1">
        <w:t>att a</w:t>
      </w:r>
      <w:r w:rsidRPr="006C40C1">
        <w:t>r</w:t>
      </w:r>
      <w:r w:rsidRPr="006C40C1">
        <w:t>betslösheten i Finland, trots den höga tillväxttakten under 1990-talet, fortf</w:t>
      </w:r>
      <w:r w:rsidRPr="006C40C1">
        <w:t>a</w:t>
      </w:r>
      <w:r w:rsidRPr="006C40C1">
        <w:t>rande ligger kring 9 % av arbetskra</w:t>
      </w:r>
      <w:r w:rsidRPr="006C40C1">
        <w:t>f</w:t>
      </w:r>
      <w:r w:rsidRPr="006C40C1">
        <w:t>ten, en av de högsta nivåerna i EU.</w:t>
      </w:r>
    </w:p>
    <w:p w:rsidR="00AA5D77" w:rsidRPr="006C40C1" w:rsidRDefault="00AA5D77">
      <w:pPr>
        <w:pStyle w:val="Normaltindrag"/>
      </w:pPr>
      <w:r w:rsidRPr="006C40C1">
        <w:t>Enligt OECD:s statistik steg Sveriges BNP med i genomsnitt 2,8 % per år mellan åren 1995 och 2001 (inklusive tillväxttakten 1995, dvs. under sju år). Tillväxten i OECD-området ökade också med i genomsnitt 2,8 % per år under samma period, tillväxten i EU med i genomsnitt 2,5 % och tillväxten i eur</w:t>
      </w:r>
      <w:r w:rsidRPr="006C40C1">
        <w:t>o</w:t>
      </w:r>
      <w:r w:rsidRPr="006C40C1">
        <w:t>området med 2,4 % per år. Detta innebär att om Sverige under perioden hade haft samma tillväxt som EU och euroområdet i genomsnitt hade nivån på Sveriges BNP varit lägre 2001.</w:t>
      </w:r>
    </w:p>
    <w:p w:rsidR="00AA5D77" w:rsidRPr="006C40C1" w:rsidRDefault="00AA5D77">
      <w:pPr>
        <w:pStyle w:val="Normaltindrag"/>
      </w:pPr>
      <w:r w:rsidRPr="006C40C1">
        <w:t>Utskottet vill i detta sammanhang också erinra om att Sverige under första halvåret 2002 haft en tillväxttakt som varit betydligt högre än genomsnittet i EU och euroområdet. OECD räknar också i en nyligen offentliggjord prognos med att Sveriges BNP kommer att stiga med 1,7 % och 2,5 % 2002 respektive 2003, medan genomsnittet för EU k</w:t>
      </w:r>
      <w:r w:rsidRPr="006C40C1">
        <w:t>ommer stiga med 0,9 % respektive 1,9 %.</w:t>
      </w:r>
    </w:p>
    <w:p w:rsidR="00AA5D77" w:rsidRPr="006C40C1" w:rsidRDefault="00AA5D77">
      <w:pPr>
        <w:pStyle w:val="Normaltindrag"/>
      </w:pPr>
      <w:r w:rsidRPr="006C40C1">
        <w:t xml:space="preserve"> I motion Fi231 (m), men också i motionerna Fi232 (fp) och Fi233 (kd), anges att målet för den ekonomiska politiken bör vara en långsiktigt hållbar tillväxt på minst 3 % per år.</w:t>
      </w:r>
    </w:p>
    <w:p w:rsidR="00AA5D77" w:rsidRPr="006C40C1" w:rsidRDefault="00AA5D77">
      <w:pPr>
        <w:pStyle w:val="Rubrik4"/>
        <w:spacing w:before="375"/>
        <w:rPr>
          <w:noProof w:val="0"/>
        </w:rPr>
      </w:pPr>
      <w:bookmarkStart w:id="115" w:name="_Toc10877620"/>
      <w:bookmarkStart w:id="116" w:name="_Toc25302136"/>
      <w:bookmarkStart w:id="117" w:name="_Toc26191413"/>
      <w:r w:rsidRPr="006C40C1">
        <w:rPr>
          <w:noProof w:val="0"/>
        </w:rPr>
        <w:t>Hög tillväxt – ett viktigt mål i den ekonomiska politiken</w:t>
      </w:r>
      <w:bookmarkEnd w:id="115"/>
      <w:bookmarkEnd w:id="116"/>
      <w:bookmarkEnd w:id="117"/>
    </w:p>
    <w:p w:rsidR="00AA5D77" w:rsidRPr="006C40C1" w:rsidRDefault="00AA5D77">
      <w:r w:rsidRPr="006C40C1">
        <w:t>Som utskottet framhållit vid ett flertal tillfällen tidigare är en hög ekonomisk tillväxt en avgörande del av den ekonomiska politiken, under förutsättning att den är ekologiskt hållbar. Som redovisades ovan har Sveriges BNP stigit med i genomsnitt 2,8 % per år sedan 1995, vilket är 0,3 procentenheter mer per år än genomsnittet i EU. Om man i stället mäter från slutet av 1997, då de neg</w:t>
      </w:r>
      <w:r w:rsidRPr="006C40C1">
        <w:t>a</w:t>
      </w:r>
      <w:r w:rsidRPr="006C40C1">
        <w:t>tiva effekterna av den nödvändiga saneringen av de offentliga finanserna började avta, har svensk ekonomi vuxit med i genomsnitt 3,2 % per år, dvs. 0,5 procentenheter över tillväxten i EU.</w:t>
      </w:r>
    </w:p>
    <w:p w:rsidR="00AA5D77" w:rsidRPr="006C40C1" w:rsidRDefault="00AA5D77">
      <w:pPr>
        <w:pStyle w:val="Normaltindrag"/>
      </w:pPr>
      <w:r w:rsidRPr="006C40C1">
        <w:t>Utskottet vill här passa på att referera till en rapport om de offentliga f</w:t>
      </w:r>
      <w:r w:rsidRPr="006C40C1">
        <w:t>i</w:t>
      </w:r>
      <w:r w:rsidRPr="006C40C1">
        <w:t>nanserna i EU som EU-kommissionen presenterade i våras. Enligt rapporten är de svenska offentliga finanserna de som bland EU-länderna bäst stimulerar till ökad tillväxt och ökad sysselsättning. Vidare är Sverige ett av de två lä</w:t>
      </w:r>
      <w:r w:rsidRPr="006C40C1">
        <w:t>n</w:t>
      </w:r>
      <w:r w:rsidRPr="006C40C1">
        <w:t>der som under 1990-talet lyckats förbättra de offentliga utgifternas bidrag till tillväxt och sysselsättning samtidigt som utgiftsnivån sjunkit. Det andra landet är Nederländerna.</w:t>
      </w:r>
    </w:p>
    <w:p w:rsidR="00AA5D77" w:rsidRPr="006C40C1" w:rsidRDefault="00AA5D77">
      <w:pPr>
        <w:pStyle w:val="Normaltindrag"/>
      </w:pPr>
      <w:r w:rsidRPr="006C40C1">
        <w:t>Det är utskottets fasta övertygelse att möjligheterna att nå den höga til</w:t>
      </w:r>
      <w:r w:rsidRPr="006C40C1">
        <w:t>l</w:t>
      </w:r>
      <w:r w:rsidRPr="006C40C1">
        <w:t>växttakten i slutet av 1990-talet hade varit betydligt sämre med de budgeta</w:t>
      </w:r>
      <w:r w:rsidRPr="006C40C1">
        <w:t>l</w:t>
      </w:r>
      <w:r w:rsidRPr="006C40C1">
        <w:t>ternativ som Moderata samlingspartiet, Kristdemokraterna och Folkpartiet liberalerna presenterat för den aktuella perioden. De mycket stora skattesän</w:t>
      </w:r>
      <w:r w:rsidRPr="006C40C1">
        <w:t>k</w:t>
      </w:r>
      <w:r w:rsidRPr="006C40C1">
        <w:t>ningar och budgetnedskärningar som partierna, framför allt Moderata sa</w:t>
      </w:r>
      <w:r w:rsidRPr="006C40C1">
        <w:t>m</w:t>
      </w:r>
      <w:r w:rsidRPr="006C40C1">
        <w:t>lingspartiet, förespråkat hade med stor sannolikhet skapat en betydande oro och osäkerhet bland ekonomins olika aktörer med kraftigt negativa effekter på tillväxt, sysselsättning och välfärd som följd.</w:t>
      </w:r>
    </w:p>
    <w:p w:rsidR="00AA5D77" w:rsidRPr="006C40C1" w:rsidRDefault="00AA5D77">
      <w:pPr>
        <w:pStyle w:val="Normaltindrag"/>
      </w:pPr>
      <w:r w:rsidRPr="006C40C1">
        <w:t>Utskottet vi</w:t>
      </w:r>
      <w:r w:rsidRPr="006C40C1">
        <w:t>ll i anslutning till diskussionen kort även redogöra för en vid</w:t>
      </w:r>
      <w:r w:rsidRPr="006C40C1">
        <w:t>a</w:t>
      </w:r>
      <w:r w:rsidRPr="006C40C1">
        <w:t>reutveckling av den köpkraftskorrigerade BNP-statistiken som EU:s statisti</w:t>
      </w:r>
      <w:r w:rsidRPr="006C40C1">
        <w:t>k</w:t>
      </w:r>
      <w:r w:rsidRPr="006C40C1">
        <w:t>organ, Eurostat, tar fram. Eurostat har bl.a. undersökt den köpkraftskorriger</w:t>
      </w:r>
      <w:r w:rsidRPr="006C40C1">
        <w:t>a</w:t>
      </w:r>
      <w:r w:rsidRPr="006C40C1">
        <w:t>de produktionsnivån för olika regioner inom EU-länderna under 1998. R</w:t>
      </w:r>
      <w:r w:rsidRPr="006C40C1">
        <w:t>e</w:t>
      </w:r>
      <w:r w:rsidRPr="006C40C1">
        <w:t>sultatet visar på en ganska stor skillnad mellan de fattigaste och rikaste regi</w:t>
      </w:r>
      <w:r w:rsidRPr="006C40C1">
        <w:t>o</w:t>
      </w:r>
      <w:r w:rsidRPr="006C40C1">
        <w:t>nerna i flertalet länder. Den största spridningen finns enligt Eurostat i Tys</w:t>
      </w:r>
      <w:r w:rsidRPr="006C40C1">
        <w:t>k</w:t>
      </w:r>
      <w:r w:rsidRPr="006C40C1">
        <w:t>land följt av Frankrike, Österrike och Belgien. Enligt Eurostats up</w:t>
      </w:r>
      <w:r w:rsidRPr="006C40C1">
        <w:t>pgifter är Sverige det land som har den minsta spridningen mellan olika regioner. I likhet med OECD:s s.k. välfärdsliga är även Eurostats beräkningar behäftade med stora statistiska problem. Men enligt utskottets mening kan man ändå dra följande viktiga slutsats: de regionala klyftorna i Sverige förefaller vara min</w:t>
      </w:r>
      <w:r w:rsidRPr="006C40C1">
        <w:t>d</w:t>
      </w:r>
      <w:r w:rsidRPr="006C40C1">
        <w:t>re än i flertalet övriga länder i EU.</w:t>
      </w:r>
    </w:p>
    <w:p w:rsidR="00AA5D77" w:rsidRPr="006C40C1" w:rsidRDefault="00AA5D77">
      <w:pPr>
        <w:pStyle w:val="Normaltindrag"/>
      </w:pPr>
      <w:r w:rsidRPr="006C40C1">
        <w:t>Utskottet vill i likhet med vid tidigare behandlingar också erinra om att det finns andra undersökningar som kan komplettera OECD:s mått och därmed bidra til</w:t>
      </w:r>
      <w:r w:rsidRPr="006C40C1">
        <w:t>l att fördjupa diskussionen om ekonomisk välfärd. En sådan unde</w:t>
      </w:r>
      <w:r w:rsidRPr="006C40C1">
        <w:t>r</w:t>
      </w:r>
      <w:r w:rsidRPr="006C40C1">
        <w:t>sökning är den rapport om utvecklingsnivån i världen som FN:s utvecklings- och biståndsorgan, UNDP, löpande publicerar. I UNDP:s sammanvägda index över livslängd, utbildning och levnadsstandard placerade sig Sverige på andra plats 2002, strax efter Norge. Vid mitten av 1970-talet låg Sverige på en fjärdeplats. En annan undersökning, där perspektivet är betydligt snävare och framför allt behandlar närings- och företagsklimatet, är den jämförande</w:t>
      </w:r>
      <w:r w:rsidRPr="006C40C1">
        <w:t xml:space="preserve"> studien av näringspolitiken som Näringsdepartementet nu publicerat tre år i rad. Årets rapport Benchmarking av näringspolitiken 2002 (Ds 2002:20) gör en bedömning av Sveriges utveckling jämfört med andra OECD-länder vad avser indikatorer inom t.ex. områdena näringsliv och företagande, arbet</w:t>
      </w:r>
      <w:r w:rsidRPr="006C40C1">
        <w:t>s</w:t>
      </w:r>
      <w:r w:rsidRPr="006C40C1">
        <w:t>marknad, arbetsliv, forskning och utveckling, IT och tele, energiförsörjning och transporter. I korthet visar resultaten att Sverige hamnar på den övre tredjedelen i rangordningen i 29 av de 51 olika indikatorer som und</w:t>
      </w:r>
      <w:r w:rsidRPr="006C40C1">
        <w:t>ersökts. Endast i fem fall placerar sig Sverige i den tredjedel av länder som har den sämsta utvecklingen. Jämfört med den studie som gjordes förra året har Sv</w:t>
      </w:r>
      <w:r w:rsidRPr="006C40C1">
        <w:t>e</w:t>
      </w:r>
      <w:r w:rsidRPr="006C40C1">
        <w:t>rige förbättrat sin position i 13 indikatorer medan positionen försämrats i 6 indikatorer.</w:t>
      </w:r>
    </w:p>
    <w:p w:rsidR="00AA5D77" w:rsidRPr="006C40C1" w:rsidRDefault="00AA5D77">
      <w:pPr>
        <w:pStyle w:val="Rubrik4"/>
        <w:rPr>
          <w:noProof w:val="0"/>
        </w:rPr>
      </w:pPr>
      <w:bookmarkStart w:id="118" w:name="_Toc25302137"/>
      <w:bookmarkStart w:id="119" w:name="_Toc26191414"/>
      <w:r w:rsidRPr="006C40C1">
        <w:rPr>
          <w:noProof w:val="0"/>
        </w:rPr>
        <w:t>Företagen och globaliseringen</w:t>
      </w:r>
      <w:bookmarkEnd w:id="118"/>
      <w:bookmarkEnd w:id="119"/>
    </w:p>
    <w:p w:rsidR="00AA5D77" w:rsidRPr="006C40C1" w:rsidRDefault="00AA5D77">
      <w:r w:rsidRPr="006C40C1">
        <w:t>Innan utskottet går in på frågorna kring konkurrens och företagsklimat vill utskottet kort kommentera diskussionen i bl.a. motionerna Fi231 (m), Fi232 (fp) och Fi233 (kd) om försäljningar av företag till utlandet och ökat utland</w:t>
      </w:r>
      <w:r w:rsidRPr="006C40C1">
        <w:t>s</w:t>
      </w:r>
      <w:r w:rsidRPr="006C40C1">
        <w:t>ägande. Runt om i världen pågår en omfattande globalisering av ägandet och produktionen och en internationell omstrukturering i näringslivets olika bra</w:t>
      </w:r>
      <w:r w:rsidRPr="006C40C1">
        <w:t>n</w:t>
      </w:r>
      <w:r w:rsidRPr="006C40C1">
        <w:t>scher. Både ingående och utgående direktinvesteringar och s.k. portföljinv</w:t>
      </w:r>
      <w:r w:rsidRPr="006C40C1">
        <w:t>e</w:t>
      </w:r>
      <w:r w:rsidRPr="006C40C1">
        <w:t>steringar har ökat mycket kraftigt under de senaste åren, även om en viss avmattning noterats under de senaste åren till följd av den svaga konjunkturen och nedgången i IKT-sektorn.</w:t>
      </w:r>
    </w:p>
    <w:p w:rsidR="00AA5D77" w:rsidRPr="006C40C1" w:rsidRDefault="00AA5D77">
      <w:pPr>
        <w:pStyle w:val="Normaltindrag"/>
      </w:pPr>
      <w:r w:rsidRPr="006C40C1">
        <w:t>Enligt utskottets mening är det utomordentligt viktigt att globaliseringens och det ökade utlandsägand</w:t>
      </w:r>
      <w:r w:rsidRPr="006C40C1">
        <w:t>ets effekter på ekonomin, näringslivet och sysse</w:t>
      </w:r>
      <w:r w:rsidRPr="006C40C1">
        <w:t>l</w:t>
      </w:r>
      <w:r w:rsidRPr="006C40C1">
        <w:t>sättningen noga följs och analyseras. Frågan är emellertid inte unik för Sver</w:t>
      </w:r>
      <w:r w:rsidRPr="006C40C1">
        <w:t>i</w:t>
      </w:r>
      <w:r w:rsidRPr="006C40C1">
        <w:t>ge. I både Europa och övriga industrivärlden pågår en intensiv debatt om utländska förvärv, företagsutflyttningar, sammanslagningar och företagskl</w:t>
      </w:r>
      <w:r w:rsidRPr="006C40C1">
        <w:t>i</w:t>
      </w:r>
      <w:r w:rsidRPr="006C40C1">
        <w:t>mat. Debatten är emellertid ofta onyanserad och ibland rent av behäftad med undergångstoner. Enligt utskottets mening finns det mycket som tyder på att utländska investeringar i Sverige kan spela en viktig roll för utvecklingen i svensk e</w:t>
      </w:r>
      <w:r w:rsidRPr="006C40C1">
        <w:t>konomi. I många fall tillför nya internationella ägare nytt kapital, ny kompetens och nya förutsättningar för inv</w:t>
      </w:r>
      <w:r w:rsidRPr="006C40C1">
        <w:t>e</w:t>
      </w:r>
      <w:r w:rsidRPr="006C40C1">
        <w:t>steringar och produktion.</w:t>
      </w:r>
    </w:p>
    <w:p w:rsidR="00AA5D77" w:rsidRPr="006C40C1" w:rsidRDefault="00AA5D77">
      <w:pPr>
        <w:pStyle w:val="Normaltindrag"/>
      </w:pPr>
      <w:r w:rsidRPr="006C40C1">
        <w:t>Bilden av en ödesmättad utförsäljning av svenska företag måste också kompletteras med att även svenska företag i stor utsträckning köper utländska företag för att stärka sin ställning och kompetens. Enligt Riksbankens beta</w:t>
      </w:r>
      <w:r w:rsidRPr="006C40C1">
        <w:t>l</w:t>
      </w:r>
      <w:r w:rsidRPr="006C40C1">
        <w:t>ningsbalansstatistik har svenska företag under perioden 1995 t.o.m. första halvåret 2002 direktinvesterat i utlandet för omkring 117 miljarder kronor mer än vad utländska företag direktinvesterat i Sverige (i dessa siffror har för 1999 den jämbördiga fusionen mellan Astra och Zeneca rensats bort eftersom Astras innehav i Zeneca är bokfört som ett portföljinnehav och därmed inte registrerat i direktinvesteringsstatistiken medan Zenecas innehav i Astra är registrerat som en direkti</w:t>
      </w:r>
      <w:r w:rsidRPr="006C40C1">
        <w:t>n</w:t>
      </w:r>
      <w:r w:rsidRPr="006C40C1">
        <w:t>vestering).</w:t>
      </w:r>
    </w:p>
    <w:p w:rsidR="00AA5D77" w:rsidRPr="006C40C1" w:rsidRDefault="00AA5D77">
      <w:pPr>
        <w:pStyle w:val="Normaltindrag"/>
      </w:pPr>
      <w:r w:rsidRPr="006C40C1">
        <w:t>För att ytterl</w:t>
      </w:r>
      <w:r w:rsidRPr="006C40C1">
        <w:t>igare nyansera debatten vill utskottet även referera en enkä</w:t>
      </w:r>
      <w:r w:rsidRPr="006C40C1">
        <w:t>t</w:t>
      </w:r>
      <w:r w:rsidRPr="006C40C1">
        <w:t>undersökning som Svenska Industritjänstemannaförbundet (SIF) gjort bland de större medlemsklubbarna med anledning av debatten om utflyttning av svensk industriproduktion. Enligt enkäten var det under perioden 1999–2001 lika många företag som flyttade in verksamhet till Sverige som det var företag som flyttade ut verksamhet till andra länder.</w:t>
      </w:r>
    </w:p>
    <w:p w:rsidR="00AA5D77" w:rsidRPr="006C40C1" w:rsidRDefault="00AA5D77">
      <w:pPr>
        <w:pStyle w:val="Normaltindrag"/>
      </w:pPr>
      <w:r w:rsidRPr="006C40C1">
        <w:t>Utskottet vill i anslutning till frågan om globaliseringen också erinra om att regeringen tillsatt en utred</w:t>
      </w:r>
      <w:r w:rsidRPr="006C40C1">
        <w:t>ning om internationaliseringens betydelse för svenska skattebaser och Sveriges framtida skattestruktur. Enligt planen pr</w:t>
      </w:r>
      <w:r w:rsidRPr="006C40C1">
        <w:t>e</w:t>
      </w:r>
      <w:r w:rsidRPr="006C40C1">
        <w:t>senterar utre</w:t>
      </w:r>
      <w:r w:rsidRPr="006C40C1">
        <w:t>d</w:t>
      </w:r>
      <w:r w:rsidRPr="006C40C1">
        <w:t>ningen sitt slutbetänkande i mitten av november 2002.</w:t>
      </w:r>
    </w:p>
    <w:p w:rsidR="00AA5D77" w:rsidRPr="006C40C1" w:rsidRDefault="00AA5D77">
      <w:pPr>
        <w:pStyle w:val="Rubrik4"/>
        <w:rPr>
          <w:noProof w:val="0"/>
        </w:rPr>
      </w:pPr>
      <w:bookmarkStart w:id="120" w:name="_Toc25302138"/>
      <w:bookmarkStart w:id="121" w:name="_Toc26191415"/>
      <w:r w:rsidRPr="006C40C1">
        <w:rPr>
          <w:noProof w:val="0"/>
        </w:rPr>
        <w:t>Sverige – en av världens främsta IT-nationer</w:t>
      </w:r>
      <w:bookmarkEnd w:id="120"/>
      <w:bookmarkEnd w:id="121"/>
      <w:r w:rsidRPr="006C40C1">
        <w:rPr>
          <w:noProof w:val="0"/>
        </w:rPr>
        <w:t xml:space="preserve"> </w:t>
      </w:r>
    </w:p>
    <w:p w:rsidR="00AA5D77" w:rsidRPr="006C40C1" w:rsidRDefault="00AA5D77">
      <w:r w:rsidRPr="006C40C1">
        <w:t>Utlandets kraftigt stigande intresse för Sverige, svenska företag och svenskt näringsliv har bl.a. berott på Sveriges framgångar inom IT-sektorn. Vid sidan av direktinvesteringar i svenska IT-företag har det skett ett betydande inflöde av utländska investeringar och kapital när det gäller forskning och utveckling inom IT. Även om den s.k. IKT-sektorn (sektorn för informations- och ko</w:t>
      </w:r>
      <w:r w:rsidRPr="006C40C1">
        <w:t>m</w:t>
      </w:r>
      <w:r w:rsidRPr="006C40C1">
        <w:t>munikationsteknik) för tillfället karakteriseras av kraftig avmattning och omstrukturering är utskottet övertygat om att IT-sektorn kommer att få stor betydelse för Sverige och den svenska tillväxten framöver. Ett tydligt bevis på sektorns betydelse för den svenska ekonomin är den oro och osäkerhet som det senaste årens problem i företaget Ericsson skapat. Utskottet vill här passa på att erinra om att regeringen med anledning av nedgången i IT-sektorn bl.a. inrättar en delegation för att stimulera användan</w:t>
      </w:r>
      <w:r w:rsidRPr="006C40C1">
        <w:t>det av IT i den offentliga sektorn, satt upp en aktionsgrupp med målet att främja utvecklingen av m</w:t>
      </w:r>
      <w:r w:rsidRPr="006C40C1">
        <w:t>o</w:t>
      </w:r>
      <w:r w:rsidRPr="006C40C1">
        <w:t>bila tjänster i samhället och gett Verket för innovationssystem, Vinnova, i uppdrag att uta</w:t>
      </w:r>
      <w:r w:rsidRPr="006C40C1">
        <w:t>r</w:t>
      </w:r>
      <w:r w:rsidRPr="006C40C1">
        <w:t>beta ett utvecklingsprogram för IT/telekomsektorn.</w:t>
      </w:r>
    </w:p>
    <w:p w:rsidR="00AA5D77" w:rsidRPr="006C40C1" w:rsidRDefault="00AA5D77">
      <w:pPr>
        <w:pStyle w:val="Normaltindrag"/>
      </w:pPr>
      <w:r w:rsidRPr="006C40C1">
        <w:t>Helt avgörande för Sverige, den svenska tillväxten och sysselsättningen är att Sveriges konkurrenskraft är hög och företagsklimatet gott. Till skillnad mot vad som hävdas i motionerna Fi231 (m), Fi232 (fp), Fi233 (kd) och Fi234 (c) anser utskottet att det grundläggande</w:t>
      </w:r>
      <w:r w:rsidRPr="006C40C1">
        <w:t xml:space="preserve"> klimatet för företagande, e</w:t>
      </w:r>
      <w:r w:rsidRPr="006C40C1">
        <w:t>x</w:t>
      </w:r>
      <w:r w:rsidRPr="006C40C1">
        <w:t>pansion och högre sysselsättning är relativt gott, även om den internationella konjunkturnedgången och nedgången i IKT-sektorn skapat påfrestningar på skilda håll i näringslivet.</w:t>
      </w:r>
    </w:p>
    <w:p w:rsidR="00AA5D77" w:rsidRPr="006C40C1" w:rsidRDefault="00AA5D77">
      <w:pPr>
        <w:pStyle w:val="Normaltindrag"/>
      </w:pPr>
      <w:r w:rsidRPr="006C40C1">
        <w:t>De offentliga finanserna har sanerats, vilket har gett en stabil och hållbar makroekonomisk situation. Räntorna har sjunkit kraftigt både i förhållande till tidigare under 1990-talet och till räntenivåerna under 1970- och 1980-talen. Under de senaste åren har också de svenska obligationsräntorna legat p</w:t>
      </w:r>
      <w:r w:rsidRPr="006C40C1">
        <w:t>å ungefär samma nivå eller några tiondelar över de tyska obligationsräntorna. Under det senaste årets turbulens på valuta- och räntemarknaderna med bl.a. sjunkande värde på den svenska kronan har dock skillnaden mot de tyska räntorna stigit till drygt 0,5 procentenheter. Det kan jämföras med ett räntegap mot Tyskland sommaren 1994 på mellan 4 och 5 procentenheter. Innebörden av denna utveckling är att svenska företag och hushåll kan finansiera sig till nästan samma kostnad som de tyska kan. Det stimulerar b</w:t>
      </w:r>
      <w:r w:rsidRPr="006C40C1">
        <w:t>åde företagens investeringar och den inhemska efterfr</w:t>
      </w:r>
      <w:r w:rsidRPr="006C40C1">
        <w:t>å</w:t>
      </w:r>
      <w:r w:rsidRPr="006C40C1">
        <w:t xml:space="preserve">gan. </w:t>
      </w:r>
    </w:p>
    <w:p w:rsidR="00AA5D77" w:rsidRPr="006C40C1" w:rsidRDefault="00AA5D77">
      <w:pPr>
        <w:pStyle w:val="Normaltindrag"/>
      </w:pPr>
      <w:r w:rsidRPr="006C40C1">
        <w:t>En annan mycket viktig del i tillväxts- och företagsklimatet är att inflati</w:t>
      </w:r>
      <w:r w:rsidRPr="006C40C1">
        <w:t>o</w:t>
      </w:r>
      <w:r w:rsidRPr="006C40C1">
        <w:t>nen sjunkit kraftigt, till en nivå som tidvis understigit den i våra viktigaste konkurrentländer. Om man bortser från utvecklingen i fjol har löneökningarna under de senaste åren varit relativt måttliga, trots en hög tillväxttakt och att sysselsättningen mellan 1997 och 2001 steg med omkring 360 000 personer. Bland annat som en följd av denna utveckling har de svenska företagen under de senaste åtta åren ökat sina andelar på världsmarknaden samtidigt som icke konjunkturkänsliga kun</w:t>
      </w:r>
      <w:r w:rsidRPr="006C40C1">
        <w:softHyphen/>
        <w:t>skaps</w:t>
      </w:r>
      <w:r w:rsidRPr="006C40C1">
        <w:softHyphen/>
        <w:t>intensiva bransche</w:t>
      </w:r>
      <w:r w:rsidRPr="006C40C1">
        <w:t>r ökat sina andelar av svensk export. På grund av den svaga internationella efterfrågan förlorade emellertid den svenska industrin andelar under förra året, speciellt inom IKT-området. Som redovisats tidigare under avsnitt 1.2.4 sjönk också teleproduktsindustrins andel av den totala svenska exporten med hela 5 procentenheter under 2001, till en andel på ca 10 %. Utvecklingen hittills i år tyder på att företag tagit andelar på världsmarkn</w:t>
      </w:r>
      <w:r w:rsidRPr="006C40C1">
        <w:t>a</w:t>
      </w:r>
      <w:r w:rsidRPr="006C40C1">
        <w:t>den.</w:t>
      </w:r>
    </w:p>
    <w:p w:rsidR="00AA5D77" w:rsidRPr="006C40C1" w:rsidRDefault="00AA5D77">
      <w:pPr>
        <w:pStyle w:val="Normaltindrag"/>
      </w:pPr>
      <w:r w:rsidRPr="006C40C1">
        <w:t>Utskottet behandlar pris- och lönefrågorna mer utförligt nedan me</w:t>
      </w:r>
      <w:r w:rsidRPr="006C40C1">
        <w:t>n kan redan här konstatera att det är av avgörande vikt att pris- och löneökningarna i den svenska ekonomin förblir måttliga och i nivå med våra konkurrentländer för att konkurrenskraften ska kunna bevaras och sysse</w:t>
      </w:r>
      <w:r w:rsidRPr="006C40C1">
        <w:t>l</w:t>
      </w:r>
      <w:r w:rsidRPr="006C40C1">
        <w:t xml:space="preserve">sättningen stiga. </w:t>
      </w:r>
    </w:p>
    <w:p w:rsidR="00AA5D77" w:rsidRPr="006C40C1" w:rsidRDefault="00AA5D77">
      <w:pPr>
        <w:pStyle w:val="Rubrik4"/>
        <w:rPr>
          <w:noProof w:val="0"/>
        </w:rPr>
      </w:pPr>
      <w:bookmarkStart w:id="122" w:name="_Toc516364747"/>
      <w:bookmarkStart w:id="123" w:name="_Toc10877609"/>
      <w:bookmarkStart w:id="124" w:name="_Toc25302139"/>
      <w:bookmarkStart w:id="125" w:name="_Toc26191416"/>
      <w:r w:rsidRPr="006C40C1">
        <w:rPr>
          <w:noProof w:val="0"/>
        </w:rPr>
        <w:t>Konkurrensklimatet ska förbättras</w:t>
      </w:r>
      <w:bookmarkEnd w:id="122"/>
      <w:bookmarkEnd w:id="123"/>
      <w:r w:rsidRPr="006C40C1">
        <w:rPr>
          <w:noProof w:val="0"/>
        </w:rPr>
        <w:t xml:space="preserve"> ytterligare</w:t>
      </w:r>
      <w:bookmarkEnd w:id="124"/>
      <w:bookmarkEnd w:id="125"/>
    </w:p>
    <w:p w:rsidR="00AA5D77" w:rsidRPr="006C40C1" w:rsidRDefault="00AA5D77">
      <w:r w:rsidRPr="006C40C1">
        <w:t xml:space="preserve">Utskottet konstaterar vidare att konkurrensen och ekonomins tillväxtvillkor har förbättrats under det senaste decenniet. </w:t>
      </w:r>
    </w:p>
    <w:p w:rsidR="00AA5D77" w:rsidRPr="006C40C1" w:rsidRDefault="00AA5D77">
      <w:pPr>
        <w:pStyle w:val="Normaltindrag"/>
      </w:pPr>
      <w:r w:rsidRPr="006C40C1">
        <w:t>Regeringen presenterade i budgetpropositionen för 2002 ytterligare åtgä</w:t>
      </w:r>
      <w:r w:rsidRPr="006C40C1">
        <w:t>r</w:t>
      </w:r>
      <w:r w:rsidRPr="006C40C1">
        <w:t>der för att öka konkurrensen och pressa ned den svenska prisnivån. Regerin</w:t>
      </w:r>
      <w:r w:rsidRPr="006C40C1">
        <w:t>g</w:t>
      </w:r>
      <w:r w:rsidRPr="006C40C1">
        <w:t>ens strävan är att de svenska konsumentpriserna ska sjunka till den geno</w:t>
      </w:r>
      <w:r w:rsidRPr="006C40C1">
        <w:t>m</w:t>
      </w:r>
      <w:r w:rsidRPr="006C40C1">
        <w:t>snittliga prisnivån i EU. Riksdagen beslutade t.ex. i våras om en skärpning av konkurrenslagen för att skapa effektivare regler för bekämpning av karteller (prop. 2001/02:167, bet. 2001/02:NU16, rskr. 2001/02:318). Skärpningen innebär bl.a. att den s.k. konkurrensskadeavgiften kan efterges eller reduceras och att sekretesskyddet stärkts för den som lämnar uppgi</w:t>
      </w:r>
      <w:r w:rsidRPr="006C40C1">
        <w:t>fter om olagliga samarbeten på marknaderna. Regeringen har dessutom gett Konkurrensverket i uppdrag att djupare analysera konkurrensen inom dagligvaruhandel men även inom t.ex. bygg- och bostadssektorn och finansmarknaden. Vidare har en kommission tillsatts om konkurrensen, kvaliteten och kostnaderna i byg</w:t>
      </w:r>
      <w:r w:rsidRPr="006C40C1">
        <w:t>g</w:t>
      </w:r>
      <w:r w:rsidRPr="006C40C1">
        <w:t>sektorn. Enligt planerna ska kommissionen avlämna ett slutbetänkande i december 2002.</w:t>
      </w:r>
    </w:p>
    <w:p w:rsidR="00AA5D77" w:rsidRPr="006C40C1" w:rsidRDefault="00AA5D77">
      <w:pPr>
        <w:pStyle w:val="Rubrik4"/>
        <w:rPr>
          <w:noProof w:val="0"/>
        </w:rPr>
      </w:pPr>
      <w:bookmarkStart w:id="126" w:name="_Toc25302140"/>
      <w:bookmarkStart w:id="127" w:name="_Toc26191417"/>
      <w:r w:rsidRPr="006C40C1">
        <w:rPr>
          <w:noProof w:val="0"/>
        </w:rPr>
        <w:t>Sverige – en framstående kunskapsnation</w:t>
      </w:r>
      <w:bookmarkEnd w:id="126"/>
      <w:bookmarkEnd w:id="127"/>
    </w:p>
    <w:p w:rsidR="00AA5D77" w:rsidRPr="006C40C1" w:rsidRDefault="00AA5D77">
      <w:r w:rsidRPr="006C40C1">
        <w:t>Enligt utskottets mening är den svenska företagsbeskattningen som helhet konkurrenskraftig i ett internationellt perspektiv. Utbildnings- och kunskaps</w:t>
      </w:r>
      <w:r w:rsidRPr="006C40C1">
        <w:softHyphen/>
        <w:t>nivån hos den svenska arbetskraften är hög och ökar ytterligare genom de satsningar på kunskap och kompetens som regeringen vidtar i alla delar av utbildningssystemet. Sverige ska konkurrera med kompetens och välutbildad arbetskraft. Enligt OECD är Sverige det land i världen som investerar mest resurser i kunskap som andel av BNP, och utgångspunkten är att Sverige även i fortsättningen ska vara världens främsta kunskapsnation. I samband med budgetpropositionen för 2001 beslutade därför riksdagen om kraftig</w:t>
      </w:r>
      <w:r w:rsidRPr="006C40C1">
        <w:t>t utökade resurser till skolan. I år ökar resurserna med 1 miljard kronor jämfört med i fjol, och därefter ökar tilldelningen med 1 miljard kronor per år fram tills nivån 5 miljarder kronor nås 2006. Denna resursförstärkning gör att det t.ex. kan anställas ytterligare omkring 15 000 lärare eller annan personal i skolan eller på fritids. Expansionen inom högskolan fortsätter och antalet utbil</w:t>
      </w:r>
      <w:r w:rsidRPr="006C40C1">
        <w:t>d</w:t>
      </w:r>
      <w:r w:rsidRPr="006C40C1">
        <w:t>ningsplatser stiger med omkring 100 000 mellan 1997 och 2003. Utbyggn</w:t>
      </w:r>
      <w:r w:rsidRPr="006C40C1">
        <w:t>a</w:t>
      </w:r>
      <w:r w:rsidRPr="006C40C1">
        <w:t>den har hittills varit koncentrerad till naturv</w:t>
      </w:r>
      <w:r w:rsidRPr="006C40C1">
        <w:t>etenskapliga och tekniska ämnen, men nu sker successivt en breddning. Universitet och högskolor ges möjlighet att omfördela resurser för att möta det ökade behovet av välutbildad personal inom vården. Vidare tillförs resurser för att höja kvaliteten på grundutbil</w:t>
      </w:r>
      <w:r w:rsidRPr="006C40C1">
        <w:t>d</w:t>
      </w:r>
      <w:r w:rsidRPr="006C40C1">
        <w:t>ningen inom humaniora, teologi, juridik och samhällsvete</w:t>
      </w:r>
      <w:r w:rsidRPr="006C40C1">
        <w:t>n</w:t>
      </w:r>
      <w:r w:rsidRPr="006C40C1">
        <w:t xml:space="preserve">skap. </w:t>
      </w:r>
    </w:p>
    <w:p w:rsidR="00AA5D77" w:rsidRPr="006C40C1" w:rsidRDefault="00AA5D77">
      <w:pPr>
        <w:pStyle w:val="Normaltindrag"/>
      </w:pPr>
      <w:r w:rsidRPr="006C40C1">
        <w:t>Det långsiktiga målet är att 50 % av en årskull ska ha börjat på högskolan vid 25 års ålder. För att bl.a. öka mångfalden och minska snedrekryteringen byggs distansutbildningen ut, ett</w:t>
      </w:r>
      <w:r w:rsidRPr="006C40C1">
        <w:t xml:space="preserve"> s.k. nätuniversitet införs och en rekryt</w:t>
      </w:r>
      <w:r w:rsidRPr="006C40C1">
        <w:t>e</w:t>
      </w:r>
      <w:r w:rsidRPr="006C40C1">
        <w:t>ringsdelegation inrättas. I våras presenterade regeringen också ett förslag till ett system för individuell kompetensutveckling. Avsikten är att systemet ska träda i kraft från den 1 juli 2003. Vidare har studiestödet reformerats och fr.o.m. 2003 införs ett nytt vuxenstudiestöd, som ersätter det tidigare särskilda utbildningsbidraget. Stödet riktas mot personer med kort utbildning som är över 25 år och som är eller riskerar att bli arbetslösa eller har något fun</w:t>
      </w:r>
      <w:r w:rsidRPr="006C40C1">
        <w:t>k</w:t>
      </w:r>
      <w:r w:rsidRPr="006C40C1">
        <w:t>tio</w:t>
      </w:r>
      <w:r w:rsidRPr="006C40C1">
        <w:t>nshinder.</w:t>
      </w:r>
    </w:p>
    <w:p w:rsidR="00AA5D77" w:rsidRPr="006C40C1" w:rsidRDefault="00AA5D77">
      <w:pPr>
        <w:pStyle w:val="Normaltindrag"/>
      </w:pPr>
      <w:r w:rsidRPr="006C40C1">
        <w:t>Utbildningsområdets andel av BNP utgjorde 6,7 % 1999, vilket är högre än tidigare under 1990-talet. Sverige liksom övriga nordiska länder har satsat mycket på utbildning och ligger i nivå med USA eller t.o.m. högre.</w:t>
      </w:r>
    </w:p>
    <w:p w:rsidR="00AA5D77" w:rsidRPr="006C40C1" w:rsidRDefault="00AA5D77">
      <w:pPr>
        <w:pStyle w:val="Normaltindrag"/>
      </w:pPr>
      <w:r w:rsidRPr="006C40C1">
        <w:t>De senaste tio åren har antalet utexaminerade forskare fördubblats och den tidigare aviserade satsningen på forskning fortsätter. Under perioden 2001–2003 tillförs olika lärosäten 214 miljoner kronor för 14 nya forskarskolor. Totalt ökar de statliga anslagen till grundforskning och forskarutbildning med 1,5 miljarder kronor till 2004. Dessutom ska ett arbete påbörjas för att se till att olika forskningsresultat i större omfattning omsätts i nya produkter och tjän</w:t>
      </w:r>
      <w:r w:rsidRPr="006C40C1">
        <w:t>s</w:t>
      </w:r>
      <w:r w:rsidRPr="006C40C1">
        <w:t>ter.</w:t>
      </w:r>
    </w:p>
    <w:p w:rsidR="00AA5D77" w:rsidRPr="006C40C1" w:rsidRDefault="00AA5D77">
      <w:pPr>
        <w:pStyle w:val="Normaltindrag"/>
      </w:pPr>
      <w:r w:rsidRPr="006C40C1">
        <w:t>Enligt utskottets mening finns det också anledning att påpeka att en viktig del i näringsklimatet är det faktum att Sveriges inhemska efterfrågan vuxit starkt under de senaste åren efter en svag utveckling under en stor del av 1990-talet. Enligt regeringens bedömning kommer också den inhemska efte</w:t>
      </w:r>
      <w:r w:rsidRPr="006C40C1">
        <w:t>r</w:t>
      </w:r>
      <w:r w:rsidRPr="006C40C1">
        <w:t>frågan att fortsätta att vara en stark drivkraft i den svenska ekonomin, trots den svaga internationella konjunkturen. Det gynnar speciellt de mindre för</w:t>
      </w:r>
      <w:r w:rsidRPr="006C40C1">
        <w:t>e</w:t>
      </w:r>
      <w:r w:rsidRPr="006C40C1">
        <w:t>tagen som till stor del är inriktade på hemmamarkn</w:t>
      </w:r>
      <w:r w:rsidRPr="006C40C1">
        <w:t>a</w:t>
      </w:r>
      <w:r w:rsidRPr="006C40C1">
        <w:t>den.</w:t>
      </w:r>
    </w:p>
    <w:p w:rsidR="00AA5D77" w:rsidRPr="006C40C1" w:rsidRDefault="00AA5D77">
      <w:pPr>
        <w:pStyle w:val="Rubrik4"/>
        <w:rPr>
          <w:noProof w:val="0"/>
        </w:rPr>
      </w:pPr>
      <w:bookmarkStart w:id="128" w:name="_Toc25302141"/>
      <w:bookmarkStart w:id="129" w:name="_Toc26191418"/>
      <w:r w:rsidRPr="006C40C1">
        <w:rPr>
          <w:noProof w:val="0"/>
        </w:rPr>
        <w:t>Regelverket för företagen</w:t>
      </w:r>
      <w:bookmarkEnd w:id="128"/>
      <w:bookmarkEnd w:id="129"/>
    </w:p>
    <w:p w:rsidR="00AA5D77" w:rsidRPr="006C40C1" w:rsidRDefault="00AA5D77">
      <w:r w:rsidRPr="006C40C1">
        <w:t>I bl.a. motion Fi234 (c) anförs att arbetet med att förenkla regelverket som styr företagen måste ta fart på allvar och att 25 % av regelverket bör tas bort.</w:t>
      </w:r>
    </w:p>
    <w:p w:rsidR="00AA5D77" w:rsidRPr="006C40C1" w:rsidRDefault="00AA5D77">
      <w:pPr>
        <w:pStyle w:val="Normaltindrag"/>
      </w:pPr>
      <w:r w:rsidRPr="006C40C1">
        <w:t xml:space="preserve"> Utskottet vill med anledning av detta framhålla att företagande och småf</w:t>
      </w:r>
      <w:r w:rsidRPr="006C40C1">
        <w:t>ö</w:t>
      </w:r>
      <w:r w:rsidRPr="006C40C1">
        <w:t>retagande spelar en avgörande roll i den offensiv för uthållig tillväxt och ökad sysselsättning som regeringen första gången presenterade i vårpropositionen 1998 och som löpande följts upp i de vår- och budgetpropositioner som pr</w:t>
      </w:r>
      <w:r w:rsidRPr="006C40C1">
        <w:t>e</w:t>
      </w:r>
      <w:r w:rsidRPr="006C40C1">
        <w:t>senterats sedan dess. Därför har riksdagen under de senaste åren beslutat om en rad förbättringar för företagen och då framför allt för de mindre företagen. Exempelvis har enskilda näringsidkare och delägare i handelsbolag fått regler som är mer likvärdiga dem som gäller för aktie</w:t>
      </w:r>
      <w:r w:rsidRPr="006C40C1">
        <w:t>bolag. För nystartad enskild näringsverksamhet har möjlighet införts att kvitta underskott i aktiv näring</w:t>
      </w:r>
      <w:r w:rsidRPr="006C40C1">
        <w:t>s</w:t>
      </w:r>
      <w:r w:rsidRPr="006C40C1">
        <w:t>verksamhet mot tjänsteinkomster. Dessutom har lättnader i ägarbeskattningen för ägare till onoterade aktiebolag genomförts. Arbetsgivaravgifterna har reducerats för att särskilt gynna de mindre företagen. Reglerna för skatteti</w:t>
      </w:r>
      <w:r w:rsidRPr="006C40C1">
        <w:t>l</w:t>
      </w:r>
      <w:r w:rsidRPr="006C40C1">
        <w:t>lägg vid periodiseringsfel i momsredovisningen har lindrats. Vidare har rese</w:t>
      </w:r>
      <w:r w:rsidRPr="006C40C1">
        <w:t>r</w:t>
      </w:r>
      <w:r w:rsidRPr="006C40C1">
        <w:t>veringsmöjligheterna för enskilda näringsidkare och handelsbolag förstärkts ytterligare. Avdragsregler</w:t>
      </w:r>
      <w:r w:rsidRPr="006C40C1">
        <w:t>na för pensionskostnader, beskattningen av pers</w:t>
      </w:r>
      <w:r w:rsidRPr="006C40C1">
        <w:t>o</w:t>
      </w:r>
      <w:r w:rsidRPr="006C40C1">
        <w:t>naloptioner och avdraget för pensionssparande för enskilda näringsidkare har förenklats. Informationen kring nyföretagande och stödet till kooperativ u</w:t>
      </w:r>
      <w:r w:rsidRPr="006C40C1">
        <w:t>t</w:t>
      </w:r>
      <w:r w:rsidRPr="006C40C1">
        <w:t>veckling har utökats. Villkoren för avsättningar till periodiseringsfonder har förbättrats. Beskattningen av utländska experter har lättats. Dröjsmålsavgiften vid betalning av tull har sänkts, och kupong</w:t>
      </w:r>
      <w:r w:rsidRPr="006C40C1">
        <w:softHyphen/>
        <w:t>skatten för utdelning på näring</w:t>
      </w:r>
      <w:r w:rsidRPr="006C40C1">
        <w:t>s</w:t>
      </w:r>
      <w:r w:rsidRPr="006C40C1">
        <w:t>betingade aktier till utländska ägare har avskaffats. Flertalet av de s.k. s</w:t>
      </w:r>
      <w:r w:rsidRPr="006C40C1">
        <w:t>top</w:t>
      </w:r>
      <w:r w:rsidRPr="006C40C1">
        <w:t>p</w:t>
      </w:r>
      <w:r w:rsidRPr="006C40C1">
        <w:t>reglerna för fåmansföretag har tagits bort, och de s.k. 3:12-reglerna, som reglerar beskattning av utdelning och reavinst på aktier i fåmansföretag, är föremål för översyn. Sedan i fjol är det också tillåtet för företag att under vissa förutsättningar köpa tillbaka egna aktier. Fullständig kvittningsrätt har införts för reavinster på onoterade aktier mot förluster på noterade aktier. Kvittningsbegränsningen för vinster och förluster på marknadsnoterade blandfonder har slopats samtidigt som reglerna om s</w:t>
      </w:r>
      <w:r w:rsidRPr="006C40C1">
        <w:t>chablonavdrag för ökade levnadsomkostnader har förenklats och förbättrats. I oktober i fjol infördes ett nytt sjöfartsstöd. Ytterligare åtgärder vidtas för att främja kooperativt föret</w:t>
      </w:r>
      <w:r w:rsidRPr="006C40C1">
        <w:t>a</w:t>
      </w:r>
      <w:r w:rsidRPr="006C40C1">
        <w:t>gande samtidigt som ökade resurser ges för att understödja kvinnors, invan</w:t>
      </w:r>
      <w:r w:rsidRPr="006C40C1">
        <w:t>d</w:t>
      </w:r>
      <w:r w:rsidRPr="006C40C1">
        <w:t>rares och ungas företagande. Detta genom s.k. mikrolån, resurser till affär</w:t>
      </w:r>
      <w:r w:rsidRPr="006C40C1">
        <w:t>s</w:t>
      </w:r>
      <w:r w:rsidRPr="006C40C1">
        <w:t>rådgivare och regionala och lokala resurscentrum för kvinnor. Skatten på investmentbolag har sänkts och beskattningen av s.k. näringsbetingade and</w:t>
      </w:r>
      <w:r w:rsidRPr="006C40C1">
        <w:t>e</w:t>
      </w:r>
      <w:r w:rsidRPr="006C40C1">
        <w:t>lar i bolagssektorn har avska</w:t>
      </w:r>
      <w:r w:rsidRPr="006C40C1">
        <w:t>ffats. Vidare har momsen på böcker, tidskrifter och persontransporter sänkts och socialavgifterna för vissa företag i stödo</w:t>
      </w:r>
      <w:r w:rsidRPr="006C40C1">
        <w:t>m</w:t>
      </w:r>
      <w:r w:rsidRPr="006C40C1">
        <w:t>råde A reducerats. Dessutom har medel avsatts under tre år för ett nationellt program för entreprenörskap. I syfte att förenkla företagares administration kommer även alla fysiska personer som redovisar intäkter av näringsver</w:t>
      </w:r>
      <w:r w:rsidRPr="006C40C1">
        <w:t>k</w:t>
      </w:r>
      <w:r w:rsidRPr="006C40C1">
        <w:t>samhet att fr.o.m. 2003 få en förtryckt självdeklaration. Nyligen lämnade regeringen också propositioner till riksdagen dels om en utvidgning av regle</w:t>
      </w:r>
      <w:r w:rsidRPr="006C40C1">
        <w:t>r</w:t>
      </w:r>
      <w:r w:rsidRPr="006C40C1">
        <w:t>na om frams</w:t>
      </w:r>
      <w:r w:rsidRPr="006C40C1">
        <w:t>kjuten beskattning vid vissa andelsbyten, dels om att nya företag ska få uppskov med skattebetalningar i tre månader. Syftet med det sista förslaget är att göra det lättare för nya företag att komma i gång med ver</w:t>
      </w:r>
      <w:r w:rsidRPr="006C40C1">
        <w:t>k</w:t>
      </w:r>
      <w:r w:rsidRPr="006C40C1">
        <w:t>samheten.</w:t>
      </w:r>
    </w:p>
    <w:p w:rsidR="00AA5D77" w:rsidRPr="006C40C1" w:rsidRDefault="00AA5D77">
      <w:pPr>
        <w:pStyle w:val="Rubrik4"/>
        <w:rPr>
          <w:noProof w:val="0"/>
        </w:rPr>
      </w:pPr>
      <w:bookmarkStart w:id="130" w:name="_Toc25302142"/>
      <w:bookmarkStart w:id="131" w:name="_Toc26191419"/>
      <w:r w:rsidRPr="006C40C1">
        <w:rPr>
          <w:noProof w:val="0"/>
        </w:rPr>
        <w:t>Förenkling av regelverket</w:t>
      </w:r>
      <w:bookmarkEnd w:id="130"/>
      <w:bookmarkEnd w:id="131"/>
    </w:p>
    <w:p w:rsidR="00AA5D77" w:rsidRPr="006C40C1" w:rsidRDefault="00AA5D77">
      <w:r w:rsidRPr="006C40C1">
        <w:t>När det gäller Småföretagsdelegationens förslag till åtgärder för att förbättra för småföretagen och den s.k. Simplexenheten inom Näringsdepartementet vill utskottet erinra om den tredje redogörelsen om förenklingsarbetet med särskild inriktning på småföretagen (skr. 2002/03:8) som regeringen nyligen lämnade till riksdagen. I likhet med tidigare anges i skrivelsen att det öve</w:t>
      </w:r>
      <w:r w:rsidRPr="006C40C1">
        <w:t>r</w:t>
      </w:r>
      <w:r w:rsidRPr="006C40C1">
        <w:t>gripande målet är att förbättra småföretagens arbetsförutsättningar, konku</w:t>
      </w:r>
      <w:r w:rsidRPr="006C40C1">
        <w:t>r</w:t>
      </w:r>
      <w:r w:rsidRPr="006C40C1">
        <w:t>rensförmåga och villkor i övrigt för att öka sysselsättningen och tillväxten. Ett viktigt delmål, som regeringen sätter upp, är att inom en treårsperiod tydligt minska regelverkens administrativa börda för småföretagen. Målet ska löpa</w:t>
      </w:r>
      <w:r w:rsidRPr="006C40C1">
        <w:t>n</w:t>
      </w:r>
      <w:r w:rsidRPr="006C40C1">
        <w:t>de följas upp och resultaten redovisas för riksdagen. Ett problem i samma</w:t>
      </w:r>
      <w:r w:rsidRPr="006C40C1">
        <w:t>n</w:t>
      </w:r>
      <w:r w:rsidRPr="006C40C1">
        <w:t>hanget är att det saknas metoder för att rättvist mäta den administrativa bö</w:t>
      </w:r>
      <w:r w:rsidRPr="006C40C1">
        <w:t>r</w:t>
      </w:r>
      <w:r w:rsidRPr="006C40C1">
        <w:t>dan. Regeringen har därför gett Institutet för til</w:t>
      </w:r>
      <w:r w:rsidRPr="006C40C1">
        <w:t>lväxtpolitiska studier (ITPS) i uppgift att tillsammans med näringslivet utarbeta en metod för att mäta för</w:t>
      </w:r>
      <w:r w:rsidRPr="006C40C1">
        <w:t>e</w:t>
      </w:r>
      <w:r w:rsidRPr="006C40C1">
        <w:t>tagens administrativa börda. En första mätning enligt den nya metoden ska göras under 2003 och i anslutning till resultaten av mätningen kommer r</w:t>
      </w:r>
      <w:r w:rsidRPr="006C40C1">
        <w:t>e</w:t>
      </w:r>
      <w:r w:rsidRPr="006C40C1">
        <w:t>geringen att redovisa mer konkreta mål för småföretagens regelbörda samt redovisa ett handlingsprogram för hur målen ska nås. Förutom detta redovisas i skrivelsen bl.a. hur myndigheterna tillämpat förordningen om särskild ko</w:t>
      </w:r>
      <w:r w:rsidRPr="006C40C1">
        <w:t>n</w:t>
      </w:r>
      <w:r w:rsidRPr="006C40C1">
        <w:t>sekvensanalys av reglers effekter</w:t>
      </w:r>
      <w:r w:rsidRPr="006C40C1">
        <w:t xml:space="preserve"> för småföretagens villkor. Under 2001 har 29 myndigheter tillsammans infört och ändrat i 377 föreskrifter med bäring på små företag. Myndigheterna har samtidigt upphävt 136 föreskrifter och al</w:t>
      </w:r>
      <w:r w:rsidRPr="006C40C1">
        <w:t>l</w:t>
      </w:r>
      <w:r w:rsidRPr="006C40C1">
        <w:t>männa råd.</w:t>
      </w:r>
    </w:p>
    <w:p w:rsidR="00AA5D77" w:rsidRPr="006C40C1" w:rsidRDefault="00AA5D77">
      <w:pPr>
        <w:pStyle w:val="Normaltindrag"/>
      </w:pPr>
      <w:r w:rsidRPr="006C40C1">
        <w:t>Arbetet med regelförenklingar drivs bl.a. inom den s.k. Simplexenheten på Näringsdepartementet. En prioriterad uppgift har varit utbildning om bl.a. Simplexförordningen för tjänstemän i Regeringskansliet och på myndigheter och i utredningsväsendet. Fram till augusti 2002 hade 24 utbildningar geno</w:t>
      </w:r>
      <w:r w:rsidRPr="006C40C1">
        <w:t>m</w:t>
      </w:r>
      <w:r w:rsidRPr="006C40C1">
        <w:t>förts, i vilka 300 olika tjänstemän deltagit.</w:t>
      </w:r>
    </w:p>
    <w:p w:rsidR="00AA5D77" w:rsidRPr="006C40C1" w:rsidRDefault="00AA5D77">
      <w:pPr>
        <w:pStyle w:val="Normaltindrag"/>
      </w:pPr>
      <w:r w:rsidRPr="006C40C1">
        <w:t>I skrivelsen anger regeringen vidare att arbetet med att identifiera befintl</w:t>
      </w:r>
      <w:r w:rsidRPr="006C40C1">
        <w:t>i</w:t>
      </w:r>
      <w:r w:rsidRPr="006C40C1">
        <w:t>ga regelverk som behöver förenklas ska prioriteras. Som en hjälp i detta a</w:t>
      </w:r>
      <w:r w:rsidRPr="006C40C1">
        <w:t>r</w:t>
      </w:r>
      <w:r w:rsidRPr="006C40C1">
        <w:t>bete har bl.a. ett utökat samråd vid regelförändringar införts med företrädare för små och medelstora företag. Samrådsgruppens uppgift är att fungera som stöd vid utvecklingen av arbetsmetoder samt att ge konkreta förslag på fö</w:t>
      </w:r>
      <w:r w:rsidRPr="006C40C1">
        <w:t>r</w:t>
      </w:r>
      <w:r w:rsidRPr="006C40C1">
        <w:t>enklingar av befintliga regler. Ett resultat av gruppens arbete är bl.a. det fö</w:t>
      </w:r>
      <w:r w:rsidRPr="006C40C1">
        <w:t>r</w:t>
      </w:r>
      <w:r w:rsidRPr="006C40C1">
        <w:t>slag om uppskov med skattebetalningar i tre månader för nya företag som utskottet redovisade ovan. I Näringsdepartement pågår de</w:t>
      </w:r>
      <w:r w:rsidRPr="006C40C1">
        <w:t>ssutom ett projekt avseende nya företagsformer och nya anställningsformer. Syftet med proje</w:t>
      </w:r>
      <w:r w:rsidRPr="006C40C1">
        <w:t>k</w:t>
      </w:r>
      <w:r w:rsidRPr="006C40C1">
        <w:t>tet är bl.a. att studera de hinder som finns när människor går från ett anstäl</w:t>
      </w:r>
      <w:r w:rsidRPr="006C40C1">
        <w:t>l</w:t>
      </w:r>
      <w:r w:rsidRPr="006C40C1">
        <w:t>ningsförhållande till att bli föret</w:t>
      </w:r>
      <w:r w:rsidRPr="006C40C1">
        <w:t>a</w:t>
      </w:r>
      <w:r w:rsidRPr="006C40C1">
        <w:t>gare.</w:t>
      </w:r>
    </w:p>
    <w:p w:rsidR="00AA5D77" w:rsidRPr="006C40C1" w:rsidRDefault="00AA5D77">
      <w:pPr>
        <w:pStyle w:val="Normaltindrag"/>
      </w:pPr>
      <w:r w:rsidRPr="006C40C1">
        <w:t>Utskottet vill i detta sammanhang även nämna Företagsguiden som rege</w:t>
      </w:r>
      <w:r w:rsidRPr="006C40C1">
        <w:t>r</w:t>
      </w:r>
      <w:r w:rsidRPr="006C40C1">
        <w:t>ingen lanserade under 2001. Företagsguiden är en Internetportal med my</w:t>
      </w:r>
      <w:r w:rsidRPr="006C40C1">
        <w:t>n</w:t>
      </w:r>
      <w:r w:rsidRPr="006C40C1">
        <w:t>dighetsinformation riktad till företag och blivande företagare. Adressen till Företagarguiden är www.foretagarguiden.se, och den drivs av Nutek i sama</w:t>
      </w:r>
      <w:r w:rsidRPr="006C40C1">
        <w:t>r</w:t>
      </w:r>
      <w:r w:rsidRPr="006C40C1">
        <w:t>bete med ett trettiotal myndigheter. Utskottet vill också uppmärksamma målet om den s.k. 24-timmarsmyndigheten i den offentliga förvaltningen. Innebö</w:t>
      </w:r>
      <w:r w:rsidRPr="006C40C1">
        <w:t>r</w:t>
      </w:r>
      <w:r w:rsidRPr="006C40C1">
        <w:t>den av målet är att all offentlig myndighetsservice som kan ska tillhandahå</w:t>
      </w:r>
      <w:r w:rsidRPr="006C40C1">
        <w:t>l</w:t>
      </w:r>
      <w:r w:rsidRPr="006C40C1">
        <w:t>las elektroniskt, vilket t.ex. underlättar för företagare i der</w:t>
      </w:r>
      <w:r w:rsidRPr="006C40C1">
        <w:t>as ver</w:t>
      </w:r>
      <w:r w:rsidRPr="006C40C1">
        <w:t>k</w:t>
      </w:r>
      <w:r w:rsidRPr="006C40C1">
        <w:t>samhet.</w:t>
      </w:r>
    </w:p>
    <w:p w:rsidR="00AA5D77" w:rsidRPr="006C40C1" w:rsidRDefault="00AA5D77">
      <w:pPr>
        <w:pStyle w:val="Normaltindrag"/>
      </w:pPr>
      <w:r w:rsidRPr="006C40C1">
        <w:t>Utskottet avslutar avsnittet om konkurrensklimat med att berätta att World Economic Forum i sin konkurrensrapport för 2002 nyligen utsåg Sverige till det femte bästa landet i världen vad gäller konkurrens- och tillväxtklimat. Förra året placerades sig Sverige på en niondeplats. Konkurrensrapporten undersöker 95 olika länder inom en mängd olika områden, som t.ex. det mi</w:t>
      </w:r>
      <w:r w:rsidRPr="006C40C1">
        <w:t>k</w:t>
      </w:r>
      <w:r w:rsidRPr="006C40C1">
        <w:t>roekonomiska klimatet, det generella konkurrensklimatet, infrastruktur, sa</w:t>
      </w:r>
      <w:r w:rsidRPr="006C40C1">
        <w:t>m</w:t>
      </w:r>
      <w:r w:rsidRPr="006C40C1">
        <w:t>arbet</w:t>
      </w:r>
      <w:r w:rsidRPr="006C40C1">
        <w:t>s</w:t>
      </w:r>
      <w:r w:rsidRPr="006C40C1">
        <w:t>klimat, lagstiftning, hållbarhet och miljökrav, IT-utveckling etc.</w:t>
      </w:r>
    </w:p>
    <w:p w:rsidR="00AA5D77" w:rsidRPr="006C40C1" w:rsidRDefault="00AA5D77">
      <w:pPr>
        <w:pStyle w:val="Normaltindrag"/>
      </w:pPr>
      <w:r w:rsidRPr="006C40C1">
        <w:t>Enligt utskottets mening hade topplaceringen i konkurrensrapporten kna</w:t>
      </w:r>
      <w:r w:rsidRPr="006C40C1">
        <w:t>p</w:t>
      </w:r>
      <w:r w:rsidRPr="006C40C1">
        <w:t>past varit möjlig om Moderata samlingspartiet, Folkpartiet liberalerna, Kris</w:t>
      </w:r>
      <w:r w:rsidRPr="006C40C1">
        <w:t>t</w:t>
      </w:r>
      <w:r w:rsidRPr="006C40C1">
        <w:t>demokraterna och Centerpartiet hade fått genomföra den ekonomiska politik de propagerat för under de senaste åren.</w:t>
      </w:r>
    </w:p>
    <w:p w:rsidR="00AA5D77" w:rsidRPr="006C40C1" w:rsidRDefault="00AA5D77">
      <w:pPr>
        <w:pStyle w:val="Rubrik4"/>
        <w:rPr>
          <w:noProof w:val="0"/>
        </w:rPr>
      </w:pPr>
      <w:bookmarkStart w:id="132" w:name="_Toc25302143"/>
      <w:bookmarkStart w:id="133" w:name="_Toc26191420"/>
      <w:r w:rsidRPr="006C40C1">
        <w:rPr>
          <w:noProof w:val="0"/>
        </w:rPr>
        <w:t>Lägre sysselsättningstillväxt</w:t>
      </w:r>
      <w:bookmarkEnd w:id="132"/>
      <w:bookmarkEnd w:id="133"/>
    </w:p>
    <w:p w:rsidR="00AA5D77" w:rsidRPr="006C40C1" w:rsidRDefault="00AA5D77">
      <w:r w:rsidRPr="006C40C1">
        <w:t xml:space="preserve">Utskottet övergår nu till att diskutera arbetsmarknaden. </w:t>
      </w:r>
    </w:p>
    <w:p w:rsidR="00AA5D77" w:rsidRPr="006C40C1" w:rsidRDefault="00AA5D77">
      <w:r w:rsidRPr="006C40C1">
        <w:t>I motion Fi231 (m) hävdar motionärerna att regeringen misslyckats i sina viktigaste mål. Den samlade arbetslösheten är fyra gånger högre än den öppna arbetslösheten och totalt saknar omkring 700 000 personer riktiga jobb.</w:t>
      </w:r>
    </w:p>
    <w:p w:rsidR="00AA5D77" w:rsidRPr="006C40C1" w:rsidRDefault="00AA5D77">
      <w:pPr>
        <w:pStyle w:val="Normaltindrag"/>
      </w:pPr>
      <w:r w:rsidRPr="006C40C1">
        <w:t>I motion Fi232 (fp) anser motionärerna att det krävs en radikal omläggning av arbetsmarknadspolitiken för att sysselsättningen ska öka. Alla fakta visar att AMS inte löst problemen de senaste decennierna, menar motionärerna. Liknande arg</w:t>
      </w:r>
      <w:r w:rsidRPr="006C40C1">
        <w:t>u</w:t>
      </w:r>
      <w:r w:rsidRPr="006C40C1">
        <w:t>ment framförs i motionerna Fi233 (kd) och Fi234 (c).</w:t>
      </w:r>
    </w:p>
    <w:p w:rsidR="00AA5D77" w:rsidRPr="006C40C1" w:rsidRDefault="00AA5D77">
      <w:r w:rsidRPr="006C40C1">
        <w:t>Till skillnad från motionärerna kan utskottet konstatera att den svenska a</w:t>
      </w:r>
      <w:r w:rsidRPr="006C40C1">
        <w:t>r</w:t>
      </w:r>
      <w:r w:rsidRPr="006C40C1">
        <w:t>betsmarknaden förbättrades markant i slutet av 1990-talet och början av 2000-talet. Sysselsättningen steg samtidigt som både den öppna och den totala arbetslösheten sjönk. Mellan 1997 och 2001 ökade sysselsättningen med omkring 320 000 personer, och den öppna arbetslösheten gick ned med drygt 4 procentenheter.</w:t>
      </w:r>
    </w:p>
    <w:p w:rsidR="00AA5D77" w:rsidRPr="006C40C1" w:rsidRDefault="00AA5D77">
      <w:pPr>
        <w:pStyle w:val="Normaltindrag"/>
      </w:pPr>
      <w:r w:rsidRPr="006C40C1">
        <w:t>Till följd av den svaga internationella konjunkturen har dock efterfrågan på arbetskraft avtagit högst väsentligt, men trots det har sysselsättningen hittills i år (t.o.m. oktober 2002) ökat med omkr</w:t>
      </w:r>
      <w:r w:rsidRPr="006C40C1">
        <w:t>ing 4 000 personer jämfört med samma period i fjol. Enligt Statistiska centralbyråns senaste s.k. arbet</w:t>
      </w:r>
      <w:r w:rsidRPr="006C40C1">
        <w:t>s</w:t>
      </w:r>
      <w:r w:rsidRPr="006C40C1">
        <w:t>kraftsundersökning (AKU) var 4 225 000 personer sysselsatta i oktober i år. Det är 3 000 personer fler än i oktober 2001. Den öppna arbetslösheten låg i okt</w:t>
      </w:r>
      <w:r w:rsidRPr="006C40C1">
        <w:t>o</w:t>
      </w:r>
      <w:r w:rsidRPr="006C40C1">
        <w:t>ber på 3,7 %, mot 4 % samma månad i fjol.</w:t>
      </w:r>
    </w:p>
    <w:p w:rsidR="00AA5D77" w:rsidRPr="006C40C1" w:rsidRDefault="00AA5D77">
      <w:pPr>
        <w:pStyle w:val="Rubrik4"/>
        <w:rPr>
          <w:noProof w:val="0"/>
        </w:rPr>
      </w:pPr>
      <w:bookmarkStart w:id="134" w:name="_Toc516364744"/>
      <w:bookmarkStart w:id="135" w:name="_Toc10877606"/>
      <w:bookmarkStart w:id="136" w:name="_Toc25302144"/>
      <w:bookmarkStart w:id="137" w:name="_Toc26191421"/>
      <w:r w:rsidRPr="006C40C1">
        <w:rPr>
          <w:noProof w:val="0"/>
        </w:rPr>
        <w:t>Målet för den öppna arbetslösheten nåddes hösten 2000</w:t>
      </w:r>
      <w:bookmarkEnd w:id="134"/>
      <w:bookmarkEnd w:id="135"/>
      <w:bookmarkEnd w:id="136"/>
      <w:bookmarkEnd w:id="137"/>
    </w:p>
    <w:p w:rsidR="00AA5D77" w:rsidRPr="006C40C1" w:rsidRDefault="00AA5D77">
      <w:r w:rsidRPr="006C40C1">
        <w:t>Målet om en halvering av den öppna arbetslösheten till 4 % 2000 som rege</w:t>
      </w:r>
      <w:r w:rsidRPr="006C40C1">
        <w:t>r</w:t>
      </w:r>
      <w:r w:rsidRPr="006C40C1">
        <w:t>ing och riksdag satte upp 1996 nåddes i oktober 2000, och den öppna arbet</w:t>
      </w:r>
      <w:r w:rsidRPr="006C40C1">
        <w:t>s</w:t>
      </w:r>
      <w:r w:rsidRPr="006C40C1">
        <w:t xml:space="preserve">lösheten var i genomsnitt 4 % under 2001. Även hittills i år har den öppna arbetslösheten legat på i genomsnitt 4 % per månad, med den ovan redovisade nivån i oktober 2002 på 3,7 %. Enligt AMS månadsstatistik steg emellertid det s.k. obalanstalet, dvs. andelen öppet arbetslösa plus andelen personer i konjunkturberoende arbetsmarknadspolitiska program, till 6,6 % i oktober från 6,4 % i oktober 2001. Orsaken är att antalet deltagare i </w:t>
      </w:r>
      <w:r w:rsidRPr="006C40C1">
        <w:t>de olika arbet</w:t>
      </w:r>
      <w:r w:rsidRPr="006C40C1">
        <w:t>s</w:t>
      </w:r>
      <w:r w:rsidRPr="006C40C1">
        <w:t>marknadspol</w:t>
      </w:r>
      <w:r w:rsidRPr="006C40C1">
        <w:t>i</w:t>
      </w:r>
      <w:r w:rsidRPr="006C40C1">
        <w:t xml:space="preserve">tiska programmen ökat jämfört med i fjol. </w:t>
      </w:r>
    </w:p>
    <w:p w:rsidR="00AA5D77" w:rsidRPr="006C40C1" w:rsidRDefault="00AA5D77">
      <w:pPr>
        <w:pStyle w:val="Normaltindrag"/>
      </w:pPr>
      <w:r w:rsidRPr="006C40C1">
        <w:t>Med tanke på den svaga internationella efterfrågan och de stora struktu</w:t>
      </w:r>
      <w:r w:rsidRPr="006C40C1">
        <w:t>r</w:t>
      </w:r>
      <w:r w:rsidRPr="006C40C1">
        <w:t>förändringarna inom t.ex. IKT-sektorn måste utvecklingen på arbetsmarkn</w:t>
      </w:r>
      <w:r w:rsidRPr="006C40C1">
        <w:t>a</w:t>
      </w:r>
      <w:r w:rsidRPr="006C40C1">
        <w:t>den totalt sett betecknas som god. Utskottet vill dock framhålla att arbet</w:t>
      </w:r>
      <w:r w:rsidRPr="006C40C1">
        <w:t>s</w:t>
      </w:r>
      <w:r w:rsidRPr="006C40C1">
        <w:t>marknadsstatistiken visar att skillnaderna mellan olika regioner i Sverige är stora. Som redovisades ovan uppgick obalanstalet i hela riket till 6,6 % i oktober i år, enligt AMS uppgifter. I Stockholms län och Jönköpings län var siffran 4,1 % medan den i Norrbottens län uppgick till 12 %. En närmare genomgång av siffrorna visar att den totala arbetslösheten unde</w:t>
      </w:r>
      <w:r w:rsidRPr="006C40C1">
        <w:t>r det senaste året sjunkit i elva län, stigit i nio län och varit oförändrad i ett län. Störst var uppgången i Stockholms län där den totala arbetslösheten ökade med 0,8 procentenheter. Störst var nedgången i Jönköpings län, Hallands län och Örebro län. Siffrorna visar också att den öppna arbetslösheten under det gångna året sjunkit i alla län utom Stockholms län, Uppsala län, Gotlands län och Västmanlands län. I oktober i år uppvisade 12 av 21 län en öppen arbet</w:t>
      </w:r>
      <w:r w:rsidRPr="006C40C1">
        <w:t>s</w:t>
      </w:r>
      <w:r w:rsidRPr="006C40C1">
        <w:t>löshet under 4 %. Under samma månad förra år</w:t>
      </w:r>
      <w:r w:rsidRPr="006C40C1">
        <w:t>et var antalet 7 län.</w:t>
      </w:r>
    </w:p>
    <w:p w:rsidR="00AA5D77" w:rsidRPr="006C40C1" w:rsidRDefault="00AA5D77">
      <w:pPr>
        <w:pStyle w:val="Rubrik4"/>
        <w:rPr>
          <w:noProof w:val="0"/>
        </w:rPr>
      </w:pPr>
      <w:bookmarkStart w:id="138" w:name="_Toc516364745"/>
      <w:bookmarkStart w:id="139" w:name="_Toc10877607"/>
      <w:bookmarkStart w:id="140" w:name="_Toc25302145"/>
      <w:bookmarkStart w:id="141" w:name="_Toc26191422"/>
      <w:r w:rsidRPr="006C40C1">
        <w:rPr>
          <w:noProof w:val="0"/>
        </w:rPr>
        <w:t>Sysselsättningsmålet har utvecklats gynnsamt men ...</w:t>
      </w:r>
      <w:bookmarkEnd w:id="138"/>
      <w:bookmarkEnd w:id="139"/>
      <w:bookmarkEnd w:id="140"/>
      <w:bookmarkEnd w:id="141"/>
    </w:p>
    <w:p w:rsidR="00AA5D77" w:rsidRPr="006C40C1" w:rsidRDefault="00AA5D77">
      <w:r w:rsidRPr="006C40C1">
        <w:t>SCB:s undersökningar visar att även riksdagens och regeringens s.k. sysse</w:t>
      </w:r>
      <w:r w:rsidRPr="006C40C1">
        <w:t>l</w:t>
      </w:r>
      <w:r w:rsidRPr="006C40C1">
        <w:t xml:space="preserve">sättningsmål har utvecklats relativt väl, dvs. att antalet sysselsatta i åldern 20–64 år som andel av befolkningen i samma åldersgrupp ska uppgå till 80 % 2004. Till följd av lågkonjunkturen och den svagare sysselsättningstillväxten har dock sysselsättningsgraden varit relativt oförändrad eller t.o.m. sjunkit något sedan mitten av 2001, efter den kraftiga uppgången under perioden 1997–2000. </w:t>
      </w:r>
    </w:p>
    <w:p w:rsidR="00AA5D77" w:rsidRPr="006C40C1" w:rsidRDefault="00AA5D77">
      <w:pPr>
        <w:pStyle w:val="Normaltindrag"/>
      </w:pPr>
      <w:r w:rsidRPr="006C40C1">
        <w:t>Samtidigt som sysselsättningstillväxten mattats av väsentligt det senaste året har efterfrågan på arbetskraft försva</w:t>
      </w:r>
      <w:r w:rsidRPr="006C40C1">
        <w:t>gats. Antalet nyanmälda lediga pla</w:t>
      </w:r>
      <w:r w:rsidRPr="006C40C1">
        <w:t>t</w:t>
      </w:r>
      <w:r w:rsidRPr="006C40C1">
        <w:t>ser till arbetsförmedlingarna har sjunkit, även om nyanmälningarna jämfört med förra året ökat något under de senaste månaderna (enligt AMS består den senaste uppgången av lediga platser uteslutande av s.k. visstidsanställningar). AMS statistik visar vidare att antalet varsel om uppsägningar hittills i år lig</w:t>
      </w:r>
      <w:r w:rsidRPr="006C40C1">
        <w:t>g</w:t>
      </w:r>
      <w:r w:rsidRPr="006C40C1">
        <w:t>er på samma höga tal som i fjol, då antalet varsel ökade mycket kraftigt jä</w:t>
      </w:r>
      <w:r w:rsidRPr="006C40C1">
        <w:t>m</w:t>
      </w:r>
      <w:r w:rsidRPr="006C40C1">
        <w:t>fört med åren dessfö</w:t>
      </w:r>
      <w:r w:rsidRPr="006C40C1">
        <w:t>r</w:t>
      </w:r>
      <w:r w:rsidRPr="006C40C1">
        <w:t>innan.</w:t>
      </w:r>
    </w:p>
    <w:p w:rsidR="00AA5D77" w:rsidRPr="006C40C1" w:rsidRDefault="00AA5D77">
      <w:pPr>
        <w:pStyle w:val="Normaltindrag"/>
      </w:pPr>
      <w:r w:rsidRPr="006C40C1">
        <w:t>Av Konjunkturinstitutets (KI) senaste barometer för tredje kva</w:t>
      </w:r>
      <w:r w:rsidRPr="006C40C1">
        <w:t>rtalet fra</w:t>
      </w:r>
      <w:r w:rsidRPr="006C40C1">
        <w:t>m</w:t>
      </w:r>
      <w:r w:rsidRPr="006C40C1">
        <w:t>går också  att företagen i industrin räknar med en fortsatt minskad sysselsät</w:t>
      </w:r>
      <w:r w:rsidRPr="006C40C1">
        <w:t>t</w:t>
      </w:r>
      <w:r w:rsidRPr="006C40C1">
        <w:t>ning framöver. Det finns dock skillnader mellan de olika branscherna. I t.ex. den kemiska industrin planerar företagen att nyanställa under de närmaste månaderna medan företagen i teleprodukts- och järn- och stålverksindustrin anger minskad sysselsättning. Samtidigt innebär detta att företagen nu uppger att de tidigare svårigheterna med att rekrytera lämplig personal avtagit ma</w:t>
      </w:r>
      <w:r w:rsidRPr="006C40C1">
        <w:t>r</w:t>
      </w:r>
      <w:r w:rsidRPr="006C40C1">
        <w:t>kant – endast 4 % av industriföretagen ang</w:t>
      </w:r>
      <w:r w:rsidRPr="006C40C1">
        <w:t xml:space="preserve">av i oktober att de upplevde en brist på arbetskraft. </w:t>
      </w:r>
    </w:p>
    <w:p w:rsidR="00AA5D77" w:rsidRPr="006C40C1" w:rsidRDefault="00AA5D77">
      <w:pPr>
        <w:pStyle w:val="Normaltindrag"/>
      </w:pPr>
      <w:r w:rsidRPr="006C40C1">
        <w:t>I tjänstesektorn är situationen lite mer blandad än inom industrin. Föret</w:t>
      </w:r>
      <w:r w:rsidRPr="006C40C1">
        <w:t>a</w:t>
      </w:r>
      <w:r w:rsidRPr="006C40C1">
        <w:t>gen inom detaljhandeln anger minskad sysselsättning framöver medan föret</w:t>
      </w:r>
      <w:r w:rsidRPr="006C40C1">
        <w:t>a</w:t>
      </w:r>
      <w:r w:rsidRPr="006C40C1">
        <w:t>gen inom t.ex. sällanköpshandeln och uppdragsverksamheten behöver anställa arbetskraft. I byggindustrin räknar företagen med en fortsatt sjunkande sysse</w:t>
      </w:r>
      <w:r w:rsidRPr="006C40C1">
        <w:t>l</w:t>
      </w:r>
      <w:r w:rsidRPr="006C40C1">
        <w:t>sät</w:t>
      </w:r>
      <w:r w:rsidRPr="006C40C1">
        <w:t>t</w:t>
      </w:r>
      <w:r w:rsidRPr="006C40C1">
        <w:t>ning.</w:t>
      </w:r>
    </w:p>
    <w:p w:rsidR="00AA5D77" w:rsidRPr="006C40C1" w:rsidRDefault="00AA5D77">
      <w:pPr>
        <w:pStyle w:val="Rubrik4"/>
        <w:rPr>
          <w:noProof w:val="0"/>
        </w:rPr>
      </w:pPr>
      <w:bookmarkStart w:id="142" w:name="_Toc516364746"/>
      <w:bookmarkStart w:id="143" w:name="_Toc10877608"/>
      <w:bookmarkStart w:id="144" w:name="_Toc25302146"/>
      <w:bookmarkStart w:id="145" w:name="_Toc26191423"/>
      <w:r w:rsidRPr="006C40C1">
        <w:rPr>
          <w:noProof w:val="0"/>
        </w:rPr>
        <w:t>... det krävs insatser för att målet ska nås</w:t>
      </w:r>
      <w:bookmarkEnd w:id="142"/>
      <w:bookmarkEnd w:id="143"/>
      <w:bookmarkEnd w:id="144"/>
      <w:bookmarkEnd w:id="145"/>
    </w:p>
    <w:p w:rsidR="00AA5D77" w:rsidRPr="006C40C1" w:rsidRDefault="00AA5D77">
      <w:r w:rsidRPr="006C40C1">
        <w:t>För att öka förutsättningarna för att nå målet om en sysselsättningsgrad på 80 % är det enligt utskottets mening angeläget att åtgärder vidtas inom en rad områden. Utbudet av arbetskraft måste öka och den svenska arbetsmarkn</w:t>
      </w:r>
      <w:r w:rsidRPr="006C40C1">
        <w:t>a</w:t>
      </w:r>
      <w:r w:rsidRPr="006C40C1">
        <w:t>dens sätt att fungera måste förbättras ytterligare. I traditionell svensk arbet</w:t>
      </w:r>
      <w:r w:rsidRPr="006C40C1">
        <w:t>s</w:t>
      </w:r>
      <w:r w:rsidRPr="006C40C1">
        <w:t>marknadspolitisk anda måste arbetslinjen, som numera kan betraktas som en arbets- och kompetenslinje, hävdas. Matchningen mellan arbetssökande och lediga platser måste effektiviseras ytterligare så att sysselsättningen kan for</w:t>
      </w:r>
      <w:r w:rsidRPr="006C40C1">
        <w:t>t</w:t>
      </w:r>
      <w:r w:rsidRPr="006C40C1">
        <w:t xml:space="preserve">sätta att öka utan att inflationsdrivande och tillväxthämmande flaskhalsar uppstår. Arbetsförmedlingarnas verksamhet måste i ännu högre grad inriktas på att förhindra bristsituationer och förmedla lediga </w:t>
      </w:r>
      <w:r w:rsidRPr="006C40C1">
        <w:t>jobb. Vakanstiderna måste kortas och långtidsarbetslösheten minskas. Förmedlingarna måste även fortsättningsvis prioritera personer som är långtidsarbets</w:t>
      </w:r>
      <w:r w:rsidRPr="006C40C1">
        <w:softHyphen/>
        <w:t>lösa och långtidsi</w:t>
      </w:r>
      <w:r w:rsidRPr="006C40C1">
        <w:t>n</w:t>
      </w:r>
      <w:r w:rsidRPr="006C40C1">
        <w:t>skrivna. Stora ansträngningar måste göras för att öka sysselsättningsgraden bland t.ex. äldre, funktionshindrade och utomnordiska grupper, även om utskottet med glädje kan konstatera att arbetslösheten för delar av dessa gru</w:t>
      </w:r>
      <w:r w:rsidRPr="006C40C1">
        <w:t>p</w:t>
      </w:r>
      <w:r w:rsidRPr="006C40C1">
        <w:t>per sjunkit en hel del under det senaste året.</w:t>
      </w:r>
    </w:p>
    <w:p w:rsidR="00AA5D77" w:rsidRPr="006C40C1" w:rsidRDefault="00AA5D77">
      <w:pPr>
        <w:pStyle w:val="Rubrik4"/>
        <w:rPr>
          <w:noProof w:val="0"/>
        </w:rPr>
      </w:pPr>
      <w:bookmarkStart w:id="146" w:name="_Toc25302147"/>
      <w:bookmarkStart w:id="147" w:name="_Toc26191424"/>
      <w:r w:rsidRPr="006C40C1">
        <w:rPr>
          <w:noProof w:val="0"/>
        </w:rPr>
        <w:t>Arbetsmarknadspolitiken har lagts om</w:t>
      </w:r>
      <w:bookmarkEnd w:id="146"/>
      <w:bookmarkEnd w:id="147"/>
    </w:p>
    <w:p w:rsidR="00AA5D77" w:rsidRPr="006C40C1" w:rsidRDefault="00AA5D77">
      <w:r w:rsidRPr="006C40C1">
        <w:t>Till skillnad mot vad som hävdas i partimotionerna kan utskottet konstatera att arbetsmarknadspolitiken har en klart tillväxtfrämjande inriktning. Voly</w:t>
      </w:r>
      <w:r w:rsidRPr="006C40C1">
        <w:t>m</w:t>
      </w:r>
      <w:r w:rsidRPr="006C40C1">
        <w:t>målen har tagits bort och inslagen av matchning och utbildning har ökat ma</w:t>
      </w:r>
      <w:r w:rsidRPr="006C40C1">
        <w:t>r</w:t>
      </w:r>
      <w:r w:rsidRPr="006C40C1">
        <w:t xml:space="preserve">kant. </w:t>
      </w:r>
    </w:p>
    <w:p w:rsidR="00AA5D77" w:rsidRPr="006C40C1" w:rsidRDefault="00AA5D77">
      <w:pPr>
        <w:pStyle w:val="Normaltindrag"/>
      </w:pPr>
      <w:r w:rsidRPr="006C40C1">
        <w:t>I regeringens regleringsbrev till Arbetsmarknadsverket för 2002 anges att målen för arbetsmarknadspolitiken bl.a. ska vara att vakanstiderna för lediga platser och arbetslöshetstiden för arbetssökande ska hållas nere. Ett konkret mål är att minst 80 % av företagen ska få tag på den personal de vill anställa. I augusti i år angav 81 % av företagen att de utan problem kunde rekrytera efterfrågad personal, enligt AMS egna mätnin</w:t>
      </w:r>
      <w:r w:rsidRPr="006C40C1">
        <w:t>gar. Vidare ska antalet lån</w:t>
      </w:r>
      <w:r w:rsidRPr="006C40C1">
        <w:t>g</w:t>
      </w:r>
      <w:r w:rsidRPr="006C40C1">
        <w:t>tidsinskrivna minska kontinuerligt och uppgå till i genomsnitt högst 42 000 personer per månad. Kompetenshöjande åtgärder ska sättas in för dem som har svårast att komma in på arbetsmarknaden. Ett konkret mål inom detta område är att andelen personer som fått arbete 90 dagar efter avslutad arbet</w:t>
      </w:r>
      <w:r w:rsidRPr="006C40C1">
        <w:t>s</w:t>
      </w:r>
      <w:r w:rsidRPr="006C40C1">
        <w:t>marknadsutbildning i genomsnitt ska uppgå till minst 70 %. Dessutom ska i genomsnitt minst 59 000 arbetshandikappade personer per månad ha lämpligt arbete. Andelen personer som går från l</w:t>
      </w:r>
      <w:r w:rsidRPr="006C40C1">
        <w:t>önebidragsfinansierat arbete till osu</w:t>
      </w:r>
      <w:r w:rsidRPr="006C40C1">
        <w:t>b</w:t>
      </w:r>
      <w:r w:rsidRPr="006C40C1">
        <w:t>vention</w:t>
      </w:r>
      <w:r w:rsidRPr="006C40C1">
        <w:t>e</w:t>
      </w:r>
      <w:r w:rsidRPr="006C40C1">
        <w:t>rat ska öka under året.</w:t>
      </w:r>
    </w:p>
    <w:p w:rsidR="00AA5D77" w:rsidRPr="006C40C1" w:rsidRDefault="00AA5D77">
      <w:pPr>
        <w:pStyle w:val="Normaltindrag"/>
      </w:pPr>
      <w:r w:rsidRPr="006C40C1">
        <w:t xml:space="preserve"> Åtgärderna inriktas i allt högre grad mot sektorer där brist på arbetskraft bedöms uppkomma. I sin prognos över arbetskraftsbehovet 2002 och framåt pekar AMS bl.a. ut IT-specialister, vård- och omsorgsyrken och lärare som exempel på områden där behoven av arbetskraft stadigt ökar och där utbil</w:t>
      </w:r>
      <w:r w:rsidRPr="006C40C1">
        <w:t>d</w:t>
      </w:r>
      <w:r w:rsidRPr="006C40C1">
        <w:t>ningsinsatser i olika former behövs. Till exempel har en bristyrkesutbildning för redan anställda införts som en försöksverksamhet, och ett förstärkt a</w:t>
      </w:r>
      <w:r w:rsidRPr="006C40C1">
        <w:t>n</w:t>
      </w:r>
      <w:r w:rsidRPr="006C40C1">
        <w:t>ställningsstöd har införts för att öka de långtidsinskrivnas möjligheter att få ett reguljärt arbete. Anställningsstödet förstärktes ytterligare i fjol, och u</w:t>
      </w:r>
      <w:r w:rsidRPr="006C40C1">
        <w:t>t</w:t>
      </w:r>
      <w:r w:rsidRPr="006C40C1">
        <w:t>skottet vill i anslutning till detta nämna att det förstärkta anställningsstödet för personer som varit inskrivna i arbetsförmedlingen under två år i oktober o</w:t>
      </w:r>
      <w:r w:rsidRPr="006C40C1">
        <w:t>m</w:t>
      </w:r>
      <w:r w:rsidRPr="006C40C1">
        <w:t>fattade drygt 7 300 personer. Vidare kan</w:t>
      </w:r>
      <w:r w:rsidRPr="006C40C1">
        <w:t xml:space="preserve"> utskottet notera att det pågår ett löpande arbete med att förenkla det arbetsmarknadspolitiska regelverket. </w:t>
      </w:r>
    </w:p>
    <w:p w:rsidR="00AA5D77" w:rsidRPr="006C40C1" w:rsidRDefault="00AA5D77">
      <w:pPr>
        <w:pStyle w:val="Normaltindrag"/>
      </w:pPr>
      <w:r w:rsidRPr="006C40C1">
        <w:t>Till följd av konjunkturnedgången bedömer regeringen i budgetpropositi</w:t>
      </w:r>
      <w:r w:rsidRPr="006C40C1">
        <w:t>o</w:t>
      </w:r>
      <w:r w:rsidRPr="006C40C1">
        <w:t>nen att antalet deltagare i de konjunkturberoende arbetsmarknadspolitiska programmen i år uppgår till i genomsnitt 115 000, något fler än i  fjol och 4 000 fler än vad regeringen bedömde i vårpropositionen för 2002. I takt med att aktiviteten i ekonomin ökar väntas antalet deltagare minska, till i geno</w:t>
      </w:r>
      <w:r w:rsidRPr="006C40C1">
        <w:t>m</w:t>
      </w:r>
      <w:r w:rsidRPr="006C40C1">
        <w:t>snitt 97 000 personer 2003.  Detta kan jämföras med att antalet deltagare 1994 var drygt 235 000 personer – en nedgång med omkring 110 000 personer peri</w:t>
      </w:r>
      <w:r w:rsidRPr="006C40C1">
        <w:t>o</w:t>
      </w:r>
      <w:r w:rsidRPr="006C40C1">
        <w:t xml:space="preserve">den 1994–2001. </w:t>
      </w:r>
    </w:p>
    <w:p w:rsidR="00AA5D77" w:rsidRPr="006C40C1" w:rsidRDefault="00AA5D77">
      <w:pPr>
        <w:pStyle w:val="Normaltindrag"/>
      </w:pPr>
      <w:r w:rsidRPr="006C40C1">
        <w:t>Som följd av propositionen om omläggni</w:t>
      </w:r>
      <w:r w:rsidRPr="006C40C1">
        <w:t>ngen av arbetsmarknadspolitiken (1999/2000:98) infördes under 2000 en aktivitetsgaranti för personer som är eller löper risk att bli långtidsarbetslösa. Antalet deltagare i aktivitetsgarantin uppgick i mars i år till omkring 38 800 personer. Utskottet vill erinra om att regeringen i budgetpropositionen anger att den avser att återkomma med förslag om en vidareutveckling av det särskilda anställningsstödet i syfte att öka jobbchanserna för de personer som under en lång tid befunnit sig i akt</w:t>
      </w:r>
      <w:r w:rsidRPr="006C40C1">
        <w:t>i</w:t>
      </w:r>
      <w:r w:rsidRPr="006C40C1">
        <w:t>vitetsgarantin m</w:t>
      </w:r>
      <w:r w:rsidRPr="006C40C1">
        <w:t>en som trots det inte lyckats få fotfäste på arbetsmarkn</w:t>
      </w:r>
      <w:r w:rsidRPr="006C40C1">
        <w:t>a</w:t>
      </w:r>
      <w:r w:rsidRPr="006C40C1">
        <w:t>den.</w:t>
      </w:r>
    </w:p>
    <w:p w:rsidR="00AA5D77" w:rsidRPr="006C40C1" w:rsidRDefault="00AA5D77">
      <w:pPr>
        <w:pStyle w:val="Normaltindrag"/>
      </w:pPr>
      <w:r w:rsidRPr="006C40C1">
        <w:t>Riksdagen beslutade under 2000 om en relativt omfattande reformering av arbetslöshetsförsäkringen. Reformeringen innebar bl.a. att försäkringens roll som omställningsförsäkring förtydligades. Kraven på den arbetslöse tydli</w:t>
      </w:r>
      <w:r w:rsidRPr="006C40C1">
        <w:t>g</w:t>
      </w:r>
      <w:r w:rsidRPr="006C40C1">
        <w:t>gjordes samtidigt som rättssäkerheten för den enskilde förstärktes. Regerin</w:t>
      </w:r>
      <w:r w:rsidRPr="006C40C1">
        <w:t>g</w:t>
      </w:r>
      <w:r w:rsidRPr="006C40C1">
        <w:t>en anger i budgetpropositionen att den avser att lägga fram förslag om ytterl</w:t>
      </w:r>
      <w:r w:rsidRPr="006C40C1">
        <w:t>i</w:t>
      </w:r>
      <w:r w:rsidRPr="006C40C1">
        <w:t>gare förbättringar av matchningsprocessen på arbetsmarknaden, bl.a. genom ändringar av relationen mellan arbetslöshetsförsäkringen och aktivitetsgara</w:t>
      </w:r>
      <w:r w:rsidRPr="006C40C1">
        <w:t>n</w:t>
      </w:r>
      <w:r w:rsidRPr="006C40C1">
        <w:t xml:space="preserve">tin. </w:t>
      </w:r>
    </w:p>
    <w:p w:rsidR="00AA5D77" w:rsidRPr="006C40C1" w:rsidRDefault="00AA5D77">
      <w:pPr>
        <w:pStyle w:val="Normaltindrag"/>
      </w:pPr>
      <w:r w:rsidRPr="006C40C1">
        <w:t>Regeringen har under de senaste åren föreslagit ett antal nya åtgärder för att höja arbetsutbudet, öka sysselsättningen och förbättra tillväxtmöjligheterna i alla delar av landet. Bland annat permanent</w:t>
      </w:r>
      <w:r w:rsidRPr="006C40C1">
        <w:t>as fr.o.m. i år de extra 700 milj</w:t>
      </w:r>
      <w:r w:rsidRPr="006C40C1">
        <w:t>o</w:t>
      </w:r>
      <w:r w:rsidRPr="006C40C1">
        <w:t>ner kronor som Arbetsmarknadsverket de senaste åren använt för tillfällig personal vid arbetsförmedlingarna. Förstärkningen ska bl.a. användas för att förbättra kvaliteten i aktivitetsgarantin, kontakterna med arbetsgivarna och de individuella handlingsplanerna. För att minska deltidsarbetslösheten har 100 miljoner kronor avsatts under perioden 2002–2004. Från och med i år inrättas ytterligare motsvarande 1 000 lönebidragsplatser så att fler arbetshandikapp</w:t>
      </w:r>
      <w:r w:rsidRPr="006C40C1">
        <w:t>a</w:t>
      </w:r>
      <w:r w:rsidRPr="006C40C1">
        <w:t>de får möjlighet</w:t>
      </w:r>
      <w:r w:rsidRPr="006C40C1">
        <w:t xml:space="preserve"> att komma ut på arbetsmarknaden. För att bl.a. minska te</w:t>
      </w:r>
      <w:r w:rsidRPr="006C40C1">
        <w:t>n</w:t>
      </w:r>
      <w:r w:rsidRPr="006C40C1">
        <w:t>denserna till flaskhalsar och arbetskraftsbrist i storstadsregionerna har ett tidsbegränsat investeringsbidrag införts för att öka produktionen av främst små och medelstora hyreslägenheter. I februari i år påbörjades en försök</w:t>
      </w:r>
      <w:r w:rsidRPr="006C40C1">
        <w:t>s</w:t>
      </w:r>
      <w:r w:rsidRPr="006C40C1">
        <w:t>verksamhet med ett s.k. friår. Friåret innebär att anställd personal ska få mö</w:t>
      </w:r>
      <w:r w:rsidRPr="006C40C1">
        <w:t>j</w:t>
      </w:r>
      <w:r w:rsidRPr="006C40C1">
        <w:t>lighet att ta ledigt upp till ett år under förutsättning att arbetsgivaren samtidigt anställer en person som varit arbetslös som vikarie. Försöket s</w:t>
      </w:r>
      <w:r w:rsidRPr="006C40C1">
        <w:t xml:space="preserve">ka hålla på till december 2004 och omfattar tolv kommuner – Botkyrka, Gällivare, Göteborg, Hultsfred, Hällefors, Katrineholm, Landskrona, Lund, Piteå, Strömsund, Västerås och Åmål. </w:t>
      </w:r>
    </w:p>
    <w:p w:rsidR="00AA5D77" w:rsidRPr="006C40C1" w:rsidRDefault="00AA5D77">
      <w:pPr>
        <w:pStyle w:val="Normaltindrag"/>
      </w:pPr>
      <w:r w:rsidRPr="006C40C1">
        <w:t>Vidare föreslår regeringen i budgetpropositionen att det tillfälliga sysse</w:t>
      </w:r>
      <w:r w:rsidRPr="006C40C1">
        <w:t>l</w:t>
      </w:r>
      <w:r w:rsidRPr="006C40C1">
        <w:t xml:space="preserve">sättningsstödet till kommuner och landsting som infördes i år förlängs till att gälla även under 2003. </w:t>
      </w:r>
    </w:p>
    <w:p w:rsidR="00AA5D77" w:rsidRPr="006C40C1" w:rsidRDefault="00AA5D77">
      <w:pPr>
        <w:pStyle w:val="Rubrik4"/>
        <w:rPr>
          <w:noProof w:val="0"/>
        </w:rPr>
      </w:pPr>
      <w:bookmarkStart w:id="148" w:name="_Toc25302148"/>
      <w:bookmarkStart w:id="149" w:name="_Toc26191425"/>
      <w:r w:rsidRPr="006C40C1">
        <w:rPr>
          <w:noProof w:val="0"/>
        </w:rPr>
        <w:t>Satsningarna på utbildning och kompetens höjer arbetskraftsutbudet</w:t>
      </w:r>
      <w:bookmarkEnd w:id="148"/>
      <w:bookmarkEnd w:id="149"/>
      <w:r w:rsidRPr="006C40C1">
        <w:rPr>
          <w:noProof w:val="0"/>
        </w:rPr>
        <w:t xml:space="preserve"> </w:t>
      </w:r>
    </w:p>
    <w:p w:rsidR="00AA5D77" w:rsidRPr="006C40C1" w:rsidRDefault="00AA5D77">
      <w:r w:rsidRPr="006C40C1">
        <w:t>Till insatserna för att öka arbetskraftsutbudet och minska riskerna för infl</w:t>
      </w:r>
      <w:r w:rsidRPr="006C40C1">
        <w:t>a</w:t>
      </w:r>
      <w:r w:rsidRPr="006C40C1">
        <w:t>tionsdrivande flaskhalsar ska enligt utskottets mening också läggas de refo</w:t>
      </w:r>
      <w:r w:rsidRPr="006C40C1">
        <w:t>r</w:t>
      </w:r>
      <w:r w:rsidRPr="006C40C1">
        <w:t>mer och de medel som satsas på att effektivisera och öka utbildningen och kompetensutvecklingen. Som tidigare nämnts har regeringen presenterat ett förslag om system för individuell kompetensutveckling. Systemet ska enligt planerna träda i kraft den 1 juli 2003 och bygger på att den enskilde individen ska kunna göra avdragsgilla insättningar på ett kompetenskonto. Ytterligare åtgärder är att Högskoleverket fått i uppdrag att analys</w:t>
      </w:r>
      <w:r w:rsidRPr="006C40C1">
        <w:t>era hur högskolans utbildningsutbud bättre ska kunna anpassas till arbetsmarknadens behov. Enligt utskottets mening bidrar också maxtaxan i barnomsorgen och de ska</w:t>
      </w:r>
      <w:r w:rsidRPr="006C40C1">
        <w:t>t</w:t>
      </w:r>
      <w:r w:rsidRPr="006C40C1">
        <w:t>tesänkningar för särskilt låg- och medelinkomsttagare som genomförts under perioden 2000–2002 till att öka utbudet av arbetskraft. Vidare kan också den införda möjligheten att fortsätta att arbeta efter 65 års ålder bidra till stigande sysselsättning.</w:t>
      </w:r>
    </w:p>
    <w:p w:rsidR="00AA5D77" w:rsidRPr="006C40C1" w:rsidRDefault="00AA5D77">
      <w:pPr>
        <w:pStyle w:val="Rubrik4"/>
        <w:rPr>
          <w:noProof w:val="0"/>
        </w:rPr>
      </w:pPr>
      <w:bookmarkStart w:id="150" w:name="_Toc25302149"/>
      <w:bookmarkStart w:id="151" w:name="_Toc26191426"/>
      <w:r w:rsidRPr="006C40C1">
        <w:rPr>
          <w:noProof w:val="0"/>
        </w:rPr>
        <w:t>Sysselsättningen bland invandrare ska öka</w:t>
      </w:r>
      <w:bookmarkEnd w:id="150"/>
      <w:bookmarkEnd w:id="151"/>
    </w:p>
    <w:p w:rsidR="00AA5D77" w:rsidRPr="006C40C1" w:rsidRDefault="00AA5D77">
      <w:r w:rsidRPr="006C40C1">
        <w:t>Dessutom genomförs under perioden 2001–2003 ett program för att öka i</w:t>
      </w:r>
      <w:r w:rsidRPr="006C40C1">
        <w:t>n</w:t>
      </w:r>
      <w:r w:rsidRPr="006C40C1">
        <w:t>vandrarnas deltagande på arbetsmarknaden. Bland annat förstärks den ko</w:t>
      </w:r>
      <w:r w:rsidRPr="006C40C1">
        <w:t>m</w:t>
      </w:r>
      <w:r w:rsidRPr="006C40C1">
        <w:t>pletterande utbildningen för arbetslösa invandrare med utländsk utbildning inom hälso- och sjukvårdsområdet. Vidare genomförs en kompletterande utbildning för personer med utländsk utbildning inom lärarområdet och inom teknik och naturvetenskap. Den s.k. valideringen av utländsk yrkeskompetens har utökats, och en försöksverksamhet med alternativ platsförmedling för invandrare prövas. Regeringen anger också i budgetpropositionen att resu</w:t>
      </w:r>
      <w:r w:rsidRPr="006C40C1">
        <w:t>r</w:t>
      </w:r>
      <w:r w:rsidRPr="006C40C1">
        <w:t>serna för att stärka invandrarnas ställning på arbetsmarknaden förstärks ytte</w:t>
      </w:r>
      <w:r w:rsidRPr="006C40C1">
        <w:t>r</w:t>
      </w:r>
      <w:r w:rsidRPr="006C40C1">
        <w:t>ligare nästa år och att regeringen inbjudit Svenskt Näringsliv till ett närmare samarbete om hur fler invandrare ska få arbete. Andra viktiga faktorer är att tiden mellan uppehållstillstånd och arbete för en invandrare ska förkortas, att utbildningen i svenska språket måste förbättras samt att diskriminering av olika slag måste motverkas på alla plan i samhället.</w:t>
      </w:r>
    </w:p>
    <w:p w:rsidR="00AA5D77" w:rsidRPr="006C40C1" w:rsidRDefault="00AA5D77">
      <w:pPr>
        <w:pStyle w:val="Normaltindrag"/>
      </w:pPr>
      <w:r w:rsidRPr="006C40C1">
        <w:t>I anslutning till diskussionen om arbetsmarknaden vill utskottet ko</w:t>
      </w:r>
      <w:r w:rsidRPr="006C40C1">
        <w:t>mme</w:t>
      </w:r>
      <w:r w:rsidRPr="006C40C1">
        <w:t>n</w:t>
      </w:r>
      <w:r w:rsidRPr="006C40C1">
        <w:t>tera det påstående som görs i bl.a. motion Fi233 (kd) om att den kraftiga sysselsättningsökningen sedan 1997 är en bubbla eftersom sjukfrånvaron ökat starkt under samma tid. Liknande beskrivningar görs i motion Fi231 (m), och enligt motionärerna svarar ökningen av sjukfrånvaron för tre fjärdedelar av sysselsättningstil</w:t>
      </w:r>
      <w:r w:rsidRPr="006C40C1">
        <w:t>l</w:t>
      </w:r>
      <w:r w:rsidRPr="006C40C1">
        <w:t>växten under perioden 1997–2001.</w:t>
      </w:r>
    </w:p>
    <w:p w:rsidR="00AA5D77" w:rsidRPr="006C40C1" w:rsidRDefault="00AA5D77">
      <w:pPr>
        <w:pStyle w:val="Normaltindrag"/>
      </w:pPr>
      <w:r w:rsidRPr="006C40C1">
        <w:t>Enligt utskottets mening är de senaste årens dramatiska ökning av antalet sjukskrivna ett mycket allvarligt problem. Utskottet tar i ett avsnitt nedan upp</w:t>
      </w:r>
      <w:r w:rsidRPr="006C40C1">
        <w:t xml:space="preserve"> frågan om olika åtgärder för att öka hälsan och öka andelen människor i a</w:t>
      </w:r>
      <w:r w:rsidRPr="006C40C1">
        <w:t>r</w:t>
      </w:r>
      <w:r w:rsidRPr="006C40C1">
        <w:t>bete. Däremot är beskrivningen i Moderata samlingspartiets och Kristdem</w:t>
      </w:r>
      <w:r w:rsidRPr="006C40C1">
        <w:t>o</w:t>
      </w:r>
      <w:r w:rsidRPr="006C40C1">
        <w:t>kraternas motioner missvisande. Enligt SCB:s AKU-undersökning, vilken är den officiella svenska arbetsmarknadsstatistiken, steg sysselsättningen under perioden 1997–2001 med 8,1 % eller ca 320 000 personer. Under samma period ökade antalet personer i arbete (dvs. sysselsatta exklusive de som varit frånvarande under mätperioden) med 5,6 % eller ca 190 000 personer</w:t>
      </w:r>
      <w:r w:rsidRPr="006C40C1">
        <w:t>. Skil</w:t>
      </w:r>
      <w:r w:rsidRPr="006C40C1">
        <w:t>l</w:t>
      </w:r>
      <w:r w:rsidRPr="006C40C1">
        <w:t>naden på 2,5 procentenheter eller 130 000 personer förklaras av ökad frånvaro av olika slag, däribland framför allt sju</w:t>
      </w:r>
      <w:r w:rsidRPr="006C40C1">
        <w:t>k</w:t>
      </w:r>
      <w:r w:rsidRPr="006C40C1">
        <w:t xml:space="preserve">frånvaro. </w:t>
      </w:r>
    </w:p>
    <w:p w:rsidR="00AA5D77" w:rsidRPr="006C40C1" w:rsidRDefault="00AA5D77">
      <w:pPr>
        <w:pStyle w:val="Normaltindrag"/>
      </w:pPr>
      <w:r w:rsidRPr="006C40C1">
        <w:t>Innan utskottet övergår till att diskutera lönebildningen vill utskottet b</w:t>
      </w:r>
      <w:r w:rsidRPr="006C40C1">
        <w:t>e</w:t>
      </w:r>
      <w:r w:rsidRPr="006C40C1">
        <w:t>stämt avvisa förslaget i Folkpartiet liberalernas motion Fi232 om en nedläg</w:t>
      </w:r>
      <w:r w:rsidRPr="006C40C1">
        <w:t>g</w:t>
      </w:r>
      <w:r w:rsidRPr="006C40C1">
        <w:t>ning av AMS för att i stället bl.a. lägga ut jobbförmedlingsverksamhet på en flora av platsförmedlingar som drivs av olika huvudmän. Utskottet vill också starkt avvisa de omfattande nedskärningar av AMS olika program som för</w:t>
      </w:r>
      <w:r w:rsidRPr="006C40C1">
        <w:t>e</w:t>
      </w:r>
      <w:r w:rsidRPr="006C40C1">
        <w:t>slås i såväl Folkpartiet liberalernas motion, Moderata samlingspartiets motion Fi231, Kristdemokraternas motion Fi233 som Centerpartiets motion Fi234. Om motionernas förslag genomfördes skulle situationen för m</w:t>
      </w:r>
      <w:r w:rsidRPr="006C40C1">
        <w:t>ånga arbetslösa försämras på ett mycket allvarligt sätt, speciellt för personer som bor i regi</w:t>
      </w:r>
      <w:r w:rsidRPr="006C40C1">
        <w:t>o</w:t>
      </w:r>
      <w:r w:rsidRPr="006C40C1">
        <w:t>ner där efterfrågan på arbetskraft är svag. Förslagen skulle öka de skillnader i regional sysselsättning som redan finns och som utskottet redogjort för tidig</w:t>
      </w:r>
      <w:r w:rsidRPr="006C40C1">
        <w:t>a</w:t>
      </w:r>
      <w:r w:rsidRPr="006C40C1">
        <w:t>re.</w:t>
      </w:r>
    </w:p>
    <w:p w:rsidR="00AA5D77" w:rsidRPr="006C40C1" w:rsidRDefault="00AA5D77">
      <w:pPr>
        <w:pStyle w:val="Rubrik4"/>
        <w:rPr>
          <w:noProof w:val="0"/>
        </w:rPr>
      </w:pPr>
      <w:bookmarkStart w:id="152" w:name="_Toc25302150"/>
      <w:bookmarkStart w:id="153" w:name="_Toc26191427"/>
      <w:r w:rsidRPr="006C40C1">
        <w:rPr>
          <w:noProof w:val="0"/>
        </w:rPr>
        <w:t>Lönebildningen spelar stor roll för tillväxten och sysselsättningen</w:t>
      </w:r>
      <w:bookmarkEnd w:id="152"/>
      <w:bookmarkEnd w:id="153"/>
      <w:r w:rsidRPr="006C40C1">
        <w:rPr>
          <w:noProof w:val="0"/>
        </w:rPr>
        <w:t xml:space="preserve"> </w:t>
      </w:r>
    </w:p>
    <w:p w:rsidR="00AA5D77" w:rsidRPr="006C40C1" w:rsidRDefault="00AA5D77">
      <w:r w:rsidRPr="006C40C1">
        <w:t>Om sysselsättningsmålet ska kunna nås och tillväxten fortsätta att stiga i nivå med utvecklingen i slutet av 1990-talet och början av 2000-talet är det, som utskottet nämnt tidigare, av avgörande betydelse att den svenska lönebil</w:t>
      </w:r>
      <w:r w:rsidRPr="006C40C1">
        <w:t>d</w:t>
      </w:r>
      <w:r w:rsidRPr="006C40C1">
        <w:t>ningen fungerar väl och att löneökningarna i alla sektorer ligger på en rimlig nivå. Om de totala lönekostnaderna ökar snabbare än produktiviteten riskerar den svenska ekonomin att hamna i en situation med stigande inflation, ränt</w:t>
      </w:r>
      <w:r w:rsidRPr="006C40C1">
        <w:t>e</w:t>
      </w:r>
      <w:r w:rsidRPr="006C40C1">
        <w:t>höjningar, svagare tillväxt och ökad arbetslöshet som följd. I ett sådant läge äventyras också utrymmet för framtida reformer och skattesänkningar, vilket framgår tydligt av regeringens olika utvecklingsalternativ – högtillväxtalte</w:t>
      </w:r>
      <w:r w:rsidRPr="006C40C1">
        <w:t>r</w:t>
      </w:r>
      <w:r w:rsidRPr="006C40C1">
        <w:t>nativet och lågtillväxtalternativet – i budgetpr</w:t>
      </w:r>
      <w:r w:rsidRPr="006C40C1">
        <w:t>op</w:t>
      </w:r>
      <w:r w:rsidRPr="006C40C1">
        <w:t>o</w:t>
      </w:r>
      <w:r w:rsidRPr="006C40C1">
        <w:t xml:space="preserve">sitionen. </w:t>
      </w:r>
    </w:p>
    <w:p w:rsidR="00AA5D77" w:rsidRPr="006C40C1" w:rsidRDefault="00AA5D77">
      <w:pPr>
        <w:pStyle w:val="Normaltindrag"/>
      </w:pPr>
      <w:r w:rsidRPr="006C40C1">
        <w:t>Enligt utskottets mening är de grundläggande förutsättningarna för en bra fungerande svensk lönebildning goda. Förtroendet för låginflationspolitiken bland ekonomins olika aktörer är hög, vilket innebär att risken minskat för att avtalade löneökningar ska gröpas ur av en kraftig och okontrollerad inflation. Löntagarna har också under de senaste åren fått historiskt höga reallöneö</w:t>
      </w:r>
      <w:r w:rsidRPr="006C40C1">
        <w:t>k</w:t>
      </w:r>
      <w:r w:rsidRPr="006C40C1">
        <w:t>ningar trots att de nominella lönepåslagen varit måttfulla. Sedan mitten av 1990-talet har reallönerna stigit med i genomsnitt ungefär 3 % per år. Det kan jämföras med utvecklingen under 1980-talet då reallönerna var i stort sett oförändrade samtidigt som de nominella löneökningarna ökade dubbelt så mycket som i slutet av 1990-talet. Till det kommer att företagen och arbetsg</w:t>
      </w:r>
      <w:r w:rsidRPr="006C40C1">
        <w:t>i</w:t>
      </w:r>
      <w:r w:rsidRPr="006C40C1">
        <w:t>varna i dag är medvetna om svårigheterna att vältra över stigande lönekostn</w:t>
      </w:r>
      <w:r w:rsidRPr="006C40C1">
        <w:t>a</w:t>
      </w:r>
      <w:r w:rsidRPr="006C40C1">
        <w:t>der på konsumenterna. Utskottet kan i det här sammanhange</w:t>
      </w:r>
      <w:r w:rsidRPr="006C40C1">
        <w:t>t även konstatera att lönebildningens institutionella omgivning har förändrats påtagligt de s</w:t>
      </w:r>
      <w:r w:rsidRPr="006C40C1">
        <w:t>e</w:t>
      </w:r>
      <w:r w:rsidRPr="006C40C1">
        <w:t>naste åren. Inom t.ex. indu</w:t>
      </w:r>
      <w:r w:rsidRPr="006C40C1">
        <w:softHyphen/>
        <w:t>strin och inom delar av handeln har nya samarbet</w:t>
      </w:r>
      <w:r w:rsidRPr="006C40C1">
        <w:t>s</w:t>
      </w:r>
      <w:r w:rsidRPr="006C40C1">
        <w:t>avtal tecknats. Avtalen utgör den ram inom vilken avtalsförhandlingarna bedrivs. Vidare har Medlingsinstitutet inrättats, vars uppgift är att understödja avtalsparterna i deras strävan att uppnå både en stabil reallöneutveckling och en snabb och uthållig uppgång i sysselsättnin</w:t>
      </w:r>
      <w:r w:rsidRPr="006C40C1">
        <w:t>g</w:t>
      </w:r>
      <w:r w:rsidRPr="006C40C1">
        <w:t>en.</w:t>
      </w:r>
    </w:p>
    <w:p w:rsidR="00AA5D77" w:rsidRPr="006C40C1" w:rsidRDefault="00AA5D77">
      <w:pPr>
        <w:pStyle w:val="Normaltindrag"/>
      </w:pPr>
      <w:r w:rsidRPr="006C40C1">
        <w:t>Utskottet kan dock konstatera att de nominella lönerna und</w:t>
      </w:r>
      <w:r w:rsidRPr="006C40C1">
        <w:t>er 2001 och hittills under 2002 stigit snabbare än tidigare, trots den svagare konjunkturen. Enligt både Medlingsinstitutet och Konjunkturinstitutet (KI) steg de totala lönekostnaderna under förra året med 4,3 %, omkring 1 procentenhet över lönekostnadsökningarna i våra viktigaste konkurrentländer. Enligt utskottets mening är detta en oroande utveckling som om den fortsätter får allvarliga konsekvenser för utvecklingen på den svenska arbetsmar</w:t>
      </w:r>
      <w:r w:rsidRPr="006C40C1">
        <w:t>k</w:t>
      </w:r>
      <w:r w:rsidRPr="006C40C1">
        <w:t xml:space="preserve">naden.  </w:t>
      </w:r>
    </w:p>
    <w:p w:rsidR="00AA5D77" w:rsidRPr="006C40C1" w:rsidRDefault="00AA5D77">
      <w:pPr>
        <w:pStyle w:val="Normaltindrag"/>
      </w:pPr>
      <w:r w:rsidRPr="006C40C1">
        <w:t>Det framgår inte minst av den årliga rapport om de samh</w:t>
      </w:r>
      <w:r w:rsidRPr="006C40C1">
        <w:t>ällsekonomiska förutsättningarna för lönebildningen i Sverige som KI nyligen publicerade. Rapporten tas fram på uppdrag av regeringen, och KI konstaterar att Sverige under de närmaste åren skulle behöva komma ned i en lägre löneökningstakt för att uppnå en fortsatt gynnsam utveckling, med fortsatt stigande sysselsät</w:t>
      </w:r>
      <w:r w:rsidRPr="006C40C1">
        <w:t>t</w:t>
      </w:r>
      <w:r w:rsidRPr="006C40C1">
        <w:t>ning och minskad arbetslöshet. KI behandlar i rapporten vilka krav som lån</w:t>
      </w:r>
      <w:r w:rsidRPr="006C40C1">
        <w:t>g</w:t>
      </w:r>
      <w:r w:rsidRPr="006C40C1">
        <w:t>siktigt ställs på den svenska lönebildningen dels i alternativet att Sverige inte går med i den ekonomiska och monetära</w:t>
      </w:r>
      <w:r w:rsidRPr="006C40C1">
        <w:t xml:space="preserve"> unionen (EMU), dels i alternativet att Sverige går med i EMU. </w:t>
      </w:r>
    </w:p>
    <w:p w:rsidR="00AA5D77" w:rsidRPr="006C40C1" w:rsidRDefault="00AA5D77">
      <w:pPr>
        <w:pStyle w:val="Normaltindrag"/>
      </w:pPr>
      <w:r w:rsidRPr="006C40C1">
        <w:t>För att arbetslösheten ska kunna fortsätta att vara låg och sysselsättning</w:t>
      </w:r>
      <w:r w:rsidRPr="006C40C1">
        <w:t>s</w:t>
      </w:r>
      <w:r w:rsidRPr="006C40C1">
        <w:t>målet ska kunna uppnås måste trenden om en högre löneökningstakt än o</w:t>
      </w:r>
      <w:r w:rsidRPr="006C40C1">
        <w:t>m</w:t>
      </w:r>
      <w:r w:rsidRPr="006C40C1">
        <w:t>världens brytas. Enligt utskottets mening har arbetsmarknadens olika parter ett särskilt ansvar för att löneökningarna inte går över vad som är samhäll</w:t>
      </w:r>
      <w:r w:rsidRPr="006C40C1">
        <w:t>s</w:t>
      </w:r>
      <w:r w:rsidRPr="006C40C1">
        <w:t>ekonomiskt försvarbart. Detta gäller, enligt utskottets mening, även företag</w:t>
      </w:r>
      <w:r w:rsidRPr="006C40C1">
        <w:t>s</w:t>
      </w:r>
      <w:r w:rsidRPr="006C40C1">
        <w:t xml:space="preserve">ledarna som, i likhet med fackföreningarna och arbetstagarna, måste ta ansvar för sina löner. </w:t>
      </w:r>
    </w:p>
    <w:p w:rsidR="00AA5D77" w:rsidRPr="006C40C1" w:rsidRDefault="00AA5D77">
      <w:pPr>
        <w:pStyle w:val="Rubrik4"/>
        <w:rPr>
          <w:noProof w:val="0"/>
        </w:rPr>
      </w:pPr>
      <w:bookmarkStart w:id="154" w:name="_Toc25302151"/>
      <w:bookmarkStart w:id="155" w:name="_Toc26191428"/>
      <w:r w:rsidRPr="006C40C1">
        <w:rPr>
          <w:noProof w:val="0"/>
        </w:rPr>
        <w:t>Arbetsrätten</w:t>
      </w:r>
      <w:bookmarkEnd w:id="154"/>
      <w:bookmarkEnd w:id="155"/>
    </w:p>
    <w:p w:rsidR="00AA5D77" w:rsidRPr="006C40C1" w:rsidRDefault="00AA5D77">
      <w:r w:rsidRPr="006C40C1">
        <w:t>När det gäller arbetsrätten är det utskottets principiella uppfattning att det i många fall finns en felaktig föreställning om att en försvagning av arbet</w:t>
      </w:r>
      <w:r w:rsidRPr="006C40C1">
        <w:t>s</w:t>
      </w:r>
      <w:r w:rsidRPr="006C40C1">
        <w:t>rättslagstiftningen skulle ge stora positiva effekter på tillväxten och sysse</w:t>
      </w:r>
      <w:r w:rsidRPr="006C40C1">
        <w:t>l</w:t>
      </w:r>
      <w:r w:rsidRPr="006C40C1">
        <w:t>sättningen. Framför allt bidrar arbetsrätten till att skapa trygga arbetsförhål</w:t>
      </w:r>
      <w:r w:rsidRPr="006C40C1">
        <w:t>l</w:t>
      </w:r>
      <w:r w:rsidRPr="006C40C1">
        <w:t xml:space="preserve">anden och stabila ekonomiska villkor, vilket i sig stärker tryggheten för de anställda. Enligt en studie av arbetsrätten i olika OECD-länder som OECD publicerat i Employment Outlook har arbetsrättens utformning inga större effekter på den totala sysselsättningen eller den totala arbetslösheten i ett land. Möjligtvis kan utformningen av arbetsrätten i </w:t>
      </w:r>
      <w:r w:rsidRPr="006C40C1">
        <w:t>viss mån påverka den demografiska sammansättningen av arbetslösheten och sysselsättningen.  Enligt OECD är dock den effekten statistiskt sett os</w:t>
      </w:r>
      <w:r w:rsidRPr="006C40C1">
        <w:t>ä</w:t>
      </w:r>
      <w:r w:rsidRPr="006C40C1">
        <w:t>ker.</w:t>
      </w:r>
    </w:p>
    <w:p w:rsidR="00AA5D77" w:rsidRPr="006C40C1" w:rsidRDefault="00AA5D77">
      <w:pPr>
        <w:pStyle w:val="Rubrik4"/>
        <w:rPr>
          <w:noProof w:val="0"/>
        </w:rPr>
      </w:pPr>
      <w:bookmarkStart w:id="156" w:name="_Toc25302152"/>
      <w:bookmarkStart w:id="157" w:name="_Toc26191429"/>
      <w:r w:rsidRPr="006C40C1">
        <w:rPr>
          <w:noProof w:val="0"/>
        </w:rPr>
        <w:t>Åtgärder mot ohälsan</w:t>
      </w:r>
      <w:bookmarkEnd w:id="156"/>
      <w:bookmarkEnd w:id="157"/>
    </w:p>
    <w:p w:rsidR="00AA5D77" w:rsidRPr="006C40C1" w:rsidRDefault="00AA5D77">
      <w:pPr>
        <w:pStyle w:val="Ordfranden"/>
        <w:keepNext w:val="0"/>
        <w:spacing w:before="62"/>
        <w:rPr>
          <w:i w:val="0"/>
          <w:noProof w:val="0"/>
        </w:rPr>
      </w:pPr>
      <w:r w:rsidRPr="006C40C1">
        <w:rPr>
          <w:noProof w:val="0"/>
        </w:rPr>
        <w:t xml:space="preserve"> </w:t>
      </w:r>
      <w:r w:rsidRPr="006C40C1">
        <w:rPr>
          <w:i w:val="0"/>
          <w:noProof w:val="0"/>
        </w:rPr>
        <w:t>I samtliga partimotioner presenteras olika typer av åtgärder för att hejda den stigande sjukfrånvaron.</w:t>
      </w:r>
    </w:p>
    <w:p w:rsidR="00AA5D77" w:rsidRPr="006C40C1" w:rsidRDefault="00AA5D77">
      <w:pPr>
        <w:pStyle w:val="Normaltindrag"/>
      </w:pPr>
      <w:r w:rsidRPr="006C40C1">
        <w:t>De senaste åren har antalet sjukskrivningar och utgifterna för sjukpenning stigit dramatiskt. Speciellt stor är ökningen av sjukskrivningar för kvinnor som arbetar i den offentliga sektorn. Som utskottet framhållit tidigare är den ökade ohälsan och den stigande sjukfrånvaron ett hot mot både tillväxten och välfärden och ett slöseri med såväl mänskliga som ekonomiska resurser. Utvecklingen måste brytas.</w:t>
      </w:r>
    </w:p>
    <w:p w:rsidR="00AA5D77" w:rsidRPr="006C40C1" w:rsidRDefault="00AA5D77">
      <w:pPr>
        <w:pStyle w:val="Normaltindrag"/>
      </w:pPr>
      <w:r w:rsidRPr="006C40C1">
        <w:t>I budgetpropositionen för 2002 föreslog regeringen ett program om elva punkter för att förbättra arbetsvillkoren och minska ohälsan i arbetslivet. Arbetet med detta program fortsätter och intensifieras genom de ytterligare förslag som regeringen lämnar i budgetpropositionen. Enligt utskottets m</w:t>
      </w:r>
      <w:r w:rsidRPr="006C40C1">
        <w:t>e</w:t>
      </w:r>
      <w:r w:rsidRPr="006C40C1">
        <w:t>ning är det viktigt att kampen mot ohälsan sker i samverkan med arbetsmar</w:t>
      </w:r>
      <w:r w:rsidRPr="006C40C1">
        <w:t>k</w:t>
      </w:r>
      <w:r w:rsidRPr="006C40C1">
        <w:t>nadens parter, bl.a. inom ramen för de pågående trepartsamtalen, samt att arbetet särskilt fokuseras på kvinnors arbetsplatser, arbetsmiljöer och arbet</w:t>
      </w:r>
      <w:r w:rsidRPr="006C40C1">
        <w:t>s</w:t>
      </w:r>
      <w:r w:rsidRPr="006C40C1">
        <w:t>vil</w:t>
      </w:r>
      <w:r w:rsidRPr="006C40C1">
        <w:t>l</w:t>
      </w:r>
      <w:r w:rsidRPr="006C40C1">
        <w:t>kor. Några av de initiativ som föreslås i budgetpropositionen är:</w:t>
      </w:r>
    </w:p>
    <w:p w:rsidR="00AA5D77" w:rsidRPr="006C40C1" w:rsidRDefault="00AA5D77">
      <w:pPr>
        <w:tabs>
          <w:tab w:val="num" w:pos="360"/>
        </w:tabs>
        <w:ind w:left="360" w:hanging="360"/>
      </w:pPr>
      <w:r w:rsidRPr="006C40C1">
        <w:sym w:font="Symbol" w:char="F0B7"/>
      </w:r>
      <w:r w:rsidRPr="006C40C1">
        <w:tab/>
      </w:r>
      <w:r w:rsidRPr="006C40C1">
        <w:rPr>
          <w:b/>
        </w:rPr>
        <w:t>Mål för hälsoarbetet.</w:t>
      </w:r>
      <w:r w:rsidRPr="006C40C1">
        <w:t xml:space="preserve"> Ett mål om att antalet sjukdagar ska halveras till 2008 införs. Parallellt med att målet uppfylls gäller att nya aktivitets- och sju</w:t>
      </w:r>
      <w:r w:rsidRPr="006C40C1">
        <w:t>k</w:t>
      </w:r>
      <w:r w:rsidRPr="006C40C1">
        <w:t>ersättningar ska minska.</w:t>
      </w:r>
    </w:p>
    <w:p w:rsidR="00AA5D77" w:rsidRPr="006C40C1" w:rsidRDefault="00AA5D77">
      <w:pPr>
        <w:tabs>
          <w:tab w:val="num" w:pos="360"/>
        </w:tabs>
        <w:ind w:left="360" w:hanging="360"/>
      </w:pPr>
      <w:r w:rsidRPr="006C40C1">
        <w:sym w:font="Symbol" w:char="F0B7"/>
      </w:r>
      <w:r w:rsidRPr="006C40C1">
        <w:tab/>
      </w:r>
      <w:r w:rsidRPr="006C40C1">
        <w:rPr>
          <w:b/>
        </w:rPr>
        <w:t>Arbetsplatsen och parterna i fokus</w:t>
      </w:r>
      <w:r w:rsidRPr="006C40C1">
        <w:t>. Arbetsgivaren har ett stort ansvar för hälsan i arbetslivet. Starkare ekonomiska drivkrafter införs för att få de enskilda arbetsgivarna att ta ett större ansvar för arbetsvillkoren och för att integrera det förebyggande och rehabiliterande arbetet i den dagl</w:t>
      </w:r>
      <w:r w:rsidRPr="006C40C1">
        <w:t>i</w:t>
      </w:r>
      <w:r w:rsidRPr="006C40C1">
        <w:t>ga verksamheten. En obligatorisk redovisning av sjukfrånvaron införs, dock undantas vissa mindre företag från det kravet. Det förebyggande arbetet stärks genom ökade resurser till utbildning av regionala skydd</w:t>
      </w:r>
      <w:r w:rsidRPr="006C40C1">
        <w:t>s</w:t>
      </w:r>
      <w:r w:rsidRPr="006C40C1">
        <w:t>ombud</w:t>
      </w:r>
      <w:r w:rsidRPr="006C40C1">
        <w:t xml:space="preserve"> och till företagshälsovården. Vidare utreds möjligheterna till ce</w:t>
      </w:r>
      <w:r w:rsidRPr="006C40C1">
        <w:t>r</w:t>
      </w:r>
      <w:r w:rsidRPr="006C40C1">
        <w:t>tifiering av företagshälsovården samt huvudmannaskapet för utbildning inom företagshälsovård. Dessutom ska en informationskampanj geno</w:t>
      </w:r>
      <w:r w:rsidRPr="006C40C1">
        <w:t>m</w:t>
      </w:r>
      <w:r w:rsidRPr="006C40C1">
        <w:t>föras tillsammans med arbetsmar</w:t>
      </w:r>
      <w:r w:rsidRPr="006C40C1">
        <w:t>k</w:t>
      </w:r>
      <w:r w:rsidRPr="006C40C1">
        <w:t>nadens parter.</w:t>
      </w:r>
    </w:p>
    <w:p w:rsidR="00AA5D77" w:rsidRPr="006C40C1" w:rsidRDefault="00AA5D77">
      <w:pPr>
        <w:tabs>
          <w:tab w:val="num" w:pos="360"/>
        </w:tabs>
        <w:ind w:left="360" w:hanging="360"/>
      </w:pPr>
      <w:r w:rsidRPr="006C40C1">
        <w:sym w:font="Symbol" w:char="F0B7"/>
      </w:r>
      <w:r w:rsidRPr="006C40C1">
        <w:tab/>
      </w:r>
      <w:r w:rsidRPr="006C40C1">
        <w:rPr>
          <w:b/>
        </w:rPr>
        <w:t>Offentliga verksamheter ska bli föredömen.</w:t>
      </w:r>
      <w:r w:rsidRPr="006C40C1">
        <w:t xml:space="preserve"> Sjukskrivningarna är högre i offentlig sektor än i privat sektor. Därför måste arbetsvillkoren och personaltätheten förbättras samt kraven på redovisning av hälsa och arbetsmiljö i de offentliga sektorerna öka. Särskilda försök pågår redan hos några större offentliga arbetsgivare för att förebygga och minska sjukfrånvaron.</w:t>
      </w:r>
    </w:p>
    <w:p w:rsidR="00AA5D77" w:rsidRPr="006C40C1" w:rsidRDefault="00AA5D77">
      <w:pPr>
        <w:tabs>
          <w:tab w:val="num" w:pos="360"/>
        </w:tabs>
        <w:ind w:left="360" w:hanging="360"/>
      </w:pPr>
      <w:r w:rsidRPr="006C40C1">
        <w:sym w:font="Symbol" w:char="F0B7"/>
      </w:r>
      <w:r w:rsidRPr="006C40C1">
        <w:tab/>
      </w:r>
      <w:r w:rsidRPr="006C40C1">
        <w:rPr>
          <w:b/>
        </w:rPr>
        <w:t>Ökad tillgänglighet i hälso- och sjukvården.</w:t>
      </w:r>
      <w:r w:rsidRPr="006C40C1">
        <w:t xml:space="preserve"> Tillgängligheten i hälso- och sjukvården ska öka. Vid sidan av den nationella handlingsplanen om 9 miljarder kronor i tillskott under perioden 2001–2004 tillförs ytterlig</w:t>
      </w:r>
      <w:r w:rsidRPr="006C40C1">
        <w:t>a</w:t>
      </w:r>
      <w:r w:rsidRPr="006C40C1">
        <w:t>re resurser om totalt 3,75 miljarder kronor perioden 2002–2004.</w:t>
      </w:r>
    </w:p>
    <w:p w:rsidR="00AA5D77" w:rsidRPr="006C40C1" w:rsidRDefault="00AA5D77">
      <w:pPr>
        <w:tabs>
          <w:tab w:val="num" w:pos="360"/>
        </w:tabs>
        <w:ind w:left="360" w:hanging="360"/>
      </w:pPr>
      <w:r w:rsidRPr="006C40C1">
        <w:sym w:font="Symbol" w:char="F0B7"/>
      </w:r>
      <w:r w:rsidRPr="006C40C1">
        <w:tab/>
      </w:r>
      <w:r w:rsidRPr="006C40C1">
        <w:rPr>
          <w:b/>
        </w:rPr>
        <w:t>Stöd vid återgång till arbete.</w:t>
      </w:r>
      <w:r w:rsidRPr="006C40C1">
        <w:t xml:space="preserve"> Rätten till rehabilitering förbättras genom att bl.a. skyldigheten för arbetsgivare att lämna rehabiliteringsunderlag inom 60 dagar skärps. Vidare analyseras möjligheterna att införa en r</w:t>
      </w:r>
      <w:r w:rsidRPr="006C40C1">
        <w:t>e</w:t>
      </w:r>
      <w:r w:rsidRPr="006C40C1">
        <w:t>habiliteringsförsäkring. Möjligheterna till att efter sjukdom återgå till a</w:t>
      </w:r>
      <w:r w:rsidRPr="006C40C1">
        <w:t>r</w:t>
      </w:r>
      <w:r w:rsidRPr="006C40C1">
        <w:t>betet med hjälp av nya hjälpmedel eller förändrade arbetsuppgifter ska på olika sätt förbättras. Utbildningen i försäkringsmedicin bland läkarna ska fö</w:t>
      </w:r>
      <w:r w:rsidRPr="006C40C1">
        <w:t>r</w:t>
      </w:r>
      <w:r w:rsidRPr="006C40C1">
        <w:t xml:space="preserve">stärkas. </w:t>
      </w:r>
    </w:p>
    <w:p w:rsidR="00AA5D77" w:rsidRPr="006C40C1" w:rsidRDefault="00AA5D77">
      <w:pPr>
        <w:tabs>
          <w:tab w:val="num" w:pos="360"/>
        </w:tabs>
        <w:ind w:left="360" w:hanging="360"/>
      </w:pPr>
      <w:r w:rsidRPr="006C40C1">
        <w:sym w:font="Symbol" w:char="F0B7"/>
      </w:r>
      <w:r w:rsidRPr="006C40C1">
        <w:tab/>
      </w:r>
      <w:r w:rsidRPr="006C40C1">
        <w:rPr>
          <w:b/>
        </w:rPr>
        <w:t>Tidsbegränsad förtidspension</w:t>
      </w:r>
      <w:r w:rsidRPr="006C40C1">
        <w:t>. Det kraftigt ökade antalet förtidspensi</w:t>
      </w:r>
      <w:r w:rsidRPr="006C40C1">
        <w:t>o</w:t>
      </w:r>
      <w:r w:rsidRPr="006C40C1">
        <w:t>nerade är ett stort problem. Regeringen föreslår därför att nya förtidspe</w:t>
      </w:r>
      <w:r w:rsidRPr="006C40C1">
        <w:t>n</w:t>
      </w:r>
      <w:r w:rsidRPr="006C40C1">
        <w:t>sioner fr.o.m. 2003 ska beviljas för högst tre år. Rätten till vilande fö</w:t>
      </w:r>
      <w:r w:rsidRPr="006C40C1">
        <w:t>r</w:t>
      </w:r>
      <w:r w:rsidRPr="006C40C1">
        <w:t>tidspension ska också utökas från ett till två år och det ska även vara möjligt att studera med vilande förtidspension.</w:t>
      </w:r>
    </w:p>
    <w:p w:rsidR="00AA5D77" w:rsidRPr="006C40C1" w:rsidRDefault="00AA5D77">
      <w:pPr>
        <w:tabs>
          <w:tab w:val="num" w:pos="360"/>
        </w:tabs>
        <w:ind w:left="360" w:hanging="360"/>
      </w:pPr>
      <w:r w:rsidRPr="006C40C1">
        <w:sym w:font="Symbol" w:char="F0B7"/>
      </w:r>
      <w:r w:rsidRPr="006C40C1">
        <w:tab/>
      </w:r>
      <w:r w:rsidRPr="006C40C1">
        <w:rPr>
          <w:b/>
        </w:rPr>
        <w:t>Effektivare organisation</w:t>
      </w:r>
      <w:r w:rsidRPr="006C40C1">
        <w:t>. Försäkringskassan tillförs mer resurser samt</w:t>
      </w:r>
      <w:r w:rsidRPr="006C40C1">
        <w:t>i</w:t>
      </w:r>
      <w:r w:rsidRPr="006C40C1">
        <w:t>digt som möjlighet till finansiell samordning mellan lokala och regionala aktörer införs. Samordningen bör bygga på samverkan mellan socialfö</w:t>
      </w:r>
      <w:r w:rsidRPr="006C40C1">
        <w:t>r</w:t>
      </w:r>
      <w:r w:rsidRPr="006C40C1">
        <w:t>säkringen, hälso- och sjukvårdsförsäkringen, socialtjänsten och arbet</w:t>
      </w:r>
      <w:r w:rsidRPr="006C40C1">
        <w:t>s</w:t>
      </w:r>
      <w:r w:rsidRPr="006C40C1">
        <w:t xml:space="preserve">marknadsmyndigheterna. Vidare bör försäkringskassan i vissa fall kunna inhämta fördjupande underlag om den försäkrades arbetsförmåga från annan läkare. Varje försäkrad bör dessutom ha en egen kontaktperson på försäkringskassan. </w:t>
      </w:r>
    </w:p>
    <w:p w:rsidR="00AA5D77" w:rsidRPr="006C40C1" w:rsidRDefault="00AA5D77">
      <w:pPr>
        <w:pStyle w:val="Rubrik4"/>
        <w:rPr>
          <w:noProof w:val="0"/>
        </w:rPr>
      </w:pPr>
      <w:bookmarkStart w:id="158" w:name="_Toc516364748"/>
      <w:bookmarkStart w:id="159" w:name="_Toc10877610"/>
      <w:bookmarkStart w:id="160" w:name="_Toc25302153"/>
      <w:bookmarkStart w:id="161" w:name="_Toc26191430"/>
      <w:r w:rsidRPr="006C40C1">
        <w:rPr>
          <w:noProof w:val="0"/>
        </w:rPr>
        <w:t>Tillväxt och full sysselsättning  i hela Sverige</w:t>
      </w:r>
      <w:bookmarkEnd w:id="158"/>
      <w:bookmarkEnd w:id="159"/>
      <w:bookmarkEnd w:id="160"/>
      <w:bookmarkEnd w:id="161"/>
    </w:p>
    <w:p w:rsidR="00AA5D77" w:rsidRPr="006C40C1" w:rsidRDefault="00AA5D77">
      <w:r w:rsidRPr="006C40C1">
        <w:t>I motion Fi234 (c) hävdas också att det sker en regional klyvning av Sverige. Som utskottet påpekat tidigare är inte de senaste årens kraftiga tillväxt- och sysselsättningsökning jämnt fördelad i landet. I många län och kommuner brottas man med utflyttning och en svag arbetsmarknad, medan det i andra regioner snarare i vissa sektorer råder brist på arbetskraft och inflyttningen är stor. Denna situation är enligt utskottets mening ett allvarligt hot mot en b</w:t>
      </w:r>
      <w:r w:rsidRPr="006C40C1">
        <w:t>a</w:t>
      </w:r>
      <w:r w:rsidRPr="006C40C1">
        <w:t>lans</w:t>
      </w:r>
      <w:r w:rsidRPr="006C40C1">
        <w:t>e</w:t>
      </w:r>
      <w:r w:rsidRPr="006C40C1">
        <w:t xml:space="preserve">rad regional utveckling i landet. </w:t>
      </w:r>
    </w:p>
    <w:p w:rsidR="00AA5D77" w:rsidRPr="006C40C1" w:rsidRDefault="00AA5D77">
      <w:pPr>
        <w:pStyle w:val="Normaltindrag"/>
      </w:pPr>
      <w:r w:rsidRPr="006C40C1">
        <w:t>Som utskottet tidigare framhållit är ett viktigt mål i den ekonomiska polit</w:t>
      </w:r>
      <w:r w:rsidRPr="006C40C1">
        <w:t>i</w:t>
      </w:r>
      <w:r w:rsidRPr="006C40C1">
        <w:t>ken att hela Sverige ska växa. Staten har ett övergripande ansvar för utvec</w:t>
      </w:r>
      <w:r w:rsidRPr="006C40C1">
        <w:t>k</w:t>
      </w:r>
      <w:r w:rsidRPr="006C40C1">
        <w:t>lingen i hela landet samtidigt som det även krävs aktiva lokala insatser i alla delar av landet för att skapa förutsättningar för högre tillväxt och ökad sysse</w:t>
      </w:r>
      <w:r w:rsidRPr="006C40C1">
        <w:t>l</w:t>
      </w:r>
      <w:r w:rsidRPr="006C40C1">
        <w:t>sättning. Genom det kommunala utjämningssystemet sker en långtgående utjämning av skatteinkomster och strukturellt betingade merkostnader. Dä</w:t>
      </w:r>
      <w:r w:rsidRPr="006C40C1">
        <w:t>r</w:t>
      </w:r>
      <w:r w:rsidRPr="006C40C1">
        <w:t>igenom ökar förutsättningarna för alla kommuner och landsting i landet att kunna erbjuda sina invånare en bra service, vård, omsorg o</w:t>
      </w:r>
      <w:r w:rsidRPr="006C40C1">
        <w:t>ch skola. I motion Fi231 (m) föreslås förändringar och, enligt utskottets mening, allvarliga fö</w:t>
      </w:r>
      <w:r w:rsidRPr="006C40C1">
        <w:t>r</w:t>
      </w:r>
      <w:r w:rsidRPr="006C40C1">
        <w:t>svagningar av utjämningssystemet. Om dessa förslag genomfördes skulle de regionala obalanse</w:t>
      </w:r>
      <w:r w:rsidRPr="006C40C1">
        <w:t>r</w:t>
      </w:r>
      <w:r w:rsidRPr="006C40C1">
        <w:t xml:space="preserve">na bli större än vad de är i dagsläget. </w:t>
      </w:r>
    </w:p>
    <w:p w:rsidR="00AA5D77" w:rsidRPr="006C40C1" w:rsidRDefault="00AA5D77">
      <w:pPr>
        <w:pStyle w:val="Normaltindrag"/>
      </w:pPr>
      <w:r w:rsidRPr="006C40C1">
        <w:t>Inriktningen av regionalpolitiken är att skapa förutsättningar för hållbar ekonomisk tillväxt, rättvisa och valfrihet, så att likvärdiga levnadsvillkor skapas för medborgarna i hela riket. Decentraliseringen av högskolan, insatser för att öka underhåll, bärighet och rekonstruktion a</w:t>
      </w:r>
      <w:r w:rsidRPr="006C40C1">
        <w:t>v vägar och järnvägar, satsningarna inom infrastrukturen, som t.ex. Botniabanan och förbättringen av Ådalsbanan, och de senaste årens stora bidragsökningar för att säkra en god kvalitet inom skolan, vården och omsorgen är några av de åtgärder som vidtas för att skapa förbättrade möjligheter runt om i landet.</w:t>
      </w:r>
    </w:p>
    <w:p w:rsidR="00AA5D77" w:rsidRPr="006C40C1" w:rsidRDefault="00AA5D77">
      <w:pPr>
        <w:pStyle w:val="Normaltindrag"/>
      </w:pPr>
      <w:r w:rsidRPr="006C40C1">
        <w:t>För att stärka småföretagandet i utsatta områden sänks fr.om. i år föret</w:t>
      </w:r>
      <w:r w:rsidRPr="006C40C1">
        <w:t>a</w:t>
      </w:r>
      <w:r w:rsidRPr="006C40C1">
        <w:t>gens socialavgifter i stödområde A med motsvarande 15 % av lönesumman upp till ca 850 000 kr. Sänkningen gäller även enskilda näringsidkare och motsvarar fr.o.m. 2002 en satsning på ungefär 600 miljoner kronor per år.</w:t>
      </w:r>
    </w:p>
    <w:p w:rsidR="00AA5D77" w:rsidRPr="006C40C1" w:rsidRDefault="00AA5D77">
      <w:pPr>
        <w:pStyle w:val="Normaltindrag"/>
      </w:pPr>
      <w:r w:rsidRPr="006C40C1">
        <w:t>Som en följd av regeringens proposition om regionalpolitiken – En politik för tillväxt och livskraft i hela landet (prop. 2001/02:4) – som lämnades till riksdagen förra hösten, införs under 2003 och 2004 ett särskilt statsbidrag för kommuner och landsting med kraftig befolkningsminskning. Vid</w:t>
      </w:r>
      <w:r w:rsidRPr="006C40C1">
        <w:t>are har en särskild statlig myndighet med uppgift att ge fortsatt stöd till omstruktur</w:t>
      </w:r>
      <w:r w:rsidRPr="006C40C1">
        <w:t>e</w:t>
      </w:r>
      <w:r w:rsidRPr="006C40C1">
        <w:t xml:space="preserve">ringen av kommunala bostadsföretag inrättats. Myndigheten ska underlätta avvecklingen av tomma bostäder och nedskrivningen av fastighetsvärden. </w:t>
      </w:r>
    </w:p>
    <w:p w:rsidR="00AA5D77" w:rsidRPr="006C40C1" w:rsidRDefault="00AA5D77">
      <w:pPr>
        <w:pStyle w:val="Normaltindrag"/>
      </w:pPr>
      <w:r w:rsidRPr="006C40C1">
        <w:t>Vidare har två delegationer, Inlands- och Tillväxtdelegationerna, inrättats för att stärka utvecklingen i två av de mest utsatta delarna av landet – norra Sveriges inland och Bergslagen, Dalsland och Värmland. Under perioden 2002–2004 avsätts resurser för att öka samarbetet mella</w:t>
      </w:r>
      <w:r w:rsidRPr="006C40C1">
        <w:t>n universitet, hö</w:t>
      </w:r>
      <w:r w:rsidRPr="006C40C1">
        <w:t>g</w:t>
      </w:r>
      <w:r w:rsidRPr="006C40C1">
        <w:t>skolor och kommuner i syfte att öka rekryteringen till högskolorna och skapa tillväxt i olika regioner. Under samma period inrättas ett nationellt program för utveckling av s.k. innovationssystem och kluster. Programmet ska inn</w:t>
      </w:r>
      <w:r w:rsidRPr="006C40C1">
        <w:t>e</w:t>
      </w:r>
      <w:r w:rsidRPr="006C40C1">
        <w:t>hålla flera delprogram och programmen ska förutom en generell förstärkning av den regionala konkurrenskraften även stärka tillväxten inom turistnärin</w:t>
      </w:r>
      <w:r w:rsidRPr="006C40C1">
        <w:t>g</w:t>
      </w:r>
      <w:r w:rsidRPr="006C40C1">
        <w:t>en, träindustrin och de mineralutvinnande branscherna. Dessutom skapas ett särskilt program för att öka användningen</w:t>
      </w:r>
      <w:r w:rsidRPr="006C40C1">
        <w:t xml:space="preserve"> av IT i företag i stödområde A.</w:t>
      </w:r>
    </w:p>
    <w:p w:rsidR="00AA5D77" w:rsidRPr="006C40C1" w:rsidRDefault="00AA5D77">
      <w:pPr>
        <w:pStyle w:val="Normaltindrag"/>
      </w:pPr>
      <w:r w:rsidRPr="006C40C1">
        <w:t>De s.k. tillväxtavtalen, som introducerades 1998, vidareutvecklas och fö</w:t>
      </w:r>
      <w:r w:rsidRPr="006C40C1">
        <w:t>r</w:t>
      </w:r>
      <w:r w:rsidRPr="006C40C1">
        <w:t>längs t.o.m. 2003 för att säkerställa den kompetens och kreativitet som finns på det lokala och regionala planet. Efter 2003 ersätts tillväxtavtalen med regionala tillväxtprogram och en ny period genomförs 2004–2007. Tillväx</w:t>
      </w:r>
      <w:r w:rsidRPr="006C40C1">
        <w:t>t</w:t>
      </w:r>
      <w:r w:rsidRPr="006C40C1">
        <w:t>avtal har under de senaste åren utarbetats i samtliga län, där företrädare för statliga myndigheter, kommuner, landsting, regionala självstyrelseorgan, företag, arbetsmarknadens parter, utbildningsväsende och många andra arb</w:t>
      </w:r>
      <w:r w:rsidRPr="006C40C1">
        <w:t>e</w:t>
      </w:r>
      <w:r w:rsidRPr="006C40C1">
        <w:t>tat fram gemensamma förslag om hur länets tillväxt och syssel</w:t>
      </w:r>
      <w:r w:rsidRPr="006C40C1">
        <w:t>sättning ska kunna öka. Näringsdepartementet presenterade i juli i år en andra utvärdering av tillväxtavtalen under rubriken Det andra året (Ds 2002:34). De viktigaste slutsatserna i rapporten är bl.a. att avtalen ökat medvetenheten och kunskapen om den regionala och lokala näringslivsmiljöns betydelse för företagens ko</w:t>
      </w:r>
      <w:r w:rsidRPr="006C40C1">
        <w:t>n</w:t>
      </w:r>
      <w:r w:rsidRPr="006C40C1">
        <w:t>kurrenskraft. Vidare framgår att de regionala nätverken av offentliga aktörer, näringslivsrepresentanter och kommunaltjänstemän stärkts under avtalens utarbetande. Klusterperspektivet på reg</w:t>
      </w:r>
      <w:r w:rsidRPr="006C40C1">
        <w:t>ional och lokal nivå har utvecklats. Enligt utskottets mening är tillväxtavtalen en viktig process som driver på den lokala och regionala mobiliseringen för en bättre ekonomisk utveckling.</w:t>
      </w:r>
    </w:p>
    <w:p w:rsidR="00AA5D77" w:rsidRPr="006C40C1" w:rsidRDefault="00AA5D77">
      <w:pPr>
        <w:pStyle w:val="Rubrik4"/>
        <w:rPr>
          <w:noProof w:val="0"/>
        </w:rPr>
      </w:pPr>
      <w:r w:rsidRPr="006C40C1">
        <w:rPr>
          <w:noProof w:val="0"/>
        </w:rPr>
        <w:t xml:space="preserve"> </w:t>
      </w:r>
      <w:bookmarkStart w:id="162" w:name="_Toc10877611"/>
      <w:bookmarkStart w:id="163" w:name="_Toc25302154"/>
      <w:bookmarkStart w:id="164" w:name="_Toc26191431"/>
      <w:r w:rsidRPr="006C40C1">
        <w:rPr>
          <w:noProof w:val="0"/>
        </w:rPr>
        <w:t>Kraftig satsning på infrastrukturen</w:t>
      </w:r>
      <w:bookmarkEnd w:id="162"/>
      <w:bookmarkEnd w:id="163"/>
      <w:bookmarkEnd w:id="164"/>
    </w:p>
    <w:p w:rsidR="00AA5D77" w:rsidRPr="006C40C1" w:rsidRDefault="00AA5D77">
      <w:r w:rsidRPr="006C40C1">
        <w:t>Av avgörande betydelse för tillväxten och näringslivets utveckling i olika delar av landet är att det finns en väl fungerande infrastruktur av bl.a. vägar och järnvägar. I den proposition om infrastrukturen som regeringen lade på riksdagens bord förra hösten föreslås en satsning på svenska vägar och jär</w:t>
      </w:r>
      <w:r w:rsidRPr="006C40C1">
        <w:t>n</w:t>
      </w:r>
      <w:r w:rsidRPr="006C40C1">
        <w:t>vägar under perioden 2004–2015 på sammanlagt 364 miljarder kronor. Av detta belopp ska omkring 150 miljarder kronor användas för att bevara och säkerställa befintligt väg- och järnvägsnät, omkring 100 miljarder kronor användas för nya järnvägsinvesteringar och ytterligare 69 miljarder kronor för utbyggnad av vägnätet. Resterande ca 30 miljarder kronor föreslås avsättas för t.ex. kollektivtrafik, kommunala flygplatser och kajanläggningar och vägar som inte är s.k. nationella stamvägar. Utskottet vill i dett</w:t>
      </w:r>
      <w:r w:rsidRPr="006C40C1">
        <w:t xml:space="preserve">a sammanhang peka på den regionalpolitiska betydelsen av infrastruktursatsningarna genom att bl.a. 17 miljarder kronor avsätts för tjälsäkring och bärighet av de mindre vägarna under den kommande tolvårsperioden. Det är nästan dubbelt så mycket som den nuvarande nivån. </w:t>
      </w:r>
    </w:p>
    <w:p w:rsidR="00AA5D77" w:rsidRPr="006C40C1" w:rsidRDefault="00AA5D77">
      <w:pPr>
        <w:pStyle w:val="Normaltindrag"/>
      </w:pPr>
      <w:r w:rsidRPr="006C40C1">
        <w:t>För att starta ytterst angelägna infrastrukturprojekt påbörjas i år den tidig</w:t>
      </w:r>
      <w:r w:rsidRPr="006C40C1">
        <w:t>a</w:t>
      </w:r>
      <w:r w:rsidRPr="006C40C1">
        <w:t>reläggning av vissa investeringar som presenterades i propositionen. Det innebär att ytterligare ungefär 12 miljarder kronor i infrastrukturinvesteringar tillkommer fram t.o.m. 2004.</w:t>
      </w:r>
    </w:p>
    <w:p w:rsidR="00AA5D77" w:rsidRPr="006C40C1" w:rsidRDefault="00AA5D77">
      <w:pPr>
        <w:pStyle w:val="Normaltindrag"/>
      </w:pPr>
      <w:r w:rsidRPr="006C40C1">
        <w:t>En annan viktig satsning för att ge hela Sverige utvecklingsmöjligheter är den pågående utbyggnaden av IT-infrastrukturen. I motion Fi234 (c) anser motionärerna att utbyggnaden av den digitala infrastrukturen inte kommer alla till del. Enligt utskottets uppfattning stämmer inte den beskrivningen överens med verkligheten. Ett m</w:t>
      </w:r>
      <w:r w:rsidRPr="006C40C1">
        <w:t>ycket viktigt inslag i IT-satsningen är näml</w:t>
      </w:r>
      <w:r w:rsidRPr="006C40C1">
        <w:t>i</w:t>
      </w:r>
      <w:r w:rsidRPr="006C40C1">
        <w:t>gen att även hushåll och företag i glesbygd ska få tillgång till snabb dataöve</w:t>
      </w:r>
      <w:r w:rsidRPr="006C40C1">
        <w:t>r</w:t>
      </w:r>
      <w:r w:rsidRPr="006C40C1">
        <w:t>föring till en rimlig kostnad. Sammantaget innebär utbyggnaden en satsning på omkring 17 miljarder kronor under en fyraårsperiod, inklusive satsningar som görs av marknadens olika aktörer. Enligt utskottets mening är utbyggn</w:t>
      </w:r>
      <w:r w:rsidRPr="006C40C1">
        <w:t>a</w:t>
      </w:r>
      <w:r w:rsidRPr="006C40C1">
        <w:t>den av infrastrukturen inom IT-området en mycket viktig del i ambitionen att ytterligare stärka Sveriges ställning som en av världens ledande IT-nationer. Dessutom</w:t>
      </w:r>
      <w:r w:rsidRPr="006C40C1">
        <w:t xml:space="preserve"> är utbyggnaden viktig för att öka utvecklingskraften i alla delar av vårt avlånga land. </w:t>
      </w:r>
    </w:p>
    <w:p w:rsidR="00AA5D77" w:rsidRPr="006C40C1" w:rsidRDefault="00AA5D77">
      <w:pPr>
        <w:pStyle w:val="Normaltindrag"/>
      </w:pPr>
      <w:r w:rsidRPr="006C40C1">
        <w:t>För utvecklingen inom olika regioner är det också viktigt att länen fullt ut utnyttjar de resurser från EU:s strukturfonder som ställs till Sveriges förf</w:t>
      </w:r>
      <w:r w:rsidRPr="006C40C1">
        <w:t>o</w:t>
      </w:r>
      <w:r w:rsidRPr="006C40C1">
        <w:t xml:space="preserve">gande. Till sist vill utskottet också peka på de s.k. lokala utvecklingsavtalen som tecknats mellan staten och vissa storstadskommuner för att öka tillväxten i storstadsregionerna och minska segregationen. Merparten av de 2 miljarder kronorna som tidigare avsatts för detta ändamål har fördelats ut på olika kommuner.  </w:t>
      </w:r>
    </w:p>
    <w:p w:rsidR="00AA5D77" w:rsidRPr="006C40C1" w:rsidRDefault="00AA5D77">
      <w:pPr>
        <w:pStyle w:val="Rubrik4"/>
        <w:rPr>
          <w:noProof w:val="0"/>
        </w:rPr>
      </w:pPr>
      <w:bookmarkStart w:id="165" w:name="_Toc25302155"/>
      <w:bookmarkStart w:id="166" w:name="_Toc26191432"/>
      <w:r w:rsidRPr="006C40C1">
        <w:rPr>
          <w:noProof w:val="0"/>
        </w:rPr>
        <w:t>Sänkta inkomstskatter</w:t>
      </w:r>
      <w:bookmarkEnd w:id="165"/>
      <w:bookmarkEnd w:id="166"/>
    </w:p>
    <w:p w:rsidR="00AA5D77" w:rsidRPr="006C40C1" w:rsidRDefault="00AA5D77">
      <w:r w:rsidRPr="006C40C1">
        <w:t>När det gäller skatterna vill utskottet framhålla att regeringen under perioden 2000–2002 tagit de tre första stegen i en inkomstskattereform för att sänka skatterna för framför allt låg- och medelinkomsttagare. Bland annat har en skattereduktion införts som kompenserar för 75 % av de egenavgifter som tas ut för att finansiera det nya ålderspensionssystemet. Samtidigt har skiktgrä</w:t>
      </w:r>
      <w:r w:rsidRPr="006C40C1">
        <w:t>n</w:t>
      </w:r>
      <w:r w:rsidRPr="006C40C1">
        <w:t>sen för statlig inkomstskatt höjts. Gränsen höjs automatiskt med 2 procente</w:t>
      </w:r>
      <w:r w:rsidRPr="006C40C1">
        <w:t>n</w:t>
      </w:r>
      <w:r w:rsidRPr="006C40C1">
        <w:t>heter per år utöver inflationen. För att minska andelen skattebetalare som betalar statsskatt har gränsen höjts utöver den automatiska uppräkningen. I år ligger gränsen för statlig skatt vid en inkomst på ca 24 000 kr i månaden, och den kommer automatiskt att stiga till ca 25 000 kr 2003. År 1999 var gränsen 20 000 kr i månaden. Som ett led i den gröna skatteväxlingen föreslås i bu</w:t>
      </w:r>
      <w:r w:rsidRPr="006C40C1">
        <w:t>d</w:t>
      </w:r>
      <w:r w:rsidRPr="006C40C1">
        <w:t xml:space="preserve">getpropositionen och motion Fi230 av Britt Bohlin </w:t>
      </w:r>
      <w:r w:rsidRPr="006C40C1">
        <w:t>m.fl. (s, v, mp) att i</w:t>
      </w:r>
      <w:r w:rsidRPr="006C40C1">
        <w:t>n</w:t>
      </w:r>
      <w:r w:rsidRPr="006C40C1">
        <w:t>komstskatten sänks 2003 genom att grundavdraget förstärks för inkomster upp till 264 200 kr. Den gröna skatteväxlingen beskriver utskottet mer utfö</w:t>
      </w:r>
      <w:r w:rsidRPr="006C40C1">
        <w:t>r</w:t>
      </w:r>
      <w:r w:rsidRPr="006C40C1">
        <w:t>ligt nedan.</w:t>
      </w:r>
    </w:p>
    <w:p w:rsidR="00AA5D77" w:rsidRPr="006C40C1" w:rsidRDefault="00AA5D77">
      <w:pPr>
        <w:pStyle w:val="Normaltindrag"/>
      </w:pPr>
      <w:r w:rsidRPr="006C40C1">
        <w:t>Skattesänkningarna bidrar till att minska de marginaleffekter som är sä</w:t>
      </w:r>
      <w:r w:rsidRPr="006C40C1">
        <w:t>r</w:t>
      </w:r>
      <w:r w:rsidRPr="006C40C1">
        <w:t>skilt kännbara för låg- och medelinkomsttagare. Det kan i sin tur leda till att arbetskraftsutbudet stiger, vilket är en nödvändig utveckling om vi ska kunna bibehålla och förstärka uppgången i den svenska ek</w:t>
      </w:r>
      <w:r w:rsidRPr="006C40C1">
        <w:t>o</w:t>
      </w:r>
      <w:r w:rsidRPr="006C40C1">
        <w:t>nomin.</w:t>
      </w:r>
    </w:p>
    <w:p w:rsidR="00AA5D77" w:rsidRPr="006C40C1" w:rsidRDefault="00AA5D77">
      <w:pPr>
        <w:pStyle w:val="Normaltindrag"/>
      </w:pPr>
      <w:r w:rsidRPr="006C40C1">
        <w:t>Regeringen anger i budgetpropositionen att den under mandatperioden kommer att föreslå att det fjärde och sista steget i skattereformen genomförs, under förutsättning att den statsfinansiella utvecklingen tillåter en sådan å</w:t>
      </w:r>
      <w:r w:rsidRPr="006C40C1">
        <w:t>t</w:t>
      </w:r>
      <w:r w:rsidRPr="006C40C1">
        <w:t>gärd.</w:t>
      </w:r>
    </w:p>
    <w:p w:rsidR="00AA5D77" w:rsidRPr="006C40C1" w:rsidRDefault="00AA5D77">
      <w:pPr>
        <w:pStyle w:val="Normaltindrag"/>
      </w:pPr>
      <w:r w:rsidRPr="006C40C1">
        <w:t xml:space="preserve"> För att kompensera pensionärerna för de besparingar som genomfördes under 1990-talet införs fr.o.m. i år en särskild skattesänkning för pensionärer (se vidare avsnitt nedan om pensionärerna och pensionerna). Den 1 januari infördes även en skattereduktion för en del av fackföreningsavgiften. Detta är enligt utskottet en viktig reform sett ur ett rättviseperspektiv. Arbetsgivares rätt till avdrag för avgift till arbetsgivarorganisation infördes 1913. Avdrag</w:t>
      </w:r>
      <w:r w:rsidRPr="006C40C1">
        <w:t>s</w:t>
      </w:r>
      <w:r w:rsidRPr="006C40C1">
        <w:t>rätten för fackföreningsavgifter slopades 1993. Det fick till följd att löntaga</w:t>
      </w:r>
      <w:r w:rsidRPr="006C40C1">
        <w:t>r</w:t>
      </w:r>
      <w:r w:rsidRPr="006C40C1">
        <w:t>nas bidrag till den fackliga verksamheten missgynnades jämfört med arbet</w:t>
      </w:r>
      <w:r w:rsidRPr="006C40C1">
        <w:t>s</w:t>
      </w:r>
      <w:r w:rsidRPr="006C40C1">
        <w:t>givarnas bidrag till sina intresseorganisationer. Som framgår ovan under avsnittet om regelverken för företagen har även en del skattesänkningar rikt</w:t>
      </w:r>
      <w:r w:rsidRPr="006C40C1">
        <w:t>a</w:t>
      </w:r>
      <w:r w:rsidRPr="006C40C1">
        <w:t xml:space="preserve">de mot företagen införts. </w:t>
      </w:r>
    </w:p>
    <w:p w:rsidR="00AA5D77" w:rsidRPr="006C40C1" w:rsidRDefault="00AA5D77">
      <w:pPr>
        <w:pStyle w:val="Normaltindrag"/>
      </w:pPr>
      <w:r w:rsidRPr="006C40C1">
        <w:t>Nivån på de skatter som staten och kommunerna tar ut bestäms bl.a. av vilka välfärds- och fördelningspolitiska ambitioner man har. Enligt utskottets mening riskerar de mycket omfatt</w:t>
      </w:r>
      <w:r w:rsidRPr="006C40C1">
        <w:t xml:space="preserve">ande skattesänkningar som föreslås i bl.a. Moderata samlingspartiets motion Fi231 att leda till stora nedskärningar av viktig offentlig verksamhet. Dessutom ökar risken för instabila statsfinanser. En sådan utveckling kommer att få starkt negativa konsekvenser för den svenska välfärden och den svenska tillväxten. </w:t>
      </w:r>
    </w:p>
    <w:p w:rsidR="00AA5D77" w:rsidRPr="006C40C1" w:rsidRDefault="00AA5D77">
      <w:pPr>
        <w:pStyle w:val="Normaltindrag"/>
      </w:pPr>
      <w:r w:rsidRPr="006C40C1">
        <w:t>Utskottet delar regeringens bedömning att reformer för rättvisa och tillväxt bör gå före skattesänkningar. Om utrymme för skattesänkningar uppkommer bör utrymmet prioriteras för löntagarna och små</w:t>
      </w:r>
      <w:r w:rsidRPr="006C40C1">
        <w:t>företagen.</w:t>
      </w:r>
    </w:p>
    <w:p w:rsidR="00AA5D77" w:rsidRPr="006C40C1" w:rsidRDefault="00AA5D77">
      <w:pPr>
        <w:pStyle w:val="Rubrik4"/>
        <w:rPr>
          <w:noProof w:val="0"/>
        </w:rPr>
      </w:pPr>
      <w:bookmarkStart w:id="167" w:name="_Toc516364749"/>
      <w:bookmarkStart w:id="168" w:name="_Toc10877612"/>
      <w:bookmarkStart w:id="169" w:name="_Toc25302156"/>
      <w:bookmarkStart w:id="170" w:name="_Toc26191433"/>
      <w:r w:rsidRPr="006C40C1">
        <w:rPr>
          <w:noProof w:val="0"/>
        </w:rPr>
        <w:t>Fastighetsskatten</w:t>
      </w:r>
      <w:bookmarkEnd w:id="167"/>
      <w:bookmarkEnd w:id="168"/>
      <w:bookmarkEnd w:id="169"/>
      <w:bookmarkEnd w:id="170"/>
    </w:p>
    <w:p w:rsidR="00AA5D77" w:rsidRPr="006C40C1" w:rsidRDefault="00AA5D77">
      <w:r w:rsidRPr="006C40C1">
        <w:t>I samtliga partimotioner föreslås att fastighetsskatten tas bort, sänks eller kraftigt förändras. Fastighetsskatten är enligt utskottets mening en viktig inkomstkälla för staten. Den ger ungefär 20 miljarder kronor per år, pengar som bidrar till att finansiera den gemensamma välfärden. Vid sidan av att den är en viktig inkomstkälla visar forskningen att skatten har relativt begränsade effekter på utveckling och tillväxt.</w:t>
      </w:r>
    </w:p>
    <w:p w:rsidR="00AA5D77" w:rsidRPr="006C40C1" w:rsidRDefault="00AA5D77">
      <w:pPr>
        <w:pStyle w:val="Normaltindrag"/>
      </w:pPr>
      <w:r w:rsidRPr="006C40C1">
        <w:t>Förra året släpptes den frysta taxeringen, och taxeringsvärdena steg kra</w:t>
      </w:r>
      <w:r w:rsidRPr="006C40C1">
        <w:t>f</w:t>
      </w:r>
      <w:r w:rsidRPr="006C40C1">
        <w:t>tigt i de områden där fastighetspriserna ökat mest. För att minska effekterna av denna utveckling har skattesatserna sänkts i flera steg samtidigt som det s.k. fribeloppet i förmögenhetsskatten höjts. Skattesatsen för småhus och hyreshus ligger nu på 1 % respektive 0,5 %, en nedgång med 0,5 procente</w:t>
      </w:r>
      <w:r w:rsidRPr="006C40C1">
        <w:t>n</w:t>
      </w:r>
      <w:r w:rsidRPr="006C40C1">
        <w:t>heter respektive 1 procentenhet under förra mandatperioden. Fribeloppet i förmögenhetsskatten har höjts från 900 000 kr till i år 1,5 miljoner kronor för ensamstående och 2 miljoner kronor för sambeskattade par</w:t>
      </w:r>
      <w:r w:rsidRPr="006C40C1">
        <w:t>. Dessutom har en begränsningsregel i fastighetsbeskattningen införts. Begränsningsregeln inn</w:t>
      </w:r>
      <w:r w:rsidRPr="006C40C1">
        <w:t>e</w:t>
      </w:r>
      <w:r w:rsidRPr="006C40C1">
        <w:t>bär att hushåll i normala inkomst- och förmögenhetslägen maximalt ska b</w:t>
      </w:r>
      <w:r w:rsidRPr="006C40C1">
        <w:t>e</w:t>
      </w:r>
      <w:r w:rsidRPr="006C40C1">
        <w:t xml:space="preserve">tala 5 % av sin inkomst i fastighetsskatt. </w:t>
      </w:r>
    </w:p>
    <w:p w:rsidR="00AA5D77" w:rsidRPr="006C40C1" w:rsidRDefault="00AA5D77">
      <w:pPr>
        <w:pStyle w:val="Normaltindrag"/>
      </w:pPr>
      <w:r w:rsidRPr="006C40C1">
        <w:t>Vidare ska omräkningsförfarandet vid taxeringen ersättas med en fören</w:t>
      </w:r>
      <w:r w:rsidRPr="006C40C1">
        <w:t>k</w:t>
      </w:r>
      <w:r w:rsidRPr="006C40C1">
        <w:t>lad fastighetstaxering mellan de allmänna fastighetstaxeringarna. Dessutom ska regler införas som gör att höjda taxeringsvärden inte omedelbart får g</w:t>
      </w:r>
      <w:r w:rsidRPr="006C40C1">
        <w:t>e</w:t>
      </w:r>
      <w:r w:rsidRPr="006C40C1">
        <w:t>nomslag på fa</w:t>
      </w:r>
      <w:r w:rsidRPr="006C40C1">
        <w:t>s</w:t>
      </w:r>
      <w:r w:rsidRPr="006C40C1">
        <w:t xml:space="preserve">tighetsskatteuttaget. </w:t>
      </w:r>
    </w:p>
    <w:p w:rsidR="00AA5D77" w:rsidRPr="006C40C1" w:rsidRDefault="00AA5D77">
      <w:pPr>
        <w:pStyle w:val="Normaltindrag"/>
      </w:pPr>
      <w:r w:rsidRPr="006C40C1">
        <w:t>Utskottet vill här passa på att erinra om att en parlamentarisk kommitté tillsatts med uppgift att utreda fastighetsskatten, förmögenhetsbeskattningen samt arvs- och gåvobeskattningen. Utredningen ska enligt planen vara avsl</w:t>
      </w:r>
      <w:r w:rsidRPr="006C40C1">
        <w:t>u</w:t>
      </w:r>
      <w:r w:rsidRPr="006C40C1">
        <w:t xml:space="preserve">tad vid utgången av nästa år.  </w:t>
      </w:r>
      <w:bookmarkStart w:id="171" w:name="_Toc516364750"/>
    </w:p>
    <w:p w:rsidR="00AA5D77" w:rsidRPr="006C40C1" w:rsidRDefault="00AA5D77">
      <w:pPr>
        <w:pStyle w:val="Rubrik4"/>
        <w:rPr>
          <w:noProof w:val="0"/>
        </w:rPr>
      </w:pPr>
      <w:bookmarkStart w:id="172" w:name="_Toc10877613"/>
      <w:bookmarkStart w:id="173" w:name="_Toc25302157"/>
      <w:bookmarkStart w:id="174" w:name="_Toc26191434"/>
      <w:r w:rsidRPr="006C40C1">
        <w:rPr>
          <w:noProof w:val="0"/>
        </w:rPr>
        <w:t>Grön skatteväxling och ett ekologiskt hållbart Sverige</w:t>
      </w:r>
      <w:bookmarkEnd w:id="171"/>
      <w:bookmarkEnd w:id="172"/>
      <w:bookmarkEnd w:id="173"/>
      <w:bookmarkEnd w:id="174"/>
    </w:p>
    <w:p w:rsidR="00AA5D77" w:rsidRPr="006C40C1" w:rsidRDefault="00AA5D77">
      <w:r w:rsidRPr="006C40C1">
        <w:t>En god miljö och en ekologiskt hållbar utveckling är enligt utskottets mening ett av den ekonomiska politikens viktigaste mål. Sverige ska vara ett för</w:t>
      </w:r>
      <w:r w:rsidRPr="006C40C1">
        <w:t>e</w:t>
      </w:r>
      <w:r w:rsidRPr="006C40C1">
        <w:t>gångsland för en ekologiskt hållbar utveckling.</w:t>
      </w:r>
    </w:p>
    <w:p w:rsidR="00AA5D77" w:rsidRPr="006C40C1" w:rsidRDefault="00AA5D77">
      <w:pPr>
        <w:pStyle w:val="Normaltindrag"/>
      </w:pPr>
      <w:r w:rsidRPr="006C40C1">
        <w:t>De 15 nationella miljökvalitetsmål som riksdagen ställt upp visar tydligt den ekologiska dimensionen i begreppet hållbar utveckling. Målen är form</w:t>
      </w:r>
      <w:r w:rsidRPr="006C40C1">
        <w:t>u</w:t>
      </w:r>
      <w:r w:rsidRPr="006C40C1">
        <w:t>lerade utifrån den miljöpåverkan som naturen tål och definierar det tillstånd för den svenska miljön som ska nås inom en generation. Förra hösten beslut</w:t>
      </w:r>
      <w:r w:rsidRPr="006C40C1">
        <w:t>a</w:t>
      </w:r>
      <w:r w:rsidRPr="006C40C1">
        <w:t>de riksdagen om nya mätbara delmål och åtgärdsstrategier för att uppnå 14 av de uppsatta 15 målen. I våras antog riksdagen förslagen till strategi och de</w:t>
      </w:r>
      <w:r w:rsidRPr="006C40C1">
        <w:t>l</w:t>
      </w:r>
      <w:r w:rsidRPr="006C40C1">
        <w:t>mål för det femtonde miljökvalitetsmålet: Begränsad klimatpåverkan. Milj</w:t>
      </w:r>
      <w:r w:rsidRPr="006C40C1">
        <w:t>ö</w:t>
      </w:r>
      <w:r w:rsidRPr="006C40C1">
        <w:t>kvalitetsmålen och delmålen ska vara styrande för statens miljöpolitik och miljöstyrning och andra samhällsaktörers åtgärder på omr</w:t>
      </w:r>
      <w:r w:rsidRPr="006C40C1">
        <w:t>å</w:t>
      </w:r>
      <w:r w:rsidRPr="006C40C1">
        <w:t>det.</w:t>
      </w:r>
    </w:p>
    <w:p w:rsidR="00AA5D77" w:rsidRPr="006C40C1" w:rsidRDefault="00AA5D77">
      <w:pPr>
        <w:pStyle w:val="Normaltindrag"/>
      </w:pPr>
      <w:r w:rsidRPr="006C40C1">
        <w:t>I vårpropositionen för 2000 gjorde regeringen bedömningen att det saml</w:t>
      </w:r>
      <w:r w:rsidRPr="006C40C1">
        <w:t>a</w:t>
      </w:r>
      <w:r w:rsidRPr="006C40C1">
        <w:t>de utrymmet för en grön skatteväxling under perioden 2001 till 2010 var ungefär 30 miljarder kronor. Under 2001 och 2002 har därefter en grön ska</w:t>
      </w:r>
      <w:r w:rsidRPr="006C40C1">
        <w:t>t</w:t>
      </w:r>
      <w:r w:rsidRPr="006C40C1">
        <w:t>teväxling om sammanlagt drygt 5 miljarder kronor genomförts. I budgetpr</w:t>
      </w:r>
      <w:r w:rsidRPr="006C40C1">
        <w:t>o</w:t>
      </w:r>
      <w:r w:rsidRPr="006C40C1">
        <w:t>positionen föreslås att en skatteväxling om 2,6 miljarder kronor för 2003 genomförs. Koldioxidskatten på bränslen bör enligt förslaget höjas med 16 %. Tillverkningsindustri, jord- och vattenbruk undantas från höjningen samtidigt som effekten på bensin och diesel neutraliseras genom lika stora</w:t>
      </w:r>
      <w:r w:rsidRPr="006C40C1">
        <w:t xml:space="preserve"> sänkningar av energiskatten. Vidare höjs energiskatten på el med 2,1 öre per kWh och skatten på avfall som deponeras höjs från 288 kr till 379 kr per ton. Skatten på naturgrus höjs från 5 kr till 10 kr per ton. </w:t>
      </w:r>
    </w:p>
    <w:p w:rsidR="00AA5D77" w:rsidRPr="006C40C1" w:rsidRDefault="00AA5D77">
      <w:pPr>
        <w:pStyle w:val="Normaltindrag"/>
      </w:pPr>
      <w:r w:rsidRPr="006C40C1">
        <w:t>I motion Fi230 av Britt Bohlin m.fl. (s, v, mp) föreslås att den gröna ska</w:t>
      </w:r>
      <w:r w:rsidRPr="006C40C1">
        <w:t>t</w:t>
      </w:r>
      <w:r w:rsidRPr="006C40C1">
        <w:t>teväxlingen under 2003 utvidgas till att totalt omfatta 3 miljarder kronor. Koldioxidskatten höjs med ytterligare 3 procentenheter till en total höjning om 19 % samtidigt som energiskatten på el höjs med ytterligare 0,4 öre per kWh till en sammanlagd höjning på 2,5 öre per kWh.</w:t>
      </w:r>
    </w:p>
    <w:p w:rsidR="00AA5D77" w:rsidRPr="006C40C1" w:rsidRDefault="00AA5D77">
      <w:pPr>
        <w:pStyle w:val="Normaltindrag"/>
      </w:pPr>
      <w:r w:rsidRPr="006C40C1">
        <w:t xml:space="preserve">  Vidare har en mängd andra åtgärder och resursförstärkningar vidtagits för att öka den ekologiskt hållbara utvecklingen. Stora satsningar om ca 7,3 mi</w:t>
      </w:r>
      <w:r w:rsidRPr="006C40C1">
        <w:t>l</w:t>
      </w:r>
      <w:r w:rsidRPr="006C40C1">
        <w:t xml:space="preserve">jarder kronor från 1998 och framåt har gjorts på lokala investeringsprogram för ekologisk hållbarhet (LIP) och klimatåtgärder (KLIMP). </w:t>
      </w:r>
    </w:p>
    <w:p w:rsidR="00AA5D77" w:rsidRPr="006C40C1" w:rsidRDefault="00AA5D77">
      <w:pPr>
        <w:pStyle w:val="Normaltindrag"/>
      </w:pPr>
      <w:r w:rsidRPr="006C40C1">
        <w:t>Dessutom har stora resurser avsatts för bl.a. bevarandet av biologisk mån</w:t>
      </w:r>
      <w:r w:rsidRPr="006C40C1">
        <w:t>g</w:t>
      </w:r>
      <w:r w:rsidRPr="006C40C1">
        <w:t>fald, sanering av förorenade områden, miljöforskning, information om klima</w:t>
      </w:r>
      <w:r w:rsidRPr="006C40C1">
        <w:t>t</w:t>
      </w:r>
      <w:r w:rsidRPr="006C40C1">
        <w:t>frågor och miljöövervakning. Enligt förslag i budgetpropositionen och motion Fi230 (s, v, mp) avsätts ytterligare medel under 2003 för forskning om biol</w:t>
      </w:r>
      <w:r w:rsidRPr="006C40C1">
        <w:t>o</w:t>
      </w:r>
      <w:r w:rsidRPr="006C40C1">
        <w:t>gisk mångfald och sanering av förorenade områden. Sammantaget ökar u</w:t>
      </w:r>
      <w:r w:rsidRPr="006C40C1">
        <w:t>t</w:t>
      </w:r>
      <w:r w:rsidRPr="006C40C1">
        <w:t xml:space="preserve">giftsområdet miljö- och naturvård från 1,2 miljarder kronor 1998 till drygt 3,3 miljarder kronor 2003. </w:t>
      </w:r>
    </w:p>
    <w:p w:rsidR="00AA5D77" w:rsidRPr="006C40C1" w:rsidRDefault="00AA5D77">
      <w:pPr>
        <w:pStyle w:val="Normaltindrag"/>
      </w:pPr>
      <w:r w:rsidRPr="006C40C1">
        <w:t>Ovanpå detta kommer att ca 11 miljarder kronor under perioden 2000–2006 avsätts till jordbruket i svensk medfi</w:t>
      </w:r>
      <w:r w:rsidRPr="006C40C1">
        <w:t>nansiering till miljöåtgärder inom EU:s miljö- och landsbygdsprogram. Dessutom görs ytterligare satsningar på my</w:t>
      </w:r>
      <w:r w:rsidRPr="006C40C1">
        <w:t>n</w:t>
      </w:r>
      <w:r w:rsidRPr="006C40C1">
        <w:t>digheternas miljömålsarbete, forskning kring biologisk mångfald och ekol</w:t>
      </w:r>
      <w:r w:rsidRPr="006C40C1">
        <w:t>o</w:t>
      </w:r>
      <w:r w:rsidRPr="006C40C1">
        <w:t>gisk uthållighet och biotopskydd i skogspolitiken.</w:t>
      </w:r>
    </w:p>
    <w:p w:rsidR="00AA5D77" w:rsidRPr="006C40C1" w:rsidRDefault="00AA5D77">
      <w:pPr>
        <w:pStyle w:val="Normaltindrag"/>
      </w:pPr>
      <w:r w:rsidRPr="006C40C1">
        <w:t>Utskottet vill i anslutning till detta också hänvisa till de gröna nyckeltal som sedan 1999 redovisas i budget- och vårpropositionerna. Nyckeltalen är ett komplement till de ekonomiska nyckeltalen, och de är ett viktigt instr</w:t>
      </w:r>
      <w:r w:rsidRPr="006C40C1">
        <w:t>u</w:t>
      </w:r>
      <w:r w:rsidRPr="006C40C1">
        <w:t>ment för att nå det övergripande miljömålet om att till nästa generation lämna över ett samhälle där de stora mi</w:t>
      </w:r>
      <w:r w:rsidRPr="006C40C1">
        <w:t>l</w:t>
      </w:r>
      <w:r w:rsidRPr="006C40C1">
        <w:t>jöproblemen är lösta.</w:t>
      </w:r>
    </w:p>
    <w:p w:rsidR="00AA5D77" w:rsidRPr="006C40C1" w:rsidRDefault="00AA5D77">
      <w:pPr>
        <w:pStyle w:val="Rubrik4"/>
        <w:rPr>
          <w:noProof w:val="0"/>
        </w:rPr>
      </w:pPr>
      <w:bookmarkStart w:id="175" w:name="_Toc25302158"/>
      <w:bookmarkStart w:id="176" w:name="_Toc26191435"/>
      <w:r w:rsidRPr="006C40C1">
        <w:rPr>
          <w:noProof w:val="0"/>
        </w:rPr>
        <w:t>Reformering av barn- och familjepolitiken</w:t>
      </w:r>
      <w:bookmarkEnd w:id="175"/>
      <w:bookmarkEnd w:id="176"/>
    </w:p>
    <w:p w:rsidR="00AA5D77" w:rsidRPr="006C40C1" w:rsidRDefault="00AA5D77">
      <w:r w:rsidRPr="006C40C1">
        <w:t>Under de senaste åren har en omfattande satsning på barnen och barnfami</w:t>
      </w:r>
      <w:r w:rsidRPr="006C40C1">
        <w:t>l</w:t>
      </w:r>
      <w:r w:rsidRPr="006C40C1">
        <w:t>jerna vidtagits. Den stegvisa reformeringen av familjepolitiken framfördes första gången i vårpropositionen för 2000 och fortsätter i budgetpropositionen för 2003, trots det osäkra konjunkturläget. Goda villkor för de unga och bar</w:t>
      </w:r>
      <w:r w:rsidRPr="006C40C1">
        <w:t>n</w:t>
      </w:r>
      <w:r w:rsidRPr="006C40C1">
        <w:t>familjerna är en rättvisefråga och en investering i framtiden. Utgångspunkten för politiken är att Sverige ska vara ett land där alla barn och ungdomar får en bra uppväxt.</w:t>
      </w:r>
    </w:p>
    <w:p w:rsidR="00AA5D77" w:rsidRPr="006C40C1" w:rsidRDefault="00AA5D77">
      <w:pPr>
        <w:pStyle w:val="Normaltindrag"/>
      </w:pPr>
      <w:r w:rsidRPr="006C40C1">
        <w:t>Därför har barnbidraget under perioden höjts med 200 kr till 950 kr i m</w:t>
      </w:r>
      <w:r w:rsidRPr="006C40C1">
        <w:t>å</w:t>
      </w:r>
      <w:r w:rsidRPr="006C40C1">
        <w:t xml:space="preserve">naden. På motsvarande sätt har flerbarnstilläggen och studiebidragen höjts. Från och med nästa år utökas studiebidraget ytterligare genom att bidraget utgår under tio månader i stället för som i dag under nio månader. </w:t>
      </w:r>
    </w:p>
    <w:p w:rsidR="00AA5D77" w:rsidRPr="006C40C1" w:rsidRDefault="00AA5D77">
      <w:pPr>
        <w:pStyle w:val="Normaltindrag"/>
      </w:pPr>
      <w:r w:rsidRPr="006C40C1">
        <w:t>Förra året fick barn till arbetssökande rätt till förskoleverksamhet samtidigt som de s.k. kontaktdagarna i den tillfälliga föräldrapenningen infö</w:t>
      </w:r>
      <w:r w:rsidRPr="006C40C1">
        <w:t>r</w:t>
      </w:r>
      <w:r w:rsidRPr="006C40C1">
        <w:t>des.</w:t>
      </w:r>
    </w:p>
    <w:p w:rsidR="00AA5D77" w:rsidRPr="006C40C1" w:rsidRDefault="00AA5D77">
      <w:pPr>
        <w:pStyle w:val="Normaltindrag"/>
      </w:pPr>
      <w:r w:rsidRPr="006C40C1">
        <w:t>Maxtaxan i barnomsorgen infördes vid årsskiftet och kommunerna tillfö</w:t>
      </w:r>
      <w:r w:rsidRPr="006C40C1">
        <w:t>r</w:t>
      </w:r>
      <w:r w:rsidRPr="006C40C1">
        <w:t>des samtidigt 500 miljoner kronor för att säkra kvaliteten inom barnomso</w:t>
      </w:r>
      <w:r w:rsidRPr="006C40C1">
        <w:t>r</w:t>
      </w:r>
      <w:r w:rsidRPr="006C40C1">
        <w:t>gen. Maxtaxan innebär att familjerna betalar högst 1 140 kr i månaden för det första barnet i omsorgen, 760 kr för det andra barnet och 380 kr för det tredje barnet. Utskottet vill också erinra om att det samtidigt med maxtaxan infördes en spärregel med innebörden att ingen ska betala mer än 3 % av sin inkomst i barnomsorgsavgift för det första barnet, 2 % för det andra barnet och 1 % för det tredje barnet. En första utvärdering av re</w:t>
      </w:r>
      <w:r w:rsidRPr="006C40C1">
        <w:t>formen presenteras enligt rege</w:t>
      </w:r>
      <w:r w:rsidRPr="006C40C1">
        <w:t>r</w:t>
      </w:r>
      <w:r w:rsidRPr="006C40C1">
        <w:t>ingen i mars nästa år men redan nu i höst kommer den första lägesrapporten. Det sista steget i maxtaxereformen tas nästa år då en allmän förskola för fyra- och femåringar införs.</w:t>
      </w:r>
    </w:p>
    <w:p w:rsidR="00AA5D77" w:rsidRPr="006C40C1" w:rsidRDefault="00AA5D77">
      <w:pPr>
        <w:pStyle w:val="Normaltindrag"/>
      </w:pPr>
      <w:r w:rsidRPr="006C40C1">
        <w:t>Från och med i år har föräldraförsäkringen förlängts med en månad till t</w:t>
      </w:r>
      <w:r w:rsidRPr="006C40C1">
        <w:t>o</w:t>
      </w:r>
      <w:r w:rsidRPr="006C40C1">
        <w:t>talt 13 månader, och den s.k. pappa- och mammamånaden utökats med ytte</w:t>
      </w:r>
      <w:r w:rsidRPr="006C40C1">
        <w:t>r</w:t>
      </w:r>
      <w:r w:rsidRPr="006C40C1">
        <w:t>ligare en månad. Samtidigt fördubblades den lägsta dagpenningen, dvs. den s.k. garantinivån i försäkringen, till 120 kr per dag. Garantinivån höjs ytterl</w:t>
      </w:r>
      <w:r w:rsidRPr="006C40C1">
        <w:t>i</w:t>
      </w:r>
      <w:r w:rsidRPr="006C40C1">
        <w:t>gare, till 150 kr per dag 2003 och 180 kr per dag 2004. I budgetpropositionen anger också regeringen att inkomsttaket i föräldraförsäkringen höjs från sju och ett halvt till tio basbelopp fr.o.m. den 1 juli 2003.</w:t>
      </w:r>
    </w:p>
    <w:p w:rsidR="00AA5D77" w:rsidRPr="006C40C1" w:rsidRDefault="00AA5D77">
      <w:pPr>
        <w:pStyle w:val="Normaltindrag"/>
      </w:pPr>
      <w:r w:rsidRPr="006C40C1">
        <w:t>Vid sidan av dessa åtgärder har det också ett införts ett stöd om 100 mil</w:t>
      </w:r>
      <w:r w:rsidRPr="006C40C1">
        <w:t>j</w:t>
      </w:r>
      <w:r w:rsidRPr="006C40C1">
        <w:t>o</w:t>
      </w:r>
      <w:r w:rsidRPr="006C40C1">
        <w:t xml:space="preserve">ner kronor perioden 2001 till 2003 för att hjälpa barn till missbrukare eller barn i familjer där det förekommer våld och övergrepp.   </w:t>
      </w:r>
    </w:p>
    <w:p w:rsidR="00AA5D77" w:rsidRPr="006C40C1" w:rsidRDefault="00AA5D77">
      <w:pPr>
        <w:pStyle w:val="Normaltindrag"/>
      </w:pPr>
      <w:r w:rsidRPr="006C40C1">
        <w:t>Sammantaget innebär dessa satsningar att tillskotten till barnfamiljerna år 2004 uppgår till nästan 14 miljarder kronor.</w:t>
      </w:r>
    </w:p>
    <w:p w:rsidR="00AA5D77" w:rsidRPr="006C40C1" w:rsidRDefault="00AA5D77">
      <w:pPr>
        <w:pStyle w:val="Rubrik4"/>
        <w:rPr>
          <w:noProof w:val="0"/>
        </w:rPr>
      </w:pPr>
      <w:bookmarkStart w:id="177" w:name="_Toc498910677"/>
      <w:bookmarkStart w:id="178" w:name="_Toc516364751"/>
      <w:bookmarkStart w:id="179" w:name="_Toc10877614"/>
      <w:bookmarkStart w:id="180" w:name="_Toc25302159"/>
      <w:bookmarkStart w:id="181" w:name="_Toc26191436"/>
      <w:r w:rsidRPr="006C40C1">
        <w:rPr>
          <w:noProof w:val="0"/>
        </w:rPr>
        <w:t>Den generella välfärden ska bevaras och utvecklas</w:t>
      </w:r>
      <w:bookmarkEnd w:id="178"/>
      <w:bookmarkEnd w:id="179"/>
      <w:bookmarkEnd w:id="180"/>
      <w:bookmarkEnd w:id="181"/>
    </w:p>
    <w:p w:rsidR="00AA5D77" w:rsidRPr="006C40C1" w:rsidRDefault="00AA5D77">
      <w:r w:rsidRPr="006C40C1">
        <w:t>Den generella välfärdspolitiken är enligt utskottets mening en avgörande del i politiken för tillväxt, rättvisa och jämställdhet. En generellt upplagd välfärd</w:t>
      </w:r>
      <w:r w:rsidRPr="006C40C1">
        <w:t>s</w:t>
      </w:r>
      <w:r w:rsidRPr="006C40C1">
        <w:t>politik minskar klyftorna mellan olika grupper i samhället. Social- och arbet</w:t>
      </w:r>
      <w:r w:rsidRPr="006C40C1">
        <w:t>s</w:t>
      </w:r>
      <w:r w:rsidRPr="006C40C1">
        <w:t>försäkringarna ger trygghet när en person drabbats av t.ex. sjukdom eller arbetsskada samtidigt som försäkringarnas koppling till förvärvsarbete up</w:t>
      </w:r>
      <w:r w:rsidRPr="006C40C1">
        <w:t>p</w:t>
      </w:r>
      <w:r w:rsidRPr="006C40C1">
        <w:t>muntrar till ett högt arbetskraftsdeltagande och arbetskraftsutbud.</w:t>
      </w:r>
    </w:p>
    <w:p w:rsidR="00AA5D77" w:rsidRPr="006C40C1" w:rsidRDefault="00AA5D77">
      <w:pPr>
        <w:pStyle w:val="Normaltindrag"/>
      </w:pPr>
      <w:r w:rsidRPr="006C40C1">
        <w:t>Till följd av de kraftiga reallönehöjningarna under de senaste åren har a</w:t>
      </w:r>
      <w:r w:rsidRPr="006C40C1">
        <w:t>n</w:t>
      </w:r>
      <w:r w:rsidRPr="006C40C1">
        <w:t>talet personer som får ersättning med 80 % av inkomsten vid sjukdom eller föräldraledighet minskat. I fjol hade ca 36 % av alla heltidsarbetande en i</w:t>
      </w:r>
      <w:r w:rsidRPr="006C40C1">
        <w:t>n</w:t>
      </w:r>
      <w:r w:rsidRPr="006C40C1">
        <w:t>komst på över sju och ett halvt basbelopp, vilket är den övre gränsen för ersättningsberättigad inkomst. Enligt utskottets uppfattning är det angeläget att se över ersättningsnivåerna i försäkringssystemen för att bevara och u</w:t>
      </w:r>
      <w:r w:rsidRPr="006C40C1">
        <w:t>t</w:t>
      </w:r>
      <w:r w:rsidRPr="006C40C1">
        <w:t>veckla den generella välfärden. Som utskottet nämnt tidigare höjs inkomstt</w:t>
      </w:r>
      <w:r w:rsidRPr="006C40C1">
        <w:t>a</w:t>
      </w:r>
      <w:r w:rsidRPr="006C40C1">
        <w:t xml:space="preserve">ket i föräldraförsäkringen från sju och ett halvt till tio </w:t>
      </w:r>
      <w:r w:rsidRPr="006C40C1">
        <w:t>basbelopp fr.o.m. den 1 juli 2003.</w:t>
      </w:r>
    </w:p>
    <w:p w:rsidR="00AA5D77" w:rsidRPr="006C40C1" w:rsidRDefault="00AA5D77">
      <w:pPr>
        <w:pStyle w:val="Normaltindrag"/>
      </w:pPr>
      <w:r w:rsidRPr="006C40C1">
        <w:t>Ersättningen i arbetslöshetskassan har höjts i två omgångar, vid halvår</w:t>
      </w:r>
      <w:r w:rsidRPr="006C40C1">
        <w:t>s</w:t>
      </w:r>
      <w:r w:rsidRPr="006C40C1">
        <w:t>skiftet 2001 och vid halvsårsskiftet 2002. Den 1 juli i år höjdes golvet i fö</w:t>
      </w:r>
      <w:r w:rsidRPr="006C40C1">
        <w:t>r</w:t>
      </w:r>
      <w:r w:rsidRPr="006C40C1">
        <w:t>säkringen med 50 kr till 320 kr samtidigt som taket under de 100 första e</w:t>
      </w:r>
      <w:r w:rsidRPr="006C40C1">
        <w:t>r</w:t>
      </w:r>
      <w:r w:rsidRPr="006C40C1">
        <w:t xml:space="preserve">sättningsdagarna höjdes till 730 kr per dag och taket från dag 101 höjdes till 680 kr. </w:t>
      </w:r>
    </w:p>
    <w:p w:rsidR="00AA5D77" w:rsidRPr="006C40C1" w:rsidRDefault="00AA5D77">
      <w:pPr>
        <w:pStyle w:val="Rubrik4"/>
        <w:rPr>
          <w:noProof w:val="0"/>
        </w:rPr>
      </w:pPr>
      <w:bookmarkStart w:id="182" w:name="_Toc516364753"/>
      <w:bookmarkStart w:id="183" w:name="_Toc10877616"/>
      <w:bookmarkStart w:id="184" w:name="_Toc25302160"/>
      <w:bookmarkStart w:id="185" w:name="_Toc26191437"/>
      <w:r w:rsidRPr="006C40C1">
        <w:rPr>
          <w:noProof w:val="0"/>
        </w:rPr>
        <w:t>Privatisering och avreglering</w:t>
      </w:r>
      <w:bookmarkEnd w:id="177"/>
      <w:bookmarkEnd w:id="182"/>
      <w:bookmarkEnd w:id="183"/>
      <w:bookmarkEnd w:id="184"/>
      <w:bookmarkEnd w:id="185"/>
    </w:p>
    <w:p w:rsidR="00AA5D77" w:rsidRPr="006C40C1" w:rsidRDefault="00AA5D77">
      <w:r w:rsidRPr="006C40C1">
        <w:t>När det gäller frågor om förändringar av de svenska socialförsäkringarna och privatiseringar av t.ex. vård- och omsorgssektorerna  vill utskottet erinra om att principerna om en solidariskt offentligt finansierad och rättvist fördelad sjukvård är några av de mest centrala inslagen i den generella välfärdspolit</w:t>
      </w:r>
      <w:r w:rsidRPr="006C40C1">
        <w:t>i</w:t>
      </w:r>
      <w:r w:rsidRPr="006C40C1">
        <w:t>ken. I motion Fi231 (m) föreslås att en obligatorisk nationell hälsoförsäkring införs. Enligt utskottets mening finns det inga belägg för att Sverige skulle vinna på att övergå till en försäkringslösning. Internationella erfarenheter tyder tvärtom på att de skattefinansierade hälso- och sjukvårdssystemen fu</w:t>
      </w:r>
      <w:r w:rsidRPr="006C40C1">
        <w:t>n</w:t>
      </w:r>
      <w:r w:rsidRPr="006C40C1">
        <w:t>gerar bättre i t.ex. jämställdhets- och fördelningspolitiskt avseende än försä</w:t>
      </w:r>
      <w:r w:rsidRPr="006C40C1">
        <w:t>k</w:t>
      </w:r>
      <w:r w:rsidRPr="006C40C1">
        <w:t>ringsfinansierade system. Erfarenheterna tyder också på att en försäkringsf</w:t>
      </w:r>
      <w:r w:rsidRPr="006C40C1">
        <w:t>i</w:t>
      </w:r>
      <w:r w:rsidRPr="006C40C1">
        <w:t>nansierad sjukvård på olika sätt begränsar pati</w:t>
      </w:r>
      <w:r w:rsidRPr="006C40C1">
        <w:t>enternas valfrihet.</w:t>
      </w:r>
    </w:p>
    <w:p w:rsidR="00AA5D77" w:rsidRPr="006C40C1" w:rsidRDefault="00AA5D77">
      <w:pPr>
        <w:pStyle w:val="Normaltindrag"/>
      </w:pPr>
      <w:r w:rsidRPr="006C40C1">
        <w:t>I bl.a. motion Fi231 (m) framförs också förslag om omfattande avregl</w:t>
      </w:r>
      <w:r w:rsidRPr="006C40C1">
        <w:t>e</w:t>
      </w:r>
      <w:r w:rsidRPr="006C40C1">
        <w:t>ringar och privatiseringar i den statliga och kommunala sektorn. Skulle dessa förslag genomföras skulle det enligt utskottets mening leda till en dramatisk förändring av de offentliga verksamheterna. Följden skulle sannolikt bli en mycket instabil situation till skada för medborgarna. Effektiviteten och pr</w:t>
      </w:r>
      <w:r w:rsidRPr="006C40C1">
        <w:t>o</w:t>
      </w:r>
      <w:r w:rsidRPr="006C40C1">
        <w:t>duktiviteten inom t.ex. vården, omsorgen och skolan skulle drabbas hårt. I motionen föreslås också mycket stora skattesänkningar. Det är utskottets övertygelse att skattesänkningar av denna art leder til</w:t>
      </w:r>
      <w:r w:rsidRPr="006C40C1">
        <w:t>l nedskärningar av viktig och angelägen offentlig verksamhet. Dessutom får stora skattesänkningar av den här typen helt oacceptabla fördelningspolitiska konsekvenser. Skadorna på den svenska generella välfärden skulle bli betydande. Utskottets uppfat</w:t>
      </w:r>
      <w:r w:rsidRPr="006C40C1">
        <w:t>t</w:t>
      </w:r>
      <w:r w:rsidRPr="006C40C1">
        <w:t>ning är vidare att skattesänkningar av detta slag kan leda till instabila stat</w:t>
      </w:r>
      <w:r w:rsidRPr="006C40C1">
        <w:t>s</w:t>
      </w:r>
      <w:r w:rsidRPr="006C40C1">
        <w:t>finanser med negativa effekter på både företagsklimatet och den ekonomiska tillväxten. Erfarenheterna och lärdomarna från den snabba försämringen av statsf</w:t>
      </w:r>
      <w:r w:rsidRPr="006C40C1">
        <w:t>i</w:t>
      </w:r>
      <w:r w:rsidRPr="006C40C1">
        <w:t>nanserna i början av 1990-</w:t>
      </w:r>
      <w:r w:rsidRPr="006C40C1">
        <w:t>talet är både tydliga och avskräckande.</w:t>
      </w:r>
    </w:p>
    <w:p w:rsidR="00AA5D77" w:rsidRPr="006C40C1" w:rsidRDefault="00AA5D77">
      <w:pPr>
        <w:pStyle w:val="Rubrik4"/>
        <w:rPr>
          <w:noProof w:val="0"/>
        </w:rPr>
      </w:pPr>
      <w:bookmarkStart w:id="186" w:name="_Toc25302161"/>
      <w:bookmarkStart w:id="187" w:name="_Toc26191438"/>
      <w:r w:rsidRPr="006C40C1">
        <w:rPr>
          <w:noProof w:val="0"/>
        </w:rPr>
        <w:t>Offentliga bidrag bidrar till en jämnare fördelning</w:t>
      </w:r>
      <w:bookmarkEnd w:id="186"/>
      <w:bookmarkEnd w:id="187"/>
      <w:r w:rsidRPr="006C40C1">
        <w:rPr>
          <w:noProof w:val="0"/>
        </w:rPr>
        <w:t xml:space="preserve"> </w:t>
      </w:r>
    </w:p>
    <w:p w:rsidR="00AA5D77" w:rsidRPr="006C40C1" w:rsidRDefault="00AA5D77">
      <w:r w:rsidRPr="006C40C1">
        <w:t>Utskottet vill i detta sammanhang peka på den studie av fördelningen av offentliga bidrag till barnomsorg, utbildning samt hälso- och sjukvård som redovisades i bilaga 3 i vårpropositionen för 2002. Undersökningen visar tydligt att de resurser som fördelas via de offentliga verksamheterna klart bidrar till en jämnare fördelning i samhället. Framför allt blir omfördelningen över livscykeln tydlig när effekterna av de subventionerade offentliga tjän</w:t>
      </w:r>
      <w:r w:rsidRPr="006C40C1">
        <w:t>s</w:t>
      </w:r>
      <w:r w:rsidRPr="006C40C1">
        <w:t>terna undersöks. Till exempel beräknas personer i 90-årsåldern få vård och omsorg för i genomsnitt 150 000 kr per år. Barn och ungdomar erhåller ca 35 000 kr per år i form av främst barnomsorg och utbildning, medan personer i 60-årsåldern endast utnyttjar offentliga tjänster för 15 000 kr. När det gäller subventioner av utbildning visar studierna att snedrekryteringen till den högre utbildningen fortfarande är betydande. Däremot har klyftan i antalet utbil</w:t>
      </w:r>
      <w:r w:rsidRPr="006C40C1">
        <w:t>d</w:t>
      </w:r>
      <w:r w:rsidRPr="006C40C1">
        <w:t>ningsår mellan olika grupper i samhället minskat m</w:t>
      </w:r>
      <w:r w:rsidRPr="006C40C1">
        <w:t>arkant de senaste åren. Andra resultat är t.ex. att barnfamiljer och pensionärer gynnas och att su</w:t>
      </w:r>
      <w:r w:rsidRPr="006C40C1">
        <w:t>b</w:t>
      </w:r>
      <w:r w:rsidRPr="006C40C1">
        <w:t>ventionerna påtagligt minskar inkomstspridningen. Personer med relativt låg ekonomisk standard erhåller mer, både i absoluta och relativa termer, än de välbeställda. Vidare gynnas kvinnor mer än män av den offentliga tjänst</w:t>
      </w:r>
      <w:r w:rsidRPr="006C40C1">
        <w:t>e</w:t>
      </w:r>
      <w:r w:rsidRPr="006C40C1">
        <w:t xml:space="preserve">sektorn. </w:t>
      </w:r>
    </w:p>
    <w:p w:rsidR="00AA5D77" w:rsidRPr="006C40C1" w:rsidRDefault="00AA5D77">
      <w:pPr>
        <w:pStyle w:val="Rubrik4"/>
        <w:rPr>
          <w:noProof w:val="0"/>
        </w:rPr>
      </w:pPr>
      <w:bookmarkStart w:id="188" w:name="_Toc25302162"/>
      <w:bookmarkStart w:id="189" w:name="_Toc26191439"/>
      <w:r w:rsidRPr="006C40C1">
        <w:rPr>
          <w:noProof w:val="0"/>
        </w:rPr>
        <w:t>Ökade resurser till vården, skolan och omsorgen …</w:t>
      </w:r>
      <w:bookmarkEnd w:id="188"/>
      <w:bookmarkEnd w:id="189"/>
    </w:p>
    <w:p w:rsidR="00AA5D77" w:rsidRPr="006C40C1" w:rsidRDefault="00AA5D77">
      <w:r w:rsidRPr="006C40C1">
        <w:t>Den omfattande saneringen av de offentliga finanserna har under de senaste åren skapat utrymme för satsningar på att öka resurserna och förbättra kval</w:t>
      </w:r>
      <w:r w:rsidRPr="006C40C1">
        <w:t>i</w:t>
      </w:r>
      <w:r w:rsidRPr="006C40C1">
        <w:t>teten inom skolan, vården och omsorgen av barn och gamla. Den starka i</w:t>
      </w:r>
      <w:r w:rsidRPr="006C40C1">
        <w:t>n</w:t>
      </w:r>
      <w:r w:rsidRPr="006C40C1">
        <w:t>komstutvecklingen i den svenska ekonomin innebär dessutom att skatteintä</w:t>
      </w:r>
      <w:r w:rsidRPr="006C40C1">
        <w:t>k</w:t>
      </w:r>
      <w:r w:rsidRPr="006C40C1">
        <w:t>terna i den kommunala sektorn ökat under de senaste åren, och som framgår av regeringens beräkningar i budgetpropositionen kommer de att fortsätta att öka framöver, dock inte i lika snabbt takt som tidigare.</w:t>
      </w:r>
    </w:p>
    <w:p w:rsidR="00AA5D77" w:rsidRPr="006C40C1" w:rsidRDefault="00AA5D77">
      <w:pPr>
        <w:pStyle w:val="Normaltindrag"/>
      </w:pPr>
      <w:r w:rsidRPr="006C40C1">
        <w:t>I år är resursöverföringen från staten till kommuner och landsting ca 30 miljarder kronor högre jämfört med situationen 1996. Enligt utskottets m</w:t>
      </w:r>
      <w:r w:rsidRPr="006C40C1">
        <w:t>e</w:t>
      </w:r>
      <w:r w:rsidRPr="006C40C1">
        <w:t>ning är det nödvändigt att kommunernas och landstingens ekonomi förstärks ytterligare. Behoven inom vården, skolan och omsorgen är fortfarande stora. Den särskilda satsningen på vård och omsorg fortsätter 2003 och 2004 med ca 7 miljarder kronor. Vidare avsätts ytterligare 1,25 miljarder kronor per år 2003 och 2004 för att korta väntetider och förbättra tillgängligheten inom sjukvården.  Av medlen ska 3 miljarder kronor utbetalas 2003 och 4 miljarder kronor 2004. Till detta ska sedan läggas den kraftiga sat</w:t>
      </w:r>
      <w:r w:rsidRPr="006C40C1">
        <w:t>sningen på skolan under perioden 2001–2006. Nästa år tillförs skolan ytterligare 1 miljard kr</w:t>
      </w:r>
      <w:r w:rsidRPr="006C40C1">
        <w:t>o</w:t>
      </w:r>
      <w:r w:rsidRPr="006C40C1">
        <w:t>nor, efter en ökning i fjol på 0,5 miljarder kronor och 1 miljard kronor i år. Därefter ökar tilldelningen med 1 miljard kronor per år fram till 2006.</w:t>
      </w:r>
    </w:p>
    <w:p w:rsidR="00AA5D77" w:rsidRPr="006C40C1" w:rsidRDefault="00AA5D77">
      <w:pPr>
        <w:pStyle w:val="Normaltindrag"/>
      </w:pPr>
      <w:r w:rsidRPr="006C40C1">
        <w:t>Ett ytterligare särskilt bidrag införs till kommuner och landsting med b</w:t>
      </w:r>
      <w:r w:rsidRPr="006C40C1">
        <w:t>e</w:t>
      </w:r>
      <w:r w:rsidRPr="006C40C1">
        <w:t>folkningsminskningar om totalt 400 miljoner kronor åren 2003 och 2004. Dessutom kommer den s.k. 200-kronan som alla skattskyldiga betalar i i</w:t>
      </w:r>
      <w:r w:rsidRPr="006C40C1">
        <w:t>n</w:t>
      </w:r>
      <w:r w:rsidRPr="006C40C1">
        <w:t>komstskatt att även nästa år överföras till kommuner och landsting. Som utskottet redovisat tidigare förstärks också kommunernas ekonomi genom att det tillfälliga sysselsättningsstödet till kommuner och landsting förlängs till att gälla även under nästa år.</w:t>
      </w:r>
    </w:p>
    <w:p w:rsidR="00AA5D77" w:rsidRPr="006C40C1" w:rsidRDefault="00AA5D77">
      <w:pPr>
        <w:pStyle w:val="Normaltindrag"/>
      </w:pPr>
      <w:r w:rsidRPr="006C40C1">
        <w:t>Sammantaget innebär detta att kommun- och landstingssektorn får ytterl</w:t>
      </w:r>
      <w:r w:rsidRPr="006C40C1">
        <w:t>i</w:t>
      </w:r>
      <w:r w:rsidRPr="006C40C1">
        <w:t>gare stora förstärkningar fram till 2004 för att säkra en god vård, omsorg och skola. Ovanpå detta tillkommer de resurser som regeringen satsar inom ramen för en familjepolitisk reform, t.ex. maxtaxan. Utskottet vill i detta samma</w:t>
      </w:r>
      <w:r w:rsidRPr="006C40C1">
        <w:t>n</w:t>
      </w:r>
      <w:r w:rsidRPr="006C40C1">
        <w:t>hang också erinra om att det vid sidan av dessa resursstärkande åtgärder görs en mängd satsningar för att öka kvaliteten och effektiviteten inom t.ex. skolan och vården. Vid halvårsskiftet i år ändrades t.ex. reglerna om avgifter inom äldre- och handikappomsorgen. Syftet med förä</w:t>
      </w:r>
      <w:r w:rsidRPr="006C40C1">
        <w:t xml:space="preserve">ndringarna är att garantera alla som betalar avgift för kommunal vård och omsorg rimliga avgifter och en trygg levnadsstandard. Samtidigt infördes ett nytt högkostnadsskydd inom tandvården för äldre. Stödet förbättras ytterligare under nästa år. Inom skolan har under de senaste åren genomförts en av de största utvecklingsinsatserna genom tiderna – den nationella satsningen på IT i skolan (Itis). Itis pågår t.o.m. 2002 och innebär bl.a. att 70 000 lärare fått förbättrade kunskaper om hur IT kan användas som </w:t>
      </w:r>
      <w:r w:rsidRPr="006C40C1">
        <w:t>ett verktyg i skolan.</w:t>
      </w:r>
    </w:p>
    <w:p w:rsidR="00AA5D77" w:rsidRPr="006C40C1" w:rsidRDefault="00AA5D77">
      <w:pPr>
        <w:pStyle w:val="Normaltindrag"/>
      </w:pPr>
      <w:r w:rsidRPr="006C40C1">
        <w:t xml:space="preserve">Utskottet vill även peka på att regeringen i  budgetpropositionen anger att en nationell vårdgaranti ska införas under mandatperioden. </w:t>
      </w:r>
    </w:p>
    <w:p w:rsidR="00AA5D77" w:rsidRPr="006C40C1" w:rsidRDefault="00AA5D77">
      <w:pPr>
        <w:pStyle w:val="Rubrik4"/>
        <w:rPr>
          <w:noProof w:val="0"/>
        </w:rPr>
      </w:pPr>
      <w:bookmarkStart w:id="190" w:name="_Toc25302163"/>
      <w:bookmarkStart w:id="191" w:name="_Toc26191440"/>
      <w:r w:rsidRPr="006C40C1">
        <w:rPr>
          <w:noProof w:val="0"/>
        </w:rPr>
        <w:t>… och behovet av offentlig och kommunal verksamhet växer</w:t>
      </w:r>
      <w:bookmarkEnd w:id="190"/>
      <w:bookmarkEnd w:id="191"/>
    </w:p>
    <w:p w:rsidR="00AA5D77" w:rsidRPr="006C40C1" w:rsidRDefault="00AA5D77">
      <w:r w:rsidRPr="006C40C1">
        <w:t>Behoven av offentlig och kommunal verksamhet kommer att öka starkt fra</w:t>
      </w:r>
      <w:r w:rsidRPr="006C40C1">
        <w:t>m</w:t>
      </w:r>
      <w:r w:rsidRPr="006C40C1">
        <w:t>över, bl.a. till följd av den demografiska utvecklingen och den allt högre andelen äldre i befolkningen Det framgår tydligt i t.ex. den analys som r</w:t>
      </w:r>
      <w:r w:rsidRPr="006C40C1">
        <w:t>e</w:t>
      </w:r>
      <w:r w:rsidRPr="006C40C1">
        <w:t>geringen redovisar i bilaga 2 kapitel 12 i budgetpropositionen. Fram till 2050 beräknas Sveriges befolkning öka med omkring 1,1 miljoner personer. Nästan hela ökningen kommer att ske i åldersgrupperna 64 år och äldre. Befolknin</w:t>
      </w:r>
      <w:r w:rsidRPr="006C40C1">
        <w:t>g</w:t>
      </w:r>
      <w:r w:rsidRPr="006C40C1">
        <w:t>en i dessa grupper väntas öka med 0,9 miljoner personer under perioden. Detta ställer stora krav på en väl fungerande offentlig sektor</w:t>
      </w:r>
      <w:r w:rsidRPr="006C40C1">
        <w:t xml:space="preserve"> med starka och sunda offentliga finanser. Därtill krävs en god ekonomisk tillväxt och en ökad sysselsättning. Enligt analysen bedöms utgifterna för sjukvård och äldreo</w:t>
      </w:r>
      <w:r w:rsidRPr="006C40C1">
        <w:t>m</w:t>
      </w:r>
      <w:r w:rsidRPr="006C40C1">
        <w:t>sorg stiga från 9 % av BNP till drygt 13 % av BNP. Utgifterna för pensioner väntas stiga från 9 % av BNP till 11 % av BNP.</w:t>
      </w:r>
    </w:p>
    <w:p w:rsidR="00AA5D77" w:rsidRPr="006C40C1" w:rsidRDefault="00AA5D77">
      <w:pPr>
        <w:pStyle w:val="Normaltindrag"/>
      </w:pPr>
      <w:r w:rsidRPr="006C40C1">
        <w:t xml:space="preserve"> Till följd av bl.a. den höga tillväxten och den stigande sysselsättningen i slutet av 1990-talet och början av 2000-talet ökade kommunernas och land</w:t>
      </w:r>
      <w:r w:rsidRPr="006C40C1">
        <w:t>s</w:t>
      </w:r>
      <w:r w:rsidRPr="006C40C1">
        <w:t xml:space="preserve">tingens skatteinkomster med nästan 100 miljarder kronor under perioden 1998–2002. Detta visar enligt utskottets mening på vikten av att åtgärder vidtas så att den svenska ekonomin uthålligt kan hålla en hög tillväxttakt. Under perioden 2002–2004 väntas kommunernas skatteintäkter stiga med drygt 35 miljarder kronor. </w:t>
      </w:r>
    </w:p>
    <w:p w:rsidR="00AA5D77" w:rsidRPr="006C40C1" w:rsidRDefault="00AA5D77">
      <w:pPr>
        <w:pStyle w:val="Normaltindrag"/>
      </w:pPr>
      <w:r w:rsidRPr="006C40C1">
        <w:t>Vid sidan av detta är det enligt utskottets mening mycket viktigt att de r</w:t>
      </w:r>
      <w:r w:rsidRPr="006C40C1">
        <w:t>e</w:t>
      </w:r>
      <w:r w:rsidRPr="006C40C1">
        <w:t>surser som redan finns i den kommunala sektorn används mer effektivt. Den pågående omdaningen och effektiviseringen av de kommunala verksamhete</w:t>
      </w:r>
      <w:r w:rsidRPr="006C40C1">
        <w:t>r</w:t>
      </w:r>
      <w:r w:rsidRPr="006C40C1">
        <w:t>na måste fortsätta, även om bidragen och skattei</w:t>
      </w:r>
      <w:r w:rsidRPr="006C40C1">
        <w:t>n</w:t>
      </w:r>
      <w:r w:rsidRPr="006C40C1">
        <w:t>täkterna ökar.</w:t>
      </w:r>
    </w:p>
    <w:p w:rsidR="00AA5D77" w:rsidRPr="006C40C1" w:rsidRDefault="00AA5D77">
      <w:pPr>
        <w:pStyle w:val="Rubrik4"/>
        <w:rPr>
          <w:noProof w:val="0"/>
        </w:rPr>
      </w:pPr>
      <w:bookmarkStart w:id="192" w:name="_Toc25302164"/>
      <w:bookmarkStart w:id="193" w:name="_Toc26191441"/>
      <w:r w:rsidRPr="006C40C1">
        <w:rPr>
          <w:noProof w:val="0"/>
        </w:rPr>
        <w:t>Pensionärerna och pensionerna</w:t>
      </w:r>
      <w:bookmarkEnd w:id="192"/>
      <w:bookmarkEnd w:id="193"/>
    </w:p>
    <w:p w:rsidR="00AA5D77" w:rsidRPr="006C40C1" w:rsidRDefault="00AA5D77">
      <w:r w:rsidRPr="006C40C1">
        <w:t xml:space="preserve"> I motion Fi233 (kd) hävdas att regeringens okänsliga budgetsanering drabbat pensionärerna hårt. Utskottet vill med anledning av detta anföra följande. Regeringen gjorde tidigt klart att när statsfinanserna stärks och ekonomin börjar växa ska situationen först förbättras för de grupper i samhället som drabbats extra hårt av de svåra tiderna.</w:t>
      </w:r>
    </w:p>
    <w:p w:rsidR="00AA5D77" w:rsidRPr="006C40C1" w:rsidRDefault="00AA5D77">
      <w:pPr>
        <w:pStyle w:val="Normaltindrag"/>
      </w:pPr>
      <w:r w:rsidRPr="006C40C1">
        <w:t>Redan i budgetpropositionen för 1999 föreslog regeringen därför en fö</w:t>
      </w:r>
      <w:r w:rsidRPr="006C40C1">
        <w:t>r</w:t>
      </w:r>
      <w:r w:rsidRPr="006C40C1">
        <w:t>bättring av pensionärernas ekonomi med omkring 4 miljarder kronor. Det reducerade prisbasbeloppet för pensionärer ersattes fr.o.m. 1999 av det fulla prisbasbeloppet samtidigt som bostadstillägget till pensionerna höjdes för att gynna de sämst ställda pensionärerna. Satsningen på pensionärerna fortsatte i budgetpropositionen för 2001. Bostadstillägget och det särskilda bostadsti</w:t>
      </w:r>
      <w:r w:rsidRPr="006C40C1">
        <w:t>l</w:t>
      </w:r>
      <w:r w:rsidRPr="006C40C1">
        <w:t>lägget höjdes ytterligare samtidigt som den tidigare tillfälliga höjningen av pensionstillskottet permanentades. Vidare höjdes det</w:t>
      </w:r>
      <w:r w:rsidRPr="006C40C1">
        <w:t xml:space="preserve"> särskilda grundavdraget för pensionärer i inkomstbeskat</w:t>
      </w:r>
      <w:r w:rsidRPr="006C40C1">
        <w:t>t</w:t>
      </w:r>
      <w:r w:rsidRPr="006C40C1">
        <w:t>ning.</w:t>
      </w:r>
    </w:p>
    <w:p w:rsidR="00AA5D77" w:rsidRPr="006C40C1" w:rsidRDefault="00AA5D77">
      <w:pPr>
        <w:pStyle w:val="Normaltindrag"/>
      </w:pPr>
      <w:r w:rsidRPr="006C40C1">
        <w:t>I år får pensionärerna en särskild skattesänkning på upp till 1 320 kr per år. Dessutom har bostadstillägget justerats upp ytterligare, och totalt under peri</w:t>
      </w:r>
      <w:r w:rsidRPr="006C40C1">
        <w:t>o</w:t>
      </w:r>
      <w:r w:rsidRPr="006C40C1">
        <w:t>den har bostadstillägget för pensionärer höjts från 83 % till 91 % av bostad</w:t>
      </w:r>
      <w:r w:rsidRPr="006C40C1">
        <w:t>s</w:t>
      </w:r>
      <w:r w:rsidRPr="006C40C1">
        <w:t>kostnaden upp till taket. Samtidigt har golvet i systemet slopats och taket höjts till 4 500 kr per månad.</w:t>
      </w:r>
    </w:p>
    <w:p w:rsidR="00AA5D77" w:rsidRPr="006C40C1" w:rsidRDefault="00AA5D77">
      <w:pPr>
        <w:pStyle w:val="Normaltindrag"/>
      </w:pPr>
      <w:r w:rsidRPr="006C40C1">
        <w:t>Under nästa år införs ett s.k. äldreförsörjningsstöd samtidigt som pensi</w:t>
      </w:r>
      <w:r w:rsidRPr="006C40C1">
        <w:t>o</w:t>
      </w:r>
      <w:r w:rsidRPr="006C40C1">
        <w:t>nerna höjs genom att det nya pensionssystemet träder i kraft. Äldreförsör</w:t>
      </w:r>
      <w:r w:rsidRPr="006C40C1">
        <w:t>j</w:t>
      </w:r>
      <w:r w:rsidRPr="006C40C1">
        <w:t>ningsstödet ska garantera att alla i Sverige som fyllt 65 år får en skälig le</w:t>
      </w:r>
      <w:r w:rsidRPr="006C40C1">
        <w:t>v</w:t>
      </w:r>
      <w:r w:rsidRPr="006C40C1">
        <w:t xml:space="preserve">nadsstandard. </w:t>
      </w:r>
    </w:p>
    <w:p w:rsidR="00AA5D77" w:rsidRPr="006C40C1" w:rsidRDefault="00AA5D77">
      <w:pPr>
        <w:pStyle w:val="Normaltindrag"/>
      </w:pPr>
      <w:r w:rsidRPr="006C40C1">
        <w:t>Utskottet vill i detta sammanhang även peka på att de satsningar som nu görs och planeras inom vården och omsorgen är av utomordentligt stor bet</w:t>
      </w:r>
      <w:r w:rsidRPr="006C40C1">
        <w:t>y</w:t>
      </w:r>
      <w:r w:rsidRPr="006C40C1">
        <w:t>delse, inte minst för äldre och pensionärer. Under perioden 1999–2001 sats</w:t>
      </w:r>
      <w:r w:rsidRPr="006C40C1">
        <w:t>a</w:t>
      </w:r>
      <w:r w:rsidRPr="006C40C1">
        <w:t>des t.ex. 300 miljoner kronor på den nationella handlingsplanen för äldre, vilket bl.a. inbegripit anhörigstöd, telefonjour för äldre och anhöriga och försöksverksamhet i hemtjänsten. Därutöver satsades omkring 400 miljoner kronor på fler platser och högre standard i äldreboendet. Vid halvårsskiftet i år infördes ett nytt högkostnadsskydd i tandvården för äldre, och stödet för äldretandvården utökas ytterligare 2003,  enligt regerin</w:t>
      </w:r>
      <w:r w:rsidRPr="006C40C1">
        <w:t>gens förslag i budge</w:t>
      </w:r>
      <w:r w:rsidRPr="006C40C1">
        <w:t>t</w:t>
      </w:r>
      <w:r w:rsidRPr="006C40C1">
        <w:t>propositionen.</w:t>
      </w:r>
    </w:p>
    <w:p w:rsidR="00AA5D77" w:rsidRPr="006C40C1" w:rsidRDefault="00AA5D77">
      <w:pPr>
        <w:pStyle w:val="Normaltindrag"/>
      </w:pPr>
      <w:r w:rsidRPr="006C40C1">
        <w:t>Som redovisades ovan, under rubriken Offentliga bidrag bidrar till en jä</w:t>
      </w:r>
      <w:r w:rsidRPr="006C40C1">
        <w:t>m</w:t>
      </w:r>
      <w:r w:rsidRPr="006C40C1">
        <w:t>nare fördelning, går en stor del av de offentliga resurserna och tjänsterna inom vården och omsorgen till personer i de högre åldersgru</w:t>
      </w:r>
      <w:r w:rsidRPr="006C40C1">
        <w:t>p</w:t>
      </w:r>
      <w:r w:rsidRPr="006C40C1">
        <w:t>perna.</w:t>
      </w:r>
    </w:p>
    <w:p w:rsidR="00AA5D77" w:rsidRPr="006C40C1" w:rsidRDefault="00AA5D77">
      <w:pPr>
        <w:pStyle w:val="Rubrik4"/>
        <w:rPr>
          <w:noProof w:val="0"/>
        </w:rPr>
      </w:pPr>
      <w:bookmarkStart w:id="194" w:name="_Toc25302165"/>
      <w:bookmarkStart w:id="195" w:name="_Toc26191442"/>
      <w:r w:rsidRPr="006C40C1">
        <w:rPr>
          <w:noProof w:val="0"/>
        </w:rPr>
        <w:t>Saneringen av de offentliga finanserna och demografin</w:t>
      </w:r>
      <w:bookmarkEnd w:id="194"/>
      <w:bookmarkEnd w:id="195"/>
      <w:r w:rsidRPr="006C40C1">
        <w:rPr>
          <w:noProof w:val="0"/>
        </w:rPr>
        <w:t xml:space="preserve"> </w:t>
      </w:r>
    </w:p>
    <w:p w:rsidR="00AA5D77" w:rsidRPr="006C40C1" w:rsidRDefault="00AA5D77">
      <w:r w:rsidRPr="006C40C1">
        <w:t>Utskottet har vid flera tillfällen behandlat budgetkonsolideringens effekter på fördelningen i samhället (senast i bet. 2001/02:FiU20). Enligt utskottets up</w:t>
      </w:r>
      <w:r w:rsidRPr="006C40C1">
        <w:t>p</w:t>
      </w:r>
      <w:r w:rsidRPr="006C40C1">
        <w:t>fattning fanns det inte något alternativ till saneringen av de offentliga fina</w:t>
      </w:r>
      <w:r w:rsidRPr="006C40C1">
        <w:t>n</w:t>
      </w:r>
      <w:r w:rsidRPr="006C40C1">
        <w:t xml:space="preserve">serna. Den var nödvändig för att återställa förtroendet för svensk ekonomi och få ned de höga räntor som allvarligt dämpade tillväxtkraften, inte minst i de mindre och medelstora företagen. Den var också nödvändig för att säkra den framtida välfärden. Som utskottet redovisat tidigare står Sverige inför en stor demografisk utmaning genom att andelen äldre i befolkningen ökar. För att klara av den påfrestning som detta kommer att </w:t>
      </w:r>
      <w:r w:rsidRPr="006C40C1">
        <w:t>innebära för de offentliga sy</w:t>
      </w:r>
      <w:r w:rsidRPr="006C40C1">
        <w:softHyphen/>
      </w:r>
      <w:r w:rsidRPr="006C40C1">
        <w:softHyphen/>
        <w:t>stemen krävs ett överskott i de offentliga finanserna under de närmaste åren.</w:t>
      </w:r>
    </w:p>
    <w:p w:rsidR="00AA5D77" w:rsidRPr="006C40C1" w:rsidRDefault="00AA5D77">
      <w:pPr>
        <w:pStyle w:val="Normaltindrag"/>
      </w:pPr>
      <w:r w:rsidRPr="006C40C1">
        <w:t>Enligt utskottets mening är det också viktigt att inse att de senaste årens kraftiga uppgång i den svenska ekonomin till en ganska stor del beror på det faktum att Sverige har sanerat de offentliga finanserna och etablerat ett öve</w:t>
      </w:r>
      <w:r w:rsidRPr="006C40C1">
        <w:t>r</w:t>
      </w:r>
      <w:r w:rsidRPr="006C40C1">
        <w:t>skott. Det är också viktigt att inse att utan sanering hade det inte varit möjligt att under de senaste åren bedriva en expansiv finanspolitik för att dämpa effekterna av den internationella konjunkturnedgån</w:t>
      </w:r>
      <w:r w:rsidRPr="006C40C1">
        <w:t>g</w:t>
      </w:r>
      <w:r w:rsidRPr="006C40C1">
        <w:t xml:space="preserve">en. </w:t>
      </w:r>
    </w:p>
    <w:p w:rsidR="00AA5D77" w:rsidRPr="006C40C1" w:rsidRDefault="00AA5D77">
      <w:pPr>
        <w:pStyle w:val="Rubrik4"/>
        <w:rPr>
          <w:noProof w:val="0"/>
        </w:rPr>
      </w:pPr>
      <w:bookmarkStart w:id="196" w:name="_Toc516364755"/>
      <w:bookmarkStart w:id="197" w:name="_Toc10877617"/>
      <w:bookmarkStart w:id="198" w:name="_Toc25302166"/>
      <w:bookmarkStart w:id="199" w:name="_Toc26191443"/>
      <w:r w:rsidRPr="006C40C1">
        <w:rPr>
          <w:noProof w:val="0"/>
        </w:rPr>
        <w:t>Ett Sverige för alla</w:t>
      </w:r>
      <w:bookmarkEnd w:id="196"/>
      <w:r w:rsidRPr="006C40C1">
        <w:rPr>
          <w:noProof w:val="0"/>
        </w:rPr>
        <w:t xml:space="preserve"> ...</w:t>
      </w:r>
      <w:bookmarkEnd w:id="197"/>
      <w:bookmarkEnd w:id="198"/>
      <w:bookmarkEnd w:id="199"/>
    </w:p>
    <w:p w:rsidR="00AA5D77" w:rsidRPr="006C40C1" w:rsidRDefault="00AA5D77">
      <w:r w:rsidRPr="006C40C1">
        <w:t>I utskottets betänkande med anledning av vårpropositionen för 2002 (bet. 2001/02:FiU20) behandlades den stora fördelningspolitiska utmaning som ligger i att minska klyftorna i samhället och antalet personer som är margin</w:t>
      </w:r>
      <w:r w:rsidRPr="006C40C1">
        <w:t>a</w:t>
      </w:r>
      <w:r w:rsidRPr="006C40C1">
        <w:t>liserade. Enligt utskottets mening ger ekonomisk tillväxt bättre förutsättningar för ökad rättvisa. Tillväxten i sig är däremot ingen garanti för rättvisa, utan för att minska klyftorna i samhället krävs en aktiv politik för rättvisa. Målet bör vara att människors livsval inte ska begränsas av bakgrund eller kön. Alla ska ha samma rätt och möjlighet till vård, utbildning och omsorg. Vidare måste alla former av diskriminering upphöra. Invandrare, flyktingar och de som bott i Sverige i många generationer ska</w:t>
      </w:r>
      <w:r w:rsidRPr="006C40C1">
        <w:t xml:space="preserve"> ges likartade möjligheter i livet.</w:t>
      </w:r>
    </w:p>
    <w:p w:rsidR="00AA5D77" w:rsidRPr="006C40C1" w:rsidRDefault="00AA5D77">
      <w:pPr>
        <w:pStyle w:val="Normaltindrag"/>
      </w:pPr>
      <w:r w:rsidRPr="006C40C1">
        <w:t>Även om mycket återstår att göra har de senaste årens tillväxt gjort det möjligt att vidta åtgärder inom en rad områden; t.ex. har initiativ tagits för att öka förutsättningarna för en långsiktigt hållbar integration. Inom bl.a. arbet</w:t>
      </w:r>
      <w:r w:rsidRPr="006C40C1">
        <w:t>s</w:t>
      </w:r>
      <w:r w:rsidRPr="006C40C1">
        <w:t>marknads- och utbildningsområdet pågår en rad olika insatser för att öka invandrarnas möjligheter att delta i arbetslivet. Ansträngningarna på detta område måste öka under de kommande åren. Ett viktigt mål i politiken är att öka sysselsättningen bland invandrare.</w:t>
      </w:r>
    </w:p>
    <w:p w:rsidR="00AA5D77" w:rsidRPr="006C40C1" w:rsidRDefault="00AA5D77">
      <w:pPr>
        <w:pStyle w:val="Normaltindrag"/>
      </w:pPr>
      <w:r w:rsidRPr="006C40C1">
        <w:t>Olika fördelningsanalyser visar att barnfamiljer och då särskilt ensamst</w:t>
      </w:r>
      <w:r w:rsidRPr="006C40C1">
        <w:t>å</w:t>
      </w:r>
      <w:r w:rsidRPr="006C40C1">
        <w:t xml:space="preserve">ende föräldrar, ungdomar och invandrare fortfarande har det sämre nu än i början av 1990-talet. En rad åtgärder har vidtagits och kommer att vidtas för att förbättra situationen för dessa grupper. </w:t>
      </w:r>
    </w:p>
    <w:p w:rsidR="00AA5D77" w:rsidRPr="006C40C1" w:rsidRDefault="00AA5D77">
      <w:pPr>
        <w:pStyle w:val="Normaltindrag"/>
      </w:pPr>
      <w:r w:rsidRPr="006C40C1">
        <w:t>Andra studier visar att det finns strukturella faktorer som gör att vissa samhällsgrupper har större tillgång än andra till utbildning, höga inkomster och en god välfärd. Det är t.ex. fortfarande betydligt vanligare att barn till föräldrar med högre utbildning studerar vidare än att barn till föräldrar med lägre</w:t>
      </w:r>
      <w:r w:rsidRPr="006C40C1">
        <w:t xml:space="preserve"> utbildning gör det. De senaste årens utbyggnad av högskolan och det reformerade studiesystemet syftar till att bryta detta mönster. Som utskottet redovisat tidigare satsas 40 miljoner kronor per år under perioden 2002–2004 för att stimulera till särskilda rekryteringsåtgärder. </w:t>
      </w:r>
    </w:p>
    <w:p w:rsidR="00AA5D77" w:rsidRPr="006C40C1" w:rsidRDefault="00AA5D77">
      <w:pPr>
        <w:pStyle w:val="Normaltindrag"/>
      </w:pPr>
      <w:r w:rsidRPr="006C40C1">
        <w:t>Studier som bl.a. regeringen genomfört visar att lönespridningen i Sverige ökade något under senare delen av 1990-talet efter att ha minskat sedan mi</w:t>
      </w:r>
      <w:r w:rsidRPr="006C40C1">
        <w:t>t</w:t>
      </w:r>
      <w:r w:rsidRPr="006C40C1">
        <w:t>ten av 1970-talet. Till följd av den ekonomiska krisen i början av 1990-talet marginaliserades vissa grupper. Till exempel har antalet människor som är långtidsarbetslösa, långtidssjuka eller beroende av socialbidrag under långa tider ökat. För att motverka detta måste bl.a. marginaleffekter av olika slag minskas så att det lönar sig bättre att studera och arbeta. Därmed minskar risken för att människor fastnar i socialbidragsberoende och långtidsarbet</w:t>
      </w:r>
      <w:r w:rsidRPr="006C40C1">
        <w:t>s</w:t>
      </w:r>
      <w:r w:rsidRPr="006C40C1">
        <w:t>löshet. Beslutet om att införa maxtaxa i förskoleverks</w:t>
      </w:r>
      <w:r w:rsidRPr="006C40C1">
        <w:t>amheten och barno</w:t>
      </w:r>
      <w:r w:rsidRPr="006C40C1">
        <w:t>m</w:t>
      </w:r>
      <w:r w:rsidRPr="006C40C1">
        <w:t>sorgen är ett exempel på åtgärder som bidrar till att minska marginaleffekte</w:t>
      </w:r>
      <w:r w:rsidRPr="006C40C1">
        <w:t>r</w:t>
      </w:r>
      <w:r w:rsidRPr="006C40C1">
        <w:t>na. Sänkning av marginalskatterna genom höjningen av den nedre skiktgrä</w:t>
      </w:r>
      <w:r w:rsidRPr="006C40C1">
        <w:t>n</w:t>
      </w:r>
      <w:r w:rsidRPr="006C40C1">
        <w:t>sen för statlig inkomstskatt och kompenseringen av egenavgifterna är andra exempel. Enligt beräkningar som redovisades i vårpropositionen för 2002 hade en ensamstående med två barn en marginaleffekt på ungefär 65 % år 1999. Under 2002 har marginaleffekten för denna familjetyp sjunkit med nästan 7 procentenheter, till 58,6 %. För sammanboende m</w:t>
      </w:r>
      <w:r w:rsidRPr="006C40C1">
        <w:t>ed två barn hade marginaleffekterna under samma period sjunkit med omkring 5 procentenh</w:t>
      </w:r>
      <w:r w:rsidRPr="006C40C1">
        <w:t>e</w:t>
      </w:r>
      <w:r w:rsidRPr="006C40C1">
        <w:t xml:space="preserve">ter. </w:t>
      </w:r>
    </w:p>
    <w:p w:rsidR="00AA5D77" w:rsidRPr="006C40C1" w:rsidRDefault="00AA5D77">
      <w:pPr>
        <w:pStyle w:val="Rubrik4"/>
        <w:rPr>
          <w:noProof w:val="0"/>
        </w:rPr>
      </w:pPr>
      <w:bookmarkStart w:id="200" w:name="_Toc10877618"/>
      <w:bookmarkStart w:id="201" w:name="_Toc25302167"/>
      <w:bookmarkStart w:id="202" w:name="_Toc26191444"/>
      <w:r w:rsidRPr="006C40C1">
        <w:rPr>
          <w:noProof w:val="0"/>
        </w:rPr>
        <w:t>… och socialbidragsberoendet ska halveras</w:t>
      </w:r>
      <w:bookmarkEnd w:id="200"/>
      <w:bookmarkEnd w:id="201"/>
      <w:bookmarkEnd w:id="202"/>
    </w:p>
    <w:p w:rsidR="00AA5D77" w:rsidRPr="006C40C1" w:rsidRDefault="00AA5D77">
      <w:r w:rsidRPr="006C40C1">
        <w:t>Som utskottet nämnde ovan ökade socialbidragsberoendet under 1990-talet. Denna utveckling är enligt utskottets mening ett hårt slag för alla som kämpar för ökad rättvisa och högre välfärd. Riksdagens och regeringens uppsatta mål är att socialbidragsberoendet ska halveras mellan 1999 och 2004. Utvecklin</w:t>
      </w:r>
      <w:r w:rsidRPr="006C40C1">
        <w:t>g</w:t>
      </w:r>
      <w:r w:rsidRPr="006C40C1">
        <w:t>en och uppfyllelsen av målet ska årligen avrapporteras till riksdagen. I bilaga 3 i budgetpropositionen redovisar regeringen den andra avstämningen av målet, den första publicerades i budgetpropositionen för 2002. År 1999 up</w:t>
      </w:r>
      <w:r w:rsidRPr="006C40C1">
        <w:t>p</w:t>
      </w:r>
      <w:r w:rsidRPr="006C40C1">
        <w:t>gick socialbidragsberoendet till omkring 115 200 s.k. helårsekvivalenter (antal vuxna personer med full ersättning under ett helt år). För att målet ska nås krävs alltså att antalet socialbidragsberoende sjunker till omkring 57 600 år 2004, räknat i helårsekvivalenter. Det kan jämföras</w:t>
      </w:r>
      <w:r w:rsidRPr="006C40C1">
        <w:t xml:space="preserve"> med att antalet socia</w:t>
      </w:r>
      <w:r w:rsidRPr="006C40C1">
        <w:t>l</w:t>
      </w:r>
      <w:r w:rsidRPr="006C40C1">
        <w:t>bidragsberoende 1990, dvs. före den kraftiga nedgången i den svenska ek</w:t>
      </w:r>
      <w:r w:rsidRPr="006C40C1">
        <w:t>o</w:t>
      </w:r>
      <w:r w:rsidRPr="006C40C1">
        <w:t>nomin, up</w:t>
      </w:r>
      <w:r w:rsidRPr="006C40C1">
        <w:t>p</w:t>
      </w:r>
      <w:r w:rsidRPr="006C40C1">
        <w:t xml:space="preserve">gick till 71 700. </w:t>
      </w:r>
    </w:p>
    <w:p w:rsidR="00AA5D77" w:rsidRPr="006C40C1" w:rsidRDefault="00AA5D77">
      <w:pPr>
        <w:pStyle w:val="Normaltindrag"/>
      </w:pPr>
      <w:r w:rsidRPr="006C40C1">
        <w:t>Till följd av bl.a. sysselsättningsuppgången och den sjunkande arbetslö</w:t>
      </w:r>
      <w:r w:rsidRPr="006C40C1">
        <w:t>s</w:t>
      </w:r>
      <w:r w:rsidRPr="006C40C1">
        <w:t>heten minskade antalet beroende av socialbidrag med 14 000 personer 2000 och 9 700 personer 2001. Sammantaget minskade antalet socialbidragsber</w:t>
      </w:r>
      <w:r w:rsidRPr="006C40C1">
        <w:t>o</w:t>
      </w:r>
      <w:r w:rsidRPr="006C40C1">
        <w:t xml:space="preserve">ende under perioden med 24 000 personer, vilket innebär att det återstår 33 600 helsårsekvivalenter för att målet ska nås. </w:t>
      </w:r>
    </w:p>
    <w:p w:rsidR="00AA5D77" w:rsidRPr="006C40C1" w:rsidRDefault="00AA5D77">
      <w:pPr>
        <w:pStyle w:val="Normaltindrag"/>
      </w:pPr>
      <w:r w:rsidRPr="006C40C1">
        <w:t>Detta visar enligt utskottets mening att det är kampen för ökad sysselsät</w:t>
      </w:r>
      <w:r w:rsidRPr="006C40C1">
        <w:t>t</w:t>
      </w:r>
      <w:r w:rsidRPr="006C40C1">
        <w:t>ning och minskad arbetslöshet som är avgörande när det gäller att bryta b</w:t>
      </w:r>
      <w:r w:rsidRPr="006C40C1">
        <w:t>i</w:t>
      </w:r>
      <w:r w:rsidRPr="006C40C1">
        <w:t>dragsberoendet i det svenska samhället. Möjligheterna för utsatta grupper att skaffa jobb, egen försörjning och delta i arbetslivet måste öka. Sverige har inte råd – varken mänskligt eller ekonomiskt – att ställa dessa grupper uta</w:t>
      </w:r>
      <w:r w:rsidRPr="006C40C1">
        <w:t>n</w:t>
      </w:r>
      <w:r w:rsidRPr="006C40C1">
        <w:t xml:space="preserve">för. Utskottet delar regeringens bedömning att målet om en halvering av socialbidragsberoendet är inom räckhåll.  </w:t>
      </w:r>
    </w:p>
    <w:p w:rsidR="00AA5D77" w:rsidRPr="006C40C1" w:rsidRDefault="00AA5D77">
      <w:pPr>
        <w:pStyle w:val="Rubrik4"/>
        <w:rPr>
          <w:noProof w:val="0"/>
        </w:rPr>
      </w:pPr>
      <w:bookmarkStart w:id="203" w:name="_Toc25302168"/>
      <w:bookmarkStart w:id="204" w:name="_Toc26191445"/>
      <w:r w:rsidRPr="006C40C1">
        <w:rPr>
          <w:noProof w:val="0"/>
        </w:rPr>
        <w:t>Jämställdhet</w:t>
      </w:r>
      <w:bookmarkEnd w:id="203"/>
      <w:bookmarkEnd w:id="204"/>
    </w:p>
    <w:p w:rsidR="00AA5D77" w:rsidRPr="006C40C1" w:rsidRDefault="00AA5D77">
      <w:r w:rsidRPr="006C40C1">
        <w:t>Centrala mål i den ekonomiska politiken är rättvisa och jämställdhet. Även om vi i Sverige har kommit långt med jämställdheten mellan män och kvinnor i jämförelse med andra länder, återstår mycket att göra. Vårt samhälle är fortfarande organiserat utifrån en könsmaktsstruktur. Arbetsmarknaden är alltjämt mycket könsuppdelad, och kvinnors arbete är ofta lägre betalt. Män har bättre karriärmöjligheter, högre lön och större makt som en följd av att de är män. För att bryta detta maktmönster måste den övergrip</w:t>
      </w:r>
      <w:r w:rsidRPr="006C40C1">
        <w:t>ande ekonomiska politiken få ett ännu tydligare genu</w:t>
      </w:r>
      <w:r w:rsidRPr="006C40C1">
        <w:t>s</w:t>
      </w:r>
      <w:r w:rsidRPr="006C40C1">
        <w:t xml:space="preserve">perspektiv än i dag. </w:t>
      </w:r>
    </w:p>
    <w:p w:rsidR="00AA5D77" w:rsidRPr="006C40C1" w:rsidRDefault="00AA5D77">
      <w:pPr>
        <w:pStyle w:val="Normaltindrag"/>
      </w:pPr>
      <w:r w:rsidRPr="006C40C1">
        <w:t xml:space="preserve">Välfärden och jämställdheten är intimt förknippade med varandra. Det är inte en slump att länder som Danmark, Norge, Finland och Sverige är mer jämställda än de flesta andra länder. Det är den utbyggda generella välfärden och den höga förvärvsfrekvensen för kvinnor som har gett möjligheter till detta. </w:t>
      </w:r>
    </w:p>
    <w:p w:rsidR="00AA5D77" w:rsidRPr="006C40C1" w:rsidRDefault="00AA5D77">
      <w:pPr>
        <w:pStyle w:val="Normaltindrag"/>
      </w:pPr>
      <w:r w:rsidRPr="006C40C1">
        <w:t>Kvinnors och mäns lika värde och rätt till egen försörjning ska vara en självklarhet i Sverige. En egen inkomst är förutsättningen för fria och själ</w:t>
      </w:r>
      <w:r w:rsidRPr="006C40C1">
        <w:t>v</w:t>
      </w:r>
      <w:r w:rsidRPr="006C40C1">
        <w:t>ständiga val i vardagen. Det kan aldrig accepteras att kvinnors kunskaper och erfarenheter värderas lägre. Politiken måste därför med kraft inriktas på kvi</w:t>
      </w:r>
      <w:r w:rsidRPr="006C40C1">
        <w:t>n</w:t>
      </w:r>
      <w:r w:rsidRPr="006C40C1">
        <w:t>nors rätt till arbete med rättvisa löner, en väl utbyggd gemensam sektor, kvi</w:t>
      </w:r>
      <w:r w:rsidRPr="006C40C1">
        <w:t>n</w:t>
      </w:r>
      <w:r w:rsidRPr="006C40C1">
        <w:t>nofrid samt en strategi för att få jämställdhet på alla områden och fler kvinnor på olika beslutsniv</w:t>
      </w:r>
      <w:r w:rsidRPr="006C40C1">
        <w:t>å</w:t>
      </w:r>
      <w:r w:rsidRPr="006C40C1">
        <w:t xml:space="preserve">er. </w:t>
      </w:r>
    </w:p>
    <w:p w:rsidR="00AA5D77" w:rsidRPr="006C40C1" w:rsidRDefault="00AA5D77">
      <w:pPr>
        <w:pStyle w:val="Normaltindrag"/>
      </w:pPr>
      <w:r w:rsidRPr="006C40C1">
        <w:t>De reformer som utskottet redovisat ovan, som t.ex. den stegvis reform</w:t>
      </w:r>
      <w:r w:rsidRPr="006C40C1">
        <w:t>e</w:t>
      </w:r>
      <w:r w:rsidRPr="006C40C1">
        <w:t>rade barn- och familjepolitiken, satsningarna på skola, vård och omsorg och programmen för att öka sysselsättningen och minska arbetslösheten, är v</w:t>
      </w:r>
      <w:r w:rsidRPr="006C40C1">
        <w:t>ä</w:t>
      </w:r>
      <w:r w:rsidRPr="006C40C1">
        <w:t>sentliga steg i utvecklingen mot en större rättvisa och ökad jämställdhet me</w:t>
      </w:r>
      <w:r w:rsidRPr="006C40C1">
        <w:t>l</w:t>
      </w:r>
      <w:r w:rsidRPr="006C40C1">
        <w:t>lan män och kvinnor. En avgörande del i jämställdhetspolitiken är att motve</w:t>
      </w:r>
      <w:r w:rsidRPr="006C40C1">
        <w:t>r</w:t>
      </w:r>
      <w:r w:rsidRPr="006C40C1">
        <w:t>ka löneskillnader på grund av kön. Enligt den officiella lönestatistiken tjänar kvinnorna omkring 82 % av männens löner. Utskottet vill i anslutning till detta bl.a. erinra om att regeringen i budgetproposition</w:t>
      </w:r>
      <w:r w:rsidRPr="006C40C1">
        <w:t>en anger att den under året ska lägga fram en handlingsplan för ökad jämställdhet. I planen ska bl.a. förslag läggas fram om hur de strukturella löneskillnaderna mellan kvinnor och män ska minska.</w:t>
      </w:r>
    </w:p>
    <w:p w:rsidR="00AA5D77" w:rsidRPr="006C40C1" w:rsidRDefault="00AA5D77">
      <w:pPr>
        <w:pStyle w:val="Normaltindrag"/>
      </w:pPr>
      <w:r w:rsidRPr="006C40C1">
        <w:t xml:space="preserve"> Utskottet vill också erinra om att riksdagen 2000 beslutade om en skär</w:t>
      </w:r>
      <w:r w:rsidRPr="006C40C1">
        <w:t>p</w:t>
      </w:r>
      <w:r w:rsidRPr="006C40C1">
        <w:t xml:space="preserve">ning av jämställdhetslagen. Den nya lagen är tydligare och ska mer effektivt motverka att lön sätts efter könstillhörighet på den svenska arbetsmarknaden. </w:t>
      </w:r>
    </w:p>
    <w:p w:rsidR="00AA5D77" w:rsidRPr="006C40C1" w:rsidRDefault="00AA5D77">
      <w:pPr>
        <w:pStyle w:val="Normaltindrag"/>
      </w:pPr>
      <w:r w:rsidRPr="006C40C1">
        <w:t>Enligt lagen har arbetsmarknadens parter tre år på sig att vidta åtgärder för få bort löneskillnader som beror på kön. Regeringen följer parternas arbete löpande via JämO och Medlingsinstitutet, och utfallet kommer att ge ett vi</w:t>
      </w:r>
      <w:r w:rsidRPr="006C40C1">
        <w:t>k</w:t>
      </w:r>
      <w:r w:rsidRPr="006C40C1">
        <w:t>tigt underlag för i vilken utsträckning det behövs ytterligare åtgärder i form av t.ex. en ännu stramare lagstiftning för att minska och radera ut de osakliga löneskillnader som finns i det svenska a</w:t>
      </w:r>
      <w:r w:rsidRPr="006C40C1">
        <w:t>r</w:t>
      </w:r>
      <w:r w:rsidRPr="006C40C1">
        <w:t>betslivet.</w:t>
      </w:r>
    </w:p>
    <w:p w:rsidR="00AA5D77" w:rsidRPr="006C40C1" w:rsidRDefault="00AA5D77">
      <w:pPr>
        <w:pStyle w:val="Normaltindrag"/>
      </w:pPr>
      <w:r w:rsidRPr="006C40C1">
        <w:t xml:space="preserve">Kvinnor arbetar i högre grad än män visstid eller deltid. Regeringen anger därför i budgetpropositionen att det krävs ytterligare åtgärder, förutom de som redan vidtagits, för att säkerställa att grunden även för kvinnors deltagande på arbetsmarknaden ska vara tillsvidareanställning på heltid. </w:t>
      </w:r>
    </w:p>
    <w:p w:rsidR="00AA5D77" w:rsidRPr="006C40C1" w:rsidRDefault="00AA5D77">
      <w:pPr>
        <w:pStyle w:val="Rubrik4"/>
        <w:rPr>
          <w:noProof w:val="0"/>
        </w:rPr>
      </w:pPr>
      <w:bookmarkStart w:id="205" w:name="_Toc25302169"/>
      <w:bookmarkStart w:id="206" w:name="_Toc26191446"/>
      <w:r w:rsidRPr="006C40C1">
        <w:rPr>
          <w:noProof w:val="0"/>
        </w:rPr>
        <w:t>(s), (v) och (mp) i samarbete</w:t>
      </w:r>
      <w:bookmarkEnd w:id="205"/>
      <w:bookmarkEnd w:id="206"/>
    </w:p>
    <w:p w:rsidR="00AA5D77" w:rsidRPr="006C40C1" w:rsidRDefault="00AA5D77">
      <w:r w:rsidRPr="006C40C1">
        <w:t>Utskottet tillbakavisar Kristdemokraternas angrepp i motion Fi233 på Vän</w:t>
      </w:r>
      <w:r w:rsidRPr="006C40C1">
        <w:t>s</w:t>
      </w:r>
      <w:r w:rsidRPr="006C40C1">
        <w:t>terpartiet och Miljöpartiet de gröna. En redovisning av resultaten i ekonomin duger bra som svar på Kristdemokraternas attack: Även om konjunkturen mattats av har tillväxten i den svenska ekonomin varit historiskt hög under perioden 1998–2001 samtidigt som sysselsättningen stigit och arbetslösheten sjunkit. Trots de senaste årens konjunkturnedgång har Sverige ett av de största överskotten i de offentliga finanserna i EU. Den tidigare stora offentl</w:t>
      </w:r>
      <w:r w:rsidRPr="006C40C1">
        <w:t>i</w:t>
      </w:r>
      <w:r w:rsidRPr="006C40C1">
        <w:t>ga nettoskulden har vänts till en nettoförmögenhet. Bytesba</w:t>
      </w:r>
      <w:r w:rsidRPr="006C40C1">
        <w:t>lansen visar öve</w:t>
      </w:r>
      <w:r w:rsidRPr="006C40C1">
        <w:t>r</w:t>
      </w:r>
      <w:r w:rsidRPr="006C40C1">
        <w:t>skott, och medborgarnas realinkom</w:t>
      </w:r>
      <w:r w:rsidRPr="006C40C1">
        <w:t>s</w:t>
      </w:r>
      <w:r w:rsidRPr="006C40C1">
        <w:t>ter stiger kraftigt.</w:t>
      </w:r>
    </w:p>
    <w:p w:rsidR="00AA5D77" w:rsidRPr="006C40C1" w:rsidRDefault="00AA5D77">
      <w:pPr>
        <w:pStyle w:val="Normaltindrag"/>
      </w:pPr>
      <w:r w:rsidRPr="006C40C1">
        <w:t>Budgetpropositionen för 2003 bygger på en överenskommelse mellan den socialdemokratiska regeringen och Vänsterpartiet. Miljöpartiet de gröna har genom den gemensamma motionen Fi230 (s, v, mp) anslutit sig till överen</w:t>
      </w:r>
      <w:r w:rsidRPr="006C40C1">
        <w:t>s</w:t>
      </w:r>
      <w:r w:rsidRPr="006C40C1">
        <w:t>kommelsen vad avser riktlinjerna för den ekonomiska politiken samt utgifter och inkomster för 2003.</w:t>
      </w:r>
    </w:p>
    <w:p w:rsidR="00AA5D77" w:rsidRPr="006C40C1" w:rsidRDefault="00AA5D77">
      <w:pPr>
        <w:pStyle w:val="Normaltindrag"/>
      </w:pPr>
      <w:r w:rsidRPr="006C40C1">
        <w:t xml:space="preserve"> Med hänvisning till vad som anförts ovan tillstyrker utskottet propositi</w:t>
      </w:r>
      <w:r w:rsidRPr="006C40C1">
        <w:t>o</w:t>
      </w:r>
      <w:r w:rsidRPr="006C40C1">
        <w:t>nen och avstyrker förslagen i motionerna Fi231 (m) yrkandena 1 och 12, Fi232 (fp) yrkande 1, Fi233 (kd) yrkandena 1–3, Fi234 (c) yrkandena 1 och 2 samt  MJ420 (m) yrkande 2.</w:t>
      </w:r>
    </w:p>
    <w:p w:rsidR="00AA5D77" w:rsidRPr="006C40C1" w:rsidRDefault="00AA5D77">
      <w:pPr>
        <w:pStyle w:val="Rubrik2"/>
      </w:pPr>
      <w:bookmarkStart w:id="207" w:name="_Toc25302170"/>
      <w:bookmarkStart w:id="208" w:name="_Toc25375210"/>
      <w:bookmarkStart w:id="209" w:name="_Toc26191447"/>
      <w:r w:rsidRPr="006C40C1">
        <w:t>1.4 Gröna nyckeltal</w:t>
      </w:r>
      <w:bookmarkEnd w:id="207"/>
      <w:bookmarkEnd w:id="208"/>
      <w:bookmarkEnd w:id="209"/>
    </w:p>
    <w:p w:rsidR="00AA5D77" w:rsidRPr="006C40C1" w:rsidRDefault="00AA5D77">
      <w:pPr>
        <w:pStyle w:val="Rubrik3"/>
        <w:rPr>
          <w:noProof w:val="0"/>
        </w:rPr>
      </w:pPr>
      <w:bookmarkStart w:id="210" w:name="_Toc25302171"/>
      <w:bookmarkStart w:id="211" w:name="_Toc25375211"/>
      <w:bookmarkStart w:id="212" w:name="_Toc26191448"/>
      <w:r w:rsidRPr="006C40C1">
        <w:rPr>
          <w:noProof w:val="0"/>
        </w:rPr>
        <w:t>1.4.1 Gröna nyckeltal i EU</w:t>
      </w:r>
      <w:bookmarkEnd w:id="210"/>
      <w:bookmarkEnd w:id="211"/>
      <w:bookmarkEnd w:id="212"/>
    </w:p>
    <w:p w:rsidR="00AA5D77" w:rsidRPr="006C40C1" w:rsidRDefault="00AA5D77">
      <w:pPr>
        <w:pStyle w:val="Utskottsfrslagikorthet-Rubrik"/>
        <w:rPr>
          <w:noProof w:val="0"/>
        </w:rPr>
      </w:pPr>
      <w:r w:rsidRPr="006C40C1">
        <w:rPr>
          <w:noProof w:val="0"/>
        </w:rPr>
        <w:t>Utskottets förslag i korthet</w:t>
      </w:r>
    </w:p>
    <w:p w:rsidR="00AA5D77" w:rsidRPr="006C40C1" w:rsidRDefault="00AA5D77">
      <w:pPr>
        <w:pStyle w:val="Utskottsfrslagikorthet-Text"/>
      </w:pPr>
      <w:r w:rsidRPr="006C40C1">
        <w:t>Bland annat med hänvisning till att Förenta nationerna har ett s</w:t>
      </w:r>
      <w:r w:rsidRPr="006C40C1">
        <w:t>y</w:t>
      </w:r>
      <w:r w:rsidRPr="006C40C1">
        <w:t>stem för gröna nyckeltal som också används av de flesta medlem</w:t>
      </w:r>
      <w:r w:rsidRPr="006C40C1">
        <w:t>s</w:t>
      </w:r>
      <w:r w:rsidRPr="006C40C1">
        <w:t>staterna i EU och till det omfattande arbete med att utveckla syst</w:t>
      </w:r>
      <w:r w:rsidRPr="006C40C1">
        <w:t>e</w:t>
      </w:r>
      <w:r w:rsidRPr="006C40C1">
        <w:t>met för gröna nyckeltal som pågår inom EU under ledning av Eur</w:t>
      </w:r>
      <w:r w:rsidRPr="006C40C1">
        <w:t>o</w:t>
      </w:r>
      <w:r w:rsidRPr="006C40C1">
        <w:t>stat, avstyrker utskottet en motion med begäran om att regeringen ska ve</w:t>
      </w:r>
      <w:r w:rsidRPr="006C40C1">
        <w:t>r</w:t>
      </w:r>
      <w:r w:rsidRPr="006C40C1">
        <w:t>ka för att EU ska utveckla gröna nyckeltal.</w:t>
      </w:r>
    </w:p>
    <w:p w:rsidR="00AA5D77" w:rsidRPr="006C40C1" w:rsidRDefault="00AA5D77">
      <w:pPr>
        <w:pStyle w:val="Utskottsfrslagikorthet-Text"/>
      </w:pPr>
      <w:r w:rsidRPr="006C40C1">
        <w:t>Jämför reservation 2  (mp).</w:t>
      </w:r>
    </w:p>
    <w:p w:rsidR="00AA5D77" w:rsidRPr="006C40C1" w:rsidRDefault="00AA5D77">
      <w:pPr>
        <w:pStyle w:val="R4"/>
      </w:pPr>
      <w:r w:rsidRPr="006C40C1">
        <w:t>Motionen</w:t>
      </w:r>
    </w:p>
    <w:p w:rsidR="00AA5D77" w:rsidRPr="006C40C1" w:rsidRDefault="00AA5D77">
      <w:r w:rsidRPr="006C40C1">
        <w:t xml:space="preserve">I </w:t>
      </w:r>
      <w:r w:rsidRPr="006C40C1">
        <w:rPr>
          <w:i/>
        </w:rPr>
        <w:t>motion U324</w:t>
      </w:r>
      <w:r w:rsidRPr="006C40C1">
        <w:t xml:space="preserve"> av Ulf Holm m.fl. (mp) yrkande 13 föreslås att riksdagen tillkännager för regeringen som sin mening att regeringen ska verka för att EU ska utveckla systemet med gröna räkenskaper och att systemet med gröna nyckeltal införs även på EU-nivå.</w:t>
      </w:r>
    </w:p>
    <w:p w:rsidR="00AA5D77" w:rsidRPr="006C40C1" w:rsidRDefault="00AA5D77">
      <w:pPr>
        <w:pStyle w:val="R4"/>
      </w:pPr>
      <w:r w:rsidRPr="006C40C1">
        <w:t>Finansutskottets ställningstagande</w:t>
      </w:r>
    </w:p>
    <w:p w:rsidR="00AA5D77" w:rsidRPr="006C40C1" w:rsidRDefault="00AA5D77">
      <w:r w:rsidRPr="006C40C1">
        <w:t>Utvecklingen av miljöräkenskaper bedrivs i Sverige som ett gemensamt pr</w:t>
      </w:r>
      <w:r w:rsidRPr="006C40C1">
        <w:t>o</w:t>
      </w:r>
      <w:r w:rsidRPr="006C40C1">
        <w:t>jekt mellan Naturvårdsverket (NV), Konjunkturinstitutet (KI) och Statistiska centralbyrån (SCB). Det är ett projekt med långsiktig inriktning, och arbetet avser fortfarande till stor del forskning och metodutveckling. Under de s</w:t>
      </w:r>
      <w:r w:rsidRPr="006C40C1">
        <w:t>e</w:t>
      </w:r>
      <w:r w:rsidRPr="006C40C1">
        <w:t>naste åren har NV, KI och SCB i den gemensamma rapportserien Miljö</w:t>
      </w:r>
      <w:r w:rsidRPr="006C40C1">
        <w:softHyphen/>
        <w:t>räkenskaper publicerat flera rapporter om metoder, analyser och mätdata, t.ex. rapport nr 2000:7 Metod för samhällsekonomisk analys av miljöåtgä</w:t>
      </w:r>
      <w:r w:rsidRPr="006C40C1">
        <w:t>r</w:t>
      </w:r>
      <w:r w:rsidRPr="006C40C1">
        <w:t>der.</w:t>
      </w:r>
    </w:p>
    <w:p w:rsidR="00AA5D77" w:rsidRPr="006C40C1" w:rsidRDefault="00AA5D77">
      <w:pPr>
        <w:pStyle w:val="Normaltindrag"/>
      </w:pPr>
      <w:r w:rsidRPr="006C40C1">
        <w:t xml:space="preserve">Miljöräkenskaper är i högsta grad ett internationellt projekt, i </w:t>
      </w:r>
      <w:r w:rsidRPr="006C40C1">
        <w:t>vilket EU och speciellt Sverige är ledande och långt framme i processen. Eurostat, E</w:t>
      </w:r>
      <w:r w:rsidRPr="006C40C1">
        <w:t>u</w:t>
      </w:r>
      <w:r w:rsidRPr="006C40C1">
        <w:t>ropeiska statistikbyrån, producerar och publicerar en mängd statistik inom miljöområdet. Det internationella samarbetet drivs också i FN:s regi. Det är inom FN:s ram som EU-länderna främst samarbetar kring frågan om miljör</w:t>
      </w:r>
      <w:r w:rsidRPr="006C40C1">
        <w:t>ä</w:t>
      </w:r>
      <w:r w:rsidRPr="006C40C1">
        <w:t>kenskaper. En ny och förbättrad handbok om miljöräkenskaper har tagits fram inom ramen för den s.k. Londongruppen. Den handbok som tidigare använts av flertalet länder togs fram 1993, då de flesta ländern</w:t>
      </w:r>
      <w:r w:rsidRPr="006C40C1">
        <w:t>as räkenskapsprojekt låg i startgropa</w:t>
      </w:r>
      <w:r w:rsidRPr="006C40C1">
        <w:t>r</w:t>
      </w:r>
      <w:r w:rsidRPr="006C40C1">
        <w:t xml:space="preserve">na. </w:t>
      </w:r>
    </w:p>
    <w:p w:rsidR="00AA5D77" w:rsidRPr="006C40C1" w:rsidRDefault="00AA5D77">
      <w:pPr>
        <w:pStyle w:val="Normaltindrag"/>
      </w:pPr>
      <w:r w:rsidRPr="006C40C1">
        <w:t>Som ett av de första länderna i världen presenterade regeringen en uppsät</w:t>
      </w:r>
      <w:r w:rsidRPr="006C40C1">
        <w:t>t</w:t>
      </w:r>
      <w:r w:rsidRPr="006C40C1">
        <w:t xml:space="preserve">ning s.k. gröna nyckeltal i 1999 års ekonomiska vårproposition. Nyckeltalen är ett av regeringens instrument för att följa miljöpolitikens övergripande mål. Nyckeltalen används som vägledning för politiska beslut och som underlag för samhällsdebatt på samma sätt som andra ekonomiska nyckeltal. </w:t>
      </w:r>
    </w:p>
    <w:p w:rsidR="00AA5D77" w:rsidRPr="006C40C1" w:rsidRDefault="00AA5D77">
      <w:pPr>
        <w:pStyle w:val="Normaltindrag"/>
      </w:pPr>
      <w:r w:rsidRPr="006C40C1">
        <w:t>Inom Europeiska unionen pågår arbete på flera plan för att utveckla ind</w:t>
      </w:r>
      <w:r w:rsidRPr="006C40C1">
        <w:t>i</w:t>
      </w:r>
      <w:r w:rsidRPr="006C40C1">
        <w:t>katorer för en hållbar utveckling. Till exempel har en till kommissionen kn</w:t>
      </w:r>
      <w:r w:rsidRPr="006C40C1">
        <w:t>u</w:t>
      </w:r>
      <w:r w:rsidRPr="006C40C1">
        <w:t>ten expertgrupp sedan början av 1999 arbetat med att ta fram övergripande miljöindikatorer på EU-nivå, motsvarande de gröna nyckeltal som regeringen arbetar med. Sverige deltar i expertgruppen genom representanter från Milj</w:t>
      </w:r>
      <w:r w:rsidRPr="006C40C1">
        <w:t>ö</w:t>
      </w:r>
      <w:r w:rsidRPr="006C40C1">
        <w:t>departementet och Naturvårdsverket. Inför Europeiska rådets möte i Barcel</w:t>
      </w:r>
      <w:r w:rsidRPr="006C40C1">
        <w:t>o</w:t>
      </w:r>
      <w:r w:rsidRPr="006C40C1">
        <w:t xml:space="preserve">na i mars 2002 presenterade kommissionen rapporten Lissabonstrategin – möjligheter till förändring. I en bilaga till rapporten redovisas </w:t>
      </w:r>
      <w:r w:rsidRPr="006C40C1">
        <w:t>olika indikat</w:t>
      </w:r>
      <w:r w:rsidRPr="006C40C1">
        <w:t>o</w:t>
      </w:r>
      <w:r w:rsidRPr="006C40C1">
        <w:t>rer med avseende på Lissabonstrategin, således bl.a. inom miljöområdet. En uppsättning indikatorer redovisas inom miljöområdet. Arbetet med indikat</w:t>
      </w:r>
      <w:r w:rsidRPr="006C40C1">
        <w:t>o</w:t>
      </w:r>
      <w:r w:rsidRPr="006C40C1">
        <w:t>rerna fortsä</w:t>
      </w:r>
      <w:r w:rsidRPr="006C40C1">
        <w:t>t</w:t>
      </w:r>
      <w:r w:rsidRPr="006C40C1">
        <w:t>ter.</w:t>
      </w:r>
    </w:p>
    <w:p w:rsidR="00AA5D77" w:rsidRPr="006C40C1" w:rsidRDefault="00AA5D77">
      <w:pPr>
        <w:pStyle w:val="Normaltindrag"/>
      </w:pPr>
      <w:r w:rsidRPr="006C40C1">
        <w:t xml:space="preserve">Inför Europeiska rådets möte i Göteborg i juni 2001 tog Sverige fram en första uppsättning indikatorer med avsikt att visa Sveriges omställning mot hållbar utveckling. Rapporten, </w:t>
      </w:r>
      <w:r w:rsidRPr="006C40C1">
        <w:rPr>
          <w:i/>
        </w:rPr>
        <w:t>Sustainable Development Indicators for Sw</w:t>
      </w:r>
      <w:r w:rsidRPr="006C40C1">
        <w:rPr>
          <w:i/>
        </w:rPr>
        <w:t>e</w:t>
      </w:r>
      <w:r w:rsidRPr="006C40C1">
        <w:rPr>
          <w:i/>
        </w:rPr>
        <w:t>den – a first set 2001</w:t>
      </w:r>
      <w:r w:rsidRPr="006C40C1">
        <w:t>, togs fram av SCB i samarbete med Naturvårdsverket. Sveriges första uppsättning indikatorer presenteras utifrån fyra teman: effe</w:t>
      </w:r>
      <w:r w:rsidRPr="006C40C1">
        <w:t>k</w:t>
      </w:r>
      <w:r w:rsidRPr="006C40C1">
        <w:t>tivitet; allas bidrag, delaktighet, jämlikhet och fördelning; anpassningsförm</w:t>
      </w:r>
      <w:r w:rsidRPr="006C40C1">
        <w:t>å</w:t>
      </w:r>
      <w:r w:rsidRPr="006C40C1">
        <w:t>ga samt värden som förs över till kommande generationer. Inom varje tema återfinns indikatorer inom miljö, ekonomi och det sociala området. Sveriges omställning mot hållbar utveckling speglas i 30 indikatorer indelade efter dessa fyra teman</w:t>
      </w:r>
      <w:r w:rsidRPr="006C40C1">
        <w:t>. Indikatorerna redovisas i regeringens skrivelse 2001/02:172 Nationell strategi för hållbar utveckling s. 110 f.</w:t>
      </w:r>
    </w:p>
    <w:p w:rsidR="00AA5D77" w:rsidRPr="006C40C1" w:rsidRDefault="00AA5D77">
      <w:pPr>
        <w:pStyle w:val="Normaltindrag"/>
      </w:pPr>
      <w:r w:rsidRPr="006C40C1">
        <w:t>Naturvårdsverket och Boverket har tagit fram rapporten Ekologiska fota</w:t>
      </w:r>
      <w:r w:rsidRPr="006C40C1">
        <w:t>v</w:t>
      </w:r>
      <w:r w:rsidRPr="006C40C1">
        <w:t>tryck &amp; biokapacitet – verktyg för planering och uppföljning av hållbar u</w:t>
      </w:r>
      <w:r w:rsidRPr="006C40C1">
        <w:t>t</w:t>
      </w:r>
      <w:r w:rsidRPr="006C40C1">
        <w:t>veckling i ett internationellt perspektiv. Ett ekologiskt fotavtryck kan visa vilken produktiv areal (biokapacitet) som behövs för att få fram det som en människa eller en befolkning konsumerar och för att absorbera de utsläpp som åstadkoms. Inom OECD finns det en särskild grupp som arbetar med frågan om ekologiska fotavtryck.</w:t>
      </w:r>
    </w:p>
    <w:p w:rsidR="00AA5D77" w:rsidRPr="006C40C1" w:rsidRDefault="00AA5D77">
      <w:r w:rsidRPr="006C40C1">
        <w:t>Ekofinrådets sektorsstrategi för integrering av miljö och hållbar utveckling började tillämpas under 2001. D</w:t>
      </w:r>
      <w:r w:rsidRPr="006C40C1">
        <w:t>et handlar främst om att integrera miljö och hållbar utveckling i centrala ekonomisk-politiska processer. I de allmänna riktlinjerna för den ekonomiska politiken har ett avsnitt om att öka den mi</w:t>
      </w:r>
      <w:r w:rsidRPr="006C40C1">
        <w:t>l</w:t>
      </w:r>
      <w:r w:rsidRPr="006C40C1">
        <w:t>jömässiga hållbarheten infogats. Avsnittet innehåller fem rekommendationer till medlemsländerna. Vidare beslut</w:t>
      </w:r>
      <w:r w:rsidRPr="006C40C1">
        <w:softHyphen/>
        <w:t>ades det att miljö och hållbar utveckling ska utgöra ett tema i den multilaterala ländergranskningen i Kommittén för ekonomisk politik för 2002. Det innebär även att de nationella rapporterna om ekonomiska</w:t>
      </w:r>
      <w:r w:rsidRPr="006C40C1">
        <w:t xml:space="preserve"> reformer på produkt- och kapitalmarknaderna för 2001 innehåller en miljöbilaga. </w:t>
      </w:r>
    </w:p>
    <w:p w:rsidR="00AA5D77" w:rsidRPr="006C40C1" w:rsidRDefault="00AA5D77">
      <w:pPr>
        <w:pStyle w:val="Normaltindrag"/>
      </w:pPr>
      <w:r w:rsidRPr="006C40C1">
        <w:t>Av regeringens skrivelse om verksamheten i Europeiska unionen 2001 (skr. 2001/02:160) framgår det att det svenska agerandet på statistikområdet under 2001 till stor del präglades av det svenska ordförandeskapets priorit</w:t>
      </w:r>
      <w:r w:rsidRPr="006C40C1">
        <w:t>e</w:t>
      </w:r>
      <w:r w:rsidRPr="006C40C1">
        <w:t>ringar. För statistikområdet innebar det bl.a. att agera för att utveckla den statistik som Sverige prioriterat. Som ett led i detta stöttade Statistiska ce</w:t>
      </w:r>
      <w:r w:rsidRPr="006C40C1">
        <w:t>n</w:t>
      </w:r>
      <w:r w:rsidRPr="006C40C1">
        <w:t>tralbyrån tillsammans med andra statistikansvariga myndigheter aktivt arbetet i Regeringskansliet och tog fram statistik som underlag och bakgrund till olika ministermöten och konferenser. Arbetet presenterades dels i särskilda rapporter, dels på en särskild ordförandeskapssida på SCB:s webbplats. Syftet var att lyfta fram statistiken som informationsk</w:t>
      </w:r>
      <w:r w:rsidRPr="006C40C1">
        <w:t>älla och visa på dess använ</w:t>
      </w:r>
      <w:r w:rsidRPr="006C40C1">
        <w:t>d</w:t>
      </w:r>
      <w:r w:rsidRPr="006C40C1">
        <w:t>barhet. Ett tema var indikatorer för hållbar u</w:t>
      </w:r>
      <w:r w:rsidRPr="006C40C1">
        <w:t>t</w:t>
      </w:r>
      <w:r w:rsidRPr="006C40C1">
        <w:t>veckling.</w:t>
      </w:r>
    </w:p>
    <w:p w:rsidR="00AA5D77" w:rsidRPr="006C40C1" w:rsidRDefault="00AA5D77">
      <w:pPr>
        <w:pStyle w:val="Normaltindrag"/>
      </w:pPr>
      <w:r w:rsidRPr="006C40C1">
        <w:t>Utskottet noterar med tillfredsställelse den omfattande aktivitet som pågår i syfte att utveckla och tillämpa indikatorer inom miljöområdet. Utskottet förutsätter att regeringen aktivt driver på arbetet, både nationellt och intern</w:t>
      </w:r>
      <w:r w:rsidRPr="006C40C1">
        <w:t>a</w:t>
      </w:r>
      <w:r w:rsidRPr="006C40C1">
        <w:t>tionellt. Någon riksdagens åtgärd är mot denna bakgrund inte påkallad. M</w:t>
      </w:r>
      <w:r w:rsidRPr="006C40C1">
        <w:t>o</w:t>
      </w:r>
      <w:r w:rsidRPr="006C40C1">
        <w:t>tion U324 (mp) yrkande 13 avstyrks.</w:t>
      </w:r>
    </w:p>
    <w:p w:rsidR="00AA5D77" w:rsidRPr="006C40C1" w:rsidRDefault="00AA5D77">
      <w:pPr>
        <w:pStyle w:val="Rubrik3"/>
        <w:rPr>
          <w:noProof w:val="0"/>
        </w:rPr>
      </w:pPr>
      <w:bookmarkStart w:id="213" w:name="_Toc25302172"/>
      <w:bookmarkStart w:id="214" w:name="_Toc25375212"/>
      <w:bookmarkStart w:id="215" w:name="_Toc26191449"/>
      <w:r w:rsidRPr="006C40C1">
        <w:rPr>
          <w:noProof w:val="0"/>
        </w:rPr>
        <w:t>1.4.2 Miljökonsekvensbeskrivningar i budgetpropositionen</w:t>
      </w:r>
      <w:bookmarkEnd w:id="213"/>
      <w:bookmarkEnd w:id="214"/>
      <w:bookmarkEnd w:id="215"/>
    </w:p>
    <w:p w:rsidR="00AA5D77" w:rsidRPr="006C40C1" w:rsidRDefault="00AA5D77">
      <w:pPr>
        <w:pStyle w:val="Utskottsfrslagikorthet-Rubrik"/>
        <w:rPr>
          <w:noProof w:val="0"/>
        </w:rPr>
      </w:pPr>
      <w:r w:rsidRPr="006C40C1">
        <w:rPr>
          <w:noProof w:val="0"/>
        </w:rPr>
        <w:t>Utskottets förslag i korthet</w:t>
      </w:r>
    </w:p>
    <w:p w:rsidR="00AA5D77" w:rsidRPr="006C40C1" w:rsidRDefault="00AA5D77">
      <w:pPr>
        <w:pStyle w:val="Utskottsfrslagikorthet-Text"/>
      </w:pPr>
      <w:r w:rsidRPr="006C40C1">
        <w:t>Ett ambitiöst arbete pågår för att utveckla redovisningen av viktiga miljöproblem. Gröna nyckeltal är ett viktig inslag i detta arbete. U</w:t>
      </w:r>
      <w:r w:rsidRPr="006C40C1">
        <w:t>t</w:t>
      </w:r>
      <w:r w:rsidRPr="006C40C1">
        <w:t>skottet avstyrker mot denna bakgrund en motion med begäran om att alla företag som arbetar med miljöfrågor ska räknas med i de gröna nycke</w:t>
      </w:r>
      <w:r w:rsidRPr="006C40C1">
        <w:t>l</w:t>
      </w:r>
      <w:r w:rsidRPr="006C40C1">
        <w:t>talen.</w:t>
      </w:r>
    </w:p>
    <w:p w:rsidR="00AA5D77" w:rsidRPr="006C40C1" w:rsidRDefault="00AA5D77">
      <w:pPr>
        <w:pStyle w:val="Utskottsfrslagikorthet-Text"/>
      </w:pPr>
      <w:r w:rsidRPr="006C40C1">
        <w:t>Jämför reservation 3 (kd).</w:t>
      </w:r>
    </w:p>
    <w:p w:rsidR="00AA5D77" w:rsidRPr="006C40C1" w:rsidRDefault="00AA5D77">
      <w:pPr>
        <w:pStyle w:val="R4"/>
      </w:pPr>
      <w:r w:rsidRPr="006C40C1">
        <w:t>Motionen</w:t>
      </w:r>
    </w:p>
    <w:p w:rsidR="00AA5D77" w:rsidRPr="006C40C1" w:rsidRDefault="00AA5D77">
      <w:r w:rsidRPr="006C40C1">
        <w:t xml:space="preserve">I </w:t>
      </w:r>
      <w:r w:rsidRPr="006C40C1">
        <w:rPr>
          <w:i/>
        </w:rPr>
        <w:t>motion MJ432</w:t>
      </w:r>
      <w:r w:rsidRPr="006C40C1">
        <w:t xml:space="preserve"> av Alf Svensson m.fl. (kd) yrkande 24 föreslås att riksdagen tillkännager för regeringen som sin mening vad som anförs om att inkludera icke-certifierade miljöledningssystem i regeringens gröna nyckeltal.</w:t>
      </w:r>
    </w:p>
    <w:p w:rsidR="00AA5D77" w:rsidRPr="006C40C1" w:rsidRDefault="00AA5D77">
      <w:pPr>
        <w:pStyle w:val="Normaltindrag"/>
      </w:pPr>
      <w:r w:rsidRPr="006C40C1">
        <w:t>I regeringens gröna nyckeltal ingår antalet ISO- och EMAS-registrerade företag. Motionärerna anser att även företag som jobbar enligt enklare milj</w:t>
      </w:r>
      <w:r w:rsidRPr="006C40C1">
        <w:t>ö</w:t>
      </w:r>
      <w:r w:rsidRPr="006C40C1">
        <w:t>ledningssystem bör inkluderas.</w:t>
      </w:r>
    </w:p>
    <w:p w:rsidR="00AA5D77" w:rsidRPr="006C40C1" w:rsidRDefault="00AA5D77">
      <w:pPr>
        <w:pStyle w:val="R4"/>
      </w:pPr>
      <w:r w:rsidRPr="006C40C1">
        <w:t>Finansutskottets ställningstagande</w:t>
      </w:r>
    </w:p>
    <w:p w:rsidR="00AA5D77" w:rsidRPr="006C40C1" w:rsidRDefault="00AA5D77">
      <w:r w:rsidRPr="006C40C1">
        <w:t>Utskottet behandlade i sitt betänkande 2001/02:FiU1 en motion med liknande innehåll.</w:t>
      </w:r>
    </w:p>
    <w:p w:rsidR="00AA5D77" w:rsidRPr="006C40C1" w:rsidRDefault="00AA5D77">
      <w:pPr>
        <w:pStyle w:val="Normaltindrag"/>
      </w:pPr>
      <w:r w:rsidRPr="006C40C1">
        <w:t>Sedan 1999 års ekonomiska vårproposition redovisar regeringen årligen gröna nyckeltal som komplement till de ekonomiska nyckeltalen. Syftet med gröna nyckeltal är att spegla den nationella utvecklingen för viktiga miljöpr</w:t>
      </w:r>
      <w:r w:rsidRPr="006C40C1">
        <w:t>o</w:t>
      </w:r>
      <w:r w:rsidRPr="006C40C1">
        <w:t>blem på ett enkelt och informativt sätt med god jämförbarhet över tiden. Gröna nyckeltal utgör därmed ett instrument för att följa utvecklingen mot det övergripande målet om att till nästa generation lämna över ett samhälle där de stora miljöproblemen är lösta.</w:t>
      </w:r>
    </w:p>
    <w:p w:rsidR="00AA5D77" w:rsidRPr="006C40C1" w:rsidRDefault="00AA5D77">
      <w:pPr>
        <w:pStyle w:val="Normaltindrag"/>
      </w:pPr>
      <w:r w:rsidRPr="006C40C1">
        <w:t>Hösten 2001 beslutade riksdagen om delmål och förslag till strategier för att uppnå 14 av de 15 miljömål som riksdagen tidigare antagit. Ett miljömål</w:t>
      </w:r>
      <w:r w:rsidRPr="006C40C1">
        <w:t>s</w:t>
      </w:r>
      <w:r w:rsidRPr="006C40C1">
        <w:t>råd knutet till Naturvårdsverket har inrättats med uppgift bl.a. att följa upp, utvärdera och rapportera om målen. En annan av rådets uppgifter är att u</w:t>
      </w:r>
      <w:r w:rsidRPr="006C40C1">
        <w:t>t</w:t>
      </w:r>
      <w:r w:rsidRPr="006C40C1">
        <w:t>veckla gröna nyckeltal. Miljömålsrådet lämnade i juni 2002 sin första årliga rapport till regeringen.</w:t>
      </w:r>
    </w:p>
    <w:p w:rsidR="00AA5D77" w:rsidRPr="006C40C1" w:rsidRDefault="00AA5D77">
      <w:pPr>
        <w:pStyle w:val="Normaltindrag"/>
      </w:pPr>
      <w:r w:rsidRPr="006C40C1">
        <w:t>Utskottet anser att det är värdefullt för miljöarbetet att även mindre och medelstora företag arbetar med miljöledningssystem. Allt miljöarbete bidrar till att nå det övergripande målet om att till nästa generation lämna över ett samhälle där de stora milj</w:t>
      </w:r>
      <w:r w:rsidRPr="006C40C1">
        <w:t>öproblemen är lösta.</w:t>
      </w:r>
    </w:p>
    <w:p w:rsidR="00AA5D77" w:rsidRPr="006C40C1" w:rsidRDefault="00AA5D77">
      <w:pPr>
        <w:pStyle w:val="Normaltindrag"/>
      </w:pPr>
      <w:r w:rsidRPr="006C40C1">
        <w:t>Enligt utskottet är gröna nyckeltal ett viktigt komplement till de indikat</w:t>
      </w:r>
      <w:r w:rsidRPr="006C40C1">
        <w:t>o</w:t>
      </w:r>
      <w:r w:rsidRPr="006C40C1">
        <w:t>rer som utvecklas för att följa upp och utvärdera miljökvalitetsmålen. U</w:t>
      </w:r>
      <w:r w:rsidRPr="006C40C1">
        <w:t>t</w:t>
      </w:r>
      <w:r w:rsidRPr="006C40C1">
        <w:t>skottet delar regeringens bedömning att den nationella uppföljningen av mi</w:t>
      </w:r>
      <w:r w:rsidRPr="006C40C1">
        <w:t>l</w:t>
      </w:r>
      <w:r w:rsidRPr="006C40C1">
        <w:t>jökvalitetsmålen ska baseras på ett begränsat antal indikatorer. För att up</w:t>
      </w:r>
      <w:r w:rsidRPr="006C40C1">
        <w:t>p</w:t>
      </w:r>
      <w:r w:rsidRPr="006C40C1">
        <w:t>följningen av målen ska bli överblickbar är det alltså viktigt att systemet inte blir för omfattande. Som framgått ovan är vidareutveckling av gröna nycke</w:t>
      </w:r>
      <w:r w:rsidRPr="006C40C1">
        <w:t>l</w:t>
      </w:r>
      <w:r w:rsidRPr="006C40C1">
        <w:t>tal en prioriterad fråga i regeringens politik. Riksdagen har också beslutat i enlighet med regeringens förslag vad gäller miljökval</w:t>
      </w:r>
      <w:r w:rsidRPr="006C40C1">
        <w:t>itetsmål, delmål och åtgärdsstrategier. Arbetet med att vidareutveckla de gröna nyckeltalen ska pågå löpande och arbetet kommer regelbundet att redovisas för riksdagen. Mot denna bakgrund anser inte utskottet att det finns skäl att föreslå att rik</w:t>
      </w:r>
      <w:r w:rsidRPr="006C40C1">
        <w:t>s</w:t>
      </w:r>
      <w:r w:rsidRPr="006C40C1">
        <w:t>dagen ska göra något tillkännagivande. Motion MJ432 (kd) yrkande 24 a</w:t>
      </w:r>
      <w:r w:rsidRPr="006C40C1">
        <w:t>v</w:t>
      </w:r>
      <w:r w:rsidRPr="006C40C1">
        <w:t xml:space="preserve">styrks. </w:t>
      </w:r>
    </w:p>
    <w:p w:rsidR="00AA5D77" w:rsidRPr="006C40C1" w:rsidRDefault="00AA5D77"/>
    <w:p w:rsidR="00AA5D77" w:rsidRPr="006C40C1" w:rsidRDefault="00AA5D77"/>
    <w:p w:rsidR="00AA5D77" w:rsidRPr="006C40C1" w:rsidRDefault="00AA5D77">
      <w:pPr>
        <w:pStyle w:val="Normaltindrag"/>
        <w:sectPr w:rsidR="00000000" w:rsidRPr="006C40C1">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pPr>
    </w:p>
    <w:p w:rsidR="00AA5D77" w:rsidRPr="006C40C1" w:rsidRDefault="00AA5D77">
      <w:pPr>
        <w:pStyle w:val="Rubrik1"/>
        <w:rPr>
          <w:noProof w:val="0"/>
        </w:rPr>
      </w:pPr>
      <w:bookmarkStart w:id="216" w:name="_Toc529669148"/>
      <w:bookmarkStart w:id="217" w:name="_Toc530479418"/>
      <w:bookmarkStart w:id="218" w:name="_Toc530479417"/>
      <w:bookmarkStart w:id="219" w:name="_Toc25408023"/>
      <w:bookmarkStart w:id="220" w:name="_Toc26191450"/>
      <w:r w:rsidRPr="006C40C1">
        <w:rPr>
          <w:noProof w:val="0"/>
        </w:rPr>
        <w:t>2 Budgetpolitikens inriktning och utgiftstak för staten</w:t>
      </w:r>
      <w:bookmarkEnd w:id="218"/>
      <w:bookmarkEnd w:id="219"/>
      <w:bookmarkEnd w:id="220"/>
    </w:p>
    <w:p w:rsidR="00AA5D77" w:rsidRPr="006C40C1" w:rsidRDefault="00AA5D77">
      <w:pPr>
        <w:pStyle w:val="Rubrik2"/>
        <w:spacing w:before="0"/>
        <w:jc w:val="both"/>
      </w:pPr>
      <w:bookmarkStart w:id="221" w:name="_Toc25408024"/>
      <w:bookmarkStart w:id="222" w:name="_Toc26191451"/>
      <w:r w:rsidRPr="006C40C1">
        <w:t>2.1 Utformningen av utskottets förslag till rambeslut</w:t>
      </w:r>
      <w:bookmarkEnd w:id="216"/>
      <w:bookmarkEnd w:id="217"/>
      <w:bookmarkEnd w:id="221"/>
      <w:bookmarkEnd w:id="222"/>
    </w:p>
    <w:p w:rsidR="00AA5D77" w:rsidRPr="006C40C1" w:rsidRDefault="00AA5D77">
      <w:r w:rsidRPr="006C40C1">
        <w:t>Enligt riksdagsordningen (5 kap. 12 §) ska riksdagen i ett och samma beslut fastställa ramarna för de olika utgiftsområdena och godkänna en beräkning av statsbudgetens inkomster. I beslutet om utgiftsramarna ingår också att riksd</w:t>
      </w:r>
      <w:r w:rsidRPr="006C40C1">
        <w:t>a</w:t>
      </w:r>
      <w:r w:rsidRPr="006C40C1">
        <w:t>gen ska godkänna en beräkning av myndigheternas förbrukning av anslagsb</w:t>
      </w:r>
      <w:r w:rsidRPr="006C40C1">
        <w:t>e</w:t>
      </w:r>
      <w:r w:rsidRPr="006C40C1">
        <w:t>hållnin</w:t>
      </w:r>
      <w:r w:rsidRPr="006C40C1">
        <w:t>g</w:t>
      </w:r>
      <w:r w:rsidRPr="006C40C1">
        <w:t>ar och hur anslagskrediter kommer att utnyttjas under året.</w:t>
      </w:r>
    </w:p>
    <w:p w:rsidR="00AA5D77" w:rsidRPr="006C40C1" w:rsidRDefault="00AA5D77">
      <w:pPr>
        <w:pStyle w:val="Normaltindrag"/>
      </w:pPr>
      <w:r w:rsidRPr="006C40C1">
        <w:t>I beslutet om inkomsterna ingår dels att ta ställning till olika förslag till förändringar av gällande skatte- och avgiftsregler och fastställa nästa års regelverk för statsbudgetens inkomster, dels att beräkna effekterna av dessa inkomster. Utifrån dessa effektberäkningar erhålls ett underlag för att bedöma hur stora statsbudgetens inkomster ko</w:t>
      </w:r>
      <w:r w:rsidRPr="006C40C1">
        <w:t>m</w:t>
      </w:r>
      <w:r w:rsidRPr="006C40C1">
        <w:t xml:space="preserve">mer att bli. </w:t>
      </w:r>
    </w:p>
    <w:p w:rsidR="00AA5D77" w:rsidRPr="006C40C1" w:rsidRDefault="00AA5D77">
      <w:pPr>
        <w:pStyle w:val="Normaltindrag"/>
        <w:rPr>
          <w:sz w:val="17"/>
        </w:rPr>
      </w:pPr>
      <w:r w:rsidRPr="006C40C1">
        <w:t>Statsbudgeten ska enligt budgetlagen (1996:1059) förutom inkomster och utgifter även omfatta andra betalningar som påverkar statens lånebehov.</w:t>
      </w:r>
    </w:p>
    <w:p w:rsidR="00AA5D77" w:rsidRPr="006C40C1" w:rsidRDefault="00AA5D77">
      <w:pPr>
        <w:pStyle w:val="Normaltindrag"/>
      </w:pPr>
      <w:r w:rsidRPr="006C40C1">
        <w:t>För att få fram upplåningsbehovet görs en bedömning av hur nettot av myndigheternas m.fl. in- och utlåning i Riksgäldskontoret utvecklas under budgetåret och hur stora eventuella kassamässiga korrigeringar bör vara. När riksdagen tagit ställning till dessa beräkningar erhålls budgetsaldot som en restpost som visar statens amorteringar/upplåningsbehov under året.</w:t>
      </w:r>
    </w:p>
    <w:p w:rsidR="00AA5D77" w:rsidRPr="006C40C1" w:rsidRDefault="00AA5D77">
      <w:pPr>
        <w:pStyle w:val="Normaltindrag"/>
      </w:pPr>
      <w:r w:rsidRPr="006C40C1">
        <w:t xml:space="preserve">Beslutsordningen innebär alltså att riksdagen tar ställning till alla dessa poster genom </w:t>
      </w:r>
      <w:r w:rsidRPr="006C40C1">
        <w:rPr>
          <w:i/>
        </w:rPr>
        <w:t>ett</w:t>
      </w:r>
      <w:r w:rsidRPr="006C40C1">
        <w:t xml:space="preserve"> beslut.</w:t>
      </w:r>
    </w:p>
    <w:p w:rsidR="00AA5D77" w:rsidRPr="006C40C1" w:rsidRDefault="00AA5D77">
      <w:pPr>
        <w:pStyle w:val="Normaltindrag"/>
      </w:pPr>
      <w:r w:rsidRPr="006C40C1">
        <w:t>Mot denna bakgrund är alla förslag som avser utgiftsramar m.m. och b</w:t>
      </w:r>
      <w:r w:rsidRPr="006C40C1">
        <w:t>e</w:t>
      </w:r>
      <w:r w:rsidRPr="006C40C1">
        <w:t>räkningen av statsbudgetens inkomster sammanförda i en enda beslutspunkt (punkt 5 i detta betänkande) i utskottets förslag till riksdagsbeslut. Följande punkter i propositionens förslag till riksdagsbeslut behandlas i detta samma</w:t>
      </w:r>
      <w:r w:rsidRPr="006C40C1">
        <w:t>n</w:t>
      </w:r>
      <w:r w:rsidRPr="006C40C1">
        <w:t>hang:</w:t>
      </w:r>
    </w:p>
    <w:p w:rsidR="00AA5D77" w:rsidRPr="006C40C1" w:rsidRDefault="00AA5D77">
      <w:pPr>
        <w:pStyle w:val="Normaltindrag"/>
        <w:tabs>
          <w:tab w:val="num" w:pos="644"/>
        </w:tabs>
        <w:ind w:left="357" w:hanging="357"/>
      </w:pPr>
      <w:r w:rsidRPr="006C40C1">
        <w:sym w:font="Symbol" w:char="F0B7"/>
      </w:r>
      <w:r w:rsidRPr="006C40C1">
        <w:tab/>
        <w:t>punkt 2 om utgiftstak för staten inklusive ålderspensionssystemet vid sidan av statsbudgeten 2002–2004,</w:t>
      </w:r>
    </w:p>
    <w:p w:rsidR="00AA5D77" w:rsidRPr="006C40C1" w:rsidRDefault="00AA5D77">
      <w:pPr>
        <w:pStyle w:val="Normaltindrag"/>
        <w:tabs>
          <w:tab w:val="num" w:pos="644"/>
        </w:tabs>
        <w:ind w:left="357" w:hanging="357"/>
      </w:pPr>
      <w:r w:rsidRPr="006C40C1">
        <w:sym w:font="Symbol" w:char="F0B7"/>
      </w:r>
      <w:r w:rsidRPr="006C40C1">
        <w:tab/>
        <w:t>punkt 3 om beräkning av de offentliga utgifterna för 2003 och 2004,</w:t>
      </w:r>
    </w:p>
    <w:p w:rsidR="00AA5D77" w:rsidRPr="006C40C1" w:rsidRDefault="00AA5D77">
      <w:pPr>
        <w:pStyle w:val="Normaltindrag"/>
        <w:tabs>
          <w:tab w:val="num" w:pos="644"/>
        </w:tabs>
        <w:ind w:left="357" w:hanging="357"/>
      </w:pPr>
      <w:r w:rsidRPr="006C40C1">
        <w:sym w:font="Symbol" w:char="F0B7"/>
      </w:r>
      <w:r w:rsidRPr="006C40C1">
        <w:tab/>
        <w:t xml:space="preserve">punkt 8 om fördelning av utgifter på utgiftsområden för 2003, </w:t>
      </w:r>
    </w:p>
    <w:p w:rsidR="00AA5D77" w:rsidRPr="006C40C1" w:rsidRDefault="00AA5D77">
      <w:pPr>
        <w:pStyle w:val="Normaltindrag"/>
        <w:tabs>
          <w:tab w:val="num" w:pos="644"/>
        </w:tabs>
        <w:ind w:left="357" w:hanging="357"/>
      </w:pPr>
      <w:r w:rsidRPr="006C40C1">
        <w:sym w:font="Symbol" w:char="F0B7"/>
      </w:r>
      <w:r w:rsidRPr="006C40C1">
        <w:tab/>
        <w:t>punkt 9 om beräkning av förändringar av anslagsbehållningar för 2003,</w:t>
      </w:r>
    </w:p>
    <w:p w:rsidR="00AA5D77" w:rsidRPr="006C40C1" w:rsidRDefault="00AA5D77">
      <w:pPr>
        <w:pStyle w:val="Normaltindrag"/>
        <w:tabs>
          <w:tab w:val="num" w:pos="644"/>
        </w:tabs>
        <w:ind w:left="357" w:hanging="357"/>
      </w:pPr>
      <w:r w:rsidRPr="006C40C1">
        <w:sym w:font="Symbol" w:char="F0B7"/>
      </w:r>
      <w:r w:rsidRPr="006C40C1">
        <w:tab/>
        <w:t>punkt 5 om beräkning av förändringarna av myndigheters m.fl. in- och utl</w:t>
      </w:r>
      <w:r w:rsidRPr="006C40C1">
        <w:t>å</w:t>
      </w:r>
      <w:r w:rsidRPr="006C40C1">
        <w:t>ning i Riksgäldskontoret för 2003,</w:t>
      </w:r>
    </w:p>
    <w:p w:rsidR="00AA5D77" w:rsidRPr="006C40C1" w:rsidRDefault="00AA5D77">
      <w:pPr>
        <w:pStyle w:val="Normaltindrag"/>
        <w:tabs>
          <w:tab w:val="num" w:pos="644"/>
        </w:tabs>
        <w:ind w:left="357" w:hanging="357"/>
      </w:pPr>
      <w:r w:rsidRPr="006C40C1">
        <w:sym w:font="Symbol" w:char="F0B7"/>
      </w:r>
      <w:r w:rsidRPr="006C40C1">
        <w:tab/>
        <w:t xml:space="preserve">punkt 6 om beräkning av kassamässiga korrigeringar, </w:t>
      </w:r>
    </w:p>
    <w:p w:rsidR="00AA5D77" w:rsidRPr="006C40C1" w:rsidRDefault="00AA5D77">
      <w:pPr>
        <w:pStyle w:val="Normaltindrag"/>
        <w:tabs>
          <w:tab w:val="num" w:pos="644"/>
        </w:tabs>
        <w:ind w:left="357" w:hanging="357"/>
      </w:pPr>
      <w:r w:rsidRPr="006C40C1">
        <w:sym w:font="Symbol" w:char="F0B7"/>
      </w:r>
      <w:r w:rsidRPr="006C40C1">
        <w:tab/>
        <w:t>punkt 7 om beräkning av statsbudgetens inkomster för 2003 och</w:t>
      </w:r>
    </w:p>
    <w:p w:rsidR="00AA5D77" w:rsidRPr="006C40C1" w:rsidRDefault="00AA5D77">
      <w:pPr>
        <w:pStyle w:val="Normaltindrag"/>
        <w:tabs>
          <w:tab w:val="num" w:pos="644"/>
        </w:tabs>
        <w:ind w:left="357" w:hanging="357"/>
      </w:pPr>
      <w:r w:rsidRPr="006C40C1">
        <w:sym w:font="Symbol" w:char="F0B7"/>
      </w:r>
      <w:r w:rsidRPr="006C40C1">
        <w:tab/>
        <w:t>punkterna 27–38 om lagförslag som avser skattefrågor med budgeteffekt 2003.</w:t>
      </w:r>
    </w:p>
    <w:p w:rsidR="00AA5D77" w:rsidRPr="006C40C1" w:rsidRDefault="00AA5D77">
      <w:r w:rsidRPr="006C40C1">
        <w:t>De tre samarbetspartierna Socialdemokraterna, Vänsterpartiet och Miljöpart</w:t>
      </w:r>
      <w:r w:rsidRPr="006C40C1">
        <w:t>i</w:t>
      </w:r>
      <w:r w:rsidRPr="006C40C1">
        <w:t>et väckte under allmänna motionstiden en gemensam motion med yrkanden om ändringar av budgetpropositionens förslag. Denna motion samt oppos</w:t>
      </w:r>
      <w:r w:rsidRPr="006C40C1">
        <w:t>i</w:t>
      </w:r>
      <w:r w:rsidRPr="006C40C1">
        <w:t>tionspartiernas alternativa förslag behandlas också i samma b</w:t>
      </w:r>
      <w:r w:rsidRPr="006C40C1">
        <w:t>e</w:t>
      </w:r>
      <w:r w:rsidRPr="006C40C1">
        <w:t>slut.</w:t>
      </w:r>
    </w:p>
    <w:p w:rsidR="00AA5D77" w:rsidRPr="006C40C1" w:rsidRDefault="00AA5D77">
      <w:pPr>
        <w:pStyle w:val="Normaltindrag"/>
      </w:pPr>
      <w:r w:rsidRPr="006C40C1">
        <w:t xml:space="preserve">Motiven till utskottets förslag redovisas på de efterföljande sidorna under rubriken 2.4 </w:t>
      </w:r>
      <w:r w:rsidRPr="006C40C1">
        <w:rPr>
          <w:i/>
        </w:rPr>
        <w:t>Budgetpolitikens inriktning</w:t>
      </w:r>
      <w:r w:rsidRPr="006C40C1">
        <w:t xml:space="preserve"> efter det att utskottet först behandlat 2.2 </w:t>
      </w:r>
      <w:r w:rsidRPr="006C40C1">
        <w:rPr>
          <w:i/>
        </w:rPr>
        <w:t>Budgetutvecklingen</w:t>
      </w:r>
      <w:r w:rsidRPr="006C40C1">
        <w:t xml:space="preserve"> och 2.3 </w:t>
      </w:r>
      <w:r w:rsidRPr="006C40C1">
        <w:rPr>
          <w:i/>
        </w:rPr>
        <w:t>Mål för budgetpolitiken</w:t>
      </w:r>
      <w:r w:rsidRPr="006C40C1">
        <w:t>. Utskottet tar i detta sammanhang ställning till regeringens respektive motionernas olika budge</w:t>
      </w:r>
      <w:r w:rsidRPr="006C40C1">
        <w:t>t</w:t>
      </w:r>
      <w:r w:rsidRPr="006C40C1">
        <w:t>förslag parti för parti och bedömer då också förslagens budgetpolitiska effe</w:t>
      </w:r>
      <w:r w:rsidRPr="006C40C1">
        <w:t>k</w:t>
      </w:r>
      <w:r w:rsidRPr="006C40C1">
        <w:t xml:space="preserve">ter under rubriken 2.4.3 </w:t>
      </w:r>
      <w:r w:rsidRPr="006C40C1">
        <w:rPr>
          <w:i/>
        </w:rPr>
        <w:t>Finansutskottets sammanfattande bedömning av budgetförsl</w:t>
      </w:r>
      <w:r w:rsidRPr="006C40C1">
        <w:rPr>
          <w:i/>
        </w:rPr>
        <w:t>a</w:t>
      </w:r>
      <w:r w:rsidRPr="006C40C1">
        <w:rPr>
          <w:i/>
        </w:rPr>
        <w:t>gen.</w:t>
      </w:r>
      <w:r w:rsidRPr="006C40C1">
        <w:t xml:space="preserve"> </w:t>
      </w:r>
    </w:p>
    <w:p w:rsidR="00AA5D77" w:rsidRPr="006C40C1" w:rsidRDefault="00AA5D77">
      <w:pPr>
        <w:pStyle w:val="Normaltindrag"/>
        <w:rPr>
          <w:i/>
        </w:rPr>
      </w:pPr>
      <w:r w:rsidRPr="006C40C1">
        <w:t xml:space="preserve">I avsnitt 2.5 </w:t>
      </w:r>
      <w:r w:rsidRPr="006C40C1">
        <w:rPr>
          <w:i/>
        </w:rPr>
        <w:t>Utgiftstak för staten och den offentliga sektorn</w:t>
      </w:r>
      <w:r w:rsidRPr="006C40C1">
        <w:t xml:space="preserve"> behandlar u</w:t>
      </w:r>
      <w:r w:rsidRPr="006C40C1">
        <w:t>t</w:t>
      </w:r>
      <w:r w:rsidRPr="006C40C1">
        <w:t xml:space="preserve">skottet den samlade nivån för statsutgifterna som den kommer till uttryck i utgiftstaket. Utskottet tar därefter ställning till vilka ramar som ska gälla för de olika utgiftsområdena när riksdagen i andra steget av budgetprocessen fördelar utgifterna på anslagen. Det görs i avsnitt 2.6 </w:t>
      </w:r>
      <w:r w:rsidRPr="006C40C1">
        <w:rPr>
          <w:i/>
        </w:rPr>
        <w:t>Fördelning av statens utgifter på utgiftso</w:t>
      </w:r>
      <w:r w:rsidRPr="006C40C1">
        <w:rPr>
          <w:i/>
        </w:rPr>
        <w:t>m</w:t>
      </w:r>
      <w:r w:rsidRPr="006C40C1">
        <w:rPr>
          <w:i/>
        </w:rPr>
        <w:t>råden 2003.</w:t>
      </w:r>
    </w:p>
    <w:p w:rsidR="00AA5D77" w:rsidRPr="006C40C1" w:rsidRDefault="00AA5D77">
      <w:pPr>
        <w:pStyle w:val="Normaltindrag"/>
      </w:pPr>
      <w:r w:rsidRPr="006C40C1">
        <w:t xml:space="preserve">I avsnitt 2.7 </w:t>
      </w:r>
      <w:r w:rsidRPr="006C40C1">
        <w:rPr>
          <w:i/>
        </w:rPr>
        <w:t>Beräkning av statsbudgetens inkomster för 2003</w:t>
      </w:r>
      <w:r w:rsidRPr="006C40C1">
        <w:t xml:space="preserve"> redovisas u</w:t>
      </w:r>
      <w:r w:rsidRPr="006C40C1">
        <w:t>t</w:t>
      </w:r>
      <w:r w:rsidRPr="006C40C1">
        <w:t>skottets förslag till samlad beräkning av statsbudgetens inkomster nästa år.</w:t>
      </w:r>
    </w:p>
    <w:p w:rsidR="00AA5D77" w:rsidRPr="006C40C1" w:rsidRDefault="00AA5D77">
      <w:pPr>
        <w:pStyle w:val="Normaltindrag"/>
      </w:pPr>
      <w:r w:rsidRPr="006C40C1">
        <w:t xml:space="preserve">I var sitt avsnitt behandlar utskottet de förslag som gäller 2.8 </w:t>
      </w:r>
      <w:r w:rsidRPr="006C40C1">
        <w:rPr>
          <w:i/>
        </w:rPr>
        <w:t>Anslagsb</w:t>
      </w:r>
      <w:r w:rsidRPr="006C40C1">
        <w:rPr>
          <w:i/>
        </w:rPr>
        <w:t>e</w:t>
      </w:r>
      <w:r w:rsidRPr="006C40C1">
        <w:rPr>
          <w:i/>
        </w:rPr>
        <w:t xml:space="preserve">hållningar </w:t>
      </w:r>
      <w:r w:rsidRPr="006C40C1">
        <w:t xml:space="preserve">och 2.9 </w:t>
      </w:r>
      <w:r w:rsidRPr="006C40C1">
        <w:rPr>
          <w:i/>
        </w:rPr>
        <w:t xml:space="preserve">Myndigheternas in- och utlåning i Riksgäldskontoret </w:t>
      </w:r>
      <w:r w:rsidRPr="006C40C1">
        <w:t xml:space="preserve">samt 2.10 </w:t>
      </w:r>
      <w:r w:rsidRPr="006C40C1">
        <w:rPr>
          <w:i/>
        </w:rPr>
        <w:t>Kassamässig korrigering.</w:t>
      </w:r>
    </w:p>
    <w:p w:rsidR="00AA5D77" w:rsidRPr="006C40C1" w:rsidRDefault="00AA5D77">
      <w:pPr>
        <w:pStyle w:val="Normaltindrag"/>
      </w:pPr>
      <w:r w:rsidRPr="006C40C1">
        <w:t xml:space="preserve">Därefter redovisar utskottet sitt ställningstagande mer i detalj vad gäller olika inkomstförslag (avsnitt 3) och de olika utgiftsområdena (avsnitt 4.1). </w:t>
      </w:r>
    </w:p>
    <w:p w:rsidR="00AA5D77" w:rsidRPr="006C40C1" w:rsidRDefault="00AA5D77">
      <w:pPr>
        <w:pStyle w:val="Normaltindrag"/>
      </w:pPr>
      <w:r w:rsidRPr="006C40C1">
        <w:t>Avsnitt 3</w:t>
      </w:r>
      <w:r w:rsidRPr="006C40C1">
        <w:rPr>
          <w:i/>
        </w:rPr>
        <w:t xml:space="preserve"> Inkomster</w:t>
      </w:r>
      <w:r w:rsidRPr="006C40C1">
        <w:t xml:space="preserve"> är disponerat på följande sätt. Under rubriken 3.2</w:t>
      </w:r>
      <w:r w:rsidRPr="006C40C1">
        <w:rPr>
          <w:i/>
        </w:rPr>
        <w:t xml:space="preserve"> Skattepolitikens inriktning</w:t>
      </w:r>
      <w:r w:rsidRPr="006C40C1">
        <w:t xml:space="preserve"> tar utskottet först ställning till de samlade försl</w:t>
      </w:r>
      <w:r w:rsidRPr="006C40C1">
        <w:t>a</w:t>
      </w:r>
      <w:r w:rsidRPr="006C40C1">
        <w:t>gen i kommitté- och partimotionerna, som är oppositionspartiernas samlade alternativ till inkomstförslaget i budgetpropositionen. Därefter behandlar utskottet de specifika förslagen i propositionen och de i det sammanhanget väckta motionerna. Förslag om inkomstförändringar som tagits upp i olika motionsyrkanden som gäller inkomståret 2003 behandlas i huvudsak i den or</w:t>
      </w:r>
      <w:r w:rsidRPr="006C40C1">
        <w:t>dning respektive i</w:t>
      </w:r>
      <w:r w:rsidRPr="006C40C1">
        <w:t>n</w:t>
      </w:r>
      <w:r w:rsidRPr="006C40C1">
        <w:t>komsttitel redovisas i statsbudgeten.</w:t>
      </w:r>
    </w:p>
    <w:p w:rsidR="00AA5D77" w:rsidRPr="006C40C1" w:rsidRDefault="00AA5D77">
      <w:pPr>
        <w:pStyle w:val="Normaltindrag"/>
      </w:pPr>
      <w:r w:rsidRPr="006C40C1">
        <w:t xml:space="preserve">I avsnitt 4 </w:t>
      </w:r>
      <w:r w:rsidRPr="006C40C1">
        <w:rPr>
          <w:i/>
        </w:rPr>
        <w:t>Utgifter</w:t>
      </w:r>
      <w:r w:rsidRPr="006C40C1">
        <w:t xml:space="preserve"> behandlar finansutskottet de förslag i propositionen och motionerna som gäller utgiftsområden. Det görs under rubriken 4.1 </w:t>
      </w:r>
      <w:r w:rsidRPr="006C40C1">
        <w:rPr>
          <w:i/>
        </w:rPr>
        <w:t>Förde</w:t>
      </w:r>
      <w:r w:rsidRPr="006C40C1">
        <w:rPr>
          <w:i/>
        </w:rPr>
        <w:t>l</w:t>
      </w:r>
      <w:r w:rsidRPr="006C40C1">
        <w:rPr>
          <w:i/>
        </w:rPr>
        <w:t>ning av utgifter på utgiftsområden 2003 och 2004.</w:t>
      </w:r>
    </w:p>
    <w:p w:rsidR="00AA5D77" w:rsidRPr="006C40C1" w:rsidRDefault="00AA5D77">
      <w:pPr>
        <w:pStyle w:val="Normaltindrag"/>
      </w:pPr>
      <w:r w:rsidRPr="006C40C1">
        <w:t>Finansutskottets förslag till beslut om budgetförslagen för 2003 återfinns i punkt 5 i förslaget till riksdagsbeslut. De lagförslag som omfattas av beslutet behandlas i punkt 6, men det sakliga innehållet i lagförslagen har dessföri</w:t>
      </w:r>
      <w:r w:rsidRPr="006C40C1">
        <w:t>n</w:t>
      </w:r>
      <w:r w:rsidRPr="006C40C1">
        <w:t>nan godkänts i punkt 5. I punkt 5 hänvisas dessutom till två sammanställnin</w:t>
      </w:r>
      <w:r w:rsidRPr="006C40C1">
        <w:t>g</w:t>
      </w:r>
      <w:r w:rsidRPr="006C40C1">
        <w:t>ar i omedelbar anslutning till utskottets förslag till riksdagsb</w:t>
      </w:r>
      <w:r w:rsidRPr="006C40C1">
        <w:t>e</w:t>
      </w:r>
      <w:r w:rsidRPr="006C40C1">
        <w:t>slut.</w:t>
      </w:r>
    </w:p>
    <w:p w:rsidR="00AA5D77" w:rsidRPr="006C40C1" w:rsidRDefault="00AA5D77">
      <w:pPr>
        <w:pStyle w:val="Normaltindrag"/>
      </w:pPr>
      <w:r w:rsidRPr="006C40C1">
        <w:t>I den första sammanställningen redovisas i tabellform utskottets och rese</w:t>
      </w:r>
      <w:r w:rsidRPr="006C40C1">
        <w:t>r</w:t>
      </w:r>
      <w:r w:rsidRPr="006C40C1">
        <w:t>vanternas förslag till dels fördelning av utgifter på utgiftsområden m.m., dels beräkning av statsbudgetens inkomster fördelade på i</w:t>
      </w:r>
      <w:r w:rsidRPr="006C40C1">
        <w:t>n</w:t>
      </w:r>
      <w:r w:rsidRPr="006C40C1">
        <w:t>komsttitlar.</w:t>
      </w:r>
    </w:p>
    <w:p w:rsidR="00AA5D77" w:rsidRPr="006C40C1" w:rsidRDefault="00AA5D77">
      <w:pPr>
        <w:pStyle w:val="Normaltindrag"/>
      </w:pPr>
      <w:r w:rsidRPr="006C40C1">
        <w:t>I den andra sammanställningen redovisas samtliga motionsyrkanden, up</w:t>
      </w:r>
      <w:r w:rsidRPr="006C40C1">
        <w:t>p</w:t>
      </w:r>
      <w:r w:rsidRPr="006C40C1">
        <w:t>rä</w:t>
      </w:r>
      <w:r w:rsidRPr="006C40C1">
        <w:t>k</w:t>
      </w:r>
      <w:r w:rsidRPr="006C40C1">
        <w:t>nade ämnesområdesvis, som finansutskottet avstyrker i punkt 5.</w:t>
      </w:r>
    </w:p>
    <w:p w:rsidR="00AA5D77" w:rsidRPr="006C40C1" w:rsidRDefault="00AA5D77">
      <w:r w:rsidRPr="006C40C1">
        <w:t xml:space="preserve">I </w:t>
      </w:r>
      <w:r w:rsidRPr="006C40C1">
        <w:rPr>
          <w:i/>
        </w:rPr>
        <w:t>bilaga 2</w:t>
      </w:r>
      <w:r w:rsidRPr="006C40C1">
        <w:t xml:space="preserve"> återges de lagförslag i budgetpropositionen som utskottet behandlar i detta betänkande och i </w:t>
      </w:r>
      <w:r w:rsidRPr="006C40C1">
        <w:rPr>
          <w:i/>
        </w:rPr>
        <w:t>bilaga 3</w:t>
      </w:r>
      <w:r w:rsidRPr="006C40C1">
        <w:t xml:space="preserve"> utskottets förslag till ändringar av regerin</w:t>
      </w:r>
      <w:r w:rsidRPr="006C40C1">
        <w:t>g</w:t>
      </w:r>
      <w:r w:rsidRPr="006C40C1">
        <w:t>ens lagförslag. En hänvisning görs i punkt 6 till dessa bilagor.</w:t>
      </w:r>
    </w:p>
    <w:p w:rsidR="00AA5D77" w:rsidRPr="006C40C1" w:rsidRDefault="00AA5D77">
      <w:pPr>
        <w:pStyle w:val="Rubrik2"/>
      </w:pPr>
      <w:bookmarkStart w:id="223" w:name="_Toc25408025"/>
      <w:bookmarkStart w:id="224" w:name="_Toc26191452"/>
      <w:r w:rsidRPr="006C40C1">
        <w:t>2.2 Budgetutvecklingen</w:t>
      </w:r>
      <w:bookmarkEnd w:id="223"/>
      <w:bookmarkEnd w:id="224"/>
    </w:p>
    <w:p w:rsidR="00AA5D77" w:rsidRPr="006C40C1" w:rsidRDefault="00AA5D77">
      <w:r w:rsidRPr="006C40C1">
        <w:t>Det medelfristiga målet för den offentliga sektorns finansiella sparande är ett överskott på 2 % av BNP i genomsnitt över en konjunkturcykel. Hittills har detta överskottsmål överträffats med god marginal. Det överskjutande fina</w:t>
      </w:r>
      <w:r w:rsidRPr="006C40C1">
        <w:t>n</w:t>
      </w:r>
      <w:r w:rsidRPr="006C40C1">
        <w:t>siella sparandet uppgick under åren 1997–2001 till sammanlagt 167 miljarder kronor. Regeringen förklarar den gynnsamma utvecklingen med högre pote</w:t>
      </w:r>
      <w:r w:rsidRPr="006C40C1">
        <w:t>n</w:t>
      </w:r>
      <w:r w:rsidRPr="006C40C1">
        <w:t>tiell produktionsnivå och därmed BNP-tillväxt i den svenska ekonomin jä</w:t>
      </w:r>
      <w:r w:rsidRPr="006C40C1">
        <w:t>m</w:t>
      </w:r>
      <w:r w:rsidRPr="006C40C1">
        <w:t>fört med egna prognosbedömningar, utan att det hotat inflationsmålet. Ska</w:t>
      </w:r>
      <w:r w:rsidRPr="006C40C1">
        <w:t>t</w:t>
      </w:r>
      <w:r w:rsidRPr="006C40C1">
        <w:t>teintä</w:t>
      </w:r>
      <w:r w:rsidRPr="006C40C1">
        <w:t>k</w:t>
      </w:r>
      <w:r w:rsidRPr="006C40C1">
        <w:t>terna under denna period har dessutom blivit högre än förväntat.</w:t>
      </w:r>
    </w:p>
    <w:p w:rsidR="00AA5D77" w:rsidRPr="006C40C1" w:rsidRDefault="00AA5D77">
      <w:pPr>
        <w:pStyle w:val="Normaltindrag"/>
      </w:pPr>
      <w:r w:rsidRPr="006C40C1">
        <w:t>Den försvagade ekonomiska tillväxten under de kommande åren samt en svag tillväxt under 2001 till följd av den internationella konjunkturavmat</w:t>
      </w:r>
      <w:r w:rsidRPr="006C40C1">
        <w:t>t</w:t>
      </w:r>
      <w:r w:rsidRPr="006C40C1">
        <w:t>ningen påverkar regeringens bedömning av den framtida utvecklingen i den offentliga sektorns finanser. Redan under innevarande år förväntas det fina</w:t>
      </w:r>
      <w:r w:rsidRPr="006C40C1">
        <w:t>n</w:t>
      </w:r>
      <w:r w:rsidRPr="006C40C1">
        <w:t>siella sparandet i den offentliga sektorn understiga tvåprocentsmålet med 0,3 procentenheter. Åren 2003 och 2004 ökar skillnaden till 0,5 respektive 0,4 procentenheter – en ytterligare nedrevidering av regeringens prognoser jä</w:t>
      </w:r>
      <w:r w:rsidRPr="006C40C1">
        <w:t>m</w:t>
      </w:r>
      <w:r w:rsidRPr="006C40C1">
        <w:t>fört med 2002 års ekonomiska vårproposition. Sammanlagt beräknas det offentliga finansiella sparandet understiga målet med 30 miljarder</w:t>
      </w:r>
      <w:r w:rsidRPr="006C40C1">
        <w:t xml:space="preserve"> kronor under perioden 2002–2004.</w:t>
      </w:r>
    </w:p>
    <w:p w:rsidR="00AA5D77" w:rsidRPr="006C40C1" w:rsidRDefault="00AA5D77">
      <w:pPr>
        <w:pStyle w:val="Normaltindrag"/>
      </w:pPr>
      <w:r w:rsidRPr="006C40C1">
        <w:t>Regeringen understryker emellertid en fortsatt stor osäkerhet beträffande den framtida konjunkturutvecklingen. I budgetpropositionen kompletteras därför den baskalkyl som ligger till grund för budgetförslaget med två alte</w:t>
      </w:r>
      <w:r w:rsidRPr="006C40C1">
        <w:t>r</w:t>
      </w:r>
      <w:r w:rsidRPr="006C40C1">
        <w:t>nativa kalkyler, ett lågtillväxtalternativ och ett högtillväxtalternativ. Den offentliga sektorns finansiella sparande utvecklas i dessa tre kalkyler på fö</w:t>
      </w:r>
      <w:r w:rsidRPr="006C40C1">
        <w:t>l</w:t>
      </w:r>
      <w:r w:rsidRPr="006C40C1">
        <w:t>jande sätt.</w:t>
      </w:r>
    </w:p>
    <w:p w:rsidR="00AA5D77" w:rsidRPr="006C40C1" w:rsidRDefault="00AA5D77">
      <w:pPr>
        <w:keepNext/>
        <w:spacing w:before="360" w:line="170" w:lineRule="exact"/>
        <w:rPr>
          <w:b/>
          <w:sz w:val="17"/>
        </w:rPr>
      </w:pPr>
      <w:r w:rsidRPr="006C40C1">
        <w:rPr>
          <w:b/>
          <w:sz w:val="17"/>
        </w:rPr>
        <w:t>Tabell 9. Offentligt finansiellt sparande enligt regeringens alternativa ka</w:t>
      </w:r>
      <w:r w:rsidRPr="006C40C1">
        <w:rPr>
          <w:b/>
          <w:sz w:val="17"/>
        </w:rPr>
        <w:t>l</w:t>
      </w:r>
      <w:r w:rsidRPr="006C40C1">
        <w:rPr>
          <w:b/>
          <w:sz w:val="17"/>
        </w:rPr>
        <w:t>kyler</w:t>
      </w:r>
    </w:p>
    <w:p w:rsidR="00AA5D77" w:rsidRPr="006C40C1" w:rsidRDefault="00AA5D77">
      <w:pPr>
        <w:pStyle w:val="Tabelltext"/>
        <w:keepNext/>
        <w:keepLines/>
        <w:rPr>
          <w:sz w:val="14"/>
        </w:rPr>
      </w:pPr>
      <w:r w:rsidRPr="006C40C1">
        <w:rPr>
          <w:sz w:val="14"/>
        </w:rPr>
        <w:t>Procent av BNP</w:t>
      </w:r>
    </w:p>
    <w:p w:rsidR="00AA5D77" w:rsidRPr="006C40C1" w:rsidRDefault="006C40C1">
      <w:pPr>
        <w:pStyle w:val="Normaltindrag"/>
        <w:keepNext/>
        <w:spacing w:line="240" w:lineRule="auto"/>
        <w:ind w:firstLine="0"/>
      </w:pPr>
      <w:r w:rsidRPr="006C40C1">
        <w:rPr>
          <w:noProof/>
        </w:rPr>
        <w:drawing>
          <wp:inline distT="0" distB="0" distL="0" distR="0">
            <wp:extent cx="3733800" cy="62611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33800" cy="626110"/>
                    </a:xfrm>
                    <a:prstGeom prst="rect">
                      <a:avLst/>
                    </a:prstGeom>
                    <a:noFill/>
                    <a:ln>
                      <a:noFill/>
                    </a:ln>
                  </pic:spPr>
                </pic:pic>
              </a:graphicData>
            </a:graphic>
          </wp:inline>
        </w:drawing>
      </w:r>
    </w:p>
    <w:p w:rsidR="00AA5D77" w:rsidRPr="006C40C1" w:rsidRDefault="00AA5D77">
      <w:pPr>
        <w:pStyle w:val="Normaltindrag"/>
        <w:spacing w:line="40" w:lineRule="exact"/>
      </w:pPr>
    </w:p>
    <w:p w:rsidR="00AA5D77" w:rsidRPr="006C40C1" w:rsidRDefault="00AA5D77">
      <w:pPr>
        <w:pStyle w:val="Normaltindrag"/>
      </w:pPr>
    </w:p>
    <w:p w:rsidR="00AA5D77" w:rsidRPr="006C40C1" w:rsidRDefault="00AA5D77">
      <w:r w:rsidRPr="006C40C1">
        <w:t>I lågtillväxtalternativet antas den internationella konjunkturen utvecklas b</w:t>
      </w:r>
      <w:r w:rsidRPr="006C40C1">
        <w:t>e</w:t>
      </w:r>
      <w:r w:rsidRPr="006C40C1">
        <w:t>tydligt sämre än i baskalkylen. Sysselsättningsnivån i Sverige blir därmed betydligt lägre och den öppna arbetslösheten stiger. I högtillväxtalternativet antas att ekonomin och framför allt arbetsmarknaden och lönebildningen fungerar bättre än i baskalkylen. Sysselsättningsnivån stiger och sysselsät</w:t>
      </w:r>
      <w:r w:rsidRPr="006C40C1">
        <w:t>t</w:t>
      </w:r>
      <w:r w:rsidRPr="006C40C1">
        <w:t xml:space="preserve">ningsmålet på 80 % uppnås 2004. </w:t>
      </w:r>
    </w:p>
    <w:p w:rsidR="00AA5D77" w:rsidRPr="006C40C1" w:rsidRDefault="00AA5D77">
      <w:pPr>
        <w:pStyle w:val="Normaltindrag"/>
      </w:pPr>
      <w:r w:rsidRPr="006C40C1">
        <w:t>I samtliga kalkyler beräknas det offentliga sparandet understiga överskotts</w:t>
      </w:r>
      <w:r w:rsidRPr="006C40C1">
        <w:softHyphen/>
        <w:t xml:space="preserve">målet under innevarande år. Det är endast i högtillväxtalternativet som överskottsmålet kan uppnås och t.o.m. överträffas under de två kommande åren. </w:t>
      </w:r>
    </w:p>
    <w:p w:rsidR="00AA5D77" w:rsidRPr="006C40C1" w:rsidRDefault="00AA5D77">
      <w:r w:rsidRPr="006C40C1">
        <w:t>Med nu gällande regler och aviserade reformer sjunker skattekvoten från 54,2 % av BNP 2001 till 50,2 % av BNP 2004. Utvecklingen av skattekvoten ser dock annorlunda ut om man tar hänsyn till periodiseringseffekter vid skatteuppbörden. Den justerade skattekvoten sjunker från 51,8 % till 50,6 % av BNP under innevarande år, för att åter stiga till 50,9 % av BNP</w:t>
      </w:r>
      <w:r w:rsidRPr="006C40C1">
        <w:t xml:space="preserve"> 2003. Denna ökning förklaras av bl.a. en omläggning till beskattade garantipensi</w:t>
      </w:r>
      <w:r w:rsidRPr="006C40C1">
        <w:t>o</w:t>
      </w:r>
      <w:r w:rsidRPr="006C40C1">
        <w:t>ner nästa år. Skattekvoten förväntas åter sjunka med 0,6 procentenheter till 50,3 % av BNP under 2004 till följd av en långsammare utveckling av skatt</w:t>
      </w:r>
      <w:r w:rsidRPr="006C40C1">
        <w:t>e</w:t>
      </w:r>
      <w:r w:rsidRPr="006C40C1">
        <w:t>baserna jämfört med BNP-utvecklingen.</w:t>
      </w:r>
    </w:p>
    <w:p w:rsidR="00AA5D77" w:rsidRPr="006C40C1" w:rsidRDefault="00AA5D77">
      <w:pPr>
        <w:pStyle w:val="Normaltindrag"/>
      </w:pPr>
      <w:r w:rsidRPr="006C40C1">
        <w:t>Till skillnad från skattekvoten stiger utgiftskvoten under innevarande år med 0,4 procentenheter, från 54,4 % till 54,8 % av BNP. Under de kommande två åren bedöms dock utgiftskvoten minska till 53,8 % av BNP vid utgången av 2004.</w:t>
      </w:r>
    </w:p>
    <w:p w:rsidR="00AA5D77" w:rsidRPr="006C40C1" w:rsidRDefault="00AA5D77">
      <w:pPr>
        <w:pStyle w:val="Normaltindrag"/>
      </w:pPr>
      <w:r w:rsidRPr="006C40C1">
        <w:t>Den offentliga sektorns finansiella ställning har stadigt förbättrats sedan 1996. Under de kommande åren förväntas en fortsatt förstärkning av den offentliga förmögenheten, från 1,5 % av BNP 2002 till 4,9 % av BNP 2004. Samtidigt minskar den offentliga sektorns konsoliderade bruttoskuld som andel av BNP från 53,6 % till 49,3 %, även om den konsoliderade bruttosku</w:t>
      </w:r>
      <w:r w:rsidRPr="006C40C1">
        <w:t>l</w:t>
      </w:r>
      <w:r w:rsidRPr="006C40C1">
        <w:t>den ökar något i nominella termer 2004 till följd av stigande statsskuld sa</w:t>
      </w:r>
      <w:r w:rsidRPr="006C40C1">
        <w:t>m</w:t>
      </w:r>
      <w:r w:rsidRPr="006C40C1">
        <w:t>ma år.</w:t>
      </w:r>
    </w:p>
    <w:p w:rsidR="00AA5D77" w:rsidRPr="006C40C1" w:rsidRDefault="00AA5D77">
      <w:r w:rsidRPr="006C40C1">
        <w:t>Statsbudgetens saldo har sedan 1998 uppvisat överskott. En bidragande orsak till det positiva saldoutfallet har huvudsakligen varit betydande engångse</w:t>
      </w:r>
      <w:r w:rsidRPr="006C40C1">
        <w:t>f</w:t>
      </w:r>
      <w:r w:rsidRPr="006C40C1">
        <w:t>fekter i form av överföringar från AP-fonden och inbetalningar av premiepe</w:t>
      </w:r>
      <w:r w:rsidRPr="006C40C1">
        <w:t>n</w:t>
      </w:r>
      <w:r w:rsidRPr="006C40C1">
        <w:t>sionsmedel samt försäljningar av statligt aktieinnehav. Även årets förväntade överskott på 8 miljarder kronor, vilket är ca 19 miljarder lägre jämfört med regeringens prognos från vårpropositionen, säkras med hjälp av tre extraord</w:t>
      </w:r>
      <w:r w:rsidRPr="006C40C1">
        <w:t>i</w:t>
      </w:r>
      <w:r w:rsidRPr="006C40C1">
        <w:t>nära poster på sammanlagt 41 miljarder kronor. Den successiva saldoförsä</w:t>
      </w:r>
      <w:r w:rsidRPr="006C40C1">
        <w:t>m</w:t>
      </w:r>
      <w:r w:rsidRPr="006C40C1">
        <w:t>ringen förväntas fortsätta under 2003 och 2004, då statsbudgeten beräknas uppvisa underskott på 13 respektive 22 miljarder kronor. E</w:t>
      </w:r>
      <w:r w:rsidRPr="006C40C1">
        <w:t>fter justering för större engångseffekter ökar dessa underskott till 46 respektive 41 miljarder kronor.</w:t>
      </w:r>
    </w:p>
    <w:p w:rsidR="00AA5D77" w:rsidRPr="006C40C1" w:rsidRDefault="00AA5D77">
      <w:pPr>
        <w:pStyle w:val="Normaltindrag"/>
      </w:pPr>
      <w:r w:rsidRPr="006C40C1">
        <w:t>En sammanställning av de större engångseffekter som påverkar beräknin</w:t>
      </w:r>
      <w:r w:rsidRPr="006C40C1">
        <w:t>g</w:t>
      </w:r>
      <w:r w:rsidRPr="006C40C1">
        <w:t>en av statsbudgetens saldo presenteras i följande sammanställning som byg</w:t>
      </w:r>
      <w:r w:rsidRPr="006C40C1">
        <w:t>g</w:t>
      </w:r>
      <w:r w:rsidRPr="006C40C1">
        <w:t>er på uppgifter från budgetpropos</w:t>
      </w:r>
      <w:r w:rsidRPr="006C40C1">
        <w:t>i</w:t>
      </w:r>
      <w:r w:rsidRPr="006C40C1">
        <w:t>tionen.</w:t>
      </w:r>
    </w:p>
    <w:p w:rsidR="00AA5D77" w:rsidRPr="006C40C1" w:rsidRDefault="00AA5D77">
      <w:pPr>
        <w:keepNext/>
        <w:spacing w:before="360" w:line="170" w:lineRule="exact"/>
        <w:rPr>
          <w:b/>
          <w:sz w:val="17"/>
        </w:rPr>
      </w:pPr>
      <w:r w:rsidRPr="006C40C1">
        <w:rPr>
          <w:b/>
          <w:sz w:val="17"/>
        </w:rPr>
        <w:t>Tabell 10.  Statsbudgetens underliggande saldo efter justering för större e</w:t>
      </w:r>
      <w:r w:rsidRPr="006C40C1">
        <w:rPr>
          <w:b/>
          <w:sz w:val="17"/>
        </w:rPr>
        <w:t>n</w:t>
      </w:r>
      <w:r w:rsidRPr="006C40C1">
        <w:rPr>
          <w:b/>
          <w:sz w:val="17"/>
        </w:rPr>
        <w:t>gångs-effekter 2000-2004</w:t>
      </w:r>
    </w:p>
    <w:p w:rsidR="00AA5D77" w:rsidRPr="006C40C1" w:rsidRDefault="00AA5D77">
      <w:pPr>
        <w:pStyle w:val="Tabelltext"/>
        <w:keepNext/>
        <w:keepLines/>
        <w:rPr>
          <w:sz w:val="14"/>
        </w:rPr>
      </w:pPr>
      <w:r w:rsidRPr="006C40C1">
        <w:rPr>
          <w:sz w:val="14"/>
        </w:rPr>
        <w:t>Miljarder kronor</w:t>
      </w:r>
    </w:p>
    <w:p w:rsidR="00AA5D77" w:rsidRPr="006C40C1" w:rsidRDefault="006C40C1">
      <w:pPr>
        <w:pStyle w:val="Normaltindrag"/>
        <w:keepNext/>
        <w:spacing w:line="240" w:lineRule="auto"/>
        <w:ind w:firstLine="0"/>
      </w:pPr>
      <w:r w:rsidRPr="006C40C1">
        <w:rPr>
          <w:noProof/>
        </w:rPr>
        <w:drawing>
          <wp:inline distT="0" distB="0" distL="0" distR="0">
            <wp:extent cx="3733800" cy="141541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733800" cy="1415415"/>
                    </a:xfrm>
                    <a:prstGeom prst="rect">
                      <a:avLst/>
                    </a:prstGeom>
                    <a:noFill/>
                    <a:ln>
                      <a:noFill/>
                    </a:ln>
                  </pic:spPr>
                </pic:pic>
              </a:graphicData>
            </a:graphic>
          </wp:inline>
        </w:drawing>
      </w:r>
    </w:p>
    <w:p w:rsidR="00AA5D77" w:rsidRPr="006C40C1" w:rsidRDefault="00AA5D77">
      <w:pPr>
        <w:spacing w:before="0" w:line="40" w:lineRule="exact"/>
      </w:pPr>
    </w:p>
    <w:p w:rsidR="00AA5D77" w:rsidRPr="006C40C1" w:rsidRDefault="00AA5D77">
      <w:pPr>
        <w:pStyle w:val="Normaltindrag"/>
      </w:pPr>
    </w:p>
    <w:p w:rsidR="00AA5D77" w:rsidRPr="006C40C1" w:rsidRDefault="00AA5D77">
      <w:r w:rsidRPr="006C40C1">
        <w:t>Försämringen av det beräknade budgetsaldot för åren 2002–2004 jämfört med regeringens prognos från vårpropositionen beror till stor del på högre förvä</w:t>
      </w:r>
      <w:r w:rsidRPr="006C40C1">
        <w:t>n</w:t>
      </w:r>
      <w:r w:rsidRPr="006C40C1">
        <w:t>tade utgifter från statsbudgeten. Om man bortser från omläggningen av ko</w:t>
      </w:r>
      <w:r w:rsidRPr="006C40C1">
        <w:t>m</w:t>
      </w:r>
      <w:r w:rsidRPr="006C40C1">
        <w:t>munkontosystemet, vilken påverkar statsbudgetens inkomst- och utgiftssida i samma omfattning, beräknas statsbudgetens utgifter bli drygt 9, 3 respektive 11 miljarder kronor högre under perioden jämfört med tidigare bedömningar. Statsbudgetens inkomster minskar på motsvarande sätt med drygt 9 miljarder kronor 2002, vilket förstärker den negativa effekten på budgetsaldot samma år. Nästa års statsinkomster ökar däremot med 2 miljarder kr</w:t>
      </w:r>
      <w:r w:rsidRPr="006C40C1">
        <w:t>onor och mo</w:t>
      </w:r>
      <w:r w:rsidRPr="006C40C1">
        <w:t>t</w:t>
      </w:r>
      <w:r w:rsidRPr="006C40C1">
        <w:t>verkar därmed de ökade utgifterna något. Inkomstberäkningen för 2004 har ändrats endast marginellt jämfört med vårpropositionen, vilket innebär att de ökade utgifterna direkt bidrar till den negativa saldou</w:t>
      </w:r>
      <w:r w:rsidRPr="006C40C1">
        <w:t>t</w:t>
      </w:r>
      <w:r w:rsidRPr="006C40C1">
        <w:t xml:space="preserve">vecklingen. </w:t>
      </w:r>
    </w:p>
    <w:p w:rsidR="00AA5D77" w:rsidRPr="006C40C1" w:rsidRDefault="00AA5D77">
      <w:pPr>
        <w:pStyle w:val="Normaltindrag"/>
      </w:pPr>
      <w:r w:rsidRPr="006C40C1">
        <w:t>Det försämrade budgetsaldot medför att statsskulden mätt i nominella te</w:t>
      </w:r>
      <w:r w:rsidRPr="006C40C1">
        <w:t>r</w:t>
      </w:r>
      <w:r w:rsidRPr="006C40C1">
        <w:t>mer kommer att öka något i slutet av perioden. Som andel av BNP fortsätter dock statsskulden att minska – från 53,3 % vid utgången av 2001 till 46,2 % vid utgången av 2004 för den konsoliderade skulden enligt budgetpropositi</w:t>
      </w:r>
      <w:r w:rsidRPr="006C40C1">
        <w:t>o</w:t>
      </w:r>
      <w:r w:rsidRPr="006C40C1">
        <w:t>nen och från 53,4 % till 47,9 % för den okonsoliderade statsskulden enligt Rik</w:t>
      </w:r>
      <w:r w:rsidRPr="006C40C1">
        <w:t>s</w:t>
      </w:r>
      <w:r w:rsidRPr="006C40C1">
        <w:t>gäldskontorets definition.</w:t>
      </w:r>
    </w:p>
    <w:p w:rsidR="00AA5D77" w:rsidRPr="006C40C1" w:rsidRDefault="00AA5D77">
      <w:pPr>
        <w:pStyle w:val="Normaltindrag"/>
      </w:pPr>
    </w:p>
    <w:p w:rsidR="00AA5D77" w:rsidRPr="006C40C1" w:rsidRDefault="00AA5D77">
      <w:pPr>
        <w:pStyle w:val="Rubrik2"/>
        <w:jc w:val="both"/>
      </w:pPr>
      <w:bookmarkStart w:id="225" w:name="_Toc466179188"/>
      <w:bookmarkStart w:id="226" w:name="_Toc466882366"/>
      <w:bookmarkStart w:id="227" w:name="_Toc483980071"/>
      <w:bookmarkStart w:id="228" w:name="_Toc484933793"/>
      <w:bookmarkStart w:id="229" w:name="_Toc515712998"/>
      <w:bookmarkStart w:id="230" w:name="_Toc516364763"/>
      <w:bookmarkStart w:id="231" w:name="_Toc529669152"/>
      <w:bookmarkStart w:id="232" w:name="_Toc530479422"/>
      <w:bookmarkStart w:id="233" w:name="_Toc25408026"/>
      <w:bookmarkStart w:id="234" w:name="_Toc26191453"/>
      <w:r w:rsidRPr="006C40C1">
        <w:t xml:space="preserve">2.3 Mål för </w:t>
      </w:r>
      <w:bookmarkEnd w:id="225"/>
      <w:bookmarkEnd w:id="226"/>
      <w:bookmarkEnd w:id="227"/>
      <w:bookmarkEnd w:id="228"/>
      <w:bookmarkEnd w:id="229"/>
      <w:bookmarkEnd w:id="230"/>
      <w:bookmarkEnd w:id="231"/>
      <w:bookmarkEnd w:id="232"/>
      <w:r w:rsidRPr="006C40C1">
        <w:t>budgetpolitiken</w:t>
      </w:r>
      <w:bookmarkEnd w:id="233"/>
      <w:bookmarkEnd w:id="234"/>
    </w:p>
    <w:p w:rsidR="00AA5D77" w:rsidRPr="006C40C1" w:rsidRDefault="00AA5D77">
      <w:pPr>
        <w:pStyle w:val="Utskottsfrslagikorthet-Rubrik"/>
        <w:jc w:val="both"/>
        <w:outlineLvl w:val="0"/>
        <w:rPr>
          <w:noProof w:val="0"/>
        </w:rPr>
      </w:pPr>
      <w:r w:rsidRPr="006C40C1">
        <w:rPr>
          <w:noProof w:val="0"/>
        </w:rPr>
        <w:t>Utskottets förslag i korthet</w:t>
      </w:r>
    </w:p>
    <w:p w:rsidR="00AA5D77" w:rsidRPr="006C40C1" w:rsidRDefault="00AA5D77">
      <w:pPr>
        <w:pStyle w:val="Utskottsfrslagikorthet-Text"/>
      </w:pPr>
      <w:r w:rsidRPr="006C40C1">
        <w:t>Det tidigare fastlagda målet för sparandet i den offentliga sektorn på i genomsnitt 2 % av BNP sett över en konjunkturcykel bör ligga fast. Några nya mål i form av en lägre offentlig skuldkvot bör inte införas.</w:t>
      </w:r>
    </w:p>
    <w:p w:rsidR="00AA5D77" w:rsidRPr="006C40C1" w:rsidRDefault="00AA5D77">
      <w:pPr>
        <w:pStyle w:val="Utskottsfrslagikorthet-Text"/>
      </w:pPr>
      <w:r w:rsidRPr="006C40C1">
        <w:t xml:space="preserve">  De i sammanhanget väckta motionerna avstyrks.</w:t>
      </w:r>
    </w:p>
    <w:p w:rsidR="00AA5D77" w:rsidRPr="006C40C1" w:rsidRDefault="00AA5D77">
      <w:pPr>
        <w:pStyle w:val="Utskottsfrslagikorthet-Text"/>
      </w:pPr>
      <w:r w:rsidRPr="006C40C1">
        <w:t xml:space="preserve">  Jämför reservationerna 4 (m), 5 (kd) och 6 (c).</w:t>
      </w:r>
    </w:p>
    <w:p w:rsidR="00AA5D77" w:rsidRPr="006C40C1" w:rsidRDefault="00AA5D77">
      <w:pPr>
        <w:spacing w:before="240"/>
      </w:pPr>
      <w:r w:rsidRPr="006C40C1">
        <w:t>Riksdagen har lagt fast ett långsiktigt mål för finanspolitiken som innebär att de offentliga finanserna ska uppvisa ett överskott på i genomsnitt 2 % av BNP sett över en konjunkturcykel. Eftersom BNP för närvarande uppgår till 2 240 miljarder kronor innebär detta mål uttryckt i nominella termer att de samlade inkomsterna för staten, kommunerna och ålderspensionssystemet sedda som grupp ska överstiga utgifterna med i genomsnitt inte fullt 50 miljarder kronor per år under en fem till sju år lång period. Öve</w:t>
      </w:r>
      <w:r w:rsidRPr="006C40C1">
        <w:t xml:space="preserve">rskottet kan ett visst år vara högre eller lägre, men för perioden som helhet ska det motsvara 2 % av BNP. </w:t>
      </w:r>
    </w:p>
    <w:p w:rsidR="00AA5D77" w:rsidRPr="006C40C1" w:rsidRDefault="00AA5D77">
      <w:pPr>
        <w:pStyle w:val="Normaltindrag"/>
      </w:pPr>
      <w:r w:rsidRPr="006C40C1">
        <w:t>Som delmål gäller sedan tidigare att överskottet tills vidare ska motsvara 2,0 % under vart och ett av åren 2002, 2003 och 2004.</w:t>
      </w:r>
    </w:p>
    <w:p w:rsidR="00AA5D77" w:rsidRPr="006C40C1" w:rsidRDefault="00AA5D77">
      <w:pPr>
        <w:pStyle w:val="Normaltindrag"/>
      </w:pPr>
      <w:r w:rsidRPr="006C40C1">
        <w:t>De som mål angivna överskotten ska användas för att öka den offentliga nettoförmögenh</w:t>
      </w:r>
      <w:r w:rsidRPr="006C40C1">
        <w:t>e</w:t>
      </w:r>
      <w:r w:rsidRPr="006C40C1">
        <w:t>ten.</w:t>
      </w:r>
    </w:p>
    <w:p w:rsidR="00AA5D77" w:rsidRPr="006C40C1" w:rsidRDefault="00AA5D77">
      <w:pPr>
        <w:pStyle w:val="Normaltindrag"/>
      </w:pPr>
      <w:r w:rsidRPr="006C40C1">
        <w:t>Riksdagen har varje år också lagt fast ett utgiftstak för de närmaste tre åren, vilket sätter en gräns för hur stora utgifter som staten kan dra på sig. Utgiftstaket omfattar dels de egentliga utgifterna på statsbudgeten exklusive statsskuldsräntorna, dels utgifterna för ålderspensionssystemet vid sidan av statsbudgeten. Utgiftstaket fastställs alltid med viss marginal, och skillnaden mellan de takbegränsade utgifterna och utgiftstaket benämns budgetering</w:t>
      </w:r>
      <w:r w:rsidRPr="006C40C1">
        <w:t>s</w:t>
      </w:r>
      <w:r w:rsidRPr="006C40C1">
        <w:t>marginalen. Om belastningen på de takbegränsade utgifterna ökar kommer budgeteringsmarginalen att minska, och i princip försvagas då också budge</w:t>
      </w:r>
      <w:r w:rsidRPr="006C40C1">
        <w:t>t</w:t>
      </w:r>
      <w:r w:rsidRPr="006C40C1">
        <w:t>saldot eller saldot för ålderspensionssystemet med ett lika stort b</w:t>
      </w:r>
      <w:r w:rsidRPr="006C40C1">
        <w:t>e</w:t>
      </w:r>
      <w:r w:rsidRPr="006C40C1">
        <w:t>lopp.</w:t>
      </w:r>
    </w:p>
    <w:p w:rsidR="00AA5D77" w:rsidRPr="006C40C1" w:rsidRDefault="00AA5D77">
      <w:pPr>
        <w:pStyle w:val="Normaltindrag"/>
      </w:pPr>
      <w:r w:rsidRPr="006C40C1">
        <w:t>Enligt tidigare riksdagsbeslut ska utgiftstaket för staten uppgå till 809 miljarder kronor 2002 samt till 844 respektive 878 miljarder kronor för de därpå följande åren.</w:t>
      </w:r>
    </w:p>
    <w:p w:rsidR="00AA5D77" w:rsidRPr="006C40C1" w:rsidRDefault="00AA5D77">
      <w:pPr>
        <w:pStyle w:val="R4"/>
        <w:jc w:val="both"/>
      </w:pPr>
      <w:r w:rsidRPr="006C40C1">
        <w:t>Budgetpropositionen</w:t>
      </w:r>
    </w:p>
    <w:p w:rsidR="00AA5D77" w:rsidRPr="006C40C1" w:rsidRDefault="00AA5D77">
      <w:r w:rsidRPr="006C40C1">
        <w:t>Regeringen framhåller att överskottet i den offentliga sektorns finanser är av central betydelse. Den demografiska utvecklingen kommer att ställa ökade resurskrav på den offentliga sektorn, främst efter 2010. Med ett överskott på 2 % av BNP ökar den offentliga nettoförmögenheten, vilket förbättrar möjli</w:t>
      </w:r>
      <w:r w:rsidRPr="006C40C1">
        <w:t>g</w:t>
      </w:r>
      <w:r w:rsidRPr="006C40C1">
        <w:t>heten att möta sådana krav.</w:t>
      </w:r>
    </w:p>
    <w:p w:rsidR="00AA5D77" w:rsidRPr="006C40C1" w:rsidRDefault="00AA5D77">
      <w:pPr>
        <w:pStyle w:val="Normaltindrag"/>
      </w:pPr>
      <w:r w:rsidRPr="006C40C1">
        <w:t>I förra årets budgetproposition ansåg regeringen att riksdagens tidigare, preliminärt beslutade delmål för 2002 på 2,0 % av BNP skulle behållas. De</w:t>
      </w:r>
      <w:r w:rsidRPr="006C40C1">
        <w:t>n</w:t>
      </w:r>
      <w:r w:rsidRPr="006C40C1">
        <w:t>na nivå skulle enligt regeringen stimulera ekonomin utan att leda till öve</w:t>
      </w:r>
      <w:r w:rsidRPr="006C40C1">
        <w:t>r</w:t>
      </w:r>
      <w:r w:rsidRPr="006C40C1">
        <w:t>hettning. Den skulle också göra det möjligt att föra en långsiktigt hållbar finanspolitik. Samtidigt framhöll regeringen att även ett lägre överskott skulle a</w:t>
      </w:r>
      <w:r w:rsidRPr="006C40C1">
        <w:t>c</w:t>
      </w:r>
      <w:r w:rsidRPr="006C40C1">
        <w:t>cepteras om konjunkturen utvecklades sämre än väntat.</w:t>
      </w:r>
    </w:p>
    <w:p w:rsidR="00AA5D77" w:rsidRPr="006C40C1" w:rsidRDefault="00AA5D77">
      <w:pPr>
        <w:pStyle w:val="Normaltindrag"/>
      </w:pPr>
      <w:r w:rsidRPr="006C40C1">
        <w:t>För att bedöma om överskottens nivå för enskilda år är förenliga med det medelfristiga målet analyserar regeringen överskottens strukturella nivå. Vid beräkningen av det strukturella sparandet justeras det faktiska sparande</w:t>
      </w:r>
      <w:r w:rsidRPr="006C40C1">
        <w:t xml:space="preserve">t för periodiseringseffekter i skatteuppbörden, skattade effekter av konjunkturläget samt andra tillfälliga inkomster och utgifter. </w:t>
      </w:r>
    </w:p>
    <w:p w:rsidR="00AA5D77" w:rsidRPr="006C40C1" w:rsidRDefault="00AA5D77">
      <w:pPr>
        <w:pStyle w:val="Normaltindrag"/>
      </w:pPr>
      <w:r w:rsidRPr="006C40C1">
        <w:t>Utvecklingen i de offentliga finanserna, uttryckt bl.a. som strukturellt sparande, framgår av följande sammanställning.</w:t>
      </w:r>
    </w:p>
    <w:p w:rsidR="00AA5D77" w:rsidRPr="006C40C1" w:rsidRDefault="00AA5D77">
      <w:pPr>
        <w:keepNext/>
        <w:spacing w:before="360" w:line="170" w:lineRule="exact"/>
        <w:rPr>
          <w:b/>
          <w:sz w:val="17"/>
        </w:rPr>
      </w:pPr>
      <w:r w:rsidRPr="006C40C1">
        <w:rPr>
          <w:b/>
          <w:sz w:val="17"/>
        </w:rPr>
        <w:t>Tabell 11. Finansiellt sparande i den offentliga sektorn 2000–2004</w:t>
      </w:r>
    </w:p>
    <w:p w:rsidR="00AA5D77" w:rsidRPr="006C40C1" w:rsidRDefault="00AA5D77">
      <w:pPr>
        <w:pStyle w:val="Tabelltext"/>
        <w:keepNext/>
        <w:keepLines/>
        <w:rPr>
          <w:sz w:val="14"/>
        </w:rPr>
      </w:pPr>
      <w:r w:rsidRPr="006C40C1">
        <w:rPr>
          <w:sz w:val="14"/>
        </w:rPr>
        <w:t>Beräknade, målsatta respektive strukturella överskott</w:t>
      </w:r>
    </w:p>
    <w:p w:rsidR="00AA5D77" w:rsidRPr="006C40C1" w:rsidRDefault="006C40C1">
      <w:pPr>
        <w:keepNext/>
        <w:spacing w:before="0" w:line="240" w:lineRule="auto"/>
      </w:pPr>
      <w:r w:rsidRPr="006C40C1">
        <w:rPr>
          <w:noProof/>
        </w:rPr>
        <w:drawing>
          <wp:inline distT="0" distB="0" distL="0" distR="0">
            <wp:extent cx="3723005" cy="195389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723005" cy="1953895"/>
                    </a:xfrm>
                    <a:prstGeom prst="rect">
                      <a:avLst/>
                    </a:prstGeom>
                    <a:noFill/>
                    <a:ln>
                      <a:noFill/>
                    </a:ln>
                  </pic:spPr>
                </pic:pic>
              </a:graphicData>
            </a:graphic>
          </wp:inline>
        </w:drawing>
      </w:r>
    </w:p>
    <w:p w:rsidR="00AA5D77" w:rsidRPr="006C40C1" w:rsidRDefault="00AA5D77">
      <w:pPr>
        <w:spacing w:before="0"/>
        <w:rPr>
          <w:sz w:val="14"/>
        </w:rPr>
      </w:pPr>
      <w:r w:rsidRPr="006C40C1">
        <w:rPr>
          <w:sz w:val="14"/>
          <w:vertAlign w:val="superscript"/>
        </w:rPr>
        <w:t>1</w:t>
      </w:r>
      <w:r w:rsidRPr="006C40C1">
        <w:rPr>
          <w:sz w:val="14"/>
        </w:rPr>
        <w:t>Justering för BNP-gap enligt Finansdepartementets definition</w:t>
      </w:r>
    </w:p>
    <w:p w:rsidR="00AA5D77" w:rsidRPr="006C40C1" w:rsidRDefault="00AA5D77">
      <w:r w:rsidRPr="006C40C1">
        <w:t xml:space="preserve">Regeringen räknar i årets budgetproposition med en något svagare tillväxt, och BNP-tillväxten för 2002 har justerats ned från 2,4 till 2,1 %. Överskottet i den offentliga sektorns finanser beräknas nu uppgå till 1,7 % av BNP 2002, vilket är lägre än det uppställda genomsnittsmålet. </w:t>
      </w:r>
    </w:p>
    <w:p w:rsidR="00AA5D77" w:rsidRPr="006C40C1" w:rsidRDefault="00AA5D77">
      <w:pPr>
        <w:pStyle w:val="Normaltindrag"/>
      </w:pPr>
      <w:r w:rsidRPr="006C40C1">
        <w:t>Som framgår av ovanstående tabell minskar under perioden 2000–2004 det strukturella sparandet från 4,0 % till 1,8 % av BNP. Denna utveckling är enligt regeringen förenlig med målet om ett överskott på i genomsnitt 2 % av BNP sett över en konjunkturcykel. Samtidigt framhåller regeringen att målet för den offentliga sektorns finansiella sparande är hotat om inte nuvarande kostnadsökning för sjukpe</w:t>
      </w:r>
      <w:r w:rsidRPr="006C40C1">
        <w:t>n</w:t>
      </w:r>
      <w:r w:rsidRPr="006C40C1">
        <w:t>ning och förtidspension bryts.</w:t>
      </w:r>
    </w:p>
    <w:p w:rsidR="00AA5D77" w:rsidRPr="006C40C1" w:rsidRDefault="00AA5D77">
      <w:r w:rsidRPr="006C40C1">
        <w:t>Regeringen föreslår att tidigare fastställda utgiftstak för staten inklusive å</w:t>
      </w:r>
      <w:r w:rsidRPr="006C40C1">
        <w:t>l</w:t>
      </w:r>
      <w:r w:rsidRPr="006C40C1">
        <w:t>derspensionssystemet ska ligga fast men att de tekniskt ska justeras med hänsyn till vissa förslag i propositionen. De föreslagna nya nivåerna på u</w:t>
      </w:r>
      <w:r w:rsidRPr="006C40C1">
        <w:t>t</w:t>
      </w:r>
      <w:r w:rsidRPr="006C40C1">
        <w:t>giftstaket under åren 2002–2004 blir därmed 812, 818 respektive 852 milja</w:t>
      </w:r>
      <w:r w:rsidRPr="006C40C1">
        <w:t>r</w:t>
      </w:r>
      <w:r w:rsidRPr="006C40C1">
        <w:t>der kronor.</w:t>
      </w:r>
    </w:p>
    <w:p w:rsidR="00AA5D77" w:rsidRPr="006C40C1" w:rsidRDefault="00AA5D77">
      <w:pPr>
        <w:pStyle w:val="Normaltindrag"/>
      </w:pPr>
      <w:r w:rsidRPr="006C40C1">
        <w:t>Enligt fastlagd ordning skulle regeringen i budgetpropositionen ha redov</w:t>
      </w:r>
      <w:r w:rsidRPr="006C40C1">
        <w:t>i</w:t>
      </w:r>
      <w:r w:rsidRPr="006C40C1">
        <w:t>sat ett förslag till utgiftstak och saldomål för 2005. Av propositionen framgår emellertid att riksdagsvalet har inneburit att beredningstiden för att ta stäl</w:t>
      </w:r>
      <w:r w:rsidRPr="006C40C1">
        <w:t>l</w:t>
      </w:r>
      <w:r w:rsidRPr="006C40C1">
        <w:t>ning till den långsiktiga budgetpolitiken varit otillräcklig. Regeringen har därför för avsikt att i 2003 års ekonomiska vårproposition i avsnittet om rik</w:t>
      </w:r>
      <w:r w:rsidRPr="006C40C1">
        <w:t>t</w:t>
      </w:r>
      <w:r w:rsidRPr="006C40C1">
        <w:t>linjer för budgetpolitiken redovisa sin bedömning av lämpligt utgiftstak och saldomål för såväl 2005 som 2006. Förslag om dessa utgiftstak och saldomål tas sedan in i budgetpropositionen för 2004 f</w:t>
      </w:r>
      <w:r w:rsidRPr="006C40C1">
        <w:t>ör riksdagens ställningstagande.</w:t>
      </w:r>
    </w:p>
    <w:p w:rsidR="00AA5D77" w:rsidRPr="006C40C1" w:rsidRDefault="00AA5D77">
      <w:pPr>
        <w:pStyle w:val="R4"/>
        <w:jc w:val="both"/>
      </w:pPr>
      <w:r w:rsidRPr="006C40C1">
        <w:t>Motionerna</w:t>
      </w:r>
    </w:p>
    <w:p w:rsidR="00AA5D77" w:rsidRPr="006C40C1" w:rsidRDefault="00AA5D77">
      <w:r w:rsidRPr="006C40C1">
        <w:rPr>
          <w:i/>
        </w:rPr>
        <w:t>Moderata samlingspartiet</w:t>
      </w:r>
      <w:r w:rsidRPr="006C40C1">
        <w:t xml:space="preserve"> redovisar i </w:t>
      </w:r>
      <w:r w:rsidRPr="006C40C1">
        <w:rPr>
          <w:i/>
        </w:rPr>
        <w:t>motion Fi231</w:t>
      </w:r>
      <w:r w:rsidRPr="006C40C1">
        <w:t xml:space="preserve"> två långsiktiga mål för sin finanspolitik – de offentliga finanserna ska vara i balans över en konjunktu</w:t>
      </w:r>
      <w:r w:rsidRPr="006C40C1">
        <w:t>r</w:t>
      </w:r>
      <w:r w:rsidRPr="006C40C1">
        <w:t xml:space="preserve">cykel och den konsoliderade offentliga bruttoskulden ska understiga 40 % av BNP. </w:t>
      </w:r>
    </w:p>
    <w:p w:rsidR="00AA5D77" w:rsidRPr="006C40C1" w:rsidRDefault="00AA5D77">
      <w:pPr>
        <w:pStyle w:val="Normaltindrag"/>
      </w:pPr>
      <w:r w:rsidRPr="006C40C1">
        <w:t>För att påskynda minskningen av skuldkvoten gör emellertid motionärerna avkall på sitt långsiktiga balansmål och utformar ett budgetalternativ som ger ett överskott i den offentliga sektorns finanser av ungefär samma omfattning som regeringens. Enligt de i motionen redovisade beräkningarna väntas d</w:t>
      </w:r>
      <w:r w:rsidRPr="006C40C1">
        <w:t>et moderata budgetförslaget leda till att bruttoskulden minskar till 46,7 % av BNP 2004, att jämföra med den i budgetpropositionen angivna nivån på 49,3 % (yrkande 8).</w:t>
      </w:r>
    </w:p>
    <w:p w:rsidR="00AA5D77" w:rsidRPr="006C40C1" w:rsidRDefault="00AA5D77">
      <w:pPr>
        <w:pStyle w:val="Normaltindrag"/>
        <w:rPr>
          <w:color w:val="000000"/>
        </w:rPr>
      </w:pPr>
      <w:r w:rsidRPr="006C40C1">
        <w:rPr>
          <w:color w:val="000000"/>
        </w:rPr>
        <w:t>Moderata samlingspartiet föreslår att utgiftstaket för staten bör fastställas till nivåer som för de båda efterföljande åren överstiger regeringens förslag med 45 respektive 31 miljarder kronor.</w:t>
      </w:r>
    </w:p>
    <w:p w:rsidR="00AA5D77" w:rsidRPr="006C40C1" w:rsidRDefault="00AA5D77">
      <w:r w:rsidRPr="006C40C1">
        <w:rPr>
          <w:i/>
        </w:rPr>
        <w:t>Folkpartiet liberalerna</w:t>
      </w:r>
      <w:r w:rsidRPr="006C40C1">
        <w:t xml:space="preserve"> tar i </w:t>
      </w:r>
      <w:r w:rsidRPr="006C40C1">
        <w:rPr>
          <w:i/>
        </w:rPr>
        <w:t>motion Fi232</w:t>
      </w:r>
      <w:r w:rsidRPr="006C40C1">
        <w:t xml:space="preserve"> upp en diskussion om vilka krav som bör ställas på den offentliga sektorns sparande. Det görs utan att man motsätter sig regeringens nuvarande saldomål. Motionärerna anser emellertid att frågan om kravet på det offentliga sparandet bör tas upp till förnyad debatt och analys, inte minst i ljuset av de förändrade villkor som ett svenskt delt</w:t>
      </w:r>
      <w:r w:rsidRPr="006C40C1">
        <w:t>a</w:t>
      </w:r>
      <w:r w:rsidRPr="006C40C1">
        <w:t>gande i eurosamarbetet kommer att föra med sig. Något konkret yrkande av denna innebörd förs inte fram. Motionärerna vill först avvakta den pågående r</w:t>
      </w:r>
      <w:r w:rsidRPr="006C40C1">
        <w:t>e</w:t>
      </w:r>
      <w:r w:rsidRPr="006C40C1">
        <w:t>missomgången av den nya EMU-utredningen (SOU 2002:16).</w:t>
      </w:r>
    </w:p>
    <w:p w:rsidR="00AA5D77" w:rsidRPr="006C40C1" w:rsidRDefault="00AA5D77">
      <w:pPr>
        <w:pStyle w:val="Normaltindrag"/>
      </w:pPr>
      <w:r w:rsidRPr="006C40C1">
        <w:t>Folkpartiets förslag till utgiftstak understiger för de båda närmaste åren r</w:t>
      </w:r>
      <w:r w:rsidRPr="006C40C1">
        <w:t>e</w:t>
      </w:r>
      <w:r w:rsidRPr="006C40C1">
        <w:t>geringens med 5 respektive 6 miljarder kronor.</w:t>
      </w:r>
    </w:p>
    <w:p w:rsidR="00AA5D77" w:rsidRPr="006C40C1" w:rsidRDefault="00AA5D77">
      <w:r w:rsidRPr="006C40C1">
        <w:rPr>
          <w:i/>
        </w:rPr>
        <w:t>Kristdemokraterna</w:t>
      </w:r>
      <w:r w:rsidRPr="006C40C1">
        <w:t xml:space="preserve"> anser i </w:t>
      </w:r>
      <w:r w:rsidRPr="006C40C1">
        <w:rPr>
          <w:i/>
        </w:rPr>
        <w:t>motion Fi233</w:t>
      </w:r>
      <w:r w:rsidRPr="006C40C1">
        <w:t xml:space="preserve"> att regeringens förslag till budgetp</w:t>
      </w:r>
      <w:r w:rsidRPr="006C40C1">
        <w:t>o</w:t>
      </w:r>
      <w:r w:rsidRPr="006C40C1">
        <w:t>litiskt överskottsmål för de offentliga finanserna bör kompletteras och senare eventuellt ersättas med ett mål om balans i statens finansiella sparande. R</w:t>
      </w:r>
      <w:r w:rsidRPr="006C40C1">
        <w:t>e</w:t>
      </w:r>
      <w:r w:rsidRPr="006C40C1">
        <w:t>geringen bör återkomma till riksdagen med förslag om ett sådant komplett</w:t>
      </w:r>
      <w:r w:rsidRPr="006C40C1">
        <w:t>e</w:t>
      </w:r>
      <w:r w:rsidRPr="006C40C1">
        <w:t>rande budgetmål om balans i statens finansiella sparande över en konjunktu</w:t>
      </w:r>
      <w:r w:rsidRPr="006C40C1">
        <w:t>r</w:t>
      </w:r>
      <w:r w:rsidRPr="006C40C1">
        <w:t>cykel och då också ange i vilken takt det kan fasas in. Detta förslag läggs dock inte fram som ett formellt yrkande utan motionärerna nöjer sig med at</w:t>
      </w:r>
      <w:r w:rsidRPr="006C40C1">
        <w:t xml:space="preserve">t aktualisera frågan i motionens motivtext. </w:t>
      </w:r>
    </w:p>
    <w:p w:rsidR="00AA5D77" w:rsidRPr="006C40C1" w:rsidRDefault="00AA5D77">
      <w:pPr>
        <w:pStyle w:val="Normaltindrag"/>
      </w:pPr>
      <w:r w:rsidRPr="006C40C1">
        <w:t>Däremot yrkar motionärerna på att regeringen ska redovisa ett förslag till en långsiktig inkomst- och utgiftsstrategi (yrkande 10). Motionärerna erinrar om att den förre finansministern Erik Åsbrink tog initiativ till att utforma en sådan strategi men aldrig gavs tillfälle att slutföra detta arbete. En sådan str</w:t>
      </w:r>
      <w:r w:rsidRPr="006C40C1">
        <w:t>a</w:t>
      </w:r>
      <w:r w:rsidRPr="006C40C1">
        <w:t>tegi behövs enligt deras mening om Sverige ska klara den dubbla utmaning som följer av en ökad internationalisering med dess krav på ett sänkt skatt</w:t>
      </w:r>
      <w:r w:rsidRPr="006C40C1">
        <w:t>e</w:t>
      </w:r>
      <w:r w:rsidRPr="006C40C1">
        <w:t>tryck och den kommande demografiska utvecklingen mot fler äldre som snarare ställer krav på motsatsen.</w:t>
      </w:r>
    </w:p>
    <w:p w:rsidR="00AA5D77" w:rsidRPr="006C40C1" w:rsidRDefault="00AA5D77">
      <w:pPr>
        <w:pStyle w:val="Normaltindrag"/>
      </w:pPr>
      <w:r w:rsidRPr="006C40C1">
        <w:t>Kristdemokraternas förslag till utgiftstak för 2003 och 2004 understiger reg</w:t>
      </w:r>
      <w:r w:rsidRPr="006C40C1">
        <w:t>e</w:t>
      </w:r>
      <w:r w:rsidRPr="006C40C1">
        <w:t>ringens med 4 respektive 11 miljarder kronor.</w:t>
      </w:r>
    </w:p>
    <w:p w:rsidR="00AA5D77" w:rsidRPr="006C40C1" w:rsidRDefault="00AA5D77">
      <w:r w:rsidRPr="006C40C1">
        <w:rPr>
          <w:i/>
        </w:rPr>
        <w:t>Centerpartiet</w:t>
      </w:r>
      <w:r w:rsidRPr="006C40C1">
        <w:t xml:space="preserve"> har i </w:t>
      </w:r>
      <w:r w:rsidRPr="006C40C1">
        <w:rPr>
          <w:i/>
        </w:rPr>
        <w:t>motion Fi234</w:t>
      </w:r>
      <w:r w:rsidRPr="006C40C1">
        <w:t xml:space="preserve"> respekt för att regeringens överskottsmål inte kommer att nås 2003 och 2004 men anser att regeringen inte anstränger sig tillräckligt för att minimera avvikelsen.</w:t>
      </w:r>
    </w:p>
    <w:p w:rsidR="00AA5D77" w:rsidRPr="006C40C1" w:rsidRDefault="00AA5D77">
      <w:pPr>
        <w:pStyle w:val="Normaltindrag"/>
      </w:pPr>
      <w:r w:rsidRPr="006C40C1">
        <w:t>Enligt motionärerna är det på sikt oroväckande att den offentliga sektorns överskott helt bärs upp av pensionssparandet medan statens finanser går med underskott i stort sett samtliga år. Rensar man de statliga finanserna från engångseffekter, har de varit i balans endast något enstaka år under den s</w:t>
      </w:r>
      <w:r w:rsidRPr="006C40C1">
        <w:t>e</w:t>
      </w:r>
      <w:r w:rsidRPr="006C40C1">
        <w:t>naste perioden. Förfarandet beskrivs i motionen som att man döljer underskott i driften med ett överskott som är fond</w:t>
      </w:r>
      <w:r w:rsidRPr="006C40C1">
        <w:t>e</w:t>
      </w:r>
      <w:r w:rsidRPr="006C40C1">
        <w:t xml:space="preserve">rat för framtida pensioner. </w:t>
      </w:r>
    </w:p>
    <w:p w:rsidR="00AA5D77" w:rsidRPr="006C40C1" w:rsidRDefault="00AA5D77">
      <w:pPr>
        <w:pStyle w:val="Normaltindrag"/>
      </w:pPr>
      <w:r w:rsidRPr="006C40C1">
        <w:t>En sund ekonomisk politik måste innebära att också statsbudgeten är i b</w:t>
      </w:r>
      <w:r w:rsidRPr="006C40C1">
        <w:t>a</w:t>
      </w:r>
      <w:r w:rsidRPr="006C40C1">
        <w:t>lans i ett medellångt perspektiv. Staten ställer i dag upp balanskrav på ko</w:t>
      </w:r>
      <w:r w:rsidRPr="006C40C1">
        <w:t>m</w:t>
      </w:r>
      <w:r w:rsidRPr="006C40C1">
        <w:t>muner och landsting över en treårsperiod, påpekar motionärerna, som finner det orimligt att staten då inte själv föregår med gott exempel.</w:t>
      </w:r>
    </w:p>
    <w:p w:rsidR="00AA5D77" w:rsidRPr="006C40C1" w:rsidRDefault="00AA5D77">
      <w:pPr>
        <w:pStyle w:val="Normaltindrag"/>
      </w:pPr>
      <w:r w:rsidRPr="006C40C1">
        <w:t>Motionärerna föreslår att budgetlagen kompletteras med en bestämmelse om att statens finanser bör vara i strukturell balans sett över en konjunkturc</w:t>
      </w:r>
      <w:r w:rsidRPr="006C40C1">
        <w:t>y</w:t>
      </w:r>
      <w:r w:rsidRPr="006C40C1">
        <w:t>kel. Enligt förslaget bör regeringen låta utreda hur detta bäst kan uppnås (yrkande 4).</w:t>
      </w:r>
    </w:p>
    <w:p w:rsidR="00AA5D77" w:rsidRPr="006C40C1" w:rsidRDefault="00AA5D77">
      <w:pPr>
        <w:pStyle w:val="Normaltindrag"/>
      </w:pPr>
      <w:r w:rsidRPr="006C40C1">
        <w:t>I motionen föreslås också att riksdagen ska göra ett tillkännagivande om att regeringen framgent bör presentera förslag till utgiftstak och preliminär fördelning på utgiftsområden för tre år (yrkande 5). Motionärerna är kritiska till att regeringen i budgetpropositionen frångått praxis och inte redovisat något förslag till utgiftstak för 2005 trots att detta utlovades i 2002 års vå</w:t>
      </w:r>
      <w:r w:rsidRPr="006C40C1">
        <w:t>r</w:t>
      </w:r>
      <w:r w:rsidRPr="006C40C1">
        <w:t>proposition.</w:t>
      </w:r>
    </w:p>
    <w:p w:rsidR="00AA5D77" w:rsidRPr="006C40C1" w:rsidRDefault="00AA5D77">
      <w:pPr>
        <w:pStyle w:val="Normaltindrag"/>
      </w:pPr>
      <w:r w:rsidRPr="006C40C1">
        <w:t>Centerpartiets förslag till utgiftstak för 2003 och 2004 understiger rege</w:t>
      </w:r>
      <w:r w:rsidRPr="006C40C1">
        <w:t>r</w:t>
      </w:r>
      <w:r w:rsidRPr="006C40C1">
        <w:t>ingens förslag med 34 respektive 37 miljarder kronor.</w:t>
      </w:r>
    </w:p>
    <w:p w:rsidR="00AA5D77" w:rsidRPr="006C40C1" w:rsidRDefault="00AA5D77">
      <w:pPr>
        <w:pStyle w:val="R4"/>
        <w:jc w:val="both"/>
      </w:pPr>
      <w:r w:rsidRPr="006C40C1">
        <w:t>Finansutskottets ställningstagande</w:t>
      </w:r>
    </w:p>
    <w:p w:rsidR="00AA5D77" w:rsidRPr="006C40C1" w:rsidRDefault="00AA5D77">
      <w:r w:rsidRPr="006C40C1">
        <w:t>Budgetpolitiken har under senare år inriktats mot ett antal fleråriga mål, som har det gemensamt att de är tydliga och lätta att i efterhand avläsa. Fram till i år har uppställda mål överträffats med bred marginal. Överskottet i de offen</w:t>
      </w:r>
      <w:r w:rsidRPr="006C40C1">
        <w:t>t</w:t>
      </w:r>
      <w:r w:rsidRPr="006C40C1">
        <w:t>liga finanserna kulminerade 2001 och motsvarade då 4,8 % av BNP, vilket var klart över målet på 2,5 %. I år och under de båda efterföljande åren föru</w:t>
      </w:r>
      <w:r w:rsidRPr="006C40C1">
        <w:t>t</w:t>
      </w:r>
      <w:r w:rsidRPr="006C40C1">
        <w:t>ses en svagare utveckling och de för respektive år uppställda delmålen ko</w:t>
      </w:r>
      <w:r w:rsidRPr="006C40C1">
        <w:t>m</w:t>
      </w:r>
      <w:r w:rsidRPr="006C40C1">
        <w:t>mer enligt budgetpropositionen inte att uppnås. Det strukturella överskottet – dvs. det faktiska överskottet justerat för periodiseringseffekter, engångse</w:t>
      </w:r>
      <w:r w:rsidRPr="006C40C1">
        <w:t>f</w:t>
      </w:r>
      <w:r w:rsidRPr="006C40C1">
        <w:t>fekter samt skattade effekter av konjunkturläget – ligger dock i linje med det uppställda målet om ett överskott motsvarande i genom</w:t>
      </w:r>
      <w:r w:rsidRPr="006C40C1">
        <w:t>snitt 2 % av BNP under en konjunkturcykel.</w:t>
      </w:r>
    </w:p>
    <w:p w:rsidR="00AA5D77" w:rsidRPr="006C40C1" w:rsidRDefault="00AA5D77">
      <w:r w:rsidRPr="006C40C1">
        <w:t xml:space="preserve">Moderata samlingspartiet föreslår att riksdagen ska fastställa som mål dels att den offentliga sektorns finanser ska vara i balans över en konjunkturcykel, dels att den konsoliderade offentliga bruttoskulden ska understiga 40 % av BNP. </w:t>
      </w:r>
    </w:p>
    <w:p w:rsidR="00AA5D77" w:rsidRPr="006C40C1" w:rsidRDefault="00AA5D77">
      <w:pPr>
        <w:pStyle w:val="Normaltindrag"/>
      </w:pPr>
      <w:r w:rsidRPr="006C40C1">
        <w:t>Finansutskottet vill i anslutning till detta framhålla följande. EMU-utredningen (SOU 2002:16) har tidigare i år förordat att det nuvarande överskottsmålet höjs till 2,5 alternativt 3 % av BNP. Detta för att vi vid ett eventuellt EMU-medlemskap ska stå bättre rustade att möta stora negativa störningar i ett läge då penningpolitiken inte längre kan utnyttjas på samma sätt som tidigare. Liknande förslag har framförts även från annat håll. Medan diskussionen i andra sammanhang alltså snarare går i motsatt rik</w:t>
      </w:r>
      <w:r w:rsidRPr="006C40C1">
        <w:t>tning håller Moderata samlingspartiet fast vid sitt flera gånger tidigare framförda krav på att de offentliga finanserna ska vara i balans över en konjunkturcykel. Men motionärerna tycks själva inte riktigt tro på sitt förslag. För trots sitt långsi</w:t>
      </w:r>
      <w:r w:rsidRPr="006C40C1">
        <w:t>k</w:t>
      </w:r>
      <w:r w:rsidRPr="006C40C1">
        <w:t>tiga mål och trots de nu svagare konjunkturbetingelserna redovisar man ett budgetalternativ som är lika stramt som regeringens. Motionärerna ursäktar sig med att man snabbare vill få ned bruttoskulden till 40 % av BNP och därför budgeterar för ett överskott i de</w:t>
      </w:r>
      <w:r w:rsidRPr="006C40C1">
        <w:t>n offentliga sektorns finanser som är ungefär lika stort som regeringens.</w:t>
      </w:r>
    </w:p>
    <w:p w:rsidR="00AA5D77" w:rsidRPr="006C40C1" w:rsidRDefault="00AA5D77">
      <w:pPr>
        <w:pStyle w:val="Normaltindrag"/>
      </w:pPr>
      <w:r w:rsidRPr="006C40C1">
        <w:t>Men vad skulle hända med bruttoskulden om riksdagen ersatte överskottsmålet med ett mål om enbart balans i de offentliga finanserna? Förhållandet belyses i budgetpropositionens bilaga 2 om svensk ekonomi (s. 73). Där redovisas en analys som täcker ett halvt sekel, och analysen o</w:t>
      </w:r>
      <w:r w:rsidRPr="006C40C1">
        <w:t>m</w:t>
      </w:r>
      <w:r w:rsidRPr="006C40C1">
        <w:t>fattar två scenarier, ett där nuvarande överskottsmål upprätthålls och ett där man inriktar sig på balans i de offentliga finanserna. Balansalternativet ger varje år ett större utrymme för reformer antingen i form av lägre skatter eller ökade utgifter men försvagar samtidigt de offentliga finanserna. Skillnaden i bruttoskuld mellan de båda kalkylerna växer successivt. Medan bruttoskulden i överskottsalternativet beräknas minska till ca 25 % av BNP 2050 stiger den i balansaltern</w:t>
      </w:r>
      <w:r w:rsidRPr="006C40C1">
        <w:t>a</w:t>
      </w:r>
      <w:r w:rsidRPr="006C40C1">
        <w:t>tivet till drygt 100 % av BN</w:t>
      </w:r>
      <w:r w:rsidRPr="006C40C1">
        <w:t>P mot slutet av samma period.</w:t>
      </w:r>
    </w:p>
    <w:p w:rsidR="00AA5D77" w:rsidRPr="006C40C1" w:rsidRDefault="00AA5D77">
      <w:pPr>
        <w:pStyle w:val="Normaltindrag"/>
      </w:pPr>
      <w:r w:rsidRPr="006C40C1">
        <w:t>En finanspolitik utformad enligt Moderata samlingspartiets förslag är sål</w:t>
      </w:r>
      <w:r w:rsidRPr="006C40C1">
        <w:t>e</w:t>
      </w:r>
      <w:r w:rsidRPr="006C40C1">
        <w:t>des inte långsiktigt hållbar. De båda mål som partiet förordar är dessutom inte långsiktigt förenliga.</w:t>
      </w:r>
    </w:p>
    <w:p w:rsidR="00AA5D77" w:rsidRPr="006C40C1" w:rsidRDefault="00AA5D77">
      <w:pPr>
        <w:pStyle w:val="Normaltindrag"/>
      </w:pPr>
      <w:r w:rsidRPr="006C40C1">
        <w:t>Av dessa skäl kan utskottet inte ställa sig bakom motionärernas förslag.</w:t>
      </w:r>
    </w:p>
    <w:p w:rsidR="00AA5D77" w:rsidRPr="006C40C1" w:rsidRDefault="00AA5D77">
      <w:r w:rsidRPr="006C40C1">
        <w:t>Centerpartiet föreslår att budgetlagen ska kompletteras med en bestämmelse om att statens finanser bör vara i strukturell balans sett över en konjunkturc</w:t>
      </w:r>
      <w:r w:rsidRPr="006C40C1">
        <w:t>y</w:t>
      </w:r>
      <w:r w:rsidRPr="006C40C1">
        <w:t>kel. Enligt förslaget bör regeringen utreda hur detta bäst kan up</w:t>
      </w:r>
      <w:r w:rsidRPr="006C40C1">
        <w:t>p</w:t>
      </w:r>
      <w:r w:rsidRPr="006C40C1">
        <w:t>nås.</w:t>
      </w:r>
    </w:p>
    <w:p w:rsidR="00AA5D77" w:rsidRPr="006C40C1" w:rsidRDefault="00AA5D77">
      <w:pPr>
        <w:pStyle w:val="Normaltindrag"/>
      </w:pPr>
      <w:r w:rsidRPr="006C40C1">
        <w:t>Kristdemokraterna vill att regeringen ska redovisa en långsiktig inkomst- och utgiftsstrategi som visar att Sverige kan klara den dubbla utmaningen att förena krav på ett sänkt skattetryck med den kommande demografiska u</w:t>
      </w:r>
      <w:r w:rsidRPr="006C40C1">
        <w:t>t</w:t>
      </w:r>
      <w:r w:rsidRPr="006C40C1">
        <w:t>vecklingen som snarare ställer krav på motsatsen.</w:t>
      </w:r>
    </w:p>
    <w:p w:rsidR="00AA5D77" w:rsidRPr="006C40C1" w:rsidRDefault="00AA5D77">
      <w:pPr>
        <w:pStyle w:val="Normaltindrag"/>
      </w:pPr>
      <w:r w:rsidRPr="006C40C1">
        <w:t>Folkpartiet anser att man bör överväga vilka krav som ska ställas på det o</w:t>
      </w:r>
      <w:r w:rsidRPr="006C40C1">
        <w:t>f</w:t>
      </w:r>
      <w:r w:rsidRPr="006C40C1">
        <w:t>fentliga sparandet, inte minst om Sverige skulle gå med i EMU.</w:t>
      </w:r>
    </w:p>
    <w:p w:rsidR="00AA5D77" w:rsidRPr="006C40C1" w:rsidRDefault="00AA5D77">
      <w:pPr>
        <w:pStyle w:val="Normaltindrag"/>
      </w:pPr>
      <w:r w:rsidRPr="006C40C1">
        <w:t>Såsom också framhålls i motionerna kommer ett eventuellt EMU-medlemskap för Sverige att leda till att finanspolitiken får utformas efter delvis nya förutsättningar. Problemet har belysts bl.a. av EMU-utredningen vars betänkande har varit utsänt på remiss, och där utredningens förslag och inkomna yttranden nu bereds inom Regeringskansliet. Regeringen har således sin uppmärksamhet riktad på frågan, och enligt finansutskottets mening bör resultate</w:t>
      </w:r>
      <w:r w:rsidRPr="006C40C1">
        <w:t xml:space="preserve">t av denna beredning avvaktas innan riksdagen tar ställning i detta ärende. </w:t>
      </w:r>
    </w:p>
    <w:p w:rsidR="00AA5D77" w:rsidRPr="006C40C1" w:rsidRDefault="00AA5D77">
      <w:pPr>
        <w:pStyle w:val="Normaltindrag"/>
      </w:pPr>
      <w:r w:rsidRPr="006C40C1">
        <w:t>Finansutskottet är således inte berett att nu föreslå att riksdagen gör ett u</w:t>
      </w:r>
      <w:r w:rsidRPr="006C40C1">
        <w:t>t</w:t>
      </w:r>
      <w:r w:rsidRPr="006C40C1">
        <w:t>talande om vilka eventuellt nya krav som kan komma att ställas på finansp</w:t>
      </w:r>
      <w:r w:rsidRPr="006C40C1">
        <w:t>o</w:t>
      </w:r>
      <w:r w:rsidRPr="006C40C1">
        <w:t>lit</w:t>
      </w:r>
      <w:r w:rsidRPr="006C40C1">
        <w:t>i</w:t>
      </w:r>
      <w:r w:rsidRPr="006C40C1">
        <w:t>ken om Sverige skulle välja att bli medlem i EMU.</w:t>
      </w:r>
    </w:p>
    <w:p w:rsidR="00AA5D77" w:rsidRPr="006C40C1" w:rsidRDefault="00AA5D77">
      <w:r w:rsidRPr="006C40C1">
        <w:t>Centerpartiet föreslår att riksdagen ska ge regeringen till känna att den fra</w:t>
      </w:r>
      <w:r w:rsidRPr="006C40C1">
        <w:t>m</w:t>
      </w:r>
      <w:r w:rsidRPr="006C40C1">
        <w:t>gent ska presentera förslag till utgiftstak och preliminär fördelning på utgift</w:t>
      </w:r>
      <w:r w:rsidRPr="006C40C1">
        <w:t>s</w:t>
      </w:r>
      <w:r w:rsidRPr="006C40C1">
        <w:t>områden för tre år.</w:t>
      </w:r>
    </w:p>
    <w:p w:rsidR="00AA5D77" w:rsidRPr="006C40C1" w:rsidRDefault="00AA5D77">
      <w:pPr>
        <w:pStyle w:val="Normaltindrag"/>
      </w:pPr>
      <w:r w:rsidRPr="006C40C1">
        <w:t>Finansutskottet vill med anledning av detta framhålla följande. Bestä</w:t>
      </w:r>
      <w:r w:rsidRPr="006C40C1">
        <w:t>m</w:t>
      </w:r>
      <w:r w:rsidRPr="006C40C1">
        <w:t>melser om tillämpningen av utgiftstak finns i 40 och 41 §§ budgetlagen (1996:1059). Där framgår att förslag till beslut om utgiftstak ska ingå i bu</w:t>
      </w:r>
      <w:r w:rsidRPr="006C40C1">
        <w:t>d</w:t>
      </w:r>
      <w:r w:rsidRPr="006C40C1">
        <w:t>getpropositionen om regeringen har för avsikt att använda sig av ett sådant tak när den bereder ett budgetförslag och när den budgeterade verksamheten genomförs. Inget sägs emellertid om hur långsiktigt ett sådant beslut ska vara, endast att förslaget om tak för statens utgifter eller riktlinjer för utgiftsramar får avse längre tid än ett budgetår (41 §). Allts</w:t>
      </w:r>
      <w:r w:rsidRPr="006C40C1">
        <w:t>edan systemet med utgiftstak infördes har emellertid praxis varit att dessa beslut varit treåriga och att man varje år fattat beslut om utgiftstaket för det tillkommande tredje året.</w:t>
      </w:r>
    </w:p>
    <w:p w:rsidR="00AA5D77" w:rsidRPr="006C40C1" w:rsidRDefault="00AA5D77">
      <w:pPr>
        <w:pStyle w:val="Normaltindrag"/>
      </w:pPr>
      <w:r w:rsidRPr="006C40C1">
        <w:t>I 2002 års vårproposition uppgav regeringen att den hade för avsikt att lämna förslag om utgiftstak för 2005 i den kommande budgetpropositionen. Så har emellertid inte blivit fallet. Av budgetpropositionen framgår att rege</w:t>
      </w:r>
      <w:r w:rsidRPr="006C40C1">
        <w:t>r</w:t>
      </w:r>
      <w:r w:rsidRPr="006C40C1">
        <w:t>ingen på grund av valet inte haft tillräckligt med tid för att bereda och ta ställning till den långsiktiga budgetpolitiken. Regeringen har därför inte haft möjlighet att i budgetproposition lägga fram förslag till utgiftstak för 2005. I stället tänker regeringen återkomma i 2003 års ekonomiska vårproposition med sin bedömning av lämpliga nivåer på utgiftstaken för såväl 2005 som 2006. Förslag till beslut om dessa utgiftstak kommer därefter att lämnas i budgetpropositi</w:t>
      </w:r>
      <w:r w:rsidRPr="006C40C1">
        <w:t>o</w:t>
      </w:r>
      <w:r w:rsidRPr="006C40C1">
        <w:t>nen för 2004.</w:t>
      </w:r>
    </w:p>
    <w:p w:rsidR="00AA5D77" w:rsidRPr="006C40C1" w:rsidRDefault="00AA5D77">
      <w:pPr>
        <w:pStyle w:val="Normaltindrag"/>
      </w:pPr>
      <w:r w:rsidRPr="006C40C1">
        <w:t xml:space="preserve">Systemet med fleråriga </w:t>
      </w:r>
      <w:r w:rsidRPr="006C40C1">
        <w:t>tak för de statliga utgifterna har enligt finansu</w:t>
      </w:r>
      <w:r w:rsidRPr="006C40C1">
        <w:t>t</w:t>
      </w:r>
      <w:r w:rsidRPr="006C40C1">
        <w:t>skottets mening på ett verkningsfullt sätt stramat upp den svenska budgetpr</w:t>
      </w:r>
      <w:r w:rsidRPr="006C40C1">
        <w:t>o</w:t>
      </w:r>
      <w:r w:rsidRPr="006C40C1">
        <w:t>cessen. Att taken fastställs tre år i förväg samt är angivna i nominella termer och alltså inte justeras med hänsyn till inflationen har givit stadga och lån</w:t>
      </w:r>
      <w:r w:rsidRPr="006C40C1">
        <w:t>g</w:t>
      </w:r>
      <w:r w:rsidRPr="006C40C1">
        <w:t xml:space="preserve">siktighet åt budgetarbetet. </w:t>
      </w:r>
    </w:p>
    <w:p w:rsidR="00AA5D77" w:rsidRPr="006C40C1" w:rsidRDefault="00AA5D77">
      <w:pPr>
        <w:pStyle w:val="Normaltindrag"/>
      </w:pPr>
      <w:r w:rsidRPr="006C40C1">
        <w:t>Som framgår av budgetpropositionen har regeringen på grund av den korta tid som stått till buds efter valet inte hunnit ta ställning till budgetpolitikens långsiktiga inriktning. Nytt för i år är att</w:t>
      </w:r>
      <w:r w:rsidRPr="006C40C1">
        <w:t xml:space="preserve"> utgiftstaken ska fastställas på hösten och inte som tidigare på våren. Som en följd av detta kan regeringens bere</w:t>
      </w:r>
      <w:r w:rsidRPr="006C40C1">
        <w:t>d</w:t>
      </w:r>
      <w:r w:rsidRPr="006C40C1">
        <w:t>ning av dessa frågor under valår komma att kollidera med riksdagsvalet.</w:t>
      </w:r>
    </w:p>
    <w:p w:rsidR="00AA5D77" w:rsidRPr="006C40C1" w:rsidRDefault="00AA5D77">
      <w:pPr>
        <w:pStyle w:val="Normaltindrag"/>
      </w:pPr>
      <w:r w:rsidRPr="006C40C1">
        <w:t>Finansutskottet finner det beklagligt att regeringen inte kunnat lägga fram ett förslag till utgiftstak för 2005, men har med hänsyn till omständigheterna samtidigt förståelse för att så inte skett. Utskottet avstyrker därför motion</w:t>
      </w:r>
      <w:r w:rsidRPr="006C40C1">
        <w:t>ä</w:t>
      </w:r>
      <w:r w:rsidRPr="006C40C1">
        <w:t>rernas förslag om ett riksdagsuttalande i frågan.</w:t>
      </w:r>
    </w:p>
    <w:p w:rsidR="00AA5D77" w:rsidRPr="006C40C1" w:rsidRDefault="00AA5D77">
      <w:r w:rsidRPr="006C40C1">
        <w:t>Med dessa motiveringar avstyrker utskottet motionerna Fi231 (m) yrkande 8, Fi233 (kd) yrka</w:t>
      </w:r>
      <w:r w:rsidRPr="006C40C1">
        <w:t>n</w:t>
      </w:r>
      <w:r w:rsidRPr="006C40C1">
        <w:t>de 10 samt Fi234 (c) yrkandena 4 och 5.</w:t>
      </w:r>
    </w:p>
    <w:p w:rsidR="00AA5D77" w:rsidRPr="006C40C1" w:rsidRDefault="00AA5D77">
      <w:pPr>
        <w:pStyle w:val="Normaltindrag"/>
      </w:pPr>
      <w:r w:rsidRPr="006C40C1">
        <w:t>Till frågan om nivån på utgiftstaket för staten återkommer utskottet längre fram i betänka</w:t>
      </w:r>
      <w:r w:rsidRPr="006C40C1">
        <w:t>n</w:t>
      </w:r>
      <w:r w:rsidRPr="006C40C1">
        <w:t>det.</w:t>
      </w:r>
    </w:p>
    <w:p w:rsidR="00AA5D77" w:rsidRPr="006C40C1" w:rsidRDefault="00AA5D77">
      <w:pPr>
        <w:pStyle w:val="Normaltindrag"/>
      </w:pPr>
    </w:p>
    <w:p w:rsidR="00AA5D77" w:rsidRPr="006C40C1" w:rsidRDefault="00AA5D77">
      <w:pPr>
        <w:pStyle w:val="Rubrik2"/>
      </w:pPr>
      <w:bookmarkStart w:id="235" w:name="_Toc515713002"/>
      <w:bookmarkStart w:id="236" w:name="_Toc516364768"/>
      <w:bookmarkStart w:id="237" w:name="_Toc25408027"/>
      <w:bookmarkStart w:id="238" w:name="_Toc26191454"/>
      <w:r w:rsidRPr="006C40C1">
        <w:t>2.4 Budgetpolitikens inriktning</w:t>
      </w:r>
      <w:bookmarkEnd w:id="235"/>
      <w:bookmarkEnd w:id="236"/>
      <w:bookmarkEnd w:id="237"/>
      <w:bookmarkEnd w:id="238"/>
    </w:p>
    <w:p w:rsidR="00AA5D77" w:rsidRPr="006C40C1" w:rsidRDefault="00AA5D77">
      <w:pPr>
        <w:pStyle w:val="Rubrik3"/>
        <w:spacing w:before="125"/>
        <w:rPr>
          <w:noProof w:val="0"/>
        </w:rPr>
      </w:pPr>
      <w:bookmarkStart w:id="239" w:name="_Toc435867503"/>
      <w:bookmarkStart w:id="240" w:name="_Toc436662497"/>
      <w:bookmarkStart w:id="241" w:name="_Toc466179191"/>
      <w:bookmarkStart w:id="242" w:name="_Toc466882369"/>
      <w:bookmarkStart w:id="243" w:name="_Toc498245130"/>
      <w:bookmarkStart w:id="244" w:name="_Toc498910691"/>
      <w:bookmarkStart w:id="245" w:name="_Toc515713003"/>
      <w:bookmarkStart w:id="246" w:name="_Toc516364769"/>
      <w:bookmarkStart w:id="247" w:name="_Toc25408028"/>
      <w:bookmarkStart w:id="248" w:name="_Toc26191455"/>
      <w:r w:rsidRPr="006C40C1">
        <w:rPr>
          <w:noProof w:val="0"/>
        </w:rPr>
        <w:t>2.4.1 Trepartiöverenskommelse om budgetpolitiken</w:t>
      </w:r>
      <w:bookmarkEnd w:id="239"/>
      <w:bookmarkEnd w:id="240"/>
      <w:bookmarkEnd w:id="241"/>
      <w:bookmarkEnd w:id="242"/>
      <w:bookmarkEnd w:id="243"/>
      <w:bookmarkEnd w:id="244"/>
      <w:bookmarkEnd w:id="245"/>
      <w:bookmarkEnd w:id="246"/>
      <w:bookmarkEnd w:id="247"/>
      <w:bookmarkEnd w:id="248"/>
    </w:p>
    <w:p w:rsidR="00AA5D77" w:rsidRPr="006C40C1" w:rsidRDefault="00AA5D77">
      <w:r w:rsidRPr="006C40C1">
        <w:t>Av finansplanen framgår att budgetpropositionen bygger på en överensko</w:t>
      </w:r>
      <w:r w:rsidRPr="006C40C1">
        <w:t>m</w:t>
      </w:r>
      <w:r w:rsidRPr="006C40C1">
        <w:t>melse mellan den socialdemokratiska regeringen och Vänsterpartiet. Med de kompletteringar som redovisas i motion Fi230 (s, v, mp) omfattar överen</w:t>
      </w:r>
      <w:r w:rsidRPr="006C40C1">
        <w:t>s</w:t>
      </w:r>
      <w:r w:rsidRPr="006C40C1">
        <w:t>kommelsen även Miljöpartiet de gröna. De tre partierna har under föregående mandatperiod samarbetat på fem områden – ekonomi, sysselsättning, rättvisa, jämställdhet samt miljö. Samarbetet fullföljs nu och de tre partierna står ba</w:t>
      </w:r>
      <w:r w:rsidRPr="006C40C1">
        <w:t>k</w:t>
      </w:r>
      <w:r w:rsidRPr="006C40C1">
        <w:t>om riktlinjerna för den ekonomiska politiken, budgetpolitiken, utgiftstaken, tilläggsbudgeten för 2002 samt de i budgetpropositionen fö</w:t>
      </w:r>
      <w:r w:rsidRPr="006C40C1">
        <w:t>reslagna och av</w:t>
      </w:r>
      <w:r w:rsidRPr="006C40C1">
        <w:t>i</w:t>
      </w:r>
      <w:r w:rsidRPr="006C40C1">
        <w:t>serade skatteförändringarna liksom de i motion Fi230 (s, v, mp) föreslagna förändringarna för 2003.</w:t>
      </w:r>
    </w:p>
    <w:p w:rsidR="00AA5D77" w:rsidRPr="006C40C1" w:rsidRDefault="00AA5D77">
      <w:pPr>
        <w:pStyle w:val="Rubrik3"/>
        <w:spacing w:before="375"/>
        <w:rPr>
          <w:noProof w:val="0"/>
        </w:rPr>
      </w:pPr>
      <w:bookmarkStart w:id="249" w:name="_Toc435867504"/>
      <w:bookmarkStart w:id="250" w:name="_Toc436662498"/>
      <w:bookmarkStart w:id="251" w:name="_Toc466179192"/>
      <w:bookmarkStart w:id="252" w:name="_Toc466882370"/>
      <w:bookmarkStart w:id="253" w:name="_Toc498245131"/>
      <w:bookmarkStart w:id="254" w:name="_Toc498910692"/>
      <w:bookmarkStart w:id="255" w:name="_Toc515713004"/>
      <w:bookmarkStart w:id="256" w:name="_Toc516364770"/>
      <w:bookmarkStart w:id="257" w:name="_Toc25408029"/>
      <w:bookmarkStart w:id="258" w:name="_Toc26191456"/>
      <w:r w:rsidRPr="006C40C1">
        <w:rPr>
          <w:noProof w:val="0"/>
        </w:rPr>
        <w:t>2.4.2 De politiska alternativen</w:t>
      </w:r>
      <w:bookmarkEnd w:id="249"/>
      <w:bookmarkEnd w:id="250"/>
      <w:bookmarkEnd w:id="251"/>
      <w:bookmarkEnd w:id="252"/>
      <w:bookmarkEnd w:id="253"/>
      <w:bookmarkEnd w:id="254"/>
      <w:bookmarkEnd w:id="255"/>
      <w:bookmarkEnd w:id="256"/>
      <w:bookmarkEnd w:id="257"/>
      <w:bookmarkEnd w:id="258"/>
    </w:p>
    <w:p w:rsidR="00AA5D77" w:rsidRPr="006C40C1" w:rsidRDefault="00AA5D77">
      <w:pPr>
        <w:pStyle w:val="R4"/>
        <w:spacing w:before="125"/>
      </w:pPr>
      <w:r w:rsidRPr="006C40C1">
        <w:t>Budgetpropositionen och motion Fi230 (s, v, mp)</w:t>
      </w:r>
    </w:p>
    <w:p w:rsidR="00AA5D77" w:rsidRPr="006C40C1" w:rsidRDefault="00AA5D77">
      <w:r w:rsidRPr="006C40C1">
        <w:t xml:space="preserve">Regeringen framhåller att svensk ekonomi ska vara fortsatt stark. Målen för de offentliga finanserna och utgiftstaken ska klaras, och nya resurser ska i första hand användas för att öka tryggheten och rättvisan. </w:t>
      </w:r>
    </w:p>
    <w:p w:rsidR="00AA5D77" w:rsidRPr="006C40C1" w:rsidRDefault="00AA5D77">
      <w:pPr>
        <w:pStyle w:val="Normaltindrag"/>
      </w:pPr>
      <w:r w:rsidRPr="006C40C1">
        <w:t>Sedan utgiftstaken infördes 1997 har de klarats varje år, och regeringen räknar med att så också ska bli fallet 2002.</w:t>
      </w:r>
    </w:p>
    <w:p w:rsidR="00AA5D77" w:rsidRPr="006C40C1" w:rsidRDefault="00AA5D77">
      <w:pPr>
        <w:pStyle w:val="Normaltindrag"/>
      </w:pPr>
      <w:r w:rsidRPr="006C40C1">
        <w:t>Regeringens bedömning är att utgiftstaket för 2003 kommer att överskridas om inga åtgärder vidtas. För att motverka detta föreslås i budgetpropositionen att utbetalningen av 2003 års arealbidrag till jordbruket ska tidigareläggas till 2002, vilket ökar utrymmet under nästa års utgiftstak med 4 miljarder kronor. Vidare kommer utgiftsbegränsningar att införas på ett antal områden samt uppräkningen av nästa års anslag för förvaltnings- och investeringsändamål att begränsas med motsvarande 0,7 % av anslagsbelo</w:t>
      </w:r>
      <w:r w:rsidRPr="006C40C1">
        <w:t>ppet. Regeringen redov</w:t>
      </w:r>
      <w:r w:rsidRPr="006C40C1">
        <w:t>i</w:t>
      </w:r>
      <w:r w:rsidRPr="006C40C1">
        <w:t>sar också åtgärder som väntas vända utvecklingen med de alltfler sjukskri</w:t>
      </w:r>
      <w:r w:rsidRPr="006C40C1">
        <w:t>v</w:t>
      </w:r>
      <w:r w:rsidRPr="006C40C1">
        <w:t>na.</w:t>
      </w:r>
    </w:p>
    <w:p w:rsidR="00AA5D77" w:rsidRPr="006C40C1" w:rsidRDefault="00AA5D77">
      <w:pPr>
        <w:pStyle w:val="Normaltindrag"/>
      </w:pPr>
      <w:r w:rsidRPr="006C40C1">
        <w:t>Även efter dessa åtgärder är emellertid utrymmet under utgiftstaket mycket begränsat. Budgeteringsmarginalen för 2003 och 2004 uppgår till endast 0,4 respektive 0,6 milja</w:t>
      </w:r>
      <w:r w:rsidRPr="006C40C1">
        <w:t>r</w:t>
      </w:r>
      <w:r w:rsidRPr="006C40C1">
        <w:t>der kronor.</w:t>
      </w:r>
    </w:p>
    <w:p w:rsidR="00AA5D77" w:rsidRPr="006C40C1" w:rsidRDefault="00AA5D77">
      <w:pPr>
        <w:pStyle w:val="Normaltindrag"/>
      </w:pPr>
      <w:r w:rsidRPr="006C40C1">
        <w:t>Enligt den ordning som numera gäller skulle regeringen i budgetpropos</w:t>
      </w:r>
      <w:r w:rsidRPr="006C40C1">
        <w:t>i</w:t>
      </w:r>
      <w:r w:rsidRPr="006C40C1">
        <w:t>tionen ha lämnat ett förslag till utgiftstak för 2005. Så har emellertid inte skett. Regeringen motiverar detta med riksdagsvalet som inneburit att tiden varit alltför knapp och att man därför inte hunnit ta ställning till den långsikt</w:t>
      </w:r>
      <w:r w:rsidRPr="006C40C1">
        <w:t>i</w:t>
      </w:r>
      <w:r w:rsidRPr="006C40C1">
        <w:t>ga budgetpolitiken. Det är regeringens avsikt att i stället återkomma i 2003 års vårproposition med en bedömning av utgiftstak för såväl 2005 som 2006 och att därefter i budgetpropositionen för 2004 föreslå att riksdagen ska fas</w:t>
      </w:r>
      <w:r w:rsidRPr="006C40C1">
        <w:t>t</w:t>
      </w:r>
      <w:r w:rsidRPr="006C40C1">
        <w:t>ställa dessa nivåer.</w:t>
      </w:r>
    </w:p>
    <w:p w:rsidR="00AA5D77" w:rsidRPr="006C40C1" w:rsidRDefault="00AA5D77">
      <w:pPr>
        <w:pStyle w:val="Normaltindrag"/>
      </w:pPr>
      <w:r w:rsidRPr="006C40C1">
        <w:t>Mellan 2002 och 2003 höjs</w:t>
      </w:r>
      <w:r w:rsidRPr="006C40C1">
        <w:t xml:space="preserve"> utgiftstaket enligt tidigare beslut med 35 mi</w:t>
      </w:r>
      <w:r w:rsidRPr="006C40C1">
        <w:t>l</w:t>
      </w:r>
      <w:r w:rsidRPr="006C40C1">
        <w:t>jarder kronor. Av detta utrymme används 20 miljarder kronor för nya refo</w:t>
      </w:r>
      <w:r w:rsidRPr="006C40C1">
        <w:t>r</w:t>
      </w:r>
      <w:r w:rsidRPr="006C40C1">
        <w:t>mer, bl.a. för höjda pensioner, ökat bistånd, allmän förskola, en utbyggd föräldraförsäkring samt för ytterligare satsningar på skolan, vården och o</w:t>
      </w:r>
      <w:r w:rsidRPr="006C40C1">
        <w:t>m</w:t>
      </w:r>
      <w:r w:rsidRPr="006C40C1">
        <w:t>sorgen.</w:t>
      </w:r>
    </w:p>
    <w:p w:rsidR="00AA5D77" w:rsidRPr="006C40C1" w:rsidRDefault="00AA5D77">
      <w:pPr>
        <w:pStyle w:val="Normaltindrag"/>
      </w:pPr>
      <w:r w:rsidRPr="006C40C1">
        <w:t>För de äldre höjs pensionerna, förstärks tandvården och införs ett nytt äl</w:t>
      </w:r>
      <w:r w:rsidRPr="006C40C1">
        <w:t>d</w:t>
      </w:r>
      <w:r w:rsidRPr="006C40C1">
        <w:t>refö</w:t>
      </w:r>
      <w:r w:rsidRPr="006C40C1">
        <w:t>r</w:t>
      </w:r>
      <w:r w:rsidRPr="006C40C1">
        <w:t>sörjningsstöd.</w:t>
      </w:r>
    </w:p>
    <w:p w:rsidR="00AA5D77" w:rsidRPr="006C40C1" w:rsidRDefault="00AA5D77">
      <w:pPr>
        <w:pStyle w:val="Normaltindrag"/>
      </w:pPr>
      <w:r w:rsidRPr="006C40C1">
        <w:t xml:space="preserve">Maxtaxereformens sista steg tas 2003 genom att allmän förskola införs för fyra- och femåringar. Det innebär att alla barn får rätt till gratis förskola tre timmar om dagen. Den lägsta dagpenningen i föräldraförsäkringen höjs i två steg, först till 150 kr per dag 2003 därefter till 180 kr per dag 2004. Vid halvårsskiftet nästa år höjs också inkomsttaket i föräldraförsäkringen från 7,5 till 10 prisbasbelopp. Dessutom utökas studiebidraget till gymnasiestuderande tonåringar från 9 till 10 </w:t>
      </w:r>
      <w:r w:rsidRPr="006C40C1">
        <w:t>mån</w:t>
      </w:r>
      <w:r w:rsidRPr="006C40C1">
        <w:t>a</w:t>
      </w:r>
      <w:r w:rsidRPr="006C40C1">
        <w:t>der.</w:t>
      </w:r>
    </w:p>
    <w:p w:rsidR="00AA5D77" w:rsidRPr="006C40C1" w:rsidRDefault="00AA5D77">
      <w:pPr>
        <w:pStyle w:val="Normaltindrag"/>
      </w:pPr>
      <w:r w:rsidRPr="006C40C1">
        <w:t>Skolan och fritidshemmen tillförs de kommande åren 1 miljard kronor i nivåhöjning varje år tills nivån 5 miljarder kronor är nådd 2006. Syftet är att öka antalet lärare och andra specialister i skolan. Resurserna ska användas till att anställa mer personal i skolorna, t.ex. lärare, skolsköterskor, speciallärare, skolbibliotekarier och andra specialister.</w:t>
      </w:r>
    </w:p>
    <w:p w:rsidR="00AA5D77" w:rsidRPr="006C40C1" w:rsidRDefault="00AA5D77">
      <w:pPr>
        <w:pStyle w:val="Normaltindrag"/>
      </w:pPr>
      <w:r w:rsidRPr="006C40C1">
        <w:t>Dessutom görs en särskild satsning på högskolan. Regeringens mål är att hälften av en årskull ska ha börjat högskolan vid 25 års ålder. Regeringen räknar med att nästa år ska 100 000 nya högskoleplatser ha tillkommit på sex år.</w:t>
      </w:r>
    </w:p>
    <w:p w:rsidR="00AA5D77" w:rsidRPr="006C40C1" w:rsidRDefault="00AA5D77">
      <w:pPr>
        <w:pStyle w:val="Normaltindrag"/>
      </w:pPr>
      <w:r w:rsidRPr="006C40C1">
        <w:t>Utgifterna för sjukpenning och förtidspensioner har fortsatt att öka kraftigt under 2002, och det finns därför risk för att de kommande årens utgiftstak överskrids. I budgetpropositionen aviseras åtgärder för att man ska komma till rätta med de snabbt stigande kostnaderna inom detta område. Regeringen framhåller emellertid samtidigt att prognosen för budgeteringsmarginalen är mycket osäker och förutsätter att dessa åtgärder förmår bryta den nuvarande utgiftsutvecklingen.</w:t>
      </w:r>
    </w:p>
    <w:p w:rsidR="00AA5D77" w:rsidRPr="006C40C1" w:rsidRDefault="00AA5D77">
      <w:pPr>
        <w:pStyle w:val="Normaltindrag"/>
      </w:pPr>
      <w:r w:rsidRPr="006C40C1">
        <w:t>Bland de aviserade åtgärderna ingår exempelvis att man under 2003 ko</w:t>
      </w:r>
      <w:r w:rsidRPr="006C40C1">
        <w:t>m</w:t>
      </w:r>
      <w:r w:rsidRPr="006C40C1">
        <w:t>mer att förstärkta de ekonomiska drivkrafterna för arbetsgivare samt att sju</w:t>
      </w:r>
      <w:r w:rsidRPr="006C40C1">
        <w:t>k</w:t>
      </w:r>
      <w:r w:rsidRPr="006C40C1">
        <w:t>skrivningsprocessen ska effektiviseras och sjukersättningen (tidigare förtid</w:t>
      </w:r>
      <w:r w:rsidRPr="006C40C1">
        <w:t>s</w:t>
      </w:r>
      <w:r w:rsidRPr="006C40C1">
        <w:t>pensioner) tidsbegränsas till högst tre år i taget. I budgetpropositionen räknar regeringen med att antalet sjukdagar (nettodagar) nästa år inte ska överstiga 2001 års nivå, medan antalet förtidspensioner kommer att öka något i förhå</w:t>
      </w:r>
      <w:r w:rsidRPr="006C40C1">
        <w:t>l</w:t>
      </w:r>
      <w:r w:rsidRPr="006C40C1">
        <w:t>lande till genomsnittsnivån 2002. Det medför att utgifterna för sjukskrivnin</w:t>
      </w:r>
      <w:r w:rsidRPr="006C40C1">
        <w:t>g</w:t>
      </w:r>
      <w:r w:rsidRPr="006C40C1">
        <w:t xml:space="preserve">ar och förtidspensioner kommer att minska med </w:t>
      </w:r>
      <w:r w:rsidRPr="006C40C1">
        <w:t>ca 5 miljarder kronor jämfört med om antalet sjukdagar skulle ligga kvar på 2002 års nivå.</w:t>
      </w:r>
    </w:p>
    <w:p w:rsidR="00AA5D77" w:rsidRPr="006C40C1" w:rsidRDefault="00AA5D77">
      <w:pPr>
        <w:pStyle w:val="Normaltindrag"/>
      </w:pPr>
      <w:r w:rsidRPr="006C40C1">
        <w:t>Dessutom föreslår regeringen att försäkringskassorna ska tillföras drygt 500 miljoner kronor per år under 2003 och 2004. Tillskottet ska göra det möjligt för långtidssjukskrivna att få en egen kontaktperson vid försäkring</w:t>
      </w:r>
      <w:r w:rsidRPr="006C40C1">
        <w:t>s</w:t>
      </w:r>
      <w:r w:rsidRPr="006C40C1">
        <w:t>kassan som samordnar rehabiliteringsarbetet. Resurstillskottet gör det också möjligt att förstärka andra rehabiliteringsinsatser samt finansiera övergången till ett system där aktivitets- och sjukersättningen (f.d. förtidspensioner) inte beviljas för mer än tre år i taget.</w:t>
      </w:r>
    </w:p>
    <w:p w:rsidR="00AA5D77" w:rsidRPr="006C40C1" w:rsidRDefault="00AA5D77">
      <w:pPr>
        <w:pStyle w:val="Normaltindrag"/>
      </w:pPr>
      <w:r w:rsidRPr="006C40C1">
        <w:t>Därutöver föreslår regeringen att ytterligare resurser ska tillföras krimina</w:t>
      </w:r>
      <w:r w:rsidRPr="006C40C1">
        <w:t>l</w:t>
      </w:r>
      <w:r w:rsidRPr="006C40C1">
        <w:t>vården och polisorganisationen liksom de fredsbevarande operationerna inom FN.</w:t>
      </w:r>
    </w:p>
    <w:p w:rsidR="00AA5D77" w:rsidRPr="006C40C1" w:rsidRDefault="00AA5D77">
      <w:pPr>
        <w:pStyle w:val="Normaltindrag"/>
      </w:pPr>
      <w:r w:rsidRPr="006C40C1">
        <w:t>Migrationsverket och Utlänningsnämnden tillförs ytterligare resurser för att kunna möta den stora ökningen av antalet asylsökande.</w:t>
      </w:r>
    </w:p>
    <w:p w:rsidR="00AA5D77" w:rsidRPr="006C40C1" w:rsidRDefault="00AA5D77">
      <w:pPr>
        <w:pStyle w:val="Normaltindrag"/>
      </w:pPr>
      <w:r w:rsidRPr="006C40C1">
        <w:t>På det energipolitiska området görs nästa år särskilda satsningar, bl.a. på att få till stånd en effektivare energianvändning.</w:t>
      </w:r>
    </w:p>
    <w:p w:rsidR="00AA5D77" w:rsidRPr="006C40C1" w:rsidRDefault="00AA5D77">
      <w:pPr>
        <w:pStyle w:val="Normaltindrag"/>
      </w:pPr>
      <w:r w:rsidRPr="006C40C1">
        <w:t>Av budgetpropositionen framgår att en fortsatt grön skatteväxling är en central del i regeringens strategi för ett ekologiskt hållbart samhälle. För nästa år föreslås en skatteväxling med en omslutning på 2,6 miljarder kronor. Ko</w:t>
      </w:r>
      <w:r w:rsidRPr="006C40C1">
        <w:t>l</w:t>
      </w:r>
      <w:r w:rsidRPr="006C40C1">
        <w:t>dioxidskatten på bränslen höjs med 16 %, men höjningen är så utformad att den inte får genomslag på beskattningen av drivmedel, inte heller för tillver</w:t>
      </w:r>
      <w:r w:rsidRPr="006C40C1">
        <w:t>k</w:t>
      </w:r>
      <w:r w:rsidRPr="006C40C1">
        <w:t xml:space="preserve">ningsindustrin samt jordbruks-, skogsbruks- och vattenbruksnäringarna. Dessutom höjs energiskatten på el med 2,1 öre per kWh, avfallsskatten med 82 kr per ton  och skatten på naturgrus med 5 kr per ton. </w:t>
      </w:r>
    </w:p>
    <w:p w:rsidR="00AA5D77" w:rsidRPr="006C40C1" w:rsidRDefault="00AA5D77">
      <w:pPr>
        <w:pStyle w:val="Normaltindrag"/>
      </w:pPr>
      <w:r w:rsidRPr="006C40C1">
        <w:t>Punktskattehöjningarna ger utrymme för en lindrad beskattning av arbete, och detta utrymme bör enligt regeringen utnyttjas för att höja grundavdraget för l</w:t>
      </w:r>
      <w:r w:rsidRPr="006C40C1">
        <w:t>åg- och medelinkomsttagare. Kommunerna kompenseras för det skatt</w:t>
      </w:r>
      <w:r w:rsidRPr="006C40C1">
        <w:t>e</w:t>
      </w:r>
      <w:r w:rsidRPr="006C40C1">
        <w:t>bortfall som grundavdragshöjningen ger upphov till genom att det generella statsbidraget till kommuner och landsting räknas upp med ett lika stort b</w:t>
      </w:r>
      <w:r w:rsidRPr="006C40C1">
        <w:t>e</w:t>
      </w:r>
      <w:r w:rsidRPr="006C40C1">
        <w:t>lopp.</w:t>
      </w:r>
    </w:p>
    <w:p w:rsidR="00AA5D77" w:rsidRPr="006C40C1" w:rsidRDefault="00AA5D77">
      <w:pPr>
        <w:pStyle w:val="Normaltindrag"/>
      </w:pPr>
      <w:r w:rsidRPr="006C40C1">
        <w:t xml:space="preserve">Regeringen ser vården, skolan och omsorgen som välfärdens kärna. För att ytterligare förstärka kommunernas ekonomi föreslås i budgetpropositionen att det tillfälliga sysselsättningsstöd till kommuner och landsting som infördes 2002 ska förlängas med ett år. Regeringen föreslår också att det </w:t>
      </w:r>
      <w:r w:rsidRPr="006C40C1">
        <w:t>fasta beloppet på 200 kr som alla inkomsttagare betalar i statlig inkomstskatt ska anses vara en kommunal inkomstskatt i ytterl</w:t>
      </w:r>
      <w:r w:rsidRPr="006C40C1">
        <w:t>i</w:t>
      </w:r>
      <w:r w:rsidRPr="006C40C1">
        <w:t>gare ett år.</w:t>
      </w:r>
    </w:p>
    <w:p w:rsidR="00AA5D77" w:rsidRPr="006C40C1" w:rsidRDefault="00AA5D77">
      <w:pPr>
        <w:pStyle w:val="Normaltindrag"/>
      </w:pPr>
      <w:r w:rsidRPr="006C40C1">
        <w:t>Kraftvärmeverkens beskattning påverkas av två förslag i budgetpropositi</w:t>
      </w:r>
      <w:r w:rsidRPr="006C40C1">
        <w:t>o</w:t>
      </w:r>
      <w:r w:rsidRPr="006C40C1">
        <w:t>nen. Å ena sidan skärps kraftvärmebeskattningen i syfte att begränsa utry</w:t>
      </w:r>
      <w:r w:rsidRPr="006C40C1">
        <w:t>m</w:t>
      </w:r>
      <w:r w:rsidRPr="006C40C1">
        <w:t>met för oönskad skatteplanering. Å andra sidan föreslås att beskattningen av bränsle som används för värmeproduktion i kraftvärmeverk ska sänkas till samma nivå som gäller för industrins användning av bränslen för uppvär</w:t>
      </w:r>
      <w:r w:rsidRPr="006C40C1">
        <w:t>m</w:t>
      </w:r>
      <w:r w:rsidRPr="006C40C1">
        <w:t>ning. Det senare förslaget kan genomföras först efter det att kommissionen prövat om förslaget är förenligt med EU:s regler för statsstöd. Frågan bereds för närvarande av kommissionen.</w:t>
      </w:r>
    </w:p>
    <w:p w:rsidR="00AA5D77" w:rsidRPr="006C40C1" w:rsidRDefault="00AA5D77">
      <w:r w:rsidRPr="006C40C1">
        <w:t>Bakom förslagen i budgetproposi</w:t>
      </w:r>
      <w:r w:rsidRPr="006C40C1">
        <w:t>tionen står den socialdemokratiska regerin</w:t>
      </w:r>
      <w:r w:rsidRPr="006C40C1">
        <w:t>g</w:t>
      </w:r>
      <w:r w:rsidRPr="006C40C1">
        <w:t>en och Vänsterpartiet. Efter det att budgetpropositionen presenterats den 8 oktober 2002 har överläggningarna med Miljöpartiet de gröna fullföljts och resulterat i en trepartiuppgörelse om ett fortsatt samarbete i budgetfrågor. I en gemensam motion – Fi230 av Britt Bohlin m.fl. (s, v, mp) – har de tre partie</w:t>
      </w:r>
      <w:r w:rsidRPr="006C40C1">
        <w:t>r</w:t>
      </w:r>
      <w:r w:rsidRPr="006C40C1">
        <w:t xml:space="preserve">na redovisat vilka förändringar de vill göra i regeringens budgetförslag för 2003. </w:t>
      </w:r>
    </w:p>
    <w:p w:rsidR="00AA5D77" w:rsidRPr="006C40C1" w:rsidRDefault="00AA5D77">
      <w:pPr>
        <w:pStyle w:val="Normaltindrag"/>
      </w:pPr>
      <w:r w:rsidRPr="006C40C1">
        <w:t>De tre partierna föreslår att den i propositionen redovisade skatteväxlinge</w:t>
      </w:r>
      <w:r w:rsidRPr="006C40C1">
        <w:t>n ska utökas från 2,6 till 3,0 miljarder kronor. Det bör ske genom ytterligare höjningar av koldioxidskatten på bränslen och energiskatten på el samt genom en ytterligare höjning av grundavdraget riktad till personer i de lägsta i</w:t>
      </w:r>
      <w:r w:rsidRPr="006C40C1">
        <w:t>n</w:t>
      </w:r>
      <w:r w:rsidRPr="006C40C1">
        <w:t>komstskikten.</w:t>
      </w:r>
    </w:p>
    <w:p w:rsidR="00AA5D77" w:rsidRPr="006C40C1" w:rsidRDefault="00AA5D77">
      <w:pPr>
        <w:pStyle w:val="Normaltindrag"/>
      </w:pPr>
      <w:r w:rsidRPr="006C40C1">
        <w:t xml:space="preserve">Motionärerna välkomnar regeringens förslag att höja skatten på naturgrus men ifrågasätter om åtgärden är tillräcklig. Regeringen bör därför senast våren 2003 återkomma med ett mer långtgående förslag. </w:t>
      </w:r>
    </w:p>
    <w:p w:rsidR="00AA5D77" w:rsidRPr="006C40C1" w:rsidRDefault="00AA5D77">
      <w:pPr>
        <w:pStyle w:val="Normaltindrag"/>
      </w:pPr>
      <w:r w:rsidRPr="006C40C1">
        <w:t>I motionen föreslås också att regeringen ska återkomma med ett förslag om ett tidsbegränsat s.k. ROT-avdrag för miljöförbättrande åtgärder i permanen</w:t>
      </w:r>
      <w:r w:rsidRPr="006C40C1">
        <w:t>t</w:t>
      </w:r>
      <w:r w:rsidRPr="006C40C1">
        <w:t>bostäder. Avdraget ska utformas som en skattereduktion och avse installati</w:t>
      </w:r>
      <w:r w:rsidRPr="006C40C1">
        <w:t>o</w:t>
      </w:r>
      <w:r w:rsidRPr="006C40C1">
        <w:t>ner som görs under perioden 2003–2005. Dessutom ska stimulansen ges en sådan inriktning att kostnaderna kan klaras inom en finansiell ram på 50 miljoner kronor per år.</w:t>
      </w:r>
    </w:p>
    <w:p w:rsidR="00AA5D77" w:rsidRPr="006C40C1" w:rsidRDefault="00AA5D77">
      <w:pPr>
        <w:pStyle w:val="Normaltindrag"/>
      </w:pPr>
      <w:r w:rsidRPr="006C40C1">
        <w:t>De tre partierna är också överens om att återta en i budgetpropositionen f</w:t>
      </w:r>
      <w:r w:rsidRPr="006C40C1">
        <w:t>ö</w:t>
      </w:r>
      <w:r w:rsidRPr="006C40C1">
        <w:t>reslagen besparing på Dagmarmedlen samt att öka anslagen till bl.a. sa</w:t>
      </w:r>
      <w:r w:rsidRPr="006C40C1">
        <w:t>m</w:t>
      </w:r>
      <w:r w:rsidRPr="006C40C1">
        <w:t>lingslokaler, åtgärder för biologisk mångfald samt sanering och återställning av förorenade områden, ersättning för viltskador, Sveriges lantbruksunivers</w:t>
      </w:r>
      <w:r w:rsidRPr="006C40C1">
        <w:t>i</w:t>
      </w:r>
      <w:r w:rsidRPr="006C40C1">
        <w:t>tet, Livsmedelsverket och Ombudsmannen mot diskriminering på grund av sex</w:t>
      </w:r>
      <w:r w:rsidRPr="006C40C1">
        <w:t>u</w:t>
      </w:r>
      <w:r w:rsidRPr="006C40C1">
        <w:t xml:space="preserve">ell läggning (HomO). </w:t>
      </w:r>
    </w:p>
    <w:p w:rsidR="00AA5D77" w:rsidRPr="006C40C1" w:rsidRDefault="00AA5D77">
      <w:pPr>
        <w:pStyle w:val="Normaltindrag"/>
      </w:pPr>
      <w:r w:rsidRPr="006C40C1">
        <w:t>De i motionen föreslagna utgiftsökningarna uppgår till närmare 250 milj</w:t>
      </w:r>
      <w:r w:rsidRPr="006C40C1">
        <w:t>o</w:t>
      </w:r>
      <w:r w:rsidRPr="006C40C1">
        <w:t>ner kronor och finansieras fullt ut genom något större minskningar av andra anslag.</w:t>
      </w:r>
    </w:p>
    <w:p w:rsidR="00AA5D77" w:rsidRPr="006C40C1" w:rsidRDefault="00AA5D77">
      <w:pPr>
        <w:spacing w:before="187"/>
      </w:pPr>
      <w:r w:rsidRPr="006C40C1">
        <w:t>Inklusive förslagen i motion Fi230 (s, v, mp) kan regeringens nu redovisade inriktning av budgetpolitiken väntas få följande effekt på statsbudgeten under de närmaste tre åren.</w:t>
      </w:r>
    </w:p>
    <w:p w:rsidR="00AA5D77" w:rsidRPr="006C40C1" w:rsidRDefault="00AA5D77">
      <w:pPr>
        <w:keepNext/>
        <w:spacing w:before="360" w:line="170" w:lineRule="exact"/>
        <w:rPr>
          <w:b/>
          <w:sz w:val="17"/>
        </w:rPr>
      </w:pPr>
      <w:bookmarkStart w:id="259" w:name="_Toc515713007"/>
      <w:bookmarkStart w:id="260" w:name="_Toc516114666"/>
      <w:bookmarkStart w:id="261" w:name="_Toc516364773"/>
      <w:bookmarkStart w:id="262" w:name="_Toc25304167"/>
      <w:r w:rsidRPr="006C40C1">
        <w:rPr>
          <w:b/>
          <w:sz w:val="17"/>
        </w:rPr>
        <w:t>Tabell 12.  Statens lånebehov 2002–2004</w:t>
      </w:r>
      <w:bookmarkEnd w:id="259"/>
      <w:bookmarkEnd w:id="260"/>
      <w:bookmarkEnd w:id="261"/>
      <w:bookmarkEnd w:id="262"/>
    </w:p>
    <w:p w:rsidR="00AA5D77" w:rsidRPr="006C40C1" w:rsidRDefault="00AA5D77">
      <w:pPr>
        <w:pStyle w:val="TabellfrklaringFiU20"/>
        <w:keepLines w:val="0"/>
        <w:widowControl w:val="0"/>
      </w:pPr>
      <w:r w:rsidRPr="006C40C1">
        <w:t>Miljarder kronor</w:t>
      </w:r>
    </w:p>
    <w:tbl>
      <w:tblPr>
        <w:tblW w:w="0" w:type="auto"/>
        <w:tblInd w:w="-70" w:type="dxa"/>
        <w:tblLayout w:type="fixed"/>
        <w:tblCellMar>
          <w:left w:w="70" w:type="dxa"/>
          <w:right w:w="70" w:type="dxa"/>
        </w:tblCellMar>
        <w:tblLook w:val="0000" w:firstRow="0" w:lastRow="0" w:firstColumn="0" w:lastColumn="0" w:noHBand="0" w:noVBand="0"/>
      </w:tblPr>
      <w:tblGrid>
        <w:gridCol w:w="3189"/>
        <w:gridCol w:w="709"/>
        <w:gridCol w:w="708"/>
        <w:gridCol w:w="709"/>
      </w:tblGrid>
      <w:tr w:rsidR="00000000" w:rsidRPr="006C40C1">
        <w:tblPrEx>
          <w:tblCellMar>
            <w:top w:w="0" w:type="dxa"/>
            <w:bottom w:w="0" w:type="dxa"/>
          </w:tblCellMar>
        </w:tblPrEx>
        <w:tc>
          <w:tcPr>
            <w:tcW w:w="3189" w:type="dxa"/>
            <w:tcBorders>
              <w:top w:val="single" w:sz="4" w:space="0" w:color="auto"/>
              <w:bottom w:val="single" w:sz="4" w:space="0" w:color="auto"/>
            </w:tcBorders>
          </w:tcPr>
          <w:p w:rsidR="00AA5D77" w:rsidRPr="006C40C1" w:rsidRDefault="00AA5D77">
            <w:pPr>
              <w:pStyle w:val="TabellfrklaringFiU20"/>
              <w:keepLines w:val="0"/>
              <w:widowControl w:val="0"/>
              <w:spacing w:before="0"/>
            </w:pPr>
          </w:p>
        </w:tc>
        <w:tc>
          <w:tcPr>
            <w:tcW w:w="709" w:type="dxa"/>
            <w:tcBorders>
              <w:top w:val="single" w:sz="4" w:space="0" w:color="auto"/>
              <w:bottom w:val="single" w:sz="4" w:space="0" w:color="auto"/>
            </w:tcBorders>
          </w:tcPr>
          <w:p w:rsidR="00AA5D77" w:rsidRPr="006C40C1" w:rsidRDefault="00AA5D77">
            <w:pPr>
              <w:pStyle w:val="TabellfrklaringFiU20"/>
              <w:keepLines w:val="0"/>
              <w:widowControl w:val="0"/>
              <w:spacing w:before="0"/>
              <w:jc w:val="right"/>
              <w:rPr>
                <w:b/>
                <w:sz w:val="16"/>
              </w:rPr>
            </w:pPr>
            <w:r w:rsidRPr="006C40C1">
              <w:rPr>
                <w:b/>
                <w:sz w:val="16"/>
              </w:rPr>
              <w:t>2002</w:t>
            </w:r>
          </w:p>
        </w:tc>
        <w:tc>
          <w:tcPr>
            <w:tcW w:w="708" w:type="dxa"/>
            <w:tcBorders>
              <w:top w:val="single" w:sz="4" w:space="0" w:color="auto"/>
              <w:bottom w:val="single" w:sz="4" w:space="0" w:color="auto"/>
            </w:tcBorders>
          </w:tcPr>
          <w:p w:rsidR="00AA5D77" w:rsidRPr="006C40C1" w:rsidRDefault="00AA5D77">
            <w:pPr>
              <w:pStyle w:val="TabellfrklaringFiU20"/>
              <w:keepLines w:val="0"/>
              <w:widowControl w:val="0"/>
              <w:spacing w:before="0"/>
              <w:jc w:val="right"/>
              <w:rPr>
                <w:b/>
                <w:sz w:val="16"/>
              </w:rPr>
            </w:pPr>
            <w:r w:rsidRPr="006C40C1">
              <w:rPr>
                <w:b/>
                <w:sz w:val="16"/>
              </w:rPr>
              <w:t>2003</w:t>
            </w:r>
          </w:p>
        </w:tc>
        <w:tc>
          <w:tcPr>
            <w:tcW w:w="709" w:type="dxa"/>
            <w:tcBorders>
              <w:top w:val="single" w:sz="4" w:space="0" w:color="auto"/>
              <w:bottom w:val="single" w:sz="4" w:space="0" w:color="auto"/>
            </w:tcBorders>
          </w:tcPr>
          <w:p w:rsidR="00AA5D77" w:rsidRPr="006C40C1" w:rsidRDefault="00AA5D77">
            <w:pPr>
              <w:pStyle w:val="TabellfrklaringFiU20"/>
              <w:keepLines w:val="0"/>
              <w:widowControl w:val="0"/>
              <w:spacing w:before="0"/>
              <w:jc w:val="right"/>
              <w:rPr>
                <w:b/>
                <w:sz w:val="16"/>
              </w:rPr>
            </w:pPr>
            <w:r w:rsidRPr="006C40C1">
              <w:rPr>
                <w:b/>
                <w:sz w:val="16"/>
              </w:rPr>
              <w:t>2004</w:t>
            </w:r>
          </w:p>
        </w:tc>
      </w:tr>
      <w:tr w:rsidR="00000000" w:rsidRPr="006C40C1">
        <w:tblPrEx>
          <w:tblCellMar>
            <w:top w:w="0" w:type="dxa"/>
            <w:bottom w:w="0" w:type="dxa"/>
          </w:tblCellMar>
        </w:tblPrEx>
        <w:trPr>
          <w:trHeight w:hRule="exact" w:val="200"/>
        </w:trPr>
        <w:tc>
          <w:tcPr>
            <w:tcW w:w="3189" w:type="dxa"/>
            <w:tcBorders>
              <w:top w:val="single" w:sz="4" w:space="0" w:color="auto"/>
            </w:tcBorders>
          </w:tcPr>
          <w:p w:rsidR="00AA5D77" w:rsidRPr="006C40C1" w:rsidRDefault="00AA5D77">
            <w:pPr>
              <w:pStyle w:val="TabellfrklaringFiU20"/>
              <w:keepLines w:val="0"/>
              <w:widowControl w:val="0"/>
              <w:spacing w:before="0"/>
              <w:rPr>
                <w:sz w:val="16"/>
              </w:rPr>
            </w:pPr>
            <w:r w:rsidRPr="006C40C1">
              <w:rPr>
                <w:sz w:val="16"/>
              </w:rPr>
              <w:t>Inkomster</w:t>
            </w:r>
          </w:p>
        </w:tc>
        <w:tc>
          <w:tcPr>
            <w:tcW w:w="709" w:type="dxa"/>
            <w:tcBorders>
              <w:top w:val="single" w:sz="4" w:space="0" w:color="auto"/>
            </w:tcBorders>
          </w:tcPr>
          <w:p w:rsidR="00AA5D77" w:rsidRPr="006C40C1" w:rsidRDefault="00AA5D77">
            <w:pPr>
              <w:pStyle w:val="TabellfrklaringFiU20"/>
              <w:keepLines w:val="0"/>
              <w:widowControl w:val="0"/>
              <w:spacing w:before="0"/>
              <w:jc w:val="right"/>
              <w:rPr>
                <w:sz w:val="16"/>
              </w:rPr>
            </w:pPr>
            <w:r w:rsidRPr="006C40C1">
              <w:rPr>
                <w:sz w:val="16"/>
              </w:rPr>
              <w:t>+725,0</w:t>
            </w:r>
          </w:p>
        </w:tc>
        <w:tc>
          <w:tcPr>
            <w:tcW w:w="708" w:type="dxa"/>
            <w:tcBorders>
              <w:top w:val="single" w:sz="4" w:space="0" w:color="auto"/>
            </w:tcBorders>
          </w:tcPr>
          <w:p w:rsidR="00AA5D77" w:rsidRPr="006C40C1" w:rsidRDefault="00AA5D77">
            <w:pPr>
              <w:pStyle w:val="TabellfrklaringFiU20"/>
              <w:keepLines w:val="0"/>
              <w:widowControl w:val="0"/>
              <w:spacing w:before="0"/>
              <w:jc w:val="right"/>
              <w:rPr>
                <w:sz w:val="16"/>
              </w:rPr>
            </w:pPr>
            <w:r w:rsidRPr="006C40C1">
              <w:rPr>
                <w:sz w:val="16"/>
              </w:rPr>
              <w:t>+700,9</w:t>
            </w:r>
          </w:p>
        </w:tc>
        <w:tc>
          <w:tcPr>
            <w:tcW w:w="709" w:type="dxa"/>
            <w:tcBorders>
              <w:top w:val="single" w:sz="4" w:space="0" w:color="auto"/>
            </w:tcBorders>
          </w:tcPr>
          <w:p w:rsidR="00AA5D77" w:rsidRPr="006C40C1" w:rsidRDefault="00AA5D77">
            <w:pPr>
              <w:pStyle w:val="TabellfrklaringFiU20"/>
              <w:keepLines w:val="0"/>
              <w:widowControl w:val="0"/>
              <w:spacing w:before="0"/>
              <w:jc w:val="right"/>
              <w:rPr>
                <w:sz w:val="16"/>
              </w:rPr>
            </w:pPr>
            <w:r w:rsidRPr="006C40C1">
              <w:rPr>
                <w:sz w:val="16"/>
              </w:rPr>
              <w:t>+730,4</w:t>
            </w:r>
          </w:p>
        </w:tc>
      </w:tr>
      <w:tr w:rsidR="00000000" w:rsidRPr="006C40C1">
        <w:tblPrEx>
          <w:tblCellMar>
            <w:top w:w="0" w:type="dxa"/>
            <w:bottom w:w="0" w:type="dxa"/>
          </w:tblCellMar>
        </w:tblPrEx>
        <w:trPr>
          <w:trHeight w:hRule="exact" w:val="200"/>
        </w:trPr>
        <w:tc>
          <w:tcPr>
            <w:tcW w:w="3189" w:type="dxa"/>
          </w:tcPr>
          <w:p w:rsidR="00AA5D77" w:rsidRPr="006C40C1" w:rsidRDefault="00AA5D77">
            <w:pPr>
              <w:pStyle w:val="TabellfrklaringFiU20"/>
              <w:keepLines w:val="0"/>
              <w:widowControl w:val="0"/>
              <w:spacing w:before="0"/>
              <w:rPr>
                <w:sz w:val="16"/>
              </w:rPr>
            </w:pPr>
            <w:r w:rsidRPr="006C40C1">
              <w:rPr>
                <w:sz w:val="16"/>
              </w:rPr>
              <w:t>Utgifter exkl. statsskuldsräntor</w:t>
            </w:r>
          </w:p>
        </w:tc>
        <w:tc>
          <w:tcPr>
            <w:tcW w:w="709" w:type="dxa"/>
          </w:tcPr>
          <w:p w:rsidR="00AA5D77" w:rsidRPr="006C40C1" w:rsidRDefault="00AA5D77">
            <w:pPr>
              <w:pStyle w:val="TabellfrklaringFiU20"/>
              <w:keepLines w:val="0"/>
              <w:widowControl w:val="0"/>
              <w:spacing w:before="0"/>
              <w:jc w:val="right"/>
              <w:rPr>
                <w:sz w:val="16"/>
              </w:rPr>
            </w:pPr>
            <w:r w:rsidRPr="006C40C1">
              <w:rPr>
                <w:sz w:val="16"/>
              </w:rPr>
              <w:t>-658,2</w:t>
            </w:r>
          </w:p>
        </w:tc>
        <w:tc>
          <w:tcPr>
            <w:tcW w:w="708" w:type="dxa"/>
          </w:tcPr>
          <w:p w:rsidR="00AA5D77" w:rsidRPr="006C40C1" w:rsidRDefault="00AA5D77">
            <w:pPr>
              <w:pStyle w:val="TabellfrklaringFiU20"/>
              <w:keepLines w:val="0"/>
              <w:widowControl w:val="0"/>
              <w:spacing w:before="0"/>
              <w:jc w:val="right"/>
              <w:rPr>
                <w:sz w:val="16"/>
              </w:rPr>
            </w:pPr>
            <w:r w:rsidRPr="006C40C1">
              <w:rPr>
                <w:sz w:val="16"/>
              </w:rPr>
              <w:t>-661,6</w:t>
            </w:r>
          </w:p>
        </w:tc>
        <w:tc>
          <w:tcPr>
            <w:tcW w:w="709" w:type="dxa"/>
          </w:tcPr>
          <w:p w:rsidR="00AA5D77" w:rsidRPr="006C40C1" w:rsidRDefault="00AA5D77">
            <w:pPr>
              <w:pStyle w:val="TabellfrklaringFiU20"/>
              <w:keepLines w:val="0"/>
              <w:widowControl w:val="0"/>
              <w:spacing w:before="0"/>
              <w:jc w:val="right"/>
              <w:rPr>
                <w:sz w:val="16"/>
              </w:rPr>
            </w:pPr>
            <w:r w:rsidRPr="006C40C1">
              <w:rPr>
                <w:sz w:val="16"/>
              </w:rPr>
              <w:t>-687,9</w:t>
            </w:r>
          </w:p>
        </w:tc>
      </w:tr>
      <w:tr w:rsidR="00000000" w:rsidRPr="006C40C1">
        <w:tblPrEx>
          <w:tblCellMar>
            <w:top w:w="0" w:type="dxa"/>
            <w:bottom w:w="0" w:type="dxa"/>
          </w:tblCellMar>
        </w:tblPrEx>
        <w:trPr>
          <w:trHeight w:hRule="exact" w:val="200"/>
        </w:trPr>
        <w:tc>
          <w:tcPr>
            <w:tcW w:w="3189" w:type="dxa"/>
          </w:tcPr>
          <w:p w:rsidR="00AA5D77" w:rsidRPr="006C40C1" w:rsidRDefault="00AA5D77">
            <w:pPr>
              <w:pStyle w:val="TabellfrklaringFiU20"/>
              <w:keepLines w:val="0"/>
              <w:widowControl w:val="0"/>
              <w:spacing w:before="0"/>
              <w:rPr>
                <w:sz w:val="16"/>
              </w:rPr>
            </w:pPr>
            <w:r w:rsidRPr="006C40C1">
              <w:rPr>
                <w:sz w:val="16"/>
              </w:rPr>
              <w:t>Statsskuldsräntor m.m.</w:t>
            </w:r>
          </w:p>
        </w:tc>
        <w:tc>
          <w:tcPr>
            <w:tcW w:w="709" w:type="dxa"/>
          </w:tcPr>
          <w:p w:rsidR="00AA5D77" w:rsidRPr="006C40C1" w:rsidRDefault="00AA5D77">
            <w:pPr>
              <w:pStyle w:val="TabellfrklaringFiU20"/>
              <w:keepLines w:val="0"/>
              <w:widowControl w:val="0"/>
              <w:spacing w:before="0"/>
              <w:jc w:val="right"/>
              <w:rPr>
                <w:sz w:val="16"/>
              </w:rPr>
            </w:pPr>
            <w:r w:rsidRPr="006C40C1">
              <w:rPr>
                <w:sz w:val="16"/>
              </w:rPr>
              <w:t>-66,6</w:t>
            </w:r>
          </w:p>
        </w:tc>
        <w:tc>
          <w:tcPr>
            <w:tcW w:w="708" w:type="dxa"/>
          </w:tcPr>
          <w:p w:rsidR="00AA5D77" w:rsidRPr="006C40C1" w:rsidRDefault="00AA5D77">
            <w:pPr>
              <w:pStyle w:val="TabellfrklaringFiU20"/>
              <w:keepLines w:val="0"/>
              <w:widowControl w:val="0"/>
              <w:spacing w:before="0"/>
              <w:jc w:val="right"/>
              <w:rPr>
                <w:sz w:val="16"/>
              </w:rPr>
            </w:pPr>
            <w:r w:rsidRPr="006C40C1">
              <w:rPr>
                <w:sz w:val="16"/>
              </w:rPr>
              <w:t>-54,5</w:t>
            </w:r>
          </w:p>
        </w:tc>
        <w:tc>
          <w:tcPr>
            <w:tcW w:w="709" w:type="dxa"/>
          </w:tcPr>
          <w:p w:rsidR="00AA5D77" w:rsidRPr="006C40C1" w:rsidRDefault="00AA5D77">
            <w:pPr>
              <w:pStyle w:val="TabellfrklaringFiU20"/>
              <w:keepLines w:val="0"/>
              <w:widowControl w:val="0"/>
              <w:spacing w:before="0"/>
              <w:jc w:val="right"/>
              <w:rPr>
                <w:sz w:val="16"/>
              </w:rPr>
            </w:pPr>
            <w:r w:rsidRPr="006C40C1">
              <w:rPr>
                <w:sz w:val="16"/>
              </w:rPr>
              <w:t>-53,6</w:t>
            </w:r>
          </w:p>
        </w:tc>
      </w:tr>
      <w:tr w:rsidR="00000000" w:rsidRPr="006C40C1">
        <w:tblPrEx>
          <w:tblCellMar>
            <w:top w:w="0" w:type="dxa"/>
            <w:bottom w:w="0" w:type="dxa"/>
          </w:tblCellMar>
        </w:tblPrEx>
        <w:trPr>
          <w:trHeight w:hRule="exact" w:val="200"/>
        </w:trPr>
        <w:tc>
          <w:tcPr>
            <w:tcW w:w="3189" w:type="dxa"/>
          </w:tcPr>
          <w:p w:rsidR="00AA5D77" w:rsidRPr="006C40C1" w:rsidRDefault="00AA5D77">
            <w:pPr>
              <w:pStyle w:val="TabellfrklaringFiU20"/>
              <w:keepLines w:val="0"/>
              <w:widowControl w:val="0"/>
              <w:spacing w:before="0"/>
              <w:rPr>
                <w:i/>
                <w:sz w:val="16"/>
              </w:rPr>
            </w:pPr>
            <w:r w:rsidRPr="006C40C1">
              <w:rPr>
                <w:i/>
                <w:sz w:val="16"/>
              </w:rPr>
              <w:t>Netto</w:t>
            </w:r>
          </w:p>
        </w:tc>
        <w:tc>
          <w:tcPr>
            <w:tcW w:w="709" w:type="dxa"/>
          </w:tcPr>
          <w:p w:rsidR="00AA5D77" w:rsidRPr="006C40C1" w:rsidRDefault="00AA5D77">
            <w:pPr>
              <w:pStyle w:val="TabellfrklaringFiU20"/>
              <w:keepLines w:val="0"/>
              <w:widowControl w:val="0"/>
              <w:spacing w:before="0"/>
              <w:jc w:val="right"/>
              <w:rPr>
                <w:i/>
                <w:sz w:val="16"/>
              </w:rPr>
            </w:pPr>
            <w:r w:rsidRPr="006C40C1">
              <w:rPr>
                <w:i/>
                <w:sz w:val="16"/>
              </w:rPr>
              <w:t>+0,2</w:t>
            </w:r>
          </w:p>
        </w:tc>
        <w:tc>
          <w:tcPr>
            <w:tcW w:w="708" w:type="dxa"/>
          </w:tcPr>
          <w:p w:rsidR="00AA5D77" w:rsidRPr="006C40C1" w:rsidRDefault="00AA5D77">
            <w:pPr>
              <w:pStyle w:val="TabellfrklaringFiU20"/>
              <w:keepLines w:val="0"/>
              <w:widowControl w:val="0"/>
              <w:spacing w:before="0"/>
              <w:jc w:val="right"/>
              <w:rPr>
                <w:i/>
                <w:sz w:val="16"/>
              </w:rPr>
            </w:pPr>
            <w:r w:rsidRPr="006C40C1">
              <w:rPr>
                <w:i/>
                <w:sz w:val="16"/>
              </w:rPr>
              <w:t>-15,2</w:t>
            </w:r>
          </w:p>
        </w:tc>
        <w:tc>
          <w:tcPr>
            <w:tcW w:w="709" w:type="dxa"/>
          </w:tcPr>
          <w:p w:rsidR="00AA5D77" w:rsidRPr="006C40C1" w:rsidRDefault="00AA5D77">
            <w:pPr>
              <w:pStyle w:val="TabellfrklaringFiU20"/>
              <w:keepLines w:val="0"/>
              <w:widowControl w:val="0"/>
              <w:spacing w:before="0"/>
              <w:jc w:val="right"/>
              <w:rPr>
                <w:i/>
                <w:sz w:val="16"/>
              </w:rPr>
            </w:pPr>
            <w:r w:rsidRPr="006C40C1">
              <w:rPr>
                <w:i/>
                <w:sz w:val="16"/>
              </w:rPr>
              <w:t>-11,1</w:t>
            </w:r>
          </w:p>
        </w:tc>
      </w:tr>
      <w:tr w:rsidR="00000000" w:rsidRPr="006C40C1">
        <w:tblPrEx>
          <w:tblCellMar>
            <w:top w:w="0" w:type="dxa"/>
            <w:bottom w:w="0" w:type="dxa"/>
          </w:tblCellMar>
        </w:tblPrEx>
        <w:trPr>
          <w:trHeight w:hRule="exact" w:val="200"/>
        </w:trPr>
        <w:tc>
          <w:tcPr>
            <w:tcW w:w="3189" w:type="dxa"/>
          </w:tcPr>
          <w:p w:rsidR="00AA5D77" w:rsidRPr="006C40C1" w:rsidRDefault="00AA5D77">
            <w:pPr>
              <w:pStyle w:val="TabellfrklaringFiU20"/>
              <w:keepLines w:val="0"/>
              <w:widowControl w:val="0"/>
              <w:spacing w:before="0"/>
              <w:rPr>
                <w:sz w:val="16"/>
              </w:rPr>
            </w:pPr>
            <w:r w:rsidRPr="006C40C1">
              <w:rPr>
                <w:sz w:val="16"/>
              </w:rPr>
              <w:t>Riksgäldskontorets nettoutlåning</w:t>
            </w:r>
          </w:p>
        </w:tc>
        <w:tc>
          <w:tcPr>
            <w:tcW w:w="709" w:type="dxa"/>
          </w:tcPr>
          <w:p w:rsidR="00AA5D77" w:rsidRPr="006C40C1" w:rsidRDefault="00AA5D77">
            <w:pPr>
              <w:pStyle w:val="TabellfrklaringFiU20"/>
              <w:keepLines w:val="0"/>
              <w:widowControl w:val="0"/>
              <w:spacing w:before="0"/>
              <w:jc w:val="right"/>
              <w:rPr>
                <w:sz w:val="16"/>
              </w:rPr>
            </w:pPr>
            <w:r w:rsidRPr="006C40C1">
              <w:rPr>
                <w:sz w:val="16"/>
              </w:rPr>
              <w:t>-0,5</w:t>
            </w:r>
          </w:p>
        </w:tc>
        <w:tc>
          <w:tcPr>
            <w:tcW w:w="708" w:type="dxa"/>
          </w:tcPr>
          <w:p w:rsidR="00AA5D77" w:rsidRPr="006C40C1" w:rsidRDefault="00AA5D77">
            <w:pPr>
              <w:pStyle w:val="TabellfrklaringFiU20"/>
              <w:keepLines w:val="0"/>
              <w:widowControl w:val="0"/>
              <w:spacing w:before="0"/>
              <w:jc w:val="right"/>
              <w:rPr>
                <w:sz w:val="16"/>
              </w:rPr>
            </w:pPr>
            <w:r w:rsidRPr="006C40C1">
              <w:rPr>
                <w:sz w:val="16"/>
              </w:rPr>
              <w:t>-12,0</w:t>
            </w:r>
          </w:p>
        </w:tc>
        <w:tc>
          <w:tcPr>
            <w:tcW w:w="709" w:type="dxa"/>
          </w:tcPr>
          <w:p w:rsidR="00AA5D77" w:rsidRPr="006C40C1" w:rsidRDefault="00AA5D77">
            <w:pPr>
              <w:pStyle w:val="TabellfrklaringFiU20"/>
              <w:keepLines w:val="0"/>
              <w:widowControl w:val="0"/>
              <w:spacing w:before="0"/>
              <w:jc w:val="right"/>
              <w:rPr>
                <w:sz w:val="16"/>
              </w:rPr>
            </w:pPr>
            <w:r w:rsidRPr="006C40C1">
              <w:rPr>
                <w:sz w:val="16"/>
              </w:rPr>
              <w:t>-14,5</w:t>
            </w:r>
          </w:p>
        </w:tc>
      </w:tr>
      <w:tr w:rsidR="00000000" w:rsidRPr="006C40C1">
        <w:tblPrEx>
          <w:tblCellMar>
            <w:top w:w="0" w:type="dxa"/>
            <w:bottom w:w="0" w:type="dxa"/>
          </w:tblCellMar>
        </w:tblPrEx>
        <w:trPr>
          <w:trHeight w:hRule="exact" w:val="200"/>
        </w:trPr>
        <w:tc>
          <w:tcPr>
            <w:tcW w:w="3189" w:type="dxa"/>
          </w:tcPr>
          <w:p w:rsidR="00AA5D77" w:rsidRPr="006C40C1" w:rsidRDefault="00AA5D77">
            <w:pPr>
              <w:pStyle w:val="TabellfrklaringFiU20"/>
              <w:keepLines w:val="0"/>
              <w:widowControl w:val="0"/>
              <w:spacing w:before="0"/>
              <w:rPr>
                <w:sz w:val="16"/>
              </w:rPr>
            </w:pPr>
            <w:r w:rsidRPr="006C40C1">
              <w:rPr>
                <w:sz w:val="16"/>
              </w:rPr>
              <w:t>Kassamässig korrigering</w:t>
            </w:r>
          </w:p>
        </w:tc>
        <w:tc>
          <w:tcPr>
            <w:tcW w:w="709" w:type="dxa"/>
          </w:tcPr>
          <w:p w:rsidR="00AA5D77" w:rsidRPr="006C40C1" w:rsidRDefault="00AA5D77">
            <w:pPr>
              <w:pStyle w:val="TabellfrklaringFiU20"/>
              <w:keepLines w:val="0"/>
              <w:widowControl w:val="0"/>
              <w:spacing w:before="0"/>
              <w:jc w:val="right"/>
              <w:rPr>
                <w:sz w:val="16"/>
              </w:rPr>
            </w:pPr>
            <w:r w:rsidRPr="006C40C1">
              <w:rPr>
                <w:sz w:val="16"/>
              </w:rPr>
              <w:t>+8,7</w:t>
            </w:r>
          </w:p>
        </w:tc>
        <w:tc>
          <w:tcPr>
            <w:tcW w:w="708" w:type="dxa"/>
          </w:tcPr>
          <w:p w:rsidR="00AA5D77" w:rsidRPr="006C40C1" w:rsidRDefault="00AA5D77">
            <w:pPr>
              <w:pStyle w:val="TabellfrklaringFiU20"/>
              <w:keepLines w:val="0"/>
              <w:widowControl w:val="0"/>
              <w:spacing w:before="0"/>
              <w:jc w:val="right"/>
              <w:rPr>
                <w:sz w:val="16"/>
              </w:rPr>
            </w:pPr>
            <w:r w:rsidRPr="006C40C1">
              <w:rPr>
                <w:sz w:val="16"/>
              </w:rPr>
              <w:t>+13,4</w:t>
            </w:r>
          </w:p>
        </w:tc>
        <w:tc>
          <w:tcPr>
            <w:tcW w:w="709" w:type="dxa"/>
          </w:tcPr>
          <w:p w:rsidR="00AA5D77" w:rsidRPr="006C40C1" w:rsidRDefault="00AA5D77">
            <w:pPr>
              <w:pStyle w:val="TabellfrklaringFiU20"/>
              <w:keepLines w:val="0"/>
              <w:widowControl w:val="0"/>
              <w:spacing w:before="0"/>
              <w:jc w:val="right"/>
              <w:rPr>
                <w:sz w:val="16"/>
              </w:rPr>
            </w:pPr>
            <w:r w:rsidRPr="006C40C1">
              <w:rPr>
                <w:sz w:val="16"/>
              </w:rPr>
              <w:t>+3,9</w:t>
            </w:r>
          </w:p>
        </w:tc>
      </w:tr>
      <w:tr w:rsidR="00000000" w:rsidRPr="006C40C1">
        <w:tblPrEx>
          <w:tblCellMar>
            <w:top w:w="0" w:type="dxa"/>
            <w:bottom w:w="0" w:type="dxa"/>
          </w:tblCellMar>
        </w:tblPrEx>
        <w:trPr>
          <w:trHeight w:hRule="exact" w:val="200"/>
        </w:trPr>
        <w:tc>
          <w:tcPr>
            <w:tcW w:w="3189" w:type="dxa"/>
            <w:tcBorders>
              <w:bottom w:val="single" w:sz="4" w:space="0" w:color="auto"/>
            </w:tcBorders>
          </w:tcPr>
          <w:p w:rsidR="00AA5D77" w:rsidRPr="006C40C1" w:rsidRDefault="00AA5D77">
            <w:pPr>
              <w:pStyle w:val="TabellfrklaringFiU20"/>
              <w:keepNext w:val="0"/>
              <w:keepLines w:val="0"/>
              <w:widowControl w:val="0"/>
              <w:spacing w:before="0"/>
              <w:rPr>
                <w:b/>
                <w:sz w:val="16"/>
              </w:rPr>
            </w:pPr>
            <w:r w:rsidRPr="006C40C1">
              <w:rPr>
                <w:b/>
                <w:sz w:val="16"/>
              </w:rPr>
              <w:t>Statsbudgetens saldo (beräknat lånebehov)</w:t>
            </w:r>
          </w:p>
        </w:tc>
        <w:tc>
          <w:tcPr>
            <w:tcW w:w="709" w:type="dxa"/>
            <w:tcBorders>
              <w:bottom w:val="single" w:sz="4" w:space="0" w:color="auto"/>
            </w:tcBorders>
          </w:tcPr>
          <w:p w:rsidR="00AA5D77" w:rsidRPr="006C40C1" w:rsidRDefault="00AA5D77">
            <w:pPr>
              <w:pStyle w:val="TabellfrklaringFiU20"/>
              <w:keepNext w:val="0"/>
              <w:keepLines w:val="0"/>
              <w:widowControl w:val="0"/>
              <w:spacing w:before="0"/>
              <w:jc w:val="right"/>
              <w:rPr>
                <w:b/>
                <w:sz w:val="16"/>
              </w:rPr>
            </w:pPr>
            <w:r w:rsidRPr="006C40C1">
              <w:rPr>
                <w:b/>
                <w:sz w:val="16"/>
              </w:rPr>
              <w:t>+8,5</w:t>
            </w:r>
          </w:p>
        </w:tc>
        <w:tc>
          <w:tcPr>
            <w:tcW w:w="708" w:type="dxa"/>
            <w:tcBorders>
              <w:bottom w:val="single" w:sz="4" w:space="0" w:color="auto"/>
            </w:tcBorders>
          </w:tcPr>
          <w:p w:rsidR="00AA5D77" w:rsidRPr="006C40C1" w:rsidRDefault="00AA5D77">
            <w:pPr>
              <w:pStyle w:val="TabellfrklaringFiU20"/>
              <w:keepNext w:val="0"/>
              <w:keepLines w:val="0"/>
              <w:widowControl w:val="0"/>
              <w:spacing w:before="0"/>
              <w:jc w:val="right"/>
              <w:rPr>
                <w:b/>
                <w:sz w:val="16"/>
              </w:rPr>
            </w:pPr>
            <w:r w:rsidRPr="006C40C1">
              <w:rPr>
                <w:b/>
                <w:sz w:val="16"/>
              </w:rPr>
              <w:t>-13,8</w:t>
            </w:r>
          </w:p>
        </w:tc>
        <w:tc>
          <w:tcPr>
            <w:tcW w:w="709" w:type="dxa"/>
            <w:tcBorders>
              <w:bottom w:val="single" w:sz="4" w:space="0" w:color="auto"/>
            </w:tcBorders>
          </w:tcPr>
          <w:p w:rsidR="00AA5D77" w:rsidRPr="006C40C1" w:rsidRDefault="00AA5D77">
            <w:pPr>
              <w:pStyle w:val="TabellfrklaringFiU20"/>
              <w:keepNext w:val="0"/>
              <w:keepLines w:val="0"/>
              <w:widowControl w:val="0"/>
              <w:spacing w:before="0"/>
              <w:jc w:val="right"/>
              <w:rPr>
                <w:b/>
                <w:sz w:val="16"/>
              </w:rPr>
            </w:pPr>
            <w:r w:rsidRPr="006C40C1">
              <w:rPr>
                <w:b/>
                <w:sz w:val="16"/>
              </w:rPr>
              <w:t>-21,7</w:t>
            </w:r>
          </w:p>
        </w:tc>
      </w:tr>
    </w:tbl>
    <w:p w:rsidR="00AA5D77" w:rsidRPr="006C40C1" w:rsidRDefault="00AA5D77">
      <w:pPr>
        <w:spacing w:before="360"/>
      </w:pPr>
      <w:r w:rsidRPr="006C40C1">
        <w:t>Av budgetpropositionen framgår att utgiftstaken för 2003 och 2004 ligger fast. Enligt regeringens mening bör emellertid, såsom tidigare skett, en te</w:t>
      </w:r>
      <w:r w:rsidRPr="006C40C1">
        <w:t>k</w:t>
      </w:r>
      <w:r w:rsidRPr="006C40C1">
        <w:t>nisk justering göras av nivån på utgiftstaken med hänsyn till de indirekta effekter som vissa av regeringens förslag har på dessa tak. Kommunkontos</w:t>
      </w:r>
      <w:r w:rsidRPr="006C40C1">
        <w:t>y</w:t>
      </w:r>
      <w:r w:rsidRPr="006C40C1">
        <w:t>stemet ska exempelvis i fortsättningen redovisas på statsbudgetens inkomsts</w:t>
      </w:r>
      <w:r w:rsidRPr="006C40C1">
        <w:t>i</w:t>
      </w:r>
      <w:r w:rsidRPr="006C40C1">
        <w:t>da, och som en följd härav bör nivån på utgiftstaket sänkas med 31,4 milja</w:t>
      </w:r>
      <w:r w:rsidRPr="006C40C1">
        <w:t>r</w:t>
      </w:r>
      <w:r w:rsidRPr="006C40C1">
        <w:t>der kronor. Å andra sidan är det enligt regeringens bedömning motiverat att höja nivån på utgiftstaket till följd av att utgifterna för det statliga utjä</w:t>
      </w:r>
      <w:r w:rsidRPr="006C40C1">
        <w:t>m</w:t>
      </w:r>
      <w:r w:rsidRPr="006C40C1">
        <w:t>ningsbidraget nu bedöms bli 2,9 miljarder kronor större än</w:t>
      </w:r>
      <w:r w:rsidRPr="006C40C1">
        <w:t xml:space="preserve"> man tidigare rä</w:t>
      </w:r>
      <w:r w:rsidRPr="006C40C1">
        <w:t>k</w:t>
      </w:r>
      <w:r w:rsidRPr="006C40C1">
        <w:t>nade med. Eftersom denna utgiftsökning balanseras av en i princip lika stor ökning av statsbudgetens inkomster kommer varken budgetsaldo eller den konsoliderade offentliga sektorns utgifter att påverkas av denna förändring. Nivån på utgiftstaket bör enligt regeringens mening också höjas med anle</w:t>
      </w:r>
      <w:r w:rsidRPr="006C40C1">
        <w:t>d</w:t>
      </w:r>
      <w:r w:rsidRPr="006C40C1">
        <w:t>ning av en i propositionen föreslagen höjning av grundavdraget, vilket min</w:t>
      </w:r>
      <w:r w:rsidRPr="006C40C1">
        <w:t>s</w:t>
      </w:r>
      <w:r w:rsidRPr="006C40C1">
        <w:t>kar kommunsektorns skatteinkomster och föranleder en lika stor höjning av det generella statsbidraget till kommuner och lan</w:t>
      </w:r>
      <w:r w:rsidRPr="006C40C1">
        <w:t>dsting. Kommunsektorns totala inkomster och den offentliga sektorns konsoliderade utgifter blir dä</w:t>
      </w:r>
      <w:r w:rsidRPr="006C40C1">
        <w:t>r</w:t>
      </w:r>
      <w:r w:rsidRPr="006C40C1">
        <w:t>med oförändrade.</w:t>
      </w:r>
    </w:p>
    <w:p w:rsidR="00AA5D77" w:rsidRPr="006C40C1" w:rsidRDefault="00AA5D77">
      <w:pPr>
        <w:pStyle w:val="Normaltindrag"/>
      </w:pPr>
      <w:r w:rsidRPr="006C40C1">
        <w:t>I motion Fi230 (s, v, mp) föreslås en ytterligare höjning av grundavdraget, vilket borde föranleda en motsvarande uppräkning av det generella kommu</w:t>
      </w:r>
      <w:r w:rsidRPr="006C40C1">
        <w:t>n</w:t>
      </w:r>
      <w:r w:rsidRPr="006C40C1">
        <w:t>bidraget. I likhet med vad som föreslås i propositionen borde denna tillko</w:t>
      </w:r>
      <w:r w:rsidRPr="006C40C1">
        <w:t>m</w:t>
      </w:r>
      <w:r w:rsidRPr="006C40C1">
        <w:t>mande höjning av det generella statsbidraget också föranleda en teknisk j</w:t>
      </w:r>
      <w:r w:rsidRPr="006C40C1">
        <w:t>u</w:t>
      </w:r>
      <w:r w:rsidRPr="006C40C1">
        <w:t>stering av utgiftstaken.</w:t>
      </w:r>
    </w:p>
    <w:p w:rsidR="00AA5D77" w:rsidRPr="006C40C1" w:rsidRDefault="00AA5D77">
      <w:pPr>
        <w:pStyle w:val="Normaltindrag"/>
      </w:pPr>
      <w:r w:rsidRPr="006C40C1">
        <w:t>Sammantaget leder detta till att utgiftstaket bör justeras med följande b</w:t>
      </w:r>
      <w:r w:rsidRPr="006C40C1">
        <w:t>e</w:t>
      </w:r>
      <w:r w:rsidRPr="006C40C1">
        <w:t>lopp.</w:t>
      </w:r>
    </w:p>
    <w:p w:rsidR="00AA5D77" w:rsidRPr="006C40C1" w:rsidRDefault="00AA5D77">
      <w:pPr>
        <w:keepNext/>
        <w:spacing w:before="360" w:line="170" w:lineRule="exact"/>
        <w:rPr>
          <w:b/>
          <w:sz w:val="17"/>
        </w:rPr>
      </w:pPr>
      <w:bookmarkStart w:id="263" w:name="_Toc25304168"/>
      <w:r w:rsidRPr="006C40C1">
        <w:rPr>
          <w:b/>
          <w:sz w:val="17"/>
        </w:rPr>
        <w:t>Tabell 13.  Tekniska justeringar av utgiftstaket för staten</w:t>
      </w:r>
      <w:bookmarkEnd w:id="263"/>
    </w:p>
    <w:p w:rsidR="00AA5D77" w:rsidRPr="006C40C1" w:rsidRDefault="00AA5D77">
      <w:pPr>
        <w:pStyle w:val="TabellfrklaringFiU20"/>
        <w:keepLines w:val="0"/>
      </w:pPr>
      <w:r w:rsidRPr="006C40C1">
        <w:t>Miljarder kronor</w:t>
      </w:r>
    </w:p>
    <w:tbl>
      <w:tblPr>
        <w:tblW w:w="0" w:type="auto"/>
        <w:tblInd w:w="-70" w:type="dxa"/>
        <w:tblLayout w:type="fixed"/>
        <w:tblCellMar>
          <w:left w:w="70" w:type="dxa"/>
          <w:right w:w="70" w:type="dxa"/>
        </w:tblCellMar>
        <w:tblLook w:val="0000" w:firstRow="0" w:lastRow="0" w:firstColumn="0" w:lastColumn="0" w:noHBand="0" w:noVBand="0"/>
      </w:tblPr>
      <w:tblGrid>
        <w:gridCol w:w="2622"/>
        <w:gridCol w:w="567"/>
        <w:gridCol w:w="567"/>
        <w:gridCol w:w="567"/>
      </w:tblGrid>
      <w:tr w:rsidR="00000000" w:rsidRPr="006C40C1">
        <w:tblPrEx>
          <w:tblCellMar>
            <w:top w:w="0" w:type="dxa"/>
            <w:bottom w:w="0" w:type="dxa"/>
          </w:tblCellMar>
        </w:tblPrEx>
        <w:trPr>
          <w:trHeight w:hRule="exact" w:val="200"/>
        </w:trPr>
        <w:tc>
          <w:tcPr>
            <w:tcW w:w="2622" w:type="dxa"/>
            <w:tcBorders>
              <w:top w:val="single" w:sz="4" w:space="0" w:color="auto"/>
              <w:bottom w:val="single" w:sz="4" w:space="0" w:color="auto"/>
            </w:tcBorders>
          </w:tcPr>
          <w:p w:rsidR="00AA5D77" w:rsidRPr="006C40C1" w:rsidRDefault="00AA5D77">
            <w:pPr>
              <w:pStyle w:val="TabellfrklaringFiU20"/>
              <w:keepLines w:val="0"/>
              <w:spacing w:before="0"/>
            </w:pPr>
          </w:p>
        </w:tc>
        <w:tc>
          <w:tcPr>
            <w:tcW w:w="567" w:type="dxa"/>
            <w:tcBorders>
              <w:top w:val="single" w:sz="4" w:space="0" w:color="auto"/>
              <w:bottom w:val="single" w:sz="4" w:space="0" w:color="auto"/>
            </w:tcBorders>
          </w:tcPr>
          <w:p w:rsidR="00AA5D77" w:rsidRPr="006C40C1" w:rsidRDefault="00AA5D77">
            <w:pPr>
              <w:pStyle w:val="TabellfrklaringFiU20"/>
              <w:keepLines w:val="0"/>
              <w:spacing w:before="0"/>
              <w:jc w:val="right"/>
              <w:rPr>
                <w:b/>
                <w:sz w:val="16"/>
              </w:rPr>
            </w:pPr>
            <w:r w:rsidRPr="006C40C1">
              <w:rPr>
                <w:b/>
                <w:sz w:val="16"/>
              </w:rPr>
              <w:t>2002</w:t>
            </w:r>
          </w:p>
        </w:tc>
        <w:tc>
          <w:tcPr>
            <w:tcW w:w="567" w:type="dxa"/>
            <w:tcBorders>
              <w:top w:val="single" w:sz="4" w:space="0" w:color="auto"/>
              <w:bottom w:val="single" w:sz="4" w:space="0" w:color="auto"/>
            </w:tcBorders>
          </w:tcPr>
          <w:p w:rsidR="00AA5D77" w:rsidRPr="006C40C1" w:rsidRDefault="00AA5D77">
            <w:pPr>
              <w:pStyle w:val="TabellfrklaringFiU20"/>
              <w:keepLines w:val="0"/>
              <w:spacing w:before="0"/>
              <w:jc w:val="right"/>
              <w:rPr>
                <w:b/>
                <w:sz w:val="16"/>
              </w:rPr>
            </w:pPr>
            <w:r w:rsidRPr="006C40C1">
              <w:rPr>
                <w:b/>
                <w:sz w:val="16"/>
              </w:rPr>
              <w:t>2003</w:t>
            </w:r>
          </w:p>
        </w:tc>
        <w:tc>
          <w:tcPr>
            <w:tcW w:w="567" w:type="dxa"/>
            <w:tcBorders>
              <w:top w:val="single" w:sz="4" w:space="0" w:color="auto"/>
              <w:bottom w:val="single" w:sz="4" w:space="0" w:color="auto"/>
            </w:tcBorders>
          </w:tcPr>
          <w:p w:rsidR="00AA5D77" w:rsidRPr="006C40C1" w:rsidRDefault="00AA5D77">
            <w:pPr>
              <w:pStyle w:val="TabellfrklaringFiU20"/>
              <w:keepLines w:val="0"/>
              <w:spacing w:before="0"/>
              <w:jc w:val="right"/>
              <w:rPr>
                <w:b/>
                <w:sz w:val="16"/>
              </w:rPr>
            </w:pPr>
            <w:r w:rsidRPr="006C40C1">
              <w:rPr>
                <w:b/>
                <w:sz w:val="16"/>
              </w:rPr>
              <w:t>2004</w:t>
            </w:r>
          </w:p>
        </w:tc>
      </w:tr>
      <w:tr w:rsidR="00000000" w:rsidRPr="006C40C1">
        <w:tblPrEx>
          <w:tblCellMar>
            <w:top w:w="0" w:type="dxa"/>
            <w:bottom w:w="0" w:type="dxa"/>
          </w:tblCellMar>
        </w:tblPrEx>
        <w:trPr>
          <w:trHeight w:hRule="exact" w:val="200"/>
        </w:trPr>
        <w:tc>
          <w:tcPr>
            <w:tcW w:w="2622" w:type="dxa"/>
            <w:tcBorders>
              <w:top w:val="single" w:sz="4" w:space="0" w:color="auto"/>
            </w:tcBorders>
          </w:tcPr>
          <w:p w:rsidR="00AA5D77" w:rsidRPr="006C40C1" w:rsidRDefault="00AA5D77">
            <w:pPr>
              <w:pStyle w:val="TabellfrklaringFiU20"/>
              <w:keepLines w:val="0"/>
              <w:spacing w:before="0"/>
              <w:rPr>
                <w:b/>
                <w:sz w:val="16"/>
              </w:rPr>
            </w:pPr>
            <w:r w:rsidRPr="006C40C1">
              <w:rPr>
                <w:b/>
                <w:sz w:val="16"/>
              </w:rPr>
              <w:t>Nuvarande utgiftstak</w:t>
            </w:r>
          </w:p>
        </w:tc>
        <w:tc>
          <w:tcPr>
            <w:tcW w:w="567" w:type="dxa"/>
            <w:tcBorders>
              <w:top w:val="single" w:sz="4" w:space="0" w:color="auto"/>
            </w:tcBorders>
          </w:tcPr>
          <w:p w:rsidR="00AA5D77" w:rsidRPr="006C40C1" w:rsidRDefault="00AA5D77">
            <w:pPr>
              <w:pStyle w:val="TabellfrklaringFiU20"/>
              <w:keepLines w:val="0"/>
              <w:spacing w:before="0"/>
              <w:jc w:val="right"/>
              <w:rPr>
                <w:b/>
                <w:sz w:val="16"/>
              </w:rPr>
            </w:pPr>
            <w:r w:rsidRPr="006C40C1">
              <w:rPr>
                <w:b/>
                <w:sz w:val="16"/>
              </w:rPr>
              <w:t>809  </w:t>
            </w:r>
          </w:p>
        </w:tc>
        <w:tc>
          <w:tcPr>
            <w:tcW w:w="567" w:type="dxa"/>
            <w:tcBorders>
              <w:top w:val="single" w:sz="4" w:space="0" w:color="auto"/>
            </w:tcBorders>
          </w:tcPr>
          <w:p w:rsidR="00AA5D77" w:rsidRPr="006C40C1" w:rsidRDefault="00AA5D77">
            <w:pPr>
              <w:pStyle w:val="TabellfrklaringFiU20"/>
              <w:keepLines w:val="0"/>
              <w:spacing w:before="0"/>
              <w:jc w:val="right"/>
              <w:rPr>
                <w:b/>
                <w:sz w:val="16"/>
              </w:rPr>
            </w:pPr>
            <w:r w:rsidRPr="006C40C1">
              <w:rPr>
                <w:b/>
                <w:sz w:val="16"/>
              </w:rPr>
              <w:t>844  </w:t>
            </w:r>
          </w:p>
        </w:tc>
        <w:tc>
          <w:tcPr>
            <w:tcW w:w="567" w:type="dxa"/>
            <w:tcBorders>
              <w:top w:val="single" w:sz="4" w:space="0" w:color="auto"/>
            </w:tcBorders>
          </w:tcPr>
          <w:p w:rsidR="00AA5D77" w:rsidRPr="006C40C1" w:rsidRDefault="00AA5D77">
            <w:pPr>
              <w:pStyle w:val="TabellfrklaringFiU20"/>
              <w:keepLines w:val="0"/>
              <w:spacing w:before="0"/>
              <w:jc w:val="right"/>
              <w:rPr>
                <w:b/>
                <w:sz w:val="16"/>
              </w:rPr>
            </w:pPr>
            <w:r w:rsidRPr="006C40C1">
              <w:rPr>
                <w:b/>
                <w:sz w:val="16"/>
              </w:rPr>
              <w:t>878  </w:t>
            </w:r>
          </w:p>
        </w:tc>
      </w:tr>
      <w:tr w:rsidR="00000000" w:rsidRPr="006C40C1">
        <w:tblPrEx>
          <w:tblCellMar>
            <w:top w:w="0" w:type="dxa"/>
            <w:bottom w:w="0" w:type="dxa"/>
          </w:tblCellMar>
        </w:tblPrEx>
        <w:trPr>
          <w:trHeight w:hRule="exact" w:val="200"/>
        </w:trPr>
        <w:tc>
          <w:tcPr>
            <w:tcW w:w="2622" w:type="dxa"/>
          </w:tcPr>
          <w:p w:rsidR="00AA5D77" w:rsidRPr="006C40C1" w:rsidRDefault="00AA5D77">
            <w:pPr>
              <w:pStyle w:val="TabellfrklaringFiU20"/>
              <w:keepLines w:val="0"/>
              <w:spacing w:before="0"/>
              <w:rPr>
                <w:sz w:val="16"/>
              </w:rPr>
            </w:pPr>
            <w:r w:rsidRPr="006C40C1">
              <w:rPr>
                <w:sz w:val="16"/>
              </w:rPr>
              <w:t>Tekniska justeringar enl. BP</w:t>
            </w:r>
          </w:p>
        </w:tc>
        <w:tc>
          <w:tcPr>
            <w:tcW w:w="567" w:type="dxa"/>
          </w:tcPr>
          <w:p w:rsidR="00AA5D77" w:rsidRPr="006C40C1" w:rsidRDefault="00AA5D77">
            <w:pPr>
              <w:pStyle w:val="TabellfrklaringFiU20"/>
              <w:keepLines w:val="0"/>
              <w:spacing w:before="0"/>
              <w:jc w:val="right"/>
              <w:rPr>
                <w:sz w:val="16"/>
              </w:rPr>
            </w:pPr>
            <w:r w:rsidRPr="006C40C1">
              <w:rPr>
                <w:sz w:val="16"/>
              </w:rPr>
              <w:t>+2,9</w:t>
            </w:r>
          </w:p>
        </w:tc>
        <w:tc>
          <w:tcPr>
            <w:tcW w:w="567" w:type="dxa"/>
          </w:tcPr>
          <w:p w:rsidR="00AA5D77" w:rsidRPr="006C40C1" w:rsidRDefault="00AA5D77">
            <w:pPr>
              <w:pStyle w:val="TabellfrklaringFiU20"/>
              <w:keepLines w:val="0"/>
              <w:spacing w:before="0"/>
              <w:jc w:val="right"/>
              <w:rPr>
                <w:sz w:val="16"/>
              </w:rPr>
            </w:pPr>
            <w:r w:rsidRPr="006C40C1">
              <w:rPr>
                <w:sz w:val="16"/>
              </w:rPr>
              <w:t>-26,0</w:t>
            </w:r>
          </w:p>
        </w:tc>
        <w:tc>
          <w:tcPr>
            <w:tcW w:w="567" w:type="dxa"/>
          </w:tcPr>
          <w:p w:rsidR="00AA5D77" w:rsidRPr="006C40C1" w:rsidRDefault="00AA5D77">
            <w:pPr>
              <w:pStyle w:val="TabellfrklaringFiU20"/>
              <w:keepLines w:val="0"/>
              <w:spacing w:before="0"/>
              <w:jc w:val="right"/>
              <w:rPr>
                <w:sz w:val="16"/>
              </w:rPr>
            </w:pPr>
            <w:r w:rsidRPr="006C40C1">
              <w:rPr>
                <w:sz w:val="16"/>
              </w:rPr>
              <w:t>-26,0</w:t>
            </w:r>
          </w:p>
        </w:tc>
      </w:tr>
      <w:tr w:rsidR="00000000" w:rsidRPr="006C40C1">
        <w:tblPrEx>
          <w:tblCellMar>
            <w:top w:w="0" w:type="dxa"/>
            <w:bottom w:w="0" w:type="dxa"/>
          </w:tblCellMar>
        </w:tblPrEx>
        <w:trPr>
          <w:trHeight w:hRule="exact" w:val="200"/>
        </w:trPr>
        <w:tc>
          <w:tcPr>
            <w:tcW w:w="2622" w:type="dxa"/>
          </w:tcPr>
          <w:p w:rsidR="00AA5D77" w:rsidRPr="006C40C1" w:rsidRDefault="00AA5D77">
            <w:pPr>
              <w:pStyle w:val="TabellfrklaringFiU20"/>
              <w:keepLines w:val="0"/>
              <w:spacing w:before="0"/>
              <w:rPr>
                <w:sz w:val="16"/>
              </w:rPr>
            </w:pPr>
            <w:r w:rsidRPr="006C40C1">
              <w:rPr>
                <w:sz w:val="16"/>
              </w:rPr>
              <w:t>Dito m.a.a. motion Fi230 (s, v, mp)</w:t>
            </w:r>
          </w:p>
          <w:p w:rsidR="00AA5D77" w:rsidRPr="006C40C1" w:rsidRDefault="00AA5D77">
            <w:pPr>
              <w:pStyle w:val="TabellfrklaringFiU20"/>
              <w:keepLines w:val="0"/>
              <w:spacing w:before="0"/>
              <w:rPr>
                <w:sz w:val="16"/>
              </w:rPr>
            </w:pPr>
          </w:p>
          <w:p w:rsidR="00AA5D77" w:rsidRPr="006C40C1" w:rsidRDefault="00AA5D77">
            <w:pPr>
              <w:pStyle w:val="TabellfrklaringFiU20"/>
              <w:keepLines w:val="0"/>
              <w:spacing w:before="0"/>
              <w:rPr>
                <w:sz w:val="16"/>
              </w:rPr>
            </w:pPr>
            <w:r w:rsidRPr="006C40C1">
              <w:rPr>
                <w:sz w:val="16"/>
              </w:rPr>
              <w:t>, mp)</w:t>
            </w:r>
          </w:p>
        </w:tc>
        <w:tc>
          <w:tcPr>
            <w:tcW w:w="567" w:type="dxa"/>
          </w:tcPr>
          <w:p w:rsidR="00AA5D77" w:rsidRPr="006C40C1" w:rsidRDefault="00AA5D77">
            <w:pPr>
              <w:pStyle w:val="TabellfrklaringFiU20"/>
              <w:keepLines w:val="0"/>
              <w:spacing w:before="0"/>
              <w:jc w:val="right"/>
              <w:rPr>
                <w:b/>
                <w:sz w:val="16"/>
              </w:rPr>
            </w:pPr>
          </w:p>
        </w:tc>
        <w:tc>
          <w:tcPr>
            <w:tcW w:w="567" w:type="dxa"/>
          </w:tcPr>
          <w:p w:rsidR="00AA5D77" w:rsidRPr="006C40C1" w:rsidRDefault="00AA5D77">
            <w:pPr>
              <w:pStyle w:val="TabellfrklaringFiU20"/>
              <w:keepLines w:val="0"/>
              <w:spacing w:before="0"/>
              <w:jc w:val="right"/>
              <w:rPr>
                <w:sz w:val="16"/>
              </w:rPr>
            </w:pPr>
            <w:r w:rsidRPr="006C40C1">
              <w:rPr>
                <w:sz w:val="16"/>
              </w:rPr>
              <w:t>+0,5</w:t>
            </w:r>
          </w:p>
        </w:tc>
        <w:tc>
          <w:tcPr>
            <w:tcW w:w="567" w:type="dxa"/>
          </w:tcPr>
          <w:p w:rsidR="00AA5D77" w:rsidRPr="006C40C1" w:rsidRDefault="00AA5D77">
            <w:pPr>
              <w:pStyle w:val="TabellfrklaringFiU20"/>
              <w:keepLines w:val="0"/>
              <w:spacing w:before="0"/>
              <w:jc w:val="right"/>
              <w:rPr>
                <w:sz w:val="16"/>
              </w:rPr>
            </w:pPr>
            <w:r w:rsidRPr="006C40C1">
              <w:rPr>
                <w:sz w:val="16"/>
              </w:rPr>
              <w:t>+0,5</w:t>
            </w:r>
          </w:p>
        </w:tc>
      </w:tr>
      <w:tr w:rsidR="00000000" w:rsidRPr="006C40C1">
        <w:tblPrEx>
          <w:tblCellMar>
            <w:top w:w="0" w:type="dxa"/>
            <w:bottom w:w="0" w:type="dxa"/>
          </w:tblCellMar>
        </w:tblPrEx>
        <w:trPr>
          <w:trHeight w:hRule="exact" w:val="200"/>
        </w:trPr>
        <w:tc>
          <w:tcPr>
            <w:tcW w:w="2622" w:type="dxa"/>
            <w:tcBorders>
              <w:bottom w:val="single" w:sz="4" w:space="0" w:color="auto"/>
            </w:tcBorders>
          </w:tcPr>
          <w:p w:rsidR="00AA5D77" w:rsidRPr="006C40C1" w:rsidRDefault="00AA5D77">
            <w:pPr>
              <w:pStyle w:val="TabellfrklaringFiU20"/>
              <w:keepNext w:val="0"/>
              <w:keepLines w:val="0"/>
              <w:spacing w:before="0"/>
              <w:rPr>
                <w:b/>
                <w:sz w:val="16"/>
              </w:rPr>
            </w:pPr>
            <w:r w:rsidRPr="006C40C1">
              <w:rPr>
                <w:b/>
                <w:sz w:val="16"/>
              </w:rPr>
              <w:t>Förslag till nytt utgiftstak</w:t>
            </w:r>
          </w:p>
        </w:tc>
        <w:tc>
          <w:tcPr>
            <w:tcW w:w="567" w:type="dxa"/>
            <w:tcBorders>
              <w:bottom w:val="single" w:sz="4" w:space="0" w:color="auto"/>
            </w:tcBorders>
          </w:tcPr>
          <w:p w:rsidR="00AA5D77" w:rsidRPr="006C40C1" w:rsidRDefault="00AA5D77">
            <w:pPr>
              <w:pStyle w:val="TabellfrklaringFiU20"/>
              <w:keepNext w:val="0"/>
              <w:keepLines w:val="0"/>
              <w:spacing w:before="0"/>
              <w:jc w:val="right"/>
              <w:rPr>
                <w:b/>
                <w:sz w:val="16"/>
              </w:rPr>
            </w:pPr>
            <w:r w:rsidRPr="006C40C1">
              <w:rPr>
                <w:b/>
                <w:sz w:val="16"/>
              </w:rPr>
              <w:t>812  </w:t>
            </w:r>
          </w:p>
        </w:tc>
        <w:tc>
          <w:tcPr>
            <w:tcW w:w="567" w:type="dxa"/>
            <w:tcBorders>
              <w:bottom w:val="single" w:sz="4" w:space="0" w:color="auto"/>
            </w:tcBorders>
          </w:tcPr>
          <w:p w:rsidR="00AA5D77" w:rsidRPr="006C40C1" w:rsidRDefault="00AA5D77">
            <w:pPr>
              <w:pStyle w:val="TabellfrklaringFiU20"/>
              <w:keepNext w:val="0"/>
              <w:keepLines w:val="0"/>
              <w:spacing w:before="0"/>
              <w:jc w:val="right"/>
              <w:rPr>
                <w:b/>
                <w:sz w:val="16"/>
              </w:rPr>
            </w:pPr>
            <w:r w:rsidRPr="006C40C1">
              <w:rPr>
                <w:b/>
                <w:sz w:val="16"/>
              </w:rPr>
              <w:t>819  </w:t>
            </w:r>
          </w:p>
        </w:tc>
        <w:tc>
          <w:tcPr>
            <w:tcW w:w="567" w:type="dxa"/>
            <w:tcBorders>
              <w:bottom w:val="single" w:sz="4" w:space="0" w:color="auto"/>
            </w:tcBorders>
          </w:tcPr>
          <w:p w:rsidR="00AA5D77" w:rsidRPr="006C40C1" w:rsidRDefault="00AA5D77">
            <w:pPr>
              <w:pStyle w:val="TabellfrklaringFiU20"/>
              <w:keepNext w:val="0"/>
              <w:keepLines w:val="0"/>
              <w:spacing w:before="0"/>
              <w:jc w:val="right"/>
              <w:rPr>
                <w:b/>
                <w:sz w:val="16"/>
              </w:rPr>
            </w:pPr>
            <w:r w:rsidRPr="006C40C1">
              <w:rPr>
                <w:b/>
                <w:sz w:val="16"/>
              </w:rPr>
              <w:t>853  </w:t>
            </w:r>
          </w:p>
        </w:tc>
      </w:tr>
    </w:tbl>
    <w:p w:rsidR="00AA5D77" w:rsidRPr="006C40C1" w:rsidRDefault="00AA5D77">
      <w:pPr>
        <w:spacing w:before="187"/>
        <w:rPr>
          <w:snapToGrid w:val="0"/>
          <w:lang w:eastAsia="sv-SE"/>
        </w:rPr>
      </w:pPr>
      <w:r w:rsidRPr="006C40C1">
        <w:rPr>
          <w:snapToGrid w:val="0"/>
          <w:lang w:eastAsia="sv-SE"/>
        </w:rPr>
        <w:t>Om det generella statsbidraget till kommuner räknas upp på detta sätt får utgiftstaken under de båda närmast efterföljande åren följande sammansät</w:t>
      </w:r>
      <w:r w:rsidRPr="006C40C1">
        <w:rPr>
          <w:snapToGrid w:val="0"/>
          <w:lang w:eastAsia="sv-SE"/>
        </w:rPr>
        <w:t>t</w:t>
      </w:r>
      <w:r w:rsidRPr="006C40C1">
        <w:rPr>
          <w:snapToGrid w:val="0"/>
          <w:lang w:eastAsia="sv-SE"/>
        </w:rPr>
        <w:t>ning.</w:t>
      </w:r>
    </w:p>
    <w:p w:rsidR="00AA5D77" w:rsidRPr="006C40C1" w:rsidRDefault="00AA5D77">
      <w:pPr>
        <w:keepNext/>
        <w:spacing w:before="360" w:line="170" w:lineRule="exact"/>
        <w:rPr>
          <w:b/>
          <w:sz w:val="17"/>
        </w:rPr>
      </w:pPr>
      <w:bookmarkStart w:id="264" w:name="_Toc515713008"/>
      <w:bookmarkStart w:id="265" w:name="_Toc516114667"/>
      <w:bookmarkStart w:id="266" w:name="_Toc516364774"/>
      <w:bookmarkStart w:id="267" w:name="_Toc25304169"/>
      <w:r w:rsidRPr="006C40C1">
        <w:rPr>
          <w:b/>
          <w:sz w:val="17"/>
        </w:rPr>
        <w:t>Tabell 14.  Utgiftstak för staten 2002–2004</w:t>
      </w:r>
      <w:bookmarkEnd w:id="264"/>
      <w:bookmarkEnd w:id="265"/>
      <w:bookmarkEnd w:id="266"/>
      <w:bookmarkEnd w:id="267"/>
    </w:p>
    <w:p w:rsidR="00AA5D77" w:rsidRPr="006C40C1" w:rsidRDefault="00AA5D77">
      <w:pPr>
        <w:pStyle w:val="TabellfrklaringFiU20"/>
      </w:pPr>
      <w:r w:rsidRPr="006C40C1">
        <w:t>Miljarder kronor</w:t>
      </w:r>
    </w:p>
    <w:tbl>
      <w:tblPr>
        <w:tblW w:w="0" w:type="auto"/>
        <w:jc w:val="right"/>
        <w:tblLayout w:type="fixed"/>
        <w:tblCellMar>
          <w:left w:w="70" w:type="dxa"/>
          <w:right w:w="70" w:type="dxa"/>
        </w:tblCellMar>
        <w:tblLook w:val="0000" w:firstRow="0" w:lastRow="0" w:firstColumn="0" w:lastColumn="0" w:noHBand="0" w:noVBand="0"/>
      </w:tblPr>
      <w:tblGrid>
        <w:gridCol w:w="4039"/>
        <w:gridCol w:w="709"/>
        <w:gridCol w:w="708"/>
        <w:gridCol w:w="567"/>
      </w:tblGrid>
      <w:tr w:rsidR="00000000" w:rsidRPr="006C40C1">
        <w:tblPrEx>
          <w:tblCellMar>
            <w:top w:w="0" w:type="dxa"/>
            <w:bottom w:w="0" w:type="dxa"/>
          </w:tblCellMar>
        </w:tblPrEx>
        <w:trPr>
          <w:trHeight w:hRule="exact" w:val="200"/>
          <w:jc w:val="right"/>
        </w:trPr>
        <w:tc>
          <w:tcPr>
            <w:tcW w:w="4039" w:type="dxa"/>
            <w:tcBorders>
              <w:top w:val="single" w:sz="4" w:space="0" w:color="auto"/>
              <w:bottom w:val="single" w:sz="4" w:space="0" w:color="auto"/>
            </w:tcBorders>
          </w:tcPr>
          <w:p w:rsidR="00AA5D77" w:rsidRPr="006C40C1" w:rsidRDefault="00AA5D77">
            <w:pPr>
              <w:pStyle w:val="TabellfrklaringFiU20"/>
              <w:spacing w:before="0"/>
              <w:jc w:val="left"/>
              <w:rPr>
                <w:b/>
                <w:sz w:val="16"/>
              </w:rPr>
            </w:pPr>
          </w:p>
        </w:tc>
        <w:tc>
          <w:tcPr>
            <w:tcW w:w="709" w:type="dxa"/>
            <w:tcBorders>
              <w:top w:val="single" w:sz="4" w:space="0" w:color="auto"/>
              <w:bottom w:val="single" w:sz="4" w:space="0" w:color="auto"/>
            </w:tcBorders>
          </w:tcPr>
          <w:p w:rsidR="00AA5D77" w:rsidRPr="006C40C1" w:rsidRDefault="00AA5D77">
            <w:pPr>
              <w:pStyle w:val="TabellfrklaringFiU20"/>
              <w:spacing w:before="0"/>
              <w:jc w:val="right"/>
              <w:rPr>
                <w:b/>
                <w:sz w:val="16"/>
              </w:rPr>
            </w:pPr>
            <w:r w:rsidRPr="006C40C1">
              <w:rPr>
                <w:b/>
                <w:sz w:val="16"/>
              </w:rPr>
              <w:t>2002</w:t>
            </w:r>
          </w:p>
        </w:tc>
        <w:tc>
          <w:tcPr>
            <w:tcW w:w="708" w:type="dxa"/>
            <w:tcBorders>
              <w:top w:val="single" w:sz="4" w:space="0" w:color="auto"/>
              <w:bottom w:val="single" w:sz="4" w:space="0" w:color="auto"/>
            </w:tcBorders>
          </w:tcPr>
          <w:p w:rsidR="00AA5D77" w:rsidRPr="006C40C1" w:rsidRDefault="00AA5D77">
            <w:pPr>
              <w:pStyle w:val="TabellfrklaringFiU20"/>
              <w:spacing w:before="0"/>
              <w:jc w:val="right"/>
              <w:rPr>
                <w:b/>
                <w:sz w:val="16"/>
              </w:rPr>
            </w:pPr>
            <w:r w:rsidRPr="006C40C1">
              <w:rPr>
                <w:b/>
                <w:sz w:val="16"/>
              </w:rPr>
              <w:t>2003</w:t>
            </w:r>
          </w:p>
        </w:tc>
        <w:tc>
          <w:tcPr>
            <w:tcW w:w="567" w:type="dxa"/>
            <w:tcBorders>
              <w:top w:val="single" w:sz="4" w:space="0" w:color="auto"/>
              <w:bottom w:val="single" w:sz="4" w:space="0" w:color="auto"/>
            </w:tcBorders>
          </w:tcPr>
          <w:p w:rsidR="00AA5D77" w:rsidRPr="006C40C1" w:rsidRDefault="00AA5D77">
            <w:pPr>
              <w:pStyle w:val="TabellfrklaringFiU20"/>
              <w:spacing w:before="0"/>
              <w:jc w:val="right"/>
              <w:rPr>
                <w:b/>
                <w:sz w:val="16"/>
              </w:rPr>
            </w:pPr>
            <w:r w:rsidRPr="006C40C1">
              <w:rPr>
                <w:b/>
                <w:sz w:val="16"/>
              </w:rPr>
              <w:t>2004</w:t>
            </w:r>
          </w:p>
        </w:tc>
      </w:tr>
      <w:tr w:rsidR="00000000" w:rsidRPr="006C40C1">
        <w:tblPrEx>
          <w:tblCellMar>
            <w:top w:w="0" w:type="dxa"/>
            <w:bottom w:w="0" w:type="dxa"/>
          </w:tblCellMar>
        </w:tblPrEx>
        <w:trPr>
          <w:trHeight w:hRule="exact" w:val="200"/>
          <w:jc w:val="right"/>
        </w:trPr>
        <w:tc>
          <w:tcPr>
            <w:tcW w:w="4039" w:type="dxa"/>
            <w:tcBorders>
              <w:top w:val="single" w:sz="4" w:space="0" w:color="auto"/>
            </w:tcBorders>
          </w:tcPr>
          <w:p w:rsidR="00AA5D77" w:rsidRPr="006C40C1" w:rsidRDefault="00AA5D77">
            <w:pPr>
              <w:pStyle w:val="TabellfrklaringFiU20"/>
              <w:spacing w:before="0"/>
              <w:jc w:val="left"/>
              <w:rPr>
                <w:sz w:val="16"/>
              </w:rPr>
            </w:pPr>
            <w:r w:rsidRPr="006C40C1">
              <w:rPr>
                <w:sz w:val="16"/>
              </w:rPr>
              <w:t>Summa utgiftsområden exkl. statsskuldsräntor</w:t>
            </w:r>
          </w:p>
        </w:tc>
        <w:tc>
          <w:tcPr>
            <w:tcW w:w="709" w:type="dxa"/>
            <w:tcBorders>
              <w:top w:val="single" w:sz="4" w:space="0" w:color="auto"/>
            </w:tcBorders>
          </w:tcPr>
          <w:p w:rsidR="00AA5D77" w:rsidRPr="006C40C1" w:rsidRDefault="00AA5D77">
            <w:pPr>
              <w:pStyle w:val="TabellfrklaringFiU20"/>
              <w:spacing w:before="0"/>
              <w:jc w:val="right"/>
              <w:rPr>
                <w:sz w:val="16"/>
              </w:rPr>
            </w:pPr>
            <w:r w:rsidRPr="006C40C1">
              <w:rPr>
                <w:sz w:val="16"/>
              </w:rPr>
              <w:t>658,2</w:t>
            </w:r>
          </w:p>
        </w:tc>
        <w:tc>
          <w:tcPr>
            <w:tcW w:w="708" w:type="dxa"/>
            <w:tcBorders>
              <w:top w:val="single" w:sz="4" w:space="0" w:color="auto"/>
            </w:tcBorders>
          </w:tcPr>
          <w:p w:rsidR="00AA5D77" w:rsidRPr="006C40C1" w:rsidRDefault="00AA5D77">
            <w:pPr>
              <w:pStyle w:val="TabellfrklaringFiU20"/>
              <w:spacing w:before="0"/>
              <w:jc w:val="right"/>
              <w:rPr>
                <w:sz w:val="16"/>
              </w:rPr>
            </w:pPr>
            <w:r w:rsidRPr="006C40C1">
              <w:rPr>
                <w:sz w:val="16"/>
              </w:rPr>
              <w:t>662,1</w:t>
            </w:r>
          </w:p>
        </w:tc>
        <w:tc>
          <w:tcPr>
            <w:tcW w:w="567" w:type="dxa"/>
            <w:tcBorders>
              <w:top w:val="single" w:sz="4" w:space="0" w:color="auto"/>
            </w:tcBorders>
          </w:tcPr>
          <w:p w:rsidR="00AA5D77" w:rsidRPr="006C40C1" w:rsidRDefault="00AA5D77">
            <w:pPr>
              <w:pStyle w:val="TabellfrklaringFiU20"/>
              <w:spacing w:before="0"/>
              <w:jc w:val="right"/>
              <w:rPr>
                <w:sz w:val="16"/>
              </w:rPr>
            </w:pPr>
            <w:r w:rsidRPr="006C40C1">
              <w:rPr>
                <w:sz w:val="16"/>
              </w:rPr>
              <w:t>688,3</w:t>
            </w:r>
          </w:p>
        </w:tc>
      </w:tr>
      <w:tr w:rsidR="00000000" w:rsidRPr="006C40C1">
        <w:tblPrEx>
          <w:tblCellMar>
            <w:top w:w="0" w:type="dxa"/>
            <w:bottom w:w="0" w:type="dxa"/>
          </w:tblCellMar>
        </w:tblPrEx>
        <w:trPr>
          <w:trHeight w:hRule="exact" w:val="200"/>
          <w:jc w:val="right"/>
        </w:trPr>
        <w:tc>
          <w:tcPr>
            <w:tcW w:w="4039" w:type="dxa"/>
          </w:tcPr>
          <w:p w:rsidR="00AA5D77" w:rsidRPr="006C40C1" w:rsidRDefault="00AA5D77">
            <w:pPr>
              <w:pStyle w:val="TabellfrklaringFiU20"/>
              <w:spacing w:before="0"/>
              <w:jc w:val="left"/>
              <w:rPr>
                <w:sz w:val="16"/>
              </w:rPr>
            </w:pPr>
            <w:r w:rsidRPr="006C40C1">
              <w:rPr>
                <w:sz w:val="16"/>
              </w:rPr>
              <w:t>Ålderspensionssystemet vid sidan av statsbudgeten</w:t>
            </w:r>
          </w:p>
        </w:tc>
        <w:tc>
          <w:tcPr>
            <w:tcW w:w="709" w:type="dxa"/>
          </w:tcPr>
          <w:p w:rsidR="00AA5D77" w:rsidRPr="006C40C1" w:rsidRDefault="00AA5D77">
            <w:pPr>
              <w:pStyle w:val="TabellfrklaringFiU20"/>
              <w:spacing w:before="0"/>
              <w:jc w:val="right"/>
              <w:rPr>
                <w:sz w:val="16"/>
              </w:rPr>
            </w:pPr>
            <w:r w:rsidRPr="006C40C1">
              <w:rPr>
                <w:sz w:val="16"/>
              </w:rPr>
              <w:t>153,5</w:t>
            </w:r>
          </w:p>
        </w:tc>
        <w:tc>
          <w:tcPr>
            <w:tcW w:w="708" w:type="dxa"/>
          </w:tcPr>
          <w:p w:rsidR="00AA5D77" w:rsidRPr="006C40C1" w:rsidRDefault="00AA5D77">
            <w:pPr>
              <w:pStyle w:val="TabellfrklaringFiU20"/>
              <w:spacing w:before="0"/>
              <w:jc w:val="right"/>
              <w:rPr>
                <w:sz w:val="16"/>
              </w:rPr>
            </w:pPr>
            <w:r w:rsidRPr="006C40C1">
              <w:rPr>
                <w:sz w:val="16"/>
              </w:rPr>
              <w:t>156,0</w:t>
            </w:r>
          </w:p>
        </w:tc>
        <w:tc>
          <w:tcPr>
            <w:tcW w:w="567" w:type="dxa"/>
          </w:tcPr>
          <w:p w:rsidR="00AA5D77" w:rsidRPr="006C40C1" w:rsidRDefault="00AA5D77">
            <w:pPr>
              <w:pStyle w:val="TabellfrklaringFiU20"/>
              <w:spacing w:before="0"/>
              <w:jc w:val="right"/>
              <w:rPr>
                <w:sz w:val="16"/>
              </w:rPr>
            </w:pPr>
            <w:r w:rsidRPr="006C40C1">
              <w:rPr>
                <w:sz w:val="16"/>
              </w:rPr>
              <w:t>163,5</w:t>
            </w:r>
          </w:p>
        </w:tc>
      </w:tr>
      <w:tr w:rsidR="00000000" w:rsidRPr="006C40C1">
        <w:tblPrEx>
          <w:tblCellMar>
            <w:top w:w="0" w:type="dxa"/>
            <w:bottom w:w="0" w:type="dxa"/>
          </w:tblCellMar>
        </w:tblPrEx>
        <w:trPr>
          <w:trHeight w:hRule="exact" w:val="200"/>
          <w:jc w:val="right"/>
        </w:trPr>
        <w:tc>
          <w:tcPr>
            <w:tcW w:w="4039" w:type="dxa"/>
          </w:tcPr>
          <w:p w:rsidR="00AA5D77" w:rsidRPr="006C40C1" w:rsidRDefault="00AA5D77">
            <w:pPr>
              <w:pStyle w:val="TabellfrklaringFiU20"/>
              <w:spacing w:before="0"/>
              <w:jc w:val="left"/>
              <w:rPr>
                <w:sz w:val="16"/>
              </w:rPr>
            </w:pPr>
            <w:r w:rsidRPr="006C40C1">
              <w:rPr>
                <w:sz w:val="16"/>
              </w:rPr>
              <w:t>Summa takbegränsade utgifter</w:t>
            </w:r>
          </w:p>
        </w:tc>
        <w:tc>
          <w:tcPr>
            <w:tcW w:w="709" w:type="dxa"/>
          </w:tcPr>
          <w:p w:rsidR="00AA5D77" w:rsidRPr="006C40C1" w:rsidRDefault="00AA5D77">
            <w:pPr>
              <w:pStyle w:val="TabellfrklaringFiU20"/>
              <w:spacing w:before="0"/>
              <w:jc w:val="right"/>
              <w:rPr>
                <w:sz w:val="16"/>
              </w:rPr>
            </w:pPr>
            <w:r w:rsidRPr="006C40C1">
              <w:rPr>
                <w:sz w:val="16"/>
              </w:rPr>
              <w:t>811,7</w:t>
            </w:r>
          </w:p>
        </w:tc>
        <w:tc>
          <w:tcPr>
            <w:tcW w:w="708" w:type="dxa"/>
          </w:tcPr>
          <w:p w:rsidR="00AA5D77" w:rsidRPr="006C40C1" w:rsidRDefault="00AA5D77">
            <w:pPr>
              <w:pStyle w:val="TabellfrklaringFiU20"/>
              <w:spacing w:before="0"/>
              <w:jc w:val="right"/>
              <w:rPr>
                <w:sz w:val="16"/>
              </w:rPr>
            </w:pPr>
            <w:r w:rsidRPr="006C40C1">
              <w:rPr>
                <w:sz w:val="16"/>
              </w:rPr>
              <w:t>818,1</w:t>
            </w:r>
          </w:p>
        </w:tc>
        <w:tc>
          <w:tcPr>
            <w:tcW w:w="567" w:type="dxa"/>
          </w:tcPr>
          <w:p w:rsidR="00AA5D77" w:rsidRPr="006C40C1" w:rsidRDefault="00AA5D77">
            <w:pPr>
              <w:pStyle w:val="TabellfrklaringFiU20"/>
              <w:spacing w:before="0"/>
              <w:jc w:val="right"/>
              <w:rPr>
                <w:sz w:val="16"/>
              </w:rPr>
            </w:pPr>
            <w:r w:rsidRPr="006C40C1">
              <w:rPr>
                <w:sz w:val="16"/>
              </w:rPr>
              <w:t>851,9</w:t>
            </w:r>
          </w:p>
        </w:tc>
      </w:tr>
      <w:tr w:rsidR="00000000" w:rsidRPr="006C40C1">
        <w:tblPrEx>
          <w:tblCellMar>
            <w:top w:w="0" w:type="dxa"/>
            <w:bottom w:w="0" w:type="dxa"/>
          </w:tblCellMar>
        </w:tblPrEx>
        <w:trPr>
          <w:trHeight w:hRule="exact" w:val="200"/>
          <w:jc w:val="right"/>
        </w:trPr>
        <w:tc>
          <w:tcPr>
            <w:tcW w:w="4039" w:type="dxa"/>
          </w:tcPr>
          <w:p w:rsidR="00AA5D77" w:rsidRPr="006C40C1" w:rsidRDefault="00AA5D77">
            <w:pPr>
              <w:pStyle w:val="TabellfrklaringFiU20"/>
              <w:spacing w:before="0"/>
              <w:jc w:val="left"/>
              <w:rPr>
                <w:sz w:val="16"/>
              </w:rPr>
            </w:pPr>
            <w:r w:rsidRPr="006C40C1">
              <w:rPr>
                <w:sz w:val="16"/>
              </w:rPr>
              <w:t>Budgeteringsmarginal</w:t>
            </w:r>
          </w:p>
        </w:tc>
        <w:tc>
          <w:tcPr>
            <w:tcW w:w="709" w:type="dxa"/>
          </w:tcPr>
          <w:p w:rsidR="00AA5D77" w:rsidRPr="006C40C1" w:rsidRDefault="00AA5D77">
            <w:pPr>
              <w:pStyle w:val="TabellfrklaringFiU20"/>
              <w:spacing w:before="0"/>
              <w:jc w:val="right"/>
              <w:rPr>
                <w:sz w:val="16"/>
              </w:rPr>
            </w:pPr>
            <w:r w:rsidRPr="006C40C1">
              <w:rPr>
                <w:sz w:val="16"/>
              </w:rPr>
              <w:t>0,3</w:t>
            </w:r>
          </w:p>
        </w:tc>
        <w:tc>
          <w:tcPr>
            <w:tcW w:w="708" w:type="dxa"/>
          </w:tcPr>
          <w:p w:rsidR="00AA5D77" w:rsidRPr="006C40C1" w:rsidRDefault="00AA5D77">
            <w:pPr>
              <w:pStyle w:val="TabellfrklaringFiU20"/>
              <w:spacing w:before="0"/>
              <w:jc w:val="right"/>
              <w:rPr>
                <w:sz w:val="16"/>
              </w:rPr>
            </w:pPr>
            <w:r w:rsidRPr="006C40C1">
              <w:rPr>
                <w:sz w:val="16"/>
              </w:rPr>
              <w:t>0,9</w:t>
            </w:r>
          </w:p>
        </w:tc>
        <w:tc>
          <w:tcPr>
            <w:tcW w:w="567" w:type="dxa"/>
          </w:tcPr>
          <w:p w:rsidR="00AA5D77" w:rsidRPr="006C40C1" w:rsidRDefault="00AA5D77">
            <w:pPr>
              <w:pStyle w:val="TabellfrklaringFiU20"/>
              <w:spacing w:before="0"/>
              <w:jc w:val="right"/>
              <w:rPr>
                <w:sz w:val="16"/>
              </w:rPr>
            </w:pPr>
            <w:r w:rsidRPr="006C40C1">
              <w:rPr>
                <w:sz w:val="16"/>
              </w:rPr>
              <w:t>1,1</w:t>
            </w:r>
          </w:p>
        </w:tc>
      </w:tr>
      <w:tr w:rsidR="00000000" w:rsidRPr="006C40C1">
        <w:tblPrEx>
          <w:tblCellMar>
            <w:top w:w="0" w:type="dxa"/>
            <w:bottom w:w="0" w:type="dxa"/>
          </w:tblCellMar>
        </w:tblPrEx>
        <w:trPr>
          <w:trHeight w:hRule="exact" w:val="200"/>
          <w:jc w:val="right"/>
        </w:trPr>
        <w:tc>
          <w:tcPr>
            <w:tcW w:w="4039" w:type="dxa"/>
            <w:tcBorders>
              <w:bottom w:val="single" w:sz="4" w:space="0" w:color="auto"/>
            </w:tcBorders>
          </w:tcPr>
          <w:p w:rsidR="00AA5D77" w:rsidRPr="006C40C1" w:rsidRDefault="00AA5D77">
            <w:pPr>
              <w:pStyle w:val="TabellfrklaringFiU20"/>
              <w:keepNext w:val="0"/>
              <w:spacing w:before="0"/>
              <w:jc w:val="left"/>
              <w:rPr>
                <w:b/>
                <w:sz w:val="16"/>
              </w:rPr>
            </w:pPr>
            <w:r w:rsidRPr="006C40C1">
              <w:rPr>
                <w:b/>
                <w:sz w:val="16"/>
              </w:rPr>
              <w:t>Utgiftstak</w:t>
            </w:r>
          </w:p>
        </w:tc>
        <w:tc>
          <w:tcPr>
            <w:tcW w:w="709" w:type="dxa"/>
            <w:tcBorders>
              <w:bottom w:val="single" w:sz="4" w:space="0" w:color="auto"/>
            </w:tcBorders>
          </w:tcPr>
          <w:p w:rsidR="00AA5D77" w:rsidRPr="006C40C1" w:rsidRDefault="00AA5D77">
            <w:pPr>
              <w:pStyle w:val="TabellfrklaringFiU20"/>
              <w:keepNext w:val="0"/>
              <w:spacing w:before="0"/>
              <w:jc w:val="right"/>
              <w:rPr>
                <w:b/>
                <w:sz w:val="16"/>
              </w:rPr>
            </w:pPr>
            <w:r w:rsidRPr="006C40C1">
              <w:rPr>
                <w:b/>
                <w:sz w:val="16"/>
              </w:rPr>
              <w:t>812,0</w:t>
            </w:r>
          </w:p>
        </w:tc>
        <w:tc>
          <w:tcPr>
            <w:tcW w:w="708" w:type="dxa"/>
            <w:tcBorders>
              <w:bottom w:val="single" w:sz="4" w:space="0" w:color="auto"/>
            </w:tcBorders>
          </w:tcPr>
          <w:p w:rsidR="00AA5D77" w:rsidRPr="006C40C1" w:rsidRDefault="00AA5D77">
            <w:pPr>
              <w:pStyle w:val="TabellfrklaringFiU20"/>
              <w:keepNext w:val="0"/>
              <w:spacing w:before="0"/>
              <w:jc w:val="right"/>
              <w:rPr>
                <w:b/>
                <w:sz w:val="16"/>
              </w:rPr>
            </w:pPr>
            <w:r w:rsidRPr="006C40C1">
              <w:rPr>
                <w:b/>
                <w:sz w:val="16"/>
              </w:rPr>
              <w:t>819,0</w:t>
            </w:r>
          </w:p>
        </w:tc>
        <w:tc>
          <w:tcPr>
            <w:tcW w:w="567" w:type="dxa"/>
            <w:tcBorders>
              <w:bottom w:val="single" w:sz="4" w:space="0" w:color="auto"/>
            </w:tcBorders>
          </w:tcPr>
          <w:p w:rsidR="00AA5D77" w:rsidRPr="006C40C1" w:rsidRDefault="00AA5D77">
            <w:pPr>
              <w:pStyle w:val="TabellfrklaringFiU20"/>
              <w:keepNext w:val="0"/>
              <w:spacing w:before="0"/>
              <w:jc w:val="right"/>
              <w:rPr>
                <w:b/>
                <w:sz w:val="16"/>
              </w:rPr>
            </w:pPr>
            <w:r w:rsidRPr="006C40C1">
              <w:rPr>
                <w:b/>
                <w:sz w:val="16"/>
              </w:rPr>
              <w:t>853,0</w:t>
            </w:r>
          </w:p>
        </w:tc>
      </w:tr>
    </w:tbl>
    <w:p w:rsidR="00AA5D77" w:rsidRPr="006C40C1" w:rsidRDefault="00AA5D77">
      <w:pPr>
        <w:pStyle w:val="R4"/>
        <w:spacing w:before="360"/>
      </w:pPr>
      <w:r w:rsidRPr="006C40C1">
        <w:t>Motionerna</w:t>
      </w:r>
    </w:p>
    <w:p w:rsidR="00AA5D77" w:rsidRPr="006C40C1" w:rsidRDefault="00AA5D77">
      <w:r w:rsidRPr="006C40C1">
        <w:rPr>
          <w:b/>
          <w:i/>
        </w:rPr>
        <w:t>Moderata samlingspartiet</w:t>
      </w:r>
      <w:r w:rsidRPr="006C40C1">
        <w:t xml:space="preserve"> redovisar i </w:t>
      </w:r>
      <w:r w:rsidRPr="006C40C1">
        <w:rPr>
          <w:i/>
        </w:rPr>
        <w:t>motion Fi231</w:t>
      </w:r>
      <w:r w:rsidRPr="006C40C1">
        <w:t xml:space="preserve"> en budgetpolitik avsedd att skapa förutsättningar för en uthållig tillväxt på 3 % årligen utan att prisst</w:t>
      </w:r>
      <w:r w:rsidRPr="006C40C1">
        <w:t>a</w:t>
      </w:r>
      <w:r w:rsidRPr="006C40C1">
        <w:t>biliteten hotas. För att varaktigt nå dit krävs att arbetskraftsutbudet ökar, att konkurrensen i hela ekonomin förstärks och att produktiviteten höjs. Motion</w:t>
      </w:r>
      <w:r w:rsidRPr="006C40C1">
        <w:t>ä</w:t>
      </w:r>
      <w:r w:rsidRPr="006C40C1">
        <w:t>rerna vill på olika sätt begränsa utgifts- och skattetrycket i Sverige.</w:t>
      </w:r>
    </w:p>
    <w:p w:rsidR="00AA5D77" w:rsidRPr="006C40C1" w:rsidRDefault="00AA5D77">
      <w:pPr>
        <w:pStyle w:val="Normaltindrag"/>
      </w:pPr>
      <w:r w:rsidRPr="006C40C1">
        <w:t>För att bryta utgiftsökningarna vill de öka självrisken i olika transfer</w:t>
      </w:r>
      <w:r w:rsidRPr="006C40C1">
        <w:t>e</w:t>
      </w:r>
      <w:r w:rsidRPr="006C40C1">
        <w:t>ringssystem. På så sätt tydliggör man att det i varje läge lönar sig att arbeta, vilket ökar arbetskraftsutbudet. Bryts utgiftsökningarna kan man enligt m</w:t>
      </w:r>
      <w:r w:rsidRPr="006C40C1">
        <w:t>o</w:t>
      </w:r>
      <w:r w:rsidRPr="006C40C1">
        <w:t>tionärerna dessutom hålla utgiftstaken utan manipulativa operationer. Den moderata budgetpolitiken förstärker enligt deras mening statens och det o</w:t>
      </w:r>
      <w:r w:rsidRPr="006C40C1">
        <w:t>f</w:t>
      </w:r>
      <w:r w:rsidRPr="006C40C1">
        <w:t>fentligas förmåga att klara sina kärnuppgifter, vilket främjar tillväxten. Det gör också sänkta skatter. Motionärerna framhåller att den moderata skatt</w:t>
      </w:r>
      <w:r w:rsidRPr="006C40C1">
        <w:t>e</w:t>
      </w:r>
      <w:r w:rsidRPr="006C40C1">
        <w:t>sänkningsstrategin i första hand är inriktad på att sänk</w:t>
      </w:r>
      <w:r w:rsidRPr="006C40C1">
        <w:t>a inkomstskatten för dem som tjänar minst. Enligt deras mening är det de unikt höga skatterna på låga inkomster som skapar bidragsberoendet och som dämpar viljan att arb</w:t>
      </w:r>
      <w:r w:rsidRPr="006C40C1">
        <w:t>e</w:t>
      </w:r>
      <w:r w:rsidRPr="006C40C1">
        <w:t>ta. När utgiftskvoten etableras på en lägre nivå och tillväxthindrande skatter sänks skapar man förutsättningar för en varaktig höjning av tillväxten. Det i sin tur lägger grund för en mer frihetsinriktad svensk skattepolitik som gör att alla får mer att leva på efter skatt, som uppmuntrar till att starta och äga för</w:t>
      </w:r>
      <w:r w:rsidRPr="006C40C1">
        <w:t>e</w:t>
      </w:r>
      <w:r w:rsidRPr="006C40C1">
        <w:t>tag och som gör det möj</w:t>
      </w:r>
      <w:r w:rsidRPr="006C40C1">
        <w:t>ligt för fler att spara.</w:t>
      </w:r>
    </w:p>
    <w:p w:rsidR="00AA5D77" w:rsidRPr="006C40C1" w:rsidRDefault="00AA5D77">
      <w:pPr>
        <w:pStyle w:val="Normaltindrag"/>
      </w:pPr>
      <w:r w:rsidRPr="006C40C1">
        <w:t>Moderata samlingspartiet har två långsiktiga mål för sin finanspolitik: De offentliga finanserna ska vara i balans över en konjunkturcykel och den o</w:t>
      </w:r>
      <w:r w:rsidRPr="006C40C1">
        <w:t>f</w:t>
      </w:r>
      <w:r w:rsidRPr="006C40C1">
        <w:t>fentliga bruttoskulden ska begränsas så att den understiger 40 % av BNP. För att påskynda minskningen av skuldkvoten gör motionärerna tills vidare avkall på balanskravet och budgeterar för ett överskott i den offentliga sektorn som är ungefär lika stort som regeringens.</w:t>
      </w:r>
    </w:p>
    <w:p w:rsidR="00AA5D77" w:rsidRPr="006C40C1" w:rsidRDefault="00AA5D77">
      <w:pPr>
        <w:pStyle w:val="Normaltindrag"/>
      </w:pPr>
      <w:r w:rsidRPr="006C40C1">
        <w:t>Syftet med motionärernas skattepolitik är att öka tillväxten och främja en</w:t>
      </w:r>
      <w:r w:rsidRPr="006C40C1">
        <w:t>t</w:t>
      </w:r>
      <w:r w:rsidRPr="006C40C1">
        <w:t xml:space="preserve">reprenörskap, vilket ger alla en bättre välståndsutveckling. Syftet är också att ge människor ett ökat inflytande över sina liv. </w:t>
      </w:r>
    </w:p>
    <w:p w:rsidR="00AA5D77" w:rsidRPr="006C40C1" w:rsidRDefault="00AA5D77">
      <w:pPr>
        <w:pStyle w:val="Normaltindrag"/>
      </w:pPr>
      <w:r w:rsidRPr="006C40C1">
        <w:t>Moderata samlingspartiets förslag till skattesänkningar uppgår under de båda närmaste åren till 30 respektive 48 miljarder kronor utöver regeringens och inriktas främst på inkomstbeskattningen. Sverige behöver en genomgr</w:t>
      </w:r>
      <w:r w:rsidRPr="006C40C1">
        <w:t>i</w:t>
      </w:r>
      <w:r w:rsidRPr="006C40C1">
        <w:t>pande inkomstskattereform, framhåller motionärerna. Sänkta skatter ökar människors trygghet och möjlighet att spara ihop till en ekonomisk bu</w:t>
      </w:r>
      <w:r w:rsidRPr="006C40C1">
        <w:t>f</w:t>
      </w:r>
      <w:r w:rsidRPr="006C40C1">
        <w:t>fert.</w:t>
      </w:r>
    </w:p>
    <w:p w:rsidR="00AA5D77" w:rsidRPr="006C40C1" w:rsidRDefault="00AA5D77">
      <w:pPr>
        <w:pStyle w:val="Normaltindrag"/>
        <w:rPr>
          <w:snapToGrid w:val="0"/>
          <w:lang w:eastAsia="sv-SE"/>
        </w:rPr>
      </w:pPr>
      <w:r w:rsidRPr="006C40C1">
        <w:rPr>
          <w:snapToGrid w:val="0"/>
          <w:lang w:eastAsia="sv-SE"/>
        </w:rPr>
        <w:t>Att alla ska kunna leva på sin lön ser motionärerna som ett av partiets vi</w:t>
      </w:r>
      <w:r w:rsidRPr="006C40C1">
        <w:rPr>
          <w:snapToGrid w:val="0"/>
          <w:lang w:eastAsia="sv-SE"/>
        </w:rPr>
        <w:t>k</w:t>
      </w:r>
      <w:r w:rsidRPr="006C40C1">
        <w:rPr>
          <w:snapToGrid w:val="0"/>
          <w:lang w:eastAsia="sv-SE"/>
        </w:rPr>
        <w:t>tigaste skattepolitiska mål. Sverige behöver en genomgripande inkomstskatt</w:t>
      </w:r>
      <w:r w:rsidRPr="006C40C1">
        <w:rPr>
          <w:snapToGrid w:val="0"/>
          <w:lang w:eastAsia="sv-SE"/>
        </w:rPr>
        <w:t>e</w:t>
      </w:r>
      <w:r w:rsidRPr="006C40C1">
        <w:rPr>
          <w:snapToGrid w:val="0"/>
          <w:lang w:eastAsia="sv-SE"/>
        </w:rPr>
        <w:t>reform som har sin tyngdpunkt hos låg- och medelinkomsttagare. Motion</w:t>
      </w:r>
      <w:r w:rsidRPr="006C40C1">
        <w:rPr>
          <w:snapToGrid w:val="0"/>
          <w:lang w:eastAsia="sv-SE"/>
        </w:rPr>
        <w:t>ä</w:t>
      </w:r>
      <w:r w:rsidRPr="006C40C1">
        <w:rPr>
          <w:snapToGrid w:val="0"/>
          <w:lang w:eastAsia="sv-SE"/>
        </w:rPr>
        <w:t xml:space="preserve">rerna vill därför stegvis höja grundavdraget för alla. På sikt vill de undanta de första 50 000 kr från inkomstskatt. </w:t>
      </w:r>
    </w:p>
    <w:p w:rsidR="00AA5D77" w:rsidRPr="006C40C1" w:rsidRDefault="00AA5D77">
      <w:pPr>
        <w:pStyle w:val="Normaltindrag"/>
        <w:rPr>
          <w:snapToGrid w:val="0"/>
          <w:lang w:eastAsia="sv-SE"/>
        </w:rPr>
      </w:pPr>
      <w:r w:rsidRPr="006C40C1">
        <w:rPr>
          <w:snapToGrid w:val="0"/>
          <w:lang w:eastAsia="sv-SE"/>
        </w:rPr>
        <w:t>För att fler ska motiveras att arbeta vill de också införa ett förvärvsavdrag på 13 % av den pensionsgrundande inkomsten vid den kommunala inkoms</w:t>
      </w:r>
      <w:r w:rsidRPr="006C40C1">
        <w:rPr>
          <w:snapToGrid w:val="0"/>
          <w:lang w:eastAsia="sv-SE"/>
        </w:rPr>
        <w:t>t</w:t>
      </w:r>
      <w:r w:rsidRPr="006C40C1">
        <w:rPr>
          <w:snapToGrid w:val="0"/>
          <w:lang w:eastAsia="sv-SE"/>
        </w:rPr>
        <w:t>beskattningen, ett avdrag som ska ersätta den nuvarande skattereduktionen för egenavgifter för allmän pension.</w:t>
      </w:r>
    </w:p>
    <w:p w:rsidR="00AA5D77" w:rsidRPr="006C40C1" w:rsidRDefault="00AA5D77">
      <w:pPr>
        <w:pStyle w:val="Normaltindrag"/>
        <w:rPr>
          <w:snapToGrid w:val="0"/>
          <w:lang w:eastAsia="sv-SE"/>
        </w:rPr>
      </w:pPr>
      <w:r w:rsidRPr="006C40C1">
        <w:rPr>
          <w:snapToGrid w:val="0"/>
          <w:lang w:eastAsia="sv-SE"/>
        </w:rPr>
        <w:t>Moderata samlingspartiet vill dessutom avveckla den nyligen införda skattereduktionen för avgifter till fackförbund.</w:t>
      </w:r>
    </w:p>
    <w:p w:rsidR="00AA5D77" w:rsidRPr="006C40C1" w:rsidRDefault="00AA5D77">
      <w:pPr>
        <w:pStyle w:val="Normaltindrag"/>
        <w:rPr>
          <w:snapToGrid w:val="0"/>
          <w:lang w:eastAsia="sv-SE"/>
        </w:rPr>
      </w:pPr>
      <w:r w:rsidRPr="006C40C1">
        <w:rPr>
          <w:snapToGrid w:val="0"/>
          <w:lang w:eastAsia="sv-SE"/>
        </w:rPr>
        <w:t>Värnskatten bör enligt Moderata samlingspartiet tas bort 2003, och året därpå bör brytpunkten justeras upp till den nivå där pensionsavgift inte längre tas ut. Partiets uppfattning är att den statliga inkomstskatten ska avskaffas på sikt. Den extra beskattningen av utbildning, kompetens och extra förvärvsi</w:t>
      </w:r>
      <w:r w:rsidRPr="006C40C1">
        <w:rPr>
          <w:snapToGrid w:val="0"/>
          <w:lang w:eastAsia="sv-SE"/>
        </w:rPr>
        <w:t>n</w:t>
      </w:r>
      <w:r w:rsidRPr="006C40C1">
        <w:rPr>
          <w:snapToGrid w:val="0"/>
          <w:lang w:eastAsia="sv-SE"/>
        </w:rPr>
        <w:t>komster upphör då.</w:t>
      </w:r>
    </w:p>
    <w:p w:rsidR="00AA5D77" w:rsidRPr="006C40C1" w:rsidRDefault="00AA5D77">
      <w:pPr>
        <w:pStyle w:val="Normaltindrag"/>
      </w:pPr>
      <w:r w:rsidRPr="006C40C1">
        <w:rPr>
          <w:snapToGrid w:val="0"/>
          <w:lang w:eastAsia="sv-SE"/>
        </w:rPr>
        <w:t>Skattesystemet måste också ta hänsyn till försörjningsbördan, anser moti</w:t>
      </w:r>
      <w:r w:rsidRPr="006C40C1">
        <w:rPr>
          <w:snapToGrid w:val="0"/>
          <w:lang w:eastAsia="sv-SE"/>
        </w:rPr>
        <w:t>o</w:t>
      </w:r>
      <w:r w:rsidRPr="006C40C1">
        <w:rPr>
          <w:snapToGrid w:val="0"/>
          <w:lang w:eastAsia="sv-SE"/>
        </w:rPr>
        <w:t>närerna, som vill komplettera det nuvarande barnbidraget med ett extra ko</w:t>
      </w:r>
      <w:r w:rsidRPr="006C40C1">
        <w:rPr>
          <w:snapToGrid w:val="0"/>
          <w:lang w:eastAsia="sv-SE"/>
        </w:rPr>
        <w:t>m</w:t>
      </w:r>
      <w:r w:rsidRPr="006C40C1">
        <w:rPr>
          <w:snapToGrid w:val="0"/>
          <w:lang w:eastAsia="sv-SE"/>
        </w:rPr>
        <w:t>munalt grundavdrag som 2003 ska uppgå till 12 000 kr per barn och år för att senare höjas till 15 000 kr.</w:t>
      </w:r>
      <w:r w:rsidRPr="006C40C1">
        <w:t xml:space="preserve"> </w:t>
      </w:r>
    </w:p>
    <w:p w:rsidR="00AA5D77" w:rsidRPr="006C40C1" w:rsidRDefault="00AA5D77">
      <w:pPr>
        <w:pStyle w:val="Normaltindrag"/>
      </w:pPr>
      <w:r w:rsidRPr="006C40C1">
        <w:t xml:space="preserve">Avdraget för resor till och från arbetet ska höjas till 20 kr per mil och även omfatta hämtning och lämning av barn. </w:t>
      </w:r>
    </w:p>
    <w:p w:rsidR="00AA5D77" w:rsidRPr="006C40C1" w:rsidRDefault="00AA5D77">
      <w:pPr>
        <w:pStyle w:val="Normaltindrag"/>
      </w:pPr>
      <w:r w:rsidRPr="006C40C1">
        <w:t>Vidare ska avdrag för pensionssparande längre fram åter få göras med ett basb</w:t>
      </w:r>
      <w:r w:rsidRPr="006C40C1">
        <w:t>e</w:t>
      </w:r>
      <w:r w:rsidRPr="006C40C1">
        <w:t>lopp.</w:t>
      </w:r>
    </w:p>
    <w:p w:rsidR="00AA5D77" w:rsidRPr="006C40C1" w:rsidRDefault="00AA5D77">
      <w:pPr>
        <w:pStyle w:val="Normaltindrag"/>
      </w:pPr>
      <w:r w:rsidRPr="006C40C1">
        <w:t>Liksom övriga borgerliga partier vill motionärerna införa en skatteredu</w:t>
      </w:r>
      <w:r w:rsidRPr="006C40C1">
        <w:t>k</w:t>
      </w:r>
      <w:r w:rsidRPr="006C40C1">
        <w:t>tion motsvarande 50 % av arbetskostnaden för hushållstjänster.</w:t>
      </w:r>
    </w:p>
    <w:p w:rsidR="00AA5D77" w:rsidRPr="006C40C1" w:rsidRDefault="00AA5D77">
      <w:pPr>
        <w:pStyle w:val="Normaltindrag"/>
      </w:pPr>
      <w:r w:rsidRPr="006C40C1">
        <w:rPr>
          <w:snapToGrid w:val="0"/>
          <w:lang w:eastAsia="sv-SE"/>
        </w:rPr>
        <w:t>Därutöver vill de avveckla förmögenhetsskatten. I ett första steg ska sa</w:t>
      </w:r>
      <w:r w:rsidRPr="006C40C1">
        <w:rPr>
          <w:snapToGrid w:val="0"/>
          <w:lang w:eastAsia="sv-SE"/>
        </w:rPr>
        <w:t>m</w:t>
      </w:r>
      <w:r w:rsidRPr="006C40C1">
        <w:rPr>
          <w:snapToGrid w:val="0"/>
          <w:lang w:eastAsia="sv-SE"/>
        </w:rPr>
        <w:t>beskattningen slopas. De vill också avveckla dubbelbeskattningen samt sto</w:t>
      </w:r>
      <w:r w:rsidRPr="006C40C1">
        <w:rPr>
          <w:snapToGrid w:val="0"/>
          <w:lang w:eastAsia="sv-SE"/>
        </w:rPr>
        <w:t>p</w:t>
      </w:r>
      <w:r w:rsidRPr="006C40C1">
        <w:rPr>
          <w:snapToGrid w:val="0"/>
          <w:lang w:eastAsia="sv-SE"/>
        </w:rPr>
        <w:t>pa skattediskrimineringen av fåmansföretag. Arvs- och gåvobeskattningen ser motionärerna som en viktig orsak till kapitalflykten från Sverige, och de vill därför avska</w:t>
      </w:r>
      <w:r w:rsidRPr="006C40C1">
        <w:rPr>
          <w:snapToGrid w:val="0"/>
          <w:lang w:eastAsia="sv-SE"/>
        </w:rPr>
        <w:t>f</w:t>
      </w:r>
      <w:r w:rsidRPr="006C40C1">
        <w:rPr>
          <w:snapToGrid w:val="0"/>
          <w:lang w:eastAsia="sv-SE"/>
        </w:rPr>
        <w:t>fa denna skatt 2005.</w:t>
      </w:r>
    </w:p>
    <w:p w:rsidR="00AA5D77" w:rsidRPr="006C40C1" w:rsidRDefault="00AA5D77">
      <w:pPr>
        <w:pStyle w:val="Normaltindrag"/>
      </w:pPr>
      <w:r w:rsidRPr="006C40C1">
        <w:t>Moderata samlingspartiet vill även avskaffa fastighetsskatten och föreslår att uttaget av fastighetsskatt sänks successivt. För att minska de regionala skillnaderna ska endast halva markvärdet ligga till grund för beskattningen. Nästa år bör uttage</w:t>
      </w:r>
      <w:r w:rsidRPr="006C40C1">
        <w:t>t sättas till 0,9 % för småhus och 0,5 % för flerbostadshus. Dessutom ska schablonintäkten vid beskattningen av flerbostadshus omede</w:t>
      </w:r>
      <w:r w:rsidRPr="006C40C1">
        <w:t>l</w:t>
      </w:r>
      <w:r w:rsidRPr="006C40C1">
        <w:t xml:space="preserve">bart avskaffas. </w:t>
      </w:r>
    </w:p>
    <w:p w:rsidR="00AA5D77" w:rsidRPr="006C40C1" w:rsidRDefault="00AA5D77">
      <w:pPr>
        <w:pStyle w:val="Normaltindrag"/>
      </w:pPr>
      <w:r w:rsidRPr="006C40C1">
        <w:t>Energiskatten på bensin och diesel ska 2003 sänkas med 70 öre per liter inklusive momseffekten. Skatten på diesel till jord- och skogsbruket och entreprenadmaskiner sänks samtidigt till 53 öre per liter medan skatten på handelsgödsel tas bort. Då sänks även den sä</w:t>
      </w:r>
      <w:r w:rsidRPr="006C40C1">
        <w:t>r</w:t>
      </w:r>
      <w:r w:rsidRPr="006C40C1">
        <w:t>skilda skatten på kärnkraftsel.</w:t>
      </w:r>
    </w:p>
    <w:p w:rsidR="00AA5D77" w:rsidRPr="006C40C1" w:rsidRDefault="00AA5D77">
      <w:pPr>
        <w:pStyle w:val="Normaltindrag"/>
      </w:pPr>
      <w:r w:rsidRPr="006C40C1">
        <w:t xml:space="preserve">Vidare ska reklamskatten avskaffas från den 1 januari nästa år. </w:t>
      </w:r>
    </w:p>
    <w:p w:rsidR="00AA5D77" w:rsidRPr="006C40C1" w:rsidRDefault="00AA5D77">
      <w:pPr>
        <w:pStyle w:val="Normaltindrag"/>
      </w:pPr>
      <w:r w:rsidRPr="006C40C1">
        <w:t>Ansvaret för den kommunala skatteutjämningen bör framöver i sin helhet överföras på staten.</w:t>
      </w:r>
    </w:p>
    <w:p w:rsidR="00AA5D77" w:rsidRPr="006C40C1" w:rsidRDefault="00AA5D77">
      <w:pPr>
        <w:pStyle w:val="Normaltindrag"/>
      </w:pPr>
      <w:r w:rsidRPr="006C40C1">
        <w:t>De föreslagna skattesänkningarna möjliggörs enligt motionärerna av de u</w:t>
      </w:r>
      <w:r w:rsidRPr="006C40C1">
        <w:t>t</w:t>
      </w:r>
      <w:r w:rsidRPr="006C40C1">
        <w:t>giftsbegränsningar som partiet samtidigt föreslår; utgiftsbegränsningar som också ger utrymme för att öka satsningen på offentliga kärnuppgifte</w:t>
      </w:r>
      <w:r w:rsidRPr="006C40C1">
        <w:t>r</w:t>
      </w:r>
      <w:r w:rsidRPr="006C40C1">
        <w:t>.</w:t>
      </w:r>
    </w:p>
    <w:p w:rsidR="00AA5D77" w:rsidRPr="006C40C1" w:rsidRDefault="00AA5D77">
      <w:pPr>
        <w:pStyle w:val="Normaltindrag"/>
        <w:rPr>
          <w:snapToGrid w:val="0"/>
          <w:lang w:eastAsia="sv-SE"/>
        </w:rPr>
      </w:pPr>
      <w:r w:rsidRPr="006C40C1">
        <w:t xml:space="preserve">Dessa ökade satsningar vill partiet lägga på </w:t>
      </w:r>
      <w:r w:rsidRPr="006C40C1">
        <w:rPr>
          <w:snapToGrid w:val="0"/>
          <w:lang w:eastAsia="sv-SE"/>
        </w:rPr>
        <w:t>rättsväsendet, främst på pol</w:t>
      </w:r>
      <w:r w:rsidRPr="006C40C1">
        <w:rPr>
          <w:snapToGrid w:val="0"/>
          <w:lang w:eastAsia="sv-SE"/>
        </w:rPr>
        <w:t>i</w:t>
      </w:r>
      <w:r w:rsidRPr="006C40C1">
        <w:rPr>
          <w:snapToGrid w:val="0"/>
          <w:lang w:eastAsia="sv-SE"/>
        </w:rPr>
        <w:t>sen samt på försvaret. Högre utbildning och forskning ges också större anslag, och varje universitet och högskola får ökad självständighet. En som motion</w:t>
      </w:r>
      <w:r w:rsidRPr="006C40C1">
        <w:rPr>
          <w:snapToGrid w:val="0"/>
          <w:lang w:eastAsia="sv-SE"/>
        </w:rPr>
        <w:t>ä</w:t>
      </w:r>
      <w:r w:rsidRPr="006C40C1">
        <w:rPr>
          <w:snapToGrid w:val="0"/>
          <w:lang w:eastAsia="sv-SE"/>
        </w:rPr>
        <w:t>rerna ser det nödvändig satsning på bättre vägar fö</w:t>
      </w:r>
      <w:r w:rsidRPr="006C40C1">
        <w:rPr>
          <w:snapToGrid w:val="0"/>
          <w:lang w:eastAsia="sv-SE"/>
        </w:rPr>
        <w:t>r</w:t>
      </w:r>
      <w:r w:rsidRPr="006C40C1">
        <w:rPr>
          <w:snapToGrid w:val="0"/>
          <w:lang w:eastAsia="sv-SE"/>
        </w:rPr>
        <w:t>stärks.</w:t>
      </w:r>
    </w:p>
    <w:p w:rsidR="00AA5D77" w:rsidRPr="006C40C1" w:rsidRDefault="00AA5D77">
      <w:pPr>
        <w:pStyle w:val="Normaltindrag"/>
        <w:rPr>
          <w:snapToGrid w:val="0"/>
          <w:lang w:eastAsia="sv-SE"/>
        </w:rPr>
      </w:pPr>
      <w:r w:rsidRPr="006C40C1">
        <w:rPr>
          <w:snapToGrid w:val="0"/>
          <w:lang w:eastAsia="sv-SE"/>
        </w:rPr>
        <w:t xml:space="preserve">Funktionshindrade får med Moderaternas förslag ökat stöd. I motionen ges försäkringskassorna ökade resurser för att kunna främja rehabilitering och motverka sjukfrånvaro. En nationell vårdgaranti införs i hela landet. </w:t>
      </w:r>
    </w:p>
    <w:p w:rsidR="00AA5D77" w:rsidRPr="006C40C1" w:rsidRDefault="00AA5D77">
      <w:pPr>
        <w:pStyle w:val="Normaltindrag"/>
      </w:pPr>
      <w:r w:rsidRPr="006C40C1">
        <w:t>Genom att sänka skatter och vidta åtgärder som begränsar sjukfrånvaron räknar motionärerna med att kunna minska trycket på de offentliga transfer</w:t>
      </w:r>
      <w:r w:rsidRPr="006C40C1">
        <w:t>e</w:t>
      </w:r>
      <w:r w:rsidRPr="006C40C1">
        <w:t>ringssystemen. Det görs också genom att ytterligare en karensdag införs i sjukförsäkringen den åttonde frånvarodagen och genom att beräkningsgru</w:t>
      </w:r>
      <w:r w:rsidRPr="006C40C1">
        <w:t>n</w:t>
      </w:r>
      <w:r w:rsidRPr="006C40C1">
        <w:t>den för den sjukpenninggrundande inkomsten (SGI) ändras till att avse g</w:t>
      </w:r>
      <w:r w:rsidRPr="006C40C1">
        <w:t>e</w:t>
      </w:r>
      <w:r w:rsidRPr="006C40C1">
        <w:t>nomsnittet av de två föregående årens inkomst. I samma syfte föreslår moti</w:t>
      </w:r>
      <w:r w:rsidRPr="006C40C1">
        <w:t>o</w:t>
      </w:r>
      <w:r w:rsidRPr="006C40C1">
        <w:t>närerna också att statens bidrag till arbetslöshetsförsäkringen till en del ska ersättas av höjda egenavgifter. Dessutom ska kostnaderna för trafikolycksfall föras över på den obligatoriska trafikförsä</w:t>
      </w:r>
      <w:r w:rsidRPr="006C40C1">
        <w:t>k</w:t>
      </w:r>
      <w:r w:rsidRPr="006C40C1">
        <w:t>ringen.</w:t>
      </w:r>
    </w:p>
    <w:p w:rsidR="00AA5D77" w:rsidRPr="006C40C1" w:rsidRDefault="00AA5D77">
      <w:pPr>
        <w:pStyle w:val="Normaltindrag"/>
      </w:pPr>
      <w:r w:rsidRPr="006C40C1">
        <w:t>Motionäre</w:t>
      </w:r>
      <w:r w:rsidRPr="006C40C1">
        <w:t>rnas förslag om höjd egenavgift till a-kassan är kopplat till ett förslag om en mer genomgripande förändring av arbetslöshetsförsäkringen. Moderata samlingspartiet vill införa en allmän och obligatorisk arbetslöshet</w:t>
      </w:r>
      <w:r w:rsidRPr="006C40C1">
        <w:t>s</w:t>
      </w:r>
      <w:r w:rsidRPr="006C40C1">
        <w:t>försäkring som ska administreras av staten. Den ska fungera som en omstäl</w:t>
      </w:r>
      <w:r w:rsidRPr="006C40C1">
        <w:t>l</w:t>
      </w:r>
      <w:r w:rsidRPr="006C40C1">
        <w:t>ningsförsäkring och till viss del finansieras med en premie motsvarande 2 % av den del av inkomsten som är ersättningsberättigad. Premien ska vara a</w:t>
      </w:r>
      <w:r w:rsidRPr="006C40C1">
        <w:t>v</w:t>
      </w:r>
      <w:r w:rsidRPr="006C40C1">
        <w:t>dragsgill vid beskattningen, och ersättningsnivån ska motsvara 80 % av i</w:t>
      </w:r>
      <w:r w:rsidRPr="006C40C1">
        <w:t>n</w:t>
      </w:r>
      <w:r w:rsidRPr="006C40C1">
        <w:t>komsten upp till taket.</w:t>
      </w:r>
    </w:p>
    <w:p w:rsidR="00AA5D77" w:rsidRPr="006C40C1" w:rsidRDefault="00AA5D77">
      <w:pPr>
        <w:pStyle w:val="Normaltindrag"/>
      </w:pPr>
      <w:r w:rsidRPr="006C40C1">
        <w:rPr>
          <w:snapToGrid w:val="0"/>
          <w:lang w:eastAsia="sv-SE"/>
        </w:rPr>
        <w:t>Moderata samlingspartiet godtar inte de förslag till ökade offentliga utgi</w:t>
      </w:r>
      <w:r w:rsidRPr="006C40C1">
        <w:rPr>
          <w:snapToGrid w:val="0"/>
          <w:lang w:eastAsia="sv-SE"/>
        </w:rPr>
        <w:t>f</w:t>
      </w:r>
      <w:r w:rsidRPr="006C40C1">
        <w:rPr>
          <w:snapToGrid w:val="0"/>
          <w:lang w:eastAsia="sv-SE"/>
        </w:rPr>
        <w:t>ter som regeringen föreslår. Partiets utgifter blir därför avsevärt lägre. Bet</w:t>
      </w:r>
      <w:r w:rsidRPr="006C40C1">
        <w:rPr>
          <w:snapToGrid w:val="0"/>
          <w:lang w:eastAsia="sv-SE"/>
        </w:rPr>
        <w:t>y</w:t>
      </w:r>
      <w:r w:rsidRPr="006C40C1">
        <w:rPr>
          <w:snapToGrid w:val="0"/>
          <w:lang w:eastAsia="sv-SE"/>
        </w:rPr>
        <w:t>dande belopp som i motionen redovisas som besparingar är i själva verket uteblivna utgiftshöjningar.</w:t>
      </w:r>
    </w:p>
    <w:p w:rsidR="00AA5D77" w:rsidRPr="006C40C1" w:rsidRDefault="00AA5D77">
      <w:pPr>
        <w:pStyle w:val="Normaltindrag"/>
      </w:pPr>
      <w:r w:rsidRPr="006C40C1">
        <w:t>Såväl utgiftskvot som skuldkvot ska minskas, och för att påskynda den s</w:t>
      </w:r>
      <w:r w:rsidRPr="006C40C1">
        <w:t>e</w:t>
      </w:r>
      <w:r w:rsidRPr="006C40C1">
        <w:t>nare utvecklingen vill motionärerna öka försäljningen av statliga företag med 70 miljarder kronor under de båda nä</w:t>
      </w:r>
      <w:r w:rsidRPr="006C40C1">
        <w:t>r</w:t>
      </w:r>
      <w:r w:rsidRPr="006C40C1">
        <w:t>maste åren.</w:t>
      </w:r>
    </w:p>
    <w:p w:rsidR="00AA5D77" w:rsidRPr="006C40C1" w:rsidRDefault="00AA5D77">
      <w:pPr>
        <w:pStyle w:val="Normaltindrag"/>
      </w:pPr>
      <w:r w:rsidRPr="006C40C1">
        <w:t>Motionärerna vill emellertid också minska företagsstödet, sänka partist</w:t>
      </w:r>
      <w:r w:rsidRPr="006C40C1">
        <w:t>ö</w:t>
      </w:r>
      <w:r w:rsidRPr="006C40C1">
        <w:t>det, slopa presstödet samt åstadkomma besparingar genom att bedriva en effektivare arbetsmarknadspolitik. Byråkratin inom statlig förvaltning bör enligt deras mening effektiviseras och utvecklingsbiståndet fokuseras på de mest behövande länderna.</w:t>
      </w:r>
    </w:p>
    <w:p w:rsidR="00AA5D77" w:rsidRPr="006C40C1" w:rsidRDefault="00AA5D77">
      <w:pPr>
        <w:pStyle w:val="Normaltindrag"/>
      </w:pPr>
      <w:r w:rsidRPr="006C40C1">
        <w:t>De ändrade bevisreglerna i arbetsskadeförsäkringen avvisas i motionen. I stället vill motionärerna införa ett arbetsskadeobligatorium för arbetsgivare.</w:t>
      </w:r>
    </w:p>
    <w:p w:rsidR="00AA5D77" w:rsidRPr="006C40C1" w:rsidRDefault="00AA5D77">
      <w:pPr>
        <w:pStyle w:val="Normaltindrag"/>
        <w:rPr>
          <w:snapToGrid w:val="0"/>
          <w:lang w:eastAsia="sv-SE"/>
        </w:rPr>
      </w:pPr>
      <w:r w:rsidRPr="006C40C1">
        <w:rPr>
          <w:snapToGrid w:val="0"/>
          <w:lang w:eastAsia="sv-SE"/>
        </w:rPr>
        <w:t>Flera av de traditionella arbetsmarknadspolitiska åtgärderna – inklusive aktivitetsgarantin – bör enligt motionärerna slopas till förmån för mer indiv</w:t>
      </w:r>
      <w:r w:rsidRPr="006C40C1">
        <w:rPr>
          <w:snapToGrid w:val="0"/>
          <w:lang w:eastAsia="sv-SE"/>
        </w:rPr>
        <w:t>i</w:t>
      </w:r>
      <w:r w:rsidRPr="006C40C1">
        <w:rPr>
          <w:snapToGrid w:val="0"/>
          <w:lang w:eastAsia="sv-SE"/>
        </w:rPr>
        <w:t>duellt inriktade insatser. De vill också inrätta en ny myndighet som ska ersätta AMS och vara regeringens expertmyndighet i arbetsmarknadsfrågor. Den nya myndigheten ska ha ansvar för att förmedlingstjänster finns att tillgå över hela landet och även ansvara för fördelningen av de medel som anslås över stat</w:t>
      </w:r>
      <w:r w:rsidRPr="006C40C1">
        <w:rPr>
          <w:snapToGrid w:val="0"/>
          <w:lang w:eastAsia="sv-SE"/>
        </w:rPr>
        <w:t>s</w:t>
      </w:r>
      <w:r w:rsidRPr="006C40C1">
        <w:rPr>
          <w:snapToGrid w:val="0"/>
          <w:lang w:eastAsia="sv-SE"/>
        </w:rPr>
        <w:t>budgeten för övriga arbetsmarknadspolitiska insatser. Arbetsförmedling ska inte vara förbehållen staten, utan andra aktörer som kan förmedla arbeten lika bra eller bättre ska ges möjlighet att i fri kon</w:t>
      </w:r>
      <w:r w:rsidRPr="006C40C1">
        <w:rPr>
          <w:snapToGrid w:val="0"/>
          <w:lang w:eastAsia="sv-SE"/>
        </w:rPr>
        <w:t>kurrens göra detta. I det föresla</w:t>
      </w:r>
      <w:r w:rsidRPr="006C40C1">
        <w:rPr>
          <w:snapToGrid w:val="0"/>
          <w:lang w:eastAsia="sv-SE"/>
        </w:rPr>
        <w:t>g</w:t>
      </w:r>
      <w:r w:rsidRPr="006C40C1">
        <w:rPr>
          <w:snapToGrid w:val="0"/>
          <w:lang w:eastAsia="sv-SE"/>
        </w:rPr>
        <w:t>na systemet ska lokala arbetsförmedlingar kunna avknoppas från dagens AMS. Arbetsförmedling ska vara kostnadsfri för den som är arbetslös.</w:t>
      </w:r>
    </w:p>
    <w:p w:rsidR="00AA5D77" w:rsidRPr="006C40C1" w:rsidRDefault="00AA5D77">
      <w:pPr>
        <w:pStyle w:val="Normaltindrag"/>
      </w:pPr>
      <w:r w:rsidRPr="006C40C1">
        <w:t>Motionärerna vill fr.o.m. 2004 införa en barnomsorgspeng för de familjer som inte utnyttjar kommunalt finansierad barnomsorg. Barnomsorgspengen ska utgå med 3 000 kr skattefritt per månad för barn mellan ett och tre år. Eftersom detta förslag börjar gälla från ettårsåldern anser motionärerna att den nyligen införda 13:e månaden i föräldr</w:t>
      </w:r>
      <w:r w:rsidRPr="006C40C1">
        <w:t>aförsäkringen kan a</w:t>
      </w:r>
      <w:r w:rsidRPr="006C40C1">
        <w:t>v</w:t>
      </w:r>
      <w:r w:rsidRPr="006C40C1">
        <w:t>skaffas.</w:t>
      </w:r>
    </w:p>
    <w:p w:rsidR="00AA5D77" w:rsidRPr="006C40C1" w:rsidRDefault="00AA5D77">
      <w:pPr>
        <w:pStyle w:val="Normaltindrag"/>
      </w:pPr>
      <w:r w:rsidRPr="006C40C1">
        <w:t>För att få bort vårdköerna vill Moderaterna införa en nationell vårdgaranti och senare även en obligatorisk hälsoförsäkring som följer patienten. Denna försäkring är i förlängningen tänkt att ersätta den nuvarande landstingsska</w:t>
      </w:r>
      <w:r w:rsidRPr="006C40C1">
        <w:t>t</w:t>
      </w:r>
      <w:r w:rsidRPr="006C40C1">
        <w:t>tens finansiering av sjukvården. Som ett av flera inslag i en större aktionsplan mot den växande sjukfrånvaron föreslår motionärerna ökade anslag för reh</w:t>
      </w:r>
      <w:r w:rsidRPr="006C40C1">
        <w:t>a</w:t>
      </w:r>
      <w:r w:rsidRPr="006C40C1">
        <w:t>bilitering. Nuvarande apoteksmonopol bör avvecklas. Ett generöst högkos</w:t>
      </w:r>
      <w:r w:rsidRPr="006C40C1">
        <w:t>t</w:t>
      </w:r>
      <w:r w:rsidRPr="006C40C1">
        <w:t>nadsskydd i tandvården ska omedelbart införas för samtliga åldersgru</w:t>
      </w:r>
      <w:r w:rsidRPr="006C40C1">
        <w:t>p</w:t>
      </w:r>
      <w:r w:rsidRPr="006C40C1">
        <w:t>per.</w:t>
      </w:r>
    </w:p>
    <w:p w:rsidR="00AA5D77" w:rsidRPr="006C40C1" w:rsidRDefault="00AA5D77">
      <w:pPr>
        <w:pStyle w:val="Normaltindrag"/>
      </w:pPr>
      <w:r w:rsidRPr="006C40C1">
        <w:t>Motionärerna anser att staten ska ta över kommunernas kostnader för sko</w:t>
      </w:r>
      <w:r w:rsidRPr="006C40C1">
        <w:t>l</w:t>
      </w:r>
      <w:r w:rsidRPr="006C40C1">
        <w:t>väsendet fr.o.m. 2004. Det sker med hjälp av en nationell skolpeng som går direkt till skolan. Eftersom kommunerna avlastas denna kostnad minskar motionärerna i enlighet med finansieringsprincipen det generella kommunb</w:t>
      </w:r>
      <w:r w:rsidRPr="006C40C1">
        <w:t>i</w:t>
      </w:r>
      <w:r w:rsidRPr="006C40C1">
        <w:t>draget med ett belopp som motsvarar den nuvarande kostnaden för skolan. Det generella statsbidraget minskas under de kommande två åren dessutom med 2,5 respektive 8 miljarder kronor, eftersom motionärerna räknar med att de moderata förslagen kommer att leda till betydande kostnadsminskningar</w:t>
      </w:r>
      <w:r w:rsidRPr="006C40C1">
        <w:t xml:space="preserve"> för kommunerna.</w:t>
      </w:r>
    </w:p>
    <w:p w:rsidR="00AA5D77" w:rsidRPr="006C40C1" w:rsidRDefault="00AA5D77">
      <w:pPr>
        <w:pStyle w:val="Normaltindrag"/>
      </w:pPr>
      <w:r w:rsidRPr="006C40C1">
        <w:t>Moderata samlingspartiet vill dessutom tillföra skolan ytterligare resurser. Partiet föreslår också att två nya stiftelseuniversitet ska bildas fr.o.m. 2005 och att man ska satsa mer på grundforskning och forskarutbildning.</w:t>
      </w:r>
    </w:p>
    <w:p w:rsidR="00AA5D77" w:rsidRPr="006C40C1" w:rsidRDefault="00AA5D77">
      <w:pPr>
        <w:pStyle w:val="Normaltindrag"/>
      </w:pPr>
      <w:r w:rsidRPr="006C40C1">
        <w:t>Under de båda närmaste åren vill motionärerna privatisera statliga företag för sammanlagt 70 miljarder kronor. Deras avsikt är att under 2003 och 2004 sälja statliga företag för 30 respektive 40 miljarder kronor utöver de av r</w:t>
      </w:r>
      <w:r w:rsidRPr="006C40C1">
        <w:t>e</w:t>
      </w:r>
      <w:r w:rsidRPr="006C40C1">
        <w:t>geringen planerade försäljningarna på 15 miljarder kronor per år. De i</w:t>
      </w:r>
      <w:r w:rsidRPr="006C40C1">
        <w:t>n</w:t>
      </w:r>
      <w:r w:rsidRPr="006C40C1">
        <w:t>komster detta ger ska användas till en snabbare amortering av statssku</w:t>
      </w:r>
      <w:r w:rsidRPr="006C40C1">
        <w:t>l</w:t>
      </w:r>
      <w:r w:rsidRPr="006C40C1">
        <w:t>den.</w:t>
      </w:r>
    </w:p>
    <w:p w:rsidR="00AA5D77" w:rsidRPr="006C40C1" w:rsidRDefault="00AA5D77">
      <w:pPr>
        <w:pStyle w:val="Normaltindrag"/>
      </w:pPr>
      <w:r w:rsidRPr="006C40C1">
        <w:t>Av motionen framgår att motionärerna räknar med att den moderata polit</w:t>
      </w:r>
      <w:r w:rsidRPr="006C40C1">
        <w:t>i</w:t>
      </w:r>
      <w:r w:rsidRPr="006C40C1">
        <w:t>ken ska leda till att den konsoliderade bruttoskulden kommer att motsvara 49,8 % av BNP 2003 och 46,7 % av BNP 2004. Det är 1,1 respektive 2,6 procentenheter lägre än vad regeringen räknar med i budgetpositionen.</w:t>
      </w:r>
    </w:p>
    <w:p w:rsidR="00AA5D77" w:rsidRPr="006C40C1" w:rsidRDefault="00AA5D77">
      <w:r w:rsidRPr="006C40C1">
        <w:t>De finansiella effekter som motionärernas förslag har på den konsoliderade offentliga sektorn kan utifrån de i motionen redovisade uppgifterna samma</w:t>
      </w:r>
      <w:r w:rsidRPr="006C40C1">
        <w:t>n</w:t>
      </w:r>
      <w:r w:rsidRPr="006C40C1">
        <w:t>fattas på följande sätt för de komma</w:t>
      </w:r>
      <w:r w:rsidRPr="006C40C1">
        <w:t>n</w:t>
      </w:r>
      <w:r w:rsidRPr="006C40C1">
        <w:t>de två åren.</w:t>
      </w:r>
    </w:p>
    <w:p w:rsidR="00AA5D77" w:rsidRPr="006C40C1" w:rsidRDefault="00AA5D77">
      <w:pPr>
        <w:keepNext/>
        <w:spacing w:before="360" w:line="170" w:lineRule="exact"/>
        <w:rPr>
          <w:b/>
          <w:sz w:val="17"/>
        </w:rPr>
      </w:pPr>
      <w:bookmarkStart w:id="268" w:name="_Toc9410445"/>
      <w:bookmarkStart w:id="269" w:name="_Toc9414645"/>
      <w:bookmarkStart w:id="270" w:name="_Toc10031655"/>
      <w:bookmarkStart w:id="271" w:name="_Toc10262928"/>
      <w:bookmarkStart w:id="272" w:name="_Toc10278703"/>
      <w:bookmarkStart w:id="273" w:name="_Toc10341280"/>
      <w:bookmarkStart w:id="274" w:name="_Toc10858606"/>
      <w:bookmarkStart w:id="275" w:name="_Toc10877627"/>
      <w:bookmarkStart w:id="276" w:name="_Toc25304170"/>
      <w:r w:rsidRPr="006C40C1">
        <w:rPr>
          <w:b/>
          <w:sz w:val="17"/>
        </w:rPr>
        <w:t>Tabell 15.  Moderata samlingspartiets finansiella sparande i offentlig sektor 2003 och 2004</w:t>
      </w:r>
      <w:bookmarkEnd w:id="268"/>
      <w:bookmarkEnd w:id="269"/>
      <w:bookmarkEnd w:id="270"/>
      <w:bookmarkEnd w:id="271"/>
      <w:bookmarkEnd w:id="272"/>
      <w:bookmarkEnd w:id="273"/>
      <w:bookmarkEnd w:id="274"/>
      <w:bookmarkEnd w:id="275"/>
      <w:bookmarkEnd w:id="276"/>
    </w:p>
    <w:p w:rsidR="00AA5D77" w:rsidRPr="006C40C1" w:rsidRDefault="00AA5D77">
      <w:pPr>
        <w:pStyle w:val="TabellfrklaringFiU20"/>
        <w:keepLines w:val="0"/>
      </w:pPr>
      <w:r w:rsidRPr="006C40C1">
        <w:t>Miljarder kronor</w:t>
      </w:r>
    </w:p>
    <w:p w:rsidR="00AA5D77" w:rsidRPr="006C40C1" w:rsidRDefault="006C40C1">
      <w:pPr>
        <w:pStyle w:val="Normaltindrag"/>
        <w:keepNext/>
        <w:spacing w:line="240" w:lineRule="auto"/>
        <w:ind w:firstLine="0"/>
      </w:pPr>
      <w:r w:rsidRPr="006C40C1">
        <w:rPr>
          <w:noProof/>
        </w:rPr>
        <w:drawing>
          <wp:inline distT="0" distB="0" distL="0" distR="0">
            <wp:extent cx="3739515" cy="13716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39515" cy="1371600"/>
                    </a:xfrm>
                    <a:prstGeom prst="rect">
                      <a:avLst/>
                    </a:prstGeom>
                    <a:noFill/>
                    <a:ln>
                      <a:noFill/>
                    </a:ln>
                  </pic:spPr>
                </pic:pic>
              </a:graphicData>
            </a:graphic>
          </wp:inline>
        </w:drawing>
      </w:r>
    </w:p>
    <w:p w:rsidR="00AA5D77" w:rsidRPr="006C40C1" w:rsidRDefault="00AA5D77">
      <w:pPr>
        <w:pStyle w:val="Normaltindrag"/>
        <w:spacing w:line="40" w:lineRule="exact"/>
        <w:ind w:firstLine="0"/>
      </w:pPr>
    </w:p>
    <w:p w:rsidR="00AA5D77" w:rsidRPr="006C40C1" w:rsidRDefault="00AA5D77">
      <w:pPr>
        <w:pStyle w:val="Normaltindrag"/>
      </w:pPr>
    </w:p>
    <w:p w:rsidR="00AA5D77" w:rsidRPr="006C40C1" w:rsidRDefault="00AA5D77">
      <w:pPr>
        <w:pStyle w:val="Reservantfrslag"/>
      </w:pPr>
      <w:bookmarkStart w:id="277" w:name="_Toc9410446"/>
      <w:bookmarkStart w:id="278" w:name="_Toc9414646"/>
      <w:bookmarkStart w:id="279" w:name="_Toc10031656"/>
      <w:r w:rsidRPr="006C40C1">
        <w:t>Moderata samlingspartiets budgetförslag utgår liksom tidigare från att någon budgeteringsmarginal inte ska användas. Om man till de moderata förslagen till utgiftsförändringar lägger effekten av detta ställningstagande får man fram det av motionärerna förordade utgiftstaket för staten som efter avrundning till närmast högre miljardbelopp ligger på följande nivå.</w:t>
      </w:r>
    </w:p>
    <w:p w:rsidR="00AA5D77" w:rsidRPr="006C40C1" w:rsidRDefault="00AA5D77">
      <w:pPr>
        <w:keepNext/>
        <w:spacing w:before="360" w:line="170" w:lineRule="exact"/>
        <w:rPr>
          <w:b/>
          <w:sz w:val="17"/>
        </w:rPr>
      </w:pPr>
      <w:bookmarkStart w:id="280" w:name="_Toc10262929"/>
      <w:bookmarkStart w:id="281" w:name="_Toc10278704"/>
      <w:bookmarkStart w:id="282" w:name="_Toc10341281"/>
      <w:bookmarkStart w:id="283" w:name="_Toc10858607"/>
      <w:bookmarkStart w:id="284" w:name="_Toc10877628"/>
      <w:bookmarkStart w:id="285" w:name="_Toc25304171"/>
      <w:r w:rsidRPr="006C40C1">
        <w:rPr>
          <w:b/>
          <w:sz w:val="17"/>
        </w:rPr>
        <w:t>Tabell 16.  Moderata samlingspartiets utgiftstak för staten 2003 och 2004</w:t>
      </w:r>
      <w:bookmarkEnd w:id="277"/>
      <w:bookmarkEnd w:id="278"/>
      <w:bookmarkEnd w:id="279"/>
      <w:bookmarkEnd w:id="280"/>
      <w:bookmarkEnd w:id="281"/>
      <w:bookmarkEnd w:id="282"/>
      <w:bookmarkEnd w:id="283"/>
      <w:bookmarkEnd w:id="284"/>
      <w:bookmarkEnd w:id="285"/>
    </w:p>
    <w:p w:rsidR="00AA5D77" w:rsidRPr="006C40C1" w:rsidRDefault="00AA5D77">
      <w:pPr>
        <w:pStyle w:val="TabellfrklaringFiU20"/>
        <w:keepLines w:val="0"/>
      </w:pPr>
      <w:r w:rsidRPr="006C40C1">
        <w:t>Miljarder kronor</w:t>
      </w:r>
    </w:p>
    <w:p w:rsidR="00AA5D77" w:rsidRPr="006C40C1" w:rsidRDefault="006C40C1">
      <w:pPr>
        <w:keepNext/>
        <w:spacing w:before="0" w:line="240" w:lineRule="auto"/>
      </w:pPr>
      <w:r w:rsidRPr="006C40C1">
        <w:rPr>
          <w:noProof/>
        </w:rPr>
        <w:drawing>
          <wp:inline distT="0" distB="0" distL="0" distR="0">
            <wp:extent cx="3739515" cy="78359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739515" cy="783590"/>
                    </a:xfrm>
                    <a:prstGeom prst="rect">
                      <a:avLst/>
                    </a:prstGeom>
                    <a:noFill/>
                    <a:ln>
                      <a:noFill/>
                    </a:ln>
                  </pic:spPr>
                </pic:pic>
              </a:graphicData>
            </a:graphic>
          </wp:inline>
        </w:drawing>
      </w:r>
    </w:p>
    <w:p w:rsidR="00AA5D77" w:rsidRPr="006C40C1" w:rsidRDefault="00AA5D77">
      <w:pPr>
        <w:pStyle w:val="Normaltindrag"/>
        <w:spacing w:line="60" w:lineRule="exact"/>
      </w:pPr>
    </w:p>
    <w:p w:rsidR="00AA5D77" w:rsidRPr="006C40C1" w:rsidRDefault="00AA5D77">
      <w:pPr>
        <w:spacing w:before="0" w:line="240" w:lineRule="auto"/>
      </w:pPr>
    </w:p>
    <w:p w:rsidR="00AA5D77" w:rsidRPr="006C40C1" w:rsidRDefault="00AA5D77">
      <w:pPr>
        <w:spacing w:before="0"/>
      </w:pPr>
      <w:r w:rsidRPr="006C40C1">
        <w:t>Moderata samlingspartiet vill att staten ska ta över kommunernas kostnader för skolan. Förslaget innebär att kommunerna fr.o.m. 2004 kommer att avla</w:t>
      </w:r>
      <w:r w:rsidRPr="006C40C1">
        <w:t>s</w:t>
      </w:r>
      <w:r w:rsidRPr="006C40C1">
        <w:t>tas en mycket betydande utgift. Den är i motionen beräknad till 65,5 miljarder kronor. Samtidigt kommer belastningen på utgiftsområde 16 Utbildning och universitetsforskning att öka med ett ungefär lika stort belopp. Omfördelnin</w:t>
      </w:r>
      <w:r w:rsidRPr="006C40C1">
        <w:t>g</w:t>
      </w:r>
      <w:r w:rsidRPr="006C40C1">
        <w:t>ens effekt på statsbudgeten neutraliseras genom att de generella statsbidragen till kommunerna minskas med ett motsvarande belopp i enlighet med finans</w:t>
      </w:r>
      <w:r w:rsidRPr="006C40C1">
        <w:t>i</w:t>
      </w:r>
      <w:r w:rsidRPr="006C40C1">
        <w:t>eringsprincipen. Moderata samlingspartiet föreslår därutöver flera åtgärder som får effekt på kommunernas ekonomi, inte minst en r</w:t>
      </w:r>
      <w:r w:rsidRPr="006C40C1">
        <w:t>ad skattesänkningar. Även dessa åtgärder regleras i enlighet med finansieringsprincipen över stat</w:t>
      </w:r>
      <w:r w:rsidRPr="006C40C1">
        <w:t>s</w:t>
      </w:r>
      <w:r w:rsidRPr="006C40C1">
        <w:t>bidragen till kommunerna. De föreslagna skattesänkningar som får effekter för kommunernas skatteintäkter höjer alltså nivån på Moderata samlingspart</w:t>
      </w:r>
      <w:r w:rsidRPr="006C40C1">
        <w:t>i</w:t>
      </w:r>
      <w:r w:rsidRPr="006C40C1">
        <w:t>ets förslag till utgiftstak för staten men har ingen effekt på utgiftstaket för hela den offentliga sektorn.</w:t>
      </w:r>
    </w:p>
    <w:p w:rsidR="00AA5D77" w:rsidRPr="006C40C1" w:rsidRDefault="00AA5D77">
      <w:pPr>
        <w:keepNext/>
        <w:spacing w:before="360" w:line="170" w:lineRule="exact"/>
        <w:rPr>
          <w:b/>
          <w:sz w:val="17"/>
        </w:rPr>
      </w:pPr>
      <w:bookmarkStart w:id="286" w:name="_Toc9410447"/>
      <w:bookmarkStart w:id="287" w:name="_Toc9414647"/>
      <w:bookmarkStart w:id="288" w:name="_Toc10031657"/>
      <w:bookmarkStart w:id="289" w:name="_Toc10262930"/>
      <w:bookmarkStart w:id="290" w:name="_Toc10278705"/>
      <w:bookmarkStart w:id="291" w:name="_Toc10341282"/>
      <w:bookmarkStart w:id="292" w:name="_Toc10858608"/>
      <w:bookmarkStart w:id="293" w:name="_Toc10877629"/>
      <w:bookmarkStart w:id="294" w:name="_Toc25304172"/>
      <w:r w:rsidRPr="006C40C1">
        <w:rPr>
          <w:b/>
          <w:sz w:val="17"/>
        </w:rPr>
        <w:t>Tabell 17.  Moderata samlingspartiets utgiftstak för offentlig sektor 2003 och 2004</w:t>
      </w:r>
      <w:bookmarkEnd w:id="286"/>
      <w:bookmarkEnd w:id="287"/>
      <w:bookmarkEnd w:id="288"/>
      <w:bookmarkEnd w:id="289"/>
      <w:bookmarkEnd w:id="290"/>
      <w:bookmarkEnd w:id="291"/>
      <w:bookmarkEnd w:id="292"/>
      <w:bookmarkEnd w:id="293"/>
      <w:bookmarkEnd w:id="294"/>
    </w:p>
    <w:p w:rsidR="00AA5D77" w:rsidRPr="006C40C1" w:rsidRDefault="00AA5D77">
      <w:pPr>
        <w:pStyle w:val="TabellfrklaringFiU20"/>
        <w:keepLines w:val="0"/>
      </w:pPr>
      <w:r w:rsidRPr="006C40C1">
        <w:t>Miljarder kronor</w:t>
      </w:r>
    </w:p>
    <w:p w:rsidR="00AA5D77" w:rsidRPr="006C40C1" w:rsidRDefault="006C40C1">
      <w:pPr>
        <w:keepNext/>
        <w:spacing w:before="0" w:line="240" w:lineRule="auto"/>
      </w:pPr>
      <w:r w:rsidRPr="006C40C1">
        <w:rPr>
          <w:noProof/>
        </w:rPr>
        <w:drawing>
          <wp:inline distT="0" distB="0" distL="0" distR="0">
            <wp:extent cx="3733800" cy="9525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rsidR="00AA5D77" w:rsidRPr="006C40C1" w:rsidRDefault="00AA5D77">
      <w:pPr>
        <w:pStyle w:val="Normaltindrag"/>
        <w:spacing w:after="120" w:line="60" w:lineRule="exact"/>
      </w:pPr>
    </w:p>
    <w:p w:rsidR="00AA5D77" w:rsidRPr="006C40C1" w:rsidRDefault="00AA5D77">
      <w:pPr>
        <w:spacing w:before="360"/>
      </w:pPr>
      <w:bookmarkStart w:id="295" w:name="_Toc9410452"/>
      <w:bookmarkStart w:id="296" w:name="_Toc9414652"/>
      <w:bookmarkStart w:id="297" w:name="_Toc10031662"/>
      <w:bookmarkStart w:id="298" w:name="_Toc10262935"/>
      <w:bookmarkStart w:id="299" w:name="_Toc10278710"/>
      <w:bookmarkStart w:id="300" w:name="_Toc10341287"/>
      <w:bookmarkStart w:id="301" w:name="_Toc10858613"/>
      <w:bookmarkStart w:id="302" w:name="_Toc10877634"/>
      <w:r w:rsidRPr="006C40C1">
        <w:rPr>
          <w:b/>
          <w:i/>
        </w:rPr>
        <w:t>Folkpartiet liberalerna</w:t>
      </w:r>
      <w:r w:rsidRPr="006C40C1">
        <w:rPr>
          <w:i/>
        </w:rPr>
        <w:t xml:space="preserve"> </w:t>
      </w:r>
      <w:r w:rsidRPr="006C40C1">
        <w:t xml:space="preserve">kritiserar i </w:t>
      </w:r>
      <w:r w:rsidRPr="006C40C1">
        <w:rPr>
          <w:i/>
        </w:rPr>
        <w:t>motion Fi232</w:t>
      </w:r>
      <w:r w:rsidRPr="006C40C1">
        <w:t xml:space="preserve"> regeringen för att dess bu</w:t>
      </w:r>
      <w:r w:rsidRPr="006C40C1">
        <w:t>d</w:t>
      </w:r>
      <w:r w:rsidRPr="006C40C1">
        <w:t>getförslag inte innehåller några rimliga marginaler som kan möta en sämre ekonomisk utveckling. För egen del föreslår motionärerna en större budget</w:t>
      </w:r>
      <w:r w:rsidRPr="006C40C1">
        <w:t>e</w:t>
      </w:r>
      <w:r w:rsidRPr="006C40C1">
        <w:t>ringsmarginal än regeringen, och för att minska budgetbelastningen skjuter de på några av partiets vallöften, något som förutskickades redan under valröre</w:t>
      </w:r>
      <w:r w:rsidRPr="006C40C1">
        <w:t>l</w:t>
      </w:r>
      <w:r w:rsidRPr="006C40C1">
        <w:t>sen. Motionärerna är dessutom beredda att genomföra ytterligare budgetfö</w:t>
      </w:r>
      <w:r w:rsidRPr="006C40C1">
        <w:t>r</w:t>
      </w:r>
      <w:r w:rsidRPr="006C40C1">
        <w:t>stärkningar om det skulle visa sig att regeringens ekonomiska bedömning inte hålle</w:t>
      </w:r>
      <w:r w:rsidRPr="006C40C1">
        <w:t>r.</w:t>
      </w:r>
    </w:p>
    <w:p w:rsidR="00AA5D77" w:rsidRPr="006C40C1" w:rsidRDefault="00AA5D77">
      <w:pPr>
        <w:pStyle w:val="Normaltindrag"/>
      </w:pPr>
      <w:r w:rsidRPr="006C40C1">
        <w:t>I motionen dras riktlinjer upp för en större inkomstskattereform som sä</w:t>
      </w:r>
      <w:r w:rsidRPr="006C40C1">
        <w:t>n</w:t>
      </w:r>
      <w:r w:rsidRPr="006C40C1">
        <w:t>ker marginalskatten genom att värnskatten slopas, genom att den nedre grä</w:t>
      </w:r>
      <w:r w:rsidRPr="006C40C1">
        <w:t>n</w:t>
      </w:r>
      <w:r w:rsidRPr="006C40C1">
        <w:t>sen för uttag av statlig skatt – brytpunkten – höjs, och genom att ett  förvärv</w:t>
      </w:r>
      <w:r w:rsidRPr="006C40C1">
        <w:t>s</w:t>
      </w:r>
      <w:r w:rsidRPr="006C40C1">
        <w:t>avdrag införs vid den kommunala beskattningen. För att ytterligare sänka inkomstskatten vill motionärerna därutöver införa en skattereduktion, lika för alla, som också ska tillfalla pension</w:t>
      </w:r>
      <w:r w:rsidRPr="006C40C1">
        <w:t>ä</w:t>
      </w:r>
      <w:r w:rsidRPr="006C40C1">
        <w:t>rer.</w:t>
      </w:r>
    </w:p>
    <w:p w:rsidR="00AA5D77" w:rsidRPr="006C40C1" w:rsidRDefault="00AA5D77">
      <w:pPr>
        <w:pStyle w:val="Normaltindrag"/>
      </w:pPr>
      <w:r w:rsidRPr="006C40C1">
        <w:t>För de närmaste åren är Folkpartiets skatteförslag inriktade på att höja brytpunkten till den nivå där egenavgifter inte längre tas ut. I ett första steg höjs bry</w:t>
      </w:r>
      <w:r w:rsidRPr="006C40C1">
        <w:t>tpunkten så att en inkomst motsvarande en månadslön på ungefär 26 000 kr slipper statlig skatt. Partiet vill också avskaffa värnskatten, vilket sänker marginalskatten med 5 procentenheter i inkomstlägen över 450 000 kr samt införa ett förvärvsavdrag på 3 % av inkomsten vid den kommunala beskattningen. Vidare vill man införa en skattereduktion som 2003 uppgår till 300 kr och 2004 till 600 kr per person på årsbasis. Så snart som möjligt ska processen att avskaffa den s.k. LO-puckeln påbörjas.</w:t>
      </w:r>
    </w:p>
    <w:p w:rsidR="00AA5D77" w:rsidRPr="006C40C1" w:rsidRDefault="00AA5D77">
      <w:pPr>
        <w:pStyle w:val="Normaltindrag"/>
      </w:pPr>
      <w:r w:rsidRPr="006C40C1">
        <w:t>Barnfamiljerna f</w:t>
      </w:r>
      <w:r w:rsidRPr="006C40C1">
        <w:t>öreslås få ett utökat stöd genom en skattereduktion som nästa år ska uppgå till ungefär 80 kr per barn och månad. Höjningen ersätter till en del barnfamiljernas inkomstprövade bostadsbidrag som samtidigt b</w:t>
      </w:r>
      <w:r w:rsidRPr="006C40C1">
        <w:t>e</w:t>
      </w:r>
      <w:r w:rsidRPr="006C40C1">
        <w:t>gränsas för att man ska minska den marginaleffekt som uppstår när bostad</w:t>
      </w:r>
      <w:r w:rsidRPr="006C40C1">
        <w:t>s</w:t>
      </w:r>
      <w:r w:rsidRPr="006C40C1">
        <w:t>bidraget trappas av med stigande inkomster. Bilavdraget för resor till och från arbetet ska också få inkludera lämning och hämtning av barn på dagis.</w:t>
      </w:r>
    </w:p>
    <w:p w:rsidR="00AA5D77" w:rsidRPr="006C40C1" w:rsidRDefault="00AA5D77">
      <w:pPr>
        <w:pStyle w:val="Normaltindrag"/>
      </w:pPr>
      <w:r w:rsidRPr="006C40C1">
        <w:t>Motionärerna vill skapa särskilda kompetenskonton som gör det möjligt att finansier</w:t>
      </w:r>
      <w:r w:rsidRPr="006C40C1">
        <w:t>a studier med förtida uttag av pensionssparande. I motionen föreslås därför att avdragsrätten för pensionssparande höjs från 0,5 till 1 prisbasb</w:t>
      </w:r>
      <w:r w:rsidRPr="006C40C1">
        <w:t>e</w:t>
      </w:r>
      <w:r w:rsidRPr="006C40C1">
        <w:t>lopp.</w:t>
      </w:r>
    </w:p>
    <w:p w:rsidR="00AA5D77" w:rsidRPr="006C40C1" w:rsidRDefault="00AA5D77">
      <w:pPr>
        <w:pStyle w:val="Normaltindrag"/>
      </w:pPr>
      <w:r w:rsidRPr="006C40C1">
        <w:t>Vidare föreslår de att gåvor till internationell hjälpverksamhet ska berättiga till viss skattereduktion.</w:t>
      </w:r>
    </w:p>
    <w:p w:rsidR="00AA5D77" w:rsidRPr="006C40C1" w:rsidRDefault="00AA5D77">
      <w:pPr>
        <w:pStyle w:val="Normaltindrag"/>
      </w:pPr>
      <w:r w:rsidRPr="006C40C1">
        <w:t>Avgifterna till arbetslöshetskassa höjs i Folkpartiets budgetalternativ redan nästa år och blir då avdragsgilla. Å andra sidan avvecklas samtidigt den nyl</w:t>
      </w:r>
      <w:r w:rsidRPr="006C40C1">
        <w:t>i</w:t>
      </w:r>
      <w:r w:rsidRPr="006C40C1">
        <w:t>gen införda skattereduktionen för fackföreningsavgifter. Skattesänkningen motsvarar avgiftshöjningen.</w:t>
      </w:r>
    </w:p>
    <w:p w:rsidR="00AA5D77" w:rsidRPr="006C40C1" w:rsidRDefault="00AA5D77">
      <w:pPr>
        <w:pStyle w:val="Normaltindrag"/>
      </w:pPr>
      <w:r w:rsidRPr="006C40C1">
        <w:t>Gemensamt med övriga borgerliga partier föreslår Folkpartiet att man ska införa en skattereduktion motsvarande halva arbetskostnaden för hushåll</w:t>
      </w:r>
      <w:r w:rsidRPr="006C40C1">
        <w:t>s</w:t>
      </w:r>
      <w:r w:rsidRPr="006C40C1">
        <w:t>tjänster.</w:t>
      </w:r>
    </w:p>
    <w:p w:rsidR="00AA5D77" w:rsidRPr="006C40C1" w:rsidRDefault="00AA5D77">
      <w:pPr>
        <w:pStyle w:val="Normaltindrag"/>
      </w:pPr>
      <w:r w:rsidRPr="006C40C1">
        <w:t>I motionen föreslås också att taxeringsvärdena vid fastighetsbeskattningen ska frysas på den nivå som gällde 1997 och att uttaget av fastighetsskatt ska vara 1,0 % för småhus och 0,5 % för flerfamiljshus. På sikt bör man enligt Folkpartiets mening stegvis sänka fastighetsskatten och upprätta likformighet mellan olika boendeformer.</w:t>
      </w:r>
    </w:p>
    <w:p w:rsidR="00AA5D77" w:rsidRPr="006C40C1" w:rsidRDefault="00AA5D77">
      <w:pPr>
        <w:pStyle w:val="Normaltindrag"/>
      </w:pPr>
      <w:r w:rsidRPr="006C40C1">
        <w:t>Som ett första steg i riktning mot en helt avvecklad förmögenhetsbeskat</w:t>
      </w:r>
      <w:r w:rsidRPr="006C40C1">
        <w:t>t</w:t>
      </w:r>
      <w:r w:rsidRPr="006C40C1">
        <w:t>ning föreslår motionärerna att man nästa år avskaffar sambeskattningen och  2004 höjer fribeloppet till 2,1 miljoner kronor.</w:t>
      </w:r>
    </w:p>
    <w:p w:rsidR="00AA5D77" w:rsidRPr="006C40C1" w:rsidRDefault="00AA5D77">
      <w:pPr>
        <w:pStyle w:val="Normaltindrag"/>
      </w:pPr>
      <w:r w:rsidRPr="006C40C1">
        <w:t>Sänkningen av fastighets- och förmögenhetsskatten kombineras i Folkpa</w:t>
      </w:r>
      <w:r w:rsidRPr="006C40C1">
        <w:t>r</w:t>
      </w:r>
      <w:r w:rsidRPr="006C40C1">
        <w:t>tiets budgetalternativ med en höjning av realisationsvinstbeskattningen för bostäder till 30 %.</w:t>
      </w:r>
    </w:p>
    <w:p w:rsidR="00AA5D77" w:rsidRPr="006C40C1" w:rsidRDefault="00AA5D77">
      <w:pPr>
        <w:pStyle w:val="Normaltindrag"/>
      </w:pPr>
      <w:r w:rsidRPr="006C40C1">
        <w:t>Dubbelbeskattningen av privatpersoners aktieutdelningar bör under de båda närmaste åren halveras, och då bör också fåmansbolagsreglerna ändras i riktning mot att endast ett belopp motsvarande en normalinkomst beskattas som arbetsi</w:t>
      </w:r>
      <w:r w:rsidRPr="006C40C1">
        <w:t>n</w:t>
      </w:r>
      <w:r w:rsidRPr="006C40C1">
        <w:t xml:space="preserve">komst, medan resterande del tas upp som inkomst av kapital. </w:t>
      </w:r>
    </w:p>
    <w:p w:rsidR="00AA5D77" w:rsidRPr="006C40C1" w:rsidRDefault="00AA5D77">
      <w:pPr>
        <w:pStyle w:val="Normaltindrag"/>
      </w:pPr>
      <w:r w:rsidRPr="006C40C1">
        <w:t>Arbetsgivaravgifterna bör enligt motionärerna sänkas. Partiets långsiktiga mål är att helt avskaffa skattedelen i arbetsgivaravgifterna. För närvarande är uttaget av arbetsgivaravgifter 5 procentenheter lägre på lönesummor upp till 850 000 kr. I motionen föreslås att man som en första åtgärd ska höja denna gräns till drygt 1 miljon kronor samt att en motsvarande höjning ska göras för egenföretagare.</w:t>
      </w:r>
    </w:p>
    <w:p w:rsidR="00AA5D77" w:rsidRPr="006C40C1" w:rsidRDefault="00AA5D77">
      <w:pPr>
        <w:pStyle w:val="Normaltindrag"/>
        <w:rPr>
          <w:snapToGrid w:val="0"/>
        </w:rPr>
      </w:pPr>
      <w:r w:rsidRPr="006C40C1">
        <w:t>Folkpartiet är för en grön skatteväxling men anser att denna tanke har fö</w:t>
      </w:r>
      <w:r w:rsidRPr="006C40C1">
        <w:t>r</w:t>
      </w:r>
      <w:r w:rsidRPr="006C40C1">
        <w:t>fuskats. Motionärerna stöder emellertid regeringens förslag att en höjd el- och koldioxidskatt ska växlas mot sänkt inkomstskatt men anser att inkomstska</w:t>
      </w:r>
      <w:r w:rsidRPr="006C40C1">
        <w:t>t</w:t>
      </w:r>
      <w:r w:rsidRPr="006C40C1">
        <w:t xml:space="preserve">tesänkningen ska läggas ut mer generellt. Den viktigaste miljöförbättrande förändringen är enligt partiet att </w:t>
      </w:r>
      <w:r w:rsidRPr="006C40C1">
        <w:rPr>
          <w:snapToGrid w:val="0"/>
        </w:rPr>
        <w:t>arbeta för en gemensam CO</w:t>
      </w:r>
      <w:r w:rsidRPr="006C40C1">
        <w:rPr>
          <w:snapToGrid w:val="0"/>
          <w:vertAlign w:val="subscript"/>
        </w:rPr>
        <w:t>2</w:t>
      </w:r>
      <w:r w:rsidRPr="006C40C1">
        <w:rPr>
          <w:snapToGrid w:val="0"/>
        </w:rPr>
        <w:t>-skatt i EU.</w:t>
      </w:r>
    </w:p>
    <w:p w:rsidR="00AA5D77" w:rsidRPr="006C40C1" w:rsidRDefault="00AA5D77">
      <w:pPr>
        <w:pStyle w:val="Normaltindrag"/>
      </w:pPr>
      <w:r w:rsidRPr="006C40C1">
        <w:t>Skattesänkningarna beräknas i motionen uppgå till sammanlagt 44 milja</w:t>
      </w:r>
      <w:r w:rsidRPr="006C40C1">
        <w:t>r</w:t>
      </w:r>
      <w:r w:rsidRPr="006C40C1">
        <w:t>der kronor 2004, varav 27 miljarder kronor avser de förslag som berör i</w:t>
      </w:r>
      <w:r w:rsidRPr="006C40C1">
        <w:t>n</w:t>
      </w:r>
      <w:r w:rsidRPr="006C40C1">
        <w:t>komstbeskattningen. Tar man hänsyn till de skattehöjningar som Folkpartiet också förordar försvagas enligt motionen statsbudgetens inkomster med netto 35 miljarder kronor 2004 med partiets förslag.</w:t>
      </w:r>
    </w:p>
    <w:p w:rsidR="00AA5D77" w:rsidRPr="006C40C1" w:rsidRDefault="00AA5D77">
      <w:pPr>
        <w:pStyle w:val="Normaltindrag"/>
      </w:pPr>
      <w:r w:rsidRPr="006C40C1">
        <w:t>På statsbudgetens utgiftssida föreslås ett antal reformer.</w:t>
      </w:r>
    </w:p>
    <w:p w:rsidR="00AA5D77" w:rsidRPr="006C40C1" w:rsidRDefault="00AA5D77">
      <w:pPr>
        <w:pStyle w:val="Normaltindrag"/>
      </w:pPr>
      <w:r w:rsidRPr="006C40C1">
        <w:t>Motionärerna vill under mandatperioden återställa enprocentsmålet för det internationella utvecklingssamarbetet och avsätter för detta ändamål ytterlig</w:t>
      </w:r>
      <w:r w:rsidRPr="006C40C1">
        <w:t>a</w:t>
      </w:r>
      <w:r w:rsidRPr="006C40C1">
        <w:t>re sammanlagt 1,7 miljarder kronor under de båda efterföljande åren. Dessu</w:t>
      </w:r>
      <w:r w:rsidRPr="006C40C1">
        <w:t>t</w:t>
      </w:r>
      <w:r w:rsidRPr="006C40C1">
        <w:t>om satsar de ytterligare 600 miljoner kronor per år på forskning och inför på skolans område en nationell skolpeng för att få en likvärdig utbildning över hela landet.</w:t>
      </w:r>
    </w:p>
    <w:p w:rsidR="00AA5D77" w:rsidRPr="006C40C1" w:rsidRDefault="00AA5D77">
      <w:pPr>
        <w:pStyle w:val="Normaltindrag"/>
      </w:pPr>
      <w:r w:rsidRPr="006C40C1">
        <w:t>Folkpartiet föreslår att en jämställdhetsbonus införs i föräldraförsäkringen. Den innebär i princip att ersättningsnivån höjs till 90 % när båda föräldrarna utnyttjar föräldraförsäkringen. Till försäkringen ska fr.o.m. 2004 också knytas ett barnkonto som kan utnyttjas</w:t>
      </w:r>
      <w:r w:rsidRPr="006C40C1">
        <w:t xml:space="preserve"> friare än föräldraförsäkringen. En besparing kan enligt motionärerna då göras genom att garantidagarna avska</w:t>
      </w:r>
      <w:r w:rsidRPr="006C40C1">
        <w:t>f</w:t>
      </w:r>
      <w:r w:rsidRPr="006C40C1">
        <w:t>fas.</w:t>
      </w:r>
    </w:p>
    <w:p w:rsidR="00AA5D77" w:rsidRPr="006C40C1" w:rsidRDefault="00AA5D77">
      <w:pPr>
        <w:pStyle w:val="Normaltindrag"/>
      </w:pPr>
      <w:r w:rsidRPr="006C40C1">
        <w:t>Tillsammans med övriga borgerliga partier vill Folkpartiet införa en nati</w:t>
      </w:r>
      <w:r w:rsidRPr="006C40C1">
        <w:t>o</w:t>
      </w:r>
      <w:r w:rsidRPr="006C40C1">
        <w:t>nell vårdgaranti som garanterar behandling inom tre månader efter det att behovet har fastställts. För detta ändamål avsätter partiet 1 miljard kronor under de båda efterföljande åren.</w:t>
      </w:r>
    </w:p>
    <w:p w:rsidR="00AA5D77" w:rsidRPr="006C40C1" w:rsidRDefault="00AA5D77">
      <w:pPr>
        <w:pStyle w:val="Normaltindrag"/>
      </w:pPr>
      <w:r w:rsidRPr="006C40C1">
        <w:t>I motionen drar partiet även upp riktlinjer för en framtida, större socialfö</w:t>
      </w:r>
      <w:r w:rsidRPr="006C40C1">
        <w:t>r</w:t>
      </w:r>
      <w:r w:rsidRPr="006C40C1">
        <w:t>säkringsreform som ska innefatta nuvarande pensionsförsäkring samt en reformerad sjukförsäkring och arbetslöshetsförsäkring. De tre försäkringarna ska vara obligatoriska och fristående från statsbudgeten, och det ska vara ”raka rör” mellan avgifter och förmåner. Försäkringarnas oberoende av stat</w:t>
      </w:r>
      <w:r w:rsidRPr="006C40C1">
        <w:t>s</w:t>
      </w:r>
      <w:r w:rsidRPr="006C40C1">
        <w:t>budg</w:t>
      </w:r>
      <w:r w:rsidRPr="006C40C1">
        <w:t>e</w:t>
      </w:r>
      <w:r w:rsidRPr="006C40C1">
        <w:t>ten ska tryggas genom fristående fonder.</w:t>
      </w:r>
    </w:p>
    <w:p w:rsidR="00AA5D77" w:rsidRPr="006C40C1" w:rsidRDefault="00AA5D77">
      <w:pPr>
        <w:pStyle w:val="Normaltindrag"/>
      </w:pPr>
      <w:r w:rsidRPr="006C40C1">
        <w:t>I det korta perspektivet föreslår motionärerna att sjukförsäkringens kostn</w:t>
      </w:r>
      <w:r w:rsidRPr="006C40C1">
        <w:t>a</w:t>
      </w:r>
      <w:r w:rsidRPr="006C40C1">
        <w:t>der för trafikolycksfall förs över på den obligatoriska trafikförsäkringen. De räknar med att statsbudgeten då kan avlastas en utgift på 4 miljarder kronor som i stället påförs bilismen.</w:t>
      </w:r>
    </w:p>
    <w:p w:rsidR="00AA5D77" w:rsidRPr="006C40C1" w:rsidRDefault="00AA5D77">
      <w:pPr>
        <w:pStyle w:val="Normaltindrag"/>
      </w:pPr>
      <w:r w:rsidRPr="006C40C1">
        <w:t xml:space="preserve">Utgifterna för sjukförsäkring och förtidspension väntas i motionen också minska till följd av partiets ökade satsning på rehabilitering. </w:t>
      </w:r>
    </w:p>
    <w:p w:rsidR="00AA5D77" w:rsidRPr="006C40C1" w:rsidRDefault="00AA5D77">
      <w:pPr>
        <w:pStyle w:val="Normaltindrag"/>
      </w:pPr>
      <w:r w:rsidRPr="006C40C1">
        <w:t>En tillgänglighetsreform för handikappade bör enligt motionärerna komma i gång under 2003 i syfte att göra allmänna miljöer mera tillgängliga för ha</w:t>
      </w:r>
      <w:r w:rsidRPr="006C40C1">
        <w:t>n</w:t>
      </w:r>
      <w:r w:rsidRPr="006C40C1">
        <w:t>dikappade. Ansvaret för personliga assistenter bör då också föras över från kommunerna till staten varvid man också ska återställa de inskränkningar i rätten till personlig assistans som regeringen infört. Motionärerna räknar med att detta ska öka belastningen på statsbudgeten med 0,3 miljarder kr</w:t>
      </w:r>
      <w:r w:rsidRPr="006C40C1">
        <w:t>o</w:t>
      </w:r>
      <w:r w:rsidRPr="006C40C1">
        <w:t>nor.</w:t>
      </w:r>
    </w:p>
    <w:p w:rsidR="00AA5D77" w:rsidRPr="006C40C1" w:rsidRDefault="00AA5D77">
      <w:pPr>
        <w:pStyle w:val="Normaltindrag"/>
      </w:pPr>
      <w:r w:rsidRPr="006C40C1">
        <w:t>Vägnätet behöver rustas upp, och i motionen avsätts för detta ändamål y</w:t>
      </w:r>
      <w:r w:rsidRPr="006C40C1">
        <w:t>t</w:t>
      </w:r>
      <w:r w:rsidRPr="006C40C1">
        <w:t>terligare 2 miljarder kronor under de båda efterföljande åren. Folkpartiet är också positivt till alternativa finansi</w:t>
      </w:r>
      <w:r w:rsidRPr="006C40C1">
        <w:t>e</w:t>
      </w:r>
      <w:r w:rsidRPr="006C40C1">
        <w:t>ringsformer inom trafiksektorn.</w:t>
      </w:r>
    </w:p>
    <w:p w:rsidR="00AA5D77" w:rsidRPr="006C40C1" w:rsidRDefault="00AA5D77">
      <w:pPr>
        <w:pStyle w:val="Normaltindrag"/>
      </w:pPr>
      <w:r w:rsidRPr="006C40C1">
        <w:t>De föreslagna skattesänkningarna och de nya utgiftsåtagandena finansieras genom besparingar, genom att delar av regeringens skatteförslag avvisas samt genom satsningar som ger utdelning i form av minskade utgifter eller ökade inkom</w:t>
      </w:r>
      <w:r w:rsidRPr="006C40C1">
        <w:t>s</w:t>
      </w:r>
      <w:r w:rsidRPr="006C40C1">
        <w:t>ter.</w:t>
      </w:r>
    </w:p>
    <w:p w:rsidR="00AA5D77" w:rsidRPr="006C40C1" w:rsidRDefault="00AA5D77">
      <w:pPr>
        <w:pStyle w:val="Normaltindrag"/>
      </w:pPr>
      <w:r w:rsidRPr="006C40C1">
        <w:t>Arbetslöshetsförsäkringen föreslås bli obligatorisk och utformad som en omställningsförsäkring med en tidsbegränsad ersättning som inledningsvis motsvarar 80 % av inkomstbortfallet men som därefter successivt trappas ned. För utförsäkrade med lång anknytning till arbetsmarknaden ska ett komplett</w:t>
      </w:r>
      <w:r w:rsidRPr="006C40C1">
        <w:t>e</w:t>
      </w:r>
      <w:r w:rsidRPr="006C40C1">
        <w:t>rande skydd finnas. Försäkringen bör ha en egenfinansiering som motsvarar drygt en tredjedel av kostnaderna.</w:t>
      </w:r>
    </w:p>
    <w:p w:rsidR="00AA5D77" w:rsidRPr="006C40C1" w:rsidRDefault="00AA5D77">
      <w:pPr>
        <w:pStyle w:val="Normaltindrag"/>
      </w:pPr>
      <w:r w:rsidRPr="006C40C1">
        <w:t>Arbetsmarknadspolitiken bör enligt motionärerna reformeras och andra former av åtgärder användas. I motionen pekar man på möjligheten att anlita bemanningsföretag och privata arbetsförmedlingar som komplement till a</w:t>
      </w:r>
      <w:r w:rsidRPr="006C40C1">
        <w:t>r</w:t>
      </w:r>
      <w:r w:rsidRPr="006C40C1">
        <w:t>betsförmedlingen. Då kan både antalet personer i åtgärder och kostnaderna för dem minska. Arbetsmarknadsverkets förvaltningskostnader kan minska väsentligt, anser motionärerna.</w:t>
      </w:r>
    </w:p>
    <w:p w:rsidR="00AA5D77" w:rsidRPr="006C40C1" w:rsidRDefault="00AA5D77">
      <w:pPr>
        <w:pStyle w:val="Normaltindrag"/>
      </w:pPr>
      <w:r w:rsidRPr="006C40C1">
        <w:t>Motionärerna räknar med att deras förslag till ändrad inriktning av arbet</w:t>
      </w:r>
      <w:r w:rsidRPr="006C40C1">
        <w:t>s</w:t>
      </w:r>
      <w:r w:rsidRPr="006C40C1">
        <w:t>marknadspolitiken och att de genom att reformera a-kassan ska kunna minska utgifterna på statsbudgeten med ca 13 miljarder kronor per år under de båda nä</w:t>
      </w:r>
      <w:r w:rsidRPr="006C40C1">
        <w:t>r</w:t>
      </w:r>
      <w:r w:rsidRPr="006C40C1">
        <w:t xml:space="preserve">maste åren. </w:t>
      </w:r>
    </w:p>
    <w:p w:rsidR="00AA5D77" w:rsidRPr="006C40C1" w:rsidRDefault="00AA5D77">
      <w:pPr>
        <w:pStyle w:val="Normaltindrag"/>
      </w:pPr>
      <w:r w:rsidRPr="006C40C1">
        <w:t>Folkpartiet vill avveckla investeringsbidraget för nybyggnad av hyresb</w:t>
      </w:r>
      <w:r w:rsidRPr="006C40C1">
        <w:t>o</w:t>
      </w:r>
      <w:r w:rsidRPr="006C40C1">
        <w:t>städer liksom de lokala investeringsprogrammen, anställningsstödet samt regeringens satsning på bredband. Genom partiets ökade stöd till barnfamiljer räknar m</w:t>
      </w:r>
      <w:r w:rsidRPr="006C40C1">
        <w:t>o</w:t>
      </w:r>
      <w:r w:rsidRPr="006C40C1">
        <w:t>tionärerna också med att behovet av bostadsbidrag ska minska.</w:t>
      </w:r>
    </w:p>
    <w:p w:rsidR="00AA5D77" w:rsidRPr="006C40C1" w:rsidRDefault="00AA5D77">
      <w:pPr>
        <w:pStyle w:val="Normaltindrag"/>
      </w:pPr>
      <w:r w:rsidRPr="006C40C1">
        <w:t>Stora besparingar kan enligt deras mening också göras genom att på nytt ta Barsebäck 1 i drift, eftersom avvecklingskostnader då bortfaller och större delen av åtgärdsprogrammet på energ</w:t>
      </w:r>
      <w:r w:rsidRPr="006C40C1">
        <w:t>i</w:t>
      </w:r>
      <w:r w:rsidRPr="006C40C1">
        <w:t>området kan slopas.</w:t>
      </w:r>
    </w:p>
    <w:p w:rsidR="00AA5D77" w:rsidRPr="006C40C1" w:rsidRDefault="00AA5D77">
      <w:pPr>
        <w:pStyle w:val="Normaltindrag"/>
      </w:pPr>
      <w:r w:rsidRPr="006C40C1">
        <w:t>Besparingar på 0,7 miljarder kronor per år görs också genom en lägre i</w:t>
      </w:r>
      <w:r w:rsidRPr="006C40C1">
        <w:t>n</w:t>
      </w:r>
      <w:r w:rsidRPr="006C40C1">
        <w:t>vesteringstakt i Ba</w:t>
      </w:r>
      <w:r w:rsidRPr="006C40C1">
        <w:t>n</w:t>
      </w:r>
      <w:r w:rsidRPr="006C40C1">
        <w:t>verket.</w:t>
      </w:r>
    </w:p>
    <w:p w:rsidR="00AA5D77" w:rsidRPr="006C40C1" w:rsidRDefault="00AA5D77">
      <w:pPr>
        <w:pStyle w:val="Normaltindrag"/>
      </w:pPr>
      <w:r w:rsidRPr="006C40C1">
        <w:t>Motionärerna framhåller att de står bakom den s.k. finansieringsprincipen och reglerar därför de kommunalekonomiska effekterna av sina förslag mot det generella statsbidraget till komm</w:t>
      </w:r>
      <w:r w:rsidRPr="006C40C1">
        <w:t>u</w:t>
      </w:r>
      <w:r w:rsidRPr="006C40C1">
        <w:t>ner.</w:t>
      </w:r>
    </w:p>
    <w:p w:rsidR="00AA5D77" w:rsidRPr="006C40C1" w:rsidRDefault="00AA5D77">
      <w:pPr>
        <w:pStyle w:val="Normaltindrag"/>
      </w:pPr>
      <w:r w:rsidRPr="006C40C1">
        <w:t>Folkpartiet anser att huvuddelen av de statliga företagen bör säljas och att statens aktieinnehav i helt eller delvis ägda bolag därför successivt bör a</w:t>
      </w:r>
      <w:r w:rsidRPr="006C40C1">
        <w:t>v</w:t>
      </w:r>
      <w:r w:rsidRPr="006C40C1">
        <w:t>vecklas. Motionärerna räknar med att kunna sälja statligt ägda bolag för sammanlagt 75 miljarder kronor mer än regeringen räknar med under de båda närmaste åren. Försäljningsinkomsterna ska användas för att påskynda amo</w:t>
      </w:r>
      <w:r w:rsidRPr="006C40C1">
        <w:t>r</w:t>
      </w:r>
      <w:r w:rsidRPr="006C40C1">
        <w:t>teringarna av statsskulden, och som en följd av detta räknar motionärerna med att utgifterna för statsskuldsräntor under de båda närmaste åren ska minska med sammanlagt 4,6 miljarder kronor jämfört med regeringens pol</w:t>
      </w:r>
      <w:r w:rsidRPr="006C40C1">
        <w:t>i</w:t>
      </w:r>
      <w:r w:rsidRPr="006C40C1">
        <w:t xml:space="preserve">tik. </w:t>
      </w:r>
    </w:p>
    <w:p w:rsidR="00AA5D77" w:rsidRPr="006C40C1" w:rsidRDefault="00AA5D77">
      <w:pPr>
        <w:pStyle w:val="Normaltindrag"/>
      </w:pPr>
      <w:r w:rsidRPr="006C40C1">
        <w:t>Motionärerna räknar med att de med sitt alternativa budgetförslag u</w:t>
      </w:r>
      <w:r w:rsidRPr="006C40C1">
        <w:t xml:space="preserve">ppnår samma finansiella sparande för hela den offentliga sektorn som regeringen, dvs. 1,5 % av BNP. </w:t>
      </w:r>
    </w:p>
    <w:p w:rsidR="00AA5D77" w:rsidRPr="006C40C1" w:rsidRDefault="00AA5D77">
      <w:r w:rsidRPr="006C40C1">
        <w:t>Med ledning av de i motionen redovisade uppgifterna kan de finansiella e</w:t>
      </w:r>
      <w:r w:rsidRPr="006C40C1">
        <w:t>f</w:t>
      </w:r>
      <w:r w:rsidRPr="006C40C1">
        <w:t>fekterna av Folkpartiets budgetalternativ sammanfattas på fö</w:t>
      </w:r>
      <w:r w:rsidRPr="006C40C1">
        <w:t>l</w:t>
      </w:r>
      <w:r w:rsidRPr="006C40C1">
        <w:t>jande sätt.</w:t>
      </w:r>
    </w:p>
    <w:p w:rsidR="00AA5D77" w:rsidRPr="006C40C1" w:rsidRDefault="00AA5D77">
      <w:pPr>
        <w:keepNext/>
        <w:spacing w:before="360" w:line="170" w:lineRule="exact"/>
        <w:rPr>
          <w:b/>
          <w:sz w:val="17"/>
        </w:rPr>
      </w:pPr>
      <w:bookmarkStart w:id="303" w:name="_Toc25304173"/>
      <w:r w:rsidRPr="006C40C1">
        <w:rPr>
          <w:b/>
          <w:sz w:val="17"/>
        </w:rPr>
        <w:t>Tabell 18.  Folkpartiets finansiella sparande i offentlig sektor 2003 och 2004</w:t>
      </w:r>
      <w:bookmarkEnd w:id="295"/>
      <w:bookmarkEnd w:id="296"/>
      <w:bookmarkEnd w:id="297"/>
      <w:bookmarkEnd w:id="298"/>
      <w:bookmarkEnd w:id="299"/>
      <w:bookmarkEnd w:id="300"/>
      <w:bookmarkEnd w:id="301"/>
      <w:bookmarkEnd w:id="302"/>
      <w:bookmarkEnd w:id="303"/>
    </w:p>
    <w:p w:rsidR="00AA5D77" w:rsidRPr="006C40C1" w:rsidRDefault="00AA5D77">
      <w:pPr>
        <w:pStyle w:val="TabellfrklaringFiU20"/>
        <w:keepLines w:val="0"/>
      </w:pPr>
      <w:r w:rsidRPr="006C40C1">
        <w:t>Miljarder kronor</w:t>
      </w:r>
    </w:p>
    <w:p w:rsidR="00AA5D77" w:rsidRPr="006C40C1" w:rsidRDefault="006C40C1">
      <w:pPr>
        <w:pStyle w:val="Normaltindrag"/>
        <w:keepNext/>
        <w:spacing w:line="240" w:lineRule="auto"/>
        <w:ind w:firstLine="0"/>
      </w:pPr>
      <w:r w:rsidRPr="006C40C1">
        <w:rPr>
          <w:noProof/>
        </w:rPr>
        <w:drawing>
          <wp:inline distT="0" distB="0" distL="0" distR="0">
            <wp:extent cx="3739515" cy="137160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739515" cy="1371600"/>
                    </a:xfrm>
                    <a:prstGeom prst="rect">
                      <a:avLst/>
                    </a:prstGeom>
                    <a:noFill/>
                    <a:ln>
                      <a:noFill/>
                    </a:ln>
                  </pic:spPr>
                </pic:pic>
              </a:graphicData>
            </a:graphic>
          </wp:inline>
        </w:drawing>
      </w:r>
    </w:p>
    <w:p w:rsidR="00AA5D77" w:rsidRPr="006C40C1" w:rsidRDefault="00AA5D77">
      <w:pPr>
        <w:spacing w:before="0" w:line="40" w:lineRule="exact"/>
      </w:pPr>
    </w:p>
    <w:p w:rsidR="00AA5D77" w:rsidRPr="006C40C1" w:rsidRDefault="00AA5D77">
      <w:pPr>
        <w:pStyle w:val="Normaltindrag"/>
      </w:pPr>
    </w:p>
    <w:p w:rsidR="00AA5D77" w:rsidRPr="006C40C1" w:rsidRDefault="00AA5D77">
      <w:pPr>
        <w:spacing w:before="0" w:line="240" w:lineRule="auto"/>
      </w:pPr>
      <w:r w:rsidRPr="006C40C1">
        <w:t>Nivån på de av Folkpartiet förordade utgiftstaken för staten under de båda efterföljande åren är högre än de fastställda nivåerna, främst till följd av större budgeteringsmarginal och kraftigt ökade statsbidrag till kommunerna föra</w:t>
      </w:r>
      <w:r w:rsidRPr="006C40C1">
        <w:t>n</w:t>
      </w:r>
      <w:r w:rsidRPr="006C40C1">
        <w:t>ledda av kompensationen för partiets förslag till skattefö</w:t>
      </w:r>
      <w:r w:rsidRPr="006C40C1">
        <w:t>r</w:t>
      </w:r>
      <w:r w:rsidRPr="006C40C1">
        <w:t>ändringar.</w:t>
      </w:r>
    </w:p>
    <w:p w:rsidR="00AA5D77" w:rsidRPr="006C40C1" w:rsidRDefault="00AA5D77">
      <w:pPr>
        <w:keepNext/>
        <w:spacing w:before="360" w:line="170" w:lineRule="exact"/>
        <w:rPr>
          <w:b/>
          <w:sz w:val="17"/>
        </w:rPr>
      </w:pPr>
      <w:bookmarkStart w:id="304" w:name="_Toc9410454"/>
      <w:bookmarkStart w:id="305" w:name="_Toc9414654"/>
      <w:bookmarkStart w:id="306" w:name="_Toc10031664"/>
      <w:bookmarkStart w:id="307" w:name="_Toc10262936"/>
      <w:bookmarkStart w:id="308" w:name="_Toc10278711"/>
      <w:bookmarkStart w:id="309" w:name="_Toc10341288"/>
      <w:bookmarkStart w:id="310" w:name="_Toc10858614"/>
      <w:bookmarkStart w:id="311" w:name="_Toc10877635"/>
      <w:bookmarkStart w:id="312" w:name="_Toc25304174"/>
      <w:r w:rsidRPr="006C40C1">
        <w:rPr>
          <w:b/>
          <w:sz w:val="17"/>
        </w:rPr>
        <w:t>Tabell 19.  Folkpartiets utgiftstak för staten 2003 och 2004</w:t>
      </w:r>
      <w:bookmarkEnd w:id="304"/>
      <w:bookmarkEnd w:id="305"/>
      <w:bookmarkEnd w:id="306"/>
      <w:bookmarkEnd w:id="307"/>
      <w:bookmarkEnd w:id="308"/>
      <w:bookmarkEnd w:id="309"/>
      <w:bookmarkEnd w:id="310"/>
      <w:bookmarkEnd w:id="311"/>
      <w:bookmarkEnd w:id="312"/>
    </w:p>
    <w:p w:rsidR="00AA5D77" w:rsidRPr="006C40C1" w:rsidRDefault="00AA5D77">
      <w:pPr>
        <w:pStyle w:val="TabellfrklaringFiU20"/>
        <w:keepLines w:val="0"/>
      </w:pPr>
      <w:r w:rsidRPr="006C40C1">
        <w:t>Miljarder kronor</w:t>
      </w:r>
    </w:p>
    <w:p w:rsidR="00AA5D77" w:rsidRPr="006C40C1" w:rsidRDefault="006C40C1">
      <w:pPr>
        <w:keepNext/>
        <w:spacing w:before="0" w:line="240" w:lineRule="auto"/>
      </w:pPr>
      <w:r w:rsidRPr="006C40C1">
        <w:rPr>
          <w:noProof/>
        </w:rPr>
        <w:drawing>
          <wp:inline distT="0" distB="0" distL="0" distR="0">
            <wp:extent cx="3739515" cy="78359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739515" cy="783590"/>
                    </a:xfrm>
                    <a:prstGeom prst="rect">
                      <a:avLst/>
                    </a:prstGeom>
                    <a:noFill/>
                    <a:ln>
                      <a:noFill/>
                    </a:ln>
                  </pic:spPr>
                </pic:pic>
              </a:graphicData>
            </a:graphic>
          </wp:inline>
        </w:drawing>
      </w:r>
    </w:p>
    <w:p w:rsidR="00AA5D77" w:rsidRPr="006C40C1" w:rsidRDefault="00AA5D77">
      <w:pPr>
        <w:pStyle w:val="Normaltindrag"/>
        <w:spacing w:line="40" w:lineRule="exact"/>
      </w:pPr>
    </w:p>
    <w:p w:rsidR="00AA5D77" w:rsidRPr="006C40C1" w:rsidRDefault="00AA5D77">
      <w:pPr>
        <w:spacing w:before="240"/>
      </w:pPr>
      <w:r w:rsidRPr="006C40C1">
        <w:t>Folkpartiets förslag till utgiftstak för den offentliga sektorn skiljer sig från regeringens på följande sätt.</w:t>
      </w:r>
    </w:p>
    <w:p w:rsidR="00AA5D77" w:rsidRPr="006C40C1" w:rsidRDefault="00AA5D77">
      <w:pPr>
        <w:keepNext/>
        <w:spacing w:before="360" w:line="170" w:lineRule="exact"/>
        <w:rPr>
          <w:b/>
          <w:sz w:val="17"/>
        </w:rPr>
      </w:pPr>
      <w:bookmarkStart w:id="313" w:name="_Toc25304175"/>
      <w:r w:rsidRPr="006C40C1">
        <w:rPr>
          <w:b/>
          <w:sz w:val="17"/>
        </w:rPr>
        <w:t>Tabell 20.  Folkpartiets utgiftstak för offentlig sektor 2003 och 2004</w:t>
      </w:r>
      <w:bookmarkEnd w:id="313"/>
    </w:p>
    <w:p w:rsidR="00AA5D77" w:rsidRPr="006C40C1" w:rsidRDefault="00AA5D77">
      <w:pPr>
        <w:pStyle w:val="TabellfrklaringFiU20"/>
        <w:keepLines w:val="0"/>
      </w:pPr>
      <w:r w:rsidRPr="006C40C1">
        <w:t>Miljarder kronor</w:t>
      </w:r>
    </w:p>
    <w:p w:rsidR="00AA5D77" w:rsidRPr="006C40C1" w:rsidRDefault="006C40C1">
      <w:pPr>
        <w:pStyle w:val="Normaltindrag"/>
        <w:keepNext/>
        <w:spacing w:line="240" w:lineRule="auto"/>
        <w:ind w:firstLine="0"/>
      </w:pPr>
      <w:r w:rsidRPr="006C40C1">
        <w:rPr>
          <w:noProof/>
        </w:rPr>
        <w:drawing>
          <wp:inline distT="0" distB="0" distL="0" distR="0">
            <wp:extent cx="3739515" cy="60388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739515" cy="603885"/>
                    </a:xfrm>
                    <a:prstGeom prst="rect">
                      <a:avLst/>
                    </a:prstGeom>
                    <a:noFill/>
                    <a:ln>
                      <a:noFill/>
                    </a:ln>
                  </pic:spPr>
                </pic:pic>
              </a:graphicData>
            </a:graphic>
          </wp:inline>
        </w:drawing>
      </w:r>
    </w:p>
    <w:p w:rsidR="00AA5D77" w:rsidRPr="006C40C1" w:rsidRDefault="00AA5D77">
      <w:pPr>
        <w:pStyle w:val="Normaltindrag"/>
        <w:spacing w:line="40" w:lineRule="exact"/>
      </w:pPr>
    </w:p>
    <w:p w:rsidR="00AA5D77" w:rsidRPr="006C40C1" w:rsidRDefault="00AA5D77">
      <w:pPr>
        <w:spacing w:before="360"/>
      </w:pPr>
      <w:r w:rsidRPr="006C40C1">
        <w:rPr>
          <w:b/>
          <w:i/>
        </w:rPr>
        <w:t>Kristdemokraterna</w:t>
      </w:r>
      <w:r w:rsidRPr="006C40C1">
        <w:t xml:space="preserve"> redovisar i </w:t>
      </w:r>
      <w:r w:rsidRPr="006C40C1">
        <w:rPr>
          <w:i/>
        </w:rPr>
        <w:t>motion Fi233</w:t>
      </w:r>
      <w:r w:rsidRPr="006C40C1">
        <w:t xml:space="preserve"> en budgetpolitik med samma inriktning som den partiet presenterade under våren 2002, nämligen balans på en lägre nivå. Det kommer också till uttryck i partiets förslag till utgiftstak vars nivåer understiger regeringens.</w:t>
      </w:r>
    </w:p>
    <w:p w:rsidR="00AA5D77" w:rsidRPr="006C40C1" w:rsidRDefault="00AA5D77">
      <w:pPr>
        <w:pStyle w:val="Normaltindrag"/>
      </w:pPr>
      <w:r w:rsidRPr="006C40C1">
        <w:t>I motionen anges sju prioriterade budgetområden. De innebär för det första att företagen ska ges långsiktigt goda tillväxtförutsättningar, bl.a. genom skattesänkningar. Skattesänkningar ska också genomföras för i första hand låg- och medelinkomsttagare. Barnfamilje</w:t>
      </w:r>
      <w:r w:rsidRPr="006C40C1">
        <w:t>rna ska ges ökad valfrihet och bättre köpkraft. Vård, skola, omsorg och utbildning ska tillföras ytterligare resurser. Rättsväsendet ska stärkas. Pensionärernas ekonomiska situation liksom infrastrukturen ska förbättras.</w:t>
      </w:r>
    </w:p>
    <w:p w:rsidR="00AA5D77" w:rsidRPr="006C40C1" w:rsidRDefault="00AA5D77">
      <w:pPr>
        <w:pStyle w:val="Normaltindrag"/>
      </w:pPr>
      <w:r w:rsidRPr="006C40C1">
        <w:t>Genom att skapa stabila och goda villkor för fler och växande företag rä</w:t>
      </w:r>
      <w:r w:rsidRPr="006C40C1">
        <w:t>k</w:t>
      </w:r>
      <w:r w:rsidRPr="006C40C1">
        <w:t>nar motionärerna med att kunna öka sysselsättningen, minska arbetslösheten och trygga välfärden. I detta syfte föreslår de en rad åtgärder. Dubbelbeskat</w:t>
      </w:r>
      <w:r w:rsidRPr="006C40C1">
        <w:t>t</w:t>
      </w:r>
      <w:r w:rsidRPr="006C40C1">
        <w:t>ningen och förmögenhetsskatten ska successivt avskaffas och vara helt a</w:t>
      </w:r>
      <w:r w:rsidRPr="006C40C1">
        <w:t>v</w:t>
      </w:r>
      <w:r w:rsidRPr="006C40C1">
        <w:t>vecklade 2005 respektive 2006. I ett första steg vill de nästa år avskaffa sa</w:t>
      </w:r>
      <w:r w:rsidRPr="006C40C1">
        <w:t>m</w:t>
      </w:r>
      <w:r w:rsidRPr="006C40C1">
        <w:t>beskattningen av förmögenheter. Uttaget av förmögenhetsskatt ska då också begränsas genom en återgång till 2000 års fastighetstaxeringsvärden. Dessu</w:t>
      </w:r>
      <w:r w:rsidRPr="006C40C1">
        <w:t>t</w:t>
      </w:r>
      <w:r w:rsidRPr="006C40C1">
        <w:t>om vill Kristdemokraterna införa ett riskkapitalavdrag samt</w:t>
      </w:r>
      <w:r w:rsidRPr="006C40C1">
        <w:t xml:space="preserve"> avskaffa arv</w:t>
      </w:r>
      <w:r w:rsidRPr="006C40C1">
        <w:t>s</w:t>
      </w:r>
      <w:r w:rsidRPr="006C40C1">
        <w:t>skatten vid generationsskiften i företag.</w:t>
      </w:r>
    </w:p>
    <w:p w:rsidR="00AA5D77" w:rsidRPr="006C40C1" w:rsidRDefault="00AA5D77">
      <w:pPr>
        <w:pStyle w:val="Normaltindrag"/>
      </w:pPr>
      <w:r w:rsidRPr="006C40C1">
        <w:t>Som ett led i finansieringen av den omlagda kapital- och egendomsb</w:t>
      </w:r>
      <w:r w:rsidRPr="006C40C1">
        <w:t>e</w:t>
      </w:r>
      <w:r w:rsidRPr="006C40C1">
        <w:t>skattningen föreslår Kristdemokraterna att bolagsskatten höjs från 28 till 30 %.</w:t>
      </w:r>
    </w:p>
    <w:p w:rsidR="00AA5D77" w:rsidRPr="006C40C1" w:rsidRDefault="00AA5D77">
      <w:pPr>
        <w:pStyle w:val="Normaltindrag"/>
      </w:pPr>
      <w:r w:rsidRPr="006C40C1">
        <w:t>I motionen föreslås också att arbetsgivaravgifterna ska sänkas med 10 pr</w:t>
      </w:r>
      <w:r w:rsidRPr="006C40C1">
        <w:t>o</w:t>
      </w:r>
      <w:r w:rsidRPr="006C40C1">
        <w:t>centenheter på lönesummor upp till 900 000 kr. Inledningsvis blir sänkningen 7 procentenheter. Dessutom ska jordbrukets s.k. skatteryggsäck lyftas av. Dieselskatten för jord- och skogsbruk bör sänkas först till 1 kr och därefter till 53 öre per liter, men dessutom bör skatten på diesel generellt sänkas med 25 öre per liter för att ge åkerinäringen bättre konkurrensvil</w:t>
      </w:r>
      <w:r w:rsidRPr="006C40C1">
        <w:t>l</w:t>
      </w:r>
      <w:r w:rsidRPr="006C40C1">
        <w:t>kor.</w:t>
      </w:r>
    </w:p>
    <w:p w:rsidR="00AA5D77" w:rsidRPr="006C40C1" w:rsidRDefault="00AA5D77">
      <w:pPr>
        <w:pStyle w:val="Normaltindrag"/>
      </w:pPr>
      <w:r w:rsidRPr="006C40C1">
        <w:t>För att stimulera byggandet föreslår Kristdemokraterna att byggmomsen halveras.</w:t>
      </w:r>
    </w:p>
    <w:p w:rsidR="00AA5D77" w:rsidRPr="006C40C1" w:rsidRDefault="00AA5D77">
      <w:pPr>
        <w:pStyle w:val="Normaltindrag"/>
      </w:pPr>
      <w:r w:rsidRPr="006C40C1">
        <w:t>En särskild skattereduktion ska införas för hushållens köp av tjänster mo</w:t>
      </w:r>
      <w:r w:rsidRPr="006C40C1">
        <w:t>t</w:t>
      </w:r>
      <w:r w:rsidRPr="006C40C1">
        <w:t>svarande 50 % av kostnaden upp till 50 000 kr per år.</w:t>
      </w:r>
    </w:p>
    <w:p w:rsidR="00AA5D77" w:rsidRPr="006C40C1" w:rsidRDefault="00AA5D77">
      <w:pPr>
        <w:pStyle w:val="Normaltindrag"/>
      </w:pPr>
      <w:r w:rsidRPr="006C40C1">
        <w:t>Kristdemokraterna vill genomföra en inkomstskattereform i fyra delar. R</w:t>
      </w:r>
      <w:r w:rsidRPr="006C40C1">
        <w:t>e</w:t>
      </w:r>
      <w:r w:rsidRPr="006C40C1">
        <w:t>formen är partiets utvidgade alternativ till regeringens kompensation för egenavgiften, vars tre första steg helt avvecklas. Dessutom avvecklas den nyligen införda skattereduktionen för fackföreningsavgifter. Den kristdem</w:t>
      </w:r>
      <w:r w:rsidRPr="006C40C1">
        <w:t>o</w:t>
      </w:r>
      <w:r w:rsidRPr="006C40C1">
        <w:t>kratiska lösningen innefattar en höjning av grundavdraget vid den kommunala beskattningen till 26 500 kr, dvs. mer än en fördubbling av nuvarande grun</w:t>
      </w:r>
      <w:r w:rsidRPr="006C40C1">
        <w:t>d</w:t>
      </w:r>
      <w:r w:rsidRPr="006C40C1">
        <w:t>avdrag. Höjningen omfattar alla inkomsttagare och transfereringsinkomster, således även pensionärer, och beräknas ge en skattesänkning med</w:t>
      </w:r>
      <w:r w:rsidRPr="006C40C1">
        <w:t xml:space="preserve"> 385 kr per månad under nästa år för dem med lägst grundavdrag. Grundavdragshöjnin</w:t>
      </w:r>
      <w:r w:rsidRPr="006C40C1">
        <w:t>g</w:t>
      </w:r>
      <w:r w:rsidRPr="006C40C1">
        <w:t>en ska utformas som en statlig skattereduktion, vilket medför att förslaget inte försvagar kommunernas skattei</w:t>
      </w:r>
      <w:r w:rsidRPr="006C40C1">
        <w:t>n</w:t>
      </w:r>
      <w:r w:rsidRPr="006C40C1">
        <w:t xml:space="preserve">komster. </w:t>
      </w:r>
    </w:p>
    <w:p w:rsidR="00AA5D77" w:rsidRPr="006C40C1" w:rsidRDefault="00AA5D77">
      <w:pPr>
        <w:pStyle w:val="Normaltindrag"/>
        <w:rPr>
          <w:snapToGrid w:val="0"/>
        </w:rPr>
      </w:pPr>
      <w:r w:rsidRPr="006C40C1">
        <w:t xml:space="preserve">I motionen föreslås också att låg- och medelinkomsttagare ska få </w:t>
      </w:r>
      <w:r w:rsidRPr="006C40C1">
        <w:rPr>
          <w:snapToGrid w:val="0"/>
        </w:rPr>
        <w:t>en skatt</w:t>
      </w:r>
      <w:r w:rsidRPr="006C40C1">
        <w:rPr>
          <w:snapToGrid w:val="0"/>
        </w:rPr>
        <w:t>e</w:t>
      </w:r>
      <w:r w:rsidRPr="006C40C1">
        <w:rPr>
          <w:snapToGrid w:val="0"/>
        </w:rPr>
        <w:t>reduktion på 4 000 kr per år. Full skattereduktion ska utgå för pension</w:t>
      </w:r>
      <w:r w:rsidRPr="006C40C1">
        <w:rPr>
          <w:snapToGrid w:val="0"/>
        </w:rPr>
        <w:t>s</w:t>
      </w:r>
      <w:r w:rsidRPr="006C40C1">
        <w:rPr>
          <w:snapToGrid w:val="0"/>
        </w:rPr>
        <w:t>grundande inkomster upp till 276 000 kr, varefter reduktionen trappas av för att helt upph</w:t>
      </w:r>
      <w:r w:rsidRPr="006C40C1">
        <w:rPr>
          <w:snapToGrid w:val="0"/>
        </w:rPr>
        <w:t>ö</w:t>
      </w:r>
      <w:r w:rsidRPr="006C40C1">
        <w:rPr>
          <w:snapToGrid w:val="0"/>
        </w:rPr>
        <w:t>ra vid inkomster på 436 000 kr.</w:t>
      </w:r>
    </w:p>
    <w:p w:rsidR="00AA5D77" w:rsidRPr="006C40C1" w:rsidRDefault="00AA5D77">
      <w:pPr>
        <w:pStyle w:val="Normaltindrag"/>
      </w:pPr>
      <w:r w:rsidRPr="006C40C1">
        <w:t>Från och med 2003 vill motionärerna även införa ett statligt förvärvsa</w:t>
      </w:r>
      <w:r w:rsidRPr="006C40C1">
        <w:t>v</w:t>
      </w:r>
      <w:r w:rsidRPr="006C40C1">
        <w:t>drag beräknat mot kommunalt beskattningsbara inkomster. Förvärvsavdraget ska då få göras med 5 % på löneinkomster. Det ska utformas som en statlig skattereduktion, vilket medför att inte heller detta förslag förutsätts få någon effekt på kommunernas inkomster.</w:t>
      </w:r>
    </w:p>
    <w:p w:rsidR="00AA5D77" w:rsidRPr="006C40C1" w:rsidRDefault="00AA5D77">
      <w:pPr>
        <w:pStyle w:val="Normaltindrag"/>
      </w:pPr>
      <w:r w:rsidRPr="006C40C1">
        <w:t>Dessutom vill Kristdemokraterna avskaffa värnskatten i två steg.</w:t>
      </w:r>
    </w:p>
    <w:p w:rsidR="00AA5D77" w:rsidRPr="006C40C1" w:rsidRDefault="00AA5D77">
      <w:pPr>
        <w:pStyle w:val="Normaltindrag"/>
      </w:pPr>
      <w:r w:rsidRPr="006C40C1">
        <w:t>I motionen föreslås också att reseavdragen förbättras genom att den nedre gränsen för rätt till reseavdrag sänks från 7 000 till 5 000 kr. Vidare bör a</w:t>
      </w:r>
      <w:r w:rsidRPr="006C40C1">
        <w:t>v</w:t>
      </w:r>
      <w:r w:rsidRPr="006C40C1">
        <w:t>dragsrätten för pensionssparande successivt höjas.</w:t>
      </w:r>
    </w:p>
    <w:p w:rsidR="00AA5D77" w:rsidRPr="006C40C1" w:rsidRDefault="00AA5D77">
      <w:pPr>
        <w:pStyle w:val="Normaltindrag"/>
      </w:pPr>
      <w:r w:rsidRPr="006C40C1">
        <w:t>Den statliga fastighetsskatten föreslås i motionen bli avvecklad för såväl bostäder som kommersiella lokaler och industrifastigheter. I stället ska ko</w:t>
      </w:r>
      <w:r w:rsidRPr="006C40C1">
        <w:t>m</w:t>
      </w:r>
      <w:r w:rsidRPr="006C40C1">
        <w:t>muner ges rätt att ta ut en avgift som för egnahem får uppgå till högst 2 600 kr per år och för lägenheter till högst 800 kr per år. Omläggningen är avsedd att träda i kraft redan 2003. Kommunernas avgiftsinkomster kvittas mot minskade statsbidrag. Skattesänkningen föreslås därutöver bli finansierad genom minskade statliga utgifter samt genom att reavinstbeskattningen av privatb</w:t>
      </w:r>
      <w:r w:rsidRPr="006C40C1">
        <w:t>o</w:t>
      </w:r>
      <w:r w:rsidRPr="006C40C1">
        <w:t>städer höjs från 20 till 30 %.</w:t>
      </w:r>
    </w:p>
    <w:p w:rsidR="00AA5D77" w:rsidRPr="006C40C1" w:rsidRDefault="00AA5D77">
      <w:pPr>
        <w:pStyle w:val="Normaltindrag"/>
      </w:pPr>
      <w:r w:rsidRPr="006C40C1">
        <w:t>För barnfamiljerna vill Kristdemokraterna införa ett barnomsorgskonto som ska ge ökad valfrihet oc</w:t>
      </w:r>
      <w:r w:rsidRPr="006C40C1">
        <w:t>h rättvisa åt stödet till barnomsorgen. Den nuv</w:t>
      </w:r>
      <w:r w:rsidRPr="006C40C1">
        <w:t>a</w:t>
      </w:r>
      <w:r w:rsidRPr="006C40C1">
        <w:t>rande maxtaxan uppfyller inte dessa krav, anser motionärerna. Det nya bar</w:t>
      </w:r>
      <w:r w:rsidRPr="006C40C1">
        <w:t>n</w:t>
      </w:r>
      <w:r w:rsidRPr="006C40C1">
        <w:t>omsorgskontot, som ska uppgå till 80 000 kr per barn från ett års ålder, ska vara skattefritt och börja gälla fr.om. den 1 juli 2003. Beloppet trappas av i förhållande till hur mycket den kommunala barnomsorgen utnyttjas, dvs. halvtid på dagis innebär halvt kontobelopp osv. Garantinivån i föräldraförsä</w:t>
      </w:r>
      <w:r w:rsidRPr="006C40C1">
        <w:t>k</w:t>
      </w:r>
      <w:r w:rsidRPr="006C40C1">
        <w:t>ringen bör enligt motionärernas mening höjas i två steg till 200 kr per dag, och ersät</w:t>
      </w:r>
      <w:r w:rsidRPr="006C40C1">
        <w:t>tningsnivån i försäkringen bör motsvara 90 %. Dessutom bör ersät</w:t>
      </w:r>
      <w:r w:rsidRPr="006C40C1">
        <w:t>t</w:t>
      </w:r>
      <w:r w:rsidRPr="006C40C1">
        <w:t>ningstaket i föräldraförsäkringen höjas till elva prisbasbelopp. Ersättningsn</w:t>
      </w:r>
      <w:r w:rsidRPr="006C40C1">
        <w:t>i</w:t>
      </w:r>
      <w:r w:rsidRPr="006C40C1">
        <w:t>vån i föräldraförsäkringen påverkas också av att motionärerna föreslår att den sjukpenninggrundande inkomsten (SGI) ska beräknas som ett genomsnitt av de senaste två årens inkomster. Med hänvisning till barnomsorgskontot som träder in när barnet fyller ett år, samt de förbättringar av föräldraförsäkringen som motionärerna föreslår anser de att den 13:e månaden i förs</w:t>
      </w:r>
      <w:r w:rsidRPr="006C40C1">
        <w:t>äkringen samt försäkringens 90 garantidagar kan dras in. Det blir då inte heller nödvändigt att hålla fast vid obligatoriet med en gratis förskola.</w:t>
      </w:r>
    </w:p>
    <w:p w:rsidR="00AA5D77" w:rsidRPr="006C40C1" w:rsidRDefault="00AA5D77">
      <w:pPr>
        <w:pStyle w:val="Normaltindrag"/>
      </w:pPr>
      <w:r w:rsidRPr="006C40C1">
        <w:t>För barnfamiljerna föreslår Kristdemokraterna dessutom vissa förändringar av reglerna för bostadsbidrag som främst gynnar de sämst ställda.</w:t>
      </w:r>
    </w:p>
    <w:p w:rsidR="00AA5D77" w:rsidRPr="006C40C1" w:rsidRDefault="00AA5D77">
      <w:pPr>
        <w:pStyle w:val="Normaltindrag"/>
      </w:pPr>
      <w:r w:rsidRPr="006C40C1">
        <w:t>De föreslagna skattesänkningarna ska finansieras genom minskade utgifter som i Kristdemokraternas budgetalternativ för de båda närmaste åren uppgår till netto 24 respektive 36 miljarder kronor. Dessa nettobelopp rymmer både nya utgiftsåtaganden och besparingar. Under 2003 och 2004 uppgår bruttob</w:t>
      </w:r>
      <w:r w:rsidRPr="006C40C1">
        <w:t>e</w:t>
      </w:r>
      <w:r w:rsidRPr="006C40C1">
        <w:t xml:space="preserve">sparingarna till 41 respektive 57 miljarder kronor, medan utgiftsökningarna under samma period uppgår till brutto 17 respektive 21 miljarder kronor. </w:t>
      </w:r>
    </w:p>
    <w:p w:rsidR="00AA5D77" w:rsidRPr="006C40C1" w:rsidRDefault="00AA5D77">
      <w:pPr>
        <w:pStyle w:val="Normaltindrag"/>
      </w:pPr>
      <w:r w:rsidRPr="006C40C1">
        <w:t>Till de förbättringar som motionärerna prioriterar hör ökade resurser till kommunsektorn. De generella statsbidragen till kommuner bör under de båda närmaste åren räknas upp med 2 respektive 1,5 miljarder kronor. Detta stöd bör dessutom räknas upp med de medel som regeringen har specialdestinerat till personalförstärkningar i skola och fritidshem och som moti</w:t>
      </w:r>
      <w:r w:rsidRPr="006C40C1">
        <w:t>onärerna vill omvandla till ett gen</w:t>
      </w:r>
      <w:r w:rsidRPr="006C40C1">
        <w:t>e</w:t>
      </w:r>
      <w:r w:rsidRPr="006C40C1">
        <w:t>rellt statsbidrag till primärkommunerna.</w:t>
      </w:r>
    </w:p>
    <w:p w:rsidR="00AA5D77" w:rsidRPr="006C40C1" w:rsidRDefault="00AA5D77">
      <w:pPr>
        <w:pStyle w:val="Normaltindrag"/>
      </w:pPr>
      <w:r w:rsidRPr="006C40C1">
        <w:t>En nationell vårdgaranti bör införas, vilken till en del ska finansieras med medel som regeringen har satt av för s.k. tillgänglighetspengar.</w:t>
      </w:r>
    </w:p>
    <w:p w:rsidR="00AA5D77" w:rsidRPr="006C40C1" w:rsidRDefault="00AA5D77">
      <w:pPr>
        <w:pStyle w:val="Normaltindrag"/>
      </w:pPr>
      <w:r w:rsidRPr="006C40C1">
        <w:t>Motionärerna vill också införa en omfattande rehabiliteringsförsäkring, i huvudsak enligt den modell som Gerhard Larsson föreslagit i Rehabilite</w:t>
      </w:r>
      <w:r w:rsidRPr="006C40C1">
        <w:t>r</w:t>
      </w:r>
      <w:r w:rsidRPr="006C40C1">
        <w:t>ingsutredningen (SOU 2000:78) och avsätter för detta ändamål 1,4 respektive 2,7 miljarder kronor under de båda efterföljande åren. De ökar också stödet till anhöri</w:t>
      </w:r>
      <w:r w:rsidRPr="006C40C1">
        <w:t>g</w:t>
      </w:r>
      <w:r w:rsidRPr="006C40C1">
        <w:t>vårdare.</w:t>
      </w:r>
    </w:p>
    <w:p w:rsidR="00AA5D77" w:rsidRPr="006C40C1" w:rsidRDefault="00AA5D77">
      <w:pPr>
        <w:pStyle w:val="Normaltindrag"/>
      </w:pPr>
      <w:r w:rsidRPr="006C40C1">
        <w:t>En studiestödsreform som omfattar gymnasium, högskola och vuxenu</w:t>
      </w:r>
      <w:r w:rsidRPr="006C40C1">
        <w:t>t</w:t>
      </w:r>
      <w:r w:rsidRPr="006C40C1">
        <w:t>bildning ska enligt motionärernas förslag träda i kraft höstterminen 2004. Bland annat ska då studiestödet för gymnasiestuderande höjas med 100 kr per månad. För högskolestudenter höjs bidragsdelen av studiemedlen till 36 %, och den begränsning som följer av det s.k. fribeloppet för heltidsstuderande avskaffas helt.</w:t>
      </w:r>
    </w:p>
    <w:p w:rsidR="00AA5D77" w:rsidRPr="006C40C1" w:rsidRDefault="00AA5D77">
      <w:pPr>
        <w:pStyle w:val="Normaltindrag"/>
      </w:pPr>
      <w:r w:rsidRPr="006C40C1">
        <w:t>Kristdemokraterna anser att man snabbare bör återgå till enprocentsmålet för utvecklingsbiståndet och påskyndar i detta syfte uppräkningen av b</w:t>
      </w:r>
      <w:r w:rsidRPr="006C40C1">
        <w:t>i</w:t>
      </w:r>
      <w:r w:rsidRPr="006C40C1">
        <w:t>ståndsanslaget.</w:t>
      </w:r>
    </w:p>
    <w:p w:rsidR="00AA5D77" w:rsidRPr="006C40C1" w:rsidRDefault="00AA5D77">
      <w:pPr>
        <w:pStyle w:val="Normaltindrag"/>
        <w:rPr>
          <w:snapToGrid w:val="0"/>
        </w:rPr>
      </w:pPr>
      <w:r w:rsidRPr="006C40C1">
        <w:t>Under de båda närmaste åren vill motionärerna avdela 3,3 respektive 1,0 miljarder kronor mer än vad regeringen har föreslagit för nyinvesteringar och underhåll av främst vägar men också järnvägar. Därutöver bör enligt deras mening ett omfattande program läggas fast för investeringar i partnerskap med den privata sektorn (</w:t>
      </w:r>
      <w:r w:rsidRPr="006C40C1">
        <w:rPr>
          <w:snapToGrid w:val="0"/>
        </w:rPr>
        <w:t>PPP – public-private partnership).</w:t>
      </w:r>
    </w:p>
    <w:p w:rsidR="00AA5D77" w:rsidRPr="006C40C1" w:rsidRDefault="00AA5D77">
      <w:pPr>
        <w:pStyle w:val="Normaltindrag"/>
      </w:pPr>
      <w:r w:rsidRPr="006C40C1">
        <w:t>Regeringens satsning på rättsväsende och skattekontroll är enligt motion</w:t>
      </w:r>
      <w:r w:rsidRPr="006C40C1">
        <w:t>ä</w:t>
      </w:r>
      <w:r w:rsidRPr="006C40C1">
        <w:t>rerna otillräcklig. De tillför därför i sitt budgetalternativ under de båda nä</w:t>
      </w:r>
      <w:r w:rsidRPr="006C40C1">
        <w:t>r</w:t>
      </w:r>
      <w:r w:rsidRPr="006C40C1">
        <w:t>maste åren ytterligare resurser till polis, åklagare, domstolar, kriminalvård, tull och ska</w:t>
      </w:r>
      <w:r w:rsidRPr="006C40C1">
        <w:t>t</w:t>
      </w:r>
      <w:r w:rsidRPr="006C40C1">
        <w:t>temyndigheter.</w:t>
      </w:r>
    </w:p>
    <w:p w:rsidR="00AA5D77" w:rsidRPr="006C40C1" w:rsidRDefault="00AA5D77">
      <w:pPr>
        <w:pStyle w:val="Normaltindrag"/>
      </w:pPr>
      <w:r w:rsidRPr="006C40C1">
        <w:t>Exempel på hur de nya åtagandena samt skattesänkningarna avses bli f</w:t>
      </w:r>
      <w:r w:rsidRPr="006C40C1">
        <w:t>i</w:t>
      </w:r>
      <w:r w:rsidRPr="006C40C1">
        <w:t>nansierade är att ytterligare en karensdag ska införas i sjukförsäkringen ko</w:t>
      </w:r>
      <w:r w:rsidRPr="006C40C1">
        <w:t>m</w:t>
      </w:r>
      <w:r w:rsidRPr="006C40C1">
        <w:t>pletterat med ett högriskskydd på tio dagar per år, att den sjukpennin</w:t>
      </w:r>
      <w:r w:rsidRPr="006C40C1">
        <w:t>g</w:t>
      </w:r>
      <w:r w:rsidRPr="006C40C1">
        <w:t xml:space="preserve">grundande inkomsten i sjuk- och föräldraförsäkringen (SGI) ska fastställas på grundval av de två senaste årens genomsnittsinkomst, att medlemmarnas egenfinansiering av arbetslöshetsförsäkringen ska höjas till 33 % samt att sjukvårdens kostnader för trafikolycksfall ska föras över på den obligatoriska trafikförsäkringen. </w:t>
      </w:r>
    </w:p>
    <w:p w:rsidR="00AA5D77" w:rsidRPr="006C40C1" w:rsidRDefault="00AA5D77">
      <w:pPr>
        <w:pStyle w:val="Normaltindrag"/>
      </w:pPr>
      <w:r w:rsidRPr="006C40C1">
        <w:t>Partiets satsning på en helt ny rehabili</w:t>
      </w:r>
      <w:r w:rsidRPr="006C40C1">
        <w:t>teringsförsäkring fr.o.m. andra hal</w:t>
      </w:r>
      <w:r w:rsidRPr="006C40C1">
        <w:t>v</w:t>
      </w:r>
      <w:r w:rsidRPr="006C40C1">
        <w:t>året 2003 samt satsningen på förbättrad skatteindrivning förutsätts också ge utdelning och bidra till finansieringen av det egna budgetalternat</w:t>
      </w:r>
      <w:r w:rsidRPr="006C40C1">
        <w:t>i</w:t>
      </w:r>
      <w:r w:rsidRPr="006C40C1">
        <w:t>vet.</w:t>
      </w:r>
    </w:p>
    <w:p w:rsidR="00AA5D77" w:rsidRPr="006C40C1" w:rsidRDefault="00AA5D77">
      <w:pPr>
        <w:pStyle w:val="Normaltindrag"/>
      </w:pPr>
      <w:r w:rsidRPr="006C40C1">
        <w:t>Kristdemokraterna förordar en ökad försäljning av statliga företag och vill med försäljningsinkomsterna amortera av statsskulden, vilket minskar belas</w:t>
      </w:r>
      <w:r w:rsidRPr="006C40C1">
        <w:t>t</w:t>
      </w:r>
      <w:r w:rsidRPr="006C40C1">
        <w:t>ningen på statsskuldsräntorna. Partiet har för avsikt att under de båda efte</w:t>
      </w:r>
      <w:r w:rsidRPr="006C40C1">
        <w:t>r</w:t>
      </w:r>
      <w:r w:rsidRPr="006C40C1">
        <w:t>följande åren sälja statliga företag för 30 respektive 60 miljarder kronor u</w:t>
      </w:r>
      <w:r w:rsidRPr="006C40C1">
        <w:t>t</w:t>
      </w:r>
      <w:r w:rsidRPr="006C40C1">
        <w:t>över vad regeringen plan</w:t>
      </w:r>
      <w:r w:rsidRPr="006C40C1">
        <w:t>e</w:t>
      </w:r>
      <w:r w:rsidRPr="006C40C1">
        <w:t>rar.</w:t>
      </w:r>
    </w:p>
    <w:p w:rsidR="00AA5D77" w:rsidRPr="006C40C1" w:rsidRDefault="00AA5D77">
      <w:r w:rsidRPr="006C40C1">
        <w:t>De finansiella effekter som motionärernas förslag har på den konsoliderade offentliga sektorn kan utifrån de i motionen redovisade uppgifterna samma</w:t>
      </w:r>
      <w:r w:rsidRPr="006C40C1">
        <w:t>n</w:t>
      </w:r>
      <w:r w:rsidRPr="006C40C1">
        <w:t>fattas på följande sätt för de komma</w:t>
      </w:r>
      <w:r w:rsidRPr="006C40C1">
        <w:t>n</w:t>
      </w:r>
      <w:r w:rsidRPr="006C40C1">
        <w:t>de två åren.</w:t>
      </w:r>
    </w:p>
    <w:p w:rsidR="00AA5D77" w:rsidRPr="006C40C1" w:rsidRDefault="00AA5D77">
      <w:pPr>
        <w:keepNext/>
        <w:spacing w:before="360" w:line="170" w:lineRule="exact"/>
        <w:rPr>
          <w:b/>
          <w:sz w:val="17"/>
        </w:rPr>
      </w:pPr>
      <w:bookmarkStart w:id="314" w:name="_Toc9410448"/>
      <w:bookmarkStart w:id="315" w:name="_Toc9414648"/>
      <w:bookmarkStart w:id="316" w:name="_Toc10031658"/>
      <w:bookmarkStart w:id="317" w:name="_Toc10262931"/>
      <w:bookmarkStart w:id="318" w:name="_Toc10278706"/>
      <w:bookmarkStart w:id="319" w:name="_Toc10341283"/>
      <w:bookmarkStart w:id="320" w:name="_Toc10858609"/>
      <w:bookmarkStart w:id="321" w:name="_Toc10877630"/>
      <w:bookmarkStart w:id="322" w:name="_Toc25304176"/>
      <w:r w:rsidRPr="006C40C1">
        <w:rPr>
          <w:b/>
          <w:sz w:val="17"/>
        </w:rPr>
        <w:t>Tabell 21.  Kristdemokraternas finansiella sparande i offentlig sektor 2003 och 2004</w:t>
      </w:r>
      <w:bookmarkEnd w:id="314"/>
      <w:bookmarkEnd w:id="315"/>
      <w:bookmarkEnd w:id="316"/>
      <w:bookmarkEnd w:id="317"/>
      <w:bookmarkEnd w:id="318"/>
      <w:bookmarkEnd w:id="319"/>
      <w:bookmarkEnd w:id="320"/>
      <w:bookmarkEnd w:id="321"/>
      <w:bookmarkEnd w:id="322"/>
    </w:p>
    <w:p w:rsidR="00AA5D77" w:rsidRPr="006C40C1" w:rsidRDefault="00AA5D77">
      <w:pPr>
        <w:pStyle w:val="TabellfrklaringFiU20"/>
        <w:keepLines w:val="0"/>
      </w:pPr>
      <w:r w:rsidRPr="006C40C1">
        <w:t>Miljarder kronor</w:t>
      </w:r>
    </w:p>
    <w:p w:rsidR="00AA5D77" w:rsidRPr="006C40C1" w:rsidRDefault="006C40C1">
      <w:pPr>
        <w:pStyle w:val="Normaltindrag"/>
        <w:keepNext/>
        <w:spacing w:line="240" w:lineRule="auto"/>
        <w:ind w:firstLine="0"/>
      </w:pPr>
      <w:r w:rsidRPr="006C40C1">
        <w:rPr>
          <w:noProof/>
        </w:rPr>
        <w:drawing>
          <wp:inline distT="0" distB="0" distL="0" distR="0">
            <wp:extent cx="3739515" cy="1371600"/>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739515" cy="1371600"/>
                    </a:xfrm>
                    <a:prstGeom prst="rect">
                      <a:avLst/>
                    </a:prstGeom>
                    <a:noFill/>
                    <a:ln>
                      <a:noFill/>
                    </a:ln>
                  </pic:spPr>
                </pic:pic>
              </a:graphicData>
            </a:graphic>
          </wp:inline>
        </w:drawing>
      </w:r>
    </w:p>
    <w:p w:rsidR="00AA5D77" w:rsidRPr="006C40C1" w:rsidRDefault="00AA5D77">
      <w:pPr>
        <w:pStyle w:val="Normaltindrag"/>
        <w:spacing w:line="60" w:lineRule="exact"/>
        <w:rPr>
          <w:sz w:val="6"/>
        </w:rPr>
      </w:pPr>
    </w:p>
    <w:p w:rsidR="00AA5D77" w:rsidRPr="006C40C1" w:rsidRDefault="00AA5D77">
      <w:r w:rsidRPr="006C40C1">
        <w:t>I motionen uppges att Kristdemokraternas budgetpolitik har samma inriktning som i våras, nämligen balans på en lägre nivå. I enlighet med detta redovisar partiet ett utgiftstak för staten som för de båda efterföljande åren är 4 respe</w:t>
      </w:r>
      <w:r w:rsidRPr="006C40C1">
        <w:t>k</w:t>
      </w:r>
      <w:r w:rsidRPr="006C40C1">
        <w:t>tive 11 miljarder kronor lägre än de av regeringen föreslagna nivåe</w:t>
      </w:r>
      <w:r w:rsidRPr="006C40C1">
        <w:t>r</w:t>
      </w:r>
      <w:r w:rsidRPr="006C40C1">
        <w:t>na.</w:t>
      </w:r>
    </w:p>
    <w:p w:rsidR="00AA5D77" w:rsidRPr="006C40C1" w:rsidRDefault="00AA5D77">
      <w:pPr>
        <w:keepNext/>
        <w:spacing w:before="360" w:line="170" w:lineRule="exact"/>
        <w:rPr>
          <w:b/>
          <w:sz w:val="17"/>
        </w:rPr>
      </w:pPr>
      <w:bookmarkStart w:id="323" w:name="_Toc9410449"/>
      <w:bookmarkStart w:id="324" w:name="_Toc9414649"/>
      <w:bookmarkStart w:id="325" w:name="_Toc10031659"/>
      <w:bookmarkStart w:id="326" w:name="_Toc10262932"/>
      <w:bookmarkStart w:id="327" w:name="_Toc10278707"/>
      <w:bookmarkStart w:id="328" w:name="_Toc10341284"/>
      <w:bookmarkStart w:id="329" w:name="_Toc10858610"/>
      <w:bookmarkStart w:id="330" w:name="_Toc10877631"/>
      <w:bookmarkStart w:id="331" w:name="_Toc25304177"/>
      <w:r w:rsidRPr="006C40C1">
        <w:rPr>
          <w:b/>
          <w:sz w:val="17"/>
        </w:rPr>
        <w:t>Tabell 22.  Kristdemokraternas utgiftstak för staten 2003 och 2004</w:t>
      </w:r>
      <w:bookmarkEnd w:id="323"/>
      <w:bookmarkEnd w:id="324"/>
      <w:bookmarkEnd w:id="325"/>
      <w:bookmarkEnd w:id="326"/>
      <w:bookmarkEnd w:id="327"/>
      <w:bookmarkEnd w:id="328"/>
      <w:bookmarkEnd w:id="329"/>
      <w:bookmarkEnd w:id="330"/>
      <w:bookmarkEnd w:id="331"/>
    </w:p>
    <w:p w:rsidR="00AA5D77" w:rsidRPr="006C40C1" w:rsidRDefault="00AA5D77">
      <w:pPr>
        <w:pStyle w:val="TabellfrklaringFiU20"/>
        <w:keepLines w:val="0"/>
      </w:pPr>
      <w:r w:rsidRPr="006C40C1">
        <w:t>Miljarder kronor</w:t>
      </w:r>
    </w:p>
    <w:p w:rsidR="00AA5D77" w:rsidRPr="006C40C1" w:rsidRDefault="006C40C1">
      <w:pPr>
        <w:pStyle w:val="TabellfrklaringFiU20"/>
        <w:keepLines w:val="0"/>
        <w:spacing w:before="0" w:after="0"/>
      </w:pPr>
      <w:r w:rsidRPr="006C40C1">
        <w:rPr>
          <w:noProof/>
        </w:rPr>
        <w:drawing>
          <wp:inline distT="0" distB="0" distL="0" distR="0">
            <wp:extent cx="3739515" cy="78359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39515" cy="783590"/>
                    </a:xfrm>
                    <a:prstGeom prst="rect">
                      <a:avLst/>
                    </a:prstGeom>
                    <a:noFill/>
                    <a:ln>
                      <a:noFill/>
                    </a:ln>
                  </pic:spPr>
                </pic:pic>
              </a:graphicData>
            </a:graphic>
          </wp:inline>
        </w:drawing>
      </w:r>
    </w:p>
    <w:p w:rsidR="00AA5D77" w:rsidRPr="006C40C1" w:rsidRDefault="00AA5D77">
      <w:pPr>
        <w:pStyle w:val="TabellfrklaringFiU20"/>
        <w:keepNext w:val="0"/>
        <w:keepLines w:val="0"/>
        <w:spacing w:before="0" w:after="0" w:line="60" w:lineRule="exact"/>
      </w:pPr>
    </w:p>
    <w:p w:rsidR="00AA5D77" w:rsidRPr="006C40C1" w:rsidRDefault="00AA5D77">
      <w:pPr>
        <w:spacing w:before="240"/>
      </w:pPr>
      <w:r w:rsidRPr="006C40C1">
        <w:t>Kristdemokraternas förslag till utgiftstak för den offentliga sektorn skiljer sig från regeringens på följande sätt.</w:t>
      </w:r>
    </w:p>
    <w:p w:rsidR="00AA5D77" w:rsidRPr="006C40C1" w:rsidRDefault="00AA5D77">
      <w:pPr>
        <w:keepNext/>
        <w:spacing w:before="360" w:line="170" w:lineRule="exact"/>
        <w:rPr>
          <w:b/>
          <w:sz w:val="17"/>
        </w:rPr>
      </w:pPr>
      <w:bookmarkStart w:id="332" w:name="_Toc25304178"/>
      <w:r w:rsidRPr="006C40C1">
        <w:rPr>
          <w:b/>
          <w:sz w:val="17"/>
        </w:rPr>
        <w:t>Tabell 23.  Kristdemokraternas utgiftstak för offentlig sektor 2003 och 2004</w:t>
      </w:r>
      <w:bookmarkEnd w:id="332"/>
    </w:p>
    <w:p w:rsidR="00AA5D77" w:rsidRPr="006C40C1" w:rsidRDefault="00AA5D77">
      <w:pPr>
        <w:pStyle w:val="TabellfrklaringFiU20"/>
        <w:keepLines w:val="0"/>
      </w:pPr>
      <w:r w:rsidRPr="006C40C1">
        <w:t>Miljarder kronor</w:t>
      </w:r>
    </w:p>
    <w:p w:rsidR="00AA5D77" w:rsidRPr="006C40C1" w:rsidRDefault="006C40C1">
      <w:pPr>
        <w:keepNext/>
        <w:spacing w:before="0" w:line="240" w:lineRule="auto"/>
      </w:pPr>
      <w:r w:rsidRPr="006C40C1">
        <w:rPr>
          <w:noProof/>
        </w:rPr>
        <w:drawing>
          <wp:inline distT="0" distB="0" distL="0" distR="0">
            <wp:extent cx="3733800" cy="952500"/>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rsidR="00AA5D77" w:rsidRPr="006C40C1" w:rsidRDefault="00AA5D77">
      <w:pPr>
        <w:spacing w:before="0" w:line="60" w:lineRule="exact"/>
      </w:pPr>
    </w:p>
    <w:p w:rsidR="00AA5D77" w:rsidRPr="006C40C1" w:rsidRDefault="00AA5D77">
      <w:pPr>
        <w:spacing w:before="360"/>
      </w:pPr>
      <w:r w:rsidRPr="006C40C1">
        <w:rPr>
          <w:b/>
          <w:i/>
        </w:rPr>
        <w:t>Centerpartiet</w:t>
      </w:r>
      <w:r w:rsidRPr="006C40C1">
        <w:t xml:space="preserve"> uppger i </w:t>
      </w:r>
      <w:r w:rsidRPr="006C40C1">
        <w:rPr>
          <w:i/>
        </w:rPr>
        <w:t>motion Fi234</w:t>
      </w:r>
      <w:r w:rsidRPr="006C40C1">
        <w:t xml:space="preserve"> att partiets budgetförslag ger markant lägre utgifter än regeringens under de kommande åren. Denna stramhet i utgifterna använder man för att dels stimulera tillväxten genom sänkta skatter, dels amortera av statsskulden och öka det finansiella sparandet. På så sätt uppnår partiet det tidigare uppställda sparmålet på 2 % år 2004.</w:t>
      </w:r>
    </w:p>
    <w:p w:rsidR="00AA5D77" w:rsidRPr="006C40C1" w:rsidRDefault="00AA5D77">
      <w:pPr>
        <w:pStyle w:val="Normaltindrag"/>
      </w:pPr>
      <w:r w:rsidRPr="006C40C1">
        <w:t>Skattesystemet ska utformas så att det främjar arbete, företagande och til</w:t>
      </w:r>
      <w:r w:rsidRPr="006C40C1">
        <w:t>l</w:t>
      </w:r>
      <w:r w:rsidRPr="006C40C1">
        <w:t>växt. Ett långsiktigt mål för Centerpartiet är att skattetrycket och utgifternas andel av BNP ska ned till samma nivåer som jämförbara OECD-länder.</w:t>
      </w:r>
    </w:p>
    <w:p w:rsidR="00AA5D77" w:rsidRPr="006C40C1" w:rsidRDefault="00AA5D77">
      <w:pPr>
        <w:pStyle w:val="Normaltindrag"/>
      </w:pPr>
      <w:r w:rsidRPr="006C40C1">
        <w:t>I Centerpartiets budgetalternativ sänks enligt motionärerna skatten främst för dem med låga och vanliga inkomster genom en inkomstskattereform som påbörjas 2003 och som fullföljs under mandatper</w:t>
      </w:r>
      <w:r w:rsidRPr="006C40C1">
        <w:t>i</w:t>
      </w:r>
      <w:r w:rsidRPr="006C40C1">
        <w:t>oden.</w:t>
      </w:r>
    </w:p>
    <w:p w:rsidR="00AA5D77" w:rsidRPr="006C40C1" w:rsidRDefault="00AA5D77">
      <w:pPr>
        <w:pStyle w:val="Normaltindrag"/>
      </w:pPr>
      <w:r w:rsidRPr="006C40C1">
        <w:t>Inkomstskattereformen minskar dagens höga marginaleffekter för låg- och medelinkomsttagare. Fullt utbyggd innebär den att det nuvarande grunda</w:t>
      </w:r>
      <w:r w:rsidRPr="006C40C1">
        <w:t>v</w:t>
      </w:r>
      <w:r w:rsidRPr="006C40C1">
        <w:t>draget avvecklas helt och ersätts av en skattereduktion på 10 000 kr</w:t>
      </w:r>
      <w:r w:rsidRPr="006C40C1">
        <w:rPr>
          <w:snapToGrid w:val="0"/>
        </w:rPr>
        <w:t xml:space="preserve"> som kommer alla till del, oavsett om inkomsten kommer från lön, företagsinkomst, a-kassa, sjukpenning eller pension</w:t>
      </w:r>
      <w:r w:rsidRPr="006C40C1">
        <w:t>. Eftersom skattereduktionen är lika för alla försvinner den negativa marginaleffekt som finns i dagens skattesystem då grundavdraget trappas av, påpekar motionärerna. För 2003 föreslås att skatt</w:t>
      </w:r>
      <w:r w:rsidRPr="006C40C1">
        <w:t>e</w:t>
      </w:r>
      <w:r w:rsidRPr="006C40C1">
        <w:t>reduktionen ska motsvara 9 000 kr. En skattereduktion av denna omfattning motsvarar ett grundavdrag på ca 30 000 kr.</w:t>
      </w:r>
    </w:p>
    <w:p w:rsidR="00AA5D77" w:rsidRPr="006C40C1" w:rsidRDefault="00AA5D77">
      <w:pPr>
        <w:pStyle w:val="Normaltindrag"/>
      </w:pPr>
      <w:r w:rsidRPr="006C40C1">
        <w:t>För förvärvsar</w:t>
      </w:r>
      <w:r w:rsidRPr="006C40C1">
        <w:t>betande vill motionärerna dessutom införa en särskild ska</w:t>
      </w:r>
      <w:r w:rsidRPr="006C40C1">
        <w:t>t</w:t>
      </w:r>
      <w:r w:rsidRPr="006C40C1">
        <w:t xml:space="preserve">tereduktion. Den ska utgå med högst 9 600 kr och ska för inkomster upp till 96 000 kr motsvara 10 % av förvärvsinkomsten. För årsinkomster däröver upp till 180 000 kr ska skatterabatten motsvara maxbeloppet. Därefter trappas den ned och ska vid årsinkomster på 276 000 kr eller högre motsvara halva maxbeloppet, dvs. 4 800 kr. </w:t>
      </w:r>
    </w:p>
    <w:p w:rsidR="00AA5D77" w:rsidRPr="006C40C1" w:rsidRDefault="00AA5D77">
      <w:pPr>
        <w:pStyle w:val="Normaltindrag"/>
      </w:pPr>
      <w:r w:rsidRPr="006C40C1">
        <w:t>En skattereduktion ska likaså utgå för den höjning av a-kasseavgiften som partiet vill införa.</w:t>
      </w:r>
    </w:p>
    <w:p w:rsidR="00AA5D77" w:rsidRPr="006C40C1" w:rsidRDefault="00AA5D77">
      <w:pPr>
        <w:pStyle w:val="Normaltindrag"/>
      </w:pPr>
      <w:r w:rsidRPr="006C40C1">
        <w:t>I motionen föreslås att den nuvarande skattereduktionen för den allmänna pensionsavgiften och den nyligen införda skattereduktionen för fackför</w:t>
      </w:r>
      <w:r w:rsidRPr="006C40C1">
        <w:t>e</w:t>
      </w:r>
      <w:r w:rsidRPr="006C40C1">
        <w:t>ningsavgifter avvecklas. Motionärerna vill dessutom avveckla det tillfälliga sysselsättningsstöd som utgår till kommuner i form av ett stöd som avräknas mot statsbudgetens inkomstsida.</w:t>
      </w:r>
    </w:p>
    <w:p w:rsidR="00AA5D77" w:rsidRPr="006C40C1" w:rsidRDefault="00AA5D77">
      <w:pPr>
        <w:pStyle w:val="Normaltindrag"/>
      </w:pPr>
      <w:r w:rsidRPr="006C40C1">
        <w:t>Centerpartiet vill fr.o.m. nästa års taxering höja reseavdraget till 20 kr per mil och samt</w:t>
      </w:r>
      <w:r w:rsidRPr="006C40C1">
        <w:t>i</w:t>
      </w:r>
      <w:r w:rsidRPr="006C40C1">
        <w:t>digt i det inkludera resor till och från barnomsorg.</w:t>
      </w:r>
    </w:p>
    <w:p w:rsidR="00AA5D77" w:rsidRPr="006C40C1" w:rsidRDefault="00AA5D77">
      <w:pPr>
        <w:pStyle w:val="Normaltindrag"/>
      </w:pPr>
      <w:r w:rsidRPr="006C40C1">
        <w:t>Liksom övriga borgerliga partier vill motionärerna införa en skatteredu</w:t>
      </w:r>
      <w:r w:rsidRPr="006C40C1">
        <w:t>k</w:t>
      </w:r>
      <w:r w:rsidRPr="006C40C1">
        <w:t>tion motsvarande 50 % av arbetskostnaden för hushållstjänster. Skatteredu</w:t>
      </w:r>
      <w:r w:rsidRPr="006C40C1">
        <w:t>k</w:t>
      </w:r>
      <w:r w:rsidRPr="006C40C1">
        <w:t>tionen ska också omfatta ROT-arbeten.</w:t>
      </w:r>
    </w:p>
    <w:p w:rsidR="00AA5D77" w:rsidRPr="006C40C1" w:rsidRDefault="00AA5D77">
      <w:pPr>
        <w:pStyle w:val="Normaltindrag"/>
      </w:pPr>
      <w:r w:rsidRPr="006C40C1">
        <w:t>Sambeskattningen av förmögenheter bör avskaffas fr.o.m. 2003, och då bör enligt Centerpartiet dessutom endast halva taxeringsvärdet för småhus tas upp till förmögenhetsbeskattning. I motionen föreslås att arvsskatten på arb</w:t>
      </w:r>
      <w:r w:rsidRPr="006C40C1">
        <w:t>e</w:t>
      </w:r>
      <w:r w:rsidRPr="006C40C1">
        <w:t xml:space="preserve">tande kapital i fåmansföretag avvecklas. Motionärerna vill dessutom införa ett riskkapitalavdrag samt avdragsrätt för starta-eget-sparande. </w:t>
      </w:r>
    </w:p>
    <w:p w:rsidR="00AA5D77" w:rsidRPr="006C40C1" w:rsidRDefault="00AA5D77">
      <w:pPr>
        <w:pStyle w:val="Normaltindrag"/>
      </w:pPr>
      <w:r w:rsidRPr="006C40C1">
        <w:t>Centerpartiet anser att den nuvarande nedsättningen av arbetsgivaravgifter ska utökas. Nedsättningen bör uppgå till 8 procentenheter på lönesummor upp till 852 000 kr.</w:t>
      </w:r>
    </w:p>
    <w:p w:rsidR="00AA5D77" w:rsidRPr="006C40C1" w:rsidRDefault="00AA5D77">
      <w:pPr>
        <w:pStyle w:val="Normaltindrag"/>
      </w:pPr>
      <w:r w:rsidRPr="006C40C1">
        <w:t>Jordbruksnäringens beskattning bör lindras främst genom att skatten på diesel för jord- och skogsbruksmaskiner sänks till 1 kr per liter och kväv</w:t>
      </w:r>
      <w:r w:rsidRPr="006C40C1">
        <w:t>e</w:t>
      </w:r>
      <w:r w:rsidRPr="006C40C1">
        <w:t>skatten på handelsgödsel slopas.</w:t>
      </w:r>
    </w:p>
    <w:p w:rsidR="00AA5D77" w:rsidRPr="006C40C1" w:rsidRDefault="00AA5D77">
      <w:pPr>
        <w:pStyle w:val="Normaltindrag"/>
      </w:pPr>
      <w:r w:rsidRPr="006C40C1">
        <w:t>Industrins nuvarande nedsättning för koldioxidskatt bör enligt motionäre</w:t>
      </w:r>
      <w:r w:rsidRPr="006C40C1">
        <w:t>r</w:t>
      </w:r>
      <w:r w:rsidRPr="006C40C1">
        <w:t xml:space="preserve">na begränsas med motsvarande 2 miljarder kronor per år. </w:t>
      </w:r>
    </w:p>
    <w:p w:rsidR="00AA5D77" w:rsidRPr="006C40C1" w:rsidRDefault="00AA5D77">
      <w:pPr>
        <w:pStyle w:val="Normaltindrag"/>
      </w:pPr>
      <w:r w:rsidRPr="006C40C1">
        <w:t>Fastighetsskatten för småhus ska lindras genom att 2003 års fastighetstax</w:t>
      </w:r>
      <w:r w:rsidRPr="006C40C1">
        <w:t>e</w:t>
      </w:r>
      <w:r w:rsidRPr="006C40C1">
        <w:t>ringsvärden beräknas enligt en medianmodell där man bortser från köpeski</w:t>
      </w:r>
      <w:r w:rsidRPr="006C40C1">
        <w:t>l</w:t>
      </w:r>
      <w:r w:rsidRPr="006C40C1">
        <w:t>lingar i den undre och den övre kvartilen. Den nuvarande begränsningsregeln bör enligt motionärerna slopas eftersom den inte behövs med deras förslag. Fastighetsskatten för flerbostadshus ska avskaffas.</w:t>
      </w:r>
    </w:p>
    <w:p w:rsidR="00AA5D77" w:rsidRPr="006C40C1" w:rsidRDefault="00AA5D77">
      <w:pPr>
        <w:pStyle w:val="Normaltindrag"/>
        <w:rPr>
          <w:snapToGrid w:val="0"/>
        </w:rPr>
      </w:pPr>
      <w:r w:rsidRPr="006C40C1">
        <w:rPr>
          <w:snapToGrid w:val="0"/>
        </w:rPr>
        <w:t>De av Centerpartiet föreslagna skattesänkningarna uppgår under de båda närmaste åren till netto 35 respektive 40 miljarder kronor.</w:t>
      </w:r>
    </w:p>
    <w:p w:rsidR="00AA5D77" w:rsidRPr="006C40C1" w:rsidRDefault="00AA5D77">
      <w:pPr>
        <w:pStyle w:val="Normaltindrag"/>
      </w:pPr>
      <w:r w:rsidRPr="006C40C1">
        <w:t>Motionärerna anser att en allmän arbetslöshetsförsäkring bör införas med en självfinansieringsgrad motsvarande en tredjedel av kostnaden. De som har arbete ska betala full avgift medan de som saknar arbete endast ska behöva betala halv avgift. Avgiften ska berättiga till en skattereduktion på 40 % av avgiften.</w:t>
      </w:r>
    </w:p>
    <w:p w:rsidR="00AA5D77" w:rsidRPr="006C40C1" w:rsidRDefault="00AA5D77">
      <w:pPr>
        <w:pStyle w:val="Normaltindrag"/>
      </w:pPr>
      <w:r w:rsidRPr="006C40C1">
        <w:t>För barnfamiljerna ska barnbidraget för barn i åldrarna ett till fem år fö</w:t>
      </w:r>
      <w:r w:rsidRPr="006C40C1">
        <w:t>r</w:t>
      </w:r>
      <w:r w:rsidRPr="006C40C1">
        <w:t>dubblas till 1 900 kr i fyra steg till 2006. För föräldrar med låga inkomster höjs garantinivån i föräldraförsäkringen till 200 kr om dagen samtidigt som taket i försäkringen höjs till elva basbelopp. Ersättningsnivån för de 90 g</w:t>
      </w:r>
      <w:r w:rsidRPr="006C40C1">
        <w:t>a</w:t>
      </w:r>
      <w:r w:rsidRPr="006C40C1">
        <w:t>rantidagarna höjs till 90 kr om dagen. Centerpartiet vill också införa en jä</w:t>
      </w:r>
      <w:r w:rsidRPr="006C40C1">
        <w:t>m</w:t>
      </w:r>
      <w:r w:rsidRPr="006C40C1">
        <w:t>ställdhetsbonus som belönar föräldrar som delar på föräldraledigheten.</w:t>
      </w:r>
    </w:p>
    <w:p w:rsidR="00AA5D77" w:rsidRPr="006C40C1" w:rsidRDefault="00AA5D77">
      <w:pPr>
        <w:pStyle w:val="Normaltindrag"/>
      </w:pPr>
      <w:r w:rsidRPr="006C40C1">
        <w:t xml:space="preserve">Samtidigt begränsas ersättningsnivåerna i föräldraförsäkringen, liksom i sjukförsäkringen något av att motionärerna föreslår att den </w:t>
      </w:r>
      <w:r w:rsidRPr="006C40C1">
        <w:t>sjukpennin</w:t>
      </w:r>
      <w:r w:rsidRPr="006C40C1">
        <w:t>g</w:t>
      </w:r>
      <w:r w:rsidRPr="006C40C1">
        <w:t>grundande inkomsten (SGI) ska beräknas utifrån de båda senaste årens i</w:t>
      </w:r>
      <w:r w:rsidRPr="006C40C1">
        <w:t>n</w:t>
      </w:r>
      <w:r w:rsidRPr="006C40C1">
        <w:t xml:space="preserve">komster. </w:t>
      </w:r>
    </w:p>
    <w:p w:rsidR="00AA5D77" w:rsidRPr="006C40C1" w:rsidRDefault="00AA5D77">
      <w:pPr>
        <w:pStyle w:val="Normaltindrag"/>
        <w:rPr>
          <w:snapToGrid w:val="0"/>
          <w:lang w:eastAsia="sv-SE"/>
        </w:rPr>
      </w:pPr>
      <w:r w:rsidRPr="006C40C1">
        <w:rPr>
          <w:snapToGrid w:val="0"/>
          <w:lang w:eastAsia="sv-SE"/>
        </w:rPr>
        <w:t xml:space="preserve">I motionen ses kunskap som viktig för den ekonomiska utvecklingen och tillväxten. Centerpartiet slår också vakt om det kommunala självstyret och vill därför avveckla nuvarande fleråriga specialdestinerade bidrag </w:t>
      </w:r>
      <w:r w:rsidRPr="006C40C1">
        <w:t>till personalfö</w:t>
      </w:r>
      <w:r w:rsidRPr="006C40C1">
        <w:t>r</w:t>
      </w:r>
      <w:r w:rsidRPr="006C40C1">
        <w:t xml:space="preserve">stärkningar inom skolan på 6 miljarder kronor under 2003 och 2004. </w:t>
      </w:r>
      <w:r w:rsidRPr="006C40C1">
        <w:rPr>
          <w:snapToGrid w:val="0"/>
          <w:lang w:eastAsia="sv-SE"/>
        </w:rPr>
        <w:t>I stället vill motionärerna satsa på grundskolan dels genom en höjning av det gen</w:t>
      </w:r>
      <w:r w:rsidRPr="006C40C1">
        <w:rPr>
          <w:snapToGrid w:val="0"/>
          <w:lang w:eastAsia="sv-SE"/>
        </w:rPr>
        <w:t>e</w:t>
      </w:r>
      <w:r w:rsidRPr="006C40C1">
        <w:rPr>
          <w:snapToGrid w:val="0"/>
          <w:lang w:eastAsia="sv-SE"/>
        </w:rPr>
        <w:t>rella statsbidraget till kommuner, dels genom en särskild satsning på läs- och skrivutveckling. För dessa ändamål avdelar motionärerna 2,6 respektive 3,6 miljarder kronor under de båda efterföljande åren, dvs. sammanlagt 6,2 mi</w:t>
      </w:r>
      <w:r w:rsidRPr="006C40C1">
        <w:rPr>
          <w:snapToGrid w:val="0"/>
          <w:lang w:eastAsia="sv-SE"/>
        </w:rPr>
        <w:t>l</w:t>
      </w:r>
      <w:r w:rsidRPr="006C40C1">
        <w:rPr>
          <w:snapToGrid w:val="0"/>
          <w:lang w:eastAsia="sv-SE"/>
        </w:rPr>
        <w:t>jarder kronor.</w:t>
      </w:r>
    </w:p>
    <w:p w:rsidR="00AA5D77" w:rsidRPr="006C40C1" w:rsidRDefault="00AA5D77">
      <w:pPr>
        <w:pStyle w:val="Normaltindrag"/>
        <w:rPr>
          <w:snapToGrid w:val="0"/>
          <w:lang w:eastAsia="sv-SE"/>
        </w:rPr>
      </w:pPr>
      <w:r w:rsidRPr="006C40C1">
        <w:t>Studiemedelssystemet ska reformeras så att det inom ramen för ett ofö</w:t>
      </w:r>
      <w:r w:rsidRPr="006C40C1">
        <w:t>r</w:t>
      </w:r>
      <w:r w:rsidRPr="006C40C1">
        <w:t>ändrat totalbelopp utgår med lika delar lån och bidrag. Dessutom ska frib</w:t>
      </w:r>
      <w:r w:rsidRPr="006C40C1">
        <w:t>e</w:t>
      </w:r>
      <w:r w:rsidRPr="006C40C1">
        <w:t>loppet höjas.</w:t>
      </w:r>
    </w:p>
    <w:p w:rsidR="00AA5D77" w:rsidRPr="006C40C1" w:rsidRDefault="00AA5D77">
      <w:pPr>
        <w:pStyle w:val="Normaltindrag"/>
        <w:rPr>
          <w:snapToGrid w:val="0"/>
          <w:lang w:eastAsia="sv-SE"/>
        </w:rPr>
      </w:pPr>
      <w:r w:rsidRPr="006C40C1">
        <w:rPr>
          <w:snapToGrid w:val="0"/>
          <w:lang w:eastAsia="sv-SE"/>
        </w:rPr>
        <w:t>Motionärerna vill under de båda följande åren satsa 2,7 miljarder kronor mer än regeringen på kommunikationer, främst för drift och underhåll av vägnätet. Fungerande kommunikationer är avgörande för möjligheten för företagande och boende i hela landet, påpekar motionärerna. I motionen för</w:t>
      </w:r>
      <w:r w:rsidRPr="006C40C1">
        <w:rPr>
          <w:snapToGrid w:val="0"/>
          <w:lang w:eastAsia="sv-SE"/>
        </w:rPr>
        <w:t>e</w:t>
      </w:r>
      <w:r w:rsidRPr="006C40C1">
        <w:rPr>
          <w:snapToGrid w:val="0"/>
          <w:lang w:eastAsia="sv-SE"/>
        </w:rPr>
        <w:t>slås också satsningar på en digital infrastruktur som ger likvärdiga förutsät</w:t>
      </w:r>
      <w:r w:rsidRPr="006C40C1">
        <w:rPr>
          <w:snapToGrid w:val="0"/>
          <w:lang w:eastAsia="sv-SE"/>
        </w:rPr>
        <w:t>t</w:t>
      </w:r>
      <w:r w:rsidRPr="006C40C1">
        <w:rPr>
          <w:snapToGrid w:val="0"/>
          <w:lang w:eastAsia="sv-SE"/>
        </w:rPr>
        <w:t>ningar för datako</w:t>
      </w:r>
      <w:r w:rsidRPr="006C40C1">
        <w:rPr>
          <w:snapToGrid w:val="0"/>
          <w:lang w:eastAsia="sv-SE"/>
        </w:rPr>
        <w:t>m</w:t>
      </w:r>
      <w:r w:rsidRPr="006C40C1">
        <w:rPr>
          <w:snapToGrid w:val="0"/>
          <w:lang w:eastAsia="sv-SE"/>
        </w:rPr>
        <w:t xml:space="preserve">munikation i hela landet. </w:t>
      </w:r>
    </w:p>
    <w:p w:rsidR="00AA5D77" w:rsidRPr="006C40C1" w:rsidRDefault="00AA5D77">
      <w:pPr>
        <w:pStyle w:val="Normaltindrag"/>
        <w:rPr>
          <w:snapToGrid w:val="0"/>
          <w:lang w:eastAsia="sv-SE"/>
        </w:rPr>
      </w:pPr>
      <w:r w:rsidRPr="006C40C1">
        <w:rPr>
          <w:snapToGrid w:val="0"/>
          <w:lang w:eastAsia="sv-SE"/>
        </w:rPr>
        <w:t>Biståndsmålet på 1 % av BNI vill Centerpartiet nå 2005 och anvisar i detta syfte ytterligare 0,9 respektive 1,0 miljarder kronor under de båda efterfölja</w:t>
      </w:r>
      <w:r w:rsidRPr="006C40C1">
        <w:rPr>
          <w:snapToGrid w:val="0"/>
          <w:lang w:eastAsia="sv-SE"/>
        </w:rPr>
        <w:t>n</w:t>
      </w:r>
      <w:r w:rsidRPr="006C40C1">
        <w:rPr>
          <w:snapToGrid w:val="0"/>
          <w:lang w:eastAsia="sv-SE"/>
        </w:rPr>
        <w:t>de åren.</w:t>
      </w:r>
    </w:p>
    <w:p w:rsidR="00AA5D77" w:rsidRPr="006C40C1" w:rsidRDefault="00AA5D77">
      <w:pPr>
        <w:pStyle w:val="Normaltindrag"/>
      </w:pPr>
      <w:r w:rsidRPr="006C40C1">
        <w:t>De stora volymåtgärderna på arbetsmarknadspolitikens område bör min</w:t>
      </w:r>
      <w:r w:rsidRPr="006C40C1">
        <w:t>s</w:t>
      </w:r>
      <w:r w:rsidRPr="006C40C1">
        <w:t>ka, anser Centerpartiet, som i stället vill att arbetsmarknadsmedel ska kunna användas på ett friare sätt, och att beslut i dessa frågor ska flyttas från statlig till regional och lokal nivå. Detta väntas leda till besparingar på 3,3 miljarder kronor under 2003. Dessutom vill man inrätta övergångsarbetsmarknader för människor som har svårt att komma in på den reguljära arbetsmarknaden. På övergångsarbetsmarknaderna ska arbetskraften vara billigare genom att a</w:t>
      </w:r>
      <w:r w:rsidRPr="006C40C1">
        <w:t>r</w:t>
      </w:r>
      <w:r w:rsidRPr="006C40C1">
        <w:t>betsgivaravgifterna sätts ned. Centerpartiet rä</w:t>
      </w:r>
      <w:r w:rsidRPr="006C40C1">
        <w:t>knar med att nedsättningarna under de båda följande åren ska uppgå till 0,75 respektive 1,25 miljarder kronor men att de samtidigt ska minska behovet av att köpa in arbetsmar</w:t>
      </w:r>
      <w:r w:rsidRPr="006C40C1">
        <w:t>k</w:t>
      </w:r>
      <w:r w:rsidRPr="006C40C1">
        <w:t>nadsutbil</w:t>
      </w:r>
      <w:r w:rsidRPr="006C40C1">
        <w:t>d</w:t>
      </w:r>
      <w:r w:rsidRPr="006C40C1">
        <w:t>ning för 1,5 respektive 2,5 miljarder kronor.</w:t>
      </w:r>
    </w:p>
    <w:p w:rsidR="00AA5D77" w:rsidRPr="006C40C1" w:rsidRDefault="00AA5D77">
      <w:pPr>
        <w:pStyle w:val="Normaltindrag"/>
        <w:rPr>
          <w:snapToGrid w:val="0"/>
        </w:rPr>
      </w:pPr>
      <w:r w:rsidRPr="006C40C1">
        <w:rPr>
          <w:snapToGrid w:val="0"/>
        </w:rPr>
        <w:t>Alla arbetslösa som har en kort utbildning sedan tidigare ska erbjudas en kompletterande utbildning motsvarande gymnasienivå.</w:t>
      </w:r>
    </w:p>
    <w:p w:rsidR="00AA5D77" w:rsidRPr="006C40C1" w:rsidRDefault="00AA5D77">
      <w:pPr>
        <w:pStyle w:val="Normaltindrag"/>
        <w:rPr>
          <w:snapToGrid w:val="0"/>
        </w:rPr>
      </w:pPr>
      <w:r w:rsidRPr="006C40C1">
        <w:rPr>
          <w:snapToGrid w:val="0"/>
        </w:rPr>
        <w:t>Centerpartiet vill också införa ett tydligare inslag av omställningsförsä</w:t>
      </w:r>
      <w:r w:rsidRPr="006C40C1">
        <w:rPr>
          <w:snapToGrid w:val="0"/>
        </w:rPr>
        <w:t>k</w:t>
      </w:r>
      <w:r w:rsidRPr="006C40C1">
        <w:rPr>
          <w:snapToGrid w:val="0"/>
        </w:rPr>
        <w:t>ring i arbetslöshetsersättningen och successivt begränsa ersättningsnivån så att den efter 600 dagar har sänkts till 65 % med ett tak på 630 kr. Efter ytterl</w:t>
      </w:r>
      <w:r w:rsidRPr="006C40C1">
        <w:rPr>
          <w:snapToGrid w:val="0"/>
        </w:rPr>
        <w:t>i</w:t>
      </w:r>
      <w:r w:rsidRPr="006C40C1">
        <w:rPr>
          <w:snapToGrid w:val="0"/>
        </w:rPr>
        <w:t xml:space="preserve">gare 300 dagar ska endast ett garantibelopp på 320 kr per dag kunna betalas ut. </w:t>
      </w:r>
    </w:p>
    <w:p w:rsidR="00AA5D77" w:rsidRPr="006C40C1" w:rsidRDefault="00AA5D77">
      <w:pPr>
        <w:pStyle w:val="Normaltindrag"/>
        <w:rPr>
          <w:snapToGrid w:val="0"/>
        </w:rPr>
      </w:pPr>
      <w:r w:rsidRPr="006C40C1">
        <w:rPr>
          <w:snapToGrid w:val="0"/>
        </w:rPr>
        <w:t>Nivån på lönebidraget för arbetshandikappade bör enligt Centerpartiet h</w:t>
      </w:r>
      <w:r w:rsidRPr="006C40C1">
        <w:rPr>
          <w:snapToGrid w:val="0"/>
        </w:rPr>
        <w:t>ö</w:t>
      </w:r>
      <w:r w:rsidRPr="006C40C1">
        <w:rPr>
          <w:snapToGrid w:val="0"/>
        </w:rPr>
        <w:t>jas samtidigt som antalet lönebidragsberättigade utökas.</w:t>
      </w:r>
    </w:p>
    <w:p w:rsidR="00AA5D77" w:rsidRPr="006C40C1" w:rsidRDefault="00AA5D77">
      <w:pPr>
        <w:pStyle w:val="Normaltindrag"/>
        <w:rPr>
          <w:snapToGrid w:val="0"/>
        </w:rPr>
      </w:pPr>
      <w:r w:rsidRPr="006C40C1">
        <w:rPr>
          <w:snapToGrid w:val="0"/>
        </w:rPr>
        <w:t>Genom besparingar på administration, enklare regelverk och effektivis</w:t>
      </w:r>
      <w:r w:rsidRPr="006C40C1">
        <w:rPr>
          <w:snapToGrid w:val="0"/>
        </w:rPr>
        <w:t>e</w:t>
      </w:r>
      <w:r w:rsidRPr="006C40C1">
        <w:rPr>
          <w:snapToGrid w:val="0"/>
        </w:rPr>
        <w:t>ring samt höjd egenfinansiering i a-kassan räknar motionärerna med att under de båda närmaste åren kunna spara 12,1 respektive 13,0 miljarder kronor på arbetsmarknadso</w:t>
      </w:r>
      <w:r w:rsidRPr="006C40C1">
        <w:rPr>
          <w:snapToGrid w:val="0"/>
        </w:rPr>
        <w:t>m</w:t>
      </w:r>
      <w:r w:rsidRPr="006C40C1">
        <w:rPr>
          <w:snapToGrid w:val="0"/>
        </w:rPr>
        <w:t>rådet.</w:t>
      </w:r>
    </w:p>
    <w:p w:rsidR="00AA5D77" w:rsidRPr="006C40C1" w:rsidRDefault="00AA5D77">
      <w:pPr>
        <w:pStyle w:val="Normaltindrag"/>
      </w:pPr>
      <w:r w:rsidRPr="006C40C1">
        <w:t>Motionärerna vill på olika sätt också förbättra insatserna för rehabilitering. Deras mål är att till 2008 ha halverat ohälsan och samhällets kostnader för denna. Som delmål gäller för motionärerna att sjukskrivningarna ska minska med 20 % till 2004 och med 40 % till 2006. Alla ska ha rätt till rehabilitering, även de sjukdomsgrupper s</w:t>
      </w:r>
      <w:r w:rsidRPr="006C40C1">
        <w:t>om har liten möjlighet att återgå till arbetet. Det ska ske genom att den finansiella samordningen påskyndas och utökas. Des</w:t>
      </w:r>
      <w:r w:rsidRPr="006C40C1">
        <w:t>s</w:t>
      </w:r>
      <w:r w:rsidRPr="006C40C1">
        <w:t>utom ska en dialog inledas med kommun- och landstingsförbund för att komma till rätta med kommunsektorns höga sjukskrivningstal. Vidare ska man införa en rehabiliteringsgaranti som innebär att sjukskrivningar längre än 30 dagar ska godkännas av två läkare och att en individuell rehabilitering</w:t>
      </w:r>
      <w:r w:rsidRPr="006C40C1">
        <w:t>s</w:t>
      </w:r>
      <w:r w:rsidRPr="006C40C1">
        <w:t>plan ska föreligga inom tre månader efter insjuknandet. Den som inte är b</w:t>
      </w:r>
      <w:r w:rsidRPr="006C40C1">
        <w:t>e</w:t>
      </w:r>
      <w:r w:rsidRPr="006C40C1">
        <w:t>redd att medverka i</w:t>
      </w:r>
      <w:r w:rsidRPr="006C40C1">
        <w:t xml:space="preserve"> rehabiliteringen ska få lägre sjukersättning. Försäkring</w:t>
      </w:r>
      <w:r w:rsidRPr="006C40C1">
        <w:t>s</w:t>
      </w:r>
      <w:r w:rsidRPr="006C40C1">
        <w:t>kassorna ska ges tydliga direktiv att arbeta med rehabilitering. Passivt stöd ersätts på så sätt av aktiva åtgärder och ett stöd som den enskilde i hög grad kan påve</w:t>
      </w:r>
      <w:r w:rsidRPr="006C40C1">
        <w:t>r</w:t>
      </w:r>
      <w:r w:rsidRPr="006C40C1">
        <w:t xml:space="preserve">ka. </w:t>
      </w:r>
    </w:p>
    <w:p w:rsidR="00AA5D77" w:rsidRPr="006C40C1" w:rsidRDefault="00AA5D77">
      <w:pPr>
        <w:pStyle w:val="Normaltindrag"/>
        <w:rPr>
          <w:snapToGrid w:val="0"/>
          <w:lang w:eastAsia="sv-SE"/>
        </w:rPr>
      </w:pPr>
      <w:r w:rsidRPr="006C40C1">
        <w:t>Tillsammans med övriga borgerliga partier vill motionärerna slutligen oc</w:t>
      </w:r>
      <w:r w:rsidRPr="006C40C1">
        <w:t>k</w:t>
      </w:r>
      <w:r w:rsidRPr="006C40C1">
        <w:t xml:space="preserve">så införa en ny, nationell vårdgaranti </w:t>
      </w:r>
      <w:r w:rsidRPr="006C40C1">
        <w:rPr>
          <w:snapToGrid w:val="0"/>
          <w:lang w:eastAsia="sv-SE"/>
        </w:rPr>
        <w:t>med rätt till behandling inom tre mån</w:t>
      </w:r>
      <w:r w:rsidRPr="006C40C1">
        <w:rPr>
          <w:snapToGrid w:val="0"/>
          <w:lang w:eastAsia="sv-SE"/>
        </w:rPr>
        <w:t>a</w:t>
      </w:r>
      <w:r w:rsidRPr="006C40C1">
        <w:rPr>
          <w:snapToGrid w:val="0"/>
          <w:lang w:eastAsia="sv-SE"/>
        </w:rPr>
        <w:t>der. Kan inte vården innan dess ges vid närmaste sjukhus ska patienten kunna välja sjukhus i hela la</w:t>
      </w:r>
      <w:r w:rsidRPr="006C40C1">
        <w:rPr>
          <w:snapToGrid w:val="0"/>
          <w:lang w:eastAsia="sv-SE"/>
        </w:rPr>
        <w:t>n</w:t>
      </w:r>
      <w:r w:rsidRPr="006C40C1">
        <w:rPr>
          <w:snapToGrid w:val="0"/>
          <w:lang w:eastAsia="sv-SE"/>
        </w:rPr>
        <w:t>det.</w:t>
      </w:r>
    </w:p>
    <w:p w:rsidR="00AA5D77" w:rsidRPr="006C40C1" w:rsidRDefault="00AA5D77">
      <w:pPr>
        <w:pStyle w:val="Normaltindrag"/>
        <w:rPr>
          <w:snapToGrid w:val="0"/>
          <w:lang w:eastAsia="sv-SE"/>
        </w:rPr>
      </w:pPr>
      <w:r w:rsidRPr="006C40C1">
        <w:rPr>
          <w:snapToGrid w:val="0"/>
          <w:lang w:eastAsia="sv-SE"/>
        </w:rPr>
        <w:t>Centerpartiet föreslår också att arbetsgivarinträdet, dvs. den period under vilken arbetsgivaren ansvarar för sjukersättningen, ska differentieras med hän</w:t>
      </w:r>
      <w:r w:rsidRPr="006C40C1">
        <w:rPr>
          <w:snapToGrid w:val="0"/>
          <w:lang w:eastAsia="sv-SE"/>
        </w:rPr>
        <w:softHyphen/>
        <w:t xml:space="preserve">syn till antalet anställda. </w:t>
      </w:r>
    </w:p>
    <w:p w:rsidR="00AA5D77" w:rsidRPr="006C40C1" w:rsidRDefault="00AA5D77">
      <w:pPr>
        <w:pStyle w:val="Normaltindrag"/>
        <w:rPr>
          <w:snapToGrid w:val="0"/>
          <w:lang w:eastAsia="sv-SE"/>
        </w:rPr>
      </w:pPr>
      <w:r w:rsidRPr="006C40C1">
        <w:t>Motionärerna räknar med att aktiva åtgärder av detta slag ska kunna min</w:t>
      </w:r>
      <w:r w:rsidRPr="006C40C1">
        <w:t>s</w:t>
      </w:r>
      <w:r w:rsidRPr="006C40C1">
        <w:t>ka utgifterna för sjukpenning och förtidspensioner under de båda närmaste åren med 5,9 respektive 11,7 milja</w:t>
      </w:r>
      <w:r w:rsidRPr="006C40C1">
        <w:t>r</w:t>
      </w:r>
      <w:r w:rsidRPr="006C40C1">
        <w:t>der kronor.</w:t>
      </w:r>
    </w:p>
    <w:p w:rsidR="00AA5D77" w:rsidRPr="006C40C1" w:rsidRDefault="00AA5D77">
      <w:pPr>
        <w:pStyle w:val="Normaltindrag"/>
      </w:pPr>
      <w:r w:rsidRPr="006C40C1">
        <w:t xml:space="preserve">De i motionen föreslagna skattesänkningarna och nya utgiftsåtagandena förutsätts bli finansierade genom besparingar i förvaltningsanslagen på bl.a. utgiftsområdena 1 </w:t>
      </w:r>
      <w:r w:rsidRPr="006C40C1">
        <w:rPr>
          <w:i/>
        </w:rPr>
        <w:t>Rikets styrelse</w:t>
      </w:r>
      <w:r w:rsidRPr="006C40C1">
        <w:t xml:space="preserve"> och 2 </w:t>
      </w:r>
      <w:r w:rsidRPr="006C40C1">
        <w:rPr>
          <w:i/>
        </w:rPr>
        <w:t>Samhällsekonomi och finansförval</w:t>
      </w:r>
      <w:r w:rsidRPr="006C40C1">
        <w:rPr>
          <w:i/>
        </w:rPr>
        <w:t>t</w:t>
      </w:r>
      <w:r w:rsidRPr="006C40C1">
        <w:rPr>
          <w:i/>
        </w:rPr>
        <w:t>ning</w:t>
      </w:r>
      <w:r w:rsidRPr="006C40C1">
        <w:t>. Centerpartiet motsätter sig också att medel anvisas till investeringsb</w:t>
      </w:r>
      <w:r w:rsidRPr="006C40C1">
        <w:t>i</w:t>
      </w:r>
      <w:r w:rsidRPr="006C40C1">
        <w:t>drag till byggande av hyresbostäder. Likaså väntas partiets satsning på reh</w:t>
      </w:r>
      <w:r w:rsidRPr="006C40C1">
        <w:t>a</w:t>
      </w:r>
      <w:r w:rsidRPr="006C40C1">
        <w:t>bilitering bidra till finansieringen genom minskad belastning på utgifterna för sjukpenning. Dessa utgifter liksom utgifterna för föräldraförsäkringen ko</w:t>
      </w:r>
      <w:r w:rsidRPr="006C40C1">
        <w:t>m</w:t>
      </w:r>
      <w:r w:rsidRPr="006C40C1">
        <w:t>mer också att minska till följd av förslaget att den sjukpenninggrundande inkomsten (SGI) ska beräknas på de försäkrades historiska inkomst. De för</w:t>
      </w:r>
      <w:r w:rsidRPr="006C40C1">
        <w:t>e</w:t>
      </w:r>
      <w:r w:rsidRPr="006C40C1">
        <w:t>sl</w:t>
      </w:r>
      <w:r w:rsidRPr="006C40C1">
        <w:t>agna skattesänkningarna samt höjningen av garantinivån i föräldraförsä</w:t>
      </w:r>
      <w:r w:rsidRPr="006C40C1">
        <w:t>k</w:t>
      </w:r>
      <w:r w:rsidRPr="006C40C1">
        <w:t>ringen höjer barnfamiljernas inkomster, vilket väntas minska behovet av bostad</w:t>
      </w:r>
      <w:r w:rsidRPr="006C40C1">
        <w:t>s</w:t>
      </w:r>
      <w:r w:rsidRPr="006C40C1">
        <w:t>tillägg.</w:t>
      </w:r>
    </w:p>
    <w:p w:rsidR="00AA5D77" w:rsidRPr="006C40C1" w:rsidRDefault="00AA5D77">
      <w:pPr>
        <w:pStyle w:val="Normaltindrag"/>
        <w:rPr>
          <w:snapToGrid w:val="0"/>
        </w:rPr>
      </w:pPr>
      <w:r w:rsidRPr="006C40C1">
        <w:rPr>
          <w:snapToGrid w:val="0"/>
        </w:rPr>
        <w:t>Centerpartiet räknar med att under de båda kommande åren kunna sälja statlig verksamhet för 30 respektive 50 miljarder kronor mer än regeringen planerat. Försäljningen bör under de kommande åren inriktas på det statliga skogsinnehavet samt på företag som inte är särskilt konjunkturkänsliga, s</w:t>
      </w:r>
      <w:r w:rsidRPr="006C40C1">
        <w:rPr>
          <w:snapToGrid w:val="0"/>
        </w:rPr>
        <w:t>å</w:t>
      </w:r>
      <w:r w:rsidRPr="006C40C1">
        <w:rPr>
          <w:snapToGrid w:val="0"/>
        </w:rPr>
        <w:t>som AB Vin och Sprit.</w:t>
      </w:r>
    </w:p>
    <w:p w:rsidR="00AA5D77" w:rsidRPr="006C40C1" w:rsidRDefault="00AA5D77">
      <w:r w:rsidRPr="006C40C1">
        <w:t>Med ledning av uppgifter i motionen kan Centerpartiets finansiella sparande sammanfattas på följande sätt.</w:t>
      </w:r>
    </w:p>
    <w:p w:rsidR="00AA5D77" w:rsidRPr="006C40C1" w:rsidRDefault="00AA5D77">
      <w:pPr>
        <w:keepNext/>
        <w:spacing w:before="360" w:line="170" w:lineRule="exact"/>
        <w:rPr>
          <w:b/>
          <w:sz w:val="17"/>
        </w:rPr>
      </w:pPr>
      <w:bookmarkStart w:id="333" w:name="_Toc9410450"/>
      <w:bookmarkStart w:id="334" w:name="_Toc9414650"/>
      <w:bookmarkStart w:id="335" w:name="_Toc10031660"/>
      <w:bookmarkStart w:id="336" w:name="_Toc10262933"/>
      <w:bookmarkStart w:id="337" w:name="_Toc10278708"/>
      <w:bookmarkStart w:id="338" w:name="_Toc10341285"/>
      <w:bookmarkStart w:id="339" w:name="_Toc10858611"/>
      <w:bookmarkStart w:id="340" w:name="_Toc10877632"/>
      <w:bookmarkStart w:id="341" w:name="_Toc25304179"/>
      <w:r w:rsidRPr="006C40C1">
        <w:rPr>
          <w:b/>
          <w:sz w:val="17"/>
        </w:rPr>
        <w:t>Tabell 24.  Centerpartiets finansiella sparande i offentlig sektor 2003 och 2004</w:t>
      </w:r>
      <w:bookmarkEnd w:id="333"/>
      <w:bookmarkEnd w:id="334"/>
      <w:bookmarkEnd w:id="335"/>
      <w:bookmarkEnd w:id="336"/>
      <w:bookmarkEnd w:id="337"/>
      <w:bookmarkEnd w:id="338"/>
      <w:bookmarkEnd w:id="339"/>
      <w:bookmarkEnd w:id="340"/>
      <w:bookmarkEnd w:id="341"/>
    </w:p>
    <w:p w:rsidR="00AA5D77" w:rsidRPr="006C40C1" w:rsidRDefault="00AA5D77">
      <w:pPr>
        <w:pStyle w:val="TabellfrklaringFiU20"/>
        <w:keepLines w:val="0"/>
      </w:pPr>
      <w:r w:rsidRPr="006C40C1">
        <w:t>Miljarder kronor</w:t>
      </w:r>
    </w:p>
    <w:p w:rsidR="00AA5D77" w:rsidRPr="006C40C1" w:rsidRDefault="006C40C1">
      <w:pPr>
        <w:pStyle w:val="Normaltindrag"/>
        <w:keepNext/>
        <w:spacing w:line="240" w:lineRule="auto"/>
        <w:ind w:firstLine="0"/>
      </w:pPr>
      <w:r w:rsidRPr="006C40C1">
        <w:rPr>
          <w:b/>
          <w:noProof/>
        </w:rPr>
        <w:drawing>
          <wp:inline distT="0" distB="0" distL="0" distR="0">
            <wp:extent cx="3739515" cy="137160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739515" cy="1371600"/>
                    </a:xfrm>
                    <a:prstGeom prst="rect">
                      <a:avLst/>
                    </a:prstGeom>
                    <a:noFill/>
                    <a:ln>
                      <a:noFill/>
                    </a:ln>
                  </pic:spPr>
                </pic:pic>
              </a:graphicData>
            </a:graphic>
          </wp:inline>
        </w:drawing>
      </w:r>
    </w:p>
    <w:p w:rsidR="00AA5D77" w:rsidRPr="006C40C1" w:rsidRDefault="00AA5D77">
      <w:pPr>
        <w:pStyle w:val="Normaltindrag"/>
        <w:spacing w:line="40" w:lineRule="exact"/>
        <w:ind w:firstLine="0"/>
      </w:pPr>
    </w:p>
    <w:p w:rsidR="00AA5D77" w:rsidRPr="006C40C1" w:rsidRDefault="00AA5D77">
      <w:pPr>
        <w:spacing w:before="235"/>
      </w:pPr>
      <w:r w:rsidRPr="006C40C1">
        <w:t>Centerpartiets förslag till ändrad inkomstbeskattning får till följd att komm</w:t>
      </w:r>
      <w:r w:rsidRPr="006C40C1">
        <w:t>u</w:t>
      </w:r>
      <w:r w:rsidRPr="006C40C1">
        <w:t>nernas skatteunderlag ökar, vilket i enlighet med finansieringsprincipen minskar behovet av kompenserande statsbidrag. I Centerpartiets budgetalte</w:t>
      </w:r>
      <w:r w:rsidRPr="006C40C1">
        <w:t>r</w:t>
      </w:r>
      <w:r w:rsidRPr="006C40C1">
        <w:t>nativ är den största enskilda besparingsposten överföringarna till kommune</w:t>
      </w:r>
      <w:r w:rsidRPr="006C40C1">
        <w:t>r</w:t>
      </w:r>
      <w:r w:rsidRPr="006C40C1">
        <w:t>na. Besparingarna på detta utgiftsområde uppgår till närmare 20 miljarder kronor och är en av förklaringarna till partiets lägre nivå på utgiftstaket för staten.</w:t>
      </w:r>
    </w:p>
    <w:p w:rsidR="00AA5D77" w:rsidRPr="006C40C1" w:rsidRDefault="00AA5D77">
      <w:pPr>
        <w:keepNext/>
        <w:spacing w:before="360" w:line="170" w:lineRule="exact"/>
        <w:rPr>
          <w:b/>
          <w:sz w:val="17"/>
        </w:rPr>
      </w:pPr>
      <w:bookmarkStart w:id="342" w:name="_Toc9410451"/>
      <w:bookmarkStart w:id="343" w:name="_Toc9414651"/>
      <w:bookmarkStart w:id="344" w:name="_Toc10031661"/>
      <w:bookmarkStart w:id="345" w:name="_Toc10262934"/>
      <w:bookmarkStart w:id="346" w:name="_Toc10278709"/>
      <w:bookmarkStart w:id="347" w:name="_Toc10341286"/>
      <w:bookmarkStart w:id="348" w:name="_Toc10858612"/>
      <w:bookmarkStart w:id="349" w:name="_Toc10877633"/>
      <w:bookmarkStart w:id="350" w:name="_Toc25304180"/>
      <w:r w:rsidRPr="006C40C1">
        <w:rPr>
          <w:b/>
          <w:sz w:val="17"/>
        </w:rPr>
        <w:t>Tabell 25.  Centerpartiets utgiftstak för staten 2003 och 2004</w:t>
      </w:r>
      <w:bookmarkEnd w:id="342"/>
      <w:bookmarkEnd w:id="343"/>
      <w:bookmarkEnd w:id="344"/>
      <w:bookmarkEnd w:id="345"/>
      <w:bookmarkEnd w:id="346"/>
      <w:bookmarkEnd w:id="347"/>
      <w:bookmarkEnd w:id="348"/>
      <w:bookmarkEnd w:id="349"/>
      <w:bookmarkEnd w:id="350"/>
    </w:p>
    <w:p w:rsidR="00AA5D77" w:rsidRPr="006C40C1" w:rsidRDefault="00AA5D77">
      <w:pPr>
        <w:pStyle w:val="TabellfrklaringFiU20"/>
        <w:keepLines w:val="0"/>
      </w:pPr>
      <w:r w:rsidRPr="006C40C1">
        <w:t>Miljarder kronor</w:t>
      </w:r>
    </w:p>
    <w:p w:rsidR="00AA5D77" w:rsidRPr="006C40C1" w:rsidRDefault="006C40C1">
      <w:pPr>
        <w:pStyle w:val="TabellfrklaringFiU20"/>
        <w:keepLines w:val="0"/>
      </w:pPr>
      <w:r w:rsidRPr="006C40C1">
        <w:rPr>
          <w:noProof/>
        </w:rPr>
        <w:drawing>
          <wp:inline distT="0" distB="0" distL="0" distR="0">
            <wp:extent cx="3739515" cy="783590"/>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739515" cy="783590"/>
                    </a:xfrm>
                    <a:prstGeom prst="rect">
                      <a:avLst/>
                    </a:prstGeom>
                    <a:noFill/>
                    <a:ln>
                      <a:noFill/>
                    </a:ln>
                  </pic:spPr>
                </pic:pic>
              </a:graphicData>
            </a:graphic>
          </wp:inline>
        </w:drawing>
      </w:r>
    </w:p>
    <w:p w:rsidR="00AA5D77" w:rsidRPr="006C40C1" w:rsidRDefault="00AA5D77">
      <w:pPr>
        <w:pStyle w:val="TabellfrklaringFiU20"/>
        <w:keepNext w:val="0"/>
        <w:keepLines w:val="0"/>
        <w:spacing w:before="0" w:after="0" w:line="40" w:lineRule="exact"/>
      </w:pPr>
    </w:p>
    <w:p w:rsidR="00AA5D77" w:rsidRPr="006C40C1" w:rsidRDefault="00AA5D77">
      <w:pPr>
        <w:spacing w:before="240"/>
      </w:pPr>
      <w:r w:rsidRPr="006C40C1">
        <w:t>Centerpartiets förslag till utgiftstak för den offentliga sektorn skiljer sig från regeringens på följande sätt.</w:t>
      </w:r>
    </w:p>
    <w:p w:rsidR="00AA5D77" w:rsidRPr="006C40C1" w:rsidRDefault="00AA5D77">
      <w:pPr>
        <w:keepNext/>
        <w:spacing w:before="360" w:line="170" w:lineRule="exact"/>
        <w:rPr>
          <w:b/>
          <w:sz w:val="17"/>
        </w:rPr>
      </w:pPr>
      <w:bookmarkStart w:id="351" w:name="_Toc25304181"/>
      <w:r w:rsidRPr="006C40C1">
        <w:rPr>
          <w:b/>
          <w:sz w:val="17"/>
        </w:rPr>
        <w:t>Tabell 26.  Centerpartiets utgiftstak för offentlig sektor 2003 och 2004</w:t>
      </w:r>
      <w:bookmarkEnd w:id="351"/>
    </w:p>
    <w:p w:rsidR="00AA5D77" w:rsidRPr="006C40C1" w:rsidRDefault="00AA5D77">
      <w:pPr>
        <w:pStyle w:val="TabellfrklaringFiU20"/>
        <w:keepLines w:val="0"/>
      </w:pPr>
      <w:r w:rsidRPr="006C40C1">
        <w:t>Miljarder kronor</w:t>
      </w:r>
    </w:p>
    <w:p w:rsidR="00AA5D77" w:rsidRPr="006C40C1" w:rsidRDefault="006C40C1">
      <w:pPr>
        <w:keepNext/>
        <w:spacing w:before="0" w:line="240" w:lineRule="auto"/>
      </w:pPr>
      <w:r w:rsidRPr="006C40C1">
        <w:rPr>
          <w:noProof/>
        </w:rPr>
        <w:drawing>
          <wp:inline distT="0" distB="0" distL="0" distR="0">
            <wp:extent cx="3733800" cy="952500"/>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rsidR="00AA5D77" w:rsidRPr="006C40C1" w:rsidRDefault="00AA5D77">
      <w:pPr>
        <w:pStyle w:val="Normaltindrag"/>
        <w:spacing w:line="40" w:lineRule="exact"/>
        <w:ind w:firstLine="0"/>
      </w:pPr>
    </w:p>
    <w:p w:rsidR="00AA5D77" w:rsidRPr="006C40C1" w:rsidRDefault="00AA5D77">
      <w:pPr>
        <w:pStyle w:val="Normaltindrag"/>
      </w:pPr>
      <w:bookmarkStart w:id="352" w:name="_Toc529669174"/>
      <w:bookmarkStart w:id="353" w:name="_Toc10278713"/>
      <w:bookmarkStart w:id="354" w:name="_Toc10341290"/>
      <w:bookmarkStart w:id="355" w:name="_Toc10877637"/>
    </w:p>
    <w:p w:rsidR="00AA5D77" w:rsidRPr="006C40C1" w:rsidRDefault="00AA5D77">
      <w:pPr>
        <w:pStyle w:val="Rubrik3"/>
        <w:rPr>
          <w:noProof w:val="0"/>
        </w:rPr>
      </w:pPr>
      <w:bookmarkStart w:id="356" w:name="_Toc25304182"/>
      <w:bookmarkStart w:id="357" w:name="_Toc25408030"/>
      <w:bookmarkStart w:id="358" w:name="_Toc26191457"/>
      <w:r w:rsidRPr="006C40C1">
        <w:rPr>
          <w:noProof w:val="0"/>
        </w:rPr>
        <w:t>2.4.3 Finansutskottets sammanfattande bedömning av budgetförslagen</w:t>
      </w:r>
      <w:bookmarkEnd w:id="353"/>
      <w:bookmarkEnd w:id="354"/>
      <w:bookmarkEnd w:id="355"/>
      <w:bookmarkEnd w:id="356"/>
      <w:bookmarkEnd w:id="357"/>
      <w:bookmarkEnd w:id="358"/>
    </w:p>
    <w:p w:rsidR="00AA5D77" w:rsidRPr="006C40C1" w:rsidRDefault="00AA5D77">
      <w:pPr>
        <w:pStyle w:val="Utskottsfrslagikorthet-Rubrik"/>
        <w:rPr>
          <w:noProof w:val="0"/>
        </w:rPr>
      </w:pPr>
      <w:r w:rsidRPr="006C40C1">
        <w:rPr>
          <w:noProof w:val="0"/>
        </w:rPr>
        <w:t>Utskottets förslag i korthet</w:t>
      </w:r>
    </w:p>
    <w:p w:rsidR="00AA5D77" w:rsidRPr="006C40C1" w:rsidRDefault="00AA5D77">
      <w:pPr>
        <w:pStyle w:val="Utskottsfrslagikorthet-Text"/>
      </w:pPr>
      <w:r w:rsidRPr="006C40C1">
        <w:t>Utskottet tillstyrker regeringens förslag till inriktning av budgetp</w:t>
      </w:r>
      <w:r w:rsidRPr="006C40C1">
        <w:t>o</w:t>
      </w:r>
      <w:r w:rsidRPr="006C40C1">
        <w:t>litiken med de kompletteringar som föreslås i motion Fi230 (s, v, mp) och avstyrker de alternativa förslag som framförs av M</w:t>
      </w:r>
      <w:r w:rsidRPr="006C40C1">
        <w:t>o</w:t>
      </w:r>
      <w:r w:rsidRPr="006C40C1">
        <w:t>derata samlingspartiet, Folkpartiet liberalerna, Kristdemokraterna och Centerpartiet.</w:t>
      </w:r>
    </w:p>
    <w:p w:rsidR="00AA5D77" w:rsidRPr="006C40C1" w:rsidRDefault="00AA5D77">
      <w:pPr>
        <w:pStyle w:val="Utskottsfrslagikorthet-Text"/>
      </w:pPr>
      <w:r w:rsidRPr="006C40C1">
        <w:t xml:space="preserve">  De formella beslut som direkt hör ihop med detta ställningstaga</w:t>
      </w:r>
      <w:r w:rsidRPr="006C40C1">
        <w:t>n</w:t>
      </w:r>
      <w:r w:rsidRPr="006C40C1">
        <w:t>de behandlar utskottet i efterföljande avsnitt 2.5, 2.6 samt 2.8–2.10.</w:t>
      </w:r>
    </w:p>
    <w:p w:rsidR="00AA5D77" w:rsidRPr="006C40C1" w:rsidRDefault="00AA5D77">
      <w:pPr>
        <w:pStyle w:val="Utskottsfrslagikorthet-Text"/>
      </w:pPr>
      <w:r w:rsidRPr="006C40C1">
        <w:t>Jämför reservationerna 8 (m), 9 (fp), 10 (kd) och 11 (c).</w:t>
      </w:r>
    </w:p>
    <w:p w:rsidR="00AA5D77" w:rsidRPr="006C40C1" w:rsidRDefault="00AA5D77">
      <w:pPr>
        <w:spacing w:before="312"/>
      </w:pPr>
      <w:r w:rsidRPr="006C40C1">
        <w:t>Under de senaste två mandatperioderna har de offentliga finanserna förbät</w:t>
      </w:r>
      <w:r w:rsidRPr="006C40C1">
        <w:t>t</w:t>
      </w:r>
      <w:r w:rsidRPr="006C40C1">
        <w:t>rats dramatiskt. Krisen i början av 1990-talet ledde till ett kraftigt fall i den offentliga sektorns finansiella sparande med ett snabbt växande underskott som kulminerade 1993 då det motsvarade 11,9 % av BNP. Efter fem år med omfattande besparingsprogram hade de offentliga finanserna återhämtat sig så mycket att de åter uppvisade överskott. Överskotten växte snabbt och motsv</w:t>
      </w:r>
      <w:r w:rsidRPr="006C40C1">
        <w:t>a</w:t>
      </w:r>
      <w:r w:rsidRPr="006C40C1">
        <w:t>rade förra året t.o.m. nästan 5 % av BNP.</w:t>
      </w:r>
    </w:p>
    <w:p w:rsidR="00AA5D77" w:rsidRPr="006C40C1" w:rsidRDefault="00AA5D77">
      <w:pPr>
        <w:pStyle w:val="Normaltindrag"/>
      </w:pPr>
      <w:r w:rsidRPr="006C40C1">
        <w:t>Med de tidigare stora underskotten ökade också skuldbördan snabbt. Den offentliga sektorn</w:t>
      </w:r>
      <w:r w:rsidRPr="006C40C1">
        <w:t>s bruttoskuld hade i slutet av 1996 vuxit till 76 % av BNP, vilket var 16 procentenheter mer än skuldkriteriet i Maastrichtfördraget för</w:t>
      </w:r>
      <w:r w:rsidRPr="006C40C1">
        <w:t>e</w:t>
      </w:r>
      <w:r w:rsidRPr="006C40C1">
        <w:t>skriver. Därefter skedde en vändning, och man räknar nu med att bruttosku</w:t>
      </w:r>
      <w:r w:rsidRPr="006C40C1">
        <w:t>l</w:t>
      </w:r>
      <w:r w:rsidRPr="006C40C1">
        <w:t>den vid utgången av 2004 ska ha minskat till 50 % av BNP.</w:t>
      </w:r>
    </w:p>
    <w:p w:rsidR="00AA5D77" w:rsidRPr="006C40C1" w:rsidRDefault="00AA5D77">
      <w:pPr>
        <w:pStyle w:val="Normaltindrag"/>
      </w:pPr>
      <w:r w:rsidRPr="006C40C1">
        <w:t>Den växande skuldbördan urholkade också snabbt den offentliga sektorns förmögenhetsställning. Skulderna växte sig större än de finansiella tillgånga</w:t>
      </w:r>
      <w:r w:rsidRPr="006C40C1">
        <w:t>r</w:t>
      </w:r>
      <w:r w:rsidRPr="006C40C1">
        <w:t>na inklusive AP-fonden, och denna nettoskuld ökade till 467 miljarder kronor 1996. Förra året hade emellertid nettoskulden avvecklats, och vid utgången av 2004 beräknas den offentliga sektorns samlade nettoförmögenhet uppgå till ca 120 miljarder kr</w:t>
      </w:r>
      <w:r w:rsidRPr="006C40C1">
        <w:t>o</w:t>
      </w:r>
      <w:r w:rsidRPr="006C40C1">
        <w:t>nor.</w:t>
      </w:r>
    </w:p>
    <w:p w:rsidR="00AA5D77" w:rsidRPr="006C40C1" w:rsidRDefault="00AA5D77">
      <w:pPr>
        <w:pStyle w:val="Normaltindrag"/>
      </w:pPr>
      <w:r w:rsidRPr="006C40C1">
        <w:t>Statsskulden – mätt i nominella termer – nådde sin kulmen i slutet av 1998 då den uppgick till 1 445 miljarder kronor. Den har därefter minskat och beräknas vid årets slut uppgå till 1 125 milja</w:t>
      </w:r>
      <w:r w:rsidRPr="006C40C1">
        <w:t>r</w:t>
      </w:r>
      <w:r w:rsidRPr="006C40C1">
        <w:t>der kronor.</w:t>
      </w:r>
    </w:p>
    <w:p w:rsidR="00AA5D77" w:rsidRPr="006C40C1" w:rsidRDefault="00AA5D77">
      <w:pPr>
        <w:pStyle w:val="Normaltindrag"/>
      </w:pPr>
      <w:r w:rsidRPr="006C40C1">
        <w:t>Den snabba förbättringen förklaras till en del av en gynnsam ekonomisk utveckling. Helt avgörande har emellertid varit den förda budgetpolitiken och de omfattande saneringsprogram som genomfördes i mitten av 1990-talet, saneringsprogram som därefter ersatts av en strikt tillämpad målstyrning med fleråriga mål i form av utgiftstak för staten och överskottsmål för de offentl</w:t>
      </w:r>
      <w:r w:rsidRPr="006C40C1">
        <w:t>i</w:t>
      </w:r>
      <w:r w:rsidRPr="006C40C1">
        <w:t>ga finanserna.</w:t>
      </w:r>
    </w:p>
    <w:p w:rsidR="00AA5D77" w:rsidRPr="006C40C1" w:rsidRDefault="00AA5D77">
      <w:pPr>
        <w:pStyle w:val="Normaltindrag"/>
      </w:pPr>
      <w:r w:rsidRPr="006C40C1">
        <w:t>Fastställda utgiftstak har hittills inte bara hållits utan har fram t.o.m. 2001 också underskridits med sammanlagt 38 miljarder kronor. Under samma period har samtliga uppställda saldomål uppnåtts med bred marginal, så bred att de fastlagda delmålen under femårsperioden 1997–2001 överträffats med sammanlagt 167 miljarder kr</w:t>
      </w:r>
      <w:r w:rsidRPr="006C40C1">
        <w:t>o</w:t>
      </w:r>
      <w:r w:rsidRPr="006C40C1">
        <w:t>nor.</w:t>
      </w:r>
    </w:p>
    <w:p w:rsidR="00AA5D77" w:rsidRPr="006C40C1" w:rsidRDefault="00AA5D77">
      <w:pPr>
        <w:pStyle w:val="Normaltindrag"/>
      </w:pPr>
      <w:r w:rsidRPr="006C40C1">
        <w:t>Denna form av målstyrning har kommit att bli ett viktigt inslag i budge</w:t>
      </w:r>
      <w:r w:rsidRPr="006C40C1">
        <w:t>t</w:t>
      </w:r>
      <w:r w:rsidRPr="006C40C1">
        <w:t>politiken. Inte minst utgiftstaken har visat sig verkningsfulla. Genom att tre år i förväg bestämma omfattningen på de statliga utgifterna och därefter hålla fast vid detta åtagande blir budgetpolitiken långsiktig och mer förutsägbar. Med en restriktion som utgiftstaket kan exempelvis inte tillfälligt högre i</w:t>
      </w:r>
      <w:r w:rsidRPr="006C40C1">
        <w:t>n</w:t>
      </w:r>
      <w:r w:rsidRPr="006C40C1">
        <w:t xml:space="preserve">komster användas för att finansiera varaktigt högre utgifter, och varje nytt utgiftsåtagande måste finansieras genom omprioriteringar inom utgiftstakets ram. Regeringen är enligt budgetlagen dessutom </w:t>
      </w:r>
      <w:r w:rsidRPr="006C40C1">
        <w:t>skyldig att vidta åtgärder om utgiftstaken hotar att överskridas, och återkommande har regeringen också själv genomfört eller föreslagit riksdagen olika besparingar för att förhindra detta. Med en sådan inriktning främjas trovärdigheten i den förda polit</w:t>
      </w:r>
      <w:r w:rsidRPr="006C40C1">
        <w:t>i</w:t>
      </w:r>
      <w:r w:rsidRPr="006C40C1">
        <w:t>ken.</w:t>
      </w:r>
    </w:p>
    <w:p w:rsidR="00AA5D77" w:rsidRPr="006C40C1" w:rsidRDefault="00AA5D77">
      <w:pPr>
        <w:pStyle w:val="Normaltindrag"/>
      </w:pPr>
      <w:r w:rsidRPr="006C40C1">
        <w:t>Omständigheter som dessa har bidragit till att de offentliga finanserna nu vuxit sig så starka att vi i motsats till många andra länder förmått möta den senaste internationella konjunkturnedgången utan ohållbara underskott. Våra marginaler till stabili</w:t>
      </w:r>
      <w:r w:rsidRPr="006C40C1">
        <w:t>tets- och tillväxtpaktens krav på att underskotten inte får överstiga 3 % av BNP är goda.</w:t>
      </w:r>
    </w:p>
    <w:p w:rsidR="00AA5D77" w:rsidRPr="006C40C1" w:rsidRDefault="00AA5D77">
      <w:r w:rsidRPr="006C40C1">
        <w:t>För de kommande åren räknar regeringen med att såväl den konsoliderade bruttoskulden som statsskulden inte längre ska minska i absoluta tal, men väl mätta som andel av BNP.</w:t>
      </w:r>
    </w:p>
    <w:p w:rsidR="00AA5D77" w:rsidRPr="006C40C1" w:rsidRDefault="00AA5D77">
      <w:pPr>
        <w:pStyle w:val="Normaltindrag"/>
      </w:pPr>
      <w:r w:rsidRPr="006C40C1">
        <w:t>Regeringen bedömer i budgetpropositionen att det finansiella sparandet för 2002 kommer att bli 1,7 % och för de kommande åren något lägre. Det är 0,3 procentenheter lägre än målet för 2002. Den något svagare utvecklingen är dock förenlig med det långsiktiga målet om ett överskott på i genomsnitt 2 % av BNP under en konjunkturc</w:t>
      </w:r>
      <w:r w:rsidRPr="006C40C1">
        <w:t>y</w:t>
      </w:r>
      <w:r w:rsidRPr="006C40C1">
        <w:t>kel.</w:t>
      </w:r>
    </w:p>
    <w:p w:rsidR="00AA5D77" w:rsidRPr="006C40C1" w:rsidRDefault="00AA5D77">
      <w:r w:rsidRPr="006C40C1">
        <w:t>Medan de offentliga finanserna i flera EU-länder utvecklas på ett oroväcka</w:t>
      </w:r>
      <w:r w:rsidRPr="006C40C1">
        <w:t>n</w:t>
      </w:r>
      <w:r w:rsidRPr="006C40C1">
        <w:t>de sätt har vi i Sverige överskott i de offentliga finanserna. Samtidigt gäller att de offentliga finanserna är starkt konjunkturkänsliga, vilket bl.a. kommer till uttryck i de alternativa utvecklingsscenarier som redovisas i vårpropos</w:t>
      </w:r>
      <w:r w:rsidRPr="006C40C1">
        <w:t>i</w:t>
      </w:r>
      <w:r w:rsidRPr="006C40C1">
        <w:t>tionen.</w:t>
      </w:r>
    </w:p>
    <w:p w:rsidR="00AA5D77" w:rsidRPr="006C40C1" w:rsidRDefault="00AA5D77">
      <w:pPr>
        <w:pStyle w:val="Normaltindrag"/>
      </w:pPr>
      <w:r w:rsidRPr="006C40C1">
        <w:t>I ett lågtillväxtalternativ har regeringen antagit att den internationella åte</w:t>
      </w:r>
      <w:r w:rsidRPr="006C40C1">
        <w:t>r</w:t>
      </w:r>
      <w:r w:rsidRPr="006C40C1">
        <w:t>hämtningen bromsas upp i år för att helt stanna av nästa år. Hushållens ko</w:t>
      </w:r>
      <w:r w:rsidRPr="006C40C1">
        <w:t>n</w:t>
      </w:r>
      <w:r w:rsidRPr="006C40C1">
        <w:t>sumtion dämpas till följd av en sämre utveckling på arbetsmarknaden och en sämre löneutveckling. Lägre tillväxt och löneutveckling gör att skattebasen utvecklas svagare och att utgifterna för arbetslöshetsersättning ökar. I fö</w:t>
      </w:r>
      <w:r w:rsidRPr="006C40C1">
        <w:t>r</w:t>
      </w:r>
      <w:r w:rsidRPr="006C40C1">
        <w:t>längningen väntas överskottet i det finansiella sparandet i den offentliga se</w:t>
      </w:r>
      <w:r w:rsidRPr="006C40C1">
        <w:t>k</w:t>
      </w:r>
      <w:r w:rsidRPr="006C40C1">
        <w:t>torn sjunka ned mot 0,3 % av BNP.</w:t>
      </w:r>
    </w:p>
    <w:bookmarkEnd w:id="352"/>
    <w:p w:rsidR="00AA5D77" w:rsidRPr="006C40C1" w:rsidRDefault="00AA5D77">
      <w:pPr>
        <w:pStyle w:val="Normaltindrag"/>
      </w:pPr>
      <w:r w:rsidRPr="006C40C1">
        <w:t>Regeringens alternativa tillväxtscenario visar alltså att även i lågtillväxta</w:t>
      </w:r>
      <w:r w:rsidRPr="006C40C1">
        <w:t>l</w:t>
      </w:r>
      <w:r w:rsidRPr="006C40C1">
        <w:t>ternativet kan de automatiska stabilisatorerna tillåtas verka fullt ut utan att ohållbara underskott uppkommer. Samtidigt är emellertid utrymmet för mer långtgående stimulansåtgärder mycket begränsat om förtroendet för överskottsmålet ska kunna up</w:t>
      </w:r>
      <w:r w:rsidRPr="006C40C1">
        <w:t>p</w:t>
      </w:r>
      <w:r w:rsidRPr="006C40C1">
        <w:t>rätthållas.</w:t>
      </w:r>
    </w:p>
    <w:p w:rsidR="00AA5D77" w:rsidRPr="006C40C1" w:rsidRDefault="00AA5D77">
      <w:pPr>
        <w:pStyle w:val="Normaltindrag"/>
      </w:pPr>
      <w:r w:rsidRPr="006C40C1">
        <w:t>Det är därför nödvändigt att budgetpolitiken utformas på ett sådant sätt att långsiktigt stabila statsfinanser vidmakthålls. Sunda offentliga finanser är en förutsättning för en hög och uthållig tillväxt och sysselsät</w:t>
      </w:r>
      <w:r w:rsidRPr="006C40C1">
        <w:t>t</w:t>
      </w:r>
      <w:r w:rsidRPr="006C40C1">
        <w:t>ning.</w:t>
      </w:r>
    </w:p>
    <w:p w:rsidR="00AA5D77" w:rsidRPr="006C40C1" w:rsidRDefault="00AA5D77">
      <w:pPr>
        <w:pStyle w:val="Normaltindrag"/>
      </w:pPr>
      <w:r w:rsidRPr="006C40C1">
        <w:t>Enligt utskottets mening bör synpunkter som dessa bilda utgångspunkt för utskottets prövning av de olika budgetalternativen.</w:t>
      </w:r>
    </w:p>
    <w:p w:rsidR="00AA5D77" w:rsidRPr="006C40C1" w:rsidRDefault="00AA5D77">
      <w:pPr>
        <w:pStyle w:val="Normaltindrag"/>
      </w:pPr>
      <w:r w:rsidRPr="006C40C1">
        <w:t>I budgetpropositionen föreslår regeringen att en teknisk justering ska göras av utgiftstaken. De tre samarbetspartierna har i en gemensam motion – Fi230 (s, v, mp) – föreslagit att regeringens budgetförslag ska kompletteras i vissa avseenden och detta borde föranleda att utgiftstaken för 2003 och 2004 räknas upp med ytterligare 1 miljard kronor. Efter denna anpassning skulle därmed de nya nivåerna på utgiftstaken för 2002–2004 uppgå till 812, 819 respektive 853 miljarder kronor.</w:t>
      </w:r>
    </w:p>
    <w:p w:rsidR="00AA5D77" w:rsidRPr="006C40C1" w:rsidRDefault="00AA5D77">
      <w:pPr>
        <w:pStyle w:val="Normaltindrag"/>
      </w:pPr>
      <w:r w:rsidRPr="006C40C1">
        <w:t>Bakom förslagen i budgetpropositionen och motion Fi230 (s, v, mp) står också Vänsterpartiet och Miljöpartiet de gröna.</w:t>
      </w:r>
    </w:p>
    <w:p w:rsidR="00AA5D77" w:rsidRPr="006C40C1" w:rsidRDefault="00AA5D77">
      <w:pPr>
        <w:pStyle w:val="Normaltindrag"/>
      </w:pPr>
      <w:r w:rsidRPr="006C40C1">
        <w:t>Moderata samlingspartiets förslag till inriktning av budgetpolitiken innebär att nivån på de statliga utgiftstaken för 2003 och 2004 ligger 45 respektive 31 miljarder kronor över regeringens förslag i budgetpropositionen. Att M</w:t>
      </w:r>
      <w:r w:rsidRPr="006C40C1">
        <w:t>o</w:t>
      </w:r>
      <w:r w:rsidRPr="006C40C1">
        <w:t>derata samlingspartiet med sina många förslag till utgiftsbegränsningar ha</w:t>
      </w:r>
      <w:r w:rsidRPr="006C40C1">
        <w:t>m</w:t>
      </w:r>
      <w:r w:rsidRPr="006C40C1">
        <w:t>nar på ett utgiftstak som så kraftigt överstiger regeringens förslag beror h</w:t>
      </w:r>
      <w:r w:rsidRPr="006C40C1">
        <w:t>u</w:t>
      </w:r>
      <w:r w:rsidRPr="006C40C1">
        <w:t>vudsakligen på den avräkning som görs gentemot kommunerna. Moderata samlingspartiet föreslår mycket omfattande skattesänkningar, varav en bet</w:t>
      </w:r>
      <w:r w:rsidRPr="006C40C1">
        <w:t>y</w:t>
      </w:r>
      <w:r w:rsidRPr="006C40C1">
        <w:t>dande del direkt påverkar kommunernas inkomster. I det moderata budgeta</w:t>
      </w:r>
      <w:r w:rsidRPr="006C40C1">
        <w:t>l</w:t>
      </w:r>
      <w:r w:rsidRPr="006C40C1">
        <w:t>ternativet kompenseras kommunerna för detta inkomstbortfall genom höjda statsbidrag, vilket höjer nivån på de statliga utgifterna och därmed ocks</w:t>
      </w:r>
      <w:r w:rsidRPr="006C40C1">
        <w:t>å nivån på det statliga utgiftstaket i motsvarande grad. Nivåhöjningarna slår däremot inte igenom på utgiftstaket för den samlade offentl</w:t>
      </w:r>
      <w:r w:rsidRPr="006C40C1">
        <w:t>i</w:t>
      </w:r>
      <w:r w:rsidRPr="006C40C1">
        <w:t>ga sektorn.</w:t>
      </w:r>
    </w:p>
    <w:p w:rsidR="00AA5D77" w:rsidRPr="006C40C1" w:rsidRDefault="00AA5D77">
      <w:pPr>
        <w:pStyle w:val="Normaltindrag"/>
      </w:pPr>
      <w:r w:rsidRPr="006C40C1">
        <w:t>Även Folkpartiets budgetalternativ innehåller skatteförslag som får effekt på kommunernas inkomster, vilket regleras genom höjda statsbidrag. Dessa förslag är dock inte lika omfattande som Moderata samlingspartiets, och det gör att Folkpartiets nivåer hamnar strax under regeringens fö</w:t>
      </w:r>
      <w:r w:rsidRPr="006C40C1">
        <w:t>r</w:t>
      </w:r>
      <w:r w:rsidRPr="006C40C1">
        <w:t xml:space="preserve">slag. </w:t>
      </w:r>
    </w:p>
    <w:p w:rsidR="00AA5D77" w:rsidRPr="006C40C1" w:rsidRDefault="00AA5D77">
      <w:pPr>
        <w:pStyle w:val="Normaltindrag"/>
      </w:pPr>
      <w:r w:rsidRPr="006C40C1">
        <w:t>Kristdemokraternas utgiftstak är under de båda närmast efterföljande åren 4 respektive 11 miljarder kronor lägre än förslagen i budgetpropositionen, främst beroende på att partiet valt att reglera kommunernas skattebortfall över statsbudgetens inkomstsida. Om Kristdemokraterna i stället hade gjort avrä</w:t>
      </w:r>
      <w:r w:rsidRPr="006C40C1">
        <w:t>k</w:t>
      </w:r>
      <w:r w:rsidRPr="006C40C1">
        <w:t>ningen på samma sätt som övriga partier hade nivåerna på partiets utgiftstak legat 34 respektive 38 miljarder kronor över regeringens förslag.</w:t>
      </w:r>
    </w:p>
    <w:p w:rsidR="00AA5D77" w:rsidRPr="006C40C1" w:rsidRDefault="00AA5D77">
      <w:pPr>
        <w:pStyle w:val="Normaltindrag"/>
      </w:pPr>
      <w:r w:rsidRPr="006C40C1">
        <w:t>Centerpartiets förslag till inkomstskattereform innebär bl.a. att grunda</w:t>
      </w:r>
      <w:r w:rsidRPr="006C40C1">
        <w:t>v</w:t>
      </w:r>
      <w:r w:rsidRPr="006C40C1">
        <w:t>draget vid den kommunala inkomstbeskattningen slopas helt. Detta breddar kommunernas skatteunderlag, och effekten härav neutraliseras genom min</w:t>
      </w:r>
      <w:r w:rsidRPr="006C40C1">
        <w:t>s</w:t>
      </w:r>
      <w:r w:rsidRPr="006C40C1">
        <w:t>kade statsbidrag. Neutraliseringen är en viktig förklaring till det lägre utgift</w:t>
      </w:r>
      <w:r w:rsidRPr="006C40C1">
        <w:t>s</w:t>
      </w:r>
      <w:r w:rsidRPr="006C40C1">
        <w:t>tak som framkommer i Centerpartiets budgetalternativ.</w:t>
      </w:r>
    </w:p>
    <w:p w:rsidR="00AA5D77" w:rsidRPr="006C40C1" w:rsidRDefault="00AA5D77">
      <w:pPr>
        <w:pStyle w:val="Normaltindrag"/>
      </w:pPr>
      <w:r w:rsidRPr="006C40C1">
        <w:t>För utgiftstaken 2003 och 2004 finns det således en skillnad mellan Mod</w:t>
      </w:r>
      <w:r w:rsidRPr="006C40C1">
        <w:t>e</w:t>
      </w:r>
      <w:r w:rsidRPr="006C40C1">
        <w:t>rata sa</w:t>
      </w:r>
      <w:r w:rsidRPr="006C40C1">
        <w:t>m</w:t>
      </w:r>
      <w:r w:rsidRPr="006C40C1">
        <w:t>lingspartiet och Centerpartiet på 79 respektive 68 miljarder kronor.</w:t>
      </w:r>
    </w:p>
    <w:p w:rsidR="00AA5D77" w:rsidRPr="006C40C1" w:rsidRDefault="00AA5D77">
      <w:pPr>
        <w:pStyle w:val="Normaltindrag"/>
      </w:pPr>
      <w:r w:rsidRPr="006C40C1">
        <w:t>De olika alternativen framgår av följande diagram.</w:t>
      </w:r>
    </w:p>
    <w:p w:rsidR="00AA5D77" w:rsidRPr="006C40C1" w:rsidRDefault="00AA5D77">
      <w:pPr>
        <w:keepNext/>
        <w:spacing w:before="360" w:line="170" w:lineRule="exact"/>
        <w:rPr>
          <w:b/>
          <w:sz w:val="17"/>
        </w:rPr>
      </w:pPr>
      <w:bookmarkStart w:id="359" w:name="_Toc9410455"/>
      <w:bookmarkStart w:id="360" w:name="_Toc9414655"/>
      <w:bookmarkStart w:id="361" w:name="_Toc10262939"/>
      <w:bookmarkStart w:id="362" w:name="_Toc10278714"/>
      <w:bookmarkStart w:id="363" w:name="_Toc10341291"/>
      <w:bookmarkStart w:id="364" w:name="_Toc10858617"/>
      <w:bookmarkStart w:id="365" w:name="_Toc10877638"/>
      <w:bookmarkStart w:id="366" w:name="_Toc25304183"/>
      <w:r w:rsidRPr="006C40C1">
        <w:rPr>
          <w:b/>
          <w:sz w:val="17"/>
        </w:rPr>
        <w:t>Diagram 6.  Regeringens och oppositionspartiernas utgiftstak för staten 2002–2004</w:t>
      </w:r>
      <w:bookmarkEnd w:id="359"/>
      <w:bookmarkEnd w:id="360"/>
      <w:bookmarkEnd w:id="361"/>
      <w:bookmarkEnd w:id="362"/>
      <w:bookmarkEnd w:id="363"/>
      <w:bookmarkEnd w:id="364"/>
      <w:bookmarkEnd w:id="365"/>
      <w:bookmarkEnd w:id="366"/>
    </w:p>
    <w:p w:rsidR="00AA5D77" w:rsidRPr="006C40C1" w:rsidRDefault="00AA5D77">
      <w:pPr>
        <w:pStyle w:val="TabellfrklaringFiU20"/>
        <w:keepLines w:val="0"/>
        <w:outlineLvl w:val="0"/>
      </w:pPr>
      <w:r w:rsidRPr="006C40C1">
        <w:t>Miljarder kronor</w:t>
      </w:r>
    </w:p>
    <w:p w:rsidR="00AA5D77" w:rsidRPr="006C40C1" w:rsidRDefault="006C40C1">
      <w:pPr>
        <w:pStyle w:val="Normaltindrag"/>
        <w:keepNext/>
        <w:spacing w:line="240" w:lineRule="auto"/>
        <w:ind w:firstLine="0"/>
      </w:pPr>
      <w:r w:rsidRPr="006C40C1">
        <w:rPr>
          <w:noProof/>
        </w:rPr>
        <w:drawing>
          <wp:inline distT="0" distB="0" distL="0" distR="0">
            <wp:extent cx="3739515" cy="1943100"/>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8">
                      <a:extLst>
                        <a:ext uri="{28A0092B-C50C-407E-A947-70E740481C1C}">
                          <a14:useLocalDpi xmlns:a14="http://schemas.microsoft.com/office/drawing/2010/main" val="0"/>
                        </a:ext>
                      </a:extLst>
                    </a:blip>
                    <a:srcRect t="9221"/>
                    <a:stretch>
                      <a:fillRect/>
                    </a:stretch>
                  </pic:blipFill>
                  <pic:spPr bwMode="auto">
                    <a:xfrm>
                      <a:off x="0" y="0"/>
                      <a:ext cx="3739515" cy="1943100"/>
                    </a:xfrm>
                    <a:prstGeom prst="rect">
                      <a:avLst/>
                    </a:prstGeom>
                    <a:noFill/>
                    <a:ln>
                      <a:noFill/>
                    </a:ln>
                  </pic:spPr>
                </pic:pic>
              </a:graphicData>
            </a:graphic>
          </wp:inline>
        </w:drawing>
      </w:r>
    </w:p>
    <w:p w:rsidR="00AA5D77" w:rsidRPr="006C40C1" w:rsidRDefault="00AA5D77">
      <w:pPr>
        <w:pStyle w:val="Normaltindrag"/>
        <w:spacing w:before="40" w:line="240" w:lineRule="auto"/>
        <w:ind w:firstLine="0"/>
        <w:rPr>
          <w:rStyle w:val="SidhuvudUtskott"/>
          <w:spacing w:val="0"/>
          <w:sz w:val="14"/>
        </w:rPr>
      </w:pPr>
      <w:r w:rsidRPr="006C40C1">
        <w:rPr>
          <w:rStyle w:val="SidhuvudUtskott"/>
          <w:spacing w:val="0"/>
          <w:sz w:val="14"/>
        </w:rPr>
        <w:t>Källa: Finansu</w:t>
      </w:r>
      <w:r w:rsidRPr="006C40C1">
        <w:rPr>
          <w:rStyle w:val="SidhuvudUtskott"/>
          <w:spacing w:val="0"/>
          <w:sz w:val="14"/>
        </w:rPr>
        <w:t>t</w:t>
      </w:r>
      <w:r w:rsidRPr="006C40C1">
        <w:rPr>
          <w:rStyle w:val="SidhuvudUtskott"/>
          <w:spacing w:val="0"/>
          <w:sz w:val="14"/>
        </w:rPr>
        <w:t>skottet</w:t>
      </w:r>
    </w:p>
    <w:p w:rsidR="00AA5D77" w:rsidRPr="006C40C1" w:rsidRDefault="00AA5D77">
      <w:pPr>
        <w:pStyle w:val="Normaltindrag"/>
        <w:spacing w:before="240"/>
        <w:ind w:firstLine="0"/>
      </w:pPr>
      <w:r w:rsidRPr="006C40C1">
        <w:t>En mer korrekt bild av skillnaderna mellan partiernas olika förslag får man om man i stället bedömer vilken inverkan deras förslag har på den offentliga sektorn. Vid en sådan jämförelse elimineras nämligen effekten av olika r</w:t>
      </w:r>
      <w:r w:rsidRPr="006C40C1">
        <w:t>e</w:t>
      </w:r>
      <w:r w:rsidRPr="006C40C1">
        <w:t>gleringar gentemot kommunerna.</w:t>
      </w:r>
    </w:p>
    <w:p w:rsidR="00AA5D77" w:rsidRPr="006C40C1" w:rsidRDefault="00AA5D77">
      <w:pPr>
        <w:keepNext/>
        <w:spacing w:before="360" w:line="170" w:lineRule="exact"/>
        <w:rPr>
          <w:b/>
          <w:sz w:val="17"/>
        </w:rPr>
      </w:pPr>
      <w:bookmarkStart w:id="367" w:name="_Toc25304184"/>
      <w:r w:rsidRPr="006C40C1">
        <w:rPr>
          <w:b/>
          <w:sz w:val="17"/>
        </w:rPr>
        <w:t>Diagram 7.  Regeringens och oppositionspartiernas utgiftstak för offentlig sektor 2002–2004</w:t>
      </w:r>
      <w:bookmarkEnd w:id="367"/>
    </w:p>
    <w:p w:rsidR="00AA5D77" w:rsidRPr="006C40C1" w:rsidRDefault="00AA5D77">
      <w:pPr>
        <w:pStyle w:val="TabellfrklaringFiU20"/>
        <w:keepLines w:val="0"/>
        <w:outlineLvl w:val="0"/>
      </w:pPr>
      <w:r w:rsidRPr="006C40C1">
        <w:t>Miljarder kronor</w:t>
      </w:r>
    </w:p>
    <w:p w:rsidR="00AA5D77" w:rsidRPr="006C40C1" w:rsidRDefault="006C40C1">
      <w:pPr>
        <w:pStyle w:val="Normaltindrag"/>
        <w:keepNext/>
        <w:spacing w:before="40" w:line="240" w:lineRule="auto"/>
        <w:ind w:left="170" w:firstLine="0"/>
      </w:pPr>
      <w:r w:rsidRPr="006C40C1">
        <w:rPr>
          <w:noProof/>
        </w:rPr>
        <w:drawing>
          <wp:inline distT="0" distB="0" distL="0" distR="0">
            <wp:extent cx="3625215" cy="1644015"/>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9">
                      <a:extLst>
                        <a:ext uri="{28A0092B-C50C-407E-A947-70E740481C1C}">
                          <a14:useLocalDpi xmlns:a14="http://schemas.microsoft.com/office/drawing/2010/main" val="0"/>
                        </a:ext>
                      </a:extLst>
                    </a:blip>
                    <a:srcRect l="3076" t="6923" b="13844"/>
                    <a:stretch>
                      <a:fillRect/>
                    </a:stretch>
                  </pic:blipFill>
                  <pic:spPr bwMode="auto">
                    <a:xfrm>
                      <a:off x="0" y="0"/>
                      <a:ext cx="3625215" cy="1644015"/>
                    </a:xfrm>
                    <a:prstGeom prst="rect">
                      <a:avLst/>
                    </a:prstGeom>
                    <a:noFill/>
                    <a:ln>
                      <a:noFill/>
                    </a:ln>
                  </pic:spPr>
                </pic:pic>
              </a:graphicData>
            </a:graphic>
          </wp:inline>
        </w:drawing>
      </w:r>
    </w:p>
    <w:p w:rsidR="00AA5D77" w:rsidRPr="006C40C1" w:rsidRDefault="00AA5D77">
      <w:pPr>
        <w:pStyle w:val="Normaltindrag"/>
        <w:spacing w:before="40" w:line="240" w:lineRule="auto"/>
        <w:ind w:left="170" w:firstLine="0"/>
        <w:rPr>
          <w:rStyle w:val="SidhuvudUtskott"/>
          <w:spacing w:val="0"/>
          <w:sz w:val="14"/>
        </w:rPr>
      </w:pPr>
      <w:r w:rsidRPr="006C40C1">
        <w:rPr>
          <w:rStyle w:val="SidhuvudUtskott"/>
          <w:spacing w:val="0"/>
          <w:sz w:val="14"/>
        </w:rPr>
        <w:t>Källa: Finansu</w:t>
      </w:r>
      <w:r w:rsidRPr="006C40C1">
        <w:rPr>
          <w:rStyle w:val="SidhuvudUtskott"/>
          <w:spacing w:val="0"/>
          <w:sz w:val="14"/>
        </w:rPr>
        <w:t>t</w:t>
      </w:r>
      <w:r w:rsidRPr="006C40C1">
        <w:rPr>
          <w:rStyle w:val="SidhuvudUtskott"/>
          <w:spacing w:val="0"/>
          <w:sz w:val="14"/>
        </w:rPr>
        <w:t>skottet</w:t>
      </w:r>
    </w:p>
    <w:p w:rsidR="00AA5D77" w:rsidRPr="006C40C1" w:rsidRDefault="00AA5D77">
      <w:pPr>
        <w:spacing w:before="360"/>
      </w:pPr>
      <w:r w:rsidRPr="006C40C1">
        <w:rPr>
          <w:b/>
          <w:i/>
        </w:rPr>
        <w:t>Moderata samlingspartiet</w:t>
      </w:r>
      <w:r w:rsidRPr="006C40C1">
        <w:t xml:space="preserve"> vill med sitt budgetförslag begränsa den offentliga sektorns inkomster och utgifter och lägger i detta syfte fram förslag till o</w:t>
      </w:r>
      <w:r w:rsidRPr="006C40C1">
        <w:t>m</w:t>
      </w:r>
      <w:r w:rsidRPr="006C40C1">
        <w:t>fattande skattesänkningar, vilka föreslås bli finansierade med utgiftsnedskä</w:t>
      </w:r>
      <w:r w:rsidRPr="006C40C1">
        <w:t>r</w:t>
      </w:r>
      <w:r w:rsidRPr="006C40C1">
        <w:t>ningar. Partiet anger två långsiktiga mål för sin budgetpolitik. De offentliga finanserna ska i genomsnitt vara i balans över en konjunkturcykel, och den offentliga sektorns konsoliderade bruttoskuld ska understiga 40 % av BNP. Enligt budgetpropositionen beräknas den konsoliderade bruttoskulden i år uppg</w:t>
      </w:r>
      <w:r w:rsidRPr="006C40C1">
        <w:t>å till 53,6 % av BNP. För att snabbt kunna minska bruttoskulden till eftersträvad nivå kan motionärerna temporärt godta ett överskott i det finans</w:t>
      </w:r>
      <w:r w:rsidRPr="006C40C1">
        <w:t>i</w:t>
      </w:r>
      <w:r w:rsidRPr="006C40C1">
        <w:t>ella sparandet. De vill av samma skäl också sälja statliga företag i stor skala. Under de närmaste två åren räknar Moderata samlingspartiet med att deras privatiseringar ska kunna inbringa ytterligare drygt 70 miljarder kronor utöver vad regeringen fört upp i sitt budgetförslag.</w:t>
      </w:r>
    </w:p>
    <w:p w:rsidR="00AA5D77" w:rsidRPr="006C40C1" w:rsidRDefault="00AA5D77">
      <w:pPr>
        <w:pStyle w:val="Normaltindrag"/>
      </w:pPr>
      <w:r w:rsidRPr="006C40C1">
        <w:t>I motionen beräknas partiets skattesänkningar under 2003 leda till ett i</w:t>
      </w:r>
      <w:r w:rsidRPr="006C40C1">
        <w:t>n</w:t>
      </w:r>
      <w:r w:rsidRPr="006C40C1">
        <w:t>komstbortfall för den konsoliderade offentliga sektorn på drygt 30 miljarder kronor, medan de föreslagna utgiftsminskningarna samtidigt uppgår till 27 miljarder kronor. Året därpå ökar skattesänkningarna till 48 miljarder kronor medan besparingarna är på 42 miljarder kronor. Till detta kommer under de båda åren en ränteeffekt på 1 respektive 4 miljarder kronor som motionärerna tillgodoräknar sig för sina mer långtgående privatiseringsfö</w:t>
      </w:r>
      <w:r w:rsidRPr="006C40C1">
        <w:t>r</w:t>
      </w:r>
      <w:r w:rsidRPr="006C40C1">
        <w:t xml:space="preserve">slag. </w:t>
      </w:r>
    </w:p>
    <w:p w:rsidR="00AA5D77" w:rsidRPr="006C40C1" w:rsidRDefault="00AA5D77">
      <w:pPr>
        <w:pStyle w:val="Normaltindrag"/>
      </w:pPr>
      <w:r w:rsidRPr="006C40C1">
        <w:t>Helt överskuggande i det moderata budgetalternativet är att ska</w:t>
      </w:r>
      <w:r w:rsidRPr="006C40C1">
        <w:t>tterna måste sänkas. Även om övriga oppositionspartier också föreslår mycket långtgående skattesänkningar går Moderata samlingspartiet längst. I motionen förespråkas sänkta statliga skatter och statligt finansierade kommunalskatt</w:t>
      </w:r>
      <w:r w:rsidRPr="006C40C1">
        <w:t>e</w:t>
      </w:r>
      <w:r w:rsidRPr="006C40C1">
        <w:t xml:space="preserve">sänkningar på sammanlagt 48 miljarder kronor 2004. </w:t>
      </w:r>
    </w:p>
    <w:p w:rsidR="00AA5D77" w:rsidRPr="006C40C1" w:rsidRDefault="00AA5D77">
      <w:pPr>
        <w:pStyle w:val="Normaltindrag"/>
      </w:pPr>
      <w:r w:rsidRPr="006C40C1">
        <w:t>Trots sin omfattning är de båda närmaste årens skattesänkningar inte lika långtgående som tidigare. Men skatteförslagen är desamma; enda skillnaden är att motionärerna nu vill genomföra dem i något långsammare takt. Mod</w:t>
      </w:r>
      <w:r w:rsidRPr="006C40C1">
        <w:t>e</w:t>
      </w:r>
      <w:r w:rsidRPr="006C40C1">
        <w:t>rata samlingspartiet står alltså fast vid den skattepolitik som inte fick gehör i valet. Att motionärerna inte tagit djupare intryck av valutgången finner u</w:t>
      </w:r>
      <w:r w:rsidRPr="006C40C1">
        <w:t>t</w:t>
      </w:r>
      <w:r w:rsidRPr="006C40C1">
        <w:t>skottet förvånande.</w:t>
      </w:r>
    </w:p>
    <w:p w:rsidR="00AA5D77" w:rsidRPr="006C40C1" w:rsidRDefault="00AA5D77">
      <w:pPr>
        <w:pStyle w:val="Normaltindrag"/>
      </w:pPr>
      <w:r w:rsidRPr="006C40C1">
        <w:t>Det bör noteras att de föreslagna skattesänkningarna alla är tydligt redov</w:t>
      </w:r>
      <w:r w:rsidRPr="006C40C1">
        <w:t>i</w:t>
      </w:r>
      <w:r w:rsidRPr="006C40C1">
        <w:t>sade och fullt möjliga att genomföra. Besparingarna som ska finansiera detta inkomstbortfall är däremot i några avseenden vagt underbyggda eller yvigt tilltagna och ger därför inte samma stadga i budgetalternativet. Det innebär att i det moderata budgetalternativet finansieras ett tydligt redovisat bortfall av inkomster med besparingar som på några väsentliga områden är löst formul</w:t>
      </w:r>
      <w:r w:rsidRPr="006C40C1">
        <w:t>e</w:t>
      </w:r>
      <w:r w:rsidRPr="006C40C1">
        <w:t>rade men som trots det förutsätts få ett snabbt och omedelbart genomslag på statsfinanserna. Det är enligt utskottets mening i</w:t>
      </w:r>
      <w:r w:rsidRPr="006C40C1">
        <w:t>nte en ansvarsfull budgette</w:t>
      </w:r>
      <w:r w:rsidRPr="006C40C1">
        <w:t>k</w:t>
      </w:r>
      <w:r w:rsidRPr="006C40C1">
        <w:t>nik.</w:t>
      </w:r>
    </w:p>
    <w:p w:rsidR="00AA5D77" w:rsidRPr="006C40C1" w:rsidRDefault="00AA5D77">
      <w:pPr>
        <w:pStyle w:val="Normaltindrag"/>
      </w:pPr>
      <w:r w:rsidRPr="006C40C1">
        <w:t>Utgångspunkten för Moderata samlingspartiets förslag på skatteområdet är att skatterna måste begränsas. Trots sitt grundmurade motstånd mot det nuv</w:t>
      </w:r>
      <w:r w:rsidRPr="006C40C1">
        <w:t>a</w:t>
      </w:r>
      <w:r w:rsidRPr="006C40C1">
        <w:t>rande skatteuttaget står emellertid partiet inte främmande för att lägga fram förslag som skärper beskattningen. Så t.ex. godtar partiet inte att löntagarnas medlemskap i en arbetstagarorganisation i avdragshänseende ska vara likställt med vad som gäller för medlemskap i en arbetsgivarorganisation. I motionen föreslås nämligen att nuvarande skattereduktion för fackföreningsavgifter ska slopas.</w:t>
      </w:r>
    </w:p>
    <w:p w:rsidR="00AA5D77" w:rsidRPr="006C40C1" w:rsidRDefault="00AA5D77">
      <w:pPr>
        <w:pStyle w:val="Normaltindrag"/>
      </w:pPr>
      <w:r w:rsidRPr="006C40C1">
        <w:t>Partiet vill också avveckla den nuvarande skattereduktionen på 40 % för avgift till arbetslöshetskassa och ersätta</w:t>
      </w:r>
      <w:r w:rsidRPr="006C40C1">
        <w:t xml:space="preserve"> den med ett avdrag mot inkomst av tjänst, vilket är till fördel för dem med höga inkomster men till klar nackdel för låg- och medelinkomsttagare. </w:t>
      </w:r>
    </w:p>
    <w:p w:rsidR="00AA5D77" w:rsidRPr="006C40C1" w:rsidRDefault="00AA5D77">
      <w:pPr>
        <w:pStyle w:val="Normaltindrag"/>
      </w:pPr>
      <w:r w:rsidRPr="006C40C1">
        <w:t>Moderata samlingspartiet anser att de höga skatterna skapar bidragsber</w:t>
      </w:r>
      <w:r w:rsidRPr="006C40C1">
        <w:t>o</w:t>
      </w:r>
      <w:r w:rsidRPr="006C40C1">
        <w:t>ende och dämpar arbetsviljan. Genom att växla lägre skatter mot mindre bidrag och subventioner vill motionärerna, som de uttrycker det, göra det möjligt att leva på sin lön. Men med detta synsätt blundar partiet för de pos</w:t>
      </w:r>
      <w:r w:rsidRPr="006C40C1">
        <w:t>i</w:t>
      </w:r>
      <w:r w:rsidRPr="006C40C1">
        <w:t>tiva omfördelande effekter som skatter och bidrag har. Särskilt påtagligt blir detta när partiet inte nöjer sig med att föreslå att den s.k. värnskatten ska avskaffas utan dessutom kräver att den statliga inkomstbeskattningen i sin helhet ska tas bort.</w:t>
      </w:r>
    </w:p>
    <w:p w:rsidR="00AA5D77" w:rsidRPr="006C40C1" w:rsidRDefault="00AA5D77">
      <w:pPr>
        <w:pStyle w:val="Normaltindrag"/>
      </w:pPr>
      <w:r w:rsidRPr="006C40C1">
        <w:t xml:space="preserve">Med hjälp av de skatter och bidrag </w:t>
      </w:r>
      <w:r w:rsidRPr="006C40C1">
        <w:t>vi har i dag sker en inkomstutjämning mellan individer till förmån för de sämst ställda i samhället. Såsom skatteu</w:t>
      </w:r>
      <w:r w:rsidRPr="006C40C1">
        <w:t>t</w:t>
      </w:r>
      <w:r w:rsidRPr="006C40C1">
        <w:t>skottet framhåller i sitt yttrande (SkU1y) är skatternas främsta syfte att fina</w:t>
      </w:r>
      <w:r w:rsidRPr="006C40C1">
        <w:t>n</w:t>
      </w:r>
      <w:r w:rsidRPr="006C40C1">
        <w:t>siera välfärden. Nya resurser ska i första hand användas för att öka tryggheten och rättvisan. Skatteutskottet kan inte acceptera att redan välbeställda i sa</w:t>
      </w:r>
      <w:r w:rsidRPr="006C40C1">
        <w:t>m</w:t>
      </w:r>
      <w:r w:rsidRPr="006C40C1">
        <w:t>hället får stora skattesänkningar på bekostnad av kvaliteten i vård, skola och omsorg eller att klyftorna i sa</w:t>
      </w:r>
      <w:r w:rsidRPr="006C40C1">
        <w:t>m</w:t>
      </w:r>
      <w:r w:rsidRPr="006C40C1">
        <w:t>hället ökar kraftigt.</w:t>
      </w:r>
    </w:p>
    <w:p w:rsidR="00AA5D77" w:rsidRPr="006C40C1" w:rsidRDefault="00AA5D77">
      <w:pPr>
        <w:pStyle w:val="Normaltindrag"/>
      </w:pPr>
      <w:r w:rsidRPr="006C40C1">
        <w:t>Finansutskottet delar denn</w:t>
      </w:r>
      <w:r w:rsidRPr="006C40C1">
        <w:t>a bedömning och vill för egen del tillägga att skatter och bidrag för den enskilde också har en inkomstutjämnande effekt över tiden, och genom denna omfördelning får medborgarna samhällets stöd i de skeden av livet då de inte aktivt förvärvsarbetar på grund av studier, sju</w:t>
      </w:r>
      <w:r w:rsidRPr="006C40C1">
        <w:t>k</w:t>
      </w:r>
      <w:r w:rsidRPr="006C40C1">
        <w:t xml:space="preserve">dom, arbetslöshet, ålderdom osv. </w:t>
      </w:r>
    </w:p>
    <w:p w:rsidR="00AA5D77" w:rsidRPr="006C40C1" w:rsidRDefault="00AA5D77">
      <w:pPr>
        <w:pStyle w:val="Normaltindrag"/>
      </w:pPr>
      <w:r w:rsidRPr="006C40C1">
        <w:t>I motsats till motionärerna anser utskottet alltså att skattesystemets u</w:t>
      </w:r>
      <w:r w:rsidRPr="006C40C1">
        <w:t>t</w:t>
      </w:r>
      <w:r w:rsidRPr="006C40C1">
        <w:t>formning har stor positiv betydelse för fördelningspolitiken. Rätt använd är ska</w:t>
      </w:r>
      <w:r w:rsidRPr="006C40C1">
        <w:t>t</w:t>
      </w:r>
      <w:r w:rsidRPr="006C40C1">
        <w:t>tepolitiken ett viktigt verktyg för att minska klyftorna i samhället.</w:t>
      </w:r>
    </w:p>
    <w:p w:rsidR="00AA5D77" w:rsidRPr="006C40C1" w:rsidRDefault="00AA5D77">
      <w:r w:rsidRPr="006C40C1">
        <w:t>Enligt utskottets mening kan man alltså inte byta ut minskade eller avskaffade bidrag mot sänkta skatter på det lättvindiga sätt Moderata samlingspartiet gör. Det som Moderaterna framställer som ett enkelt statsfinansiellt nollsumm</w:t>
      </w:r>
      <w:r w:rsidRPr="006C40C1">
        <w:t>e</w:t>
      </w:r>
      <w:r w:rsidRPr="006C40C1">
        <w:t>spel kan få mycket långtgående återverkningar för de enskilda individerna. Särskilt påtagligt blir detta då skattesänkningarna i stor utsträckning förutsätts bli finansierade genom minskade transfereringar och besparingar i sådana trygghetssystem som a-kassa samt sjuk- och föräldraförsäkringen. Besparin</w:t>
      </w:r>
      <w:r w:rsidRPr="006C40C1">
        <w:t>g</w:t>
      </w:r>
      <w:r w:rsidRPr="006C40C1">
        <w:t>ar ska också göras i sådana transfereringssystem som förtidspensioner och bostadsb</w:t>
      </w:r>
      <w:r w:rsidRPr="006C40C1">
        <w:t>i</w:t>
      </w:r>
      <w:r w:rsidRPr="006C40C1">
        <w:t>drag.</w:t>
      </w:r>
    </w:p>
    <w:p w:rsidR="00AA5D77" w:rsidRPr="006C40C1" w:rsidRDefault="00AA5D77">
      <w:pPr>
        <w:pStyle w:val="Normaltindrag"/>
      </w:pPr>
      <w:r w:rsidRPr="006C40C1">
        <w:t>Att införa en andra karensdag i sjukförsäkringen leder enligt utskottets mening till ökade påfrestningar för redan ut</w:t>
      </w:r>
      <w:r w:rsidRPr="006C40C1">
        <w:t>satta grupper, och dessa påfres</w:t>
      </w:r>
      <w:r w:rsidRPr="006C40C1">
        <w:t>t</w:t>
      </w:r>
      <w:r w:rsidRPr="006C40C1">
        <w:t>ningar blir i än högre grad märkbara om åtgärden på moderat vis kombineras med ett förslag om att den sjukpenninggrundade inkomsten ska fastställas på ett mindre förmånligt sätt, vilket främst drabbar särskilt utsatta grupper.</w:t>
      </w:r>
    </w:p>
    <w:p w:rsidR="00AA5D77" w:rsidRPr="006C40C1" w:rsidRDefault="00AA5D77">
      <w:pPr>
        <w:pStyle w:val="Normaltindrag"/>
      </w:pPr>
      <w:r w:rsidRPr="006C40C1">
        <w:t>Skattesänkningar finansierade på detta sätt ger enligt finansutskottets m</w:t>
      </w:r>
      <w:r w:rsidRPr="006C40C1">
        <w:t>e</w:t>
      </w:r>
      <w:r w:rsidRPr="006C40C1">
        <w:t>ning upphov till starkt negativa fördelningspolitiska effekter. De medborgare som är i störst behov av samhällets stöd är de som i första hand tvingas bidra till finansieringen genom uteblivna eller försämrade förmåner. Samtidigt får de själva begränsat utbyte av de sänkta skatterna på grund av låga i</w:t>
      </w:r>
      <w:r w:rsidRPr="006C40C1">
        <w:t>n</w:t>
      </w:r>
      <w:r w:rsidRPr="006C40C1">
        <w:t>komster.</w:t>
      </w:r>
    </w:p>
    <w:p w:rsidR="00AA5D77" w:rsidRPr="006C40C1" w:rsidRDefault="00AA5D77">
      <w:pPr>
        <w:pStyle w:val="Normaltindrag"/>
      </w:pPr>
      <w:r w:rsidRPr="006C40C1">
        <w:t>Därtill kommer att några av de besparingar partiet tillgodoräknar sig up</w:t>
      </w:r>
      <w:r w:rsidRPr="006C40C1">
        <w:t>p</w:t>
      </w:r>
      <w:r w:rsidRPr="006C40C1">
        <w:t>når man till priset av att medborgarna tvingas betala obligatoriska försäk</w:t>
      </w:r>
      <w:r w:rsidRPr="006C40C1">
        <w:softHyphen/>
        <w:t>ringspremier, som för den enskilde har stora likheter med en skatt. Så t.ex. räknar Moderata samlingspartiet med att kunna spara ca 4 miljarder kronor genom att från statsbudgeten lyfta ut kostnader för sjukskrivningar förorsak</w:t>
      </w:r>
      <w:r w:rsidRPr="006C40C1">
        <w:t>a</w:t>
      </w:r>
      <w:r w:rsidRPr="006C40C1">
        <w:t>de av trafikolycksfall för att i stället bekosta dem via den obligatoriska trafi</w:t>
      </w:r>
      <w:r w:rsidRPr="006C40C1">
        <w:t>k</w:t>
      </w:r>
      <w:r w:rsidRPr="006C40C1">
        <w:t>skadeförsäkringen vid sidan av statsbudgeten. Detta leder visserligen till en minskad belastning på statsbudgeten, men de skatt</w:t>
      </w:r>
      <w:r w:rsidRPr="006C40C1">
        <w:t>esänkningar det ger u</w:t>
      </w:r>
      <w:r w:rsidRPr="006C40C1">
        <w:t>t</w:t>
      </w:r>
      <w:r w:rsidRPr="006C40C1">
        <w:t>rymme för torde inte uppväga de ökade försäkringspremier som den enskilde bilisten får betala. På snarlikt sätt vill Moderata samlingspartiet göra stora besparingar i arbetslöshetsförsäkringen genom att i stället låta dessa kostnader finansieras via försäkringspremier som den enskilde får betala och som ska motsvara 2 % av månadslönen.</w:t>
      </w:r>
    </w:p>
    <w:p w:rsidR="00AA5D77" w:rsidRPr="006C40C1" w:rsidRDefault="00AA5D77">
      <w:r w:rsidRPr="006C40C1">
        <w:t>Moderata samlingspartiet föreslår också besparingar som skulle begränsa kommunernas handlingsutrymme. På lösa grunder påstås i motionen att kommunerna k</w:t>
      </w:r>
      <w:r w:rsidRPr="006C40C1">
        <w:t>ommer att få en bättre produktivitetstillväxt med moderat politik, vilket skulle minska kommunsektorns kostnader med 5,5 miljarder kronor 2004. Hur detta är möjligt anges inte. Med moderat politik kommer enligt motionärerna även kommunernas socialbidragskostnader att minska med 2,5 miljarder kronor 2004. Moderata samlingspartiet utgår nämligen från att de moderata skattesänkningarna ska minska behovet av socialbidrag i denna omfattning. Utökad upphandling och konkurrensutsättning ska spara ytterligare 5 mil</w:t>
      </w:r>
      <w:r w:rsidRPr="006C40C1">
        <w:t>jarder kronor 2004. Med hänvisning till dessa och andra lika löst grundade antaganden om kostnadsminskningar för kommunerna föreslår motionärerna att nivån på det generella statsbidraget till kommunerna ska minskas med 9 miljarder kronor 2004. Det är uppenbart att ett kraftigt min</w:t>
      </w:r>
      <w:r w:rsidRPr="006C40C1">
        <w:t>s</w:t>
      </w:r>
      <w:r w:rsidRPr="006C40C1">
        <w:t>kat statsbidrag kommer att tvinga fram besparingar och nedskärningar i kommunerna. Det som i motionen kläs i ord som ”bättre produktivitetstil</w:t>
      </w:r>
      <w:r w:rsidRPr="006C40C1">
        <w:t>l</w:t>
      </w:r>
      <w:r w:rsidRPr="006C40C1">
        <w:t>växt” är alltså, som utskottet ser det, i praktiken inget annat än hårdhänt framtvingad</w:t>
      </w:r>
      <w:r w:rsidRPr="006C40C1">
        <w:t>e nedskärningar och avsk</w:t>
      </w:r>
      <w:r w:rsidRPr="006C40C1">
        <w:t>e</w:t>
      </w:r>
      <w:r w:rsidRPr="006C40C1">
        <w:t>danden.</w:t>
      </w:r>
    </w:p>
    <w:p w:rsidR="00AA5D77" w:rsidRPr="006C40C1" w:rsidRDefault="00AA5D77">
      <w:pPr>
        <w:pStyle w:val="Normaltindrag"/>
      </w:pPr>
      <w:r w:rsidRPr="006C40C1">
        <w:t>Utan att redovisa vare sig försäljningsplaner eller någon näringspolitisk strategi förutsätter Moderata samlingspartiet att det ska vara möjligt att redan nästa år avyttra statliga företag för 45 miljarder kronor. Och under 2004 fö</w:t>
      </w:r>
      <w:r w:rsidRPr="006C40C1">
        <w:t>r</w:t>
      </w:r>
      <w:r w:rsidRPr="006C40C1">
        <w:t>utsätts försäljningarna kunna uppgå till 55 miljarder kronor. Börskurserna har under det gångna året fallit kraftigt, men någon diskussion om det är rimligt eller ens möjligt att i rådande börsläge sälja statlig verksamhet i denna o</w:t>
      </w:r>
      <w:r w:rsidRPr="006C40C1">
        <w:t>m</w:t>
      </w:r>
      <w:r w:rsidRPr="006C40C1">
        <w:t>fattning förs inte. Utskottet kan inte heller finna att motionärerna har belastat sitt budgetalternativ med det bortfall av utdelningsinkomster som försäljnin</w:t>
      </w:r>
      <w:r w:rsidRPr="006C40C1">
        <w:t>g</w:t>
      </w:r>
      <w:r w:rsidRPr="006C40C1">
        <w:t xml:space="preserve">arna ger upphov till. </w:t>
      </w:r>
    </w:p>
    <w:p w:rsidR="00AA5D77" w:rsidRPr="006C40C1" w:rsidRDefault="00AA5D77">
      <w:pPr>
        <w:pStyle w:val="Normaltindrag"/>
      </w:pPr>
      <w:r w:rsidRPr="006C40C1">
        <w:t>Utgångspunkten för en privatisering måste självklart vara att den ska vara näringspolitiskt moti</w:t>
      </w:r>
      <w:r w:rsidRPr="006C40C1">
        <w:t>verad och att den ska genomföras vid en tidpunkt då utbytet blir så gynnsamt som möjligt för äg</w:t>
      </w:r>
      <w:r w:rsidRPr="006C40C1">
        <w:t>a</w:t>
      </w:r>
      <w:r w:rsidRPr="006C40C1">
        <w:t>ren staten.</w:t>
      </w:r>
    </w:p>
    <w:p w:rsidR="00AA5D77" w:rsidRPr="006C40C1" w:rsidRDefault="00AA5D77">
      <w:r w:rsidRPr="006C40C1">
        <w:t>Moderata samlingspartiet motsätter sig helt användningen av en budget</w:t>
      </w:r>
      <w:r w:rsidRPr="006C40C1">
        <w:t>e</w:t>
      </w:r>
      <w:r w:rsidRPr="006C40C1">
        <w:t>ringsmarginal och anser att regeringen i stället bör återkomma till riksdagen varje gång utgiftstaket är på väg att överskridas. Budgeteringsmarginalen påverkar nämligen budgetdisciplinen negativt, anser motionärerna. Vad m</w:t>
      </w:r>
      <w:r w:rsidRPr="006C40C1">
        <w:t>o</w:t>
      </w:r>
      <w:r w:rsidRPr="006C40C1">
        <w:t>tionärerna helt bortser från är att deras förslag inte går att förena med de anslagsvillkor som gäller för ramanslag och reservationsanslag. Myndighete</w:t>
      </w:r>
      <w:r w:rsidRPr="006C40C1">
        <w:t>r</w:t>
      </w:r>
      <w:r w:rsidRPr="006C40C1">
        <w:t>na har i det nya budgetsystemet givits en tämligen stor frihet att fördela sina utgifter över tiden. Ramanslag som inte utnyttjas fullt</w:t>
      </w:r>
      <w:r w:rsidRPr="006C40C1">
        <w:t xml:space="preserve"> ut ett år kan sparas till efterföljande år. På motsvarande sätt kan en myndighet använda tidigare sparade anslagsmedel som komplement till årets anslag för att finansiera en större utgift. Myndigheter har också möjlighet att inom vissa gränser låna av efterföljande års anslag om medelstilldelningen ett visst år är otil</w:t>
      </w:r>
      <w:r w:rsidRPr="006C40C1">
        <w:t>l</w:t>
      </w:r>
      <w:r w:rsidRPr="006C40C1">
        <w:t xml:space="preserve">räcklig. </w:t>
      </w:r>
    </w:p>
    <w:p w:rsidR="00AA5D77" w:rsidRPr="006C40C1" w:rsidRDefault="00AA5D77">
      <w:pPr>
        <w:pStyle w:val="Normaltindrag"/>
      </w:pPr>
      <w:r w:rsidRPr="006C40C1">
        <w:t>Myndigheternas rätt att självständigt fördela sina utgifter över tiden går inte att inordna i Moderaternas ramförslag, eftersom detta inte ger utrymme för förskjutningar. Varje min</w:t>
      </w:r>
      <w:r w:rsidRPr="006C40C1">
        <w:t>skning av anslagssparandet som överstiger den beräknade förbrukningen av anslagsbehållningarna leder till att de samlade utgifterna ökar, vilket automatiskt får till följd att utgiftstaket överskrids, hur obetydlig ökning det än är fråga om. Det framstår inte som rimligt att riksd</w:t>
      </w:r>
      <w:r w:rsidRPr="006C40C1">
        <w:t>a</w:t>
      </w:r>
      <w:r w:rsidRPr="006C40C1">
        <w:t xml:space="preserve">gen återkommande ska behöva ta ställning till varje liten förändring av detta slag. </w:t>
      </w:r>
    </w:p>
    <w:p w:rsidR="00AA5D77" w:rsidRPr="006C40C1" w:rsidRDefault="00AA5D77">
      <w:pPr>
        <w:pStyle w:val="Normaltindrag"/>
      </w:pPr>
      <w:r w:rsidRPr="006C40C1">
        <w:t>Av de skäl som här redovisats avvisar utskottet Moderata samlingspartiets förslag till inriktning av budgetpolitiken.</w:t>
      </w:r>
    </w:p>
    <w:p w:rsidR="00AA5D77" w:rsidRPr="006C40C1" w:rsidRDefault="00AA5D77">
      <w:pPr>
        <w:spacing w:before="360"/>
      </w:pPr>
      <w:r w:rsidRPr="006C40C1">
        <w:rPr>
          <w:b/>
          <w:i/>
        </w:rPr>
        <w:t>Folkpartiet liberalernas</w:t>
      </w:r>
      <w:r w:rsidRPr="006C40C1">
        <w:t xml:space="preserve"> budgetalternativ är inriktat på att skapa större marg</w:t>
      </w:r>
      <w:r w:rsidRPr="006C40C1">
        <w:t>i</w:t>
      </w:r>
      <w:r w:rsidRPr="006C40C1">
        <w:t>naler på statsbudgetens utgiftssida samt att öka den långsiktiga tillväxtpote</w:t>
      </w:r>
      <w:r w:rsidRPr="006C40C1">
        <w:t>n</w:t>
      </w:r>
      <w:r w:rsidRPr="006C40C1">
        <w:t>tialen i den svenska ekonomin. Partiet vill åstadkomma detta genom tio s</w:t>
      </w:r>
      <w:r w:rsidRPr="006C40C1">
        <w:t>y</w:t>
      </w:r>
      <w:r w:rsidRPr="006C40C1">
        <w:t>stemreformer som bl.a. förväntas leda till minskad belastning på statsbudg</w:t>
      </w:r>
      <w:r w:rsidRPr="006C40C1">
        <w:t>e</w:t>
      </w:r>
      <w:r w:rsidRPr="006C40C1">
        <w:t>ten.</w:t>
      </w:r>
    </w:p>
    <w:p w:rsidR="00AA5D77" w:rsidRPr="006C40C1" w:rsidRDefault="00AA5D77">
      <w:pPr>
        <w:pStyle w:val="Normaltindrag"/>
      </w:pPr>
      <w:r w:rsidRPr="006C40C1">
        <w:t>Med sin skattereform strävar Folkpartiet efter att begränsa marginaleffe</w:t>
      </w:r>
      <w:r w:rsidRPr="006C40C1">
        <w:t>k</w:t>
      </w:r>
      <w:r w:rsidRPr="006C40C1">
        <w:t>terna till 30 % för de flesta skattskyldiga och till 50 % för dem med höga inkomster. Minskningen av marginalskatterna bör enligt motionärerna inledas under de två kommande åren med att man begränsar uttaget av statlig skatt till 20 % och höjer brytpunkten för denna skatt. Dessutom inför man dels ett förvärvsavdrag på 3 % vid den kommunala beskattningen, dels en skatter</w:t>
      </w:r>
      <w:r w:rsidRPr="006C40C1">
        <w:t>e</w:t>
      </w:r>
      <w:r w:rsidRPr="006C40C1">
        <w:t>duktion lika för alla som för 2003 uppgår till 300 kr. Partiets förslag om att avskaffa den s.k. LO-puckeln skjuts däremot på framt</w:t>
      </w:r>
      <w:r w:rsidRPr="006C40C1">
        <w:t>i</w:t>
      </w:r>
      <w:r w:rsidRPr="006C40C1">
        <w:t xml:space="preserve">den. </w:t>
      </w:r>
    </w:p>
    <w:p w:rsidR="00AA5D77" w:rsidRPr="006C40C1" w:rsidRDefault="00AA5D77">
      <w:pPr>
        <w:pStyle w:val="Normaltindrag"/>
      </w:pPr>
      <w:r w:rsidRPr="006C40C1">
        <w:t>Partiets övriga reformer resulterar främst i ökade satsningar på bistånd, handikappåtgärder, vårdgaranti och rehabilitering samt forskning och utbil</w:t>
      </w:r>
      <w:r w:rsidRPr="006C40C1">
        <w:t>d</w:t>
      </w:r>
      <w:r w:rsidRPr="006C40C1">
        <w:t>ning.</w:t>
      </w:r>
    </w:p>
    <w:p w:rsidR="00AA5D77" w:rsidRPr="006C40C1" w:rsidRDefault="00AA5D77">
      <w:pPr>
        <w:pStyle w:val="Normaltindrag"/>
      </w:pPr>
      <w:r w:rsidRPr="006C40C1">
        <w:t>Sammantaget leder de av Folkpartiet föreslagna skattesänkningarna och nya utgiftsåtagandena till att budgeten försvagas med ca 55 miljarder kronor 2004. Detta föreslås bli finansierat genom besparingar och effektiviseringar, genom att delar av regeringens förslag avvisas samt genom att verksamheter lyfts ut ur statsbudgeten för att i stället finansieras vid sidan av den.</w:t>
      </w:r>
    </w:p>
    <w:p w:rsidR="00AA5D77" w:rsidRPr="006C40C1" w:rsidRDefault="00AA5D77">
      <w:pPr>
        <w:pStyle w:val="Normaltindrag"/>
      </w:pPr>
      <w:r w:rsidRPr="006C40C1">
        <w:t>Partiet vill exempelvis överföra kostnaderna för trafikolycksfall från stat</w:t>
      </w:r>
      <w:r w:rsidRPr="006C40C1">
        <w:t>s</w:t>
      </w:r>
      <w:r w:rsidRPr="006C40C1">
        <w:t>budgeten till den obligatoriska trafikförsäkringen. Följden av ett sådant fö</w:t>
      </w:r>
      <w:r w:rsidRPr="006C40C1">
        <w:t>r</w:t>
      </w:r>
      <w:r w:rsidRPr="006C40C1">
        <w:t>slag blir emellertid att försäkringspremien för den enskilde höjs kraftigt. En annan förändring med snarlik effekt är Folkpartiets förslag att medlemmarnas egenavgift till a-kassan ska göras avdragsgill och höjas så mycket att avgi</w:t>
      </w:r>
      <w:r w:rsidRPr="006C40C1">
        <w:t>f</w:t>
      </w:r>
      <w:r w:rsidRPr="006C40C1">
        <w:t>terna före avdrag täcker drygt en tredjedel av kostnaderna. Även detta leder till kraftigt ökade premiekostnader för den enskilde, premiekostnader som löntagarna inte kan undgå eftersom försäkringen sam</w:t>
      </w:r>
      <w:r w:rsidRPr="006C40C1">
        <w:t>tidigt görs obligatorisk. I motionen sägs visserligen att skatten sänks motsvarande de ökade kostnade</w:t>
      </w:r>
      <w:r w:rsidRPr="006C40C1">
        <w:t>r</w:t>
      </w:r>
      <w:r w:rsidRPr="006C40C1">
        <w:t>na för trafik- och arbetslöshetsförsäkringarna. Och detta är riktigt, men bara för dem med höga inkomster. För det finns i Folkpartiets förslag ingen direkt koppling mellan skattesänkningarna och de föreslagna försämringarna. A</w:t>
      </w:r>
      <w:r w:rsidRPr="006C40C1">
        <w:t>v</w:t>
      </w:r>
      <w:r w:rsidRPr="006C40C1">
        <w:t>gifterna till a-kassan varierar i dag högst påtagligt beroende på bransch. Om man för att förenkla resonemanget bortser från denna aspekt blir höjningen av avgiften för arbetslöshets</w:t>
      </w:r>
      <w:r w:rsidRPr="006C40C1">
        <w:t>försäkringen i princip densamma för alla löntagare, men något högre för dem som i dag inte tillhör någon a-kassa. Till detta kommer den för alla bilister i princip lika stora höjningen av trafikförsä</w:t>
      </w:r>
      <w:r w:rsidRPr="006C40C1">
        <w:t>k</w:t>
      </w:r>
      <w:r w:rsidRPr="006C40C1">
        <w:t>ringspremien. De löntagare som är medlemmar i facket går med Folkpartiets politik dessutom miste om skattereduktionen för fackföreningsavgiften. För bilburna löntagare som är medlemmar i facket leder dessa förslag till ett i</w:t>
      </w:r>
      <w:r w:rsidRPr="006C40C1">
        <w:t>n</w:t>
      </w:r>
      <w:r w:rsidRPr="006C40C1">
        <w:t>komstbortfall på grovt räknat uppemot 3 000 kr per år.</w:t>
      </w:r>
    </w:p>
    <w:p w:rsidR="00AA5D77" w:rsidRPr="006C40C1" w:rsidRDefault="00AA5D77">
      <w:pPr>
        <w:pStyle w:val="Normaltindrag"/>
      </w:pPr>
      <w:r w:rsidRPr="006C40C1">
        <w:t>Inkomsttagare med månadsinkomste</w:t>
      </w:r>
      <w:r w:rsidRPr="006C40C1">
        <w:t>r understigande ca 25 000 kr kommer därmed inte att få full kompensation för sina ökade kostnader. För utöver den generella skattereduktionen på 300 kr för helt år kan de nämligen med Fol</w:t>
      </w:r>
      <w:r w:rsidRPr="006C40C1">
        <w:t>k</w:t>
      </w:r>
      <w:r w:rsidRPr="006C40C1">
        <w:t>partiets förslag till inkomstskatteförändringar endast tillgodoräkna sig ett förvärvsavdrag på 3 % av inkomsten vid den kommunala beskattningen. Vid en månadsinkomst på 15 000 kr ger detta en skattesänkning med ca 1 900 kr (inklusive skattereduktion på 300 kr) per år, dvs. 1 100 kr mindre än kos</w:t>
      </w:r>
      <w:r w:rsidRPr="006C40C1">
        <w:t>t</w:t>
      </w:r>
      <w:r w:rsidRPr="006C40C1">
        <w:t>nadsökningen. Vid en månads</w:t>
      </w:r>
      <w:r w:rsidRPr="006C40C1">
        <w:t>inkomst på 25 000 kr går växlingen i stort sett jämnt ut, vid en inkomstnivå på ca 42 000 kr stiger skattesänkningen till ca 10 600 kr för att vid månadsinkomster på 50 000 kr öka till ca 15 500 kr per år. De med tilltagande inkomster snabbt stigande skattesänkningarna sa</w:t>
      </w:r>
      <w:r w:rsidRPr="006C40C1">
        <w:t>m</w:t>
      </w:r>
      <w:r w:rsidRPr="006C40C1">
        <w:t>manhänger främst med partiets förslag att avveckla värnskatten, och effekten av detta blir märkbar vid månadsinkom</w:t>
      </w:r>
      <w:r w:rsidRPr="006C40C1">
        <w:t>s</w:t>
      </w:r>
      <w:r w:rsidRPr="006C40C1">
        <w:t>ter högre än ca 37 500 kr.</w:t>
      </w:r>
    </w:p>
    <w:p w:rsidR="00AA5D77" w:rsidRPr="006C40C1" w:rsidRDefault="00AA5D77">
      <w:pPr>
        <w:pStyle w:val="Normaltindrag"/>
      </w:pPr>
      <w:r w:rsidRPr="006C40C1">
        <w:t>Skatte- och avgiftsväxlingar som på ett så utpräglat sätt som detta mis</w:t>
      </w:r>
      <w:r w:rsidRPr="006C40C1">
        <w:t>s</w:t>
      </w:r>
      <w:r w:rsidRPr="006C40C1">
        <w:t>gynnar de sämst ställda i samhället tar utskottet bestämt avstånd från.</w:t>
      </w:r>
    </w:p>
    <w:p w:rsidR="00AA5D77" w:rsidRPr="006C40C1" w:rsidRDefault="00AA5D77">
      <w:pPr>
        <w:pStyle w:val="Normaltindrag"/>
      </w:pPr>
      <w:r w:rsidRPr="006C40C1">
        <w:t>Motionärernas förslag till besparingar och effektiviseringar utgår i många fall från förutsättningen att den av partiet förordade politiken har så gyn</w:t>
      </w:r>
      <w:r w:rsidRPr="006C40C1">
        <w:t>n</w:t>
      </w:r>
      <w:r w:rsidRPr="006C40C1">
        <w:t>samma återverkningar på ekonomin att utgifterna inom olika områden kan minskas utan några kostsamma biverkningar för samhället. Man räknar bl.a. med att omedelbart kunna uppnå betydande besparingar genom minskat byggstöd samt genom en långsammare utbyggnad av järnvägsnätet. Med stöd av bemyndiganden lämnade av riksdagen har emellertid statsmakterna på dessa områden redan bundit upp sig för utgifter under kommande år. Som bostadsutskottet påpekar i sitt yttrande (BoU1y) har motionärerna inte tagit hänsyn ti</w:t>
      </w:r>
      <w:r w:rsidRPr="006C40C1">
        <w:t>ll att redan beslutade åtaganden måste fullföljas och reserverat medel för att fullfölja dessa. Även om riksdagen skulle besluta att med omedelbar verkan stoppa fortsatt byggstöd är statsmakterna i praktiken skyldiga  att betala ut redan beviljade bidrag. Det är därmed orealistiskt att räkna med att en besparing av den omfattning som motionärerna tillgodoräknar sig ska kunna genomföras under de närmaste två åren.</w:t>
      </w:r>
    </w:p>
    <w:p w:rsidR="00AA5D77" w:rsidRPr="006C40C1" w:rsidRDefault="00AA5D77">
      <w:pPr>
        <w:pStyle w:val="Normaltindrag"/>
      </w:pPr>
      <w:r w:rsidRPr="006C40C1">
        <w:t>Folkpartiet räknar därtill med en effekt på 1,1 miljarder kronor i ökade i</w:t>
      </w:r>
      <w:r w:rsidRPr="006C40C1">
        <w:t>n</w:t>
      </w:r>
      <w:r w:rsidRPr="006C40C1">
        <w:t>täkter och minskade utgifter för staten under såväl 2003 som 2004 till följd av sitt förslag att återställa driften i Barsebäcks reaktor 1. Besparingen förutsätter bl.a. att man ska riva upp ett beslut om statlig kompensation till Vattenfall för förluster av framtida kassaflöden till följd av stängningen av reaktorn. Till saken hör emellertid att denna ersättning betalas ut endast under åren 2000–2003, vilket innebär att den i motionen angivna effekten för 2004 har öve</w:t>
      </w:r>
      <w:r w:rsidRPr="006C40C1">
        <w:t>r</w:t>
      </w:r>
      <w:r w:rsidRPr="006C40C1">
        <w:t>skattats med ca 0,7 miljarder kronor.</w:t>
      </w:r>
    </w:p>
    <w:p w:rsidR="00AA5D77" w:rsidRPr="006C40C1" w:rsidRDefault="00AA5D77">
      <w:pPr>
        <w:pStyle w:val="Normaltindrag"/>
      </w:pPr>
      <w:r w:rsidRPr="006C40C1">
        <w:t>Enligt utskottets mening bör man i detta sammanhang också beakta att samtliga riksdagspartier i grunden är för att man ska finna alternativa lösnin</w:t>
      </w:r>
      <w:r w:rsidRPr="006C40C1">
        <w:t>g</w:t>
      </w:r>
      <w:r w:rsidRPr="006C40C1">
        <w:t>ar som kan minska det nuvarande beroendet av kärnkraften. Ska detta bli möjligt måste man någon gång påbörja avvecklingen.</w:t>
      </w:r>
    </w:p>
    <w:p w:rsidR="00AA5D77" w:rsidRPr="006C40C1" w:rsidRDefault="00AA5D77">
      <w:pPr>
        <w:pStyle w:val="Normaltindrag"/>
      </w:pPr>
      <w:r w:rsidRPr="006C40C1">
        <w:t>Utöver detta förväntar sig motionärerna att ett resurstillskott på samma</w:t>
      </w:r>
      <w:r w:rsidRPr="006C40C1">
        <w:t>n</w:t>
      </w:r>
      <w:r w:rsidRPr="006C40C1">
        <w:t>lagt 0,2 miljarder kronor till skattemyndigheterna, tullen och flyktingmotta</w:t>
      </w:r>
      <w:r w:rsidRPr="006C40C1">
        <w:t>g</w:t>
      </w:r>
      <w:r w:rsidRPr="006C40C1">
        <w:t>ningen ska ge utdelning i form av ökade skatteinkomster, mindre byråkrati samt effektivare migrationspolitik på totalt 2,9 miljarder kronor redan nästa år. Finansutskottet delar Folkpartiets uppfattning att effektiviseringar på dessa områden är mycket angelägna. Ska en seriös diskussion kunna föras i dessa frågor är det emellertid nödvändigt att förslagen är väl underbyggda och dessutom framstår som rimliga. Enligt utskottets meni</w:t>
      </w:r>
      <w:r w:rsidRPr="006C40C1">
        <w:t>ng är det osannolikt att ett förhållandevis blygsamt resurstillskott ska kunna ge ett så stort och snabbt budgetmässigt utbyte som motionärerna til</w:t>
      </w:r>
      <w:r w:rsidRPr="006C40C1">
        <w:t>l</w:t>
      </w:r>
      <w:r w:rsidRPr="006C40C1">
        <w:t xml:space="preserve">godoräknar sig. </w:t>
      </w:r>
    </w:p>
    <w:p w:rsidR="00AA5D77" w:rsidRPr="006C40C1" w:rsidRDefault="00AA5D77">
      <w:pPr>
        <w:pStyle w:val="Normaltindrag"/>
      </w:pPr>
      <w:r w:rsidRPr="006C40C1">
        <w:t>Det föreslagna resurstillskottet till flyktingmottagning uppgår till 0,1 mi</w:t>
      </w:r>
      <w:r w:rsidRPr="006C40C1">
        <w:t>l</w:t>
      </w:r>
      <w:r w:rsidRPr="006C40C1">
        <w:t>jarder kronor och är avsett att bära upp Folkpartiets satsning på åtgärder som motverkar segregation och utanförskap i det svenska samhället. Motionärerna pekar själva på behovet av att ge invandrare bättre möjligheter att lära sig det svenska språket, att satsa på skolan särskilt i utsatta områden, att bekämpa diskriminering och att komma bort från en s.k. omhändertagandementalitet i samhället. Sett i skenet av dessa långtgående ambitioner noterar utskottet med förvåning att motionärerna redan nästa år vi</w:t>
      </w:r>
      <w:r w:rsidRPr="006C40C1">
        <w:t>ll minska Integrationsverkets anslag samt dra in medlen för utvecklingsinsatser i storstadsregionerna. Dessa besparingar görs utan att man sätter av särskilda medel för att förstärka vare sig det statliga och kommunala utbildningssystemet eller det sociala skydd</w:t>
      </w:r>
      <w:r w:rsidRPr="006C40C1">
        <w:t>s</w:t>
      </w:r>
      <w:r w:rsidRPr="006C40C1">
        <w:t>nätet. Det gör man i tron att de egna reformerna på skatte- och arbetsmar</w:t>
      </w:r>
      <w:r w:rsidRPr="006C40C1">
        <w:t>k</w:t>
      </w:r>
      <w:r w:rsidRPr="006C40C1">
        <w:t>nadspolitikens områden omedelbart kan ge bättre jobb- och utvecklingsmö</w:t>
      </w:r>
      <w:r w:rsidRPr="006C40C1">
        <w:t>j</w:t>
      </w:r>
      <w:r w:rsidRPr="006C40C1">
        <w:t>ligheter för invandrare. Enligt utskottets uppfattning gynnar dock många av partiets reformförslag i fö</w:t>
      </w:r>
      <w:r w:rsidRPr="006C40C1">
        <w:t>rsta hand de redan starka grupperna i samhället. Dessutom kan effekterna av vissa regelförändringar på skatte- och arbet</w:t>
      </w:r>
      <w:r w:rsidRPr="006C40C1">
        <w:t>s</w:t>
      </w:r>
      <w:r w:rsidRPr="006C40C1">
        <w:t>marknadsområdena i verkligheten dröja avsevärt jämfört med motionärernas önskemål. Därför har utskottet svårt att se hur invandrarnas situation redan nästa år kan förbättras så pass kraftigt till följd av de föreslagna reformerna att man kan bortse från nödvändiga satsningar på trygghet och utveckling för nya medlemmar i det svenska samhä</w:t>
      </w:r>
      <w:r w:rsidRPr="006C40C1">
        <w:t>l</w:t>
      </w:r>
      <w:r w:rsidRPr="006C40C1">
        <w:t>let.</w:t>
      </w:r>
    </w:p>
    <w:p w:rsidR="00AA5D77" w:rsidRPr="006C40C1" w:rsidRDefault="00AA5D77">
      <w:pPr>
        <w:pStyle w:val="Normaltindrag"/>
      </w:pPr>
      <w:r w:rsidRPr="006C40C1">
        <w:t>En del av de positiva integrationseffekter so</w:t>
      </w:r>
      <w:r w:rsidRPr="006C40C1">
        <w:t>m motionärerna tillskriver sina förslag uppges komma från en av dem förordad reform av arbetsmarknadsp</w:t>
      </w:r>
      <w:r w:rsidRPr="006C40C1">
        <w:t>o</w:t>
      </w:r>
      <w:r w:rsidRPr="006C40C1">
        <w:t>litiken, där AMS i dess nuvarande form läggs ned och en ny tillsynsmyndi</w:t>
      </w:r>
      <w:r w:rsidRPr="006C40C1">
        <w:t>g</w:t>
      </w:r>
      <w:r w:rsidRPr="006C40C1">
        <w:t>het med kontor över hela landet tar över ansvaret för bl.a. a-kassefrågor. Jobbförmedling och yrkesutbildning ska samtidigt privatiseras eller organis</w:t>
      </w:r>
      <w:r w:rsidRPr="006C40C1">
        <w:t>e</w:t>
      </w:r>
      <w:r w:rsidRPr="006C40C1">
        <w:t>ras av andra aktörer som utbildningsföretag, komvux och folkhögskolor. Den arbetssökande ska kunna uppbära en omställningspeng vars nivå fastställs av tillsynsmyndigh</w:t>
      </w:r>
      <w:r w:rsidRPr="006C40C1">
        <w:t>e</w:t>
      </w:r>
      <w:r w:rsidRPr="006C40C1">
        <w:t>tens servicekontor</w:t>
      </w:r>
      <w:r w:rsidRPr="006C40C1">
        <w:t>.</w:t>
      </w:r>
    </w:p>
    <w:p w:rsidR="00AA5D77" w:rsidRPr="006C40C1" w:rsidRDefault="00AA5D77">
      <w:pPr>
        <w:pStyle w:val="Normaltindrag"/>
      </w:pPr>
      <w:r w:rsidRPr="006C40C1">
        <w:t>Motionärerna bortser dock från att AMS med sitt nuvarande kontorsnät och arbetsförmedlingar över hela landet redan i dag erbjuder de arbetslösa kvalificerad hjälp att finna nya arbeten, att få del av olika arbetsmarknadsp</w:t>
      </w:r>
      <w:r w:rsidRPr="006C40C1">
        <w:t>o</w:t>
      </w:r>
      <w:r w:rsidRPr="006C40C1">
        <w:t>litiska åtgärder eller att utforma individuella handlingsplaner och aktivitetsg</w:t>
      </w:r>
      <w:r w:rsidRPr="006C40C1">
        <w:t>a</w:t>
      </w:r>
      <w:r w:rsidRPr="006C40C1">
        <w:t>rantier. Privatisering och utarrendering av denna verksamhet på olika entr</w:t>
      </w:r>
      <w:r w:rsidRPr="006C40C1">
        <w:t>e</w:t>
      </w:r>
      <w:r w:rsidRPr="006C40C1">
        <w:t>prenörer skulle enligt utskottets mening försvåra möjligheterna att få till stånd en för hela landet enhetlig tillämpning av olika arbetsmarknadspolitiska insa</w:t>
      </w:r>
      <w:r w:rsidRPr="006C40C1">
        <w:t>t</w:t>
      </w:r>
      <w:r w:rsidRPr="006C40C1">
        <w:t>ser. Utskottet vill påpeka att det samtidigt är uppenbart att privata förme</w:t>
      </w:r>
      <w:r w:rsidRPr="006C40C1">
        <w:t>d</w:t>
      </w:r>
      <w:r w:rsidRPr="006C40C1">
        <w:t>lingsinstitut inte är lika intresserade av att etablera sig i glesbygd eller i omr</w:t>
      </w:r>
      <w:r w:rsidRPr="006C40C1">
        <w:t>å</w:t>
      </w:r>
      <w:r w:rsidRPr="006C40C1">
        <w:t>den med begränsad efterfrågan på arbe</w:t>
      </w:r>
      <w:r w:rsidRPr="006C40C1">
        <w:t>tskraft. Arbetslösa i dessa områden skulle därmed inte få tillgång till samma fullgoda service och stöd som i dag. En privatisering som innebär att nuvarande kontorsorganisation avvecklas får också till följd att den stora kunskapsbank om lokalt verksamma företag och lokala arbetsmarknader som finns på kontoren då kommer att gå förlorad, vilket skulle kunna leda till att arbetsmarknadspolitiken utarmas och tillväx</w:t>
      </w:r>
      <w:r w:rsidRPr="006C40C1">
        <w:t>t</w:t>
      </w:r>
      <w:r w:rsidRPr="006C40C1">
        <w:t>möjligheterna i olika delar av landet hämmas.</w:t>
      </w:r>
    </w:p>
    <w:p w:rsidR="00AA5D77" w:rsidRPr="006C40C1" w:rsidRDefault="00AA5D77">
      <w:pPr>
        <w:pStyle w:val="Normaltindrag"/>
      </w:pPr>
      <w:r w:rsidRPr="006C40C1">
        <w:t>Folkpartiet tar i sitt budgetalternativ också up</w:t>
      </w:r>
      <w:r w:rsidRPr="006C40C1">
        <w:t>p en principdiskussion om en framtida större socialförsäkringsreform, som till vissa delar ska genomföras redan nästa år. Enligt den idéskiss som antyds i budgetmotionen och utvec</w:t>
      </w:r>
      <w:r w:rsidRPr="006C40C1">
        <w:t>k</w:t>
      </w:r>
      <w:r w:rsidRPr="006C40C1">
        <w:t>las mer utförligt i partiets andra motioner ska reformen omfatta tre obligat</w:t>
      </w:r>
      <w:r w:rsidRPr="006C40C1">
        <w:t>o</w:t>
      </w:r>
      <w:r w:rsidRPr="006C40C1">
        <w:t>riska försäkringssystem – ålderspension, arbetslöshetsförsäkring och sjukfö</w:t>
      </w:r>
      <w:r w:rsidRPr="006C40C1">
        <w:t>r</w:t>
      </w:r>
      <w:r w:rsidRPr="006C40C1">
        <w:t>säkring. Dessa lyfts ut ur statsbudgeten och finansieras med egenavgifter för att skapa ”raka rör” mellan förmåner och avgifter. Försäkringarnas oberoende från statsbudgeten ska t</w:t>
      </w:r>
      <w:r w:rsidRPr="006C40C1">
        <w:t>ryggas bl.a. genom fonder.</w:t>
      </w:r>
    </w:p>
    <w:p w:rsidR="00AA5D77" w:rsidRPr="006C40C1" w:rsidRDefault="00AA5D77">
      <w:pPr>
        <w:pStyle w:val="Normaltindrag"/>
      </w:pPr>
      <w:r w:rsidRPr="006C40C1">
        <w:t>Den förordade nya arbetslöshetsförsäkringen ska vara obligatorisk, tidsb</w:t>
      </w:r>
      <w:r w:rsidRPr="006C40C1">
        <w:t>e</w:t>
      </w:r>
      <w:r w:rsidRPr="006C40C1">
        <w:t>gränsad och finansierad med kraftigt höjda egenavgifter. Avgiftshöjningen föreslås dock bli avdragsgill vid beskattningen. Den ökade egenfinansieringen införs redan nästa år och beräknas från början ge betydande positiva statsf</w:t>
      </w:r>
      <w:r w:rsidRPr="006C40C1">
        <w:t>i</w:t>
      </w:r>
      <w:r w:rsidRPr="006C40C1">
        <w:t>nansiella effekter. Som arbetsmarknadsutskottet påpekar i sitt yttrande (AU1y) är det i praktiken inte möjligt att genomföra en reform av denna omfattning redan nästa år. Dessutom har motionärerna i sina kalkyler uppe</w:t>
      </w:r>
      <w:r w:rsidRPr="006C40C1">
        <w:t>n</w:t>
      </w:r>
      <w:r w:rsidRPr="006C40C1">
        <w:t>barligen inte heller tagit hänsyn till de administrativa merkostn</w:t>
      </w:r>
      <w:r w:rsidRPr="006C40C1">
        <w:t>ader som en sådan reform ger upphov till eftersom man inte belastat sitt budgetalternativ med några sådana kostnader.</w:t>
      </w:r>
    </w:p>
    <w:p w:rsidR="00AA5D77" w:rsidRPr="006C40C1" w:rsidRDefault="00AA5D77">
      <w:pPr>
        <w:pStyle w:val="Normaltindrag"/>
      </w:pPr>
      <w:r w:rsidRPr="006C40C1">
        <w:t>Även sjukförsäkringen ska framöver till största delen finansieras med egenavgifter. Med en ökad egenfinansiering kommer arbetsgivarnas bidrag till finansieringen att begränsas. Utskottet befarar att en utveckling i denna riktning kan försvåra möjligheterna att säkerställa arbetsgivarens ansvar för aktiva, arbetsrelaterade satsningar på rehabilite</w:t>
      </w:r>
      <w:r w:rsidRPr="006C40C1">
        <w:t>r</w:t>
      </w:r>
      <w:r w:rsidRPr="006C40C1">
        <w:t>ing.</w:t>
      </w:r>
    </w:p>
    <w:p w:rsidR="00AA5D77" w:rsidRPr="006C40C1" w:rsidRDefault="00AA5D77">
      <w:pPr>
        <w:pStyle w:val="Normaltindrag"/>
      </w:pPr>
      <w:r w:rsidRPr="006C40C1">
        <w:t>Motionärerna framhåller att variationer i den framtida belastningen på s</w:t>
      </w:r>
      <w:r w:rsidRPr="006C40C1">
        <w:t>o</w:t>
      </w:r>
      <w:r w:rsidRPr="006C40C1">
        <w:t xml:space="preserve">cialförsäkringssystemet ska klaras av med hjälp av buffertfonder. Till skillnad från pensionssystemet anses dessa fonder inte behöva vara alltför stora och kan vid behov tillåtas låna pengar på marknaden. Extrema arbetslöshets- och sjukskrivningsnivåer förutsätts emellertid samtidigt kunna klaras av med hjälp av skattefinansiering från staten. Detta motsäger emellertid grundtanken i Folkpartiets egen reform – att socialförsäkringssystemet ska vara finansiellt stabilt och fristående från statsbudgeten samt </w:t>
      </w:r>
      <w:r w:rsidRPr="006C40C1">
        <w:t>att det ska råda ”raka rör” me</w:t>
      </w:r>
      <w:r w:rsidRPr="006C40C1">
        <w:t>l</w:t>
      </w:r>
      <w:r w:rsidRPr="006C40C1">
        <w:t>lan avgifter och förmåner. En negativ fondbehållning i ett fristående försä</w:t>
      </w:r>
      <w:r w:rsidRPr="006C40C1">
        <w:t>k</w:t>
      </w:r>
      <w:r w:rsidRPr="006C40C1">
        <w:t>ringssystem leder annars vanligtvis till att ersättningsvillkor försämras eller att premier höjs kraftigt för att man ska kunna möta framtida återbetalning</w:t>
      </w:r>
      <w:r w:rsidRPr="006C40C1">
        <w:t>s</w:t>
      </w:r>
      <w:r w:rsidRPr="006C40C1">
        <w:t>krav. Görs inte det blir kopplingen mellan  avgifterna och förmånerna allt annat än tydlig.</w:t>
      </w:r>
    </w:p>
    <w:p w:rsidR="00AA5D77" w:rsidRPr="006C40C1" w:rsidRDefault="00AA5D77">
      <w:pPr>
        <w:pStyle w:val="Normaltindrag"/>
      </w:pPr>
      <w:r w:rsidRPr="006C40C1">
        <w:t>Folkpartiet vill vidare avveckla offentliga monopol inom vård, utbildning och omsorg. Detta ska enligt motionärerna stärka konkurrensen på de berörda områden</w:t>
      </w:r>
      <w:r w:rsidRPr="006C40C1">
        <w:t>a och resultera i höjd kvalitet i utförda tjänster, lägre kostnad för dessa samt förbättrade arbetsvillkor för de anställda. Men även inom sådana verksamhetsområden som vård och omsorg måste privata entreprenörer först och främst se till sin egen lönsamhet, och detta krav kan enligt utskottets mening komma i konflikt med samhällets strävan att ge alla en likvärdig behandling oavsett ekonomiska förutsättningar. Motionärerna har inga förslag som visar hur man ska säkerställa att den föreslagna privatiseringen</w:t>
      </w:r>
      <w:r w:rsidRPr="006C40C1">
        <w:t xml:space="preserve"> inte leder till att de svaga i samhället inte diskrimineras. En privatisering enligt förslaget kan enligt utskottets mening leda till att de som är i stort behov av vård och omsorg, men som inte kan betala marknadsmässiga priser, inte får  tillgång till nödvändig vård. Detta kan svårligen förenas med den solidariska princ</w:t>
      </w:r>
      <w:r w:rsidRPr="006C40C1">
        <w:t>i</w:t>
      </w:r>
      <w:r w:rsidRPr="006C40C1">
        <w:t>pen att alla ska ha samma rätt till vård, skola, omsorg och trygghet i samhä</w:t>
      </w:r>
      <w:r w:rsidRPr="006C40C1">
        <w:t>l</w:t>
      </w:r>
      <w:r w:rsidRPr="006C40C1">
        <w:t>let.</w:t>
      </w:r>
    </w:p>
    <w:p w:rsidR="00AA5D77" w:rsidRPr="006C40C1" w:rsidRDefault="00AA5D77">
      <w:pPr>
        <w:pStyle w:val="Normaltindrag"/>
      </w:pPr>
      <w:r w:rsidRPr="006C40C1">
        <w:t>Konkurrensen på de svenska marknaderna stärks enligt Folkpartiet också om staten avvecklar sitt aktieinne</w:t>
      </w:r>
      <w:r w:rsidRPr="006C40C1">
        <w:t>hav i helt eller delvis ägda bolag. I motionen föreslås en omfattande försäljning av statliga företag, som under de två ko</w:t>
      </w:r>
      <w:r w:rsidRPr="006C40C1">
        <w:t>m</w:t>
      </w:r>
      <w:r w:rsidRPr="006C40C1">
        <w:t>mande åren beräknas inbringa 30 respektive 45 miljarder kronor utöver de i budgetpropositionen upptagna försäljningsinkomsterna. Dessa försäljningar, som enligt motionärerna ska ske i en takt som är anpassad till vad som är lämpligt med hänsyn till marknadsläget, beräknas kunna minska utgifterna för statsskuldsräntor med 4,6 miljarder kronor, varav 1,2 miljarder kronor redan 2003. Det ä</w:t>
      </w:r>
      <w:r w:rsidRPr="006C40C1">
        <w:t>r betydligt mer än vad övriga oppositionspartier tillgodoräknar sig  för samma försäljningsprogram nästa år. I Folkpartiets budgetalternativ sa</w:t>
      </w:r>
      <w:r w:rsidRPr="006C40C1">
        <w:t>k</w:t>
      </w:r>
      <w:r w:rsidRPr="006C40C1">
        <w:t>nas dessutom en beräkning av försäljningarnas övriga effekter på statens finanser, såsom exempelvis minskade utdelningsinkomster eller påverkan på statens nettoförmögenhet.</w:t>
      </w:r>
    </w:p>
    <w:p w:rsidR="00AA5D77" w:rsidRPr="006C40C1" w:rsidRDefault="00AA5D77">
      <w:pPr>
        <w:pStyle w:val="Normaltindrag"/>
      </w:pPr>
      <w:r w:rsidRPr="006C40C1">
        <w:t>Av de skäl som här redovisats avvisar utskottet Folkpartiets förslag till i</w:t>
      </w:r>
      <w:r w:rsidRPr="006C40C1">
        <w:t>n</w:t>
      </w:r>
      <w:r w:rsidRPr="006C40C1">
        <w:t>riktningen av budgetpolitiken.</w:t>
      </w:r>
    </w:p>
    <w:p w:rsidR="00AA5D77" w:rsidRPr="006C40C1" w:rsidRDefault="00AA5D77">
      <w:pPr>
        <w:spacing w:before="360"/>
      </w:pPr>
      <w:r w:rsidRPr="006C40C1">
        <w:rPr>
          <w:b/>
          <w:i/>
        </w:rPr>
        <w:t>Kristdemokraterna</w:t>
      </w:r>
      <w:r w:rsidRPr="006C40C1">
        <w:t xml:space="preserve"> är starkt kritiska till regeringens överskottsmål, eftersom överskotten under åren framöver uppkommer i ålderspensionssystemet, vilket inte ger någon buffert åt statsfinanserna. Pensionsmedlen kan enligt motion</w:t>
      </w:r>
      <w:r w:rsidRPr="006C40C1">
        <w:t>ä</w:t>
      </w:r>
      <w:r w:rsidRPr="006C40C1">
        <w:t>rerna inte användas för att möta en konjunkturavmattning, och då återstår endast att öka upplåningen vilket ytterligare skulle bygga på statssku</w:t>
      </w:r>
      <w:r w:rsidRPr="006C40C1">
        <w:t>l</w:t>
      </w:r>
      <w:r w:rsidRPr="006C40C1">
        <w:t>den.</w:t>
      </w:r>
    </w:p>
    <w:p w:rsidR="00AA5D77" w:rsidRPr="006C40C1" w:rsidRDefault="00AA5D77">
      <w:pPr>
        <w:pStyle w:val="Normaltindrag"/>
      </w:pPr>
      <w:r w:rsidRPr="006C40C1">
        <w:t>Motionärerna redovisar ett budgetalternativ som sägs vara inriktat på att åstadkomma såväl ett bättre finansiellt sparande i staten som en snabbare av</w:t>
      </w:r>
      <w:r w:rsidRPr="006C40C1">
        <w:t xml:space="preserve">betalning av statsskulden. </w:t>
      </w:r>
    </w:p>
    <w:p w:rsidR="00AA5D77" w:rsidRPr="006C40C1" w:rsidRDefault="00AA5D77">
      <w:pPr>
        <w:pStyle w:val="Normaltindrag"/>
      </w:pPr>
      <w:r w:rsidRPr="006C40C1">
        <w:t>Det förra uppnås enligt motionärerna genom en något stramare finanspol</w:t>
      </w:r>
      <w:r w:rsidRPr="006C40C1">
        <w:t>i</w:t>
      </w:r>
      <w:r w:rsidRPr="006C40C1">
        <w:t>tik än den regeringen presenterar. Men den stramheten är högst marginell, eftersom skillnaden i det finansiella sparande som Kristdemokraterna uppv</w:t>
      </w:r>
      <w:r w:rsidRPr="006C40C1">
        <w:t>i</w:t>
      </w:r>
      <w:r w:rsidRPr="006C40C1">
        <w:t>sar inte är större än att den bortfaller om beloppet avrundas till hela miljarder kronor.</w:t>
      </w:r>
    </w:p>
    <w:p w:rsidR="00AA5D77" w:rsidRPr="006C40C1" w:rsidRDefault="00AA5D77">
      <w:pPr>
        <w:pStyle w:val="Normaltindrag"/>
      </w:pPr>
      <w:r w:rsidRPr="006C40C1">
        <w:t>Att Kristdemokraterna i sitt budgetalternativ kan begränsa statsskulden b</w:t>
      </w:r>
      <w:r w:rsidRPr="006C40C1">
        <w:t>e</w:t>
      </w:r>
      <w:r w:rsidRPr="006C40C1">
        <w:t>ror uteslutande på partiets försäljning av statliga bolag, en operation som visserligen minskar bruttoskulden, men som på intet sätt förbättrar statens finansiella ställning eftersom man samtidigt gör sig av med lika stora til</w:t>
      </w:r>
      <w:r w:rsidRPr="006C40C1">
        <w:t>l</w:t>
      </w:r>
      <w:r w:rsidRPr="006C40C1">
        <w:t>gångar som varje år tillför statskassan betydande inkomster. Enbart utde</w:t>
      </w:r>
      <w:r w:rsidRPr="006C40C1">
        <w:t>l</w:t>
      </w:r>
      <w:r w:rsidRPr="006C40C1">
        <w:t>ningsinkomsterna från statens aktier beräknas nästa år uppgå till 4,1 miljarder kr</w:t>
      </w:r>
      <w:r w:rsidRPr="006C40C1">
        <w:t>o</w:t>
      </w:r>
      <w:r w:rsidRPr="006C40C1">
        <w:t>nor.</w:t>
      </w:r>
    </w:p>
    <w:p w:rsidR="00AA5D77" w:rsidRPr="006C40C1" w:rsidRDefault="00AA5D77">
      <w:pPr>
        <w:pStyle w:val="Normaltindrag"/>
      </w:pPr>
      <w:r w:rsidRPr="006C40C1">
        <w:t>De större överskott som Kristdemokraterna uppvisar står och faller med dessa företagsförsäljningar. Medan regeringen i sitt</w:t>
      </w:r>
      <w:r w:rsidRPr="006C40C1">
        <w:t xml:space="preserve"> budgetalternativ sch</w:t>
      </w:r>
      <w:r w:rsidRPr="006C40C1">
        <w:t>a</w:t>
      </w:r>
      <w:r w:rsidRPr="006C40C1">
        <w:t>blonmässigt har fört upp försäljningsinkomster på 15 miljarder kronor såväl 2003 som 2004 räknar Kristdemokraterna med att under dessa år kunna utöka försäljningen till 45 respektive 75 miljarder kronor. Det är mer än något annat parti tillgodoräknat sitt budgetalternativ. Utan dessa högst osäkra, tillko</w:t>
      </w:r>
      <w:r w:rsidRPr="006C40C1">
        <w:t>m</w:t>
      </w:r>
      <w:r w:rsidRPr="006C40C1">
        <w:t>mande försäljningsinkomster kan Kristdemokraterna inte amortera av stat</w:t>
      </w:r>
      <w:r w:rsidRPr="006C40C1">
        <w:t>s</w:t>
      </w:r>
      <w:r w:rsidRPr="006C40C1">
        <w:t>skulden, än mindre begränsa ränteutgifterna. Även enligt sin egen redovisning kommer Kristdemokraterna då att un</w:t>
      </w:r>
      <w:r w:rsidRPr="006C40C1">
        <w:t>der perioden 2003–2004 få ett sämre finansiellt sparande för staten än regeringen. Och den försämring som då framkommer är så stor att den inte bortfaller vid en avrun</w:t>
      </w:r>
      <w:r w:rsidRPr="006C40C1">
        <w:t>d</w:t>
      </w:r>
      <w:r w:rsidRPr="006C40C1">
        <w:t>ning.</w:t>
      </w:r>
    </w:p>
    <w:p w:rsidR="00AA5D77" w:rsidRPr="006C40C1" w:rsidRDefault="00AA5D77">
      <w:pPr>
        <w:pStyle w:val="Normaltindrag"/>
      </w:pPr>
      <w:r w:rsidRPr="006C40C1">
        <w:t>I motionen raljerar Kristdemokraterna över regeringens förslag till satsning på rehabilitering som man beskriver som barnsligt troskyldigt. Motionärerna frågar sig hur regeringens, som man uttrycker det, minimala och hittills opr</w:t>
      </w:r>
      <w:r w:rsidRPr="006C40C1">
        <w:t>e</w:t>
      </w:r>
      <w:r w:rsidRPr="006C40C1">
        <w:t>ciserade åtgärdsprogram ska kunna ge besparingar på 5 miljarder kronor redan under 2003.</w:t>
      </w:r>
    </w:p>
    <w:p w:rsidR="00AA5D77" w:rsidRPr="006C40C1" w:rsidRDefault="00AA5D77">
      <w:pPr>
        <w:pStyle w:val="Normaltindrag"/>
      </w:pPr>
      <w:r w:rsidRPr="006C40C1">
        <w:t>Finansutskottet har svårt att förstå motionärernas kritik. I budgetpropos</w:t>
      </w:r>
      <w:r w:rsidRPr="006C40C1">
        <w:t>i</w:t>
      </w:r>
      <w:r w:rsidRPr="006C40C1">
        <w:t>tionen redovisar nämligen regeringen ett detaljerat 20-punktsprogram med åtgärder för ökad hälsa i arbetslivet och avsätter för detta ändamål 750 milj</w:t>
      </w:r>
      <w:r w:rsidRPr="006C40C1">
        <w:t>o</w:t>
      </w:r>
      <w:r w:rsidRPr="006C40C1">
        <w:t>ner kronor per år under 2003 och 2004. Regeringen ska under 2003 dessutom göra det ekonomiskt fördelaktigt för arbetsgivare att vidta åtgärder som min</w:t>
      </w:r>
      <w:r w:rsidRPr="006C40C1">
        <w:t>s</w:t>
      </w:r>
      <w:r w:rsidRPr="006C40C1">
        <w:t>kar sjukskrivningarna genom att låta dem svara för en större del av kostn</w:t>
      </w:r>
      <w:r w:rsidRPr="006C40C1">
        <w:t>a</w:t>
      </w:r>
      <w:r w:rsidRPr="006C40C1">
        <w:t>derna för de anställdas sjukersättning. Samtidigt ska arbetsgivarna kompens</w:t>
      </w:r>
      <w:r w:rsidRPr="006C40C1">
        <w:t>e</w:t>
      </w:r>
      <w:r w:rsidRPr="006C40C1">
        <w:t>ras för de ökade kostnaderna genom att uttaget av sjukförsä</w:t>
      </w:r>
      <w:r w:rsidRPr="006C40C1">
        <w:t>kringsavgifter sänks i sådan omfattning att arbetsgivarna som kollektiv betraktat inte ko</w:t>
      </w:r>
      <w:r w:rsidRPr="006C40C1">
        <w:t>m</w:t>
      </w:r>
      <w:r w:rsidRPr="006C40C1">
        <w:t>mer att betala mer för sjukersättning än i nuvarande system. Exempel på andra åtgärder är att sjukskrivningsprocessen ska effektiviseras och sjuke</w:t>
      </w:r>
      <w:r w:rsidRPr="006C40C1">
        <w:t>r</w:t>
      </w:r>
      <w:r w:rsidRPr="006C40C1">
        <w:t>sättningen (tidigare förtidspensioner) tidsbegränsas till högst 3 år i taget. Läkarnas roll vid sju</w:t>
      </w:r>
      <w:r w:rsidRPr="006C40C1">
        <w:t>k</w:t>
      </w:r>
      <w:r w:rsidRPr="006C40C1">
        <w:t>skrivningar ska också tydliggöras.</w:t>
      </w:r>
    </w:p>
    <w:p w:rsidR="00AA5D77" w:rsidRPr="006C40C1" w:rsidRDefault="00AA5D77">
      <w:pPr>
        <w:pStyle w:val="Normaltindrag"/>
      </w:pPr>
      <w:r w:rsidRPr="006C40C1">
        <w:t>Trots sin kritik har motionärerna uppenbarligen tilltro till regeringens b</w:t>
      </w:r>
      <w:r w:rsidRPr="006C40C1">
        <w:t>e</w:t>
      </w:r>
      <w:r w:rsidRPr="006C40C1">
        <w:t>dömning eftersom de godtar förslaget i sak. Den kritiserade utgiftsminsknin</w:t>
      </w:r>
      <w:r w:rsidRPr="006C40C1">
        <w:t>g</w:t>
      </w:r>
      <w:r w:rsidRPr="006C40C1">
        <w:t>en på 5 miljarder kronor är nämligen inräknad i deras eget budgetalternativ och utgör således en del av deras förslag. Motionärerna nöjer sig emellertid inte med denna besparing utan räknar med att i än högre grad kunna minska kostnaderna för sjukskrivningar och förtidspension med en rehabiliteringsfö</w:t>
      </w:r>
      <w:r w:rsidRPr="006C40C1">
        <w:t>r</w:t>
      </w:r>
      <w:r w:rsidRPr="006C40C1">
        <w:t>säkring som föreslås i motionen. Försäkringen ska börja gälla från halvår</w:t>
      </w:r>
      <w:r w:rsidRPr="006C40C1">
        <w:t>s</w:t>
      </w:r>
      <w:r w:rsidRPr="006C40C1">
        <w:t xml:space="preserve">skiftet 2003. Kristdemokraterna avdelar för detta ändamål </w:t>
      </w:r>
      <w:r w:rsidRPr="006C40C1">
        <w:t>1,4 miljarder kr</w:t>
      </w:r>
      <w:r w:rsidRPr="006C40C1">
        <w:t>o</w:t>
      </w:r>
      <w:r w:rsidRPr="006C40C1">
        <w:t>nor och tror sig redan under andra halvåret 2003 kunna minska kostnaderna med 2 miljarder kronor.</w:t>
      </w:r>
    </w:p>
    <w:p w:rsidR="00AA5D77" w:rsidRPr="006C40C1" w:rsidRDefault="00AA5D77">
      <w:pPr>
        <w:pStyle w:val="Normaltindrag"/>
      </w:pPr>
      <w:r w:rsidRPr="006C40C1">
        <w:t xml:space="preserve">Motionärerna räknar med att även i övrigt kunna göra så stora besparingar på det aktuella utgiftsområdet 10 </w:t>
      </w:r>
      <w:r w:rsidRPr="006C40C1">
        <w:rPr>
          <w:i/>
        </w:rPr>
        <w:t>Ekonomisk trygghet vid sjukdom och hand</w:t>
      </w:r>
      <w:r w:rsidRPr="006C40C1">
        <w:rPr>
          <w:i/>
        </w:rPr>
        <w:t>i</w:t>
      </w:r>
      <w:r w:rsidRPr="006C40C1">
        <w:rPr>
          <w:i/>
        </w:rPr>
        <w:t>kapp</w:t>
      </w:r>
      <w:r w:rsidRPr="006C40C1">
        <w:t xml:space="preserve"> att utgiftsramen nästa år kan minskas med sammanlagt 6 miljarder kr</w:t>
      </w:r>
      <w:r w:rsidRPr="006C40C1">
        <w:t>o</w:t>
      </w:r>
      <w:r w:rsidRPr="006C40C1">
        <w:t xml:space="preserve">nor jämfört med regeringens förslag. </w:t>
      </w:r>
    </w:p>
    <w:p w:rsidR="00AA5D77" w:rsidRPr="006C40C1" w:rsidRDefault="00AA5D77">
      <w:pPr>
        <w:pStyle w:val="Normaltindrag"/>
      </w:pPr>
      <w:r w:rsidRPr="006C40C1">
        <w:t>Utöver satsningen på en rehabiliteringsförsäkring, förutsätter de att man redan den 1 juli nästa år ska kunna lyfta över kostnaderna för trafikolycksfall från sjukförsäkringen till den obligatoriska trafikförsäkringen och på så sätt minska belastningen på statsbudgeten med 2 miljarder kronor. Ska det vara möjligt krävs i så fall att man tvingar trafikförsäkri</w:t>
      </w:r>
      <w:r w:rsidRPr="006C40C1">
        <w:t>ngsbolagen att riva upp alla redan tecknade försäkringsavtal som löper över halvårsski</w:t>
      </w:r>
      <w:r w:rsidRPr="006C40C1">
        <w:t>f</w:t>
      </w:r>
      <w:r w:rsidRPr="006C40C1">
        <w:t xml:space="preserve">tet. </w:t>
      </w:r>
    </w:p>
    <w:p w:rsidR="00AA5D77" w:rsidRPr="006C40C1" w:rsidRDefault="00AA5D77">
      <w:pPr>
        <w:pStyle w:val="Normaltindrag"/>
      </w:pPr>
      <w:r w:rsidRPr="006C40C1">
        <w:t>Motionärerna föreslår dessutom att föräldrapenning och sjukersättning i fortsättningen ska beräknas med ledning av de två senaste årens geno</w:t>
      </w:r>
      <w:r w:rsidRPr="006C40C1">
        <w:t>m</w:t>
      </w:r>
      <w:r w:rsidRPr="006C40C1">
        <w:t>snittsinkomst i stället för, som i dag, den aktuella inkomsten. Denna ändring av den sjukpenninggrundande inkomsten (SGI) ska genomföras redan vid årsskiftet, och motionärerna tillgodoräknar sig en besparing på 2,5 miljarder kronor för detta förslag. Förslaget är som utskottet ser det inte enbart en te</w:t>
      </w:r>
      <w:r w:rsidRPr="006C40C1">
        <w:t>k</w:t>
      </w:r>
      <w:r w:rsidRPr="006C40C1">
        <w:t>nisk omläggning av försäkringen. Ett nytt SGI grundat på en historisk i</w:t>
      </w:r>
      <w:r w:rsidRPr="006C40C1">
        <w:t>n</w:t>
      </w:r>
      <w:r w:rsidRPr="006C40C1">
        <w:t>komst får också långtgående fördelningspolitiska konsekvenser om man inte bygger in skyddsbestämmelser för exempelvis dem som nyligen h</w:t>
      </w:r>
      <w:r w:rsidRPr="006C40C1">
        <w:t>ar trätt ut på arbetsmarknaden. Kristdemokraterna förutsätter dessutom att förslaget ska ge budgeteffekt redan från årsski</w:t>
      </w:r>
      <w:r w:rsidRPr="006C40C1">
        <w:t>f</w:t>
      </w:r>
      <w:r w:rsidRPr="006C40C1">
        <w:t xml:space="preserve">tet. </w:t>
      </w:r>
    </w:p>
    <w:p w:rsidR="00AA5D77" w:rsidRPr="006C40C1" w:rsidRDefault="00AA5D77">
      <w:pPr>
        <w:pStyle w:val="Normaltindrag"/>
      </w:pPr>
      <w:r w:rsidRPr="006C40C1">
        <w:t>Motionärerna uppger att den kristdemokratiska budgetpolitiken är inriktad på att uppnå balans på en lägre nivå. Partiets förslag till statsbudget har också utformats med en omslutning som är lägre än regeringens. Men den lägre omslutningen förklaras främst av att motionärerna i strid med budgetlagens (1996:1059) anda valt att nettoredovisa utgifter på statsbudgetens inkomsts</w:t>
      </w:r>
      <w:r w:rsidRPr="006C40C1">
        <w:t>i</w:t>
      </w:r>
      <w:r w:rsidRPr="006C40C1">
        <w:t>da</w:t>
      </w:r>
      <w:r w:rsidRPr="006C40C1">
        <w:rPr>
          <w:i/>
        </w:rPr>
        <w:t>.</w:t>
      </w:r>
    </w:p>
    <w:p w:rsidR="00AA5D77" w:rsidRPr="006C40C1" w:rsidRDefault="00AA5D77">
      <w:pPr>
        <w:pStyle w:val="Normaltindrag"/>
      </w:pPr>
      <w:r w:rsidRPr="006C40C1">
        <w:t>Kristdemokraterna presenterar nämligen i motionen ett antal skatteförslag och andra förslag som har mycket långtgående återverkningar på kommune</w:t>
      </w:r>
      <w:r w:rsidRPr="006C40C1">
        <w:t>r</w:t>
      </w:r>
      <w:r w:rsidRPr="006C40C1">
        <w:t>nas ekonomi. I enlighet med finansieringsprincipen ska kommunerna ko</w:t>
      </w:r>
      <w:r w:rsidRPr="006C40C1">
        <w:t>m</w:t>
      </w:r>
      <w:r w:rsidRPr="006C40C1">
        <w:t xml:space="preserve">penseras för sådana förändringar, och normalt görs detta mot ramanslaget </w:t>
      </w:r>
      <w:r w:rsidRPr="006C40C1">
        <w:rPr>
          <w:i/>
        </w:rPr>
        <w:t xml:space="preserve">Generellt statsbidrag till kommuner och landsting </w:t>
      </w:r>
      <w:r w:rsidRPr="006C40C1">
        <w:t>som finns uppfört på u</w:t>
      </w:r>
      <w:r w:rsidRPr="006C40C1">
        <w:t>t</w:t>
      </w:r>
      <w:r w:rsidRPr="006C40C1">
        <w:t xml:space="preserve">giftsområde 25 </w:t>
      </w:r>
      <w:r w:rsidRPr="006C40C1">
        <w:rPr>
          <w:i/>
        </w:rPr>
        <w:t>Allmänna bidrag till kommuner</w:t>
      </w:r>
      <w:r w:rsidRPr="006C40C1">
        <w:t>. Av en reglering på samma</w:t>
      </w:r>
      <w:r w:rsidRPr="006C40C1">
        <w:t>n</w:t>
      </w:r>
      <w:r w:rsidRPr="006C40C1">
        <w:t>lagt 40,4 respektive 42,4 miljarder kronor under 2003 och 2004 redovisar emellertid Kristdemokraterna endast 5,2 respektive 5,8 miljarder kronor på detta sätt. Resterande 35,2 respektive 36,6 miljarder kronor redovisas som en</w:t>
      </w:r>
      <w:r w:rsidRPr="006C40C1">
        <w:t xml:space="preserve"> utgift på statsbudgetens inkomstsida på inkomsttitel 1111, och i det kristd</w:t>
      </w:r>
      <w:r w:rsidRPr="006C40C1">
        <w:t>e</w:t>
      </w:r>
      <w:r w:rsidRPr="006C40C1">
        <w:t>mokratiska budgetalternativet kommer statsbudgetens omslutning då själ</w:t>
      </w:r>
      <w:r w:rsidRPr="006C40C1">
        <w:t>v</w:t>
      </w:r>
      <w:r w:rsidRPr="006C40C1">
        <w:t xml:space="preserve">klart att minska med lika stora belopp. </w:t>
      </w:r>
    </w:p>
    <w:p w:rsidR="00AA5D77" w:rsidRPr="006C40C1" w:rsidRDefault="00AA5D77">
      <w:pPr>
        <w:pStyle w:val="Normaltindrag"/>
      </w:pPr>
      <w:r w:rsidRPr="006C40C1">
        <w:t>Om Kristdemokraterna i stället hade följt gängse praxis och redovisat samtliga överföringar till kommunerna på utgiftsområde 25 skulle partiets ram för detta utgiftsområde, liksom taket för de statliga utgifterna 2003 och 2004, behövt höjas med 35 respektive 37 miljarder kronor. Nivån på Kris</w:t>
      </w:r>
      <w:r w:rsidRPr="006C40C1">
        <w:t>t</w:t>
      </w:r>
      <w:r w:rsidRPr="006C40C1">
        <w:t>demokraternas statliga utgiftstak skulle då ha hamnat ungefär 30 miljarder kronor över regeringens.</w:t>
      </w:r>
    </w:p>
    <w:p w:rsidR="00AA5D77" w:rsidRPr="006C40C1" w:rsidRDefault="00AA5D77">
      <w:pPr>
        <w:pStyle w:val="Normaltindrag"/>
      </w:pPr>
      <w:r w:rsidRPr="006C40C1">
        <w:t>Utskottet har flera gånger tidigare starkt kritiserat Kristdemokraterna för detta förfarande eftersom det inte tillgodoser budgetlagens krav på att statens inkomster och utgifter ska redovisas brutto på stat</w:t>
      </w:r>
      <w:r w:rsidRPr="006C40C1">
        <w:t>s</w:t>
      </w:r>
      <w:r w:rsidRPr="006C40C1">
        <w:t>budgeten.</w:t>
      </w:r>
    </w:p>
    <w:p w:rsidR="00AA5D77" w:rsidRPr="006C40C1" w:rsidRDefault="00AA5D77">
      <w:pPr>
        <w:pStyle w:val="Normaltindrag"/>
      </w:pPr>
      <w:r w:rsidRPr="006C40C1">
        <w:t>Den kompensation som Kristdemokraterna på detta sätt reglerar över stat</w:t>
      </w:r>
      <w:r w:rsidRPr="006C40C1">
        <w:t>s</w:t>
      </w:r>
      <w:r w:rsidRPr="006C40C1">
        <w:t>budgetens inkomstsida avser effekterna av dels en föreslagen höjning av grundavdraget till 26 500 kr, dels införandet av ett nytt förvärvsavdrag på 5 % av arbetsinkomsten upp till viss nivå. Såväl grundavdraget som förvärvsa</w:t>
      </w:r>
      <w:r w:rsidRPr="006C40C1">
        <w:t>v</w:t>
      </w:r>
      <w:r w:rsidRPr="006C40C1">
        <w:t>draget ska enligt förslaget beräknas mot den kommunalt beskattningsbara inkomsten, men den skattelindring detta ger upphov till ska betraktas som en statlig skattereduktion som ska räknas av mot inkomsttitel 1111 på statsbu</w:t>
      </w:r>
      <w:r w:rsidRPr="006C40C1">
        <w:t>d</w:t>
      </w:r>
      <w:r w:rsidRPr="006C40C1">
        <w:t xml:space="preserve">getens inkomster. </w:t>
      </w:r>
    </w:p>
    <w:p w:rsidR="00AA5D77" w:rsidRPr="006C40C1" w:rsidRDefault="00AA5D77">
      <w:pPr>
        <w:pStyle w:val="Normaltindrag"/>
      </w:pPr>
      <w:r w:rsidRPr="006C40C1">
        <w:t>Till saken hör att även Moderata samlingspa</w:t>
      </w:r>
      <w:r w:rsidRPr="006C40C1">
        <w:t>rtiet, Centerpartiet och Fol</w:t>
      </w:r>
      <w:r w:rsidRPr="006C40C1">
        <w:t>k</w:t>
      </w:r>
      <w:r w:rsidRPr="006C40C1">
        <w:t>partiet föreslår att ett förvärvsavdrag ska införas vid den kommunala beskat</w:t>
      </w:r>
      <w:r w:rsidRPr="006C40C1">
        <w:t>t</w:t>
      </w:r>
      <w:r w:rsidRPr="006C40C1">
        <w:t xml:space="preserve">ningen, men i motsats till Kristdemokraterna kompenserar de kommunerna för skattebortfallet genom höjda statsbidrag. </w:t>
      </w:r>
    </w:p>
    <w:p w:rsidR="00AA5D77" w:rsidRPr="006C40C1" w:rsidRDefault="00AA5D77">
      <w:pPr>
        <w:pStyle w:val="Normaltindrag"/>
      </w:pPr>
      <w:r w:rsidRPr="006C40C1">
        <w:t>Till saken hör också att även Moderata samlingspartiet föreslår en höjning av grundavdraget och att Moderaterna även i detta fall reglerar kompensati</w:t>
      </w:r>
      <w:r w:rsidRPr="006C40C1">
        <w:t>o</w:t>
      </w:r>
      <w:r w:rsidRPr="006C40C1">
        <w:t>nen över statsbidragen.</w:t>
      </w:r>
    </w:p>
    <w:p w:rsidR="00AA5D77" w:rsidRPr="006C40C1" w:rsidRDefault="00AA5D77">
      <w:pPr>
        <w:pStyle w:val="Normaltindrag"/>
      </w:pPr>
      <w:r w:rsidRPr="006C40C1">
        <w:t>Med den för grundavdragshöjningen valda lösningen får Kristdemokrate</w:t>
      </w:r>
      <w:r w:rsidRPr="006C40C1">
        <w:t>r</w:t>
      </w:r>
      <w:r w:rsidRPr="006C40C1">
        <w:t>na inte bara ett krångligt och administrativt svårhanterligt system, utan missar också möjligheten att helt befria inkomsttagare med små inkomster från att behöva lämna deklaration. Ska den föreslagna skattereduktionen kunna b</w:t>
      </w:r>
      <w:r w:rsidRPr="006C40C1">
        <w:t>e</w:t>
      </w:r>
      <w:r w:rsidRPr="006C40C1">
        <w:t>räknas måste man nämligen fortsätta att lämna deklaration om man har i</w:t>
      </w:r>
      <w:r w:rsidRPr="006C40C1">
        <w:t>n</w:t>
      </w:r>
      <w:r w:rsidRPr="006C40C1">
        <w:t>komster i intervallet mellan nuvarande grundavdrag och den föreslagna nya grundavdrag</w:t>
      </w:r>
      <w:r w:rsidRPr="006C40C1">
        <w:t>s</w:t>
      </w:r>
      <w:r w:rsidRPr="006C40C1">
        <w:t>nivån på 26 500 kr.</w:t>
      </w:r>
    </w:p>
    <w:p w:rsidR="00AA5D77" w:rsidRPr="006C40C1" w:rsidRDefault="00AA5D77">
      <w:pPr>
        <w:pStyle w:val="Normaltindrag"/>
      </w:pPr>
      <w:r w:rsidRPr="006C40C1">
        <w:t>Kristdemokraternas förslag till skattesänkningar är nästa år 29,6 miljarder kronor större än regeringens. N</w:t>
      </w:r>
      <w:r w:rsidRPr="006C40C1">
        <w:t>ästan hela detta belopp äts emellertid upp av olika obligatoriska avgifter som har många likheter med en skatt. Fullt genomförda uppgår dessa avgifter till 23,6 miljarder kronor, vilket innebär att skattesänkningarna i praktiken inskränker sig till 6 miljarder kr</w:t>
      </w:r>
      <w:r w:rsidRPr="006C40C1">
        <w:t>o</w:t>
      </w:r>
      <w:r w:rsidRPr="006C40C1">
        <w:t xml:space="preserve">nor. </w:t>
      </w:r>
    </w:p>
    <w:p w:rsidR="00AA5D77" w:rsidRPr="006C40C1" w:rsidRDefault="00AA5D77">
      <w:pPr>
        <w:pStyle w:val="Normaltindrag"/>
      </w:pPr>
      <w:r w:rsidRPr="006C40C1">
        <w:t>I likhet med Moderata samlingspartiet och Folkpartiet föreslår nämligen Kristdemokraterna att kostnaderna för personskador vid trafikolycksfall inte längre ska finansieras över sjukförsäkringen utan via den obligatoriska trafi</w:t>
      </w:r>
      <w:r w:rsidRPr="006C40C1">
        <w:t>k</w:t>
      </w:r>
      <w:r w:rsidRPr="006C40C1">
        <w:t>försäkringen vid sidan av statsbudgeten. Det är trafikanterna som får ta på sig kostnaden för denna budgetavlastning på drygt 4 miljarder kronor som dra</w:t>
      </w:r>
      <w:r w:rsidRPr="006C40C1">
        <w:t>b</w:t>
      </w:r>
      <w:r w:rsidRPr="006C40C1">
        <w:t>bar dem i form av ökade premiekostnader.</w:t>
      </w:r>
    </w:p>
    <w:p w:rsidR="00AA5D77" w:rsidRPr="006C40C1" w:rsidRDefault="00AA5D77">
      <w:pPr>
        <w:pStyle w:val="Normaltindrag"/>
      </w:pPr>
      <w:r w:rsidRPr="006C40C1">
        <w:t>Kristdemokraterna anser också att arbetslöshetsförsäkringen ska reform</w:t>
      </w:r>
      <w:r w:rsidRPr="006C40C1">
        <w:t>e</w:t>
      </w:r>
      <w:r w:rsidRPr="006C40C1">
        <w:t>ras och omvandlas till en obligatorisk försäkring med kraftigt höjd egenfina</w:t>
      </w:r>
      <w:r w:rsidRPr="006C40C1">
        <w:t>n</w:t>
      </w:r>
      <w:r w:rsidRPr="006C40C1">
        <w:t>siering. I princip alla arbetstagare ska alltså påföras denna avgift som ska täcka en tredjedel av kostnaderna och som i motionen beräknas till närmare 5 miljarder kronor.</w:t>
      </w:r>
    </w:p>
    <w:p w:rsidR="00AA5D77" w:rsidRPr="006C40C1" w:rsidRDefault="00AA5D77">
      <w:pPr>
        <w:pStyle w:val="Normaltindrag"/>
      </w:pPr>
      <w:r w:rsidRPr="006C40C1">
        <w:t>De största avgiftshöjningarna framkommer emellertid i Kristdemokrate</w:t>
      </w:r>
      <w:r w:rsidRPr="006C40C1">
        <w:t>r</w:t>
      </w:r>
      <w:r w:rsidRPr="006C40C1">
        <w:t>nas förslag till avveckling av fastighetsskatten. Den ska nämligen till närmare två tredjedelar finansieras genom en ny typ av kommunala avgifter som i motionen angetts till knappt 15 miljarder kronor.</w:t>
      </w:r>
    </w:p>
    <w:p w:rsidR="00AA5D77" w:rsidRPr="006C40C1" w:rsidRDefault="00AA5D77">
      <w:pPr>
        <w:pStyle w:val="Normaltindrag"/>
      </w:pPr>
      <w:r w:rsidRPr="006C40C1">
        <w:t>Enligt den finansieringslösning som redovisas i motionen ska det generella statsbidraget till primärkommuner minskas med ett belopp som för varje enskild kommun motsvarar 2 600 kr per småhus och 800 kr per lägenhet i kommunen. På snarlikt sätt ska kommunens statsbidrag också minskas med hänsyn till befintlig</w:t>
      </w:r>
      <w:r w:rsidRPr="006C40C1">
        <w:t xml:space="preserve">a kommersiella lokaler och industrilokaler. I gengäld ska kommunerna ges rätt att ta ut en kommunal avgift på </w:t>
      </w:r>
      <w:r w:rsidRPr="006C40C1">
        <w:rPr>
          <w:i/>
        </w:rPr>
        <w:t>högst</w:t>
      </w:r>
      <w:r w:rsidRPr="006C40C1">
        <w:t xml:space="preserve"> dessa belopp för bostadshus och för</w:t>
      </w:r>
      <w:r w:rsidRPr="006C40C1">
        <w:t>e</w:t>
      </w:r>
      <w:r w:rsidRPr="006C40C1">
        <w:t>tagslokaler.</w:t>
      </w:r>
    </w:p>
    <w:p w:rsidR="00AA5D77" w:rsidRPr="006C40C1" w:rsidRDefault="00AA5D77">
      <w:pPr>
        <w:pStyle w:val="Normaltindrag"/>
      </w:pPr>
      <w:r w:rsidRPr="006C40C1">
        <w:t xml:space="preserve">Lösningen innebär att de kommuner som väljer att inte ta ut full avgift själva får svara för mellanskillnaden. </w:t>
      </w:r>
    </w:p>
    <w:p w:rsidR="00AA5D77" w:rsidRPr="006C40C1" w:rsidRDefault="00AA5D77">
      <w:pPr>
        <w:pStyle w:val="Normaltindrag"/>
      </w:pPr>
      <w:r w:rsidRPr="006C40C1">
        <w:t>Den innebär också – förutsatt att full avgift tas ut – att ett stort antal sm</w:t>
      </w:r>
      <w:r w:rsidRPr="006C40C1">
        <w:t>å</w:t>
      </w:r>
      <w:r w:rsidRPr="006C40C1">
        <w:t>husägare kommer att drabbas av ökade kostnader jämfört med nuvarande regler. Maximalt avgiftsuttag motsvarar nämligen ett taxeringsvärde på 260 000 kr, och enligt SCB finns det i dag ca 361 000 småhus med lägre taxeringsvärden. Förslagets negativa effekter för denna grupp förstärks av att re</w:t>
      </w:r>
      <w:r w:rsidRPr="006C40C1">
        <w:t>a</w:t>
      </w:r>
      <w:r w:rsidRPr="006C40C1">
        <w:t>vinstbeskattningen av bostäder förutsätts bli höjd till 30 %.</w:t>
      </w:r>
    </w:p>
    <w:p w:rsidR="00AA5D77" w:rsidRPr="006C40C1" w:rsidRDefault="00AA5D77">
      <w:pPr>
        <w:pStyle w:val="Normaltindrag"/>
      </w:pPr>
      <w:r w:rsidRPr="006C40C1">
        <w:t>Budgetalternativet utmärks i övrigt av en svagt underbyggd finansiering. Regeländringar som syftar till att öka utgifter och minska skatter är sålunda tämli</w:t>
      </w:r>
      <w:r w:rsidRPr="006C40C1">
        <w:t>gen väl specificerade medan regeländringar avsedda att minska utgifter eller öka i</w:t>
      </w:r>
      <w:r w:rsidRPr="006C40C1">
        <w:t>n</w:t>
      </w:r>
      <w:r w:rsidRPr="006C40C1">
        <w:t>komster ofta är mycket otydliga.</w:t>
      </w:r>
    </w:p>
    <w:p w:rsidR="00AA5D77" w:rsidRPr="006C40C1" w:rsidRDefault="00AA5D77">
      <w:pPr>
        <w:pStyle w:val="Normaltindrag"/>
      </w:pPr>
      <w:r w:rsidRPr="006C40C1">
        <w:t>Så t.ex. för motionärerna fram flera tydligt redovisade och väl preciserade förslag till skattesänkningar, vilka är fullt möjliga att genomföra redan vid årsskiftet. Bland annat gäller det partiets förslag om avvecklad fastighetsskatt och höjt grundavdrag liksom förslaget om ett nytt förvärvsavdrag. Dessa skarpt formulerade skattesänkningar förutsätts redan nästa år bli finansierade genom vagt</w:t>
      </w:r>
      <w:r w:rsidRPr="006C40C1">
        <w:t xml:space="preserve"> formulerade besparingar som i några fall dessutom framstår som i prakt</w:t>
      </w:r>
      <w:r w:rsidRPr="006C40C1">
        <w:t>i</w:t>
      </w:r>
      <w:r w:rsidRPr="006C40C1">
        <w:t>ken ogenomförbara.</w:t>
      </w:r>
    </w:p>
    <w:p w:rsidR="00AA5D77" w:rsidRPr="006C40C1" w:rsidRDefault="00AA5D77">
      <w:pPr>
        <w:pStyle w:val="Normaltindrag"/>
      </w:pPr>
      <w:r w:rsidRPr="006C40C1">
        <w:t>Av de skäl som här redovisats avvisar utskottet Kristdemokraternas förslag till inriktning av budgetpolit</w:t>
      </w:r>
      <w:r w:rsidRPr="006C40C1">
        <w:t>i</w:t>
      </w:r>
      <w:r w:rsidRPr="006C40C1">
        <w:t>ken.</w:t>
      </w:r>
    </w:p>
    <w:p w:rsidR="00AA5D77" w:rsidRPr="006C40C1" w:rsidRDefault="00AA5D77">
      <w:pPr>
        <w:spacing w:before="360"/>
      </w:pPr>
      <w:r w:rsidRPr="006C40C1">
        <w:rPr>
          <w:b/>
          <w:i/>
        </w:rPr>
        <w:t>Centerpartiets</w:t>
      </w:r>
      <w:r w:rsidRPr="006C40C1">
        <w:t xml:space="preserve"> finanspolitik är inriktad på att stärka Sveriges långsiktiga tillväxtförmåga och på att minska de svenska statsfinansernas konjunktu</w:t>
      </w:r>
      <w:r w:rsidRPr="006C40C1">
        <w:t>r</w:t>
      </w:r>
      <w:r w:rsidRPr="006C40C1">
        <w:t>känslighet.</w:t>
      </w:r>
    </w:p>
    <w:p w:rsidR="00AA5D77" w:rsidRPr="006C40C1" w:rsidRDefault="00AA5D77">
      <w:pPr>
        <w:pStyle w:val="Normaltindrag"/>
      </w:pPr>
      <w:r w:rsidRPr="006C40C1">
        <w:t>De åtgärder som Centerpartiet förordar ger enligt partiets egna beräkningar ett utgiftstak för staten som för 2003 och 2004 är 34 respektive 37 miljarder kronor lägre än förslagen i budgetpropositionen. Inget annat parti föreslår ett så lågt utgiftstak. Det är främst Centerpartiets inkomstskatteförslag men också partiets förslag till utgiftsminskningar på arbetsma</w:t>
      </w:r>
      <w:r w:rsidRPr="006C40C1">
        <w:t>rknadspolitikens område som förklarar denna avvike</w:t>
      </w:r>
      <w:r w:rsidRPr="006C40C1">
        <w:t>l</w:t>
      </w:r>
      <w:r w:rsidRPr="006C40C1">
        <w:t>se.</w:t>
      </w:r>
    </w:p>
    <w:p w:rsidR="00AA5D77" w:rsidRPr="006C40C1" w:rsidRDefault="00AA5D77">
      <w:pPr>
        <w:pStyle w:val="Normaltindrag"/>
      </w:pPr>
      <w:r w:rsidRPr="006C40C1">
        <w:t>För 2003 föreslår nämligen Centerpartiet att grundavdraget slopas helt för att i stället ersättas av en statligt finansierad skattereduktion på 9 000 kr för alla. Längre fram, när det finns ett ekonomiskt utrymme, ska denna skatter</w:t>
      </w:r>
      <w:r w:rsidRPr="006C40C1">
        <w:t>e</w:t>
      </w:r>
      <w:r w:rsidRPr="006C40C1">
        <w:t xml:space="preserve">duktion höjas till 10 000 kr. Slopas grundavdraget kommer kommunernas skatteinkomster att öka, och i enlighet med finansieringsprincipen reglerar Centerpartiet detta genom att </w:t>
      </w:r>
      <w:r w:rsidRPr="006C40C1">
        <w:rPr>
          <w:i/>
        </w:rPr>
        <w:t>minska</w:t>
      </w:r>
      <w:r w:rsidRPr="006C40C1">
        <w:t xml:space="preserve"> statsbidragen med ett lika stort belopp. Minskningen påverkar även nivån på utgiftstaket som i Centerpartiets budge</w:t>
      </w:r>
      <w:r w:rsidRPr="006C40C1">
        <w:t>t</w:t>
      </w:r>
      <w:r w:rsidRPr="006C40C1">
        <w:t>alternativ därigenom blir i motsv</w:t>
      </w:r>
      <w:r w:rsidRPr="006C40C1">
        <w:t>a</w:t>
      </w:r>
      <w:r w:rsidRPr="006C40C1">
        <w:t>rande grad lägre.</w:t>
      </w:r>
    </w:p>
    <w:p w:rsidR="00AA5D77" w:rsidRPr="006C40C1" w:rsidRDefault="00AA5D77">
      <w:pPr>
        <w:pStyle w:val="Normaltindrag"/>
      </w:pPr>
      <w:r w:rsidRPr="006C40C1">
        <w:t>Som motionärerna själva framhåller ger deras förslag till skattereduktion ungefär samma skattelindring som ett grundavdrag på 30 000 kr. Den valda metoden för a</w:t>
      </w:r>
      <w:r w:rsidRPr="006C40C1">
        <w:t>vräkning mot kommunerna är emellertid inte problemfri. Finns inget grundavdrag måste i princip alla med inkomst avge deklaration, således även de som i dag har inkomster understigande nuvarande grundavdrag och som därför är befriade från denna skyldighet. I annat fall kan inte rätt nivå på skattereduktionen beräknas. Trots sin skenbara enkelhet är förslaget därför administrativt svårhanterligt och leder till ökat krångel för många medborgare samt en ökad belastning på skattemyndigheterna. Den grupp som i da</w:t>
      </w:r>
      <w:r w:rsidRPr="006C40C1">
        <w:t>g är undantagen från deklarationsplikt på grund av alltför låga löneinkomster och som med Centerpartiets förslag skulle bli skyldig att lämna deklaration ko</w:t>
      </w:r>
      <w:r w:rsidRPr="006C40C1">
        <w:t>m</w:t>
      </w:r>
      <w:r w:rsidRPr="006C40C1">
        <w:t>mer 2003 att uppgå till 340 000 personer enligt budgetkontorets beräkningar. Utskottet vill för sin del inte medverka till att utöka deklarationsplikten för dem som uppbär enbart obetydliga lönei</w:t>
      </w:r>
      <w:r w:rsidRPr="006C40C1">
        <w:t>n</w:t>
      </w:r>
      <w:r w:rsidRPr="006C40C1">
        <w:t>komster.</w:t>
      </w:r>
    </w:p>
    <w:p w:rsidR="00AA5D77" w:rsidRPr="006C40C1" w:rsidRDefault="00AA5D77">
      <w:pPr>
        <w:pStyle w:val="Normaltindrag"/>
      </w:pPr>
      <w:r w:rsidRPr="006C40C1">
        <w:t>Centerpartiets förslag till skattesänkningar för de båda närmaste åren up</w:t>
      </w:r>
      <w:r w:rsidRPr="006C40C1">
        <w:t>p</w:t>
      </w:r>
      <w:r w:rsidRPr="006C40C1">
        <w:t>går till 35 respektive 40 miljarder kronor. De finansieras genom utgiftsmins</w:t>
      </w:r>
      <w:r w:rsidRPr="006C40C1">
        <w:t>k</w:t>
      </w:r>
      <w:r w:rsidRPr="006C40C1">
        <w:t>ningar som netto uppgår till 40 respektive 46 miljarder kronor. Till detta kommer en ränteeffekt av större privatiseringar än de rege</w:t>
      </w:r>
      <w:r w:rsidRPr="006C40C1">
        <w:t>r</w:t>
      </w:r>
      <w:r w:rsidRPr="006C40C1">
        <w:t>ingen föreslår.</w:t>
      </w:r>
    </w:p>
    <w:p w:rsidR="00AA5D77" w:rsidRPr="006C40C1" w:rsidRDefault="00AA5D77">
      <w:pPr>
        <w:pStyle w:val="Normaltindrag"/>
      </w:pPr>
      <w:r w:rsidRPr="006C40C1">
        <w:t>Liksom övriga borgerliga partier har Centerpartiet nämligen för avsikt att sälja statliga bolag. För Centerpartiets del uppgår dessa försäljningsinkomster till sammanlagt 110 miljarder kronor under de båda närmaste åren. De skogs- och bolagsförsäljningar som partiet tillgodoräknar si</w:t>
      </w:r>
      <w:r w:rsidRPr="006C40C1">
        <w:t>g överstiger under 2003 och 2004 regeringens försäljningsplaner med 30 respektive 50 miljarder kr</w:t>
      </w:r>
      <w:r w:rsidRPr="006C40C1">
        <w:t>o</w:t>
      </w:r>
      <w:r w:rsidRPr="006C40C1">
        <w:t>nor. Dessa extraordinära inkomster ska användas för amortering av statssku</w:t>
      </w:r>
      <w:r w:rsidRPr="006C40C1">
        <w:t>l</w:t>
      </w:r>
      <w:r w:rsidRPr="006C40C1">
        <w:t>den, och i sitt budgetalternativ har motionärerna därför också tillgodoräknat sig en ränteeffekt på 1,1 respektive 4,0 miljarder kronor. Skulle emellertid försäljningsinkomsterna falla bort kommer även ränteeffekten att göra det, och motionärerna får då en i motsvarande mån svagare budget.</w:t>
      </w:r>
    </w:p>
    <w:p w:rsidR="00AA5D77" w:rsidRPr="006C40C1" w:rsidRDefault="00AA5D77">
      <w:pPr>
        <w:pStyle w:val="Normaltindrag"/>
      </w:pPr>
      <w:r w:rsidRPr="006C40C1">
        <w:t>Centerpartiets skattesänkningar finansieras i pr</w:t>
      </w:r>
      <w:r w:rsidRPr="006C40C1">
        <w:t>incip av de omfattande b</w:t>
      </w:r>
      <w:r w:rsidRPr="006C40C1">
        <w:t>e</w:t>
      </w:r>
      <w:r w:rsidRPr="006C40C1">
        <w:t xml:space="preserve">sparingar som partiet gör på tre utgiftsområden. Det gäller först och främst utgiftsområde 25 </w:t>
      </w:r>
      <w:r w:rsidRPr="006C40C1">
        <w:rPr>
          <w:i/>
        </w:rPr>
        <w:t>Allmänna bidrag till kommuner</w:t>
      </w:r>
      <w:r w:rsidRPr="006C40C1">
        <w:t xml:space="preserve"> där nivån nästa år sänks med 19,6 miljarder kronor, främst till följd av regleringen med anledning av det slopade grundavdraget. Den ensam sänker ramnivån med 19,9 miljarder kronor. På utgiftsområde 13 </w:t>
      </w:r>
      <w:r w:rsidRPr="006C40C1">
        <w:rPr>
          <w:i/>
        </w:rPr>
        <w:t>Arbetsmarknad</w:t>
      </w:r>
      <w:r w:rsidRPr="006C40C1">
        <w:t xml:space="preserve"> sänks nivån med 12,1 miljarder kronor och på utgiftsområde 10 </w:t>
      </w:r>
      <w:r w:rsidRPr="006C40C1">
        <w:rPr>
          <w:i/>
        </w:rPr>
        <w:t>Ekonomisk trygghet vid sjukdom och hand</w:t>
      </w:r>
      <w:r w:rsidRPr="006C40C1">
        <w:rPr>
          <w:i/>
        </w:rPr>
        <w:t>i</w:t>
      </w:r>
      <w:r w:rsidRPr="006C40C1">
        <w:rPr>
          <w:i/>
        </w:rPr>
        <w:t>kapp</w:t>
      </w:r>
      <w:r w:rsidRPr="006C40C1">
        <w:t xml:space="preserve"> är nivåsänkningen 5,9 miljarder kronor. </w:t>
      </w:r>
      <w:r w:rsidRPr="006C40C1">
        <w:t>Tillsammans minskar de takb</w:t>
      </w:r>
      <w:r w:rsidRPr="006C40C1">
        <w:t>e</w:t>
      </w:r>
      <w:r w:rsidRPr="006C40C1">
        <w:t>gränsade utgifterna på dessa tre utgiftsområden med 37,5 miljarder kronor 2003.</w:t>
      </w:r>
    </w:p>
    <w:p w:rsidR="00AA5D77" w:rsidRPr="006C40C1" w:rsidRDefault="00AA5D77">
      <w:pPr>
        <w:pStyle w:val="Normaltindrag"/>
      </w:pPr>
      <w:r w:rsidRPr="006C40C1">
        <w:t xml:space="preserve">På utgiftsområde 13 </w:t>
      </w:r>
      <w:r w:rsidRPr="006C40C1">
        <w:rPr>
          <w:i/>
        </w:rPr>
        <w:t>Arbetsmarknad</w:t>
      </w:r>
      <w:r w:rsidRPr="006C40C1">
        <w:t xml:space="preserve"> räknar alltså Centerpartiet med att nästa år kunna minska utgifterna med 12,1 miljarder kronor. Det motsvarar 20 % av den ram som regeringen fört upp i sitt budgetförslag för 2003 för utgiftsområdet. Utgiftsminskningar av denna omfattning genomförs trots att motionärerna säger sig vilja minska ned de stora volymerna arbetsmarknad</w:t>
      </w:r>
      <w:r w:rsidRPr="006C40C1">
        <w:t>s</w:t>
      </w:r>
      <w:r w:rsidRPr="006C40C1">
        <w:t>åtgärder och ersätta dem med en individanpassad, mer kvalificerad yrkesu</w:t>
      </w:r>
      <w:r w:rsidRPr="006C40C1">
        <w:t>t</w:t>
      </w:r>
      <w:r w:rsidRPr="006C40C1">
        <w:t>bildning, dvs. åtgärder som generellt sett är dyrare. Det kan enligt utskottets mening därför</w:t>
      </w:r>
      <w:r w:rsidRPr="006C40C1">
        <w:t xml:space="preserve"> ha sitt intresse att närmare se vad som ligger bakom den myc</w:t>
      </w:r>
      <w:r w:rsidRPr="006C40C1">
        <w:t>k</w:t>
      </w:r>
      <w:r w:rsidRPr="006C40C1">
        <w:t>et betydande neddragning som föreslås på detta utgiftsområde r</w:t>
      </w:r>
      <w:r w:rsidRPr="006C40C1">
        <w:t>e</w:t>
      </w:r>
      <w:r w:rsidRPr="006C40C1">
        <w:t>dan nästa år.</w:t>
      </w:r>
    </w:p>
    <w:p w:rsidR="00AA5D77" w:rsidRPr="006C40C1" w:rsidRDefault="00AA5D77">
      <w:pPr>
        <w:pStyle w:val="Normaltindrag"/>
      </w:pPr>
      <w:r w:rsidRPr="006C40C1">
        <w:t>Centerpartiet föreslår för det första att man ska satsa på s.k. övergångsa</w:t>
      </w:r>
      <w:r w:rsidRPr="006C40C1">
        <w:t>r</w:t>
      </w:r>
      <w:r w:rsidRPr="006C40C1">
        <w:t>betsmarknader, en arbetsmarknadspolitisk åtgärd som innebär att en arbetslös får prova på att arbeta på en arbetsplats mot att arbetsgivaren får sänkt arbet</w:t>
      </w:r>
      <w:r w:rsidRPr="006C40C1">
        <w:t>s</w:t>
      </w:r>
      <w:r w:rsidRPr="006C40C1">
        <w:t>givaravgift för någon av sina anställda. Stödformen belastar alltså statsbu</w:t>
      </w:r>
      <w:r w:rsidRPr="006C40C1">
        <w:t>d</w:t>
      </w:r>
      <w:r w:rsidRPr="006C40C1">
        <w:t>getens inkomstsida. Nästa år räknar motionärerna med att denna stödform ska få en sådan omfattning att statens inkomster i form av arbetsgivaravgifter minskar med 0,75 miljarder kronor samtidigt som behovet av bidrag för köp av arbetsmarknadspolitisk utbildning kan begränsas me</w:t>
      </w:r>
      <w:r w:rsidRPr="006C40C1">
        <w:t>d 1,5 milja</w:t>
      </w:r>
      <w:r w:rsidRPr="006C40C1">
        <w:t>r</w:t>
      </w:r>
      <w:r w:rsidRPr="006C40C1">
        <w:t>der kronor.</w:t>
      </w:r>
    </w:p>
    <w:p w:rsidR="00AA5D77" w:rsidRPr="006C40C1" w:rsidRDefault="00AA5D77">
      <w:pPr>
        <w:pStyle w:val="Normaltindrag"/>
      </w:pPr>
      <w:r w:rsidRPr="006C40C1">
        <w:t>Centerpartiet anser för det andra att arbetsmarknadsmedlen ska kunna a</w:t>
      </w:r>
      <w:r w:rsidRPr="006C40C1">
        <w:t>n</w:t>
      </w:r>
      <w:r w:rsidRPr="006C40C1">
        <w:t>vändas på ett friare sätt och att besluten om användningen ska flyttas från statlig till regional och lokal nivå. En sådan omfördelning gör att det är mö</w:t>
      </w:r>
      <w:r w:rsidRPr="006C40C1">
        <w:t>j</w:t>
      </w:r>
      <w:r w:rsidRPr="006C40C1">
        <w:t xml:space="preserve">ligt att, inklusive effekten av övergångsarbetsmarknader, minska anslaget 22:3 </w:t>
      </w:r>
      <w:r w:rsidRPr="006C40C1">
        <w:rPr>
          <w:i/>
        </w:rPr>
        <w:t>Köp av arbetsmarknadsutbildning och övriga kostnader</w:t>
      </w:r>
      <w:r w:rsidRPr="006C40C1">
        <w:t xml:space="preserve"> med 3,5 milja</w:t>
      </w:r>
      <w:r w:rsidRPr="006C40C1">
        <w:t>r</w:t>
      </w:r>
      <w:r w:rsidRPr="006C40C1">
        <w:t>der kronor, hävdar motionärerna. Det motsvarar tre fjärdedelar av anslaget, som i budgetpropositionen förts upp med 4,7 miljarder kronor. Motionärerna hänvisar i detta sammanhang till att partiet på andra utgift</w:t>
      </w:r>
      <w:r w:rsidRPr="006C40C1">
        <w:t>sområden gör sat</w:t>
      </w:r>
      <w:r w:rsidRPr="006C40C1">
        <w:t>s</w:t>
      </w:r>
      <w:r w:rsidRPr="006C40C1">
        <w:t>ningar på kvalificerad yrkesutbildning och komvux, som enligt deras mening varit utbildningar som verkligen behövs. Såvitt finansutskottet kan finna inskränker sig emellertid dessa satsningar till 54 miljoner kronor som partiet tillför det särskilda anslaget för kvalificerad yrkesutbildning. Något motsv</w:t>
      </w:r>
      <w:r w:rsidRPr="006C40C1">
        <w:t>a</w:t>
      </w:r>
      <w:r w:rsidRPr="006C40C1">
        <w:t>rande tillskott ges inte till det särskilda anslaget för statligt stöd för utbildning av vuxna, inte heller får kommunerna några extra medel för komvuxsatsnin</w:t>
      </w:r>
      <w:r w:rsidRPr="006C40C1">
        <w:t>g</w:t>
      </w:r>
      <w:r w:rsidRPr="006C40C1">
        <w:t>ar över det generella statsbidr</w:t>
      </w:r>
      <w:r w:rsidRPr="006C40C1">
        <w:t>aget. Mot utgiftsminskningen på 3 500 miljoner kronor står alltså dels en satsning på 54 miljoner kronor på yrkesutbildning, dels det över statsbudgetens inkomstsida finansierade stödet till övergångsa</w:t>
      </w:r>
      <w:r w:rsidRPr="006C40C1">
        <w:t>r</w:t>
      </w:r>
      <w:r w:rsidRPr="006C40C1">
        <w:t>betsmarknader på 750 miljoner kr</w:t>
      </w:r>
      <w:r w:rsidRPr="006C40C1">
        <w:t>o</w:t>
      </w:r>
      <w:r w:rsidRPr="006C40C1">
        <w:t xml:space="preserve">nor. </w:t>
      </w:r>
    </w:p>
    <w:p w:rsidR="00AA5D77" w:rsidRPr="006C40C1" w:rsidRDefault="00AA5D77">
      <w:pPr>
        <w:pStyle w:val="Normaltindrag"/>
      </w:pPr>
      <w:r w:rsidRPr="006C40C1">
        <w:t>Samtliga oppositionspartier föreslår att anslaget för köp av arbetsmar</w:t>
      </w:r>
      <w:r w:rsidRPr="006C40C1">
        <w:t>k</w:t>
      </w:r>
      <w:r w:rsidRPr="006C40C1">
        <w:t>nadsutbildning ska minskas, men inget annat parti kommer i närheten av Centerpartiets förslag. Moderata samlingspartiet, Folkpartiet liberalerna samt Kristdemokraternas motsvarande besparingsförslag ligger alla inom interva</w:t>
      </w:r>
      <w:r w:rsidRPr="006C40C1">
        <w:t>l</w:t>
      </w:r>
      <w:r w:rsidRPr="006C40C1">
        <w:t xml:space="preserve">let 0,9–1,3 miljarder kronor. </w:t>
      </w:r>
    </w:p>
    <w:p w:rsidR="00AA5D77" w:rsidRPr="006C40C1" w:rsidRDefault="00AA5D77">
      <w:pPr>
        <w:pStyle w:val="Normaltindrag"/>
      </w:pPr>
      <w:r w:rsidRPr="006C40C1">
        <w:t>Kvar på anslaget för köp av arbetsmarknadsutbildning finns efter Cente</w:t>
      </w:r>
      <w:r w:rsidRPr="006C40C1">
        <w:t>r</w:t>
      </w:r>
      <w:r w:rsidRPr="006C40C1">
        <w:t>partiets nedskärningar 1,2 miljarder kronor. Som arbetsmarknadsutskottet framhåller i sitt yttrande (AU1y) måste rimligtvis en neddragning av detta anslag påverka förutsättningarna för att bedriva en aktiv och effektiv arbet</w:t>
      </w:r>
      <w:r w:rsidRPr="006C40C1">
        <w:t>s</w:t>
      </w:r>
      <w:r w:rsidRPr="006C40C1">
        <w:t>marknadspolitik. De kraftiga besparingar som oppositionspartierna föreslår på detta anslag är enligt arbetsmarknadsutskottet svåra att förena med individ</w:t>
      </w:r>
      <w:r w:rsidRPr="006C40C1">
        <w:t>u</w:t>
      </w:r>
      <w:r w:rsidRPr="006C40C1">
        <w:t>ellt riktade insatser, utbildning, jobb- och utvecklingsgaranti m.m. som opp</w:t>
      </w:r>
      <w:r w:rsidRPr="006C40C1">
        <w:t>o</w:t>
      </w:r>
      <w:r w:rsidRPr="006C40C1">
        <w:t xml:space="preserve">sitionen samtidigt förordar, såvida inte tanken är att </w:t>
      </w:r>
      <w:r w:rsidRPr="006C40C1">
        <w:t>dessa insatser ska förb</w:t>
      </w:r>
      <w:r w:rsidRPr="006C40C1">
        <w:t>e</w:t>
      </w:r>
      <w:r w:rsidRPr="006C40C1">
        <w:t>hållas en begränsad krets av arbetslösa. Dessa partier talar om begränsade volymer, påpekar arbetsmarknadsutskottet, men anger inte vilka kategorier arbetslösa som ställs utanför. Oppositionen vill ha en bättre arbetsmarknad</w:t>
      </w:r>
      <w:r w:rsidRPr="006C40C1">
        <w:t>s</w:t>
      </w:r>
      <w:r w:rsidRPr="006C40C1">
        <w:t>politik, men den ska alltså genomföras till väsentligt lägre kostnader. Arbet</w:t>
      </w:r>
      <w:r w:rsidRPr="006C40C1">
        <w:t>s</w:t>
      </w:r>
      <w:r w:rsidRPr="006C40C1">
        <w:t>marknadsutskottet har mycket svårt att se hur de begränsade resurser som oppositionen vill ställa till arbetsmarknadspolitikens förfogande ska kunna leda till det som man säger sig vilj</w:t>
      </w:r>
      <w:r w:rsidRPr="006C40C1">
        <w:t>a åsta</w:t>
      </w:r>
      <w:r w:rsidRPr="006C40C1">
        <w:t>d</w:t>
      </w:r>
      <w:r w:rsidRPr="006C40C1">
        <w:t>komma.</w:t>
      </w:r>
    </w:p>
    <w:p w:rsidR="00AA5D77" w:rsidRPr="006C40C1" w:rsidRDefault="00AA5D77">
      <w:pPr>
        <w:pStyle w:val="Normaltindrag"/>
      </w:pPr>
      <w:r w:rsidRPr="006C40C1">
        <w:t>Finansutskottet delar arbetsmarknadsutskottets uppfattning. Centerpartiet har inte på ett trovärdigt sätt visat att partiets satsning på övergångsarbet</w:t>
      </w:r>
      <w:r w:rsidRPr="006C40C1">
        <w:t>s</w:t>
      </w:r>
      <w:r w:rsidRPr="006C40C1">
        <w:t>marknader och decentraliserat beslutsfattande i friare former kan ge de besp</w:t>
      </w:r>
      <w:r w:rsidRPr="006C40C1">
        <w:t>a</w:t>
      </w:r>
      <w:r w:rsidRPr="006C40C1">
        <w:t>ringar som uppges utan att det får negativa återverkningar för arbetsmar</w:t>
      </w:r>
      <w:r w:rsidRPr="006C40C1">
        <w:t>k</w:t>
      </w:r>
      <w:r w:rsidRPr="006C40C1">
        <w:t>nadspolitiken. Om inte tanken är att kommunerna utan ersättning ska tvingas ta på sig ett betydande ansvar för arbetsmarknadsutbildningen, får Centerpa</w:t>
      </w:r>
      <w:r w:rsidRPr="006C40C1">
        <w:t>r</w:t>
      </w:r>
      <w:r w:rsidRPr="006C40C1">
        <w:t>tiets förslag till följd att denna typ av insatser praktiskt taget avvecklas. Fö</w:t>
      </w:r>
      <w:r w:rsidRPr="006C40C1">
        <w:t>r</w:t>
      </w:r>
      <w:r w:rsidRPr="006C40C1">
        <w:t>slaget saknar som finansutskottet ser det därför trovä</w:t>
      </w:r>
      <w:r w:rsidRPr="006C40C1">
        <w:t>r</w:t>
      </w:r>
      <w:r w:rsidRPr="006C40C1">
        <w:t>dighet.</w:t>
      </w:r>
    </w:p>
    <w:p w:rsidR="00AA5D77" w:rsidRPr="006C40C1" w:rsidRDefault="00AA5D77">
      <w:pPr>
        <w:pStyle w:val="Normaltindrag"/>
      </w:pPr>
      <w:r w:rsidRPr="006C40C1">
        <w:t>På det arbetsmarknadspolitiska området vill Centerpartiet dessuto</w:t>
      </w:r>
      <w:r w:rsidRPr="006C40C1">
        <w:t>m redan nästa år begränsa Arbetsmarknadsverkets förvaltningsanslag med 700 milj</w:t>
      </w:r>
      <w:r w:rsidRPr="006C40C1">
        <w:t>o</w:t>
      </w:r>
      <w:r w:rsidRPr="006C40C1">
        <w:t>ner kronor. Detta anslag är i budgetpropositionen uppfört med 4,6 miljarder kronor och täcker såväl verkets centrala som dess regionala och lokala org</w:t>
      </w:r>
      <w:r w:rsidRPr="006C40C1">
        <w:t>a</w:t>
      </w:r>
      <w:r w:rsidRPr="006C40C1">
        <w:t>nisation. Motionärernas förslag innebär att medelstilldelningen på detta a</w:t>
      </w:r>
      <w:r w:rsidRPr="006C40C1">
        <w:t>n</w:t>
      </w:r>
      <w:r w:rsidRPr="006C40C1">
        <w:t>slag i ett steg begränsas med 15 %. Enligt finansutskottets mening kan en så omfattande minskning av anslaget inte förenas med en ambition att begränsa arbetslösheten och höja kvaliteten på de arbetsmarknad</w:t>
      </w:r>
      <w:r w:rsidRPr="006C40C1">
        <w:t>spolitiska åtgärde</w:t>
      </w:r>
      <w:r w:rsidRPr="006C40C1">
        <w:t>r</w:t>
      </w:r>
      <w:r w:rsidRPr="006C40C1">
        <w:t xml:space="preserve">na. </w:t>
      </w:r>
    </w:p>
    <w:p w:rsidR="00AA5D77" w:rsidRPr="006C40C1" w:rsidRDefault="00AA5D77">
      <w:pPr>
        <w:pStyle w:val="Normaltindrag"/>
      </w:pPr>
      <w:r w:rsidRPr="006C40C1">
        <w:t xml:space="preserve">Motionärerna räknar vidare med att nästa år kunna minska belastningen på anslaget 22:2 </w:t>
      </w:r>
      <w:r w:rsidRPr="006C40C1">
        <w:rPr>
          <w:i/>
        </w:rPr>
        <w:t>Bidrag till arbetslöshetsersättning och aktivitetsstöd</w:t>
      </w:r>
      <w:r w:rsidRPr="006C40C1">
        <w:t xml:space="preserve"> med 5,6 miljarder kronor genom att öka självfinansieringsgraden i den allmänna a</w:t>
      </w:r>
      <w:r w:rsidRPr="006C40C1">
        <w:t>r</w:t>
      </w:r>
      <w:r w:rsidRPr="006C40C1">
        <w:t>betslöshetsförsäkringen till en tredjedel av kostnaden. Man förutsätter alltså att medlemsavgiften kan höjas i denna omfattning redan vid årsskiftet. Bu</w:t>
      </w:r>
      <w:r w:rsidRPr="006C40C1">
        <w:t>d</w:t>
      </w:r>
      <w:r w:rsidRPr="006C40C1">
        <w:t>getavlastningen inskränker sig emellertid till netto 3,4 miljarder kronor efte</w:t>
      </w:r>
      <w:r w:rsidRPr="006C40C1">
        <w:t>r</w:t>
      </w:r>
      <w:r w:rsidRPr="006C40C1">
        <w:t>som avgiften till a-kassan ska berättiga till en skattereduktion på 40 %. Stat</w:t>
      </w:r>
      <w:r w:rsidRPr="006C40C1">
        <w:t>s</w:t>
      </w:r>
      <w:r w:rsidRPr="006C40C1">
        <w:t>budgetens inkomster kommer alltså att minska med ca 2,2 miljarder</w:t>
      </w:r>
      <w:r w:rsidRPr="006C40C1">
        <w:t xml:space="preserve"> kronor till följd av skattereduktionen. Hur man administrativt ska genomföra en vagt redovisad avgiftshöjning av detta slag redan nästa år berörs inte i motionen.</w:t>
      </w:r>
    </w:p>
    <w:p w:rsidR="00AA5D77" w:rsidRPr="006C40C1" w:rsidRDefault="00AA5D77">
      <w:pPr>
        <w:pStyle w:val="Normaltindrag"/>
      </w:pPr>
      <w:r w:rsidRPr="006C40C1">
        <w:t>Anslaget till arbetslöshetsersättning förutsätts i Centerpartiets budgetalte</w:t>
      </w:r>
      <w:r w:rsidRPr="006C40C1">
        <w:t>r</w:t>
      </w:r>
      <w:r w:rsidRPr="006C40C1">
        <w:t>nativ dessutom kunna begränsas ytterligare. Nuvarande arbetslöshetsförsä</w:t>
      </w:r>
      <w:r w:rsidRPr="006C40C1">
        <w:t>k</w:t>
      </w:r>
      <w:r w:rsidRPr="006C40C1">
        <w:t>ring ska omvandlas till en tydligare utformad omställningsförsäkring som ska träda i kraft vid det förestående årsskiftet, och man ska också göra en e</w:t>
      </w:r>
      <w:r w:rsidRPr="006C40C1">
        <w:t>n</w:t>
      </w:r>
      <w:r w:rsidRPr="006C40C1">
        <w:t>gångsindragning på 600 miljoner kronor av det anslagssparande som finns på anslaget.</w:t>
      </w:r>
    </w:p>
    <w:p w:rsidR="00AA5D77" w:rsidRPr="006C40C1" w:rsidRDefault="00AA5D77">
      <w:pPr>
        <w:pStyle w:val="Normaltindrag"/>
      </w:pPr>
      <w:r w:rsidRPr="006C40C1">
        <w:t>Sammantaget minskar Centerpartiet därmed anslaget för bidrag till a</w:t>
      </w:r>
      <w:r w:rsidRPr="006C40C1">
        <w:t>r</w:t>
      </w:r>
      <w:r w:rsidRPr="006C40C1">
        <w:t>betslöshetsersättning med 7,9 miljarder kronor, eller med närmare en fjärd</w:t>
      </w:r>
      <w:r w:rsidRPr="006C40C1">
        <w:t>e</w:t>
      </w:r>
      <w:r w:rsidRPr="006C40C1">
        <w:t>del.</w:t>
      </w:r>
    </w:p>
    <w:p w:rsidR="00AA5D77" w:rsidRPr="006C40C1" w:rsidRDefault="00AA5D77">
      <w:pPr>
        <w:pStyle w:val="Normaltindrag"/>
      </w:pPr>
      <w:r w:rsidRPr="006C40C1">
        <w:t xml:space="preserve">På utgiftsområde 10 </w:t>
      </w:r>
      <w:r w:rsidRPr="006C40C1">
        <w:rPr>
          <w:i/>
        </w:rPr>
        <w:t>Ekonomisk trygghet vid sjukdom och handikapp</w:t>
      </w:r>
      <w:r w:rsidRPr="006C40C1">
        <w:t xml:space="preserve"> för</w:t>
      </w:r>
      <w:r w:rsidRPr="006C40C1">
        <w:t>e</w:t>
      </w:r>
      <w:r w:rsidRPr="006C40C1">
        <w:t>slår Centerpartiet att nivån på utgifterna ska begränsas med 5,9 miljarder kronor 2003 och med drygt det dubbla beloppet 2004 eller 11,7 miljarder kronor. Denna utgiftsminskning förklaras i motionen bl.a. av de positiva effekterna av partiets satsning på rehabilitering som redan första året föru</w:t>
      </w:r>
      <w:r w:rsidRPr="006C40C1">
        <w:t>t</w:t>
      </w:r>
      <w:r w:rsidRPr="006C40C1">
        <w:t>sätts ge så snabb utdelning att den inte bara betalar sig själv utan också leder till stora besparingar. Partiets minskning av anslagen för sjukpenning och rehabilite</w:t>
      </w:r>
      <w:r w:rsidRPr="006C40C1">
        <w:t xml:space="preserve">ring samt förtidspensioner är nästa år 4,8 miljarder kronor. I detta belopp ingår även effekten av ett förslag om att den sjukpenninggrundande inkomsten (SGI) ska baseras på en historisk inkomst. </w:t>
      </w:r>
    </w:p>
    <w:p w:rsidR="00AA5D77" w:rsidRPr="006C40C1" w:rsidRDefault="00AA5D77">
      <w:pPr>
        <w:pStyle w:val="Normaltindrag"/>
      </w:pPr>
      <w:r w:rsidRPr="006C40C1">
        <w:t>Hur en i och för sig angelägen satsning på rehabilitering ska kunna få ett så snabbt genomslag att den redan första året kraftigt minskar utgifterna för sjukskrivning och förtidspension framgår inte av motionen. Värt att notera är att detta är utgiftsminskningar som tillkommer ovanpå de besparingar rege</w:t>
      </w:r>
      <w:r w:rsidRPr="006C40C1">
        <w:t>r</w:t>
      </w:r>
      <w:r w:rsidRPr="006C40C1">
        <w:t>ingen räknat in i budgetpropositionen för sin rehabiliteringssatsning. Moti</w:t>
      </w:r>
      <w:r w:rsidRPr="006C40C1">
        <w:t>o</w:t>
      </w:r>
      <w:r w:rsidRPr="006C40C1">
        <w:t>närernas budgetförslag utgår nämligen från budgetpropositionens nivåer, och Centerpartiet har inte motsatt sig regeringens rehabiliteringssatsning.</w:t>
      </w:r>
    </w:p>
    <w:p w:rsidR="00AA5D77" w:rsidRPr="006C40C1" w:rsidRDefault="00AA5D77">
      <w:pPr>
        <w:pStyle w:val="Normaltindrag"/>
      </w:pPr>
      <w:r w:rsidRPr="006C40C1">
        <w:t>Utskottets genomgång visar att Centerpartiets förslag till skattesänkningar och nya utgiftsåtaganden i många fall har en svagt underbyggd och yvigt tilltagen finansiering. Finansieras skattesänkningarna på detta sätt riskerar man snabbt att stabiliteten i statsfinanserna urholkas.</w:t>
      </w:r>
    </w:p>
    <w:p w:rsidR="00AA5D77" w:rsidRPr="006C40C1" w:rsidRDefault="00AA5D77">
      <w:pPr>
        <w:pStyle w:val="Normaltindrag"/>
      </w:pPr>
      <w:r w:rsidRPr="006C40C1">
        <w:t>Utskottet avvisar mot denna bakgrund Centerpartiets förslag till inriktning av budgetpolitiken.</w:t>
      </w:r>
    </w:p>
    <w:p w:rsidR="00AA5D77" w:rsidRPr="006C40C1" w:rsidRDefault="00AA5D77">
      <w:pPr>
        <w:spacing w:before="312"/>
        <w:rPr>
          <w:snapToGrid w:val="0"/>
          <w:lang w:eastAsia="sv-SE"/>
        </w:rPr>
      </w:pPr>
      <w:r w:rsidRPr="006C40C1">
        <w:rPr>
          <w:b/>
          <w:i/>
          <w:snapToGrid w:val="0"/>
          <w:lang w:eastAsia="sv-SE"/>
        </w:rPr>
        <w:t>Sammanfattningsvis</w:t>
      </w:r>
      <w:r w:rsidRPr="006C40C1">
        <w:rPr>
          <w:snapToGrid w:val="0"/>
          <w:lang w:eastAsia="sv-SE"/>
        </w:rPr>
        <w:t xml:space="preserve"> anser utskottet alltså att de förslag till alternativ inrik</w:t>
      </w:r>
      <w:r w:rsidRPr="006C40C1">
        <w:rPr>
          <w:snapToGrid w:val="0"/>
          <w:lang w:eastAsia="sv-SE"/>
        </w:rPr>
        <w:t>t</w:t>
      </w:r>
      <w:r w:rsidRPr="006C40C1">
        <w:rPr>
          <w:snapToGrid w:val="0"/>
          <w:lang w:eastAsia="sv-SE"/>
        </w:rPr>
        <w:t>ning av budgetpolitiken som redovisas av Moderata samlingspartiet, Kristd</w:t>
      </w:r>
      <w:r w:rsidRPr="006C40C1">
        <w:rPr>
          <w:snapToGrid w:val="0"/>
          <w:lang w:eastAsia="sv-SE"/>
        </w:rPr>
        <w:t>e</w:t>
      </w:r>
      <w:r w:rsidRPr="006C40C1">
        <w:rPr>
          <w:snapToGrid w:val="0"/>
          <w:lang w:eastAsia="sv-SE"/>
        </w:rPr>
        <w:t xml:space="preserve">mokraterna, Centerpartiet och Folkpartiet liberalerna inte bör läggas till grund för riksdagens beslut i frågan. Med sina långtgående krav på skattesänkningar finansierade genom försämringar av grundläggande trygghetssystem och i flera fall oprecist beräknade besparingar ger dessa förslag inte den stadga som krävs för att man ska kunna upprätthålla stabila statsfinanser. De </w:t>
      </w:r>
      <w:r w:rsidRPr="006C40C1">
        <w:rPr>
          <w:snapToGrid w:val="0"/>
          <w:lang w:eastAsia="sv-SE"/>
        </w:rPr>
        <w:t>gångna årens mödosamma arbete med att återskapa sunda statsfinanser skulle därmed riskera att gå om intet.</w:t>
      </w:r>
    </w:p>
    <w:p w:rsidR="00AA5D77" w:rsidRPr="006C40C1" w:rsidRDefault="00AA5D77">
      <w:pPr>
        <w:pStyle w:val="Normaltindrag"/>
      </w:pPr>
      <w:r w:rsidRPr="006C40C1">
        <w:t>De fyra borgerliga partierna vill alla sänka skatterna med mellan 34 och 48 miljarder kronor under de båda närmaste åren. Längst går Moderata sa</w:t>
      </w:r>
      <w:r w:rsidRPr="006C40C1">
        <w:t>m</w:t>
      </w:r>
      <w:r w:rsidRPr="006C40C1">
        <w:t>lingspartiet som i sin strävan att minska den offentliga sektorns omslutning föreslår mycket långtgående skatte- och utgiftsminskningar, vilka i betydande utsträckning omfördelar resurser till de redan välbeställda och utarmar sociala trygghetssystem. Men även Kristdemokraterna, Centerpartiet och Folkpartiet liberalerna lägger i sina motioner fram budgetalternativ med liknande effe</w:t>
      </w:r>
      <w:r w:rsidRPr="006C40C1">
        <w:t>k</w:t>
      </w:r>
      <w:r w:rsidRPr="006C40C1">
        <w:t>ter.</w:t>
      </w:r>
    </w:p>
    <w:p w:rsidR="00AA5D77" w:rsidRPr="006C40C1" w:rsidRDefault="00AA5D77">
      <w:pPr>
        <w:pStyle w:val="Normaltindrag"/>
      </w:pPr>
      <w:r w:rsidRPr="006C40C1">
        <w:t>Oppositionspartiernas skattesänkningar är alla tydligt redovisade och står i det avseendet i bjärt kontrast till deras ti</w:t>
      </w:r>
      <w:r w:rsidRPr="006C40C1">
        <w:t>lltänkta finansiering, vilken på några principiellt viktiga områden är både otydlig och svagt unde</w:t>
      </w:r>
      <w:r w:rsidRPr="006C40C1">
        <w:t>r</w:t>
      </w:r>
      <w:r w:rsidRPr="006C40C1">
        <w:t xml:space="preserve">byggd. </w:t>
      </w:r>
    </w:p>
    <w:p w:rsidR="00AA5D77" w:rsidRPr="006C40C1" w:rsidRDefault="00AA5D77">
      <w:pPr>
        <w:pStyle w:val="Normaltindrag"/>
      </w:pPr>
      <w:r w:rsidRPr="006C40C1">
        <w:t>Gemensamt är att tyngdpunkten i finansieringen ligger på två utgiftsomr</w:t>
      </w:r>
      <w:r w:rsidRPr="006C40C1">
        <w:t>å</w:t>
      </w:r>
      <w:r w:rsidRPr="006C40C1">
        <w:t xml:space="preserve">den, nämligen utgiftsområdena 10 </w:t>
      </w:r>
      <w:r w:rsidRPr="006C40C1">
        <w:rPr>
          <w:i/>
        </w:rPr>
        <w:t>Ekonomisk trygghet vid sjukdom och ha</w:t>
      </w:r>
      <w:r w:rsidRPr="006C40C1">
        <w:rPr>
          <w:i/>
        </w:rPr>
        <w:t>n</w:t>
      </w:r>
      <w:r w:rsidRPr="006C40C1">
        <w:rPr>
          <w:i/>
        </w:rPr>
        <w:t>dikapp</w:t>
      </w:r>
      <w:r w:rsidRPr="006C40C1">
        <w:t xml:space="preserve"> samt utgiftsområde 13 </w:t>
      </w:r>
      <w:r w:rsidRPr="006C40C1">
        <w:rPr>
          <w:i/>
        </w:rPr>
        <w:t>Arbetsmarknad</w:t>
      </w:r>
      <w:r w:rsidRPr="006C40C1">
        <w:t>. Utgiftsminskningar på enbart på dessa områden finansierar cirka tre femtedelar av partiernas tilltänkta skatt</w:t>
      </w:r>
      <w:r w:rsidRPr="006C40C1">
        <w:t>e</w:t>
      </w:r>
      <w:r w:rsidRPr="006C40C1">
        <w:t xml:space="preserve">sänkningar. </w:t>
      </w:r>
    </w:p>
    <w:p w:rsidR="00AA5D77" w:rsidRPr="006C40C1" w:rsidRDefault="00AA5D77">
      <w:pPr>
        <w:keepNext/>
        <w:spacing w:before="360" w:line="170" w:lineRule="exact"/>
        <w:rPr>
          <w:b/>
          <w:sz w:val="17"/>
        </w:rPr>
      </w:pPr>
      <w:r w:rsidRPr="006C40C1">
        <w:rPr>
          <w:b/>
          <w:sz w:val="17"/>
        </w:rPr>
        <w:t>Tabell 27.  Finansieringen av oppositionspartiernas skattesänkningar 2004</w:t>
      </w:r>
    </w:p>
    <w:p w:rsidR="00AA5D77" w:rsidRPr="006C40C1" w:rsidRDefault="00AA5D77">
      <w:pPr>
        <w:pStyle w:val="TabellfrklaringFiU20"/>
        <w:keepLines w:val="0"/>
      </w:pPr>
      <w:r w:rsidRPr="006C40C1">
        <w:t>Miljarder kronor</w:t>
      </w:r>
    </w:p>
    <w:p w:rsidR="00AA5D77" w:rsidRPr="006C40C1" w:rsidRDefault="006C40C1">
      <w:pPr>
        <w:pStyle w:val="Normaltindrag"/>
        <w:keepNext/>
        <w:spacing w:line="240" w:lineRule="auto"/>
        <w:ind w:firstLine="0"/>
      </w:pPr>
      <w:r w:rsidRPr="006C40C1">
        <w:rPr>
          <w:noProof/>
        </w:rPr>
        <w:drawing>
          <wp:inline distT="0" distB="0" distL="0" distR="0">
            <wp:extent cx="3733800" cy="887095"/>
            <wp:effectExtent l="0" t="0" r="0" b="0"/>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733800" cy="887095"/>
                    </a:xfrm>
                    <a:prstGeom prst="rect">
                      <a:avLst/>
                    </a:prstGeom>
                    <a:noFill/>
                    <a:ln>
                      <a:noFill/>
                    </a:ln>
                  </pic:spPr>
                </pic:pic>
              </a:graphicData>
            </a:graphic>
          </wp:inline>
        </w:drawing>
      </w:r>
    </w:p>
    <w:p w:rsidR="00AA5D77" w:rsidRPr="006C40C1" w:rsidRDefault="00AA5D77">
      <w:pPr>
        <w:pStyle w:val="Normaltindrag"/>
        <w:spacing w:line="100" w:lineRule="exact"/>
        <w:ind w:firstLine="0"/>
      </w:pPr>
    </w:p>
    <w:p w:rsidR="00AA5D77" w:rsidRPr="006C40C1" w:rsidRDefault="00AA5D77">
      <w:r w:rsidRPr="006C40C1">
        <w:t>De tydligt redovisade skattesänkningarna avser i första hand inkomstbeskat</w:t>
      </w:r>
      <w:r w:rsidRPr="006C40C1">
        <w:t>t</w:t>
      </w:r>
      <w:r w:rsidRPr="006C40C1">
        <w:t>ningen och är i de flesta fall tekniskt möjliga att genomföra med tämligen kort varsel. Oppositionspartiernas besparingsförslag däremot – och då inte minst förslagen på dessa båda utgiftsområden – framstår många gånger som helt orealistiska i det korta perspektivet eftersom man för att kunna förverkliga dem först måste utforma detaljregler, anpassa administrationen och ge berö</w:t>
      </w:r>
      <w:r w:rsidRPr="006C40C1">
        <w:t>r</w:t>
      </w:r>
      <w:r w:rsidRPr="006C40C1">
        <w:t>da rimlig tid att anpassa sig till de nya förutsättninga</w:t>
      </w:r>
      <w:r w:rsidRPr="006C40C1">
        <w:t>r</w:t>
      </w:r>
      <w:r w:rsidRPr="006C40C1">
        <w:t>na.</w:t>
      </w:r>
    </w:p>
    <w:p w:rsidR="00AA5D77" w:rsidRPr="006C40C1" w:rsidRDefault="00AA5D77">
      <w:pPr>
        <w:pStyle w:val="Normaltindrag"/>
        <w:rPr>
          <w:snapToGrid w:val="0"/>
          <w:lang w:eastAsia="sv-SE"/>
        </w:rPr>
      </w:pPr>
      <w:r w:rsidRPr="006C40C1">
        <w:t xml:space="preserve">Bakom de mycket långtgående utgiftsbegränsningarna på utgiftsområdena </w:t>
      </w:r>
      <w:r w:rsidRPr="006C40C1">
        <w:t>10 och 13 döljer sig bl.a. några större avlyft från statsbudgeten. Så t.ex. föru</w:t>
      </w:r>
      <w:r w:rsidRPr="006C40C1">
        <w:t>t</w:t>
      </w:r>
      <w:r w:rsidRPr="006C40C1">
        <w:t xml:space="preserve">sätter de fyra partierna var för sig att egenavgiften </w:t>
      </w:r>
      <w:r w:rsidRPr="006C40C1">
        <w:rPr>
          <w:snapToGrid w:val="0"/>
          <w:lang w:eastAsia="sv-SE"/>
        </w:rPr>
        <w:t>till arbetslöshetsförsä</w:t>
      </w:r>
      <w:r w:rsidRPr="006C40C1">
        <w:rPr>
          <w:snapToGrid w:val="0"/>
          <w:lang w:eastAsia="sv-SE"/>
        </w:rPr>
        <w:t>k</w:t>
      </w:r>
      <w:r w:rsidRPr="006C40C1">
        <w:rPr>
          <w:snapToGrid w:val="0"/>
          <w:lang w:eastAsia="sv-SE"/>
        </w:rPr>
        <w:t>ringen nästa år ska kunna höjas så att den motsvarar ungefär en tredjedel av försäkringens kostnader, Moderata samlingspartiet dock först från halvår</w:t>
      </w:r>
      <w:r w:rsidRPr="006C40C1">
        <w:rPr>
          <w:snapToGrid w:val="0"/>
          <w:lang w:eastAsia="sv-SE"/>
        </w:rPr>
        <w:t>s</w:t>
      </w:r>
      <w:r w:rsidRPr="006C40C1">
        <w:rPr>
          <w:snapToGrid w:val="0"/>
          <w:lang w:eastAsia="sv-SE"/>
        </w:rPr>
        <w:t xml:space="preserve">skiftet. Alla tillgodoräknar också sina budgetalternativ en besparing som för helår uppgår till </w:t>
      </w:r>
      <w:r w:rsidRPr="006C40C1">
        <w:t>mellan 5 och 9 mi</w:t>
      </w:r>
      <w:r w:rsidRPr="006C40C1">
        <w:t>l</w:t>
      </w:r>
      <w:r w:rsidRPr="006C40C1">
        <w:t>jarder kronor</w:t>
      </w:r>
      <w:r w:rsidRPr="006C40C1">
        <w:rPr>
          <w:snapToGrid w:val="0"/>
          <w:lang w:eastAsia="sv-SE"/>
        </w:rPr>
        <w:t xml:space="preserve"> för detta förslag. </w:t>
      </w:r>
    </w:p>
    <w:p w:rsidR="00AA5D77" w:rsidRPr="006C40C1" w:rsidRDefault="00AA5D77">
      <w:pPr>
        <w:pStyle w:val="Normaltindrag"/>
        <w:rPr>
          <w:snapToGrid w:val="0"/>
          <w:lang w:eastAsia="sv-SE"/>
        </w:rPr>
      </w:pPr>
      <w:r w:rsidRPr="006C40C1">
        <w:rPr>
          <w:snapToGrid w:val="0"/>
          <w:lang w:eastAsia="sv-SE"/>
        </w:rPr>
        <w:t xml:space="preserve">De försäkrade ska alltså själva få svara för en större </w:t>
      </w:r>
      <w:r w:rsidRPr="006C40C1">
        <w:rPr>
          <w:snapToGrid w:val="0"/>
          <w:lang w:eastAsia="sv-SE"/>
        </w:rPr>
        <w:t>del av kostnaderna för arbetslöshetsförsäkringen, vilket automatiskt urholkar värdet av de skatt</w:t>
      </w:r>
      <w:r w:rsidRPr="006C40C1">
        <w:rPr>
          <w:snapToGrid w:val="0"/>
          <w:lang w:eastAsia="sv-SE"/>
        </w:rPr>
        <w:t>e</w:t>
      </w:r>
      <w:r w:rsidRPr="006C40C1">
        <w:rPr>
          <w:snapToGrid w:val="0"/>
          <w:lang w:eastAsia="sv-SE"/>
        </w:rPr>
        <w:t>sänkningar som de samtidigt erbjuds. En sådan förändring är möjlig att genomföra, men med tanke på att arbetslöshetsförsäkringen i dag administr</w:t>
      </w:r>
      <w:r w:rsidRPr="006C40C1">
        <w:rPr>
          <w:snapToGrid w:val="0"/>
          <w:lang w:eastAsia="sv-SE"/>
        </w:rPr>
        <w:t>e</w:t>
      </w:r>
      <w:r w:rsidRPr="006C40C1">
        <w:rPr>
          <w:snapToGrid w:val="0"/>
          <w:lang w:eastAsia="sv-SE"/>
        </w:rPr>
        <w:t>ras av ett fyrtiotal fristående arbetslöshetskassor med stora skillnader i a</w:t>
      </w:r>
      <w:r w:rsidRPr="006C40C1">
        <w:rPr>
          <w:snapToGrid w:val="0"/>
          <w:lang w:eastAsia="sv-SE"/>
        </w:rPr>
        <w:t>r</w:t>
      </w:r>
      <w:r w:rsidRPr="006C40C1">
        <w:rPr>
          <w:snapToGrid w:val="0"/>
          <w:lang w:eastAsia="sv-SE"/>
        </w:rPr>
        <w:t>betslöshet och med olika nivåer på medlemsavgifter kräver en omläggning av detta slag rimlig tid av förberedelse för att en vagt utformad idéskiss ska kunna omvandlas till en praktiskt fungeran</w:t>
      </w:r>
      <w:r w:rsidRPr="006C40C1">
        <w:rPr>
          <w:snapToGrid w:val="0"/>
          <w:lang w:eastAsia="sv-SE"/>
        </w:rPr>
        <w:t>de åtgärd.</w:t>
      </w:r>
    </w:p>
    <w:p w:rsidR="00AA5D77" w:rsidRPr="006C40C1" w:rsidRDefault="00AA5D77">
      <w:pPr>
        <w:pStyle w:val="Normaltindrag"/>
      </w:pPr>
      <w:r w:rsidRPr="006C40C1">
        <w:rPr>
          <w:snapToGrid w:val="0"/>
          <w:lang w:eastAsia="sv-SE"/>
        </w:rPr>
        <w:t>Arbetsmarknadsutskottet har i sitt yttrande (AU1y) kritiserat opposition</w:t>
      </w:r>
      <w:r w:rsidRPr="006C40C1">
        <w:rPr>
          <w:snapToGrid w:val="0"/>
          <w:lang w:eastAsia="sv-SE"/>
        </w:rPr>
        <w:t>s</w:t>
      </w:r>
      <w:r w:rsidRPr="006C40C1">
        <w:rPr>
          <w:snapToGrid w:val="0"/>
          <w:lang w:eastAsia="sv-SE"/>
        </w:rPr>
        <w:t xml:space="preserve">partierna för deras a-kasseförslag och sett </w:t>
      </w:r>
      <w:r w:rsidRPr="006C40C1">
        <w:t>det som helt orealistiskt att de skulle kunna genomföras så snabbt att de får genomslag på budgeten redan nästa år. Det är fråga om genomgripande systemförändringar som kräver lagändringar och administrativa anpassningar, framhåller arbetsmarknadsu</w:t>
      </w:r>
      <w:r w:rsidRPr="006C40C1">
        <w:t>t</w:t>
      </w:r>
      <w:r w:rsidRPr="006C40C1">
        <w:t>skottet. De besparingseffekter som oppositionen tillgodoräknar sig i sina budgetmotioner ser utskottet därför mera som förhoppningar än som väl underbyggda fö</w:t>
      </w:r>
      <w:r w:rsidRPr="006C40C1">
        <w:t>r</w:t>
      </w:r>
      <w:r w:rsidRPr="006C40C1">
        <w:t>slag.</w:t>
      </w:r>
    </w:p>
    <w:p w:rsidR="00AA5D77" w:rsidRPr="006C40C1" w:rsidRDefault="00AA5D77">
      <w:pPr>
        <w:pStyle w:val="Normaltindrag"/>
        <w:rPr>
          <w:snapToGrid w:val="0"/>
          <w:lang w:eastAsia="sv-SE"/>
        </w:rPr>
      </w:pPr>
      <w:r w:rsidRPr="006C40C1">
        <w:t>Arbetsmarknadsutskottet ifrågasätter även i övrigt op</w:t>
      </w:r>
      <w:r w:rsidRPr="006C40C1">
        <w:t>positionspartiernas vagt formulerade a-kasseförslag. Bland annat frågar sig arbetsmarknadsu</w:t>
      </w:r>
      <w:r w:rsidRPr="006C40C1">
        <w:t>t</w:t>
      </w:r>
      <w:r w:rsidRPr="006C40C1">
        <w:t>skottet hur den enskilde kassamedlemmens avgift ska beräknas mera i detalj och vilka som ska stå för finansieringen. Ska det vara hela löntagarkollektivet eller bara de som är medlemmar i en kassa? Eller ska det vara de som kan sägas ha förankring på arbetsmarknaden, och hur ska i så fall detta kriterium bestämmas? Dessutom är arbetsmarknadsutskottet kritiskt mot att öka egenf</w:t>
      </w:r>
      <w:r w:rsidRPr="006C40C1">
        <w:t>i</w:t>
      </w:r>
      <w:r w:rsidRPr="006C40C1">
        <w:t>nansieringen eftersom det ger en kraftig</w:t>
      </w:r>
      <w:r w:rsidRPr="006C40C1">
        <w:t>t höjd insats för den enskilde, särskilt i ett läge med hög arbetslöshet. Förslagen har dessutom den bristen att de i motsats till dagens system inte motiverar vare sig medlemmarna i en a-kassa eller deras fackliga organisation att ta ansvar för löneutvecklingen inom den egna kassans område. Arbetsmarknadsutskottet anser dessutom att förslagen är administrativt krångliga eftersom man i förväg inte kan fastställa grunden för avgiftsuttaget, dvs. hur stora kostnader som arbetslöshetsförsäkringen kommer att ha</w:t>
      </w:r>
      <w:r w:rsidRPr="006C40C1">
        <w:t>.</w:t>
      </w:r>
      <w:r w:rsidRPr="006C40C1">
        <w:rPr>
          <w:snapToGrid w:val="0"/>
          <w:lang w:eastAsia="sv-SE"/>
        </w:rPr>
        <w:t xml:space="preserve"> </w:t>
      </w:r>
    </w:p>
    <w:p w:rsidR="00AA5D77" w:rsidRPr="006C40C1" w:rsidRDefault="00AA5D77">
      <w:pPr>
        <w:pStyle w:val="Normaltindrag"/>
      </w:pPr>
      <w:r w:rsidRPr="006C40C1">
        <w:rPr>
          <w:snapToGrid w:val="0"/>
          <w:lang w:eastAsia="sv-SE"/>
        </w:rPr>
        <w:t>De fyra partiernas stora besparingar på utgiftsområde 13 förklaras också av ett förslag om att avveckla AMS i dess nuvarande form. Förslagen skiljer sig något åt, men i princip ska en</w:t>
      </w:r>
      <w:r w:rsidRPr="006C40C1">
        <w:t xml:space="preserve"> ny, bantad tillsynsmyndighet med servicekontor över hela landet överta ansvaret för delar av verksamheten samtidigt som jobbförmedling och yrkesutbildning privatis</w:t>
      </w:r>
      <w:r w:rsidRPr="006C40C1">
        <w:t>e</w:t>
      </w:r>
      <w:r w:rsidRPr="006C40C1">
        <w:t>ras.</w:t>
      </w:r>
    </w:p>
    <w:p w:rsidR="00AA5D77" w:rsidRPr="006C40C1" w:rsidRDefault="00AA5D77">
      <w:pPr>
        <w:pStyle w:val="Normaltindrag"/>
        <w:rPr>
          <w:snapToGrid w:val="0"/>
          <w:lang w:eastAsia="sv-SE"/>
        </w:rPr>
      </w:pPr>
      <w:r w:rsidRPr="006C40C1">
        <w:t>Som utskottet tidigare framhållit skulle med stor sannolikhet en privatis</w:t>
      </w:r>
      <w:r w:rsidRPr="006C40C1">
        <w:t>e</w:t>
      </w:r>
      <w:r w:rsidRPr="006C40C1">
        <w:t>ring av väsentliga verksamheter inom arbetsmarknadspolitikens område få till följd att olika delar av landet, liksom olika yrkesgrupper, inte får en likvärdig behandling. Vissa befolkningsgrupper, såsom invandrare och personer nära pensionsåldern, riskerar att med en privatiserad arbetsförmedling få en klart försvagad ställning på arbetsmarknaden. Om ett större varsel skulle drabba en ort kan dessutom dagens arbetsförmedlingar med sin centrala uppbackning ge en helt annan service än en privat</w:t>
      </w:r>
      <w:r w:rsidRPr="006C40C1">
        <w:t>i</w:t>
      </w:r>
      <w:r w:rsidRPr="006C40C1">
        <w:t>serad verksam</w:t>
      </w:r>
      <w:r w:rsidRPr="006C40C1">
        <w:t>het.</w:t>
      </w:r>
    </w:p>
    <w:p w:rsidR="00AA5D77" w:rsidRPr="006C40C1" w:rsidRDefault="00AA5D77">
      <w:pPr>
        <w:pStyle w:val="Normaltindrag"/>
        <w:rPr>
          <w:snapToGrid w:val="0"/>
          <w:lang w:eastAsia="sv-SE"/>
        </w:rPr>
      </w:pPr>
      <w:r w:rsidRPr="006C40C1">
        <w:rPr>
          <w:snapToGrid w:val="0"/>
          <w:lang w:eastAsia="sv-SE"/>
        </w:rPr>
        <w:t>Ett annan variant på ett avlyft från statsbudgeten föreslås av Moderata samlingspartiet, Kristdemokraterna och Folkpartiet liberalerna som vill föra över kostnaderna för trafikskador från sjukförsäkringen till den obligatoriska trafikförsäkringen, vilket förutsätts kunna ske redan under nästa år. Omläg</w:t>
      </w:r>
      <w:r w:rsidRPr="006C40C1">
        <w:rPr>
          <w:snapToGrid w:val="0"/>
          <w:lang w:eastAsia="sv-SE"/>
        </w:rPr>
        <w:t>g</w:t>
      </w:r>
      <w:r w:rsidRPr="006C40C1">
        <w:rPr>
          <w:snapToGrid w:val="0"/>
          <w:lang w:eastAsia="sv-SE"/>
        </w:rPr>
        <w:t>ningen väntas enligt partiernas uppskattningar minska statsbudgetens utgifter med grovt räknat 4 miljarder kronor, ett belopp som i stället förutsätts belasta bilisterna genom kraftigt höjda försäkringspremier. Värdet av de utlovade skattesänkningarna urholkas alltså även av dessa avgifter. Och inte heller i detta fall redovisar partierna något konkret förslag till hur detta tekniskt och administrativt ska kunna lösas på den korta tid som återstår tills förändringen ska vara fullt genomförd. Än mindre förk</w:t>
      </w:r>
      <w:r w:rsidRPr="006C40C1">
        <w:rPr>
          <w:snapToGrid w:val="0"/>
          <w:lang w:eastAsia="sv-SE"/>
        </w:rPr>
        <w:t>larar de hur det ska vara möjligt för försäkringsbolagen att bryta löpande försäkringsavtal för att kunna ta ut de avgiftshö</w:t>
      </w:r>
      <w:r w:rsidRPr="006C40C1">
        <w:rPr>
          <w:snapToGrid w:val="0"/>
          <w:lang w:eastAsia="sv-SE"/>
        </w:rPr>
        <w:t>j</w:t>
      </w:r>
      <w:r w:rsidRPr="006C40C1">
        <w:rPr>
          <w:snapToGrid w:val="0"/>
          <w:lang w:eastAsia="sv-SE"/>
        </w:rPr>
        <w:t>ningar som krävs.</w:t>
      </w:r>
    </w:p>
    <w:p w:rsidR="00AA5D77" w:rsidRPr="006C40C1" w:rsidRDefault="00AA5D77">
      <w:pPr>
        <w:pStyle w:val="Normaltindrag"/>
        <w:rPr>
          <w:snapToGrid w:val="0"/>
          <w:lang w:eastAsia="sv-SE"/>
        </w:rPr>
      </w:pPr>
      <w:r w:rsidRPr="006C40C1">
        <w:rPr>
          <w:snapToGrid w:val="0"/>
          <w:lang w:eastAsia="sv-SE"/>
        </w:rPr>
        <w:t>Även i detta fall anvisar man alltså en finansiering i flermiljardklassen som inte ter sig möjlig att uppnå, åtminstone inte under det närmaste året.</w:t>
      </w:r>
    </w:p>
    <w:p w:rsidR="00AA5D77" w:rsidRPr="006C40C1" w:rsidRDefault="00AA5D77">
      <w:pPr>
        <w:pStyle w:val="Normaltindrag"/>
        <w:rPr>
          <w:snapToGrid w:val="0"/>
          <w:lang w:eastAsia="sv-SE"/>
        </w:rPr>
      </w:pPr>
      <w:r w:rsidRPr="006C40C1">
        <w:rPr>
          <w:snapToGrid w:val="0"/>
          <w:lang w:eastAsia="sv-SE"/>
        </w:rPr>
        <w:t>Liksom regeringen vill de fyra partierna komma till rätta med de snabbt ökande kostnaderna för sjukskrivningar och förtidspensioner. De avdelar därför resurser för en utbyggd rehabilitering och räknar med att redan första året kunna begränsa dessa kostnader. Som en följd härav minskar de utgifte</w:t>
      </w:r>
      <w:r w:rsidRPr="006C40C1">
        <w:rPr>
          <w:snapToGrid w:val="0"/>
          <w:lang w:eastAsia="sv-SE"/>
        </w:rPr>
        <w:t>r</w:t>
      </w:r>
      <w:r w:rsidRPr="006C40C1">
        <w:rPr>
          <w:snapToGrid w:val="0"/>
          <w:lang w:eastAsia="sv-SE"/>
        </w:rPr>
        <w:t>na på utgiftsområde 10. Eftersom dessa anslagsminskningar görs i förhållande till de utgiftsnivåer som redovisas i budgetpropositionen, och budgetpropos</w:t>
      </w:r>
      <w:r w:rsidRPr="006C40C1">
        <w:rPr>
          <w:snapToGrid w:val="0"/>
          <w:lang w:eastAsia="sv-SE"/>
        </w:rPr>
        <w:t>i</w:t>
      </w:r>
      <w:r w:rsidRPr="006C40C1">
        <w:rPr>
          <w:snapToGrid w:val="0"/>
          <w:lang w:eastAsia="sv-SE"/>
        </w:rPr>
        <w:t>tionens utgiftsnivåer inkluderar effekten av regeringens satsning på ohäls</w:t>
      </w:r>
      <w:r w:rsidRPr="006C40C1">
        <w:rPr>
          <w:snapToGrid w:val="0"/>
          <w:lang w:eastAsia="sv-SE"/>
        </w:rPr>
        <w:t>o</w:t>
      </w:r>
      <w:r w:rsidRPr="006C40C1">
        <w:rPr>
          <w:snapToGrid w:val="0"/>
          <w:lang w:eastAsia="sv-SE"/>
        </w:rPr>
        <w:t>området, blir följden något av en dubbelräkning. Oppositionspartiernas besp</w:t>
      </w:r>
      <w:r w:rsidRPr="006C40C1">
        <w:rPr>
          <w:snapToGrid w:val="0"/>
          <w:lang w:eastAsia="sv-SE"/>
        </w:rPr>
        <w:t>a</w:t>
      </w:r>
      <w:r w:rsidRPr="006C40C1">
        <w:rPr>
          <w:snapToGrid w:val="0"/>
          <w:lang w:eastAsia="sv-SE"/>
        </w:rPr>
        <w:t>ringsförslag görs alltså på toppen av regeringens förslag, och dessa partier förutsätter med andra ord att de utöver de besparingar som regeringen tillg</w:t>
      </w:r>
      <w:r w:rsidRPr="006C40C1">
        <w:rPr>
          <w:snapToGrid w:val="0"/>
          <w:lang w:eastAsia="sv-SE"/>
        </w:rPr>
        <w:t>o</w:t>
      </w:r>
      <w:r w:rsidRPr="006C40C1">
        <w:rPr>
          <w:snapToGrid w:val="0"/>
          <w:lang w:eastAsia="sv-SE"/>
        </w:rPr>
        <w:t>doräknar sig redan nästa år, ska kunna göra ännu störr</w:t>
      </w:r>
      <w:r w:rsidRPr="006C40C1">
        <w:rPr>
          <w:snapToGrid w:val="0"/>
          <w:lang w:eastAsia="sv-SE"/>
        </w:rPr>
        <w:t>e besparingar på marg</w:t>
      </w:r>
      <w:r w:rsidRPr="006C40C1">
        <w:rPr>
          <w:snapToGrid w:val="0"/>
          <w:lang w:eastAsia="sv-SE"/>
        </w:rPr>
        <w:t>i</w:t>
      </w:r>
      <w:r w:rsidRPr="006C40C1">
        <w:rPr>
          <w:snapToGrid w:val="0"/>
          <w:lang w:eastAsia="sv-SE"/>
        </w:rPr>
        <w:t>nalen med sina tillkommande satsningar.</w:t>
      </w:r>
    </w:p>
    <w:p w:rsidR="00AA5D77" w:rsidRPr="006C40C1" w:rsidRDefault="00AA5D77">
      <w:pPr>
        <w:pStyle w:val="Normaltindrag"/>
        <w:rPr>
          <w:snapToGrid w:val="0"/>
          <w:lang w:eastAsia="sv-SE"/>
        </w:rPr>
      </w:pPr>
      <w:r w:rsidRPr="006C40C1">
        <w:rPr>
          <w:snapToGrid w:val="0"/>
          <w:lang w:eastAsia="sv-SE"/>
        </w:rPr>
        <w:t>Utan att ifrågasätta behovet av ytterligare insatser för rehabilitering anser utskottet att ett så snabbt och så omedelbart utbyte av en satsning inte fra</w:t>
      </w:r>
      <w:r w:rsidRPr="006C40C1">
        <w:rPr>
          <w:snapToGrid w:val="0"/>
          <w:lang w:eastAsia="sv-SE"/>
        </w:rPr>
        <w:t>m</w:t>
      </w:r>
      <w:r w:rsidRPr="006C40C1">
        <w:rPr>
          <w:snapToGrid w:val="0"/>
          <w:lang w:eastAsia="sv-SE"/>
        </w:rPr>
        <w:t>står som trovärdigt.</w:t>
      </w:r>
    </w:p>
    <w:p w:rsidR="00AA5D77" w:rsidRPr="006C40C1" w:rsidRDefault="00AA5D77">
      <w:pPr>
        <w:pStyle w:val="Normaltindrag"/>
      </w:pPr>
      <w:r w:rsidRPr="006C40C1">
        <w:rPr>
          <w:snapToGrid w:val="0"/>
          <w:lang w:eastAsia="sv-SE"/>
        </w:rPr>
        <w:t xml:space="preserve">Ett annat löst underbyggt förslag framförs av Moderata samlingspartiet, Kristdemokraterna och Centerpartiet som anser att den sjukpenninggrundande inkomsten (SGI) ska </w:t>
      </w:r>
      <w:r w:rsidRPr="006C40C1">
        <w:t>beräknas som genomsnittet av de senaste två årens i</w:t>
      </w:r>
      <w:r w:rsidRPr="006C40C1">
        <w:t>n</w:t>
      </w:r>
      <w:r w:rsidRPr="006C40C1">
        <w:t>komster och inte som i dag grundas på den aktuella inkomsten. Detta sänker ersättningsnivåerna för sjukpenningen och föräldraförsäkringen och ger sål</w:t>
      </w:r>
      <w:r w:rsidRPr="006C40C1">
        <w:t>e</w:t>
      </w:r>
      <w:r w:rsidRPr="006C40C1">
        <w:t xml:space="preserve">des besparingar inte bara på utgiftsområde 10 utan också på utgiftsområde 12 </w:t>
      </w:r>
      <w:r w:rsidRPr="006C40C1">
        <w:rPr>
          <w:i/>
        </w:rPr>
        <w:t>Ekonomisk trygghet för familjer och barn</w:t>
      </w:r>
      <w:r w:rsidRPr="006C40C1">
        <w:t>. Hur de redan hårt arbetstyngda försäkringskassorna utan någon som helst förberedelsetid ska hinna anpassa sina administrativa rutiner till en sådan omläggning redan nästa år berörs inte i mot</w:t>
      </w:r>
      <w:r w:rsidRPr="006C40C1">
        <w:t>ionerna.</w:t>
      </w:r>
    </w:p>
    <w:p w:rsidR="00AA5D77" w:rsidRPr="006C40C1" w:rsidRDefault="00AA5D77">
      <w:pPr>
        <w:pStyle w:val="Normaltindrag"/>
      </w:pPr>
      <w:r w:rsidRPr="006C40C1">
        <w:rPr>
          <w:snapToGrid w:val="0"/>
          <w:lang w:eastAsia="sv-SE"/>
        </w:rPr>
        <w:t>De fyra borgerliga partierna har också som ett gemensamt förslag att sta</w:t>
      </w:r>
      <w:r w:rsidRPr="006C40C1">
        <w:rPr>
          <w:snapToGrid w:val="0"/>
          <w:lang w:eastAsia="sv-SE"/>
        </w:rPr>
        <w:t>t</w:t>
      </w:r>
      <w:r w:rsidRPr="006C40C1">
        <w:rPr>
          <w:snapToGrid w:val="0"/>
          <w:lang w:eastAsia="sv-SE"/>
        </w:rPr>
        <w:t xml:space="preserve">liga företag ska säljas ut i en tidigare aldrig skådad omfattning under de båda närmaste åren. </w:t>
      </w:r>
      <w:r w:rsidRPr="006C40C1">
        <w:t>Utan att redovisa vare sig försäljningsplaner eller någon nä</w:t>
      </w:r>
      <w:r w:rsidRPr="006C40C1">
        <w:t>r</w:t>
      </w:r>
      <w:r w:rsidRPr="006C40C1">
        <w:t>ingspolitisk strategi förutsätter de att det ska vara möjligt att redan nästa år avyttra statlig egendom för 45 miljarder kronor. Och under det därpå följande året ska fö</w:t>
      </w:r>
      <w:r w:rsidRPr="006C40C1">
        <w:t>r</w:t>
      </w:r>
      <w:r w:rsidRPr="006C40C1">
        <w:t>säljningarna uppgå till 55–75 miljarder kronor.</w:t>
      </w:r>
    </w:p>
    <w:p w:rsidR="00AA5D77" w:rsidRPr="006C40C1" w:rsidRDefault="00AA5D77">
      <w:pPr>
        <w:pStyle w:val="Normaltindrag"/>
      </w:pPr>
      <w:r w:rsidRPr="006C40C1">
        <w:rPr>
          <w:snapToGrid w:val="0"/>
          <w:lang w:eastAsia="sv-SE"/>
        </w:rPr>
        <w:t>Börskurserna har fallit kraftigt, men inte något av partierna diskuterar om det är rimligt eller ens möjligt att i rådande börsläge avyt</w:t>
      </w:r>
      <w:r w:rsidRPr="006C40C1">
        <w:rPr>
          <w:snapToGrid w:val="0"/>
          <w:lang w:eastAsia="sv-SE"/>
        </w:rPr>
        <w:t>tra statlig verksa</w:t>
      </w:r>
      <w:r w:rsidRPr="006C40C1">
        <w:rPr>
          <w:snapToGrid w:val="0"/>
          <w:lang w:eastAsia="sv-SE"/>
        </w:rPr>
        <w:t>m</w:t>
      </w:r>
      <w:r w:rsidRPr="006C40C1">
        <w:rPr>
          <w:snapToGrid w:val="0"/>
          <w:lang w:eastAsia="sv-SE"/>
        </w:rPr>
        <w:t>het i denna omfattning. Bortsett från Kristdemokraterna tycks inte heller något av partierna ha belastat sitt budgetalternativ för det bortfall av utde</w:t>
      </w:r>
      <w:r w:rsidRPr="006C40C1">
        <w:rPr>
          <w:snapToGrid w:val="0"/>
          <w:lang w:eastAsia="sv-SE"/>
        </w:rPr>
        <w:t>l</w:t>
      </w:r>
      <w:r w:rsidRPr="006C40C1">
        <w:rPr>
          <w:snapToGrid w:val="0"/>
          <w:lang w:eastAsia="sv-SE"/>
        </w:rPr>
        <w:t>ningsinkomster som försäljningarna ger upphov till. För oppositionen tycks enda syftet med privatiseringarna vara att man vill påskynda amorteringen av statsskulden för att minska utgifterna för statsskuldsräntor. Att man samtidigt frånhänder sig räntabla tillgångar som ingår i den statliga förmögen</w:t>
      </w:r>
      <w:r w:rsidRPr="006C40C1">
        <w:t>hetsma</w:t>
      </w:r>
      <w:r w:rsidRPr="006C40C1">
        <w:t>s</w:t>
      </w:r>
      <w:r w:rsidRPr="006C40C1">
        <w:t>san blundar man helt för i sina öv</w:t>
      </w:r>
      <w:r w:rsidRPr="006C40C1">
        <w:t>erväganden. Är som i detta fall utgång</w:t>
      </w:r>
      <w:r w:rsidRPr="006C40C1">
        <w:t>s</w:t>
      </w:r>
      <w:r w:rsidRPr="006C40C1">
        <w:t xml:space="preserve">punkten dessutom att man oavsett utvecklingen på aktiemarknaden varje år ska få in ett visst belopp i försäljningsinkomster, finns det en uppenbar risk för att man tvingas sälja värdefulla tillgångar till kraftiga underpriser, vilket i sin tur tvingar fram ytterligare försäljningar för att uppställda mål ska kunna nås. </w:t>
      </w:r>
    </w:p>
    <w:p w:rsidR="00AA5D77" w:rsidRPr="006C40C1" w:rsidRDefault="00AA5D77">
      <w:pPr>
        <w:pStyle w:val="Normaltindrag"/>
      </w:pPr>
      <w:r w:rsidRPr="006C40C1">
        <w:rPr>
          <w:snapToGrid w:val="0"/>
          <w:lang w:eastAsia="sv-SE"/>
        </w:rPr>
        <w:t>I ett läge med låga börskurser är det enligt utskottets mening inte ansvar</w:t>
      </w:r>
      <w:r w:rsidRPr="006C40C1">
        <w:rPr>
          <w:snapToGrid w:val="0"/>
          <w:lang w:eastAsia="sv-SE"/>
        </w:rPr>
        <w:t>s</w:t>
      </w:r>
      <w:r w:rsidRPr="006C40C1">
        <w:rPr>
          <w:snapToGrid w:val="0"/>
          <w:lang w:eastAsia="sv-SE"/>
        </w:rPr>
        <w:t>fullt att forcera en försäljning av statliga företag och åstadkomma stora fö</w:t>
      </w:r>
      <w:r w:rsidRPr="006C40C1">
        <w:rPr>
          <w:snapToGrid w:val="0"/>
          <w:lang w:eastAsia="sv-SE"/>
        </w:rPr>
        <w:t>r</w:t>
      </w:r>
      <w:r w:rsidRPr="006C40C1">
        <w:rPr>
          <w:snapToGrid w:val="0"/>
          <w:lang w:eastAsia="sv-SE"/>
        </w:rPr>
        <w:t xml:space="preserve">luster för skattebetalarna. </w:t>
      </w:r>
      <w:r w:rsidRPr="006C40C1">
        <w:t>Ett sådant resursslöseri tar utskottet bestämt avstånd från. Utgångspunkten för en privatisering måste självklart vara att den ska vara näringspolitiskt motiverad och att den ska genomföras vid en tidpunkt då utbytet blir så gynnsamt som möjligt för ägaren staten.</w:t>
      </w:r>
    </w:p>
    <w:p w:rsidR="00AA5D77" w:rsidRPr="006C40C1" w:rsidRDefault="00AA5D77">
      <w:pPr>
        <w:pStyle w:val="Normaltindrag"/>
        <w:rPr>
          <w:snapToGrid w:val="0"/>
          <w:lang w:eastAsia="sv-SE"/>
        </w:rPr>
      </w:pPr>
      <w:r w:rsidRPr="006C40C1">
        <w:rPr>
          <w:snapToGrid w:val="0"/>
          <w:lang w:eastAsia="sv-SE"/>
        </w:rPr>
        <w:t>Exempel som dessa visar att oppositionspartiernas budgetalternativ har en svagt underbyggd finansiering. I många fall har finansieringen stör</w:t>
      </w:r>
      <w:r w:rsidRPr="006C40C1">
        <w:rPr>
          <w:snapToGrid w:val="0"/>
          <w:lang w:eastAsia="sv-SE"/>
        </w:rPr>
        <w:t>re likhet med vagt formulerade idéskisser än praktiskt genomförbara förslag. Trots det förutsätts de omgående kunna ge full budgeteffekt. Med en så svag finansi</w:t>
      </w:r>
      <w:r w:rsidRPr="006C40C1">
        <w:rPr>
          <w:snapToGrid w:val="0"/>
          <w:lang w:eastAsia="sv-SE"/>
        </w:rPr>
        <w:t>e</w:t>
      </w:r>
      <w:r w:rsidRPr="006C40C1">
        <w:rPr>
          <w:snapToGrid w:val="0"/>
          <w:lang w:eastAsia="sv-SE"/>
        </w:rPr>
        <w:t>ring riskerar statsfinanserna återigen att snabbt försvagas. Förslag som dessa kan inte bilda underlag för en ansvarsfullt utformad statsbudget, och finansu</w:t>
      </w:r>
      <w:r w:rsidRPr="006C40C1">
        <w:rPr>
          <w:snapToGrid w:val="0"/>
          <w:lang w:eastAsia="sv-SE"/>
        </w:rPr>
        <w:t>t</w:t>
      </w:r>
      <w:r w:rsidRPr="006C40C1">
        <w:rPr>
          <w:snapToGrid w:val="0"/>
          <w:lang w:eastAsia="sv-SE"/>
        </w:rPr>
        <w:t>skottet har därför inte kunnat ställa sig bakom Moderata samlingspartiets, Folkpartiet liberalernas, Kristdemokraternas och Centerpartiets förslag till uppläggning av budgetpolit</w:t>
      </w:r>
      <w:r w:rsidRPr="006C40C1">
        <w:rPr>
          <w:snapToGrid w:val="0"/>
          <w:lang w:eastAsia="sv-SE"/>
        </w:rPr>
        <w:t>i</w:t>
      </w:r>
      <w:r w:rsidRPr="006C40C1">
        <w:rPr>
          <w:snapToGrid w:val="0"/>
          <w:lang w:eastAsia="sv-SE"/>
        </w:rPr>
        <w:t>ken.</w:t>
      </w:r>
    </w:p>
    <w:p w:rsidR="00AA5D77" w:rsidRPr="006C40C1" w:rsidRDefault="00AA5D77">
      <w:r w:rsidRPr="006C40C1">
        <w:t>Den social</w:t>
      </w:r>
      <w:r w:rsidRPr="006C40C1">
        <w:t>demokratiska regeringens budgetpolitik har resulterat i att de o</w:t>
      </w:r>
      <w:r w:rsidRPr="006C40C1">
        <w:t>f</w:t>
      </w:r>
      <w:r w:rsidRPr="006C40C1">
        <w:t>fentliga finanserna snabbt förbättrats. Väldiga underskott har vänts i stora överskott som snabbt minskat de skulder det offentliga tidigare dragit på sig. Utvecklingen har gått så snabbt att den offentliga sektorns nettoskuld nu är helt utraderad och ersatt av ett överskott. Nettoförmögenheten beräknas vid utgången av 2004 uppgå till 120 miljarder kronor.</w:t>
      </w:r>
    </w:p>
    <w:p w:rsidR="00AA5D77" w:rsidRPr="006C40C1" w:rsidRDefault="00AA5D77">
      <w:pPr>
        <w:pStyle w:val="Normaltindrag"/>
      </w:pPr>
      <w:r w:rsidRPr="006C40C1">
        <w:t>I mitten av 1990-talet genomförde regeringen ett omfattande konsolid</w:t>
      </w:r>
      <w:r w:rsidRPr="006C40C1">
        <w:t>e</w:t>
      </w:r>
      <w:r w:rsidRPr="006C40C1">
        <w:t>ringsprogram med vars hjälp balansen i den offentliga sektorn kunde åte</w:t>
      </w:r>
      <w:r w:rsidRPr="006C40C1">
        <w:t>r</w:t>
      </w:r>
      <w:r w:rsidRPr="006C40C1">
        <w:t>ställas på ett fördelningspolitiskt godtagbart sätt. Balansen återställdes redan 1998, och den gynnsamma utvecklingen har därefter fortsatt, fastlagda u</w:t>
      </w:r>
      <w:r w:rsidRPr="006C40C1">
        <w:t>t</w:t>
      </w:r>
      <w:r w:rsidRPr="006C40C1">
        <w:t>giftstak har hållits och uppställda saldomål har fram till i år överträffats med bred marginal. Under förra året motsvarade överskottet t.o.m. 4,8 % av BNP.</w:t>
      </w:r>
    </w:p>
    <w:p w:rsidR="00AA5D77" w:rsidRPr="006C40C1" w:rsidRDefault="00AA5D77">
      <w:pPr>
        <w:pStyle w:val="Normaltindrag"/>
      </w:pPr>
      <w:r w:rsidRPr="006C40C1">
        <w:t>Den förda budgetpolitiken har resulterat i att vi nu står starka med stabila överskott i de offentliga finanserna och att vi förm</w:t>
      </w:r>
      <w:r w:rsidRPr="006C40C1">
        <w:t>år möta en något svagare ekonomisk utveckling. Vi skiljer oss i det avseendet från många andra EU-länder vars offentliga finanser för närvarande utvecklas på ett oroväckande sätt.</w:t>
      </w:r>
    </w:p>
    <w:p w:rsidR="00AA5D77" w:rsidRPr="006C40C1" w:rsidRDefault="00AA5D77">
      <w:pPr>
        <w:pStyle w:val="Normaltindrag"/>
      </w:pPr>
      <w:r w:rsidRPr="006C40C1">
        <w:t>Med sitt nu redovisade budgetförslag fullföljer regeringen denna politik. Budgetpropositionen med de kompletterande förslag som förs fram i motion Fi230 (s, v, mp) bygger på en överenskommelse mellan Socialdemokraterna, Vänsterpartiet och Miljöpartiet de gröna. De tre partierna fullföljer därmed det samarbete de hade under den för</w:t>
      </w:r>
      <w:r w:rsidRPr="006C40C1">
        <w:t>ra mandatperioden. Den nu gjorda öve</w:t>
      </w:r>
      <w:r w:rsidRPr="006C40C1">
        <w:t>r</w:t>
      </w:r>
      <w:r w:rsidRPr="006C40C1">
        <w:t>enskommelsen innebär att de tre partierna står bakom riktlinjerna för den ekonomiska politiken, budgetpolitiken, utgiftstaken, tilläggsbudgeten för 2002 samt de i budgetpropositionen föreslagna och aviserade skatteförän</w:t>
      </w:r>
      <w:r w:rsidRPr="006C40C1">
        <w:t>d</w:t>
      </w:r>
      <w:r w:rsidRPr="006C40C1">
        <w:t>ringarna liksom de tillägg som föreslås i motion Fi230 (s, v, mp).</w:t>
      </w:r>
    </w:p>
    <w:p w:rsidR="00AA5D77" w:rsidRPr="006C40C1" w:rsidRDefault="00AA5D77">
      <w:pPr>
        <w:pStyle w:val="Normaltindrag"/>
      </w:pPr>
      <w:r w:rsidRPr="006C40C1">
        <w:t>Finansutskottet tillstyrker att budgetpolitiken utformas i överensstämmelse med de tre partiernas förslag. Som utskottet återkommer till längre fram i detta betänkande bör dock regeringens</w:t>
      </w:r>
      <w:r w:rsidRPr="006C40C1">
        <w:t xml:space="preserve"> och samarbetspartiernas budgetförslag kompletteras på några punkter.</w:t>
      </w:r>
    </w:p>
    <w:p w:rsidR="00AA5D77" w:rsidRPr="006C40C1" w:rsidRDefault="00AA5D77">
      <w:pPr>
        <w:pStyle w:val="Normaltindrag"/>
      </w:pPr>
      <w:r w:rsidRPr="006C40C1">
        <w:t>För det första föreslås i motion Fi230 (s, v, mp) att grundavdraget vid i</w:t>
      </w:r>
      <w:r w:rsidRPr="006C40C1">
        <w:t>n</w:t>
      </w:r>
      <w:r w:rsidRPr="006C40C1">
        <w:t>komstbeskattningen ska höjas mer än vad som föreslås i budgetpropositionen. Denna tillkommande höjning leder till att kommunernas skatteunderlag min</w:t>
      </w:r>
      <w:r w:rsidRPr="006C40C1">
        <w:t>s</w:t>
      </w:r>
      <w:r w:rsidRPr="006C40C1">
        <w:t xml:space="preserve">kar, och kommunerna bör därför kompenseras för detta inkomstbortfall i enlighet med finansieringsprincipen. Finansutskottet föreslår därför att det generella statsbidraget till kommuner och landsting räknas upp med 456 miljoner kronor och att ramen för utgiftsområde 25 </w:t>
      </w:r>
      <w:r w:rsidRPr="006C40C1">
        <w:rPr>
          <w:i/>
        </w:rPr>
        <w:t>Allmänna bidrag till kommuner</w:t>
      </w:r>
      <w:r w:rsidRPr="006C40C1">
        <w:t xml:space="preserve"> höjs lika mycket. Eftersom åtgärden inte påverkar den offentli</w:t>
      </w:r>
      <w:r w:rsidRPr="006C40C1">
        <w:t>ga sektorns samlade finanser bör anslagsuppräkningen dessutom föranleda en teknisk justering av utgiftstaket. Finansutskottet föreslår därför att utgiftstaket för 2003 och 2004 fastställs till 819 respektive 853 miljarder kronor, dvs. för båda åren 1 miljard kronor högre än vad som förslagits i budgetpropos</w:t>
      </w:r>
      <w:r w:rsidRPr="006C40C1">
        <w:t>i</w:t>
      </w:r>
      <w:r w:rsidRPr="006C40C1">
        <w:t>tionen.</w:t>
      </w:r>
    </w:p>
    <w:p w:rsidR="00AA5D77" w:rsidRPr="006C40C1" w:rsidRDefault="00AA5D77">
      <w:pPr>
        <w:pStyle w:val="Normaltindrag"/>
      </w:pPr>
      <w:r w:rsidRPr="006C40C1">
        <w:t>För det andra har regeringen efter det att budgetpropositionen presenter</w:t>
      </w:r>
      <w:r w:rsidRPr="006C40C1">
        <w:t>a</w:t>
      </w:r>
      <w:r w:rsidRPr="006C40C1">
        <w:t>des på riksdagens begäran lagt fram förslag om framskjuten beskattning av vissa andelsbyten. Förslagen i propositionen (prop. 2002/03:15) är avsedda att träda i kraft den 1 januari 2003 och påverkar alltså statsbudgetens inkomster under nästa år. Finansutskottet har därför i sin beräkning av statsbudgetens inkomster för 2003 beaktat detta inkomstbortfall och räknat ned inkomsterna med 283 miljoner kronor. Propositionen kommer att överlämnas av finansu</w:t>
      </w:r>
      <w:r w:rsidRPr="006C40C1">
        <w:t>t</w:t>
      </w:r>
      <w:r w:rsidRPr="006C40C1">
        <w:t>skottet till skatteutskottet för den lagtekniska beredn</w:t>
      </w:r>
      <w:r w:rsidRPr="006C40C1">
        <w:t>ingen av fö</w:t>
      </w:r>
      <w:r w:rsidRPr="006C40C1">
        <w:t>r</w:t>
      </w:r>
      <w:r w:rsidRPr="006C40C1">
        <w:t>slagen.</w:t>
      </w:r>
    </w:p>
    <w:p w:rsidR="00AA5D77" w:rsidRPr="006C40C1" w:rsidRDefault="00AA5D77">
      <w:pPr>
        <w:pStyle w:val="Normaltindrag"/>
      </w:pPr>
      <w:r w:rsidRPr="006C40C1">
        <w:t>För det tredje har regeringen föreslagit i budgetpropositionen (avsnitt 8.4.2) att kraftvärmeverkens beskattning ska ändras i tre olika hänseenden, och sammantaget väntas dessa förslag leda till att statsbudgetens inkomster under 2003 ökar med 360 miljoner kronor. Ett av förslagen kräver kommi</w:t>
      </w:r>
      <w:r w:rsidRPr="006C40C1">
        <w:t>s</w:t>
      </w:r>
      <w:r w:rsidRPr="006C40C1">
        <w:t>sionens godkännande eftersom det kan strida mot EU:s regler om statsstöd. Förslaget har därför underställts kommissionen som ännu inte kommit med sitt utlåtande. Finansutskottet har därför på skatteutskottets inrådan ansett att riksdagens prövning av förslagen om kraftvärmeverkens beskattning tills vidare ska skjutas upp i avvaktan på detta utlåtande. Utskottet föreslår att riksdagen formellt avslår dessa lagförslag, men ändå beaktar den effekt de har på statsbudgetens inkomster nästa år vid ett tänkt ikra</w:t>
      </w:r>
      <w:r w:rsidRPr="006C40C1">
        <w:t>ftträdande någon gång under första halvåret 2003. Utskottet har som en följd av detta räknat ned inkomsterna med 125 milj</w:t>
      </w:r>
      <w:r w:rsidRPr="006C40C1">
        <w:t>o</w:t>
      </w:r>
      <w:r w:rsidRPr="006C40C1">
        <w:t>ner kronor jämfört med budgetpropositionen.</w:t>
      </w:r>
    </w:p>
    <w:p w:rsidR="00AA5D77" w:rsidRPr="006C40C1" w:rsidRDefault="00AA5D77">
      <w:pPr>
        <w:pStyle w:val="Normaltindrag"/>
      </w:pPr>
      <w:r w:rsidRPr="006C40C1">
        <w:t>Med dessa kompletteringar ställer sig finansutskottet bakom det budgetfö</w:t>
      </w:r>
      <w:r w:rsidRPr="006C40C1">
        <w:t>r</w:t>
      </w:r>
      <w:r w:rsidRPr="006C40C1">
        <w:t xml:space="preserve">slag som regeringen samt Socialdemokraterna i riksdagen, Vänsterpartiet och Miljöpartiet de gröna gemensamt lagt fram. </w:t>
      </w:r>
    </w:p>
    <w:p w:rsidR="00AA5D77" w:rsidRPr="006C40C1" w:rsidRDefault="00AA5D77">
      <w:r w:rsidRPr="006C40C1">
        <w:t>I närmast efterföljande avsnitt återkommer utskottet till de formella förslag till beslut som detta ställningstagande föranleder i fråga om utgiftstak för 2002–2004 (2.5), fördelning av utgifter på utgiftsområden 2003 (2.6), berä</w:t>
      </w:r>
      <w:r w:rsidRPr="006C40C1">
        <w:t>k</w:t>
      </w:r>
      <w:r w:rsidRPr="006C40C1">
        <w:t>nade förändringar av anslagsbehållningar 2003 (2.8), beräkning av myndi</w:t>
      </w:r>
      <w:r w:rsidRPr="006C40C1">
        <w:t>g</w:t>
      </w:r>
      <w:r w:rsidRPr="006C40C1">
        <w:t>heternas in- och utlåning i Riksgäldskontoret 2003 (2.9) och beräknad kas</w:t>
      </w:r>
      <w:r w:rsidRPr="006C40C1">
        <w:t>s</w:t>
      </w:r>
      <w:r w:rsidRPr="006C40C1">
        <w:t>a</w:t>
      </w:r>
      <w:r w:rsidRPr="006C40C1">
        <w:softHyphen/>
        <w:t>mässig korrigering av statsbudgetens utgifter 2003 (2.10) samt beräkning av skatter och övriga i</w:t>
      </w:r>
      <w:r w:rsidRPr="006C40C1">
        <w:t>n</w:t>
      </w:r>
      <w:r w:rsidRPr="006C40C1">
        <w:t>komster 2003 (3).</w:t>
      </w:r>
    </w:p>
    <w:p w:rsidR="00AA5D77" w:rsidRPr="006C40C1" w:rsidRDefault="00AA5D77">
      <w:pPr>
        <w:pStyle w:val="Rubrik2"/>
      </w:pPr>
      <w:bookmarkStart w:id="368" w:name="_Toc25408031"/>
      <w:bookmarkStart w:id="369" w:name="_Toc26191458"/>
      <w:r w:rsidRPr="006C40C1">
        <w:t>2.5 Utgiftstak för staten och den offentliga sektorn</w:t>
      </w:r>
      <w:bookmarkEnd w:id="368"/>
      <w:bookmarkEnd w:id="369"/>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till teknisk justering av u</w:t>
      </w:r>
      <w:r w:rsidRPr="006C40C1">
        <w:t>t</w:t>
      </w:r>
      <w:r w:rsidRPr="006C40C1">
        <w:t>giftstaket för staten för 2002 och föreslår ytterligare en teknisk j</w:t>
      </w:r>
      <w:r w:rsidRPr="006C40C1">
        <w:t>u</w:t>
      </w:r>
      <w:r w:rsidRPr="006C40C1">
        <w:t xml:space="preserve">stering av utgiftstaken för 2003 och 2004 jämfört med regeringens förslag. Utskottet föreslår att riksdagen fastställer utgiftstaket för staten till 812 miljarder kronor för 2002, 819 miljarder kronor för 2003 samt 853 miljarder kronor för 2004. Utskottet godkänner dessutom regeringens beräkning av de offentliga utgifterna för 2003 och 2004. </w:t>
      </w:r>
    </w:p>
    <w:p w:rsidR="00AA5D77" w:rsidRPr="006C40C1" w:rsidRDefault="00AA5D77">
      <w:pPr>
        <w:pStyle w:val="Utskottsfrslagikorthet-Text"/>
      </w:pPr>
      <w:r w:rsidRPr="006C40C1">
        <w:t xml:space="preserve">  Utskottet avstyrker därmed de alternativa yrkanden som framförs av Moderata samlingspartiet, Fo</w:t>
      </w:r>
      <w:r w:rsidRPr="006C40C1">
        <w:t>lkpartiet liberalerna, Kristdem</w:t>
      </w:r>
      <w:r w:rsidRPr="006C40C1">
        <w:t>o</w:t>
      </w:r>
      <w:r w:rsidRPr="006C40C1">
        <w:t>kraterna och Centerpart</w:t>
      </w:r>
      <w:r w:rsidRPr="006C40C1">
        <w:t>i</w:t>
      </w:r>
      <w:r w:rsidRPr="006C40C1">
        <w:t>et.</w:t>
      </w:r>
    </w:p>
    <w:p w:rsidR="00AA5D77" w:rsidRPr="006C40C1" w:rsidRDefault="00AA5D77">
      <w:pPr>
        <w:pStyle w:val="Utskottsfrslagikorthet-Text"/>
      </w:pPr>
      <w:r w:rsidRPr="006C40C1">
        <w:t xml:space="preserve">  Övriga delar av denna förslagspunkt behandlar utskottet i avsni</w:t>
      </w:r>
      <w:r w:rsidRPr="006C40C1">
        <w:t>t</w:t>
      </w:r>
      <w:r w:rsidRPr="006C40C1">
        <w:t>ten 2.4.3, 2.6 samt 2.8–2.10.</w:t>
      </w:r>
    </w:p>
    <w:p w:rsidR="00AA5D77" w:rsidRPr="006C40C1" w:rsidRDefault="00AA5D77">
      <w:pPr>
        <w:pStyle w:val="Utskottsfrslagikorthet-Text"/>
      </w:pPr>
      <w:r w:rsidRPr="006C40C1">
        <w:t xml:space="preserve">  Jämför reservationerna 8 (m), 9 (fp), 10 (kd) och 11 (c).</w:t>
      </w:r>
    </w:p>
    <w:p w:rsidR="00AA5D77" w:rsidRPr="006C40C1" w:rsidRDefault="00AA5D77">
      <w:pPr>
        <w:pStyle w:val="Rubrik3"/>
        <w:rPr>
          <w:noProof w:val="0"/>
        </w:rPr>
      </w:pPr>
      <w:bookmarkStart w:id="370" w:name="_Toc25408032"/>
      <w:bookmarkStart w:id="371" w:name="_Toc26191459"/>
      <w:r w:rsidRPr="006C40C1">
        <w:rPr>
          <w:noProof w:val="0"/>
        </w:rPr>
        <w:t>2.5.1 Utgiftstak för staten</w:t>
      </w:r>
      <w:bookmarkEnd w:id="370"/>
      <w:bookmarkEnd w:id="371"/>
    </w:p>
    <w:p w:rsidR="00AA5D77" w:rsidRPr="006C40C1" w:rsidRDefault="00AA5D77">
      <w:r w:rsidRPr="006C40C1">
        <w:t>Det statliga utgiftstaket omfattar utgifterna på statsbudgeten exklusive stat</w:t>
      </w:r>
      <w:r w:rsidRPr="006C40C1">
        <w:t>s</w:t>
      </w:r>
      <w:r w:rsidRPr="006C40C1">
        <w:t>skuldsräntor samt utgifterna för ålderspensionssystemet vid sidan av stat</w:t>
      </w:r>
      <w:r w:rsidRPr="006C40C1">
        <w:t>s</w:t>
      </w:r>
      <w:r w:rsidRPr="006C40C1">
        <w:t>budgeten. Dessutom ingår en ofinansierad budgeteringsmarginal.</w:t>
      </w:r>
    </w:p>
    <w:p w:rsidR="00AA5D77" w:rsidRPr="006C40C1" w:rsidRDefault="00AA5D77">
      <w:pPr>
        <w:pStyle w:val="R4"/>
      </w:pPr>
      <w:r w:rsidRPr="006C40C1">
        <w:t>Budgetpropositionen</w:t>
      </w:r>
    </w:p>
    <w:p w:rsidR="00AA5D77" w:rsidRPr="006C40C1" w:rsidRDefault="00AA5D77">
      <w:r w:rsidRPr="006C40C1">
        <w:t>I budgetpropositionen (avsnitt 4.1.1) föreslår regeringen att den tidigare fas</w:t>
      </w:r>
      <w:r w:rsidRPr="006C40C1">
        <w:t>t</w:t>
      </w:r>
      <w:r w:rsidRPr="006C40C1">
        <w:t>ställda nivån på utgiftstaken för staten åren 2002–2004 anpassas till följd av tre budgettekniska förändringar. Justeringen är föranledd av regeringens beslut att kommunkontosystemet ska redovisas på statsbudgetens inkomstsida fr.o.m. 2003. Från systemet erhåller kommuner och landsting återbetalning av ingående mervärdesskatt i icke skattepliktig verksamhet. Den avgift som kommuner och landsting i dag betalar till systemet avskaffas i och med b</w:t>
      </w:r>
      <w:r w:rsidRPr="006C40C1">
        <w:t>e</w:t>
      </w:r>
      <w:r w:rsidRPr="006C40C1">
        <w:t>slutet. Finansieringen av systemet tas därmed över av staten o</w:t>
      </w:r>
      <w:r w:rsidRPr="006C40C1">
        <w:t>ch uttagen ur systemet sker via statsbudgetens inkomstsida. För att förändringen ska vara kostnadsneutral föreslår regeringen en nivåsänkning av de generella statsb</w:t>
      </w:r>
      <w:r w:rsidRPr="006C40C1">
        <w:t>i</w:t>
      </w:r>
      <w:r w:rsidRPr="006C40C1">
        <w:t>dragen 2003 baserad på den preliminära avgiften 2002. En definitiv reglering ska ske i budgetpropositionen för 2004. Den föreslagna nivåsänkningen up</w:t>
      </w:r>
      <w:r w:rsidRPr="006C40C1">
        <w:t>p</w:t>
      </w:r>
      <w:r w:rsidRPr="006C40C1">
        <w:t>går till 31,4 miljarder kronor och medför en justering av utgiftstaken för 2003 och 2004 nedåt med motsvarande belopp.</w:t>
      </w:r>
    </w:p>
    <w:p w:rsidR="00AA5D77" w:rsidRPr="006C40C1" w:rsidRDefault="00AA5D77">
      <w:pPr>
        <w:pStyle w:val="Normaltindrag"/>
      </w:pPr>
      <w:r w:rsidRPr="006C40C1">
        <w:t>Regeringen anser också att höjningen av det statliga utjämningsbidraget till k</w:t>
      </w:r>
      <w:r w:rsidRPr="006C40C1">
        <w:t>ommuner och landsting i år motiverar en beräkningsteknisk justering av utgiftstaket för 2002 uppåt med 2,9 miljarder kronor. Även åren 2003 och 2004 beräknar regeringen att utjämningsbidraget höjs med 2,9 miljarder kr</w:t>
      </w:r>
      <w:r w:rsidRPr="006C40C1">
        <w:t>o</w:t>
      </w:r>
      <w:r w:rsidRPr="006C40C1">
        <w:t>nor för vart och ett av åren, med en motsvarande uppjustering av utgiftstaket för dessa år.</w:t>
      </w:r>
    </w:p>
    <w:p w:rsidR="00AA5D77" w:rsidRPr="006C40C1" w:rsidRDefault="00AA5D77">
      <w:pPr>
        <w:pStyle w:val="Normaltindrag"/>
      </w:pPr>
      <w:r w:rsidRPr="006C40C1">
        <w:t>Regeringen föreslår dessutom en höjning av grundavdraget som beräknas minska kommunsektorns skatteinkomster med 2,5 miljarder kronor per år fr.o.m. 2003. Det generella statsbidraget till kommuner och la</w:t>
      </w:r>
      <w:r w:rsidRPr="006C40C1">
        <w:t>ndsting höjs därför med motsvarande belopp för att kommunsektorns totala inkomster samt den offentliga sektorns konsoliderade utgifter ska förbli oförändrade. För denna åtgärd föreslår regeringen en motsvarande beräkningsteknisk j</w:t>
      </w:r>
      <w:r w:rsidRPr="006C40C1">
        <w:t>u</w:t>
      </w:r>
      <w:r w:rsidRPr="006C40C1">
        <w:t>stering av utgiftst</w:t>
      </w:r>
      <w:r w:rsidRPr="006C40C1">
        <w:t>a</w:t>
      </w:r>
      <w:r w:rsidRPr="006C40C1">
        <w:t>ket uppåt.</w:t>
      </w:r>
    </w:p>
    <w:p w:rsidR="00AA5D77" w:rsidRPr="006C40C1" w:rsidRDefault="00AA5D77">
      <w:pPr>
        <w:pStyle w:val="Normaltindrag"/>
      </w:pPr>
      <w:r w:rsidRPr="006C40C1">
        <w:t>Sammantaget höjer förslagen utgiftstaket för 2002 med 2,9 miljarder kr</w:t>
      </w:r>
      <w:r w:rsidRPr="006C40C1">
        <w:t>o</w:t>
      </w:r>
      <w:r w:rsidRPr="006C40C1">
        <w:t>nor och sänker utgiftstaken för 2003 och 2004 med 25,9 miljarder kronor per år.</w:t>
      </w:r>
    </w:p>
    <w:p w:rsidR="00AA5D77" w:rsidRPr="006C40C1" w:rsidRDefault="00AA5D77">
      <w:pPr>
        <w:pStyle w:val="Normaltindrag"/>
      </w:pPr>
      <w:r w:rsidRPr="006C40C1">
        <w:t>Regeringen föreslår sålunda att utgiftstaken för åren 2002–2004 fastställs till 812, 818 respektive 852 miljarder kronor (punkt 2).</w:t>
      </w:r>
    </w:p>
    <w:p w:rsidR="00AA5D77" w:rsidRPr="006C40C1" w:rsidRDefault="00AA5D77">
      <w:pPr>
        <w:pStyle w:val="R4"/>
      </w:pPr>
      <w:r w:rsidRPr="006C40C1">
        <w:t>Motionerna</w:t>
      </w:r>
    </w:p>
    <w:p w:rsidR="00AA5D77" w:rsidRPr="006C40C1" w:rsidRDefault="00AA5D77">
      <w:r w:rsidRPr="006C40C1">
        <w:t xml:space="preserve">Av den tidigare redogörelsen framgår att samtliga fyra oppositionspartier förordar andra nivåer på utgiftstaket. Formella förslag för 2003 och 2004 framförs av Moderata samlingspartiet i motion Fi231 (yrkande 3), Folkpartiet liberalerna i motion Fi232 (yrkande 2), Kristdemokraterna i motion Fi233 (yrkande 5) samt Centerpartiet i motion Fi234 (yrkande 3). </w:t>
      </w:r>
    </w:p>
    <w:p w:rsidR="00AA5D77" w:rsidRPr="006C40C1" w:rsidRDefault="00AA5D77">
      <w:pPr>
        <w:pStyle w:val="Normaltindrag"/>
      </w:pPr>
      <w:r w:rsidRPr="006C40C1">
        <w:t>Socialdemokraterna, Vänsterpartiet och Miljöpartiet de gröna tar i motion Fi230 inte ställning till nivån för utgiftstaket för staten.</w:t>
      </w:r>
    </w:p>
    <w:p w:rsidR="00AA5D77" w:rsidRPr="006C40C1" w:rsidRDefault="00AA5D77">
      <w:pPr>
        <w:pStyle w:val="Normaltindrag"/>
      </w:pPr>
      <w:r w:rsidRPr="006C40C1">
        <w:t>De olika partiernas förslag framgår av följande sammanställning.</w:t>
      </w:r>
    </w:p>
    <w:p w:rsidR="00AA5D77" w:rsidRPr="006C40C1" w:rsidRDefault="00AA5D77">
      <w:pPr>
        <w:keepNext/>
        <w:spacing w:before="360" w:line="170" w:lineRule="exact"/>
        <w:rPr>
          <w:b/>
          <w:sz w:val="17"/>
        </w:rPr>
      </w:pPr>
      <w:r w:rsidRPr="006C40C1">
        <w:rPr>
          <w:b/>
          <w:sz w:val="17"/>
        </w:rPr>
        <w:t>Tabell 28. Förslag till utgiftstak för staten 2003 och 2004</w:t>
      </w:r>
    </w:p>
    <w:p w:rsidR="00AA5D77" w:rsidRPr="006C40C1" w:rsidRDefault="00AA5D77">
      <w:pPr>
        <w:pStyle w:val="Tabellfrklaring"/>
        <w:keepLines w:val="0"/>
        <w:spacing w:before="0" w:after="0" w:line="100" w:lineRule="atLeast"/>
      </w:pPr>
      <w:r w:rsidRPr="006C40C1">
        <w:t>Belopp i miljarder kronor</w:t>
      </w:r>
    </w:p>
    <w:p w:rsidR="00AA5D77" w:rsidRPr="006C40C1" w:rsidRDefault="006C40C1">
      <w:pPr>
        <w:pStyle w:val="FiU1tabellrubrik2000"/>
        <w:keepNext/>
        <w:keepLines/>
        <w:spacing w:before="40" w:line="240" w:lineRule="auto"/>
        <w:outlineLvl w:val="0"/>
      </w:pPr>
      <w:r w:rsidRPr="006C40C1">
        <w:rPr>
          <w:b w:val="0"/>
          <w:noProof/>
        </w:rPr>
        <w:drawing>
          <wp:inline distT="0" distB="0" distL="0" distR="0">
            <wp:extent cx="3777615" cy="805815"/>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Normaltindrag"/>
      </w:pPr>
    </w:p>
    <w:p w:rsidR="00AA5D77" w:rsidRPr="006C40C1" w:rsidRDefault="00AA5D77">
      <w:pPr>
        <w:pStyle w:val="R4"/>
      </w:pPr>
      <w:r w:rsidRPr="006C40C1">
        <w:t>Finansutskottets ställningstagande</w:t>
      </w:r>
    </w:p>
    <w:p w:rsidR="00AA5D77" w:rsidRPr="006C40C1" w:rsidRDefault="00AA5D77">
      <w:r w:rsidRPr="006C40C1">
        <w:t>Finansutskottet har i föregående avsnitt (2.4.3) ställt sig bakom regeringens förslag till inriktning av budgetpolitiken. Till grund för detta förslag ligger regeringens bedömning av utvecklingen i statsbudgetens inkomster och u</w:t>
      </w:r>
      <w:r w:rsidRPr="006C40C1">
        <w:t>t</w:t>
      </w:r>
      <w:r w:rsidRPr="006C40C1">
        <w:t>gifter under åren 2003 och 2004. Längre fram i betänkandet (avsnitten 2.6, 3 och 4) behandlar utskottet regeringens och riksdagspartiernas alternativa förslag till beräkning av statsbudgetens inkomster samt fördelning av statens utgifter på utgiftsområdena och tar där formellt ställning till de olika yrka</w:t>
      </w:r>
      <w:r w:rsidRPr="006C40C1">
        <w:t>n</w:t>
      </w:r>
      <w:r w:rsidRPr="006C40C1">
        <w:t xml:space="preserve">dena. Utskottet biträder därvid regeringens förslag med den ändringen att Socialdemokraternas, Vänsterpartiets och Miljöpartiet de grönas yrkanden i motion Fi230 tillstyrks. </w:t>
      </w:r>
    </w:p>
    <w:p w:rsidR="00AA5D77" w:rsidRPr="006C40C1" w:rsidRDefault="00AA5D77">
      <w:pPr>
        <w:pStyle w:val="Normaltindrag"/>
      </w:pPr>
      <w:r w:rsidRPr="006C40C1">
        <w:t>Utskottet ställer sig således</w:t>
      </w:r>
      <w:r w:rsidRPr="006C40C1">
        <w:t xml:space="preserve"> bakom förslaget om en utvidgning av den gr</w:t>
      </w:r>
      <w:r w:rsidRPr="006C40C1">
        <w:t>ö</w:t>
      </w:r>
      <w:r w:rsidRPr="006C40C1">
        <w:t>na skatteväxlingen i enlighet med motion Fi230. För att kompensera det bor</w:t>
      </w:r>
      <w:r w:rsidRPr="006C40C1">
        <w:t>t</w:t>
      </w:r>
      <w:r w:rsidRPr="006C40C1">
        <w:t xml:space="preserve">fall av skatteinkomsterna för kommunerna som följer denna skatteväxling bör en höjning ske av de generella statsbidragen till kommunsektorn. Med hänsyn härtill föreslår utskottet i avsnitten 2.6 och 4.2 att ramen för utgiftsområde 25 </w:t>
      </w:r>
      <w:r w:rsidRPr="006C40C1">
        <w:rPr>
          <w:i/>
        </w:rPr>
        <w:t>Allmänna bidrag till kommuner</w:t>
      </w:r>
      <w:r w:rsidRPr="006C40C1">
        <w:t xml:space="preserve"> höjs med 456 miljoner kronor för 2003 r</w:t>
      </w:r>
      <w:r w:rsidRPr="006C40C1">
        <w:t>e</w:t>
      </w:r>
      <w:r w:rsidRPr="006C40C1">
        <w:t>spektive 2004. I och med detta ökar de takbegränsade utgifterna med motsv</w:t>
      </w:r>
      <w:r w:rsidRPr="006C40C1">
        <w:t>a</w:t>
      </w:r>
      <w:r w:rsidRPr="006C40C1">
        <w:t>rande belopp fö</w:t>
      </w:r>
      <w:r w:rsidRPr="006C40C1">
        <w:t>r båda åren. Finansutskottet anser det därför motiverat att den tillkommande höjningen av de generella statsbidragen också leder till en beräkningsteknisk justering av utgiftstaket för st</w:t>
      </w:r>
      <w:r w:rsidRPr="006C40C1">
        <w:t>a</w:t>
      </w:r>
      <w:r w:rsidRPr="006C40C1">
        <w:t>ten.</w:t>
      </w:r>
    </w:p>
    <w:p w:rsidR="00AA5D77" w:rsidRPr="006C40C1" w:rsidRDefault="00AA5D77">
      <w:pPr>
        <w:pStyle w:val="Normaltindrag"/>
      </w:pPr>
      <w:r w:rsidRPr="006C40C1">
        <w:t>Utskottets förslag avviker alltså från budgetpropositionen vad avser j</w:t>
      </w:r>
      <w:r w:rsidRPr="006C40C1">
        <w:t>u</w:t>
      </w:r>
      <w:r w:rsidRPr="006C40C1">
        <w:t>steringen av de tidigare fastställda utgiftstaken för staten åren 2003 och 2004. De totala anslagsförändringarna tillsammans med den tillkommande höjnin</w:t>
      </w:r>
      <w:r w:rsidRPr="006C40C1">
        <w:t>g</w:t>
      </w:r>
      <w:r w:rsidRPr="006C40C1">
        <w:t>en inom utgiftsområde 25 som leder till en takjustering, uppgår därmed till  25 456 miljoner kronor per år. Justeringen avrundas emellertid till hela mi</w:t>
      </w:r>
      <w:r w:rsidRPr="006C40C1">
        <w:t>l</w:t>
      </w:r>
      <w:r w:rsidRPr="006C40C1">
        <w:t>jarder kronor i enlighet med tidigare praxis, varför sänkningen av utgiftstaket begränsas till 25 miljarder kronor. Det av utskottet föreslagna utgiftstaket för staten beräknas därmed till 819 miljarder kr</w:t>
      </w:r>
      <w:r w:rsidRPr="006C40C1">
        <w:t>onor för 2003 och 853 miljarder kronor för 2004, vilket är 1 miljard kronor högre jämfört med regeringens förslag i propos</w:t>
      </w:r>
      <w:r w:rsidRPr="006C40C1">
        <w:t>i</w:t>
      </w:r>
      <w:r w:rsidRPr="006C40C1">
        <w:t>tionen.</w:t>
      </w:r>
    </w:p>
    <w:p w:rsidR="00AA5D77" w:rsidRPr="006C40C1" w:rsidRDefault="00AA5D77">
      <w:pPr>
        <w:pStyle w:val="Normaltindrag"/>
      </w:pPr>
      <w:r w:rsidRPr="006C40C1">
        <w:t>Med hänsyn härtill biträder utskottet regeringens förslag till utgiftstak för staten för 2002–2004 med den justering som utskottet föreslagit och tillsty</w:t>
      </w:r>
      <w:r w:rsidRPr="006C40C1">
        <w:t>r</w:t>
      </w:r>
      <w:r w:rsidRPr="006C40C1">
        <w:t>ker därmed delvis punkt 2 i propos</w:t>
      </w:r>
      <w:r w:rsidRPr="006C40C1">
        <w:t>i</w:t>
      </w:r>
      <w:r w:rsidRPr="006C40C1">
        <w:t>tionen.</w:t>
      </w:r>
    </w:p>
    <w:p w:rsidR="00AA5D77" w:rsidRPr="006C40C1" w:rsidRDefault="00AA5D77">
      <w:pPr>
        <w:pStyle w:val="Normaltindrag"/>
      </w:pPr>
      <w:r w:rsidRPr="006C40C1">
        <w:t>De motionsyrkanden som är aktuella i detta sammanhang avstyrks. Det gäller motionerna Fi231 (m) yrkande 3, Fi232 (fp) yrkande 2, Fi233 (kd) yrkande 5 samt Fi234 (c) yrka</w:t>
      </w:r>
      <w:r w:rsidRPr="006C40C1">
        <w:t>n</w:t>
      </w:r>
      <w:r w:rsidRPr="006C40C1">
        <w:t>de 3.</w:t>
      </w:r>
    </w:p>
    <w:p w:rsidR="00AA5D77" w:rsidRPr="006C40C1" w:rsidRDefault="00AA5D77">
      <w:pPr>
        <w:pStyle w:val="Rubrik3"/>
        <w:rPr>
          <w:noProof w:val="0"/>
        </w:rPr>
      </w:pPr>
      <w:bookmarkStart w:id="372" w:name="_Toc25408033"/>
      <w:bookmarkStart w:id="373" w:name="_Toc26191460"/>
      <w:r w:rsidRPr="006C40C1">
        <w:rPr>
          <w:noProof w:val="0"/>
        </w:rPr>
        <w:t>2.5.2 Utgiftstak för den offentliga sektorn</w:t>
      </w:r>
      <w:bookmarkEnd w:id="372"/>
      <w:bookmarkEnd w:id="373"/>
    </w:p>
    <w:p w:rsidR="00AA5D77" w:rsidRPr="006C40C1" w:rsidRDefault="00AA5D77">
      <w:r w:rsidRPr="006C40C1">
        <w:t>Utgiftstaket för den offentliga sektorn erhålls genom att en beräkning av de samlade kommunala utgifterna läggs till utgiftstaket för staten. I beräkningen görs avdrag för interna transaktioner mellan staten och kommunsektorn samt mellan staten och ålderspensionssystemet vid sidan av statsbudgeten. Nivån på detta utgiftstak är således en funktion av det utgiftstak som gäller för st</w:t>
      </w:r>
      <w:r w:rsidRPr="006C40C1">
        <w:t>a</w:t>
      </w:r>
      <w:r w:rsidRPr="006C40C1">
        <w:t>ten.</w:t>
      </w:r>
    </w:p>
    <w:p w:rsidR="00AA5D77" w:rsidRPr="006C40C1" w:rsidRDefault="00AA5D77">
      <w:pPr>
        <w:pStyle w:val="R4"/>
      </w:pPr>
      <w:r w:rsidRPr="006C40C1">
        <w:t>Budgetpropositionen</w:t>
      </w:r>
    </w:p>
    <w:p w:rsidR="00AA5D77" w:rsidRPr="006C40C1" w:rsidRDefault="00AA5D77">
      <w:r w:rsidRPr="006C40C1">
        <w:t>I budgetpropositionen (avsnitt 4.1.2) redovisar regeringen att utgiftstaket för den offentliga sektorn åren 2003 och 2004 har reviderats upp jämfört med budgetpropositionen för 2002, främst till följd av högre kommunal konsu</w:t>
      </w:r>
      <w:r w:rsidRPr="006C40C1">
        <w:t>m</w:t>
      </w:r>
      <w:r w:rsidRPr="006C40C1">
        <w:t>tion. De föreslagna tekniska justeringarna av utgiftstaken för staten påverkar inte utgiftstaket för den offentliga sektorn eftersom de motsvaras av lika stora interna transaktioner inom den offentliga sektorn.</w:t>
      </w:r>
    </w:p>
    <w:p w:rsidR="00AA5D77" w:rsidRPr="006C40C1" w:rsidRDefault="00AA5D77">
      <w:pPr>
        <w:pStyle w:val="Normaltindrag"/>
      </w:pPr>
      <w:r w:rsidRPr="006C40C1">
        <w:t>Regeringen föreslår vidare att riksdagen godkänner beräkningen av de o</w:t>
      </w:r>
      <w:r w:rsidRPr="006C40C1">
        <w:t>f</w:t>
      </w:r>
      <w:r w:rsidRPr="006C40C1">
        <w:t>fentliga utgifterna för 2003 och 2004 (punkt 3). Beräkningen framgår av följande tabell.</w:t>
      </w:r>
    </w:p>
    <w:p w:rsidR="00AA5D77" w:rsidRPr="006C40C1" w:rsidRDefault="00AA5D77">
      <w:pPr>
        <w:keepNext/>
        <w:spacing w:before="360" w:line="170" w:lineRule="exact"/>
        <w:rPr>
          <w:b/>
          <w:sz w:val="17"/>
        </w:rPr>
      </w:pPr>
      <w:r w:rsidRPr="006C40C1">
        <w:rPr>
          <w:b/>
          <w:sz w:val="17"/>
        </w:rPr>
        <w:t>Tabell 29. Regeringens förslag till beräkning av utgiftstaket för den offentliga sektorn 2003 och 2004</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Belopp i miljarder kronor</w:t>
      </w:r>
    </w:p>
    <w:p w:rsidR="00AA5D77" w:rsidRPr="006C40C1" w:rsidRDefault="006C40C1">
      <w:pPr>
        <w:spacing w:before="0" w:line="240" w:lineRule="auto"/>
      </w:pPr>
      <w:r w:rsidRPr="006C40C1">
        <w:rPr>
          <w:noProof/>
        </w:rPr>
        <w:drawing>
          <wp:inline distT="0" distB="0" distL="0" distR="0">
            <wp:extent cx="3777615" cy="920115"/>
            <wp:effectExtent l="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777615" cy="920115"/>
                    </a:xfrm>
                    <a:prstGeom prst="rect">
                      <a:avLst/>
                    </a:prstGeom>
                    <a:noFill/>
                    <a:ln>
                      <a:noFill/>
                    </a:ln>
                  </pic:spPr>
                </pic:pic>
              </a:graphicData>
            </a:graphic>
          </wp:inline>
        </w:drawing>
      </w:r>
    </w:p>
    <w:p w:rsidR="00AA5D77" w:rsidRPr="006C40C1" w:rsidRDefault="00AA5D77">
      <w:pPr>
        <w:pStyle w:val="R4"/>
      </w:pPr>
      <w:r w:rsidRPr="006C40C1">
        <w:t>Motionerna</w:t>
      </w:r>
    </w:p>
    <w:p w:rsidR="00AA5D77" w:rsidRPr="006C40C1" w:rsidRDefault="00AA5D77">
      <w:r w:rsidRPr="006C40C1">
        <w:rPr>
          <w:i/>
        </w:rPr>
        <w:t>Socialdemokraterna, Vänsterpartiet</w:t>
      </w:r>
      <w:r w:rsidRPr="006C40C1">
        <w:t xml:space="preserve"> och</w:t>
      </w:r>
      <w:r w:rsidRPr="006C40C1">
        <w:rPr>
          <w:i/>
        </w:rPr>
        <w:t xml:space="preserve"> Miljöpartiet de gröna</w:t>
      </w:r>
      <w:r w:rsidRPr="006C40C1">
        <w:t xml:space="preserve"> föreslår i </w:t>
      </w:r>
      <w:r w:rsidRPr="006C40C1">
        <w:rPr>
          <w:i/>
        </w:rPr>
        <w:t>m</w:t>
      </w:r>
      <w:r w:rsidRPr="006C40C1">
        <w:rPr>
          <w:i/>
        </w:rPr>
        <w:t>o</w:t>
      </w:r>
      <w:r w:rsidRPr="006C40C1">
        <w:rPr>
          <w:i/>
        </w:rPr>
        <w:t>tion Fi230</w:t>
      </w:r>
      <w:r w:rsidRPr="006C40C1">
        <w:t xml:space="preserve"> inte någon ändring av nivån för utgiftstaket för den offentliga sektorn.</w:t>
      </w:r>
    </w:p>
    <w:p w:rsidR="00AA5D77" w:rsidRPr="006C40C1" w:rsidRDefault="00AA5D77">
      <w:pPr>
        <w:pStyle w:val="Normaltindrag"/>
      </w:pPr>
      <w:r w:rsidRPr="006C40C1">
        <w:rPr>
          <w:i/>
        </w:rPr>
        <w:t>Moderata samlingspartiet</w:t>
      </w:r>
      <w:r w:rsidRPr="006C40C1">
        <w:t xml:space="preserve"> framhåller i </w:t>
      </w:r>
      <w:r w:rsidRPr="006C40C1">
        <w:rPr>
          <w:i/>
        </w:rPr>
        <w:t>motion Fi231</w:t>
      </w:r>
      <w:r w:rsidRPr="006C40C1">
        <w:t xml:space="preserve"> att de utgiftsförän</w:t>
      </w:r>
      <w:r w:rsidRPr="006C40C1">
        <w:t>d</w:t>
      </w:r>
      <w:r w:rsidRPr="006C40C1">
        <w:t>ringar och skattesänkningar som partiet föreslår leder till minskade utgifter för den offentliga sektorn. De nivåer som motionärerna föreslår för utgiftst</w:t>
      </w:r>
      <w:r w:rsidRPr="006C40C1">
        <w:t>a</w:t>
      </w:r>
      <w:r w:rsidRPr="006C40C1">
        <w:t>ket för den offentliga sektorn är 1 197 miljarder kronor 2003 och 1 159 mi</w:t>
      </w:r>
      <w:r w:rsidRPr="006C40C1">
        <w:t>l</w:t>
      </w:r>
      <w:r w:rsidRPr="006C40C1">
        <w:t>jarder kronor 2004 (y</w:t>
      </w:r>
      <w:r w:rsidRPr="006C40C1">
        <w:t>r</w:t>
      </w:r>
      <w:r w:rsidRPr="006C40C1">
        <w:t>kande 2).</w:t>
      </w:r>
    </w:p>
    <w:p w:rsidR="00AA5D77" w:rsidRPr="006C40C1" w:rsidRDefault="00AA5D77">
      <w:pPr>
        <w:pStyle w:val="Normaltindrag"/>
      </w:pPr>
      <w:r w:rsidRPr="006C40C1">
        <w:rPr>
          <w:i/>
        </w:rPr>
        <w:t>Folkpartiet liberalerna</w:t>
      </w:r>
      <w:r w:rsidRPr="006C40C1">
        <w:t xml:space="preserve"> förordar i </w:t>
      </w:r>
      <w:r w:rsidRPr="006C40C1">
        <w:rPr>
          <w:i/>
        </w:rPr>
        <w:t>motion Fi232</w:t>
      </w:r>
      <w:r w:rsidRPr="006C40C1">
        <w:t xml:space="preserve"> att utgiftstaket för den o</w:t>
      </w:r>
      <w:r w:rsidRPr="006C40C1">
        <w:t>f</w:t>
      </w:r>
      <w:r w:rsidRPr="006C40C1">
        <w:t>fentliga sektorn anges till 1 204 miljarder kronor för 2003 och 1 250 miljarder kronor för 2004 (yrkande 3).</w:t>
      </w:r>
    </w:p>
    <w:p w:rsidR="00AA5D77" w:rsidRPr="006C40C1" w:rsidRDefault="00AA5D77">
      <w:pPr>
        <w:pStyle w:val="Normaltindrag"/>
      </w:pPr>
      <w:r w:rsidRPr="006C40C1">
        <w:rPr>
          <w:i/>
        </w:rPr>
        <w:t>Kristdemokraterna</w:t>
      </w:r>
      <w:r w:rsidRPr="006C40C1">
        <w:t xml:space="preserve"> föreslår i </w:t>
      </w:r>
      <w:r w:rsidRPr="006C40C1">
        <w:rPr>
          <w:i/>
        </w:rPr>
        <w:t>motion Fi233</w:t>
      </w:r>
      <w:r w:rsidRPr="006C40C1">
        <w:t xml:space="preserve"> en kombination av lägre u</w:t>
      </w:r>
      <w:r w:rsidRPr="006C40C1">
        <w:t>t</w:t>
      </w:r>
      <w:r w:rsidRPr="006C40C1">
        <w:t>giftstak för staten och ett större utrymme för kommunsektorn som leder till ett lägre utgiftstak för den offentliga sektorn. De redovisade nivåerna för u</w:t>
      </w:r>
      <w:r w:rsidRPr="006C40C1">
        <w:t>t</w:t>
      </w:r>
      <w:r w:rsidRPr="006C40C1">
        <w:t>giftstaket för den offentliga sektorn uppgår till 1 219 miljarder kronor för 2003 och 1 258 miljarder kr</w:t>
      </w:r>
      <w:r w:rsidRPr="006C40C1">
        <w:t>o</w:t>
      </w:r>
      <w:r w:rsidRPr="006C40C1">
        <w:t>nor för 2004 (yrkande 12).</w:t>
      </w:r>
    </w:p>
    <w:p w:rsidR="00AA5D77" w:rsidRPr="006C40C1" w:rsidRDefault="00AA5D77">
      <w:pPr>
        <w:pStyle w:val="Normaltindrag"/>
      </w:pPr>
      <w:r w:rsidRPr="006C40C1">
        <w:rPr>
          <w:i/>
        </w:rPr>
        <w:t>Centerpartiet</w:t>
      </w:r>
      <w:r w:rsidRPr="006C40C1">
        <w:t xml:space="preserve"> framför i </w:t>
      </w:r>
      <w:r w:rsidRPr="006C40C1">
        <w:rPr>
          <w:i/>
        </w:rPr>
        <w:t>motion Fi234</w:t>
      </w:r>
      <w:r w:rsidRPr="006C40C1">
        <w:t xml:space="preserve"> inget formellt yrkande om berä</w:t>
      </w:r>
      <w:r w:rsidRPr="006C40C1">
        <w:t>k</w:t>
      </w:r>
      <w:r w:rsidRPr="006C40C1">
        <w:t>ningen av de offentliga utgifterna, men redovisar i en tabell vilken effekt partiets budgetalternativ har på dessa utgifter. För åren 2003 och 2004 uppgår taket i Centerpartiets budgetalternativ till 1 207 respektive 1 249 miljarder kronor.</w:t>
      </w:r>
    </w:p>
    <w:p w:rsidR="00AA5D77" w:rsidRPr="006C40C1" w:rsidRDefault="00AA5D77">
      <w:pPr>
        <w:keepNext/>
        <w:spacing w:before="360" w:line="170" w:lineRule="exact"/>
        <w:rPr>
          <w:b/>
          <w:sz w:val="17"/>
        </w:rPr>
      </w:pPr>
      <w:r w:rsidRPr="006C40C1">
        <w:rPr>
          <w:b/>
          <w:sz w:val="17"/>
        </w:rPr>
        <w:t>Tabell 30. Oppositionspartiernas förslag till beräkning av utgiftstaket för den offentliga sektorn 2003 och 2004</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Belopp i miljarder kronor</w:t>
      </w:r>
    </w:p>
    <w:p w:rsidR="00AA5D77" w:rsidRPr="006C40C1" w:rsidRDefault="006C40C1">
      <w:pPr>
        <w:spacing w:before="0" w:line="240" w:lineRule="auto"/>
      </w:pPr>
      <w:r w:rsidRPr="006C40C1">
        <w:rPr>
          <w:noProof/>
        </w:rPr>
        <w:drawing>
          <wp:inline distT="0" distB="0" distL="0" distR="0">
            <wp:extent cx="3777615" cy="778510"/>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777615" cy="778510"/>
                    </a:xfrm>
                    <a:prstGeom prst="rect">
                      <a:avLst/>
                    </a:prstGeom>
                    <a:noFill/>
                    <a:ln>
                      <a:noFill/>
                    </a:ln>
                  </pic:spPr>
                </pic:pic>
              </a:graphicData>
            </a:graphic>
          </wp:inline>
        </w:drawing>
      </w:r>
    </w:p>
    <w:p w:rsidR="00AA5D77" w:rsidRPr="006C40C1" w:rsidRDefault="00AA5D77">
      <w:pPr>
        <w:pStyle w:val="R4"/>
      </w:pPr>
      <w:r w:rsidRPr="006C40C1">
        <w:t>Finansutskottets ställningstagande</w:t>
      </w:r>
    </w:p>
    <w:p w:rsidR="00AA5D77" w:rsidRPr="006C40C1" w:rsidRDefault="00AA5D77">
      <w:r w:rsidRPr="006C40C1">
        <w:t>Med hänvisning till vad utskottet tidigare framhållit (se avsnitt 2.4.3) tillsty</w:t>
      </w:r>
      <w:r w:rsidRPr="006C40C1">
        <w:t>r</w:t>
      </w:r>
      <w:r w:rsidRPr="006C40C1">
        <w:t>ker finansutskottet regeringens förslag till beräkning av de offentliga utgifte</w:t>
      </w:r>
      <w:r w:rsidRPr="006C40C1">
        <w:t>r</w:t>
      </w:r>
      <w:r w:rsidRPr="006C40C1">
        <w:t>na (punkt 3). De av utskottet föreslagna tekniska justeringarna av nivån för utgiftstaket för staten åren 2003 och 2004 påverkar inte det beräknade u</w:t>
      </w:r>
      <w:r w:rsidRPr="006C40C1">
        <w:t>t</w:t>
      </w:r>
      <w:r w:rsidRPr="006C40C1">
        <w:t>giftstaket för den offentliga sektorn eftersom justeringarna motsvaras av elimineringar för interna transaktioner inom den offentliga sektorn.</w:t>
      </w:r>
    </w:p>
    <w:p w:rsidR="00AA5D77" w:rsidRPr="006C40C1" w:rsidRDefault="00AA5D77">
      <w:pPr>
        <w:pStyle w:val="Normaltindrag"/>
      </w:pPr>
      <w:r w:rsidRPr="006C40C1">
        <w:t>Utskottet avstyrker därmed de förslag till alternativ beräkning av de o</w:t>
      </w:r>
      <w:r w:rsidRPr="006C40C1">
        <w:t>f</w:t>
      </w:r>
      <w:r w:rsidRPr="006C40C1">
        <w:t>fentliga utgifterna och utgiftstak för den offentliga sektorn som framförs i motionerna Fi231 (m) yrkande 2, Fi232 (fp) yrkande 3 samt Fi233 (kd) y</w:t>
      </w:r>
      <w:r w:rsidRPr="006C40C1">
        <w:t>r</w:t>
      </w:r>
      <w:r w:rsidRPr="006C40C1">
        <w:t>kande 12.</w:t>
      </w:r>
    </w:p>
    <w:p w:rsidR="00AA5D77" w:rsidRPr="006C40C1" w:rsidRDefault="00AA5D77">
      <w:pPr>
        <w:pStyle w:val="Rubrik2"/>
      </w:pPr>
      <w:bookmarkStart w:id="374" w:name="_Toc25408034"/>
      <w:bookmarkStart w:id="375" w:name="_Toc26191461"/>
      <w:r w:rsidRPr="006C40C1">
        <w:t>2.6 Fördelning av statsbudgetens utgifter på utgiftsområden 2003</w:t>
      </w:r>
      <w:bookmarkEnd w:id="374"/>
      <w:bookmarkEnd w:id="375"/>
    </w:p>
    <w:p w:rsidR="00AA5D77" w:rsidRPr="006C40C1" w:rsidRDefault="00AA5D77">
      <w:pPr>
        <w:pStyle w:val="Utskottsfrslagikorthet-Rubrik"/>
        <w:pBdr>
          <w:top w:val="single" w:sz="4" w:space="1" w:color="auto"/>
          <w:left w:val="single" w:sz="4" w:space="4" w:color="auto"/>
          <w:bottom w:val="single" w:sz="4" w:space="1" w:color="auto"/>
          <w:right w:val="single" w:sz="4" w:space="4" w:color="auto"/>
        </w:pBdr>
        <w:rPr>
          <w:noProof w:val="0"/>
        </w:rPr>
      </w:pPr>
      <w:r w:rsidRPr="006C40C1">
        <w:rPr>
          <w:noProof w:val="0"/>
        </w:rPr>
        <w:t>Utskottets delförslag i korthet</w:t>
      </w:r>
    </w:p>
    <w:p w:rsidR="00AA5D77" w:rsidRPr="006C40C1" w:rsidRDefault="00AA5D77">
      <w:pPr>
        <w:pStyle w:val="Utskottsfrslagikorthet-Text"/>
        <w:pBdr>
          <w:top w:val="single" w:sz="4" w:space="1" w:color="auto"/>
          <w:left w:val="single" w:sz="4" w:space="4" w:color="auto"/>
          <w:bottom w:val="single" w:sz="4" w:space="1" w:color="auto"/>
          <w:right w:val="single" w:sz="4" w:space="4" w:color="auto"/>
        </w:pBdr>
      </w:pPr>
      <w:r w:rsidRPr="006C40C1">
        <w:t>Utskottet tillstyrker regeringens förslag till fördelning av statsbu</w:t>
      </w:r>
      <w:r w:rsidRPr="006C40C1">
        <w:t>d</w:t>
      </w:r>
      <w:r w:rsidRPr="006C40C1">
        <w:t xml:space="preserve">getens utgifter på utgiftsområden för 2003 med den ändringen att ramarna för utgiftsområdena 8 </w:t>
      </w:r>
      <w:r w:rsidRPr="006C40C1">
        <w:rPr>
          <w:i/>
        </w:rPr>
        <w:t>Invandrare och flyktingar</w:t>
      </w:r>
      <w:r w:rsidRPr="006C40C1">
        <w:t xml:space="preserve">, 9 </w:t>
      </w:r>
      <w:r w:rsidRPr="006C40C1">
        <w:rPr>
          <w:i/>
        </w:rPr>
        <w:t>Häls</w:t>
      </w:r>
      <w:r w:rsidRPr="006C40C1">
        <w:rPr>
          <w:i/>
        </w:rPr>
        <w:t>o</w:t>
      </w:r>
      <w:r w:rsidRPr="006C40C1">
        <w:rPr>
          <w:i/>
        </w:rPr>
        <w:t>vård, sjukvård och social omsorg</w:t>
      </w:r>
      <w:r w:rsidRPr="006C40C1">
        <w:t xml:space="preserve">, 14 </w:t>
      </w:r>
      <w:r w:rsidRPr="006C40C1">
        <w:rPr>
          <w:i/>
        </w:rPr>
        <w:t>Arbetsliv</w:t>
      </w:r>
      <w:r w:rsidRPr="006C40C1">
        <w:t xml:space="preserve">, 15 </w:t>
      </w:r>
      <w:r w:rsidRPr="006C40C1">
        <w:rPr>
          <w:i/>
        </w:rPr>
        <w:t>Studiestöd</w:t>
      </w:r>
      <w:r w:rsidRPr="006C40C1">
        <w:t xml:space="preserve">, 20 </w:t>
      </w:r>
      <w:r w:rsidRPr="006C40C1">
        <w:rPr>
          <w:i/>
        </w:rPr>
        <w:t>Allmän miljö- och naturvård</w:t>
      </w:r>
      <w:r w:rsidRPr="006C40C1">
        <w:t xml:space="preserve"> och 23 </w:t>
      </w:r>
      <w:r w:rsidRPr="006C40C1">
        <w:rPr>
          <w:i/>
        </w:rPr>
        <w:t>Jord- och skogsbruk, fiske med anslutande näringar</w:t>
      </w:r>
      <w:r w:rsidRPr="006C40C1">
        <w:t xml:space="preserve"> förändras i enlighet med förslaget i motion Fi230 (s, v, mp) yrkande 1.  </w:t>
      </w:r>
    </w:p>
    <w:p w:rsidR="00AA5D77" w:rsidRPr="006C40C1" w:rsidRDefault="00AA5D77">
      <w:pPr>
        <w:pStyle w:val="Utskottsfrslagikorthet-Text"/>
        <w:pBdr>
          <w:top w:val="single" w:sz="4" w:space="1" w:color="auto"/>
          <w:left w:val="single" w:sz="4" w:space="4" w:color="auto"/>
          <w:bottom w:val="single" w:sz="4" w:space="1" w:color="auto"/>
          <w:right w:val="single" w:sz="4" w:space="4" w:color="auto"/>
        </w:pBdr>
      </w:pPr>
      <w:r w:rsidRPr="006C40C1">
        <w:t xml:space="preserve">  Utskottet föreslår därutöver att ramen för utgiftsområde 25 </w:t>
      </w:r>
      <w:r w:rsidRPr="006C40C1">
        <w:rPr>
          <w:i/>
        </w:rPr>
        <w:t>Al</w:t>
      </w:r>
      <w:r w:rsidRPr="006C40C1">
        <w:rPr>
          <w:i/>
        </w:rPr>
        <w:t>l</w:t>
      </w:r>
      <w:r w:rsidRPr="006C40C1">
        <w:rPr>
          <w:i/>
        </w:rPr>
        <w:t>männa bidrag till kommuner</w:t>
      </w:r>
      <w:r w:rsidRPr="006C40C1">
        <w:t xml:space="preserve"> för 2003 höjs med 456 miljoner kr</w:t>
      </w:r>
      <w:r w:rsidRPr="006C40C1">
        <w:t>o</w:t>
      </w:r>
      <w:r w:rsidRPr="006C40C1">
        <w:t>nor jämfört med regeringens förslag.</w:t>
      </w:r>
    </w:p>
    <w:p w:rsidR="00AA5D77" w:rsidRPr="006C40C1" w:rsidRDefault="00AA5D77">
      <w:pPr>
        <w:pStyle w:val="Utskottsfrslagikorthet-Text"/>
        <w:pBdr>
          <w:top w:val="single" w:sz="4" w:space="1" w:color="auto"/>
          <w:left w:val="single" w:sz="4" w:space="4" w:color="auto"/>
          <w:bottom w:val="single" w:sz="4" w:space="1" w:color="auto"/>
          <w:right w:val="single" w:sz="4" w:space="4" w:color="auto"/>
        </w:pBdr>
      </w:pPr>
      <w:r w:rsidRPr="006C40C1">
        <w:t xml:space="preserve">  Utskottet avslår därmed motionerna med alternativa yrkanden från Moderata samlingspartiet, Folkpartiet liberalerna, Kristdemokrate</w:t>
      </w:r>
      <w:r w:rsidRPr="006C40C1">
        <w:t>r</w:t>
      </w:r>
      <w:r w:rsidRPr="006C40C1">
        <w:t xml:space="preserve">na samt Centerpartiet. </w:t>
      </w:r>
    </w:p>
    <w:p w:rsidR="00AA5D77" w:rsidRPr="006C40C1" w:rsidRDefault="00AA5D77">
      <w:pPr>
        <w:pStyle w:val="Utskottsfrslagikorthet-Text"/>
        <w:pBdr>
          <w:top w:val="single" w:sz="4" w:space="1" w:color="auto"/>
          <w:left w:val="single" w:sz="4" w:space="4" w:color="auto"/>
          <w:bottom w:val="single" w:sz="4" w:space="1" w:color="auto"/>
          <w:right w:val="single" w:sz="4" w:space="4" w:color="auto"/>
        </w:pBdr>
      </w:pPr>
      <w:r w:rsidRPr="006C40C1">
        <w:t xml:space="preserve">  Övriga delar av denna förslagspunkt behandlar utskottet i avsni</w:t>
      </w:r>
      <w:r w:rsidRPr="006C40C1">
        <w:t>t</w:t>
      </w:r>
      <w:r w:rsidRPr="006C40C1">
        <w:t>ten 2.4.3, 2.5 samt 2.8–2.10.</w:t>
      </w:r>
    </w:p>
    <w:p w:rsidR="00AA5D77" w:rsidRPr="006C40C1" w:rsidRDefault="00AA5D77">
      <w:pPr>
        <w:pStyle w:val="Utskottsfrslagikorthet-Text"/>
        <w:pBdr>
          <w:top w:val="single" w:sz="4" w:space="1" w:color="auto"/>
          <w:left w:val="single" w:sz="4" w:space="4" w:color="auto"/>
          <w:bottom w:val="single" w:sz="4" w:space="1" w:color="auto"/>
          <w:right w:val="single" w:sz="4" w:space="4" w:color="auto"/>
        </w:pBdr>
      </w:pPr>
      <w:r w:rsidRPr="006C40C1">
        <w:t xml:space="preserve">  Jämför reservationerna (8 (m), 9 (fp), 10 (kd) och 11 (c).</w:t>
      </w:r>
    </w:p>
    <w:p w:rsidR="00AA5D77" w:rsidRPr="006C40C1" w:rsidRDefault="00AA5D77">
      <w:pPr>
        <w:pStyle w:val="R4"/>
      </w:pPr>
      <w:r w:rsidRPr="006C40C1">
        <w:t>Budgetpropositionen</w:t>
      </w:r>
    </w:p>
    <w:p w:rsidR="00AA5D77" w:rsidRPr="006C40C1" w:rsidRDefault="00AA5D77">
      <w:r w:rsidRPr="006C40C1">
        <w:t>Regeringen föreslår i budgetpropositionen (avsnitt 6.2) att statsbudgetens utgifter för 2003 fördelas på utgiftsområden på det sätt som framgår av tabell 6.5 i propositionen (punkt 8).</w:t>
      </w:r>
    </w:p>
    <w:p w:rsidR="00AA5D77" w:rsidRPr="006C40C1" w:rsidRDefault="00AA5D77">
      <w:pPr>
        <w:pStyle w:val="R4"/>
      </w:pPr>
      <w:r w:rsidRPr="006C40C1">
        <w:t>Motionerna</w:t>
      </w:r>
    </w:p>
    <w:p w:rsidR="00AA5D77" w:rsidRPr="006C40C1" w:rsidRDefault="00AA5D77">
      <w:r w:rsidRPr="006C40C1">
        <w:rPr>
          <w:i/>
        </w:rPr>
        <w:t xml:space="preserve">Socialdemokraterna, Vänsterpartiet </w:t>
      </w:r>
      <w:r w:rsidRPr="006C40C1">
        <w:t>och</w:t>
      </w:r>
      <w:r w:rsidRPr="006C40C1">
        <w:rPr>
          <w:i/>
        </w:rPr>
        <w:t xml:space="preserve"> Miljöpartiet de gröna</w:t>
      </w:r>
      <w:r w:rsidRPr="006C40C1">
        <w:t xml:space="preserve"> presenterar i </w:t>
      </w:r>
      <w:r w:rsidRPr="006C40C1">
        <w:rPr>
          <w:i/>
        </w:rPr>
        <w:t>motion Fi230</w:t>
      </w:r>
      <w:r w:rsidRPr="006C40C1">
        <w:t xml:space="preserve"> ett antal förslag för att ytterligare förbättra och utveckla försl</w:t>
      </w:r>
      <w:r w:rsidRPr="006C40C1">
        <w:t>a</w:t>
      </w:r>
      <w:r w:rsidRPr="006C40C1">
        <w:t>gen i budgetpropositionen. Motionärerna föreslår följande ändringar i förhå</w:t>
      </w:r>
      <w:r w:rsidRPr="006C40C1">
        <w:t>l</w:t>
      </w:r>
      <w:r w:rsidRPr="006C40C1">
        <w:t xml:space="preserve">lande till regeringens förslag för 2003: </w:t>
      </w:r>
    </w:p>
    <w:p w:rsidR="00AA5D77" w:rsidRPr="006C40C1" w:rsidRDefault="00AA5D77">
      <w:pPr>
        <w:spacing w:before="0"/>
        <w:ind w:left="227" w:hanging="227"/>
      </w:pPr>
      <w:r w:rsidRPr="006C40C1">
        <w:t>–</w:t>
      </w:r>
      <w:r w:rsidRPr="006C40C1">
        <w:tab/>
        <w:t xml:space="preserve">ramen för utgiftsområde 8 </w:t>
      </w:r>
      <w:r w:rsidRPr="006C40C1">
        <w:rPr>
          <w:i/>
        </w:rPr>
        <w:t>Invandrare och flyktingar</w:t>
      </w:r>
      <w:r w:rsidRPr="006C40C1">
        <w:t xml:space="preserve"> ökas med 0,1 milj</w:t>
      </w:r>
      <w:r w:rsidRPr="006C40C1">
        <w:t>o</w:t>
      </w:r>
      <w:r w:rsidRPr="006C40C1">
        <w:t xml:space="preserve">ner kronor; </w:t>
      </w:r>
    </w:p>
    <w:p w:rsidR="00AA5D77" w:rsidRPr="006C40C1" w:rsidRDefault="00AA5D77">
      <w:pPr>
        <w:spacing w:before="0"/>
        <w:ind w:left="227" w:hanging="227"/>
      </w:pPr>
      <w:r w:rsidRPr="006C40C1">
        <w:t>–</w:t>
      </w:r>
      <w:r w:rsidRPr="006C40C1">
        <w:tab/>
        <w:t xml:space="preserve">ramen för utgiftsområde 9 </w:t>
      </w:r>
      <w:r w:rsidRPr="006C40C1">
        <w:rPr>
          <w:i/>
        </w:rPr>
        <w:t>Hälsovård, sjukvård och social omsorg</w:t>
      </w:r>
      <w:r w:rsidRPr="006C40C1">
        <w:t xml:space="preserve"> ökas med 186,0 miljoner kronor; </w:t>
      </w:r>
    </w:p>
    <w:p w:rsidR="00AA5D77" w:rsidRPr="006C40C1" w:rsidRDefault="00AA5D77">
      <w:pPr>
        <w:spacing w:before="0"/>
        <w:ind w:left="227" w:hanging="227"/>
      </w:pPr>
      <w:r w:rsidRPr="006C40C1">
        <w:t>–</w:t>
      </w:r>
      <w:r w:rsidRPr="006C40C1">
        <w:tab/>
        <w:t xml:space="preserve">ramen för utgiftsområde 14 </w:t>
      </w:r>
      <w:r w:rsidRPr="006C40C1">
        <w:rPr>
          <w:i/>
        </w:rPr>
        <w:t>Arbetsliv</w:t>
      </w:r>
      <w:r w:rsidRPr="006C40C1">
        <w:t xml:space="preserve"> ökas med 2,0 miljoner kronor; </w:t>
      </w:r>
    </w:p>
    <w:p w:rsidR="00AA5D77" w:rsidRPr="006C40C1" w:rsidRDefault="00AA5D77">
      <w:pPr>
        <w:spacing w:before="0"/>
        <w:ind w:left="227" w:hanging="227"/>
      </w:pPr>
      <w:r w:rsidRPr="006C40C1">
        <w:t>–</w:t>
      </w:r>
      <w:r w:rsidRPr="006C40C1">
        <w:tab/>
        <w:t xml:space="preserve">ramen för utgiftsområde 15 </w:t>
      </w:r>
      <w:r w:rsidRPr="006C40C1">
        <w:rPr>
          <w:i/>
        </w:rPr>
        <w:t>Studiestöd</w:t>
      </w:r>
      <w:r w:rsidRPr="006C40C1">
        <w:t xml:space="preserve"> minskas med 250,0 miljoner kr</w:t>
      </w:r>
      <w:r w:rsidRPr="006C40C1">
        <w:t>o</w:t>
      </w:r>
      <w:r w:rsidRPr="006C40C1">
        <w:t xml:space="preserve">nor; </w:t>
      </w:r>
    </w:p>
    <w:p w:rsidR="00AA5D77" w:rsidRPr="006C40C1" w:rsidRDefault="00AA5D77">
      <w:pPr>
        <w:spacing w:before="0"/>
        <w:ind w:left="227" w:hanging="227"/>
      </w:pPr>
      <w:r w:rsidRPr="006C40C1">
        <w:t>–</w:t>
      </w:r>
      <w:r w:rsidRPr="006C40C1">
        <w:tab/>
        <w:t xml:space="preserve">ramen för utgiftsområde 20 </w:t>
      </w:r>
      <w:r w:rsidRPr="006C40C1">
        <w:rPr>
          <w:i/>
        </w:rPr>
        <w:t>Allmän miljö- och naturvård</w:t>
      </w:r>
      <w:r w:rsidRPr="006C40C1">
        <w:t xml:space="preserve"> ökas med 28,0 mi</w:t>
      </w:r>
      <w:r w:rsidRPr="006C40C1">
        <w:t>l</w:t>
      </w:r>
      <w:r w:rsidRPr="006C40C1">
        <w:t xml:space="preserve">joner kronor; </w:t>
      </w:r>
    </w:p>
    <w:p w:rsidR="00AA5D77" w:rsidRPr="006C40C1" w:rsidRDefault="00AA5D77">
      <w:pPr>
        <w:ind w:left="227" w:hanging="227"/>
      </w:pPr>
      <w:r w:rsidRPr="006C40C1">
        <w:t>–</w:t>
      </w:r>
      <w:r w:rsidRPr="006C40C1">
        <w:tab/>
        <w:t xml:space="preserve">ramen för utgiftsområde 23 </w:t>
      </w:r>
      <w:r w:rsidRPr="006C40C1">
        <w:rPr>
          <w:i/>
        </w:rPr>
        <w:t>Jord- och skogsbruk, fiske med anslutande näringar</w:t>
      </w:r>
      <w:r w:rsidRPr="006C40C1">
        <w:t xml:space="preserve"> ökas med 20,5 miljoner kronor. </w:t>
      </w:r>
    </w:p>
    <w:p w:rsidR="00AA5D77" w:rsidRPr="006C40C1" w:rsidRDefault="00AA5D77">
      <w:r w:rsidRPr="006C40C1">
        <w:t>Förslagen behandlas i detalj längre fram i betänkandet (avsnitt 4). För övrigt ställer sig motionärerna bakom regeringens förslag till fördelning av statens utgifter på utgiftsområden för 2003.</w:t>
      </w:r>
    </w:p>
    <w:p w:rsidR="00AA5D77" w:rsidRPr="006C40C1" w:rsidRDefault="00AA5D77">
      <w:r w:rsidRPr="006C40C1">
        <w:t>De fyra borgerliga partierna avvisar regeringsförslaget och förordar i stället sina respektive förslag till utgiftsfördelning. Sådana alternativa förslag fra</w:t>
      </w:r>
      <w:r w:rsidRPr="006C40C1">
        <w:t>m</w:t>
      </w:r>
      <w:r w:rsidRPr="006C40C1">
        <w:t>förs av</w:t>
      </w:r>
    </w:p>
    <w:p w:rsidR="00AA5D77" w:rsidRPr="006C40C1" w:rsidRDefault="00AA5D77">
      <w:pPr>
        <w:ind w:left="227" w:hanging="227"/>
      </w:pPr>
      <w:r w:rsidRPr="006C40C1">
        <w:t>–</w:t>
      </w:r>
      <w:r w:rsidRPr="006C40C1">
        <w:tab/>
      </w:r>
      <w:r w:rsidRPr="006C40C1">
        <w:rPr>
          <w:i/>
        </w:rPr>
        <w:t>Moderata samlingspartiet</w:t>
      </w:r>
      <w:r w:rsidRPr="006C40C1">
        <w:t xml:space="preserve"> i </w:t>
      </w:r>
      <w:r w:rsidRPr="006C40C1">
        <w:rPr>
          <w:i/>
        </w:rPr>
        <w:t>motion Fi231</w:t>
      </w:r>
      <w:r w:rsidRPr="006C40C1">
        <w:t xml:space="preserve"> (yrkande 5),</w:t>
      </w:r>
    </w:p>
    <w:p w:rsidR="00AA5D77" w:rsidRPr="006C40C1" w:rsidRDefault="00AA5D77">
      <w:pPr>
        <w:spacing w:before="0"/>
        <w:ind w:left="227" w:hanging="227"/>
      </w:pPr>
      <w:r w:rsidRPr="006C40C1">
        <w:t>–</w:t>
      </w:r>
      <w:r w:rsidRPr="006C40C1">
        <w:tab/>
      </w:r>
      <w:r w:rsidRPr="006C40C1">
        <w:rPr>
          <w:i/>
        </w:rPr>
        <w:t>Folkpartiet liberalerna</w:t>
      </w:r>
      <w:r w:rsidRPr="006C40C1">
        <w:t xml:space="preserve"> i </w:t>
      </w:r>
      <w:r w:rsidRPr="006C40C1">
        <w:rPr>
          <w:i/>
        </w:rPr>
        <w:t>motion Fi232</w:t>
      </w:r>
      <w:r w:rsidRPr="006C40C1">
        <w:t xml:space="preserve"> (yrkande 6),</w:t>
      </w:r>
    </w:p>
    <w:p w:rsidR="00AA5D77" w:rsidRPr="006C40C1" w:rsidRDefault="00AA5D77">
      <w:pPr>
        <w:spacing w:before="0"/>
        <w:ind w:left="227" w:hanging="227"/>
      </w:pPr>
      <w:r w:rsidRPr="006C40C1">
        <w:t>–</w:t>
      </w:r>
      <w:r w:rsidRPr="006C40C1">
        <w:tab/>
      </w:r>
      <w:r w:rsidRPr="006C40C1">
        <w:rPr>
          <w:i/>
        </w:rPr>
        <w:t>Kristdemokraterna</w:t>
      </w:r>
      <w:r w:rsidRPr="006C40C1">
        <w:t xml:space="preserve"> i </w:t>
      </w:r>
      <w:r w:rsidRPr="006C40C1">
        <w:rPr>
          <w:i/>
        </w:rPr>
        <w:t>motion Fi233</w:t>
      </w:r>
      <w:r w:rsidRPr="006C40C1">
        <w:t xml:space="preserve"> (yrkande 8) samt</w:t>
      </w:r>
    </w:p>
    <w:p w:rsidR="00AA5D77" w:rsidRPr="006C40C1" w:rsidRDefault="00AA5D77">
      <w:pPr>
        <w:spacing w:before="0"/>
        <w:ind w:left="227" w:hanging="227"/>
      </w:pPr>
      <w:r w:rsidRPr="006C40C1">
        <w:t>–</w:t>
      </w:r>
      <w:r w:rsidRPr="006C40C1">
        <w:tab/>
      </w:r>
      <w:r w:rsidRPr="006C40C1">
        <w:rPr>
          <w:i/>
        </w:rPr>
        <w:t xml:space="preserve">Centerpartiet </w:t>
      </w:r>
      <w:r w:rsidRPr="006C40C1">
        <w:t xml:space="preserve">i </w:t>
      </w:r>
      <w:r w:rsidRPr="006C40C1">
        <w:rPr>
          <w:i/>
        </w:rPr>
        <w:t>motion Fi234</w:t>
      </w:r>
      <w:r w:rsidRPr="006C40C1">
        <w:t xml:space="preserve"> (yrkande 6).</w:t>
      </w:r>
    </w:p>
    <w:p w:rsidR="00AA5D77" w:rsidRPr="006C40C1" w:rsidRDefault="00AA5D77">
      <w:pPr>
        <w:pStyle w:val="Normaltindrag"/>
        <w:ind w:firstLine="0"/>
      </w:pPr>
    </w:p>
    <w:p w:rsidR="00AA5D77" w:rsidRPr="006C40C1" w:rsidRDefault="00AA5D77">
      <w:pPr>
        <w:pStyle w:val="Normaltindrag"/>
        <w:ind w:firstLine="0"/>
      </w:pPr>
      <w:r w:rsidRPr="006C40C1">
        <w:t>De olika partiernas förslag framgår av följande sammanställning.</w:t>
      </w:r>
    </w:p>
    <w:p w:rsidR="00AA5D77" w:rsidRPr="006C40C1" w:rsidRDefault="00AA5D77">
      <w:pPr>
        <w:keepNext/>
        <w:spacing w:before="360" w:line="170" w:lineRule="exact"/>
        <w:ind w:left="-1418"/>
        <w:rPr>
          <w:b/>
          <w:sz w:val="17"/>
        </w:rPr>
      </w:pPr>
      <w:r w:rsidRPr="006C40C1">
        <w:rPr>
          <w:b/>
          <w:sz w:val="17"/>
        </w:rPr>
        <w:t>Tabell 31. Regeringens och riksdagspartiernas förslag till utgiftsramar för 2003</w:t>
      </w:r>
    </w:p>
    <w:p w:rsidR="00AA5D77" w:rsidRPr="006C40C1" w:rsidRDefault="00AA5D77">
      <w:pPr>
        <w:pStyle w:val="Tabell"/>
        <w:keepNext/>
        <w:keepLines/>
        <w:spacing w:after="40"/>
        <w:ind w:left="-1418"/>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pPr>
        <w:pStyle w:val="Normaltindrag"/>
        <w:keepNext/>
        <w:spacing w:line="240" w:lineRule="auto"/>
        <w:ind w:left="-1418" w:firstLine="0"/>
      </w:pPr>
      <w:r w:rsidRPr="006C40C1">
        <w:rPr>
          <w:noProof/>
        </w:rPr>
        <w:drawing>
          <wp:inline distT="0" distB="0" distL="0" distR="0">
            <wp:extent cx="4658995" cy="4506595"/>
            <wp:effectExtent l="0" t="0" r="0" b="0"/>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658995" cy="4506595"/>
                    </a:xfrm>
                    <a:prstGeom prst="rect">
                      <a:avLst/>
                    </a:prstGeom>
                    <a:noFill/>
                    <a:ln>
                      <a:noFill/>
                    </a:ln>
                  </pic:spPr>
                </pic:pic>
              </a:graphicData>
            </a:graphic>
          </wp:inline>
        </w:drawing>
      </w:r>
    </w:p>
    <w:p w:rsidR="00AA5D77" w:rsidRPr="006C40C1" w:rsidRDefault="00AA5D77">
      <w:pPr>
        <w:pStyle w:val="Normaltindrag"/>
        <w:spacing w:before="20" w:line="160" w:lineRule="atLeast"/>
        <w:ind w:left="-1276" w:right="-142" w:firstLine="0"/>
        <w:rPr>
          <w:sz w:val="12"/>
        </w:rPr>
      </w:pPr>
      <w:r w:rsidRPr="006C40C1">
        <w:rPr>
          <w:sz w:val="12"/>
        </w:rPr>
        <w:t xml:space="preserve">  Anm. Utgiftsområde 8 Invandrare och flyktingar: I motion Fi230 (s, v, mp) föreslås att ramen höjs med 0,1 miljon kr.</w:t>
      </w:r>
    </w:p>
    <w:p w:rsidR="00AA5D77" w:rsidRPr="006C40C1" w:rsidRDefault="00AA5D77">
      <w:pPr>
        <w:pStyle w:val="Normaltindrag"/>
        <w:spacing w:line="80" w:lineRule="exact"/>
        <w:ind w:left="-1276" w:firstLine="0"/>
      </w:pPr>
    </w:p>
    <w:p w:rsidR="00AA5D77" w:rsidRPr="006C40C1" w:rsidRDefault="00AA5D77">
      <w:pPr>
        <w:pStyle w:val="R4"/>
      </w:pPr>
      <w:r w:rsidRPr="006C40C1">
        <w:t>Övriga utskotts yttranden</w:t>
      </w:r>
    </w:p>
    <w:p w:rsidR="00AA5D77" w:rsidRPr="006C40C1" w:rsidRDefault="00AA5D77">
      <w:r w:rsidRPr="006C40C1">
        <w:t>Sammanlagt tolv utskott har yttrat sig över budgetpropositionens förslag till utgiftsramar för budgetåret 2003 och de motioner som väckts med anledning av propositionen. Två utskott – konstitutionsutskottet och utbildningsutsko</w:t>
      </w:r>
      <w:r w:rsidRPr="006C40C1">
        <w:t>t</w:t>
      </w:r>
      <w:r w:rsidRPr="006C40C1">
        <w:t>tet – har avstått från att yttra sig. Av de utskott som yttrat sig i ärendet har samtliga tillstyrkt regeringens förslag med följande justeringar:</w:t>
      </w:r>
    </w:p>
    <w:p w:rsidR="00AA5D77" w:rsidRPr="006C40C1" w:rsidRDefault="00AA5D77">
      <w:pPr>
        <w:pStyle w:val="Normaltindrag"/>
      </w:pPr>
      <w:r w:rsidRPr="006C40C1">
        <w:t>Socialförsäkringsutskottet anser i sitt yttrande (SfU1y) att det finns skäl att ge utrymme för en utökning av anslag 10:5 Ombudsmannen mot etnisk diskriminering i enlighet med motion Fi230 (s, v, mp). Motionen tillstyrks därmed i berörda delar och regeringens förslag till ramen för utgiftsområde 8 föreslås på motsvarande sätt justeras.</w:t>
      </w:r>
    </w:p>
    <w:p w:rsidR="00AA5D77" w:rsidRPr="006C40C1" w:rsidRDefault="00AA5D77">
      <w:pPr>
        <w:pStyle w:val="Normaltindrag"/>
      </w:pPr>
      <w:r w:rsidRPr="006C40C1">
        <w:t>Socialutskottet ställer sig i sitt yttrande (SoU1y) tveksamt till den besp</w:t>
      </w:r>
      <w:r w:rsidRPr="006C40C1">
        <w:t>a</w:t>
      </w:r>
      <w:r w:rsidRPr="006C40C1">
        <w:t>ring som regeringen föreslår på de s.k. Dagmarmedlen inom utgiftsområde 9. Socialutskottet godtar därför förslaget i motion Fi230 (s, v, mp) om att u</w:t>
      </w:r>
      <w:r w:rsidRPr="006C40C1">
        <w:t>t</w:t>
      </w:r>
      <w:r w:rsidRPr="006C40C1">
        <w:t>giftsområdet bör tillföras ytterligare 186 miljoner kronor jämfört med rege</w:t>
      </w:r>
      <w:r w:rsidRPr="006C40C1">
        <w:t>r</w:t>
      </w:r>
      <w:r w:rsidRPr="006C40C1">
        <w:t>ingens förslag och föreslår att propositionen bör tillstyrkas med den föresla</w:t>
      </w:r>
      <w:r w:rsidRPr="006C40C1">
        <w:t>g</w:t>
      </w:r>
      <w:r w:rsidRPr="006C40C1">
        <w:t>na ändringen. Enligt socialutskottet torde det ankomma på finansutskottet att ta stäl</w:t>
      </w:r>
      <w:r w:rsidRPr="006C40C1">
        <w:t>l</w:t>
      </w:r>
      <w:r w:rsidRPr="006C40C1">
        <w:t>ning till den finansiering som motionärerna anvisar.</w:t>
      </w:r>
    </w:p>
    <w:p w:rsidR="00AA5D77" w:rsidRPr="006C40C1" w:rsidRDefault="00AA5D77">
      <w:pPr>
        <w:pStyle w:val="Normaltindrag"/>
      </w:pPr>
      <w:r w:rsidRPr="006C40C1">
        <w:t>Arbetsmarknadsutskottet tillstyrker i sitt yttrande (AU1y) det försl</w:t>
      </w:r>
      <w:r w:rsidRPr="006C40C1">
        <w:t>ag om en ökning av ramen för utgiftsområde 14 som läggs fram i motion Fi230 (s, v, mp). Den aktuella utgiftsområdesramen bör därför enligt arbetsmarknadsu</w:t>
      </w:r>
      <w:r w:rsidRPr="006C40C1">
        <w:t>t</w:t>
      </w:r>
      <w:r w:rsidRPr="006C40C1">
        <w:t>skottet räknas upp med 2 miljoner kronor jämfört med propositionens fö</w:t>
      </w:r>
      <w:r w:rsidRPr="006C40C1">
        <w:t>r</w:t>
      </w:r>
      <w:r w:rsidRPr="006C40C1">
        <w:t>slag.</w:t>
      </w:r>
    </w:p>
    <w:p w:rsidR="00AA5D77" w:rsidRPr="006C40C1" w:rsidRDefault="00AA5D77">
      <w:pPr>
        <w:pStyle w:val="Normaltindrag"/>
      </w:pPr>
      <w:r w:rsidRPr="006C40C1">
        <w:t>Miljö- och jordbruksutskottet anser i sitt yttrande (MJU1y) att regeringens förslag till besparingar inom utgiftsområde 20 inte bör genomföras. Därmed tillstyrker miljö- och jordbruksutskottet förslaget i motion Fi230 (s, v, mp) och förordar att ramen för utgiftsområdet bör höjas</w:t>
      </w:r>
      <w:r w:rsidRPr="006C40C1">
        <w:t xml:space="preserve"> med 28 miljoner kronor i förhållande till regeringens förslag. Därutöver delar miljö- och jordbruksu</w:t>
      </w:r>
      <w:r w:rsidRPr="006C40C1">
        <w:t>t</w:t>
      </w:r>
      <w:r w:rsidRPr="006C40C1">
        <w:t>skottet motionärernas uppfattning om prioriterade verksamheter inom utgift</w:t>
      </w:r>
      <w:r w:rsidRPr="006C40C1">
        <w:t>s</w:t>
      </w:r>
      <w:r w:rsidRPr="006C40C1">
        <w:t>område 23 och ställer sig därmed bakom den del av motion Fi230 som avser höjningen av den aktuella utgiftsområdesramen med 20,5 miljoner kronor jämfört med regeringens fö</w:t>
      </w:r>
      <w:r w:rsidRPr="006C40C1">
        <w:t>r</w:t>
      </w:r>
      <w:r w:rsidRPr="006C40C1">
        <w:t>slag.</w:t>
      </w:r>
    </w:p>
    <w:p w:rsidR="00AA5D77" w:rsidRPr="006C40C1" w:rsidRDefault="00AA5D77">
      <w:pPr>
        <w:pStyle w:val="R4"/>
      </w:pPr>
      <w:r w:rsidRPr="006C40C1">
        <w:t>Finansutskottets ställningstagande</w:t>
      </w:r>
    </w:p>
    <w:p w:rsidR="00AA5D77" w:rsidRPr="006C40C1" w:rsidRDefault="00AA5D77">
      <w:r w:rsidRPr="006C40C1">
        <w:t>Finansutskottet har i avsnitt 2.4 redovisat sin syn på de budgetförslag och prioriteringar som regeringen och riksdagspartierna gör. Tabell 31 visar i ett koncentrat hur dessa prioriteringar kommer till uttryck i Moderata samling</w:t>
      </w:r>
      <w:r w:rsidRPr="006C40C1">
        <w:t>s</w:t>
      </w:r>
      <w:r w:rsidRPr="006C40C1">
        <w:t>partiets, Folkpartiet liberalernas, Kristdemokraternas och Centerpartiets bu</w:t>
      </w:r>
      <w:r w:rsidRPr="006C40C1">
        <w:t>d</w:t>
      </w:r>
      <w:r w:rsidRPr="006C40C1">
        <w:t>getalternativ. Socialdemokraternas, Vänsterpartiets och Miljöpartiet de grönas ändringar i förhållande till regeringens förslag i motion Fi230 (s, v, mp) sammanfattas också i tabellen.</w:t>
      </w:r>
    </w:p>
    <w:p w:rsidR="00AA5D77" w:rsidRPr="006C40C1" w:rsidRDefault="00AA5D77">
      <w:pPr>
        <w:pStyle w:val="Normaltindrag"/>
      </w:pPr>
      <w:r w:rsidRPr="006C40C1">
        <w:t>Noteras bör att för oppositionens del är de angivna värdena inte inbördes jämförbara på alla punkter beroende på att dessa partier använder sig av olika metoder för att kompensera kommunsektorn för effekterna av sina skattefö</w:t>
      </w:r>
      <w:r w:rsidRPr="006C40C1">
        <w:t>r</w:t>
      </w:r>
      <w:r w:rsidRPr="006C40C1">
        <w:t>slag.</w:t>
      </w:r>
    </w:p>
    <w:p w:rsidR="00AA5D77" w:rsidRPr="006C40C1" w:rsidRDefault="00AA5D77">
      <w:pPr>
        <w:pStyle w:val="Normaltindrag"/>
      </w:pPr>
      <w:r w:rsidRPr="006C40C1">
        <w:t xml:space="preserve">Så t.ex. föreslår Moderata samlingspartiet att ramen för utgiftsområde 25 </w:t>
      </w:r>
      <w:r w:rsidRPr="006C40C1">
        <w:rPr>
          <w:i/>
        </w:rPr>
        <w:t>Allmänna bidrag till kommuner</w:t>
      </w:r>
      <w:r w:rsidRPr="006C40C1">
        <w:t xml:space="preserve"> ska räknas upp med 62,8 miljarder kronor främst beroende på att kommunsektorn föreslås få kompensation för det skattebortfall som det moderata budgetalternativet ger upphov till. Eftersom partiets förslag till kompensation uppgår till sammanlagt 68,9 miljarder kr</w:t>
      </w:r>
      <w:r w:rsidRPr="006C40C1">
        <w:t>o</w:t>
      </w:r>
      <w:r w:rsidRPr="006C40C1">
        <w:t>nor föreslår Moderata samlingspartiet i realiteten en neddragning av överf</w:t>
      </w:r>
      <w:r w:rsidRPr="006C40C1">
        <w:t>ö</w:t>
      </w:r>
      <w:r w:rsidRPr="006C40C1">
        <w:t>ringarna till kommunerna med 6,1 miljarder kronor. Partiet motsätter sig dessutom regeringens förslag om tillfälligt sysselsättningsstöd till k</w:t>
      </w:r>
      <w:r w:rsidRPr="006C40C1">
        <w:t>ommu</w:t>
      </w:r>
      <w:r w:rsidRPr="006C40C1">
        <w:t>n</w:t>
      </w:r>
      <w:r w:rsidRPr="006C40C1">
        <w:t>sektorn på 2,3 miljarder kronor, vilket i enlighet med regeringens förslag regleras på statsbudgetens inkomstsida.</w:t>
      </w:r>
    </w:p>
    <w:p w:rsidR="00AA5D77" w:rsidRPr="006C40C1" w:rsidRDefault="00AA5D77">
      <w:pPr>
        <w:pStyle w:val="Normaltindrag"/>
      </w:pPr>
      <w:r w:rsidRPr="006C40C1">
        <w:t>Folkpartiet liberalerna redovisar i sitt budgetalternativ att ramen för u</w:t>
      </w:r>
      <w:r w:rsidRPr="006C40C1">
        <w:t>t</w:t>
      </w:r>
      <w:r w:rsidRPr="006C40C1">
        <w:t>giftsområde 25 räknas upp med 8,2 miljarder kronor. Partiet beräknar samt</w:t>
      </w:r>
      <w:r w:rsidRPr="006C40C1">
        <w:t>i</w:t>
      </w:r>
      <w:r w:rsidRPr="006C40C1">
        <w:t>digt att kommunerna ska kompenseras för effekterna av partiets förslag till vissa förändringar av inkomstskatter samt ersättningar från socialförsäkring</w:t>
      </w:r>
      <w:r w:rsidRPr="006C40C1">
        <w:t>s</w:t>
      </w:r>
      <w:r w:rsidRPr="006C40C1">
        <w:t>systemet med sammanlagt 8,6 miljarder kronor. Detta innebär att Folkpartiet i realiteten minskar överföringarna till kommunerna med 2,7 miljarder kronor, varav 2,4 miljarder kronor avser sänkta statsbidrag för att uppväga det skatt</w:t>
      </w:r>
      <w:r w:rsidRPr="006C40C1">
        <w:t>e</w:t>
      </w:r>
      <w:r w:rsidRPr="006C40C1">
        <w:t>bortfall som kommunala koncernbildningar enligt moti</w:t>
      </w:r>
      <w:r w:rsidRPr="006C40C1">
        <w:t xml:space="preserve">onärerna leder till. Dessutom vill partiet flytta 0,3 miljarder kronor från anslaget till särskilda insatser i vissa kommuner till utgiftsområde 9 </w:t>
      </w:r>
      <w:r w:rsidRPr="006C40C1">
        <w:rPr>
          <w:i/>
        </w:rPr>
        <w:t>Hälsovård, sjukvård och social omsorg</w:t>
      </w:r>
      <w:r w:rsidRPr="006C40C1">
        <w:t>.</w:t>
      </w:r>
    </w:p>
    <w:p w:rsidR="00AA5D77" w:rsidRPr="006C40C1" w:rsidRDefault="00AA5D77">
      <w:pPr>
        <w:pStyle w:val="Normaltindrag"/>
      </w:pPr>
      <w:r w:rsidRPr="006C40C1">
        <w:t>I Centerpartiets budgetalternativ räknas ramen för utgiftsområde 25 ned med 19,5 miljarder kronor. Denna nedjustering föranleds av att kommunse</w:t>
      </w:r>
      <w:r w:rsidRPr="006C40C1">
        <w:t>k</w:t>
      </w:r>
      <w:r w:rsidRPr="006C40C1">
        <w:t>torns inkomster justeras för de av partiets förslag som påverkar det komm</w:t>
      </w:r>
      <w:r w:rsidRPr="006C40C1">
        <w:t>u</w:t>
      </w:r>
      <w:r w:rsidRPr="006C40C1">
        <w:t>nala skatteunderlaget. Dessa förslag till neutraliseringar uppgår sammantaget till 21,3 miljarder kronor, vilket innebär att nettoöverföringarna till komm</w:t>
      </w:r>
      <w:r w:rsidRPr="006C40C1">
        <w:t>u</w:t>
      </w:r>
      <w:r w:rsidRPr="006C40C1">
        <w:t xml:space="preserve">nerna inom utgiftsområde 25 i Centerpartiets budgetalternativ utökas med 1,8 miljarder kronor. Partiet avvisar emellertid regeringens skolsatsning på 2 miljarder kronor 2003, vilken redovisas under utgiftsområde 16 </w:t>
      </w:r>
      <w:r w:rsidRPr="006C40C1">
        <w:rPr>
          <w:i/>
        </w:rPr>
        <w:t>Utbildning och universitetsforskning</w:t>
      </w:r>
      <w:r w:rsidRPr="006C40C1">
        <w:t>, och föreslår i stället en sat</w:t>
      </w:r>
      <w:r w:rsidRPr="006C40C1">
        <w:t>sning på skolan genom höjt generellt statsbidrag via utgiftsområde 25. Partiet motsätter sig liksom Moderata samlingspartiet regeringens förslag om tillfälligt sysselsättningsstöd till kommunsektorn.</w:t>
      </w:r>
    </w:p>
    <w:p w:rsidR="00AA5D77" w:rsidRPr="006C40C1" w:rsidRDefault="00AA5D77">
      <w:pPr>
        <w:pStyle w:val="Normaltindrag"/>
      </w:pPr>
      <w:r w:rsidRPr="006C40C1">
        <w:t xml:space="preserve">I motsats till de övriga oppositionspartierna föreslår Kristdemokraterna att effekten på kommunsektorn av deras inkomstskatteförslag ska neutraliseras dels genom regleringar på utgiftsområde 25, dels genom en avräkning mot inkomsttitel. Såsom utskottet tidigare har framhållit kan det ifrågasättas om ett sådant </w:t>
      </w:r>
      <w:r w:rsidRPr="006C40C1">
        <w:t>förfarande är förenligt med budgetlagens krav på att alla inkomster och utgifter på statsbudgeten ska bruttoredovisas. Om – för jämförbarhetens skull – all reglering i stället görs på utgiftsområde 25 kommer utgifterna på detta utgiftsområde att öka i Kristdemokraternas budgetalternativ med 35,2 miljarder kronor. En motsvarande reglering bör då också göras för partiets förslag till utgiftstak för staten 2003.</w:t>
      </w:r>
    </w:p>
    <w:p w:rsidR="00AA5D77" w:rsidRPr="006C40C1" w:rsidRDefault="00AA5D77">
      <w:r w:rsidRPr="006C40C1">
        <w:t>Finansutskottet vill vidare erinra om övriga utskotts ställningstaganden beträ</w:t>
      </w:r>
      <w:r w:rsidRPr="006C40C1">
        <w:t>f</w:t>
      </w:r>
      <w:r w:rsidRPr="006C40C1">
        <w:t>fande förändringar i vissa utgiftsområdesramar enligt Socialdemokraternas, Vänsterpartiets och Miljöpartiet de grönas motion Fi230. I sina respektive yttranden till finansutskottet ställer sig socialförsäkringsutskottet, socialu</w:t>
      </w:r>
      <w:r w:rsidRPr="006C40C1">
        <w:t>t</w:t>
      </w:r>
      <w:r w:rsidRPr="006C40C1">
        <w:t>skottet, arbetsmarknadsutskottet och miljö- och jordbruksutskottet bakom de tre partiernas gemensamma förslag till förändringar av ramar för utgiftsomr</w:t>
      </w:r>
      <w:r w:rsidRPr="006C40C1">
        <w:t>å</w:t>
      </w:r>
      <w:r w:rsidRPr="006C40C1">
        <w:t xml:space="preserve">dena 8 </w:t>
      </w:r>
      <w:r w:rsidRPr="006C40C1">
        <w:rPr>
          <w:i/>
        </w:rPr>
        <w:t>Invandrare och flyktingar</w:t>
      </w:r>
      <w:r w:rsidRPr="006C40C1">
        <w:t xml:space="preserve">, 9 </w:t>
      </w:r>
      <w:r w:rsidRPr="006C40C1">
        <w:rPr>
          <w:i/>
        </w:rPr>
        <w:t>Hälsovård, sjukvård och social omsorg</w:t>
      </w:r>
      <w:r w:rsidRPr="006C40C1">
        <w:t xml:space="preserve">, 14 </w:t>
      </w:r>
      <w:r w:rsidRPr="006C40C1">
        <w:rPr>
          <w:i/>
        </w:rPr>
        <w:t>Arbetsliv</w:t>
      </w:r>
      <w:r w:rsidRPr="006C40C1">
        <w:t xml:space="preserve">, 20 </w:t>
      </w:r>
      <w:r w:rsidRPr="006C40C1">
        <w:rPr>
          <w:i/>
        </w:rPr>
        <w:t>Allmän miljö- och naturvård</w:t>
      </w:r>
      <w:r w:rsidRPr="006C40C1">
        <w:t xml:space="preserve"> samt 23 </w:t>
      </w:r>
      <w:r w:rsidRPr="006C40C1">
        <w:rPr>
          <w:i/>
        </w:rPr>
        <w:t>Jo</w:t>
      </w:r>
      <w:r w:rsidRPr="006C40C1">
        <w:rPr>
          <w:i/>
        </w:rPr>
        <w:t>rd- och skogsbruk, fiske med anslutande näringar</w:t>
      </w:r>
      <w:r w:rsidRPr="006C40C1">
        <w:t>.</w:t>
      </w:r>
    </w:p>
    <w:p w:rsidR="00AA5D77" w:rsidRPr="006C40C1" w:rsidRDefault="00AA5D77">
      <w:pPr>
        <w:pStyle w:val="Normaltindrag"/>
      </w:pPr>
      <w:r w:rsidRPr="006C40C1">
        <w:t>Finansutskottet delar de fyra utskottens uppfattning om behovet av ramfö</w:t>
      </w:r>
      <w:r w:rsidRPr="006C40C1">
        <w:t>r</w:t>
      </w:r>
      <w:r w:rsidRPr="006C40C1">
        <w:t xml:space="preserve">ändringar inom de aktuella utgiftsområdena i enlighet med förslaget i motion Fi230 (s, v, mp). Även ramen för utgiftsområde 15 </w:t>
      </w:r>
      <w:r w:rsidRPr="006C40C1">
        <w:rPr>
          <w:i/>
        </w:rPr>
        <w:t>Studiestöd</w:t>
      </w:r>
      <w:r w:rsidRPr="006C40C1">
        <w:t xml:space="preserve"> bör enligt u</w:t>
      </w:r>
      <w:r w:rsidRPr="006C40C1">
        <w:t>t</w:t>
      </w:r>
      <w:r w:rsidRPr="006C40C1">
        <w:t>skottets mening förändras med hänsyn till bedömningen i samma motion. Motionärerna har efter samtal med regeringen erfarit att användandet av medel från anslaget för rekryteringsbidrag uppskattas bli lägre jämfört med de i budgetpropositionen avsatta beloppen. Detta tyder enligt motionärerna på att det finns utrymme för att minska anslaget utan att detta får</w:t>
      </w:r>
      <w:r w:rsidRPr="006C40C1">
        <w:t xml:space="preserve"> någon effekt på verksamheten. Finansutskottet har för egen del inte något att invända mot denna b</w:t>
      </w:r>
      <w:r w:rsidRPr="006C40C1">
        <w:t>e</w:t>
      </w:r>
      <w:r w:rsidRPr="006C40C1">
        <w:t>dömning.</w:t>
      </w:r>
    </w:p>
    <w:p w:rsidR="00AA5D77" w:rsidRPr="006C40C1" w:rsidRDefault="00AA5D77">
      <w:pPr>
        <w:pStyle w:val="Normaltindrag"/>
      </w:pPr>
      <w:r w:rsidRPr="006C40C1">
        <w:t>Utskottet ställer sig därmed bakom Socialdemokraternas, Vänsterpartiets och Miljöpartiet de grönas förslag i motion Fi230 (s, v, mp) och anser att regeringens förslag till fördelning av statens utgifter på utgiftsramar för 2003 bör justeras enligt följande:</w:t>
      </w:r>
    </w:p>
    <w:p w:rsidR="00AA5D77" w:rsidRPr="006C40C1" w:rsidRDefault="00AA5D77">
      <w:pPr>
        <w:pStyle w:val="Normaltindrag"/>
        <w:tabs>
          <w:tab w:val="num" w:pos="360"/>
        </w:tabs>
        <w:ind w:left="227" w:hanging="227"/>
      </w:pPr>
      <w:r w:rsidRPr="006C40C1">
        <w:t>–</w:t>
      </w:r>
      <w:r w:rsidRPr="006C40C1">
        <w:tab/>
        <w:t xml:space="preserve">ramen för utgiftsområde 8 </w:t>
      </w:r>
      <w:r w:rsidRPr="006C40C1">
        <w:rPr>
          <w:i/>
        </w:rPr>
        <w:t>Invandrare och flyktingar</w:t>
      </w:r>
      <w:r w:rsidRPr="006C40C1">
        <w:t xml:space="preserve"> ökas med 0,1 miljon kronor och fastställs därmed till 7 128 miljoner kronor; </w:t>
      </w:r>
    </w:p>
    <w:p w:rsidR="00AA5D77" w:rsidRPr="006C40C1" w:rsidRDefault="00AA5D77">
      <w:pPr>
        <w:pStyle w:val="Normaltindrag"/>
        <w:tabs>
          <w:tab w:val="num" w:pos="360"/>
        </w:tabs>
        <w:ind w:left="227" w:hanging="227"/>
      </w:pPr>
      <w:r w:rsidRPr="006C40C1">
        <w:t>–</w:t>
      </w:r>
      <w:r w:rsidRPr="006C40C1">
        <w:tab/>
        <w:t xml:space="preserve">ramen för utgiftsområde 9 </w:t>
      </w:r>
      <w:r w:rsidRPr="006C40C1">
        <w:rPr>
          <w:i/>
        </w:rPr>
        <w:t>Hälsovård, sjukvård och social omsorg</w:t>
      </w:r>
      <w:r w:rsidRPr="006C40C1">
        <w:t xml:space="preserve"> ökas med 186,0 miljoner kronor och fastställs därmed till 33 357 miljoner kr</w:t>
      </w:r>
      <w:r w:rsidRPr="006C40C1">
        <w:t>o</w:t>
      </w:r>
      <w:r w:rsidRPr="006C40C1">
        <w:t xml:space="preserve">nor; </w:t>
      </w:r>
    </w:p>
    <w:p w:rsidR="00AA5D77" w:rsidRPr="006C40C1" w:rsidRDefault="00AA5D77">
      <w:pPr>
        <w:pStyle w:val="Normaltindrag"/>
        <w:tabs>
          <w:tab w:val="num" w:pos="360"/>
        </w:tabs>
        <w:ind w:left="227" w:hanging="227"/>
      </w:pPr>
      <w:r w:rsidRPr="006C40C1">
        <w:t>–</w:t>
      </w:r>
      <w:r w:rsidRPr="006C40C1">
        <w:tab/>
        <w:t xml:space="preserve">ramen för utgiftsområde 14 </w:t>
      </w:r>
      <w:r w:rsidRPr="006C40C1">
        <w:rPr>
          <w:i/>
        </w:rPr>
        <w:t>Arbetsliv</w:t>
      </w:r>
      <w:r w:rsidRPr="006C40C1">
        <w:t xml:space="preserve"> ökas med 2,0 miljoner kronor och fastställs därmed till 1 150 miljoner kr</w:t>
      </w:r>
      <w:r w:rsidRPr="006C40C1">
        <w:t>o</w:t>
      </w:r>
      <w:r w:rsidRPr="006C40C1">
        <w:t xml:space="preserve">nor; </w:t>
      </w:r>
    </w:p>
    <w:p w:rsidR="00AA5D77" w:rsidRPr="006C40C1" w:rsidRDefault="00AA5D77">
      <w:pPr>
        <w:pStyle w:val="Normaltindrag"/>
        <w:tabs>
          <w:tab w:val="num" w:pos="360"/>
        </w:tabs>
        <w:ind w:left="227" w:hanging="227"/>
      </w:pPr>
      <w:r w:rsidRPr="006C40C1">
        <w:t>–</w:t>
      </w:r>
      <w:r w:rsidRPr="006C40C1">
        <w:tab/>
        <w:t xml:space="preserve">ramen för utgiftsområde 15 </w:t>
      </w:r>
      <w:r w:rsidRPr="006C40C1">
        <w:rPr>
          <w:i/>
        </w:rPr>
        <w:t>Studiestöd</w:t>
      </w:r>
      <w:r w:rsidRPr="006C40C1">
        <w:t xml:space="preserve"> minskas med 250,0 miljoner kronor och fastställs därmed till 21 600 miljoner kr</w:t>
      </w:r>
      <w:r w:rsidRPr="006C40C1">
        <w:t>o</w:t>
      </w:r>
      <w:r w:rsidRPr="006C40C1">
        <w:t xml:space="preserve">nor; </w:t>
      </w:r>
    </w:p>
    <w:p w:rsidR="00AA5D77" w:rsidRPr="006C40C1" w:rsidRDefault="00AA5D77">
      <w:pPr>
        <w:pStyle w:val="Normaltindrag"/>
        <w:tabs>
          <w:tab w:val="num" w:pos="360"/>
        </w:tabs>
        <w:ind w:left="227" w:hanging="227"/>
      </w:pPr>
      <w:r w:rsidRPr="006C40C1">
        <w:t>–</w:t>
      </w:r>
      <w:r w:rsidRPr="006C40C1">
        <w:tab/>
        <w:t xml:space="preserve">ramen för utgiftsområde 20 </w:t>
      </w:r>
      <w:r w:rsidRPr="006C40C1">
        <w:rPr>
          <w:i/>
        </w:rPr>
        <w:t>Allmän miljö- och naturvård</w:t>
      </w:r>
      <w:r w:rsidRPr="006C40C1">
        <w:t xml:space="preserve"> ökas med 28,0 miljoner kronor och fastställs därmed till 3 363 miljoner kr</w:t>
      </w:r>
      <w:r w:rsidRPr="006C40C1">
        <w:t>o</w:t>
      </w:r>
      <w:r w:rsidRPr="006C40C1">
        <w:t xml:space="preserve">nor; </w:t>
      </w:r>
    </w:p>
    <w:p w:rsidR="00AA5D77" w:rsidRPr="006C40C1" w:rsidRDefault="00AA5D77">
      <w:pPr>
        <w:pStyle w:val="Normaltindrag"/>
        <w:tabs>
          <w:tab w:val="num" w:pos="360"/>
        </w:tabs>
        <w:ind w:left="227" w:hanging="227"/>
      </w:pPr>
      <w:r w:rsidRPr="006C40C1">
        <w:t>–</w:t>
      </w:r>
      <w:r w:rsidRPr="006C40C1">
        <w:tab/>
        <w:t xml:space="preserve">ramen för utgiftsområde 23 </w:t>
      </w:r>
      <w:r w:rsidRPr="006C40C1">
        <w:rPr>
          <w:i/>
        </w:rPr>
        <w:t>Jord- och skogsbruk, fiske med anslutande näringar</w:t>
      </w:r>
      <w:r w:rsidRPr="006C40C1">
        <w:t xml:space="preserve"> ökas med 20,5 miljoner kronor och fastställs därmed till 10 481 miljoner kr</w:t>
      </w:r>
      <w:r w:rsidRPr="006C40C1">
        <w:t>o</w:t>
      </w:r>
      <w:r w:rsidRPr="006C40C1">
        <w:t xml:space="preserve">nor. </w:t>
      </w:r>
    </w:p>
    <w:p w:rsidR="00AA5D77" w:rsidRPr="006C40C1" w:rsidRDefault="00AA5D77">
      <w:r w:rsidRPr="006C40C1">
        <w:t>Längre fram i betänkandet (avsnitt 3) behandlar utskottet regeringens och riksdagspartiernas alternativa förslag till beräkning av statsbudgetens i</w:t>
      </w:r>
      <w:r w:rsidRPr="006C40C1">
        <w:t>n</w:t>
      </w:r>
      <w:r w:rsidRPr="006C40C1">
        <w:t>komster och tar där formellt ställning till de olika yrkandena. Utskottet bitr</w:t>
      </w:r>
      <w:r w:rsidRPr="006C40C1">
        <w:t>ä</w:t>
      </w:r>
      <w:r w:rsidRPr="006C40C1">
        <w:t>der därvid regeringens förslag med den ändringen att Socialdemokraternas, Vänsterpartiets och Miljöpartiet de grönas skatteförslag i motion Fi230 (s, v, mp) til</w:t>
      </w:r>
      <w:r w:rsidRPr="006C40C1">
        <w:t>l</w:t>
      </w:r>
      <w:r w:rsidRPr="006C40C1">
        <w:t xml:space="preserve">styrks. </w:t>
      </w:r>
    </w:p>
    <w:p w:rsidR="00AA5D77" w:rsidRPr="006C40C1" w:rsidRDefault="00AA5D77">
      <w:pPr>
        <w:pStyle w:val="Normaltindrag"/>
      </w:pPr>
      <w:r w:rsidRPr="006C40C1">
        <w:t>Bland de förslag i den gemensamma partimotionen Fi230 (s, v, mp) som utskottet ställer sig bakom ingår en utvidgning av den gröna skatteväxlingen. Denna skatteväxling innebär i likhet med ett snarlikt förslag i budgetpropos</w:t>
      </w:r>
      <w:r w:rsidRPr="006C40C1">
        <w:t>i</w:t>
      </w:r>
      <w:r w:rsidRPr="006C40C1">
        <w:t xml:space="preserve">tionen att grundavdragen vid inkomstbeskattningen höjs ytterligare. Detta leder till att det kommunala skatteunderlaget minskar. För att kompensera bortfallet av skatteinkomsterna för kommunerna bör en höjning ske av de generella statsbidragen till kommunsektorn med 456 miljoner kronor för 2003. Utskottet anser därmed att ramen för utgiftsområde 25 </w:t>
      </w:r>
      <w:r w:rsidRPr="006C40C1">
        <w:rPr>
          <w:i/>
        </w:rPr>
        <w:t>Allmänna bidrag till kommuner</w:t>
      </w:r>
      <w:r w:rsidRPr="006C40C1">
        <w:t xml:space="preserve"> för samma år bör fastställas till 68 487 miljoner kronor.</w:t>
      </w:r>
    </w:p>
    <w:p w:rsidR="00AA5D77" w:rsidRPr="006C40C1" w:rsidRDefault="00AA5D77">
      <w:pPr>
        <w:pStyle w:val="Normaltindrag"/>
      </w:pPr>
      <w:r w:rsidRPr="006C40C1">
        <w:t>Utskottets förslag innebär att ramnivån för sju utgiftsområden förändras</w:t>
      </w:r>
      <w:r w:rsidRPr="006C40C1">
        <w:t xml:space="preserve"> jämfört med regeringens förslag. Som en följd av detta blir summan av u</w:t>
      </w:r>
      <w:r w:rsidRPr="006C40C1">
        <w:t>t</w:t>
      </w:r>
      <w:r w:rsidRPr="006C40C1">
        <w:t>giftsområdena en annan än i propositionen. Den av utskottet föreslagna fö</w:t>
      </w:r>
      <w:r w:rsidRPr="006C40C1">
        <w:t>r</w:t>
      </w:r>
      <w:r w:rsidRPr="006C40C1">
        <w:t>ändringen av ramen för utgiftsområde 25 föranleder dessutom en teknisk justering av utgiftstaket för staten (se avsnitt 2.5.1). Budgeteringsmarginalen påverkas också av förslaget. Konsekvenserna av utskottets samlade förslag på stat</w:t>
      </w:r>
      <w:r w:rsidRPr="006C40C1">
        <w:t>s</w:t>
      </w:r>
      <w:r w:rsidRPr="006C40C1">
        <w:t>budgetens utgiftssida presenteras i följande tabell.</w:t>
      </w:r>
    </w:p>
    <w:p w:rsidR="00AA5D77" w:rsidRPr="006C40C1" w:rsidRDefault="00AA5D77">
      <w:pPr>
        <w:keepNext/>
        <w:spacing w:before="360" w:line="170" w:lineRule="exact"/>
        <w:rPr>
          <w:b/>
          <w:sz w:val="17"/>
        </w:rPr>
      </w:pPr>
      <w:r w:rsidRPr="006C40C1">
        <w:rPr>
          <w:b/>
          <w:sz w:val="17"/>
        </w:rPr>
        <w:t xml:space="preserve">Tabell 32. Konsekvenser av utskottets förslag till förändringar i utgiftsramar </w:t>
      </w:r>
      <w:r w:rsidRPr="006C40C1">
        <w:rPr>
          <w:b/>
          <w:sz w:val="17"/>
        </w:rPr>
        <w:t>för 2003</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pPr>
        <w:keepNext/>
        <w:spacing w:before="0" w:line="240" w:lineRule="auto"/>
      </w:pPr>
      <w:r w:rsidRPr="006C40C1">
        <w:rPr>
          <w:noProof/>
        </w:rPr>
        <w:drawing>
          <wp:inline distT="0" distB="0" distL="0" distR="0">
            <wp:extent cx="3777615" cy="1605915"/>
            <wp:effectExtent l="0" t="0" r="0" b="0"/>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777615" cy="1605915"/>
                    </a:xfrm>
                    <a:prstGeom prst="rect">
                      <a:avLst/>
                    </a:prstGeom>
                    <a:noFill/>
                    <a:ln>
                      <a:noFill/>
                    </a:ln>
                  </pic:spPr>
                </pic:pic>
              </a:graphicData>
            </a:graphic>
          </wp:inline>
        </w:drawing>
      </w:r>
    </w:p>
    <w:p w:rsidR="00AA5D77" w:rsidRPr="006C40C1" w:rsidRDefault="00AA5D77">
      <w:pPr>
        <w:spacing w:before="0"/>
        <w:rPr>
          <w:sz w:val="14"/>
        </w:rPr>
      </w:pPr>
      <w:r w:rsidRPr="006C40C1">
        <w:rPr>
          <w:vertAlign w:val="superscript"/>
        </w:rPr>
        <w:t>1</w:t>
      </w:r>
      <w:r w:rsidRPr="006C40C1">
        <w:rPr>
          <w:sz w:val="14"/>
        </w:rPr>
        <w:t>Anslaget 10:5 Ombudsmannen mot etnisk diskriminering tillförs 0,1 miljon kronor.</w:t>
      </w:r>
    </w:p>
    <w:p w:rsidR="00AA5D77" w:rsidRPr="006C40C1" w:rsidRDefault="00AA5D77">
      <w:pPr>
        <w:pStyle w:val="Normaltindrag"/>
      </w:pPr>
    </w:p>
    <w:p w:rsidR="00AA5D77" w:rsidRPr="006C40C1" w:rsidRDefault="00AA5D77">
      <w:r w:rsidRPr="006C40C1">
        <w:t>En konsekvens av utskottets tidigare ställningstagande gentemot de olika budgetalternativen är att utskottet biträder regeringens förslag till fördelning av utgifter på övriga utgiftsområden. Utskottet tillstyrker således delvis punkt 8 i propositionen. Motion Fi230 (s, v, mp) yrkande 1 tillstyrks i sin helhet.</w:t>
      </w:r>
    </w:p>
    <w:p w:rsidR="00AA5D77" w:rsidRPr="006C40C1" w:rsidRDefault="00AA5D77">
      <w:pPr>
        <w:pStyle w:val="Normaltindrag"/>
      </w:pPr>
      <w:r w:rsidRPr="006C40C1">
        <w:t>De alternativa motionsyrkanden som är aktuella i detta sammanhang a</w:t>
      </w:r>
      <w:r w:rsidRPr="006C40C1">
        <w:t>v</w:t>
      </w:r>
      <w:r w:rsidRPr="006C40C1">
        <w:t>styrks. Detta gäller Fi231 (m) yrkande 5, Fi232 (fp) yrkande 6, Fi233 (kd) yrkande 8 samt Fi234 (c) yrkande 6.</w:t>
      </w:r>
    </w:p>
    <w:p w:rsidR="00AA5D77" w:rsidRPr="006C40C1" w:rsidRDefault="00AA5D77">
      <w:pPr>
        <w:pStyle w:val="Rubrik2"/>
      </w:pPr>
      <w:bookmarkStart w:id="376" w:name="_Toc25408035"/>
      <w:bookmarkStart w:id="377" w:name="_Toc26191462"/>
      <w:r w:rsidRPr="006C40C1">
        <w:t>2.7 Beräkning av statsbudgetens inkomster för 2003</w:t>
      </w:r>
      <w:bookmarkEnd w:id="376"/>
      <w:bookmarkEnd w:id="377"/>
    </w:p>
    <w:p w:rsidR="00AA5D77" w:rsidRPr="006C40C1" w:rsidRDefault="00AA5D77">
      <w:r w:rsidRPr="006C40C1">
        <w:t>Utskottet har tidigare ställt sig bakom regeringens förslag till inriktning av budgetpolitiken (avsnitt 2.4.3). Till grund för detta förslag ligger den i</w:t>
      </w:r>
      <w:r w:rsidRPr="006C40C1">
        <w:t>n</w:t>
      </w:r>
      <w:r w:rsidRPr="006C40C1">
        <w:t>komstberäkning som regeringen redovisar för 2003. Finansutskottet behandlar längre fram i betänkandet i avsnitt 3.11 regeringens och riksdagspartiernas alternativa förslag till beräkning av statsbudgetens inkomster för 2003 och tar där formellt ställning till de olika yrkandena. Utskottet biträder därvid rege</w:t>
      </w:r>
      <w:r w:rsidRPr="006C40C1">
        <w:t>r</w:t>
      </w:r>
      <w:r w:rsidRPr="006C40C1">
        <w:t>ingens förslag med den ändringen att de beräknade inkomsterna minskas med 341 miljoner kronor.</w:t>
      </w:r>
    </w:p>
    <w:p w:rsidR="00AA5D77" w:rsidRPr="006C40C1" w:rsidRDefault="00AA5D77">
      <w:pPr>
        <w:pStyle w:val="Normaltindrag"/>
      </w:pPr>
      <w:r w:rsidRPr="006C40C1">
        <w:t>I följande sammanställning redovisas utskottets, regeringens och riksdag</w:t>
      </w:r>
      <w:r w:rsidRPr="006C40C1">
        <w:t>s</w:t>
      </w:r>
      <w:r w:rsidRPr="006C40C1">
        <w:t>pa</w:t>
      </w:r>
      <w:r w:rsidRPr="006C40C1">
        <w:t>r</w:t>
      </w:r>
      <w:r w:rsidRPr="006C40C1">
        <w:t>tiernas förslag till beräkning av statsbudgetens inkomster.</w:t>
      </w:r>
    </w:p>
    <w:p w:rsidR="00AA5D77" w:rsidRPr="006C40C1" w:rsidRDefault="00AA5D77">
      <w:pPr>
        <w:keepNext/>
        <w:spacing w:before="360" w:line="170" w:lineRule="exact"/>
        <w:rPr>
          <w:b/>
          <w:sz w:val="17"/>
        </w:rPr>
      </w:pPr>
      <w:r w:rsidRPr="006C40C1">
        <w:rPr>
          <w:b/>
          <w:sz w:val="17"/>
        </w:rPr>
        <w:t xml:space="preserve">Tabell 33. Utskottets, regeringens och riksdagspartiernas förslag till beräkning av statsbudgetens samlade inkomster för 2003 </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pPr>
        <w:keepNext/>
        <w:spacing w:before="0" w:line="240" w:lineRule="auto"/>
      </w:pPr>
      <w:r w:rsidRPr="006C40C1">
        <w:rPr>
          <w:noProof/>
        </w:rPr>
        <w:drawing>
          <wp:inline distT="0" distB="0" distL="0" distR="0">
            <wp:extent cx="3777615" cy="789305"/>
            <wp:effectExtent l="0" t="0" r="0" b="0"/>
            <wp:docPr id="38"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777615" cy="789305"/>
                    </a:xfrm>
                    <a:prstGeom prst="rect">
                      <a:avLst/>
                    </a:prstGeom>
                    <a:noFill/>
                    <a:ln>
                      <a:noFill/>
                    </a:ln>
                  </pic:spPr>
                </pic:pic>
              </a:graphicData>
            </a:graphic>
          </wp:inline>
        </w:drawing>
      </w:r>
    </w:p>
    <w:p w:rsidR="00AA5D77" w:rsidRPr="006C40C1" w:rsidRDefault="00AA5D77">
      <w:pPr>
        <w:pStyle w:val="Normaltindrag"/>
      </w:pPr>
    </w:p>
    <w:p w:rsidR="00AA5D77" w:rsidRPr="006C40C1" w:rsidRDefault="00AA5D77">
      <w:r w:rsidRPr="006C40C1">
        <w:t>Det bör noteras att redovisningen av budgeteffekten av riksdagspartiernas skatte- och avgiftsförslag grundas på en sammanställning som finansutskottet gjort med ledning av uppgifter i partiernas motioner samt ytterligare inform</w:t>
      </w:r>
      <w:r w:rsidRPr="006C40C1">
        <w:t>a</w:t>
      </w:r>
      <w:r w:rsidRPr="006C40C1">
        <w:t>tion inhämtad från partiernas riksdagskanslier. Huvudprincipen har varit att redovisa förslagens rent statsfinansiella effekter, men undantag från detta förekommer, bl.a. på grund av de redovisningsprinciper som Kristdemokr</w:t>
      </w:r>
      <w:r w:rsidRPr="006C40C1">
        <w:t>a</w:t>
      </w:r>
      <w:r w:rsidRPr="006C40C1">
        <w:t>terna valt att använda sig av i sin motion. Vidare påverkar vissa av partiernas förslag till skatteförändringar främst kommunernas och landstingens skattei</w:t>
      </w:r>
      <w:r w:rsidRPr="006C40C1">
        <w:t>n</w:t>
      </w:r>
      <w:r w:rsidRPr="006C40C1">
        <w:t xml:space="preserve">komster, vilka förutsätts bli kompenserade för det inkomstbortfall detta ger upphov till. På statsbudgeten syns dessa förändringar </w:t>
      </w:r>
      <w:r w:rsidRPr="006C40C1">
        <w:t>för Moderata samling</w:t>
      </w:r>
      <w:r w:rsidRPr="006C40C1">
        <w:t>s</w:t>
      </w:r>
      <w:r w:rsidRPr="006C40C1">
        <w:t xml:space="preserve">partiets, Folkpartiet liberalernas samt Centerpartiets del som anslagsökningar på utgiftsområde 25 </w:t>
      </w:r>
      <w:r w:rsidRPr="006C40C1">
        <w:rPr>
          <w:i/>
        </w:rPr>
        <w:t>Allmänna bidrag till kommuner</w:t>
      </w:r>
      <w:r w:rsidRPr="006C40C1">
        <w:t>. Vissa förslag från Kris</w:t>
      </w:r>
      <w:r w:rsidRPr="006C40C1">
        <w:t>t</w:t>
      </w:r>
      <w:r w:rsidRPr="006C40C1">
        <w:t xml:space="preserve">demokraterna regleras över utgiftsområde 25, medan övriga förslag belastar inkomsttiteln 1111 </w:t>
      </w:r>
      <w:r w:rsidRPr="006C40C1">
        <w:rPr>
          <w:i/>
        </w:rPr>
        <w:t>Fysiska personers inkomstskatt</w:t>
      </w:r>
      <w:r w:rsidRPr="006C40C1">
        <w:t>. Se närmare redovisning om detta i avsnitt 2.6.</w:t>
      </w:r>
    </w:p>
    <w:p w:rsidR="00AA5D77" w:rsidRPr="006C40C1" w:rsidRDefault="00AA5D77">
      <w:pPr>
        <w:pStyle w:val="Rubrik2"/>
      </w:pPr>
      <w:bookmarkStart w:id="378" w:name="_Toc25408036"/>
      <w:bookmarkStart w:id="379" w:name="_Toc26191463"/>
      <w:r w:rsidRPr="006C40C1">
        <w:t>2.8 Anslagsbehållningar</w:t>
      </w:r>
      <w:bookmarkEnd w:id="378"/>
      <w:bookmarkEnd w:id="379"/>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till beräkning av förän</w:t>
      </w:r>
      <w:r w:rsidRPr="006C40C1">
        <w:t>d</w:t>
      </w:r>
      <w:r w:rsidRPr="006C40C1">
        <w:t>ringar av anslagsbehållningar för 2003 och avstyrker Folkpartiet l</w:t>
      </w:r>
      <w:r w:rsidRPr="006C40C1">
        <w:t>i</w:t>
      </w:r>
      <w:r w:rsidRPr="006C40C1">
        <w:t>beralernas motion med alternativa yrkanden.</w:t>
      </w:r>
    </w:p>
    <w:p w:rsidR="00AA5D77" w:rsidRPr="006C40C1" w:rsidRDefault="00AA5D77">
      <w:pPr>
        <w:pStyle w:val="Utskottsfrslagikorthet-Text"/>
      </w:pPr>
      <w:r w:rsidRPr="006C40C1">
        <w:t xml:space="preserve">  Övriga delar av denna förslagspunkt behandlar utskottet i avsni</w:t>
      </w:r>
      <w:r w:rsidRPr="006C40C1">
        <w:t>t</w:t>
      </w:r>
      <w:r w:rsidRPr="006C40C1">
        <w:t>ten 2.4.3, 2.5, 2.6, 2.9, 2.10 och 3.</w:t>
      </w:r>
    </w:p>
    <w:p w:rsidR="00AA5D77" w:rsidRPr="006C40C1" w:rsidRDefault="00AA5D77">
      <w:pPr>
        <w:pStyle w:val="Utskottsfrslagikorthet-Text"/>
      </w:pPr>
      <w:r w:rsidRPr="006C40C1">
        <w:t xml:space="preserve">  Jämför reservation 9 (fp).</w:t>
      </w:r>
    </w:p>
    <w:p w:rsidR="00AA5D77" w:rsidRPr="006C40C1" w:rsidRDefault="00AA5D77"/>
    <w:p w:rsidR="00AA5D77" w:rsidRPr="006C40C1" w:rsidRDefault="00AA5D77">
      <w:r w:rsidRPr="006C40C1">
        <w:t>Medel som anvisats på ett reservationsanslag kan enligt vissa regler sparas till efterföljande budgetår. I den mån ett ramanslag inte förbrukats får på motsv</w:t>
      </w:r>
      <w:r w:rsidRPr="006C40C1">
        <w:t>a</w:t>
      </w:r>
      <w:r w:rsidRPr="006C40C1">
        <w:t>rande sätt kvarstående behållning föras över till ett senare år. Myndigheter har också möjlighet att med vissa begränsningar disponera del av nästa års anslag som en anslagskredit. Förskjutningar i det samlade anslagssparandet påverkar statsbudgetens utgifter och redovisas på budgetens utgiftssida som en nett</w:t>
      </w:r>
      <w:r w:rsidRPr="006C40C1">
        <w:t>o</w:t>
      </w:r>
      <w:r w:rsidRPr="006C40C1">
        <w:t xml:space="preserve">post, benämnd </w:t>
      </w:r>
      <w:r w:rsidRPr="006C40C1">
        <w:rPr>
          <w:i/>
        </w:rPr>
        <w:t>Ökning/minskning av anslagsbehål</w:t>
      </w:r>
      <w:r w:rsidRPr="006C40C1">
        <w:rPr>
          <w:i/>
        </w:rPr>
        <w:t>l</w:t>
      </w:r>
      <w:r w:rsidRPr="006C40C1">
        <w:rPr>
          <w:i/>
        </w:rPr>
        <w:t>ningar</w:t>
      </w:r>
      <w:r w:rsidRPr="006C40C1">
        <w:t>.</w:t>
      </w:r>
    </w:p>
    <w:p w:rsidR="00AA5D77" w:rsidRPr="006C40C1" w:rsidRDefault="00AA5D77">
      <w:pPr>
        <w:pStyle w:val="R4"/>
      </w:pPr>
      <w:r w:rsidRPr="006C40C1">
        <w:t>Budgetpropositionen</w:t>
      </w:r>
    </w:p>
    <w:p w:rsidR="00AA5D77" w:rsidRPr="006C40C1" w:rsidRDefault="00AA5D77">
      <w:r w:rsidRPr="006C40C1">
        <w:t>I årets budgetproposition (avsnitt 6.2 och tabell 6.5) räknar regeringen med att de samlade anslagsbehållningarna ska minska netto med 0,4 miljarder kronor under 2003, dvs. att utgifter av denna omfattning väntas bli finansierade med  medel som finns tillgängliga på anslagen vid årets början. Regeringen föreslår att riksdagen ska godkänna beräkningen av förändringar i anslagsbehållnin</w:t>
      </w:r>
      <w:r w:rsidRPr="006C40C1">
        <w:t>g</w:t>
      </w:r>
      <w:r w:rsidRPr="006C40C1">
        <w:t>arna (punkt 9).</w:t>
      </w:r>
    </w:p>
    <w:p w:rsidR="00AA5D77" w:rsidRPr="006C40C1" w:rsidRDefault="00AA5D77">
      <w:pPr>
        <w:pStyle w:val="R4"/>
      </w:pPr>
      <w:r w:rsidRPr="006C40C1">
        <w:t>Motionen</w:t>
      </w:r>
    </w:p>
    <w:p w:rsidR="00AA5D77" w:rsidRPr="006C40C1" w:rsidRDefault="00AA5D77">
      <w:r w:rsidRPr="006C40C1">
        <w:t>Folkpartiet liberalerna beräknar i motion Fi232 att anslagsbehållningar ska öka med 0,6 miljarder kronor under 2003 (yrkande 5). Motionärerna anser att minskningen av anslagsbehållningar kan begränsas mer jämfört med rege</w:t>
      </w:r>
      <w:r w:rsidRPr="006C40C1">
        <w:t>r</w:t>
      </w:r>
      <w:r w:rsidRPr="006C40C1">
        <w:t xml:space="preserve">ingens förslag bl.a. på grund av att vissa verksamheter med anslagsbehållning enligt partiets budgetalternativ föreslås utgå helt. </w:t>
      </w:r>
    </w:p>
    <w:p w:rsidR="00AA5D77" w:rsidRPr="006C40C1" w:rsidRDefault="00AA5D77">
      <w:pPr>
        <w:pStyle w:val="R4"/>
      </w:pPr>
      <w:r w:rsidRPr="006C40C1">
        <w:t>Finansutskottets ställningstagande</w:t>
      </w:r>
    </w:p>
    <w:p w:rsidR="00AA5D77" w:rsidRPr="006C40C1" w:rsidRDefault="00AA5D77">
      <w:r w:rsidRPr="006C40C1">
        <w:t>Finansutskottet finner för egen del inte anledning att göra någon annan b</w:t>
      </w:r>
      <w:r w:rsidRPr="006C40C1">
        <w:t>e</w:t>
      </w:r>
      <w:r w:rsidRPr="006C40C1">
        <w:t>dömning av förbrukningen av anslagsbehållningarna än regeringen. Utskottet tillstyrker således punkt 9 i propositionen och avstyrker därmed motion Fi232 (fp) yrkande 5.</w:t>
      </w:r>
    </w:p>
    <w:p w:rsidR="00AA5D77" w:rsidRPr="006C40C1" w:rsidRDefault="00AA5D77">
      <w:pPr>
        <w:pStyle w:val="Rubrik2"/>
      </w:pPr>
      <w:bookmarkStart w:id="380" w:name="_Toc25408037"/>
      <w:bookmarkStart w:id="381" w:name="_Toc26191464"/>
      <w:r w:rsidRPr="006C40C1">
        <w:t>2.9 Myndigheternas in- och utlåning i Riksgäldskontoret</w:t>
      </w:r>
      <w:bookmarkEnd w:id="380"/>
      <w:bookmarkEnd w:id="381"/>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till beräkning av myndi</w:t>
      </w:r>
      <w:r w:rsidRPr="006C40C1">
        <w:t>g</w:t>
      </w:r>
      <w:r w:rsidRPr="006C40C1">
        <w:t>heternas in- och utlåning i Riksgäldskontoret för 2003 och avsty</w:t>
      </w:r>
      <w:r w:rsidRPr="006C40C1">
        <w:t>r</w:t>
      </w:r>
      <w:r w:rsidRPr="006C40C1">
        <w:t>ker Kristdemokraternas motion med alternativa y</w:t>
      </w:r>
      <w:r w:rsidRPr="006C40C1">
        <w:t>r</w:t>
      </w:r>
      <w:r w:rsidRPr="006C40C1">
        <w:t>kanden.</w:t>
      </w:r>
    </w:p>
    <w:p w:rsidR="00AA5D77" w:rsidRPr="006C40C1" w:rsidRDefault="00AA5D77">
      <w:pPr>
        <w:pStyle w:val="Utskottsfrslagikorthet-Text"/>
      </w:pPr>
      <w:r w:rsidRPr="006C40C1">
        <w:t xml:space="preserve">  Övriga delar av denna förslagspunkt behandlar utskottet i avsni</w:t>
      </w:r>
      <w:r w:rsidRPr="006C40C1">
        <w:t>t</w:t>
      </w:r>
      <w:r w:rsidRPr="006C40C1">
        <w:t>ten 2.4.3, 2.5, 2.6, 2.8, 2.9 och 3.</w:t>
      </w:r>
    </w:p>
    <w:p w:rsidR="00AA5D77" w:rsidRPr="006C40C1" w:rsidRDefault="00AA5D77">
      <w:pPr>
        <w:pStyle w:val="Utskottsfrslagikorthet-Text"/>
      </w:pPr>
      <w:r w:rsidRPr="006C40C1">
        <w:t xml:space="preserve">  Jämför reservation 10 (kd).</w:t>
      </w:r>
    </w:p>
    <w:p w:rsidR="00AA5D77" w:rsidRPr="006C40C1" w:rsidRDefault="00AA5D77"/>
    <w:p w:rsidR="00AA5D77" w:rsidRPr="006C40C1" w:rsidRDefault="00AA5D77">
      <w:r w:rsidRPr="006C40C1">
        <w:t>I sitt förslag till statsbudget för budgetåret 2003 räknar regeringen med att myndigheternas m.fl. in- och utlåning i Riksgäldskontoret ska uppgå till 12,0 miljarder kronor under året. Saldot på denna post har fram t.o.m. 1999 varit negativt, dvs. inlåningen har överstigit Riksgäldskontorets utlåning. Sedan 1995 har medel för premiepensioner tillfälligt placerats i Riksgäldskontoret. För 2003 beräknas de årliga inbetalningarna av premiepensionsmedel inklus</w:t>
      </w:r>
      <w:r w:rsidRPr="006C40C1">
        <w:t>i</w:t>
      </w:r>
      <w:r w:rsidRPr="006C40C1">
        <w:t>ve ränta till 24,3 miljarder kronor. Samtidigt överförs 21,6 miljarder kronor avseende premiepensionsmedel för 2001 till Premiepensionsmy</w:t>
      </w:r>
      <w:r w:rsidRPr="006C40C1">
        <w:t>n</w:t>
      </w:r>
      <w:r w:rsidRPr="006C40C1">
        <w:t>digheten.</w:t>
      </w:r>
    </w:p>
    <w:p w:rsidR="00AA5D77" w:rsidRPr="006C40C1" w:rsidRDefault="00AA5D77">
      <w:pPr>
        <w:pStyle w:val="R4"/>
      </w:pPr>
      <w:r w:rsidRPr="006C40C1">
        <w:t>Budgetpropositionen</w:t>
      </w:r>
    </w:p>
    <w:p w:rsidR="00AA5D77" w:rsidRPr="006C40C1" w:rsidRDefault="00AA5D77">
      <w:r w:rsidRPr="006C40C1">
        <w:t>Regeringen föreslår i budgetpropositionen (avsnitt 4.4.4) att riksdagen ska godkänna den gjorda beräkningen av förändringar i myndigheternas in- och utlåning i Riksgäldskontoret för budgetåret 2003 (punkt 5).</w:t>
      </w:r>
    </w:p>
    <w:p w:rsidR="00AA5D77" w:rsidRPr="006C40C1" w:rsidRDefault="00AA5D77">
      <w:pPr>
        <w:pStyle w:val="R4"/>
      </w:pPr>
      <w:r w:rsidRPr="006C40C1">
        <w:t>Motionen</w:t>
      </w:r>
    </w:p>
    <w:p w:rsidR="00AA5D77" w:rsidRPr="006C40C1" w:rsidRDefault="00AA5D77">
      <w:r w:rsidRPr="006C40C1">
        <w:rPr>
          <w:i/>
        </w:rPr>
        <w:t>Kristdemokraterna</w:t>
      </w:r>
      <w:r w:rsidRPr="006C40C1">
        <w:t xml:space="preserve"> motsätter sig i </w:t>
      </w:r>
      <w:r w:rsidRPr="006C40C1">
        <w:rPr>
          <w:i/>
        </w:rPr>
        <w:t>motion Fi233</w:t>
      </w:r>
      <w:r w:rsidRPr="006C40C1">
        <w:t xml:space="preserve"> regeringens förslag om en låneram i Riksgäldskontoret om 3 miljarder kronor för 2003 till ett antal ospecificerade väg- och järnvägsprojekt. Denna infrastruktursatsning bör enligt motionärerna finansieras med anslag över statsbudgeten, varför den i partiets budgetalternativ lyfts ur posten Myndigheternas in- och utlåning i Riksgäldskontoret och i</w:t>
      </w:r>
      <w:r w:rsidRPr="006C40C1">
        <w:t>n</w:t>
      </w:r>
      <w:r w:rsidRPr="006C40C1">
        <w:t>ryms inom utgiftstaket (yrkande 11).</w:t>
      </w:r>
    </w:p>
    <w:p w:rsidR="00AA5D77" w:rsidRPr="006C40C1" w:rsidRDefault="00AA5D77">
      <w:pPr>
        <w:pStyle w:val="R4"/>
      </w:pPr>
      <w:r w:rsidRPr="006C40C1">
        <w:t>Finansutskottets ställningstagande</w:t>
      </w:r>
    </w:p>
    <w:p w:rsidR="00AA5D77" w:rsidRPr="006C40C1" w:rsidRDefault="00AA5D77">
      <w:r w:rsidRPr="006C40C1">
        <w:t>Finansutskottet finner för egen del inte anledning att göra någon annan b</w:t>
      </w:r>
      <w:r w:rsidRPr="006C40C1">
        <w:t>e</w:t>
      </w:r>
      <w:r w:rsidRPr="006C40C1">
        <w:t>dömning av myndigheternas in- och utlåning i Riksgäldskontoret än regerin</w:t>
      </w:r>
      <w:r w:rsidRPr="006C40C1">
        <w:t>g</w:t>
      </w:r>
      <w:r w:rsidRPr="006C40C1">
        <w:t>en. Utskottet tillstyrker således punkt 5 i propositionen och avstyrker därmed motion Fi233 (kd) yrkande 11.</w:t>
      </w:r>
    </w:p>
    <w:p w:rsidR="00AA5D77" w:rsidRPr="006C40C1" w:rsidRDefault="00AA5D77">
      <w:pPr>
        <w:pStyle w:val="Rubrik2"/>
      </w:pPr>
      <w:bookmarkStart w:id="382" w:name="_Toc25408038"/>
      <w:bookmarkStart w:id="383" w:name="_Toc26191465"/>
      <w:r w:rsidRPr="006C40C1">
        <w:t>2.10 Kassamässig korrigering</w:t>
      </w:r>
      <w:bookmarkEnd w:id="382"/>
      <w:bookmarkEnd w:id="383"/>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till beräkning av den kas</w:t>
      </w:r>
      <w:r w:rsidRPr="006C40C1">
        <w:t>s</w:t>
      </w:r>
      <w:r w:rsidRPr="006C40C1">
        <w:t>a</w:t>
      </w:r>
      <w:r w:rsidRPr="006C40C1">
        <w:softHyphen/>
        <w:t>mässiga korrigeringen för 2003.</w:t>
      </w:r>
    </w:p>
    <w:p w:rsidR="00AA5D77" w:rsidRPr="006C40C1" w:rsidRDefault="00AA5D77">
      <w:pPr>
        <w:pStyle w:val="Utskottsfrslagikorthet-Text"/>
      </w:pPr>
      <w:r w:rsidRPr="006C40C1">
        <w:t xml:space="preserve">  Övriga delar av denna förslagspunkt behandlar utskottet i avsni</w:t>
      </w:r>
      <w:r w:rsidRPr="006C40C1">
        <w:t>t</w:t>
      </w:r>
      <w:r w:rsidRPr="006C40C1">
        <w:t>ten 2.4.3, 2.5, 2.6, 2.8, 2.9 och 3.</w:t>
      </w:r>
    </w:p>
    <w:p w:rsidR="00AA5D77" w:rsidRPr="006C40C1" w:rsidRDefault="00AA5D77">
      <w:pPr>
        <w:pStyle w:val="Normaltindrag"/>
      </w:pPr>
    </w:p>
    <w:p w:rsidR="00AA5D77" w:rsidRPr="006C40C1" w:rsidRDefault="00AA5D77">
      <w:r w:rsidRPr="006C40C1">
        <w:t>Beräkningsposten Kassamässig korrigering är nöd</w:t>
      </w:r>
      <w:r w:rsidRPr="006C40C1">
        <w:softHyphen/>
        <w:t>vändig för att budgetsaldot ska bli identiskt med lånebehovet (med omvänt tecken). En kassa</w:t>
      </w:r>
      <w:r w:rsidRPr="006C40C1">
        <w:softHyphen/>
        <w:t>mässig korrigering kan dels uppstå om betalningen respektive anslagsavräkningen sker olika budgetår, dels om det förekommer transaktioner över statsverkets checkräkning som inte har sin motsvarighet på anslag eller inkomst</w:t>
      </w:r>
      <w:r w:rsidRPr="006C40C1">
        <w:softHyphen/>
        <w:t>titlar eller vice versa. Ett exempel på det senare är de överföringar från AP-fonden som gjordes 1999–2001.</w:t>
      </w:r>
    </w:p>
    <w:p w:rsidR="00AA5D77" w:rsidRPr="006C40C1" w:rsidRDefault="00AA5D77">
      <w:pPr>
        <w:pStyle w:val="Normaltindrag"/>
      </w:pPr>
      <w:r w:rsidRPr="006C40C1">
        <w:t>Belastningen på statsbudgeten ökar med ca 60 miljarder kronor per år till följd av ålder</w:t>
      </w:r>
      <w:r w:rsidRPr="006C40C1">
        <w:t>spensionsreformen, samtidigt som det sker en motsvarande förstärkning av ålderspensionssystemets sparande. Statsbudgeten har till en del kompenserats för denna försvagning genom överföring av medel från AP-fonden på 45 miljarder kronor vartdera året 1999 och 2000. Under 2001 ägde ytterligare en överföring rum bestående av stats- och bostadsobligationer till ett marknadsvärde av 155 miljarder kronor. Den del av överföringen som bestod av statsobligationer skrevs av direkt mot statsskulden med obligati</w:t>
      </w:r>
      <w:r w:rsidRPr="006C40C1">
        <w:t>o</w:t>
      </w:r>
      <w:r w:rsidRPr="006C40C1">
        <w:t>nernas</w:t>
      </w:r>
      <w:r w:rsidRPr="006C40C1">
        <w:t xml:space="preserve"> nominella värde utan någon direkt effekt på lånebehovet. Den del av överföringen som utgjordes av bostadsobligationer kommer att påverka lån</w:t>
      </w:r>
      <w:r w:rsidRPr="006C40C1">
        <w:t>e</w:t>
      </w:r>
      <w:r w:rsidRPr="006C40C1">
        <w:t>behovet under flera år framöver, dels genom att de olika obligationslånen genererar ränteavkastning, dels genom att de förfaller till betalning. Budge</w:t>
      </w:r>
      <w:r w:rsidRPr="006C40C1">
        <w:t>t</w:t>
      </w:r>
      <w:r w:rsidRPr="006C40C1">
        <w:t>saldot fö</w:t>
      </w:r>
      <w:r w:rsidRPr="006C40C1">
        <w:t>r</w:t>
      </w:r>
      <w:r w:rsidRPr="006C40C1">
        <w:t>stärks genom denna transaktion med 13,4 miljarder kronor 2003.</w:t>
      </w:r>
    </w:p>
    <w:p w:rsidR="00AA5D77" w:rsidRPr="006C40C1" w:rsidRDefault="00AA5D77">
      <w:pPr>
        <w:pStyle w:val="R4"/>
      </w:pPr>
      <w:r w:rsidRPr="006C40C1">
        <w:t>Budgetpropositionen</w:t>
      </w:r>
    </w:p>
    <w:p w:rsidR="00AA5D77" w:rsidRPr="006C40C1" w:rsidRDefault="00AA5D77">
      <w:r w:rsidRPr="006C40C1">
        <w:t>Regeringen föreslår i budgetpropositionen (avsnitt 4.4.4) att riksdagen ska godkänna den gjorda beräkningen av den kassamässiga korrigeringen för 2003 (punkt 6).</w:t>
      </w:r>
    </w:p>
    <w:p w:rsidR="00AA5D77" w:rsidRPr="006C40C1" w:rsidRDefault="00AA5D77">
      <w:pPr>
        <w:pStyle w:val="R4"/>
      </w:pPr>
      <w:r w:rsidRPr="006C40C1">
        <w:t>Finansutskottets ställningstagande</w:t>
      </w:r>
    </w:p>
    <w:p w:rsidR="00AA5D77" w:rsidRPr="006C40C1" w:rsidRDefault="00AA5D77">
      <w:r w:rsidRPr="006C40C1">
        <w:t>Finansutskottet biträder regeringens förslag till beräkning av den kassamäss</w:t>
      </w:r>
      <w:r w:rsidRPr="006C40C1">
        <w:t>i</w:t>
      </w:r>
      <w:r w:rsidRPr="006C40C1">
        <w:t>ga korrigeringen för 2003.</w:t>
      </w:r>
    </w:p>
    <w:p w:rsidR="00AA5D77" w:rsidRPr="006C40C1" w:rsidRDefault="00AA5D77">
      <w:pPr>
        <w:pStyle w:val="Rubrik2"/>
      </w:pPr>
      <w:bookmarkStart w:id="384" w:name="_Toc25408039"/>
      <w:bookmarkStart w:id="385" w:name="_Toc26191466"/>
      <w:r w:rsidRPr="006C40C1">
        <w:t>2.11 Budgetens sammansättning i stort</w:t>
      </w:r>
      <w:bookmarkEnd w:id="384"/>
      <w:bookmarkEnd w:id="385"/>
    </w:p>
    <w:p w:rsidR="00AA5D77" w:rsidRPr="006C40C1" w:rsidRDefault="00AA5D77">
      <w:r w:rsidRPr="006C40C1">
        <w:t>Utskottet har i de närmast föregående avsnitten tagit ställning till utgifternas fördelning på utgiftsområden samt till förändringar av anslagsbehållningar, Riksgäldskontorets in- och utlåning till myndigheter m.fl. och den kassamä</w:t>
      </w:r>
      <w:r w:rsidRPr="006C40C1">
        <w:t>s</w:t>
      </w:r>
      <w:r w:rsidRPr="006C40C1">
        <w:t>siga korrigeringen. I avsnitt 3.11 längre fram i betänkandet redovisar utskottet sitt ställningstagande till beräkningen av statsbudgetens inkomster. Utskottet har därmed övergripande behandlat de delposter som statsbudgeten är up</w:t>
      </w:r>
      <w:r w:rsidRPr="006C40C1">
        <w:t>p</w:t>
      </w:r>
      <w:r w:rsidRPr="006C40C1">
        <w:t>byggd av.</w:t>
      </w:r>
    </w:p>
    <w:p w:rsidR="00AA5D77" w:rsidRPr="006C40C1" w:rsidRDefault="00AA5D77">
      <w:pPr>
        <w:pStyle w:val="Normaltindrag"/>
      </w:pPr>
      <w:r w:rsidRPr="006C40C1">
        <w:t>Skillnaden mellan å ena sidan statsbudgetens inkomster och å andra sidan summan av samtliga utgifter på utgiftsområden inklusive förändringar av anslagsbehållningar, nettot av myndigheternas m.fl. in- och utlåning i Rik</w:t>
      </w:r>
      <w:r w:rsidRPr="006C40C1">
        <w:t>s</w:t>
      </w:r>
      <w:r w:rsidRPr="006C40C1">
        <w:t>gäldskontoret och den kassamässiga korrigeringen utgör budgetsaldot, vilket definitionsmässigt är liktydigt med statens lånebehov. Lånebehovet fra</w:t>
      </w:r>
      <w:r w:rsidRPr="006C40C1">
        <w:t>m</w:t>
      </w:r>
      <w:r w:rsidRPr="006C40C1">
        <w:t>kommer alltså som en restpost, vars nivå riksdagen inte tar ställning till.</w:t>
      </w:r>
    </w:p>
    <w:p w:rsidR="00AA5D77" w:rsidRPr="006C40C1" w:rsidRDefault="00AA5D77">
      <w:pPr>
        <w:pStyle w:val="Normaltindrag"/>
      </w:pPr>
      <w:r w:rsidRPr="006C40C1">
        <w:t>Regeringens förslag till statsbudget för budgetåret 2003 framgår schem</w:t>
      </w:r>
      <w:r w:rsidRPr="006C40C1">
        <w:t>a</w:t>
      </w:r>
      <w:r w:rsidRPr="006C40C1">
        <w:t>tiskt av följande förenklade budgetuppställning. Det innebär att statsbudg</w:t>
      </w:r>
      <w:r w:rsidRPr="006C40C1">
        <w:t>e</w:t>
      </w:r>
      <w:r w:rsidRPr="006C40C1">
        <w:t>tens utgifter överstiger inkomsterna och att det beräknade lånebehovet enligt propositionen uppgår till 13,5 miljarder kronor.</w:t>
      </w:r>
    </w:p>
    <w:p w:rsidR="00AA5D77" w:rsidRPr="006C40C1" w:rsidRDefault="00AA5D77">
      <w:pPr>
        <w:keepNext/>
        <w:spacing w:before="360" w:line="170" w:lineRule="exact"/>
        <w:rPr>
          <w:b/>
          <w:sz w:val="17"/>
        </w:rPr>
      </w:pPr>
      <w:r w:rsidRPr="006C40C1">
        <w:rPr>
          <w:b/>
          <w:sz w:val="17"/>
        </w:rPr>
        <w:t xml:space="preserve">Tabell 34. Regeringens förslag till statsbudget för budgetåret 2003 </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Belopp i miljarder kronor</w:t>
      </w:r>
    </w:p>
    <w:p w:rsidR="00AA5D77" w:rsidRPr="006C40C1" w:rsidRDefault="006C40C1">
      <w:pPr>
        <w:spacing w:before="0" w:line="240" w:lineRule="auto"/>
      </w:pPr>
      <w:r w:rsidRPr="006C40C1">
        <w:rPr>
          <w:noProof/>
        </w:rPr>
        <w:drawing>
          <wp:inline distT="0" distB="0" distL="0" distR="0">
            <wp:extent cx="3777615" cy="707390"/>
            <wp:effectExtent l="0" t="0" r="0" b="0"/>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777615" cy="707390"/>
                    </a:xfrm>
                    <a:prstGeom prst="rect">
                      <a:avLst/>
                    </a:prstGeom>
                    <a:noFill/>
                    <a:ln>
                      <a:noFill/>
                    </a:ln>
                  </pic:spPr>
                </pic:pic>
              </a:graphicData>
            </a:graphic>
          </wp:inline>
        </w:drawing>
      </w:r>
    </w:p>
    <w:p w:rsidR="00AA5D77" w:rsidRPr="006C40C1" w:rsidRDefault="00AA5D77">
      <w:pPr>
        <w:pStyle w:val="Normaltindrag"/>
      </w:pPr>
    </w:p>
    <w:p w:rsidR="00AA5D77" w:rsidRPr="006C40C1" w:rsidRDefault="00AA5D77">
      <w:r w:rsidRPr="006C40C1">
        <w:t>Såsom tidigare framgått föreslår utskottet att 2003 års ramar för utgiftsomr</w:t>
      </w:r>
      <w:r w:rsidRPr="006C40C1">
        <w:t>å</w:t>
      </w:r>
      <w:r w:rsidRPr="006C40C1">
        <w:t>dena 8, 9, 14, 15, 20 och 23 ska förändras jämfört med regeringens förslag i enlighet med Socialdemokraternas, Vänsterpartiets och Miljöpartiet de grönas förslag i motion Fi230 (se även beskrivningen av respektive utgiftsområde i avsnitt 4). Beräkningen av statsbudgetens inkomster ska också justeras enligt utskottets förslag som följer förslaget till riksdagsbeslut i samma motion (se även avsnitt 3.11). Utskottet föreslår dessutom en höjd ram för utgiftsområde 25 till följd av de föreslagna skatteförändrin</w:t>
      </w:r>
      <w:r w:rsidRPr="006C40C1">
        <w:t>gar som har effekter på komm</w:t>
      </w:r>
      <w:r w:rsidRPr="006C40C1">
        <w:t>u</w:t>
      </w:r>
      <w:r w:rsidRPr="006C40C1">
        <w:t>nernas och landstingens skatteinkomster. Nettot av justeringarna på statsbu</w:t>
      </w:r>
      <w:r w:rsidRPr="006C40C1">
        <w:t>d</w:t>
      </w:r>
      <w:r w:rsidRPr="006C40C1">
        <w:t>getens utgiftssida påverkar budgetomslutningen för budgetåret 2003 som i utskottets förslag blir drygt 0,4 miljarder högre. Samtidigt minskar statsbu</w:t>
      </w:r>
      <w:r w:rsidRPr="006C40C1">
        <w:t>d</w:t>
      </w:r>
      <w:r w:rsidRPr="006C40C1">
        <w:t>getens inkomster med drygt 0,3 miljarder kronor, vilket ger ett lånebehov som är knappt 0,8 miljarder kronor högre jämfört med regeringens beräkningar. Effekten av utskottets ställningstagande framgår av nedanstående budgetup</w:t>
      </w:r>
      <w:r w:rsidRPr="006C40C1">
        <w:t>p</w:t>
      </w:r>
      <w:r w:rsidRPr="006C40C1">
        <w:t>stäl</w:t>
      </w:r>
      <w:r w:rsidRPr="006C40C1">
        <w:t>l</w:t>
      </w:r>
      <w:r w:rsidRPr="006C40C1">
        <w:t>ning.</w:t>
      </w:r>
    </w:p>
    <w:p w:rsidR="00AA5D77" w:rsidRPr="006C40C1" w:rsidRDefault="00AA5D77">
      <w:pPr>
        <w:keepNext/>
        <w:spacing w:before="360" w:line="170" w:lineRule="exact"/>
        <w:rPr>
          <w:b/>
          <w:sz w:val="17"/>
        </w:rPr>
      </w:pPr>
      <w:r w:rsidRPr="006C40C1">
        <w:rPr>
          <w:b/>
          <w:sz w:val="17"/>
        </w:rPr>
        <w:t>Tabell 35. Utskottet</w:t>
      </w:r>
      <w:r w:rsidRPr="006C40C1">
        <w:rPr>
          <w:b/>
          <w:sz w:val="17"/>
        </w:rPr>
        <w:t xml:space="preserve">s förslag till statsbudget för budgetåret 2003 </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Belopp i miljarder kronor</w:t>
      </w:r>
    </w:p>
    <w:p w:rsidR="00AA5D77" w:rsidRPr="006C40C1" w:rsidRDefault="006C40C1">
      <w:pPr>
        <w:spacing w:before="0" w:line="240" w:lineRule="auto"/>
      </w:pPr>
      <w:r w:rsidRPr="006C40C1">
        <w:rPr>
          <w:noProof/>
        </w:rPr>
        <w:drawing>
          <wp:inline distT="0" distB="0" distL="0" distR="0">
            <wp:extent cx="3777615" cy="707390"/>
            <wp:effectExtent l="0" t="0" r="0" b="0"/>
            <wp:docPr id="40" name="Bil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777615" cy="707390"/>
                    </a:xfrm>
                    <a:prstGeom prst="rect">
                      <a:avLst/>
                    </a:prstGeom>
                    <a:noFill/>
                    <a:ln>
                      <a:noFill/>
                    </a:ln>
                  </pic:spPr>
                </pic:pic>
              </a:graphicData>
            </a:graphic>
          </wp:inline>
        </w:drawing>
      </w:r>
    </w:p>
    <w:p w:rsidR="00AA5D77" w:rsidRPr="006C40C1" w:rsidRDefault="00AA5D77">
      <w:pPr>
        <w:pStyle w:val="Rubrik2"/>
      </w:pPr>
      <w:bookmarkStart w:id="386" w:name="_Toc25408040"/>
      <w:bookmarkStart w:id="387" w:name="_Toc26191467"/>
      <w:r w:rsidRPr="006C40C1">
        <w:t>2.12 Sammandrag av de olika budgetalternativen</w:t>
      </w:r>
      <w:bookmarkEnd w:id="386"/>
      <w:bookmarkEnd w:id="387"/>
    </w:p>
    <w:p w:rsidR="00AA5D77" w:rsidRPr="006C40C1" w:rsidRDefault="00AA5D77">
      <w:r w:rsidRPr="006C40C1">
        <w:t>Nedan presenteras ett sammandrag av effekter på statsbudgeten för 2003 av regeringens och riksdagspartiernas olika budgetalternativ. Även effekter av utskottets förslag med hänsyn till ny beräkning av statsbudgetens inkomster samt förändringar av ramar på ett antal utgiftsområden ingår i sammanstäl</w:t>
      </w:r>
      <w:r w:rsidRPr="006C40C1">
        <w:t>l</w:t>
      </w:r>
      <w:r w:rsidRPr="006C40C1">
        <w:t>ningen. Redovisning av budgeteffekten av riksdagspartiernas skatte- och avgiftsförslag grundas på en sammanställning som finansutskottet gjort med hjälp av uppgifter från partiernas motioner samt ytterligare information i</w:t>
      </w:r>
      <w:r w:rsidRPr="006C40C1">
        <w:t>n</w:t>
      </w:r>
      <w:r w:rsidRPr="006C40C1">
        <w:t>hämtad från partiernas riksdagskanslier. Till följd av de redovisningsprinciper som Kristdemokraterna valt att använda i sin motion kan vissa poster ha brister vad gäller jämförbarheten med regeringens, utskottets respektive de övriga partiernas förslag.</w:t>
      </w:r>
    </w:p>
    <w:p w:rsidR="00AA5D77" w:rsidRPr="006C40C1" w:rsidRDefault="00AA5D77">
      <w:pPr>
        <w:keepNext/>
        <w:spacing w:before="360" w:line="170" w:lineRule="exact"/>
        <w:ind w:left="-1276"/>
        <w:rPr>
          <w:b/>
          <w:sz w:val="17"/>
        </w:rPr>
      </w:pPr>
      <w:r w:rsidRPr="006C40C1">
        <w:rPr>
          <w:b/>
          <w:sz w:val="17"/>
        </w:rPr>
        <w:br w:type="page"/>
        <w:t>Tabell 36. Sammandrag av statsbud</w:t>
      </w:r>
      <w:r w:rsidRPr="006C40C1">
        <w:rPr>
          <w:b/>
          <w:sz w:val="17"/>
        </w:rPr>
        <w:t>geteffekten 2003 av de olika budgetalternat</w:t>
      </w:r>
      <w:r w:rsidRPr="006C40C1">
        <w:rPr>
          <w:b/>
          <w:sz w:val="17"/>
        </w:rPr>
        <w:t>i</w:t>
      </w:r>
      <w:r w:rsidRPr="006C40C1">
        <w:rPr>
          <w:b/>
          <w:sz w:val="17"/>
        </w:rPr>
        <w:t xml:space="preserve">ven </w:t>
      </w:r>
    </w:p>
    <w:p w:rsidR="00AA5D77" w:rsidRPr="006C40C1" w:rsidRDefault="00AA5D77">
      <w:pPr>
        <w:pStyle w:val="Tabell"/>
        <w:keepLines/>
        <w:spacing w:after="40"/>
        <w:ind w:left="-1276"/>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pPr>
        <w:spacing w:before="0" w:line="240" w:lineRule="auto"/>
        <w:ind w:left="-1276"/>
      </w:pPr>
      <w:r w:rsidRPr="006C40C1">
        <w:rPr>
          <w:noProof/>
        </w:rPr>
        <w:drawing>
          <wp:inline distT="0" distB="0" distL="0" distR="0">
            <wp:extent cx="4658995" cy="1926590"/>
            <wp:effectExtent l="0" t="0" r="0" b="0"/>
            <wp:docPr id="41" name="Bild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658995" cy="1926590"/>
                    </a:xfrm>
                    <a:prstGeom prst="rect">
                      <a:avLst/>
                    </a:prstGeom>
                    <a:noFill/>
                    <a:ln>
                      <a:noFill/>
                    </a:ln>
                  </pic:spPr>
                </pic:pic>
              </a:graphicData>
            </a:graphic>
          </wp:inline>
        </w:drawing>
      </w:r>
    </w:p>
    <w:p w:rsidR="00AA5D77" w:rsidRPr="006C40C1" w:rsidRDefault="00AA5D77">
      <w:pPr>
        <w:pStyle w:val="Normaltindrag"/>
      </w:pPr>
    </w:p>
    <w:p w:rsidR="00AA5D77" w:rsidRPr="006C40C1" w:rsidRDefault="00AA5D77">
      <w:r w:rsidRPr="006C40C1">
        <w:t>Utskottet övergår därmed till att behandla sammansättningen av statsbudg</w:t>
      </w:r>
      <w:r w:rsidRPr="006C40C1">
        <w:t>e</w:t>
      </w:r>
      <w:r w:rsidRPr="006C40C1">
        <w:t>tens inkomster på mer detaljerad nivå (avsnitt 3) samt olika förslag och sy</w:t>
      </w:r>
      <w:r w:rsidRPr="006C40C1">
        <w:t>n</w:t>
      </w:r>
      <w:r w:rsidRPr="006C40C1">
        <w:t>punkter med anknytning till de 27 utgiftsområdena inklusive ålderspension</w:t>
      </w:r>
      <w:r w:rsidRPr="006C40C1">
        <w:t>s</w:t>
      </w:r>
      <w:r w:rsidRPr="006C40C1">
        <w:t>systemet vid sidan av statsbudgeten (avsnitt 4).</w:t>
      </w:r>
    </w:p>
    <w:p w:rsidR="00AA5D77" w:rsidRPr="006C40C1" w:rsidRDefault="00AA5D77">
      <w:pPr>
        <w:spacing w:before="312"/>
        <w:rPr>
          <w:snapToGrid w:val="0"/>
          <w:lang w:eastAsia="sv-SE"/>
        </w:rPr>
      </w:pPr>
    </w:p>
    <w:p w:rsidR="00AA5D77" w:rsidRPr="006C40C1" w:rsidRDefault="00AA5D77"/>
    <w:p w:rsidR="00AA5D77" w:rsidRPr="006C40C1" w:rsidRDefault="00AA5D77"/>
    <w:p w:rsidR="00AA5D77" w:rsidRPr="006C40C1" w:rsidRDefault="00AA5D77">
      <w:pPr>
        <w:pStyle w:val="Rubrik1"/>
        <w:rPr>
          <w:noProof w:val="0"/>
        </w:rPr>
        <w:sectPr w:rsidR="00000000" w:rsidRPr="006C40C1">
          <w:headerReference w:type="even" r:id="rId90"/>
          <w:headerReference w:type="default" r:id="rId91"/>
          <w:footerReference w:type="even" r:id="rId92"/>
          <w:footerReference w:type="default" r:id="rId93"/>
          <w:headerReference w:type="first" r:id="rId94"/>
          <w:footerReference w:type="first" r:id="rId95"/>
          <w:pgSz w:w="11906" w:h="16838" w:code="9"/>
          <w:pgMar w:top="850" w:right="4649" w:bottom="4507" w:left="1304" w:header="340" w:footer="227" w:gutter="0"/>
          <w:cols w:space="720"/>
          <w:titlePg/>
        </w:sectPr>
      </w:pPr>
    </w:p>
    <w:p w:rsidR="00AA5D77" w:rsidRPr="006C40C1" w:rsidRDefault="00AA5D77">
      <w:pPr>
        <w:pStyle w:val="Rubrik1"/>
        <w:rPr>
          <w:noProof w:val="0"/>
        </w:rPr>
      </w:pPr>
      <w:bookmarkStart w:id="388" w:name="_Toc25411144"/>
      <w:bookmarkStart w:id="389" w:name="_Toc26191468"/>
      <w:r w:rsidRPr="006C40C1">
        <w:rPr>
          <w:noProof w:val="0"/>
        </w:rPr>
        <w:t>3 Skatter och övriga inkomster</w:t>
      </w:r>
      <w:bookmarkEnd w:id="388"/>
      <w:bookmarkEnd w:id="389"/>
    </w:p>
    <w:p w:rsidR="00AA5D77" w:rsidRPr="006C40C1" w:rsidRDefault="00AA5D77">
      <w:pPr>
        <w:pStyle w:val="Rubrik2"/>
        <w:spacing w:before="0"/>
      </w:pPr>
      <w:bookmarkStart w:id="390" w:name="_Toc25411145"/>
      <w:bookmarkStart w:id="391" w:name="_Toc26191469"/>
      <w:r w:rsidRPr="006C40C1">
        <w:t>3.1 Utvecklingen av statsbudgetens inkomster</w:t>
      </w:r>
      <w:bookmarkEnd w:id="390"/>
      <w:bookmarkEnd w:id="391"/>
    </w:p>
    <w:p w:rsidR="00AA5D77" w:rsidRPr="006C40C1" w:rsidRDefault="00AA5D77">
      <w:pPr>
        <w:pStyle w:val="R4"/>
      </w:pPr>
      <w:r w:rsidRPr="006C40C1">
        <w:t>Budgetpropositionen</w:t>
      </w:r>
    </w:p>
    <w:p w:rsidR="00AA5D77" w:rsidRPr="006C40C1" w:rsidRDefault="00AA5D77">
      <w:r w:rsidRPr="006C40C1">
        <w:t>Statsbudgetens inkomster består dels av skatter och avgifter, dels av övriga inkomster. Skatter och avgifter svarar som regel för ca 90 % av de totala inkomsterna. I skatter och avgifter ingår även kommunernas utjämningsavgift på ca 24 miljarder kronor, vilken dock helt motsvaras av utjämningsbidraget till kommunsektorn. Övriga inkomster utgörs i huvudsak dels av inkomster från statens verksamhet, exempelvis statens inlevererade överskott, överskott från AB Svenska Spel och utdelningar av statens aktier, d</w:t>
      </w:r>
      <w:r w:rsidRPr="006C40C1">
        <w:t>els av inkomster från försäljning av statlig egendom, främst aktier, samt av bidrag från Eur</w:t>
      </w:r>
      <w:r w:rsidRPr="006C40C1">
        <w:t>o</w:t>
      </w:r>
      <w:r w:rsidRPr="006C40C1">
        <w:t>peiska unionen.</w:t>
      </w:r>
    </w:p>
    <w:p w:rsidR="00AA5D77" w:rsidRPr="006C40C1" w:rsidRDefault="00AA5D77">
      <w:pPr>
        <w:pStyle w:val="Normaltindrag"/>
      </w:pPr>
      <w:r w:rsidRPr="006C40C1">
        <w:t>Skatteinkomsterna på statsbudgeten redovisas huvudsakligen kassamä</w:t>
      </w:r>
      <w:r w:rsidRPr="006C40C1">
        <w:t>s</w:t>
      </w:r>
      <w:r w:rsidRPr="006C40C1">
        <w:t>sigt, dvs. budgeten visar kassaflödena. Skatter på statsbudgeten för ett visst år kan hänföras till flera olika inkomstår, vilket försvårar analysen av inkom</w:t>
      </w:r>
      <w:r w:rsidRPr="006C40C1">
        <w:t>s</w:t>
      </w:r>
      <w:r w:rsidRPr="006C40C1">
        <w:t>terna både vad gäller deras nivå och förändring.</w:t>
      </w:r>
    </w:p>
    <w:p w:rsidR="00AA5D77" w:rsidRPr="006C40C1" w:rsidRDefault="00AA5D77">
      <w:pPr>
        <w:pStyle w:val="Tabellrubrik"/>
        <w:rPr>
          <w:b/>
          <w:caps w:val="0"/>
          <w:sz w:val="17"/>
        </w:rPr>
      </w:pPr>
      <w:r w:rsidRPr="006C40C1">
        <w:rPr>
          <w:b/>
          <w:caps w:val="0"/>
          <w:sz w:val="17"/>
        </w:rPr>
        <w:t>Tabell 37. Statsbudgetens inkomster 2001–2004</w:t>
      </w:r>
    </w:p>
    <w:p w:rsidR="00AA5D77" w:rsidRPr="006C40C1" w:rsidRDefault="00AA5D77">
      <w:pPr>
        <w:pStyle w:val="Tabellfrklaring"/>
      </w:pPr>
      <w:r w:rsidRPr="006C40C1">
        <w:t>Miljarder kronor</w:t>
      </w:r>
    </w:p>
    <w:p w:rsidR="00AA5D77" w:rsidRPr="006C40C1" w:rsidRDefault="006C40C1">
      <w:r w:rsidRPr="006C40C1">
        <w:rPr>
          <w:noProof/>
        </w:rPr>
        <w:drawing>
          <wp:inline distT="0" distB="0" distL="0" distR="0">
            <wp:extent cx="3777615" cy="593090"/>
            <wp:effectExtent l="0" t="0" r="0" b="0"/>
            <wp:docPr id="4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777615" cy="593090"/>
                    </a:xfrm>
                    <a:prstGeom prst="rect">
                      <a:avLst/>
                    </a:prstGeom>
                    <a:noFill/>
                    <a:ln>
                      <a:noFill/>
                    </a:ln>
                  </pic:spPr>
                </pic:pic>
              </a:graphicData>
            </a:graphic>
          </wp:inline>
        </w:drawing>
      </w:r>
    </w:p>
    <w:p w:rsidR="00AA5D77" w:rsidRPr="006C40C1" w:rsidRDefault="00AA5D77"/>
    <w:p w:rsidR="00AA5D77" w:rsidRPr="006C40C1" w:rsidRDefault="00AA5D77">
      <w:r w:rsidRPr="006C40C1">
        <w:t>Under perioden 2002 till 2004 beräknas statsbudgetens skatteinkomster öka med ca 13 miljarder kronor medan övriga inkomster beräknas minska med ca 8 miljarder kronor under samma period. Förändringen av övriga inkomster förklaras av att den extraordinära utdelningen från Riksbanken (20 miljarder kronor  2001 respektive 2002) upphör samt av att inkomsterna av försåld egendom beräknas öka med 15 miljarder kronor 2003.</w:t>
      </w:r>
    </w:p>
    <w:p w:rsidR="00AA5D77" w:rsidRPr="006C40C1" w:rsidRDefault="00AA5D77">
      <w:pPr>
        <w:pStyle w:val="Tabellrubrik"/>
        <w:keepNext/>
        <w:ind w:left="0" w:firstLine="0"/>
        <w:rPr>
          <w:b/>
          <w:caps w:val="0"/>
          <w:sz w:val="17"/>
        </w:rPr>
      </w:pPr>
      <w:r w:rsidRPr="006C40C1">
        <w:rPr>
          <w:b/>
          <w:caps w:val="0"/>
          <w:sz w:val="17"/>
        </w:rPr>
        <w:t>Tabell 38. Statsbudgetens inkomster 2002–2004. Avvikelser från 2001 års ekonomiska vårproposition</w:t>
      </w:r>
    </w:p>
    <w:p w:rsidR="00AA5D77" w:rsidRPr="006C40C1" w:rsidRDefault="00AA5D77">
      <w:pPr>
        <w:pStyle w:val="Tabellfrklaring"/>
      </w:pPr>
      <w:r w:rsidRPr="006C40C1">
        <w:t>Miljarder kronor</w:t>
      </w:r>
    </w:p>
    <w:p w:rsidR="00AA5D77" w:rsidRPr="006C40C1" w:rsidRDefault="006C40C1">
      <w:r w:rsidRPr="006C40C1">
        <w:rPr>
          <w:noProof/>
        </w:rPr>
        <w:drawing>
          <wp:inline distT="0" distB="0" distL="0" distR="0">
            <wp:extent cx="3777615" cy="603885"/>
            <wp:effectExtent l="0" t="0" r="0" b="0"/>
            <wp:docPr id="43" name="Bil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777615" cy="603885"/>
                    </a:xfrm>
                    <a:prstGeom prst="rect">
                      <a:avLst/>
                    </a:prstGeom>
                    <a:noFill/>
                    <a:ln>
                      <a:noFill/>
                    </a:ln>
                  </pic:spPr>
                </pic:pic>
              </a:graphicData>
            </a:graphic>
          </wp:inline>
        </w:drawing>
      </w:r>
    </w:p>
    <w:p w:rsidR="00AA5D77" w:rsidRPr="006C40C1" w:rsidRDefault="00AA5D77">
      <w:pPr>
        <w:pStyle w:val="Normaltindrag"/>
      </w:pPr>
    </w:p>
    <w:p w:rsidR="00AA5D77" w:rsidRPr="006C40C1" w:rsidRDefault="00AA5D77">
      <w:r w:rsidRPr="006C40C1">
        <w:t>Jämfört med 2002 års ekonomiska vårproposition beräknas skatteinkomsterna minska 2003 och 2004 med 32 respektive 33 miljarder kronor. Detta beror huvudsakligen på förändringen av systemet för utbetalning av moms till kommuner och land</w:t>
      </w:r>
      <w:r w:rsidRPr="006C40C1">
        <w:t>s</w:t>
      </w:r>
      <w:r w:rsidRPr="006C40C1">
        <w:t xml:space="preserve">ting. </w:t>
      </w:r>
    </w:p>
    <w:p w:rsidR="00AA5D77" w:rsidRPr="006C40C1" w:rsidRDefault="00AA5D77">
      <w:pPr>
        <w:pStyle w:val="R3"/>
      </w:pPr>
      <w:r w:rsidRPr="006C40C1">
        <w:t>3.1.1 Redovisning av riksdagspartiernas skatteförslag</w:t>
      </w:r>
    </w:p>
    <w:p w:rsidR="00AA5D77" w:rsidRPr="006C40C1" w:rsidRDefault="00AA5D77">
      <w:r w:rsidRPr="006C40C1">
        <w:t xml:space="preserve">Tabellerna 39–45 samt 49 i detta kapitel visar regeringens skatteförslag samt riksdagspartiernas alternativa skatteförslag, presenterade per inkomsttitel på statsbudgeten. Det finns dock vissa skillnader mellan riksdagspartiernas sätt att redovisa sina skatteförslag. Inkomsterna redovisas som regel kassamässigt men i något fall periodiserat. Skillnaderna mellan dessa redovisningar kan vara betydande i sådana fall där skatterna betalas ett annat år än det då den föreslagna förändringen träder i kraft. Även </w:t>
      </w:r>
      <w:r w:rsidRPr="006C40C1">
        <w:t>då beräkningsprincipen är de</w:t>
      </w:r>
      <w:r w:rsidRPr="006C40C1">
        <w:t>n</w:t>
      </w:r>
      <w:r w:rsidRPr="006C40C1">
        <w:softHyphen/>
        <w:t>samma förekommer det att effekterna av en och samma åtgärd bedöms olika av olika partier. Riksdagspartiernas redovisningar avser som regel staten men i några fall även den offentliga sektorn. Eftersom en stor del av skatteförsl</w:t>
      </w:r>
      <w:r w:rsidRPr="006C40C1">
        <w:t>a</w:t>
      </w:r>
      <w:r w:rsidRPr="006C40C1">
        <w:t>gen även påverkar den kommunala inkomstskatten kan effekterna för stat</w:t>
      </w:r>
      <w:r w:rsidRPr="006C40C1">
        <w:t>s</w:t>
      </w:r>
      <w:r w:rsidRPr="006C40C1">
        <w:t>budgeten av samma förslag avvika väsentligt från effekten för den samlade offentliga sektorn. Dessa skillnader i redovisning gör att jämförelser såväl mellan riksdagspartierna som gen</w:t>
      </w:r>
      <w:r w:rsidRPr="006C40C1">
        <w:t>temot regeringen bör tolkas med viss fö</w:t>
      </w:r>
      <w:r w:rsidRPr="006C40C1">
        <w:t>r</w:t>
      </w:r>
      <w:r w:rsidRPr="006C40C1">
        <w:t>sikti</w:t>
      </w:r>
      <w:r w:rsidRPr="006C40C1">
        <w:t>g</w:t>
      </w:r>
      <w:r w:rsidRPr="006C40C1">
        <w:t xml:space="preserve">het. </w:t>
      </w:r>
    </w:p>
    <w:p w:rsidR="00AA5D77" w:rsidRPr="006C40C1" w:rsidRDefault="00AA5D77">
      <w:pPr>
        <w:pStyle w:val="Normaltindrag"/>
      </w:pPr>
    </w:p>
    <w:p w:rsidR="00AA5D77" w:rsidRPr="006C40C1" w:rsidRDefault="00AA5D77">
      <w:pPr>
        <w:pStyle w:val="Utskottetsvervganden-RubrikFrslagspunkt"/>
        <w:spacing w:before="0"/>
      </w:pPr>
      <w:bookmarkStart w:id="392" w:name="_Toc24531761"/>
      <w:bookmarkStart w:id="393" w:name="_Toc25055304"/>
      <w:bookmarkStart w:id="394" w:name="_Toc25411146"/>
      <w:bookmarkStart w:id="395" w:name="_Toc26191470"/>
      <w:r w:rsidRPr="006C40C1">
        <w:t>3.2 Skattepolitikens inriktning</w:t>
      </w:r>
      <w:bookmarkEnd w:id="392"/>
      <w:bookmarkEnd w:id="393"/>
      <w:bookmarkEnd w:id="394"/>
      <w:bookmarkEnd w:id="395"/>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Moderata samlingspartiets, Folkpartiet liber</w:t>
      </w:r>
      <w:r w:rsidRPr="006C40C1">
        <w:t>a</w:t>
      </w:r>
      <w:r w:rsidRPr="006C40C1">
        <w:softHyphen/>
        <w:t>lernas, Kristdemokraternas och Centerpartiets förslag om inrikt</w:t>
      </w:r>
      <w:r w:rsidRPr="006C40C1">
        <w:softHyphen/>
        <w:t>ning av skattepolitiken.</w:t>
      </w:r>
    </w:p>
    <w:p w:rsidR="00AA5D77" w:rsidRPr="006C40C1" w:rsidRDefault="00AA5D77">
      <w:pPr>
        <w:pStyle w:val="Utskottsfrslagikorthet-Text"/>
      </w:pPr>
      <w:r w:rsidRPr="006C40C1">
        <w:t xml:space="preserve">  Jämför reservationerna 8 (m), 9 (fp), 10 (kd) och 11 (c).</w:t>
      </w:r>
    </w:p>
    <w:p w:rsidR="00AA5D77" w:rsidRPr="006C40C1" w:rsidRDefault="00AA5D77">
      <w:pPr>
        <w:pStyle w:val="R4"/>
      </w:pPr>
      <w:r w:rsidRPr="006C40C1">
        <w:t>Budgetpropositionen</w:t>
      </w:r>
    </w:p>
    <w:p w:rsidR="00AA5D77" w:rsidRPr="006C40C1" w:rsidRDefault="00AA5D77">
      <w:r w:rsidRPr="006C40C1">
        <w:t xml:space="preserve">I propositionen anförs (avsnitt 1.7) att skatternas främsta syfte är att finansiera välfärden och att de samtidigt ska stimulera till arbete och investeringar, till en uthållig utveckling och till minskade ekonomiska och sociala klyftor. Fortsatta reformer för rättvisa och tillväxt går före skattesänkningar. Om det finns utrymme för skattesänkningar kommer förbättringar för löntagare och småföretag att prioriteras. </w:t>
      </w:r>
    </w:p>
    <w:p w:rsidR="00AA5D77" w:rsidRPr="006C40C1" w:rsidRDefault="00AA5D77">
      <w:pPr>
        <w:pStyle w:val="Normaltindrag"/>
      </w:pPr>
      <w:r w:rsidRPr="006C40C1">
        <w:t>Regeringen kommer att föreslå att det fjärde och sista steget i den pågå</w:t>
      </w:r>
      <w:r w:rsidRPr="006C40C1">
        <w:softHyphen/>
        <w:t>e</w:t>
      </w:r>
      <w:r w:rsidRPr="006C40C1">
        <w:t>n</w:t>
      </w:r>
      <w:r w:rsidRPr="006C40C1">
        <w:t>de reformeringen av inkomstbeskattningen genomförs under mandatperio</w:t>
      </w:r>
      <w:r w:rsidRPr="006C40C1">
        <w:softHyphen/>
        <w:t>den om det statsfinansiella läget tillåter detta. Reformen har en god fördel</w:t>
      </w:r>
      <w:r w:rsidRPr="006C40C1">
        <w:softHyphen/>
        <w:t>ning</w:t>
      </w:r>
      <w:r w:rsidRPr="006C40C1">
        <w:t>s</w:t>
      </w:r>
      <w:r w:rsidRPr="006C40C1">
        <w:t>profil eftersom den är inriktad på låg- och medelinkomsttagarna.</w:t>
      </w:r>
    </w:p>
    <w:p w:rsidR="00AA5D77" w:rsidRPr="006C40C1" w:rsidRDefault="00AA5D77">
      <w:pPr>
        <w:pStyle w:val="Normaltindrag"/>
      </w:pPr>
      <w:r w:rsidRPr="006C40C1">
        <w:t>Det är vidare angeläget att förbättra de skattemässiga villkoren för föret</w:t>
      </w:r>
      <w:r w:rsidRPr="006C40C1">
        <w:t>a</w:t>
      </w:r>
      <w:r w:rsidRPr="006C40C1">
        <w:softHyphen/>
        <w:t>gen. Regeringen vill under mandatperioden genomföra en förändring av re</w:t>
      </w:r>
      <w:r w:rsidRPr="006C40C1">
        <w:t>g</w:t>
      </w:r>
      <w:r w:rsidRPr="006C40C1">
        <w:softHyphen/>
        <w:t>lerna om tjänste- och kapitalbeskattningen av småföretagsägares inkomster (de s.k. 3:12-reglerna) i syfte att öka avkastningen för den som tar risken att starta ett eget företag och/eller expanderar sin verksamhet. Regeringen avser även att ändra reglerna så att fler företag får lägre skatt vid generationsskiften. Beskattningen av kapitalvinster på näringsbetingade andelar bör avskaffas, och arbetet med denna förändring fortgår.</w:t>
      </w:r>
    </w:p>
    <w:p w:rsidR="00AA5D77" w:rsidRPr="006C40C1" w:rsidRDefault="00AA5D77">
      <w:pPr>
        <w:pStyle w:val="Normaltindrag"/>
      </w:pPr>
      <w:r w:rsidRPr="006C40C1">
        <w:t>En p</w:t>
      </w:r>
      <w:r w:rsidRPr="006C40C1">
        <w:t>arlamentarisk kommitté utreder fastighetsskatten, förmögenhets</w:t>
      </w:r>
      <w:r w:rsidRPr="006C40C1">
        <w:softHyphen/>
        <w:t>skatten samt arvs- och gåvoskatten. En viktig utgångspunkt för arbetet är att beskattningen av olika typer av tillgångar ska vara likformig. Frågan om beskattningen av arv mellan makar ska tas upp med förtur.</w:t>
      </w:r>
    </w:p>
    <w:p w:rsidR="00AA5D77" w:rsidRPr="006C40C1" w:rsidRDefault="00AA5D77">
      <w:pPr>
        <w:pStyle w:val="Normaltindrag"/>
      </w:pPr>
      <w:r w:rsidRPr="006C40C1">
        <w:t>Den fortgående globaliseringen ställer det svenska skattesystemet inför utmaningar. Kunskaperna om hur de svenska skattebaserna påverkas av en alltmer internationaliserad omvärld är dock ofullständiga och behöver förbät</w:t>
      </w:r>
      <w:r w:rsidRPr="006C40C1">
        <w:t>t</w:t>
      </w:r>
      <w:r w:rsidRPr="006C40C1">
        <w:softHyphen/>
        <w:t>ras. Den av regeringen tillsatta utredningen för att analysera globaliseringens betydelse för olika skattebaser lämnar sitt slutbetänkande under hösten.</w:t>
      </w:r>
    </w:p>
    <w:p w:rsidR="00AA5D77" w:rsidRPr="006C40C1" w:rsidRDefault="00AA5D77">
      <w:pPr>
        <w:pStyle w:val="Normaltindrag"/>
      </w:pPr>
      <w:r w:rsidRPr="006C40C1">
        <w:t>En grön skatteväxling utgör en central del i regeringens strategi för att o</w:t>
      </w:r>
      <w:r w:rsidRPr="006C40C1">
        <w:t>m</w:t>
      </w:r>
      <w:r w:rsidRPr="006C40C1">
        <w:softHyphen/>
        <w:t>vandla Sverige till ett ekologiskt hållbart samhälle, och för 2003 föreslås i budgetpropositionen en grön skatteväxling på 2,6 miljarder kronor. Det totala utrymmet för en grön skatteväxling fram till 2010 bedöms fortfarande uppgå till 30 miljarder kronor. En fortsatt grön skatteväxling måste enligt vad som anförs genomföras stegvis och varsamt, och de olika stegen bör löpande följas upp vad gäller effekterna för miljön, för individer och inkomstfördelning och för det svenska näringslivets konkurrenskraft</w:t>
      </w:r>
      <w:r w:rsidRPr="006C40C1">
        <w:t>. En ökad miljörelatering av skattesystemet förutsätter också en rationell energiskattestruktur, baserad på lättförståeliga och brett accepterade principer samtidigt som skattesystemet måste vara förenligt med Sveriges medlemskap i EU. Som en integrerad del i den gröna skatteväxlingen arbetar ett par utredningar, om nedsättning av energi- och koldioxidskatten för näringslivet och om vägtrafikbeskattningen, med att ta fram underlag för en reformering av energi- och miljöskattestrukt</w:t>
      </w:r>
      <w:r w:rsidRPr="006C40C1">
        <w:t>u</w:t>
      </w:r>
      <w:r w:rsidRPr="006C40C1">
        <w:softHyphen/>
        <w:t>ren. När dessa utredning</w:t>
      </w:r>
      <w:r w:rsidRPr="006C40C1">
        <w:t>ar är klara med sitt arbete återkommer regeringen med förnyade bedömningar och nya förslag om hur den gröna skatteväxlingen ska utformas efter år 2003.</w:t>
      </w:r>
    </w:p>
    <w:p w:rsidR="00AA5D77" w:rsidRPr="006C40C1" w:rsidRDefault="00AA5D77">
      <w:pPr>
        <w:pStyle w:val="Normaltindrag"/>
      </w:pPr>
      <w:r w:rsidRPr="006C40C1">
        <w:t>En strategi för skattenedsättning för alternativa drivmedel lades fast i bu</w:t>
      </w:r>
      <w:r w:rsidRPr="006C40C1">
        <w:t>d</w:t>
      </w:r>
      <w:r w:rsidRPr="006C40C1">
        <w:softHyphen/>
        <w:t>getpropositionen för 2002. Regeringen anser det angeläget att skattened</w:t>
      </w:r>
      <w:r w:rsidRPr="006C40C1">
        <w:softHyphen/>
        <w:t>sättningen – när godkännande har erhållits från rådet och EG-kommissionen – kan börja tillämpas snarast möjligt. Konkurrenskraftiga och konkurrensne</w:t>
      </w:r>
      <w:r w:rsidRPr="006C40C1">
        <w:t>u</w:t>
      </w:r>
      <w:r w:rsidRPr="006C40C1">
        <w:softHyphen/>
        <w:t>trala villkor för de alternativa drivmedlen under år 2003 kommer att beaktas i sä</w:t>
      </w:r>
      <w:r w:rsidRPr="006C40C1">
        <w:t>r</w:t>
      </w:r>
      <w:r w:rsidRPr="006C40C1">
        <w:t>skild ordning i avvaktan på EG-besluten.</w:t>
      </w:r>
    </w:p>
    <w:p w:rsidR="00AA5D77" w:rsidRPr="006C40C1" w:rsidRDefault="00AA5D77">
      <w:pPr>
        <w:pStyle w:val="Normaltindrag"/>
      </w:pPr>
      <w:r w:rsidRPr="006C40C1">
        <w:t>En utredning med uppdrag att se över tillämpningsområdet för bl.a. de r</w:t>
      </w:r>
      <w:r w:rsidRPr="006C40C1">
        <w:t>e</w:t>
      </w:r>
      <w:r w:rsidRPr="006C40C1">
        <w:t>ducerade mervärdesskattesatserna tillsätts med anledning av riksdagens til</w:t>
      </w:r>
      <w:r w:rsidRPr="006C40C1">
        <w:t>l</w:t>
      </w:r>
      <w:r w:rsidRPr="006C40C1">
        <w:t>kännagivande om behovet av en sådan översyn (rskr. 2001/02:199, bet. 2001/02:SkU18). Översynen syftar till att kartlägga och begränsa nuvarande avgränsnings</w:t>
      </w:r>
      <w:r w:rsidRPr="006C40C1">
        <w:softHyphen/>
        <w:t>problem. I uppdraget ska även ingå att analysera mervärdes</w:t>
      </w:r>
      <w:r w:rsidRPr="006C40C1">
        <w:softHyphen/>
        <w:t>skattesatsernas struktur utifrån rättsliga, administrativa, ekonomiska, för</w:t>
      </w:r>
      <w:r w:rsidRPr="006C40C1">
        <w:softHyphen/>
        <w:t>delningsmässiga och statsfinansiella aspekter.</w:t>
      </w:r>
    </w:p>
    <w:p w:rsidR="00AA5D77" w:rsidRPr="006C40C1" w:rsidRDefault="00AA5D77">
      <w:pPr>
        <w:pStyle w:val="Normaltindrag"/>
      </w:pPr>
      <w:r w:rsidRPr="006C40C1">
        <w:t>En sänkning av momskostnaden bör prövas för produktionen av student</w:t>
      </w:r>
      <w:r w:rsidRPr="006C40C1">
        <w:softHyphen/>
        <w:t>bostäder och äldrebostäder. För att tillgodose huvudsakligen ungdomarnas bostadsbehov vill regeringen även pröva förutsättningarna för att på ett kos</w:t>
      </w:r>
      <w:r w:rsidRPr="006C40C1">
        <w:t>t</w:t>
      </w:r>
      <w:r w:rsidRPr="006C40C1">
        <w:t>nads</w:t>
      </w:r>
      <w:r w:rsidRPr="006C40C1">
        <w:softHyphen/>
        <w:t>effektivt sätt minska boendekostnaderna genom en sänkning av mom</w:t>
      </w:r>
      <w:r w:rsidRPr="006C40C1">
        <w:t>s</w:t>
      </w:r>
      <w:r w:rsidRPr="006C40C1">
        <w:t>kostn</w:t>
      </w:r>
      <w:r w:rsidRPr="006C40C1">
        <w:t>a</w:t>
      </w:r>
      <w:r w:rsidRPr="006C40C1">
        <w:softHyphen/>
        <w:t>derna för produktion av mindre hyreslägenheter.</w:t>
      </w:r>
    </w:p>
    <w:p w:rsidR="00AA5D77" w:rsidRPr="006C40C1" w:rsidRDefault="00AA5D77">
      <w:pPr>
        <w:pStyle w:val="R4"/>
      </w:pPr>
      <w:r w:rsidRPr="006C40C1">
        <w:t>Motioner</w:t>
      </w:r>
    </w:p>
    <w:p w:rsidR="00AA5D77" w:rsidRPr="006C40C1" w:rsidRDefault="00AA5D77">
      <w:r w:rsidRPr="006C40C1">
        <w:t xml:space="preserve">I </w:t>
      </w:r>
      <w:r w:rsidRPr="006C40C1">
        <w:rPr>
          <w:i/>
        </w:rPr>
        <w:t>Moderata samlingspartiets</w:t>
      </w:r>
      <w:r w:rsidRPr="006C40C1">
        <w:t xml:space="preserve"> motion Fi231 yrkandena 9 och 11 av Bo Lun</w:t>
      </w:r>
      <w:r w:rsidRPr="006C40C1">
        <w:t>d</w:t>
      </w:r>
      <w:r w:rsidRPr="006C40C1">
        <w:t>gren m.fl. (m) förelås att skatterna sänks för att möjliggöra en ökad tillväxt och ett entreprenörskap som ger alla en bättre välstånds</w:t>
      </w:r>
      <w:r w:rsidRPr="006C40C1">
        <w:softHyphen/>
        <w:t>utveckling och ökar medborgarnas inflytande över sina liv. Målet är att alla ska kunna leva på sin lön. I dagens värld, då både människor och kapital är lättrörliga, kan höga skattesatser leda till urholkade skattebaser. Det är därför viktigt att skatt</w:t>
      </w:r>
      <w:r w:rsidRPr="006C40C1">
        <w:t>e</w:t>
      </w:r>
      <w:r w:rsidRPr="006C40C1">
        <w:t>sänkningarna även gäller lättrörliga ska</w:t>
      </w:r>
      <w:r w:rsidRPr="006C40C1">
        <w:t>t</w:t>
      </w:r>
      <w:r w:rsidRPr="006C40C1">
        <w:t>tebaser.</w:t>
      </w:r>
    </w:p>
    <w:p w:rsidR="00AA5D77" w:rsidRPr="006C40C1" w:rsidRDefault="00AA5D77">
      <w:pPr>
        <w:pStyle w:val="Normaltindrag"/>
      </w:pPr>
      <w:r w:rsidRPr="006C40C1">
        <w:t>En in</w:t>
      </w:r>
      <w:r w:rsidRPr="006C40C1">
        <w:t>komstskattereform med tyngdpunkten hos låg- och medelinkomst</w:t>
      </w:r>
      <w:r w:rsidRPr="006C40C1">
        <w:softHyphen/>
        <w:t>t</w:t>
      </w:r>
      <w:r w:rsidRPr="006C40C1">
        <w:t>a</w:t>
      </w:r>
      <w:r w:rsidRPr="006C40C1">
        <w:softHyphen/>
        <w:t>garna genomförs för att öka den sociala tryggheten och motverka fattig</w:t>
      </w:r>
      <w:r w:rsidRPr="006C40C1">
        <w:softHyphen/>
        <w:t>dom</w:t>
      </w:r>
      <w:r w:rsidRPr="006C40C1">
        <w:t>s</w:t>
      </w:r>
      <w:r w:rsidRPr="006C40C1">
        <w:softHyphen/>
        <w:t>fällor. För att människor ska kunna klara av sina egna grundläggande behov innan de börjar betala skatt höjs grundavdraget. På sikt är målet att de första 50 000 kronorna ska vara befriade från inkomstskatt. Barnfamiljernas fö</w:t>
      </w:r>
      <w:r w:rsidRPr="006C40C1">
        <w:t>r</w:t>
      </w:r>
      <w:r w:rsidRPr="006C40C1">
        <w:softHyphen/>
        <w:t>sörjningsbörda beaktas genom ett extra grundavdrag på 15 000 kr per barn upp till 16 år. För att fler ska motiveras att arbeta ersätts dagens sk</w:t>
      </w:r>
      <w:r w:rsidRPr="006C40C1">
        <w:t>atte</w:t>
      </w:r>
      <w:r w:rsidRPr="006C40C1">
        <w:softHyphen/>
        <w:t>reduktion för allmän pensionsavgift med ett fö</w:t>
      </w:r>
      <w:r w:rsidRPr="006C40C1">
        <w:t>r</w:t>
      </w:r>
      <w:r w:rsidRPr="006C40C1">
        <w:t>värvsavdrag för pen</w:t>
      </w:r>
      <w:r w:rsidRPr="006C40C1">
        <w:softHyphen/>
        <w:t>sions</w:t>
      </w:r>
      <w:r w:rsidRPr="006C40C1">
        <w:softHyphen/>
        <w:t xml:space="preserve">grundande inkomster. Den statliga inkomstskatten avskaffas på sikt. </w:t>
      </w:r>
    </w:p>
    <w:p w:rsidR="00AA5D77" w:rsidRPr="006C40C1" w:rsidRDefault="00AA5D77">
      <w:pPr>
        <w:pStyle w:val="Normaltindrag"/>
      </w:pPr>
      <w:r w:rsidRPr="006C40C1">
        <w:t>För tjänster utförda i hemmen införs en skattereduktion på 50 % av arbet</w:t>
      </w:r>
      <w:r w:rsidRPr="006C40C1">
        <w:t>s</w:t>
      </w:r>
      <w:r w:rsidRPr="006C40C1">
        <w:softHyphen/>
        <w:t>kostnaden på maximalt 50 000 kr per hushåll. Syftet är att vanliga människor ska få en möjlighet att köpa tjän</w:t>
      </w:r>
      <w:r w:rsidRPr="006C40C1">
        <w:t>s</w:t>
      </w:r>
      <w:r w:rsidRPr="006C40C1">
        <w:t>ter.</w:t>
      </w:r>
    </w:p>
    <w:p w:rsidR="00AA5D77" w:rsidRPr="006C40C1" w:rsidRDefault="00AA5D77">
      <w:pPr>
        <w:pStyle w:val="Normaltindrag"/>
      </w:pPr>
      <w:r w:rsidRPr="006C40C1">
        <w:t>Fastighetsskatten sänks successivt och avskaffas på sikt. För att minska problemen i attraktiva områden föreslås att halva markvärdet används som grund för b</w:t>
      </w:r>
      <w:r w:rsidRPr="006C40C1">
        <w:t>e</w:t>
      </w:r>
      <w:r w:rsidRPr="006C40C1">
        <w:t>skattningen.</w:t>
      </w:r>
    </w:p>
    <w:p w:rsidR="00AA5D77" w:rsidRPr="006C40C1" w:rsidRDefault="00AA5D77">
      <w:pPr>
        <w:pStyle w:val="Normaltindrag"/>
      </w:pPr>
      <w:r w:rsidRPr="006C40C1">
        <w:t>Förmögenhetsskatten avskaffas liksom skatten på aktieutdelningar. Utde</w:t>
      </w:r>
      <w:r w:rsidRPr="006C40C1">
        <w:t>l</w:t>
      </w:r>
      <w:r w:rsidRPr="006C40C1">
        <w:softHyphen/>
        <w:t>ningar till aktiva ägare i fåmansbolag beskattas som inkomst av kapital om ägaren tar ut skälig lön. Arvs- och gåvoskatten försvårar generationsskiften i familjeföretag och avskaffas därför successivt. Optionsprogrammens beskat</w:t>
      </w:r>
      <w:r w:rsidRPr="006C40C1">
        <w:t>t</w:t>
      </w:r>
      <w:r w:rsidRPr="006C40C1">
        <w:softHyphen/>
        <w:t>ning utreds och beskattningen av royalty sker under inkomst av kapital. Ett uppskov vid kapitalvinstbeskattningen i samband med omplacering mellan fonder eller värdepapper utreds.</w:t>
      </w:r>
    </w:p>
    <w:p w:rsidR="00AA5D77" w:rsidRPr="006C40C1" w:rsidRDefault="00AA5D77">
      <w:pPr>
        <w:pStyle w:val="Normaltindrag"/>
      </w:pPr>
      <w:r w:rsidRPr="006C40C1">
        <w:t>Jordbrukets skatt på diesel och växtnäring sänks till samma nivå som i de främsta konkurrentländerna.</w:t>
      </w:r>
    </w:p>
    <w:p w:rsidR="00AA5D77" w:rsidRPr="006C40C1" w:rsidRDefault="00AA5D77">
      <w:pPr>
        <w:pStyle w:val="Normaltindrag"/>
      </w:pPr>
      <w:r w:rsidRPr="006C40C1">
        <w:t>Energiskatter bör enligt vad som anförs tas ut i konsumentledet om det inte är fråga om miljöskatter. Energiskatten på el som produceras i kärnkraftverk bryter mot denna princip och slopas därför på sikt.</w:t>
      </w:r>
    </w:p>
    <w:p w:rsidR="00AA5D77" w:rsidRPr="006C40C1" w:rsidRDefault="00AA5D77">
      <w:pPr>
        <w:pStyle w:val="Normaltindrag"/>
      </w:pPr>
      <w:r w:rsidRPr="006C40C1">
        <w:t>Skatten på bensin och diesel höjer kostnaden för resor till och från arbete, barnomsorg och vid socialt umgänge och bör enligt motionärernas mening sänkas. Skatten bör inte vara högre än genomsnittet i Europa. Reseavdraget höjs till 20 kr per mil.</w:t>
      </w:r>
    </w:p>
    <w:p w:rsidR="00AA5D77" w:rsidRPr="006C40C1" w:rsidRDefault="00AA5D77">
      <w:pPr>
        <w:pStyle w:val="Normaltindrag"/>
      </w:pPr>
      <w:r w:rsidRPr="006C40C1">
        <w:t>Pensionssparande underlättas genom att avdraget för sådant sparande höjs till ett prisbasbelopp. Alkoholskatterna sänks till dansk nivå allteftersom införselrestriktionerna försvinner. Skatten på reklam är inte konkurrensneutral och avskaffas redan den 1 januari 2003.</w:t>
      </w:r>
    </w:p>
    <w:p w:rsidR="00AA5D77" w:rsidRPr="006C40C1" w:rsidRDefault="00AA5D77">
      <w:pPr>
        <w:pStyle w:val="Normaltindrag"/>
      </w:pPr>
      <w:r w:rsidRPr="006C40C1">
        <w:t xml:space="preserve">I </w:t>
      </w:r>
      <w:r w:rsidRPr="006C40C1">
        <w:rPr>
          <w:i/>
        </w:rPr>
        <w:t>Folkpartiet liberalernas</w:t>
      </w:r>
      <w:r w:rsidRPr="006C40C1">
        <w:t xml:space="preserve"> motion Sk382 yrkandena 1, 3, 4 och 26 av Lars Leijonborg m.fl. (fp) anförs att skattepolitiken bör vara inriktad på att för</w:t>
      </w:r>
      <w:r w:rsidRPr="006C40C1">
        <w:softHyphen/>
        <w:t xml:space="preserve">bättra förutsättningarna för tillväxt och sysselsättning. Skattesänkningarna bör inriktas på att det ska löna sig att arbeta, spara och ta risker, och att göra det i Sverige. </w:t>
      </w:r>
    </w:p>
    <w:p w:rsidR="00AA5D77" w:rsidRPr="006C40C1" w:rsidRDefault="00AA5D77">
      <w:pPr>
        <w:pStyle w:val="Normaltindrag"/>
      </w:pPr>
      <w:r w:rsidRPr="006C40C1">
        <w:t>Motionärerna föreslår att en ny skattereform genomförs med principerna för 1990–91 års skattereform som grund. Skiktgränsen för den statliga i</w:t>
      </w:r>
      <w:r w:rsidRPr="006C40C1">
        <w:t>n</w:t>
      </w:r>
      <w:r w:rsidRPr="006C40C1">
        <w:t>komstskatten höjs så att bara 10 % av de skattskyldiga på sikt betalar statlig inkomstskatt, och det andra steget i den statliga inkomstskatteskalan avska</w:t>
      </w:r>
      <w:r w:rsidRPr="006C40C1">
        <w:t>f</w:t>
      </w:r>
      <w:r w:rsidRPr="006C40C1">
        <w:t>fas. Nedtrappningen av det nuvarande grundavdraget tas successivt bort. Härige</w:t>
      </w:r>
      <w:r w:rsidRPr="006C40C1">
        <w:softHyphen/>
        <w:t>nom uppnås en marginalskatt på 30 % för de flesta och en margina</w:t>
      </w:r>
      <w:r w:rsidRPr="006C40C1">
        <w:t>l</w:t>
      </w:r>
      <w:r w:rsidRPr="006C40C1">
        <w:t>skatt på 50 % för de högsta inkomstdelarna. Ett förvärvsavdrag införs som gör det mer lönsamt att arbeta även vid lägre inkomster. Avdraget uppgår inledningsvis till 3 % av inkomsten. En allmän skattereduktion in</w:t>
      </w:r>
      <w:r w:rsidRPr="006C40C1">
        <w:t>förs för att alla ska få del av en skattesänkning och uppgår till att börja med till 300 kr per person och år. Barnfamiljernas extra försörjningsbörda beaktas genom en skattereduktion som motsvarar en barnbidragshöjning med mellan 900 och 1 000 kr per barn och år. Detta kombineras med en nedtrappning av den i</w:t>
      </w:r>
      <w:r w:rsidRPr="006C40C1">
        <w:t>n</w:t>
      </w:r>
      <w:r w:rsidRPr="006C40C1">
        <w:t>komstprövade delen av bostadsbidraget. Härigenom minskar marginaleffe</w:t>
      </w:r>
      <w:r w:rsidRPr="006C40C1">
        <w:t>k</w:t>
      </w:r>
      <w:r w:rsidRPr="006C40C1">
        <w:t xml:space="preserve">ten med 20 %. </w:t>
      </w:r>
    </w:p>
    <w:p w:rsidR="00AA5D77" w:rsidRPr="006C40C1" w:rsidRDefault="00AA5D77">
      <w:pPr>
        <w:pStyle w:val="Normaltindrag"/>
      </w:pPr>
      <w:r w:rsidRPr="006C40C1">
        <w:t>En omläggning genomförs med höjda avgifter till arbetslöshetskassan och ett större ansvar för trafikförsäkringen som</w:t>
      </w:r>
      <w:r w:rsidRPr="006C40C1">
        <w:t xml:space="preserve"> kompenseras med sänkta skatter. Avgiftshöjningarna medför att det blir tydligt för alla vad som betalas till försäkringen.</w:t>
      </w:r>
    </w:p>
    <w:p w:rsidR="00AA5D77" w:rsidRPr="006C40C1" w:rsidRDefault="00AA5D77">
      <w:pPr>
        <w:pStyle w:val="Normaltindrag"/>
      </w:pPr>
      <w:r w:rsidRPr="006C40C1">
        <w:t>Hushållen får möjlighet att köpa tjänster genom att en skattereduktion för halva arbetskostnaden införs. Människor får större möjlighet att välja mellan att arbeta mer och köpa tjänster till hemmet, eller att arbeta mindre och i stället göra mer av hemarbetet själva. Omvägen till dagis räknas med när avdrag medges för bilresor till och från arbetet.</w:t>
      </w:r>
    </w:p>
    <w:p w:rsidR="00AA5D77" w:rsidRPr="006C40C1" w:rsidRDefault="00AA5D77">
      <w:pPr>
        <w:pStyle w:val="Normaltindrag"/>
      </w:pPr>
      <w:r w:rsidRPr="006C40C1">
        <w:t>Av principiella skäl avvisar motionärerna avdragsrätten för fackliga a</w:t>
      </w:r>
      <w:r w:rsidRPr="006C40C1">
        <w:t>v</w:t>
      </w:r>
      <w:r w:rsidRPr="006C40C1">
        <w:t>gifter. De avskaffar också skattereduktionen för bredbandsanslutningar.</w:t>
      </w:r>
    </w:p>
    <w:p w:rsidR="00AA5D77" w:rsidRPr="006C40C1" w:rsidRDefault="00AA5D77">
      <w:pPr>
        <w:pStyle w:val="Normaltindrag"/>
      </w:pPr>
      <w:r w:rsidRPr="006C40C1">
        <w:t>Pensionssparandet utvidgas till ett basbelopp och öppnas för finansiering av kompetensutveckling. På detta sätt kommer makten och inflytandet över kompetenssparandet att ligga hos e</w:t>
      </w:r>
      <w:r w:rsidRPr="006C40C1">
        <w:t>n</w:t>
      </w:r>
      <w:r w:rsidRPr="006C40C1">
        <w:t xml:space="preserve">skilda människor. </w:t>
      </w:r>
    </w:p>
    <w:p w:rsidR="00AA5D77" w:rsidRPr="006C40C1" w:rsidRDefault="00AA5D77">
      <w:pPr>
        <w:pStyle w:val="Normaltindrag"/>
      </w:pPr>
      <w:r w:rsidRPr="006C40C1">
        <w:t>Fastighetsbeskattningen sänks stegvis och bör på sikt avskaffas. Tax</w:t>
      </w:r>
      <w:r w:rsidRPr="006C40C1">
        <w:t>e</w:t>
      </w:r>
      <w:r w:rsidRPr="006C40C1">
        <w:softHyphen/>
        <w:t>ringsvärdena fryses omedelbart på 1997 års nivå med skattesatserna 1,0 % för småhus och 0,5 % för flerfamiljshus. På detta sätt kan begränsningsregeln avvecklas. Som en finansiering höjs kapitalvinstskatten vid bostadsrätts- och fastighetsförsäljningar från 20 till 30 %. Sambeskattningen av makars förm</w:t>
      </w:r>
      <w:r w:rsidRPr="006C40C1">
        <w:t>ö</w:t>
      </w:r>
      <w:r w:rsidRPr="006C40C1">
        <w:softHyphen/>
        <w:t>genhet är en restprodukt i skattesystemet och bör avskaffas år 2003. Fri</w:t>
      </w:r>
      <w:r w:rsidRPr="006C40C1">
        <w:softHyphen/>
        <w:t>beloppet höjs till 2,1 miljoner kronor med sikte på ett fullständigt avskaffande av förmögenhetsska</w:t>
      </w:r>
      <w:r w:rsidRPr="006C40C1">
        <w:t>t</w:t>
      </w:r>
      <w:r w:rsidRPr="006C40C1">
        <w:t xml:space="preserve">ten. </w:t>
      </w:r>
    </w:p>
    <w:p w:rsidR="00AA5D77" w:rsidRPr="006C40C1" w:rsidRDefault="00AA5D77">
      <w:pPr>
        <w:pStyle w:val="Normaltindrag"/>
      </w:pPr>
      <w:r w:rsidRPr="006C40C1">
        <w:t>För att människor ska uppm</w:t>
      </w:r>
      <w:r w:rsidRPr="006C40C1">
        <w:t>untras att dela med sig av sitt välstånd införs en avdragsrätt för gåvor till internationellt bistånd.</w:t>
      </w:r>
    </w:p>
    <w:p w:rsidR="00AA5D77" w:rsidRPr="006C40C1" w:rsidRDefault="00AA5D77">
      <w:pPr>
        <w:pStyle w:val="Normaltindrag"/>
      </w:pPr>
      <w:r w:rsidRPr="006C40C1">
        <w:t>Motionärerna konstaterar att miljöskatterna minskat som andel av de totala skatterna och stöder förslaget om en grön skatteväxling med höjd el- och koldioxidskatt och sänkt inkomstskatt. Motionärerna anser dock att inkomst</w:t>
      </w:r>
      <w:r w:rsidRPr="006C40C1">
        <w:softHyphen/>
        <w:t>skatte</w:t>
      </w:r>
      <w:r w:rsidRPr="006C40C1">
        <w:softHyphen/>
        <w:t>sänkningen bör läggas ut mer generellt, så att den kommer alla till del.</w:t>
      </w:r>
    </w:p>
    <w:p w:rsidR="00AA5D77" w:rsidRPr="006C40C1" w:rsidRDefault="00AA5D77">
      <w:pPr>
        <w:pStyle w:val="Normaltindrag"/>
      </w:pPr>
      <w:r w:rsidRPr="006C40C1">
        <w:t xml:space="preserve">I </w:t>
      </w:r>
      <w:r w:rsidRPr="006C40C1">
        <w:rPr>
          <w:i/>
        </w:rPr>
        <w:t>Kristdemokraternas</w:t>
      </w:r>
      <w:r w:rsidRPr="006C40C1">
        <w:t xml:space="preserve"> motioner Fi233 yrkande 7 i denna del av Alf Sven</w:t>
      </w:r>
      <w:r w:rsidRPr="006C40C1">
        <w:t>s</w:t>
      </w:r>
      <w:r w:rsidRPr="006C40C1">
        <w:t>son m.fl. (kd), Fi256 yrkandena 2–7 och 23 av Alf Svensson m.fl. (kd), Fi255 yrkandena 1 och 7 av Per Landgren m.fl. (kd) samt MJ432 av Alf  Svensson m.fl. (kd) yrkande 23 anförs att syftet med skatter är att solidariskt finansiera den gemensamma välfärden samt att styra den eko</w:t>
      </w:r>
      <w:r w:rsidRPr="006C40C1">
        <w:softHyphen/>
        <w:t>nomiska utvecklingen i en socialt och ekologiskt hållbar riktning. Strävan måste vara att utforma skatt</w:t>
      </w:r>
      <w:r w:rsidRPr="006C40C1">
        <w:t>e</w:t>
      </w:r>
      <w:r w:rsidRPr="006C40C1">
        <w:t>politiken så att den stimulerar arbete, sparande, hederlighe</w:t>
      </w:r>
      <w:r w:rsidRPr="006C40C1">
        <w:t>t och företagande. En marknadsekonomi baserad på etiska princi</w:t>
      </w:r>
      <w:r w:rsidRPr="006C40C1">
        <w:softHyphen/>
        <w:t xml:space="preserve">per och styrd av ekologiska och sociala hänsyn är enligt vad som anförs i motionen den bästa grunden för ett gott samhälle. </w:t>
      </w:r>
    </w:p>
    <w:p w:rsidR="00AA5D77" w:rsidRPr="006C40C1" w:rsidRDefault="00AA5D77">
      <w:pPr>
        <w:pStyle w:val="Normaltindrag"/>
      </w:pPr>
      <w:r w:rsidRPr="006C40C1">
        <w:t>Ett viktigt mål är att skatterna utformas så att så många som möjligt, e</w:t>
      </w:r>
      <w:r w:rsidRPr="006C40C1">
        <w:t>n</w:t>
      </w:r>
      <w:r w:rsidRPr="006C40C1">
        <w:t>skilda och familjer, ska kunna leva på sin lön. För att nå detta mål föreslår motionärerna en generell inkomstskattesänkning i fyra steg. De inför ett rakt grundavdrag på 26 500 kr vid beräkningen av kommunal inkomstskatt för år 2003 och en skattereduktion på 4 000 kr för låg- och medelinkomsttagare. Den nuvarande skattereduktionen för allmän pensionsavgift ersätts med ett förvärvsavdrag på 5 % av förvärvsinkomsten. Slutligen halveras det andra steget i den statliga inkomstskatt</w:t>
      </w:r>
      <w:r w:rsidRPr="006C40C1">
        <w:t>e</w:t>
      </w:r>
      <w:r w:rsidRPr="006C40C1">
        <w:t>skalan år 2004 och slopas h</w:t>
      </w:r>
      <w:r w:rsidRPr="006C40C1">
        <w:t>elt år 2005.</w:t>
      </w:r>
    </w:p>
    <w:p w:rsidR="00AA5D77" w:rsidRPr="006C40C1" w:rsidRDefault="00AA5D77">
      <w:pPr>
        <w:pStyle w:val="Normaltindrag"/>
      </w:pPr>
      <w:r w:rsidRPr="006C40C1">
        <w:t>Andra åtgärder gäller gränsen för reseavdraget som sänks från dagens 7 000 kr till 5 000 kr och en skattereduktion på 50 % för hushållen vid köp av tjänster och större ROT-arbeten.</w:t>
      </w:r>
    </w:p>
    <w:p w:rsidR="00AA5D77" w:rsidRPr="006C40C1" w:rsidRDefault="00AA5D77">
      <w:pPr>
        <w:pStyle w:val="Normaltindrag"/>
      </w:pPr>
      <w:r w:rsidRPr="006C40C1">
        <w:t>Den statliga fastighetsskatten avskaffas. I stället ges kommunerna möjli</w:t>
      </w:r>
      <w:r w:rsidRPr="006C40C1">
        <w:t>g</w:t>
      </w:r>
      <w:r w:rsidRPr="006C40C1">
        <w:softHyphen/>
        <w:t>het att ta ut en avgift för täckande av kostnader för gatuunderhåll, brand</w:t>
      </w:r>
      <w:r w:rsidRPr="006C40C1">
        <w:softHyphen/>
        <w:t>fö</w:t>
      </w:r>
      <w:r w:rsidRPr="006C40C1">
        <w:t>r</w:t>
      </w:r>
      <w:r w:rsidRPr="006C40C1">
        <w:t xml:space="preserve">svar och annan kommunal service kopplad till fastigheten. </w:t>
      </w:r>
    </w:p>
    <w:p w:rsidR="00AA5D77" w:rsidRPr="006C40C1" w:rsidRDefault="00AA5D77">
      <w:pPr>
        <w:pStyle w:val="Normaltindrag"/>
      </w:pPr>
      <w:r w:rsidRPr="006C40C1">
        <w:t>Om Sverige långsiktigt ska vara ett land för företagande, investeringar och tillväxt går det enligt vad som anförs i motionen inte att ha kvar skatter som gör att kapital, företag och kompetens har starka incitament att lämna landet. Effekten av sambeskattningen av förmögenhet avvecklas i ett första steg helt genom att fribeloppet för sambeskattade par höjs till 3 000 00</w:t>
      </w:r>
      <w:r w:rsidRPr="006C40C1">
        <w:t>0 kr. Därefter avvecklas förmögenhetsskatten med 0,5 procentenhet per år så att den blir 1,0 % 2004 och 0,5 % 2005. Vid förmögenhetsbeskattningen återgår fasti</w:t>
      </w:r>
      <w:r w:rsidRPr="006C40C1">
        <w:t>g</w:t>
      </w:r>
      <w:r w:rsidRPr="006C40C1">
        <w:t>heternas taxeringsvärden till de värden som gällde före höjningarna från år 2000. Beskattningen på avkastning på aktier avvecklas stegvis med en halv</w:t>
      </w:r>
      <w:r w:rsidRPr="006C40C1">
        <w:t>e</w:t>
      </w:r>
      <w:r w:rsidRPr="006C40C1">
        <w:t>ring av fysiska och juridiska personers utdelningsskatt 2004 och med sikte på ett fullständigt slopande år 2005. Personer som köper nyemitterade aktier i onoterade bolag får en skattereduktion (riskkapi</w:t>
      </w:r>
      <w:r w:rsidRPr="006C40C1">
        <w:t>talavdrag). Arvs</w:t>
      </w:r>
      <w:r w:rsidRPr="006C40C1">
        <w:softHyphen/>
        <w:t>skatten på bundet kapital avskaffas vid generationsskifte. För att finansiera dessa skatt</w:t>
      </w:r>
      <w:r w:rsidRPr="006C40C1">
        <w:t>e</w:t>
      </w:r>
      <w:r w:rsidRPr="006C40C1">
        <w:t xml:space="preserve">sänkningar föreslås bl.a. en höjd bolagsskatt till 30 %. </w:t>
      </w:r>
    </w:p>
    <w:p w:rsidR="00AA5D77" w:rsidRPr="006C40C1" w:rsidRDefault="00AA5D77">
      <w:pPr>
        <w:pStyle w:val="Normaltindrag"/>
      </w:pPr>
      <w:r w:rsidRPr="006C40C1">
        <w:t>En grön skatteväxling bör genomföras och uppgå till 3 miljarder kronor i stället för den av regeringen föreslagna nivån på 2,6 miljarder kronor. El</w:t>
      </w:r>
      <w:r w:rsidRPr="006C40C1">
        <w:softHyphen/>
        <w:t>skatten höjs härvid med 2,6 öre per kWh. Utvidgningen bör enligt vad om anförs användas för att införa ett rakt grundavdrag på 26 500 kr. Eftersom Sverige redan har höga miljöskatter skulle en europeisk miniminivå för kol</w:t>
      </w:r>
      <w:r w:rsidRPr="006C40C1">
        <w:softHyphen/>
        <w:t xml:space="preserve">dioxid samtidigt förbättra svenska företags konkurrenssituation. Det är därför viktigt att övergå till majoritetsbeslut inom EU på detta område. </w:t>
      </w:r>
    </w:p>
    <w:p w:rsidR="00AA5D77" w:rsidRPr="006C40C1" w:rsidRDefault="00AA5D77">
      <w:pPr>
        <w:pStyle w:val="Normaltindrag"/>
      </w:pPr>
      <w:r w:rsidRPr="006C40C1">
        <w:t>Skattepolitiken ska vara långsiktigt stabil, enkel och främja en god ek</w:t>
      </w:r>
      <w:r w:rsidRPr="006C40C1">
        <w:t>o</w:t>
      </w:r>
      <w:r w:rsidRPr="006C40C1">
        <w:softHyphen/>
        <w:t>nomisk utveckling samt en god hushållning med skattemedlen. Därmed kan skattemoralen bibehållas och benägenheten till svartarbete min</w:t>
      </w:r>
      <w:r w:rsidRPr="006C40C1">
        <w:t>s</w:t>
      </w:r>
      <w:r w:rsidRPr="006C40C1">
        <w:t xml:space="preserve">ka. </w:t>
      </w:r>
    </w:p>
    <w:p w:rsidR="00AA5D77" w:rsidRPr="006C40C1" w:rsidRDefault="00AA5D77">
      <w:pPr>
        <w:pStyle w:val="Normaltindrag"/>
      </w:pPr>
      <w:r w:rsidRPr="006C40C1">
        <w:t xml:space="preserve">I </w:t>
      </w:r>
      <w:r w:rsidRPr="006C40C1">
        <w:rPr>
          <w:i/>
        </w:rPr>
        <w:t>Centerpartiets</w:t>
      </w:r>
      <w:r w:rsidRPr="006C40C1">
        <w:t xml:space="preserve"> motioner Fi234 yrkande 12 och Fi286 yrkande 1 av Maud Olofsson m.fl. (c) anförs att skattesystemet ska utformas så att det befrämjar arbete, företagande och tillväxt och ger goda förutsättningar för fler företag att starta och växa, större ekonomiskt utrymme för landets familjer och inri</w:t>
      </w:r>
      <w:r w:rsidRPr="006C40C1">
        <w:t>k</w:t>
      </w:r>
      <w:r w:rsidRPr="006C40C1">
        <w:softHyphen/>
        <w:t>tas på förbättringar för dem som bäst behöver ökat ekonomiskt utrymme. I ska</w:t>
      </w:r>
      <w:r w:rsidRPr="006C40C1">
        <w:t>t</w:t>
      </w:r>
      <w:r w:rsidRPr="006C40C1">
        <w:t>tepolitiken bör småföretagande, uthållig tillväxt och låg- och medel</w:t>
      </w:r>
      <w:r w:rsidRPr="006C40C1">
        <w:softHyphen/>
        <w:t>inkomsttagare samt boende prioriteras. Ett långsiktigt mål bö</w:t>
      </w:r>
      <w:r w:rsidRPr="006C40C1">
        <w:t>r vara att skatt</w:t>
      </w:r>
      <w:r w:rsidRPr="006C40C1">
        <w:t>e</w:t>
      </w:r>
      <w:r w:rsidRPr="006C40C1">
        <w:softHyphen/>
        <w:t>trycket och utgifternas andel av BNP ska ned till samma nivåer som jämfö</w:t>
      </w:r>
      <w:r w:rsidRPr="006C40C1">
        <w:t>r</w:t>
      </w:r>
      <w:r w:rsidRPr="006C40C1">
        <w:softHyphen/>
        <w:t xml:space="preserve">bara OECD-länder. </w:t>
      </w:r>
    </w:p>
    <w:p w:rsidR="00AA5D77" w:rsidRPr="006C40C1" w:rsidRDefault="00AA5D77">
      <w:pPr>
        <w:pStyle w:val="Normaltindrag"/>
      </w:pPr>
      <w:r w:rsidRPr="006C40C1">
        <w:t>De kommande åren bör en skattereform genomföras som sänker skatten för människor med låga och vanliga inkomster. År 2003 ersätts grundavdraget med en rak skatterabatt på 9 000 kr. För den som bara betalar kommunal inkomstskatt motsvarar detta ett grundavdrag på 30 000 kr. Vidare införs en förvärvsrabatt på 9 600 kr som är riktad framför allt till låginkomsttagare. Förvärvsrabatten ska enbart ges på</w:t>
      </w:r>
      <w:r w:rsidRPr="006C40C1">
        <w:t xml:space="preserve"> inkomster från förvärvsarbete eller för</w:t>
      </w:r>
      <w:r w:rsidRPr="006C40C1">
        <w:t>e</w:t>
      </w:r>
      <w:r w:rsidRPr="006C40C1">
        <w:softHyphen/>
        <w:t>tagande. En förvärvsrabatt på arbetsinkomster innebär enligt vad som anförs en kraftig stimulans för den arbetslöse att ta ett arbete och för den deltids</w:t>
      </w:r>
      <w:r w:rsidRPr="006C40C1">
        <w:softHyphen/>
        <w:t xml:space="preserve">arbetande att öka sin arbetstid. Hushållens ekonomi stärks ytterligare genom höjda reseavdrag till 20 kr per mil år 2004 som inkluderar resor till och från barnomsorg. Vidare införs en skattelättnad för ROT-arbeten och hushållsnära tjänster år 2004. </w:t>
      </w:r>
    </w:p>
    <w:p w:rsidR="00AA5D77" w:rsidRPr="006C40C1" w:rsidRDefault="00AA5D77">
      <w:pPr>
        <w:pStyle w:val="Normaltindrag"/>
      </w:pPr>
      <w:r w:rsidRPr="006C40C1">
        <w:t>Motionärerna föreslår att omräkningen vid 2003 års fastighetstaxe</w:t>
      </w:r>
      <w:r w:rsidRPr="006C40C1">
        <w:t>ring ska ske med en medianvärdesmodell där köpeskillingar i den undre och övre kvartilen räknas bort, vilket beräknas sänka taxeringsvärdena med 10 %. Härutöver bör skatteuttaget på fastigheter minskas genom att fastighetsskatten sänks till 0,9 % år 2004. I det fortsatta arbetet med att förändra fastighet</w:t>
      </w:r>
      <w:r w:rsidRPr="006C40C1">
        <w:t>s</w:t>
      </w:r>
      <w:r w:rsidRPr="006C40C1">
        <w:softHyphen/>
        <w:t>skatten omvandlas denna till en schablonintäkt som beskattas som kapital. Begränsningsregeln med dess nya form av sambeskattning behövs inte och kan avskaffas.</w:t>
      </w:r>
    </w:p>
    <w:p w:rsidR="00AA5D77" w:rsidRPr="006C40C1" w:rsidRDefault="00AA5D77">
      <w:pPr>
        <w:pStyle w:val="Normaltindrag"/>
      </w:pPr>
      <w:r w:rsidRPr="006C40C1">
        <w:t>Starka skäl talar enligt motionärerna för at</w:t>
      </w:r>
      <w:r w:rsidRPr="006C40C1">
        <w:t>t förmögenhetsskatten successivt bör fasas ut. Sambeskattningen av förmögenhet är en kvarleva från ett ga</w:t>
      </w:r>
      <w:r w:rsidRPr="006C40C1">
        <w:t>m</w:t>
      </w:r>
      <w:r w:rsidRPr="006C40C1">
        <w:t>malt patriarkalt samhälle med familjeförsörjare och bör slopas år 2003. Innan förmögenhetsskatten är helt avskaffad bör den endast beräknas på halva tax</w:t>
      </w:r>
      <w:r w:rsidRPr="006C40C1">
        <w:t>e</w:t>
      </w:r>
      <w:r w:rsidRPr="006C40C1">
        <w:t>ringsvärdet från 2003.</w:t>
      </w:r>
    </w:p>
    <w:p w:rsidR="00AA5D77" w:rsidRPr="006C40C1" w:rsidRDefault="00AA5D77">
      <w:pPr>
        <w:pStyle w:val="Normaltindrag"/>
      </w:pPr>
      <w:r w:rsidRPr="006C40C1">
        <w:t>Sparande i eget företagande underlättas genom skattebefrielse för ”starta-eget-sparande” och möjlighet att göra avdrag för personligt riskkapital. A</w:t>
      </w:r>
      <w:r w:rsidRPr="006C40C1">
        <w:t>r</w:t>
      </w:r>
      <w:r w:rsidRPr="006C40C1">
        <w:t xml:space="preserve">betsgivaravgifterna sänks för alla företag, och sänkningen utformas så att den betyder mest för de mindre företagen. </w:t>
      </w:r>
    </w:p>
    <w:p w:rsidR="00AA5D77" w:rsidRPr="006C40C1" w:rsidRDefault="00AA5D77">
      <w:pPr>
        <w:pStyle w:val="Normaltindrag"/>
      </w:pPr>
      <w:r w:rsidRPr="006C40C1">
        <w:t>Skatternas miljöstyrande effekter bör successivt öka. En skattepolitik som belönar investeringar i arbete och miljö men också styr bort från utnyttjande av ändliga naturresurser och skadliga utsläpp, bidrar till omställningen av Sverige till ett modernt land där miljöhänsyn är en avgörande del i den fra</w:t>
      </w:r>
      <w:r w:rsidRPr="006C40C1">
        <w:t>m</w:t>
      </w:r>
      <w:r w:rsidRPr="006C40C1">
        <w:softHyphen/>
        <w:t>tida tillväxten. Höjda skatter på utsläpp av kväveoxid och koldioxid i ind</w:t>
      </w:r>
      <w:r w:rsidRPr="006C40C1">
        <w:t>u</w:t>
      </w:r>
      <w:r w:rsidRPr="006C40C1">
        <w:softHyphen/>
        <w:t>strin och en skatt på förbränning av osorterat avfall finansierar delvis de sänkta arbetsgivaravgifterna. År 2004 genomförs ett pilotprojekt med bi</w:t>
      </w:r>
      <w:r w:rsidRPr="006C40C1">
        <w:t>o</w:t>
      </w:r>
      <w:r w:rsidRPr="006C40C1">
        <w:softHyphen/>
        <w:t>drivmedel, vilket subventioneras genom en skattereduktion. Den gröna se</w:t>
      </w:r>
      <w:r w:rsidRPr="006C40C1">
        <w:t>k</w:t>
      </w:r>
      <w:r w:rsidRPr="006C40C1">
        <w:softHyphen/>
        <w:t>torn ges likvärdiga konkurrensvillkor genom sänkt diesel- och kväveskatt i jordbruket.</w:t>
      </w:r>
    </w:p>
    <w:p w:rsidR="00AA5D77" w:rsidRPr="006C40C1" w:rsidRDefault="00AA5D77">
      <w:pPr>
        <w:pStyle w:val="R4"/>
      </w:pPr>
      <w:r w:rsidRPr="006C40C1">
        <w:t>Skatteutskottets yttrande</w:t>
      </w:r>
    </w:p>
    <w:p w:rsidR="00AA5D77" w:rsidRPr="006C40C1" w:rsidRDefault="00AA5D77">
      <w:r w:rsidRPr="006C40C1">
        <w:t>Enligt utskottets mening är skatternas främsta syfte att finansiera välfärden. Skatterna ska samtidigt stimulera till arbete och investeringar, till en uthållig utveckling och till minskade ekonomiska och sociala klyftor. Det kan inte accepteras att redan välbeställda i samhället får stora skattesänkningar på bekostnad av kvaliteten i vård, skola och omsorg eller att klyftorna i sam</w:t>
      </w:r>
      <w:r w:rsidRPr="006C40C1">
        <w:softHyphen/>
        <w:t>hället ökar kraftigt. Fortsatta reformer för rättvisa och tillväxt går före skatt</w:t>
      </w:r>
      <w:r w:rsidRPr="006C40C1">
        <w:t>e</w:t>
      </w:r>
      <w:r w:rsidRPr="006C40C1">
        <w:softHyphen/>
        <w:t xml:space="preserve">sänkningar. </w:t>
      </w:r>
    </w:p>
    <w:p w:rsidR="00AA5D77" w:rsidRPr="006C40C1" w:rsidRDefault="00AA5D77">
      <w:pPr>
        <w:pStyle w:val="Normaltindrag"/>
      </w:pPr>
      <w:r w:rsidRPr="006C40C1">
        <w:t>Enligt utskottets mening måste ett ställningstagande till de olika förslagen om förändringar av inkomstbeskattningen ta sin utgångspunkt i det statsfina</w:t>
      </w:r>
      <w:r w:rsidRPr="006C40C1">
        <w:t>n</w:t>
      </w:r>
      <w:r w:rsidRPr="006C40C1">
        <w:softHyphen/>
        <w:t>siella utrymmet för sådana åtgärder. Skatternas syfte är att finansiera välfä</w:t>
      </w:r>
      <w:r w:rsidRPr="006C40C1">
        <w:t>r</w:t>
      </w:r>
      <w:r w:rsidRPr="006C40C1">
        <w:softHyphen/>
        <w:t>den, och nya resurser ska i första hand användas för att öka tryggheten och rättv</w:t>
      </w:r>
      <w:r w:rsidRPr="006C40C1">
        <w:t>i</w:t>
      </w:r>
      <w:r w:rsidRPr="006C40C1">
        <w:t xml:space="preserve">san. </w:t>
      </w:r>
    </w:p>
    <w:p w:rsidR="00AA5D77" w:rsidRPr="006C40C1" w:rsidRDefault="00AA5D77">
      <w:pPr>
        <w:pStyle w:val="Normaltindrag"/>
      </w:pPr>
      <w:r w:rsidRPr="006C40C1">
        <w:t>Regeringen genomför även i år satsningar på utgiftssidan. Goda villkor för dagens unga och deras familjer är en rättvisefråga och en investering i fram</w:t>
      </w:r>
      <w:r w:rsidRPr="006C40C1">
        <w:softHyphen/>
        <w:t>tiden. Regeringen bygger därför vidare på de betydande satsningar som gjorts för barnen och deras familjer de senaste åren. Maxtaxereformens sista steg tas 2003 genom att allmän förskola införs för 4–5-åringar, föräldraförsäkringen förstärks ytterligare och den generella välfärden stärks genom att inkomst</w:t>
      </w:r>
      <w:r w:rsidRPr="006C40C1">
        <w:softHyphen/>
        <w:t>taket i föräldraförsäkringen höjs från 7,5 till 10 prisbasbelopp fr.o.m. den 1 juli nästa år. Studiebidraget utökas från 9 till 10 månader. Det innebär att barn</w:t>
      </w:r>
      <w:r w:rsidRPr="006C40C1">
        <w:softHyphen/>
        <w:t>f</w:t>
      </w:r>
      <w:r w:rsidRPr="006C40C1">
        <w:t>a</w:t>
      </w:r>
      <w:r w:rsidRPr="006C40C1">
        <w:t>miljer med en tonåring på gymnasiet får 9</w:t>
      </w:r>
      <w:r w:rsidRPr="006C40C1">
        <w:t>50 kronor mer per år.</w:t>
      </w:r>
    </w:p>
    <w:p w:rsidR="00AA5D77" w:rsidRPr="006C40C1" w:rsidRDefault="00AA5D77">
      <w:pPr>
        <w:pStyle w:val="Normaltindrag"/>
      </w:pPr>
      <w:r w:rsidRPr="006C40C1">
        <w:t>Riksdagen har under den förra mandatperioden genomfört tre av fyra steg i en reform som syftar till att inkomstbeskattningen successivt återställs till en profil som motsvarar det läge som råder när huvuddelen av de skattskyldiga endast betalar kommunal inkomstskatt och en andel kring 15 % också betalar statlig inkomstskatt. Den extra belastningen av den allmänna pensionsavgi</w:t>
      </w:r>
      <w:r w:rsidRPr="006C40C1">
        <w:t>f</w:t>
      </w:r>
      <w:r w:rsidRPr="006C40C1">
        <w:softHyphen/>
        <w:t>ten innebär en avvikelse från denna profil för skattskyldiga med arbets</w:t>
      </w:r>
      <w:r w:rsidRPr="006C40C1">
        <w:softHyphen/>
        <w:t>inkomst, och avvikelsen är mer kännbar för skattskyldiga med låga inkomster. Avvikelsen har reducerats kraftigt genom de tre steg i reformeringen av i</w:t>
      </w:r>
      <w:r w:rsidRPr="006C40C1">
        <w:t>n</w:t>
      </w:r>
      <w:r w:rsidRPr="006C40C1">
        <w:t>komstbeskattningen som genomförts. I likhet med regeringen bedömer u</w:t>
      </w:r>
      <w:r w:rsidRPr="006C40C1">
        <w:t>t</w:t>
      </w:r>
      <w:r w:rsidRPr="006C40C1">
        <w:t xml:space="preserve">skottet att ett fjärde och sista steg i reformeringen av inkomstbeskattningen bör genomföras under mandatperioden om det statsfinansiella utrymmet tillåter det. </w:t>
      </w:r>
    </w:p>
    <w:p w:rsidR="00AA5D77" w:rsidRPr="006C40C1" w:rsidRDefault="00AA5D77">
      <w:pPr>
        <w:pStyle w:val="Normaltindrag"/>
      </w:pPr>
      <w:r w:rsidRPr="006C40C1">
        <w:t>Starka och livskraftiga företag är enligt utskottets men</w:t>
      </w:r>
      <w:r w:rsidRPr="006C40C1">
        <w:t>ing av avgörande betydelse för att Sverige ska präglas av uthållig tillväxt och rättvisa. I likhet med regeringen anser utskottet att det är angeläget att förbättra de skattemä</w:t>
      </w:r>
      <w:r w:rsidRPr="006C40C1">
        <w:t>s</w:t>
      </w:r>
      <w:r w:rsidRPr="006C40C1">
        <w:softHyphen/>
        <w:t xml:space="preserve">siga villkoren för företagen. </w:t>
      </w:r>
    </w:p>
    <w:p w:rsidR="00AA5D77" w:rsidRPr="006C40C1" w:rsidRDefault="00AA5D77">
      <w:pPr>
        <w:pStyle w:val="Normaltindrag"/>
      </w:pPr>
      <w:r w:rsidRPr="006C40C1">
        <w:t>Fastighetsskatten är en del av kapitalinkomstbeskattningen och en viktig inkomstkälla för att finansiera den offentliga välfärden. Regeringen har tillsatt en parlamentarisk kommitté som ska utreda fastighetsskatten, förmögenhet</w:t>
      </w:r>
      <w:r w:rsidRPr="006C40C1">
        <w:t>s</w:t>
      </w:r>
      <w:r w:rsidRPr="006C40C1">
        <w:softHyphen/>
        <w:t xml:space="preserve">skatten samt arvs- och gåvoskatten. Uppdraget ska vara avslutat vid utgången av år 2003. Kommittén ges möjlighet att pröva lösningar som kan innebära avsteg från nu gällande principer för fastighetsbeskattningen. </w:t>
      </w:r>
    </w:p>
    <w:p w:rsidR="00AA5D77" w:rsidRPr="006C40C1" w:rsidRDefault="00AA5D77">
      <w:pPr>
        <w:pStyle w:val="Normaltindrag"/>
      </w:pPr>
      <w:r w:rsidRPr="006C40C1">
        <w:t>Den fortgående globaliseringen ställer enligt utskottets mening det svenska skattesystemet inför utmaningar. Kunskaperna om hur de svenska skatte</w:t>
      </w:r>
      <w:r w:rsidRPr="006C40C1">
        <w:softHyphen/>
        <w:t>b</w:t>
      </w:r>
      <w:r w:rsidRPr="006C40C1">
        <w:t>a</w:t>
      </w:r>
      <w:r w:rsidRPr="006C40C1">
        <w:t>serna påverkas av en alltmer internationaliserad omvärld är dock ofullstän</w:t>
      </w:r>
      <w:r w:rsidRPr="006C40C1">
        <w:softHyphen/>
        <w:t>diga och behöver förbättras. Den av regeringen tillsatta utredningen för att analysera globaliseringens betydelse för olika skattebaser lämnar sitt slutb</w:t>
      </w:r>
      <w:r w:rsidRPr="006C40C1">
        <w:t>e</w:t>
      </w:r>
      <w:r w:rsidRPr="006C40C1">
        <w:softHyphen/>
        <w:t xml:space="preserve">tänkande under hösten. </w:t>
      </w:r>
    </w:p>
    <w:p w:rsidR="00AA5D77" w:rsidRPr="006C40C1" w:rsidRDefault="00AA5D77">
      <w:pPr>
        <w:pStyle w:val="Normaltindrag"/>
      </w:pPr>
      <w:r w:rsidRPr="006C40C1">
        <w:t>Enligt utskottets mening utgör en fortsatt grön skatteväxling en central del i omvandlingen av Sverige till ett ekologiskt hållbart samhälle. Det främsta syftet med skatteväxlingen är att öka miljörelateringen av skattesystemet. Genom miljöskatter sätts e</w:t>
      </w:r>
      <w:r w:rsidRPr="006C40C1">
        <w:t>tt pris på miljön, och det blir dyrare att släppa ut föroreningar till luft eller vatten. Härigenom får hushållen ekonomiska motiv att välja en mer miljövänlig och resurssnål livsstil medan företagen stimuleras att utveckla en mer miljövänlig teknik. En grön skatteväxling innebär inte en höjning av det totala skatteuttaget då höjningar av de miljörelaterade skatterna balanseras av sänkningar av skatterna på arbete.</w:t>
      </w:r>
    </w:p>
    <w:p w:rsidR="00AA5D77" w:rsidRPr="006C40C1" w:rsidRDefault="00AA5D77">
      <w:pPr>
        <w:pStyle w:val="Normaltindrag"/>
      </w:pPr>
      <w:r w:rsidRPr="006C40C1">
        <w:t>Med det anförda ställer sig utskottet bakom den av regeringen förordade inriktningen av skatt</w:t>
      </w:r>
      <w:r w:rsidRPr="006C40C1">
        <w:t xml:space="preserve">epolitiken. </w:t>
      </w:r>
    </w:p>
    <w:p w:rsidR="00AA5D77" w:rsidRPr="006C40C1" w:rsidRDefault="00AA5D77">
      <w:pPr>
        <w:pStyle w:val="Normaltindrag"/>
      </w:pPr>
      <w:r w:rsidRPr="006C40C1">
        <w:t>I det följande går utskottet närmare in på de skatteförslag som läggs fram i de olika budgetalternativen.</w:t>
      </w:r>
    </w:p>
    <w:p w:rsidR="00AA5D77" w:rsidRPr="006C40C1" w:rsidRDefault="00AA5D77">
      <w:pPr>
        <w:pStyle w:val="R4"/>
      </w:pPr>
      <w:bookmarkStart w:id="396" w:name="_Toc24531762"/>
      <w:bookmarkStart w:id="397" w:name="_Toc25055305"/>
      <w:r w:rsidRPr="006C40C1">
        <w:t>Finansutskottets ställningstagande</w:t>
      </w:r>
    </w:p>
    <w:p w:rsidR="00AA5D77" w:rsidRPr="006C40C1" w:rsidRDefault="00AA5D77">
      <w:r w:rsidRPr="006C40C1">
        <w:t xml:space="preserve">Finansutskottet delar skatteutskottets bedömning och avstyrker motionerna Fi231 (m) yrkandena  9 och 11, Fi233 (kd) yrkande 7 i denna del, Fi234 (c) yrkande 12, Fi255 (kd) yrkandena 1 och 7, Fi256 (kd) yrkandena 2–7 och 23, Fi286 (c) yrkande 1, Sk382 (fp) yrkandena 1, 3, 4 och 26 samt MJ432 (kd) yrkande 23. </w:t>
      </w:r>
    </w:p>
    <w:p w:rsidR="00AA5D77" w:rsidRPr="006C40C1" w:rsidRDefault="00AA5D77">
      <w:pPr>
        <w:pStyle w:val="Utskottetsvervganden-RubrikFrslagspunkt"/>
      </w:pPr>
      <w:bookmarkStart w:id="398" w:name="_Toc25411147"/>
      <w:bookmarkStart w:id="399" w:name="_Toc26191471"/>
      <w:r w:rsidRPr="006C40C1">
        <w:t>3.3 Fysiska personers inkomster</w:t>
      </w:r>
      <w:bookmarkEnd w:id="398"/>
      <w:bookmarkEnd w:id="399"/>
    </w:p>
    <w:p w:rsidR="00AA5D77" w:rsidRPr="006C40C1" w:rsidRDefault="00AA5D77">
      <w:pPr>
        <w:keepNext/>
        <w:spacing w:before="360" w:line="170" w:lineRule="exact"/>
        <w:rPr>
          <w:b/>
          <w:sz w:val="17"/>
        </w:rPr>
      </w:pPr>
      <w:r w:rsidRPr="006C40C1">
        <w:rPr>
          <w:b/>
          <w:sz w:val="17"/>
        </w:rPr>
        <w:t>Tabell 39. Inkomsttitel 1111 Fysiska personers inkomstskatt</w:t>
      </w:r>
    </w:p>
    <w:p w:rsidR="00AA5D77" w:rsidRPr="006C40C1" w:rsidRDefault="006C40C1">
      <w:pPr>
        <w:keepNext/>
      </w:pPr>
      <w:r w:rsidRPr="006C40C1">
        <w:rPr>
          <w:noProof/>
        </w:rPr>
        <w:drawing>
          <wp:inline distT="0" distB="0" distL="0" distR="0">
            <wp:extent cx="3771900" cy="4800600"/>
            <wp:effectExtent l="0" t="0" r="0" b="0"/>
            <wp:docPr id="44" name="Bil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771900" cy="4800600"/>
                    </a:xfrm>
                    <a:prstGeom prst="rect">
                      <a:avLst/>
                    </a:prstGeom>
                    <a:noFill/>
                    <a:ln>
                      <a:noFill/>
                    </a:ln>
                  </pic:spPr>
                </pic:pic>
              </a:graphicData>
            </a:graphic>
          </wp:inline>
        </w:drawing>
      </w:r>
    </w:p>
    <w:p w:rsidR="00AA5D77" w:rsidRPr="006C40C1" w:rsidRDefault="00AA5D77">
      <w:pPr>
        <w:pStyle w:val="Utskottetsvervganden-RubrikFrslagspunkt"/>
      </w:pPr>
      <w:bookmarkStart w:id="400" w:name="_Toc25411148"/>
      <w:bookmarkStart w:id="401" w:name="_Toc26191472"/>
      <w:r w:rsidRPr="006C40C1">
        <w:t>3.3.1 Beskattning av förvärvsinkomster</w:t>
      </w:r>
      <w:bookmarkEnd w:id="396"/>
      <w:bookmarkEnd w:id="397"/>
      <w:bookmarkEnd w:id="400"/>
      <w:bookmarkEnd w:id="401"/>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om höjt grundavdrag med den ändring som föreslås i motion Fi230 (s, v, mp). Övriga m</w:t>
      </w:r>
      <w:r w:rsidRPr="006C40C1">
        <w:t>o</w:t>
      </w:r>
      <w:r w:rsidRPr="006C40C1">
        <w:t>tionsfö</w:t>
      </w:r>
      <w:r w:rsidRPr="006C40C1">
        <w:t>r</w:t>
      </w:r>
      <w:r w:rsidRPr="006C40C1">
        <w:t xml:space="preserve">slag avstyrks. </w:t>
      </w:r>
    </w:p>
    <w:p w:rsidR="00AA5D77" w:rsidRPr="006C40C1" w:rsidRDefault="00AA5D77">
      <w:pPr>
        <w:pStyle w:val="Utskottsfrslagikorthet-Text"/>
      </w:pPr>
      <w:r w:rsidRPr="006C40C1">
        <w:t>Jämför reservationerna 8 (m), 9 (fp), 10 (kd) och 11 (c).</w:t>
      </w:r>
    </w:p>
    <w:p w:rsidR="00AA5D77" w:rsidRPr="006C40C1" w:rsidRDefault="00AA5D77">
      <w:pPr>
        <w:pStyle w:val="R4"/>
      </w:pPr>
      <w:r w:rsidRPr="006C40C1">
        <w:t>Budgetpropositionen</w:t>
      </w:r>
    </w:p>
    <w:p w:rsidR="00AA5D77" w:rsidRPr="006C40C1" w:rsidRDefault="00AA5D77">
      <w:r w:rsidRPr="006C40C1">
        <w:t>Regeringen föreslår (avsnitt 8.2.1, punkt 27) att grundavdraget höjs med upp till 3 600 kr i inkomstskiktet 53 600–264 200 kr som ett led i en grön skatt</w:t>
      </w:r>
      <w:r w:rsidRPr="006C40C1">
        <w:t>e</w:t>
      </w:r>
      <w:r w:rsidRPr="006C40C1">
        <w:softHyphen/>
        <w:t>växling. Syftet är att rikta inkomstskattesänkningen till låg- och medel</w:t>
      </w:r>
      <w:r w:rsidRPr="006C40C1">
        <w:softHyphen/>
        <w:t>i</w:t>
      </w:r>
      <w:r w:rsidRPr="006C40C1">
        <w:t>n</w:t>
      </w:r>
      <w:r w:rsidRPr="006C40C1">
        <w:t>komsttagarna och att samtidigt förenkla grundavdragsreglerna. Föränd</w:t>
      </w:r>
      <w:r w:rsidRPr="006C40C1">
        <w:softHyphen/>
        <w:t>ringen innebär att upptrappningen av grundavdraget tidigareläggs, att den högsta nivån höjs och att nedtrappningen senar</w:t>
      </w:r>
      <w:r w:rsidRPr="006C40C1">
        <w:t>e</w:t>
      </w:r>
      <w:r w:rsidRPr="006C40C1">
        <w:t>läggs.</w:t>
      </w:r>
    </w:p>
    <w:p w:rsidR="00AA5D77" w:rsidRPr="006C40C1" w:rsidRDefault="00AA5D77">
      <w:pPr>
        <w:pStyle w:val="R4"/>
      </w:pPr>
      <w:r w:rsidRPr="006C40C1">
        <w:t>Motioner</w:t>
      </w:r>
    </w:p>
    <w:p w:rsidR="00AA5D77" w:rsidRPr="006C40C1" w:rsidRDefault="00AA5D77">
      <w:r w:rsidRPr="006C40C1">
        <w:t>I motion Fi230 yrkande 12 i denna del av Britt Bohlin m.fl. (s, v, mp) föreslår motionärerna att budgetpropositionens skatteväxling om 2,6 miljarder kronor utvidgas så att den får en total omslutning på 3 miljarder kronor och att detta sker genom att ytterligare höjningar av koldioxidskatten på bränsle och ene</w:t>
      </w:r>
      <w:r w:rsidRPr="006C40C1">
        <w:t>r</w:t>
      </w:r>
      <w:r w:rsidRPr="006C40C1">
        <w:softHyphen/>
        <w:t>giskatten på el får finansiera en ytterligare höjning av grundavdraget. Moti</w:t>
      </w:r>
      <w:r w:rsidRPr="006C40C1">
        <w:t>o</w:t>
      </w:r>
      <w:r w:rsidRPr="006C40C1">
        <w:softHyphen/>
        <w:t>närerna föreslår att grundavdraget höjs med 800 kr i det lägsta skiktet och att den efterföljande upptrappningen höjs från 17 % till 20 %, så att den högsta nivån breddas.</w:t>
      </w:r>
    </w:p>
    <w:p w:rsidR="00AA5D77" w:rsidRPr="006C40C1" w:rsidRDefault="00AA5D77">
      <w:pPr>
        <w:pStyle w:val="Normaltindrag"/>
      </w:pPr>
      <w:r w:rsidRPr="006C40C1">
        <w:t xml:space="preserve">I </w:t>
      </w:r>
      <w:r w:rsidRPr="006C40C1">
        <w:rPr>
          <w:i/>
        </w:rPr>
        <w:t>Moderata samlingspartiets</w:t>
      </w:r>
      <w:r w:rsidRPr="006C40C1">
        <w:t xml:space="preserve"> motion Fi287 yrkandena 1–7 och 33 av Le</w:t>
      </w:r>
      <w:r w:rsidRPr="006C40C1">
        <w:t>n</w:t>
      </w:r>
      <w:r w:rsidRPr="006C40C1">
        <w:t>nart Hedquist m.fl. (m) föreslår motionärerna en inkomstskattereform i fyra delar. År 2003 införs ett grundavdrag på 23 000 kr som år 2004 höjs till 24 200 kr. Grundavdraget trappas upp med 20 % över 70 000 kr och trappas ned med 10 % över 120 000 kr. Över 170 000 kr uppgår grundavdraget till 18 200 kr respektive 19 200 kr. Vidare införs ett förvärvsavdrag med 13 % av den pensionsgrundande inkomsten. Skiktgränsen för den statliga inkoms</w:t>
      </w:r>
      <w:r w:rsidRPr="006C40C1">
        <w:t>t</w:t>
      </w:r>
      <w:r w:rsidRPr="006C40C1">
        <w:t>skatt</w:t>
      </w:r>
      <w:r w:rsidRPr="006C40C1">
        <w:t>en höjs till den övre gränsen för uttag av allmän pensionsavgift, och det andra steget i den statliga inkomstskatteskalan slopas. Kompensationen för den allmänna pensionsavgiften slopas, och avgiften blir avdragsgill fullt ut. Ett grundavdrag på 12 000 kr per barn införs och höjs år 2004 till 15 000 kr. Skattereduktionen för utländska experter avska</w:t>
      </w:r>
      <w:r w:rsidRPr="006C40C1">
        <w:t>f</w:t>
      </w:r>
      <w:r w:rsidRPr="006C40C1">
        <w:t xml:space="preserve">fas. </w:t>
      </w:r>
    </w:p>
    <w:p w:rsidR="00AA5D77" w:rsidRPr="006C40C1" w:rsidRDefault="00AA5D77">
      <w:pPr>
        <w:pStyle w:val="Normaltindrag"/>
      </w:pPr>
      <w:r w:rsidRPr="006C40C1">
        <w:t xml:space="preserve">I </w:t>
      </w:r>
      <w:r w:rsidRPr="006C40C1">
        <w:rPr>
          <w:i/>
        </w:rPr>
        <w:t>Folkpartiet liberalernas</w:t>
      </w:r>
      <w:r w:rsidRPr="006C40C1">
        <w:t xml:space="preserve"> motion Sk382 yrkande 2 av Lars Leijonborg m.fl. (fp) föreslår motionärerna att brytpunkten för statlig skatt höjs till grä</w:t>
      </w:r>
      <w:r w:rsidRPr="006C40C1">
        <w:t>n</w:t>
      </w:r>
      <w:r w:rsidRPr="006C40C1">
        <w:t>sen för uttag av allmän pensionsavgift för att undvika att personer som betalar både statlig skatt och egenavgifter får marginaleffekter om ca 55 %. I ett första steg höjs brytpunkten till 312 000 kr år 2003. På sikt är avsikten att bara 10 % av de skattskyldiga ska betala statlig skatt. Det andra steget i den statliga inkomstskatteskalan slopas eftersom denna b</w:t>
      </w:r>
      <w:r w:rsidRPr="006C40C1">
        <w:t>eskattning enligt vad som anförs leder till flykt av människor med goda kunskaper till andra länder. Ett förvärvsavdrag mot kommunalskatten införs och uppgår till 3 % av i</w:t>
      </w:r>
      <w:r w:rsidRPr="006C40C1">
        <w:t>n</w:t>
      </w:r>
      <w:r w:rsidRPr="006C40C1">
        <w:t xml:space="preserve">komsten. En skattereduktion garanterar att alla får del av en skattesänkning och uppgår till 300 kr per person år 2003 och stiger till 600 kr år 2004. </w:t>
      </w:r>
    </w:p>
    <w:p w:rsidR="00AA5D77" w:rsidRPr="006C40C1" w:rsidRDefault="00AA5D77">
      <w:pPr>
        <w:pStyle w:val="Normaltindrag"/>
      </w:pPr>
      <w:r w:rsidRPr="006C40C1">
        <w:t xml:space="preserve">I </w:t>
      </w:r>
      <w:r w:rsidRPr="006C40C1">
        <w:rPr>
          <w:i/>
        </w:rPr>
        <w:t>Kristdemokraternas</w:t>
      </w:r>
      <w:r w:rsidRPr="006C40C1">
        <w:t xml:space="preserve"> motioner Fi256 yrkandena 8–11 och 33 av Alf Svensson m.fl. (kd) och Fi255 yrkandena 2–5 och 8 av Per Landgren m.fl. (kd) föreslås en generell inkomstskattesänkning i fyra steg. År 2003 införs ett rakt grundavdrag på 26 500 kr vid beräkningen av kommunal inkomstskatt. En skattereduktion på 4 000 kr utgår upp till en inkomst på 276 000 kr och avtrappas sedan för att upphöra vid 436 000 kr. Den nuvarande skatteredu</w:t>
      </w:r>
      <w:r w:rsidRPr="006C40C1">
        <w:t>k</w:t>
      </w:r>
      <w:r w:rsidRPr="006C40C1">
        <w:softHyphen/>
        <w:t>tionen för allmän pensionsavgift ersätts med ett förvärvsavdrag på 5 % av in</w:t>
      </w:r>
      <w:r w:rsidRPr="006C40C1">
        <w:t>komst av anställning och näringsverksamhet. Det andra steget i den statliga inkoms</w:t>
      </w:r>
      <w:r w:rsidRPr="006C40C1">
        <w:t>t</w:t>
      </w:r>
      <w:r w:rsidRPr="006C40C1">
        <w:t>skatteskalan halveras år 2004 och slopas helt år 2005.</w:t>
      </w:r>
    </w:p>
    <w:p w:rsidR="00AA5D77" w:rsidRPr="006C40C1" w:rsidRDefault="00AA5D77">
      <w:pPr>
        <w:pStyle w:val="Normaltindrag"/>
      </w:pPr>
      <w:r w:rsidRPr="006C40C1">
        <w:t xml:space="preserve">I </w:t>
      </w:r>
      <w:r w:rsidRPr="006C40C1">
        <w:rPr>
          <w:i/>
        </w:rPr>
        <w:t>Centerpartiets</w:t>
      </w:r>
      <w:r w:rsidRPr="006C40C1">
        <w:t xml:space="preserve"> motion Fi286 yrkandena 2–4 av Maud Olofsson m.fl. (c) föreslås att grundavdraget år 2003 ersätts med en rak skatterabatt på 9 000 kr. För den som bara betalar kommunal inkomstskatt motsvarar detta ett grun</w:t>
      </w:r>
      <w:r w:rsidRPr="006C40C1">
        <w:t>d</w:t>
      </w:r>
      <w:r w:rsidRPr="006C40C1">
        <w:softHyphen/>
        <w:t>avdrag på ca 30 000 kr. Vidare införs en förvärvsrabatt som fasas in med 10 % av inkomsten upp till 96 000 kr och som fasas ut med 5 % av inkomsten över 180 000 kr. Förvärvsrabatten ska enbart ges på inkomster från fö</w:t>
      </w:r>
      <w:r w:rsidRPr="006C40C1">
        <w:t>r</w:t>
      </w:r>
      <w:r w:rsidRPr="006C40C1">
        <w:softHyphen/>
        <w:t>värvsarbete eller företagande. Skattereduktionen för den allmänna pensi</w:t>
      </w:r>
      <w:r w:rsidRPr="006C40C1">
        <w:t>on</w:t>
      </w:r>
      <w:r w:rsidRPr="006C40C1">
        <w:t>s</w:t>
      </w:r>
      <w:r w:rsidRPr="006C40C1">
        <w:softHyphen/>
        <w:t>avgiften slopas och avgiften blir avdragsgill fullt ut.</w:t>
      </w:r>
    </w:p>
    <w:p w:rsidR="00AA5D77" w:rsidRPr="006C40C1" w:rsidRDefault="00AA5D77">
      <w:pPr>
        <w:pStyle w:val="R4"/>
      </w:pPr>
      <w:r w:rsidRPr="006C40C1">
        <w:t>Skatteutskottets yttrande</w:t>
      </w:r>
    </w:p>
    <w:p w:rsidR="00AA5D77" w:rsidRPr="006C40C1" w:rsidRDefault="00AA5D77">
      <w:r w:rsidRPr="006C40C1">
        <w:t>Skatteutskottet anför i sitt yttrande att grunden för den gröna skatteväxlingen är att höjda skatter på energi- och miljöområdet ska växlas mot sänkta skatter på arbete och att skatten på arbete 2001 och 2002 sänkts genom höjda grun</w:t>
      </w:r>
      <w:r w:rsidRPr="006C40C1">
        <w:t>d</w:t>
      </w:r>
      <w:r w:rsidRPr="006C40C1">
        <w:t>avdrag i inkomstbeskattningen och sänkta socialavgifter som en del i en sådan grön skatteväxling.</w:t>
      </w:r>
    </w:p>
    <w:p w:rsidR="00AA5D77" w:rsidRPr="006C40C1" w:rsidRDefault="00AA5D77">
      <w:pPr>
        <w:pStyle w:val="Normaltindrag"/>
      </w:pPr>
      <w:r w:rsidRPr="006C40C1">
        <w:t>Utskottet konstaterar att det förslag som läggs fram i budgetpropositionen och motion Fi230 för år 2003 innebär att ett tredje steg tas i skatteväxlingen och att det utrymme på 3 miljarder kronor för skattesänkningar på arbete som därigenom skapas utnyttjas till att höja grundavdraget för låg- och medeli</w:t>
      </w:r>
      <w:r w:rsidRPr="006C40C1">
        <w:t>n</w:t>
      </w:r>
      <w:r w:rsidRPr="006C40C1">
        <w:t>komsttagare. Förslaget innebär att grundavdraget höjs för personer med i</w:t>
      </w:r>
      <w:r w:rsidRPr="006C40C1">
        <w:t>n</w:t>
      </w:r>
      <w:r w:rsidRPr="006C40C1">
        <w:t>komster upp till 264 200 kr. Vid de lägsta inkomsterna är höjningen 800 kr och i inkomst</w:t>
      </w:r>
      <w:r w:rsidRPr="006C40C1">
        <w:softHyphen/>
        <w:t>skiktet mellan 57 900 kr och 264 200 är större höjningar möjl</w:t>
      </w:r>
      <w:r w:rsidRPr="006C40C1">
        <w:t>i</w:t>
      </w:r>
      <w:r w:rsidRPr="006C40C1">
        <w:t>ga. Den maxi</w:t>
      </w:r>
      <w:r w:rsidRPr="006C40C1">
        <w:softHyphen/>
        <w:t>mala höjningen uppgår till 3 600 kr. Eftersom pensionärer följer samma skatteregler som löntagare fr.o.m. år 2003 berör de föreslagna juste</w:t>
      </w:r>
      <w:r w:rsidRPr="006C40C1">
        <w:t>r</w:t>
      </w:r>
      <w:r w:rsidRPr="006C40C1">
        <w:t>ingarna i grundavdraget även pe</w:t>
      </w:r>
      <w:r w:rsidRPr="006C40C1">
        <w:t>n</w:t>
      </w:r>
      <w:r w:rsidRPr="006C40C1">
        <w:t>sionärer.</w:t>
      </w:r>
    </w:p>
    <w:p w:rsidR="00AA5D77" w:rsidRPr="006C40C1" w:rsidRDefault="00AA5D77">
      <w:pPr>
        <w:pStyle w:val="Normaltindrag"/>
      </w:pPr>
      <w:r w:rsidRPr="006C40C1">
        <w:t>Utskottet har inte funnit någon anledning till erinran mot den utformning av grundavdraget s</w:t>
      </w:r>
      <w:r w:rsidRPr="006C40C1">
        <w:t>om föreslås i budgetpropositionen och motion Fi230 och tillstyrker att förslaget genomförs. Eftersom grundavdragets nivå är kopplad till gränsen för uttag av allmän pensionsavgift, statlig ålderspensionsavgift och gränsen för pensions</w:t>
      </w:r>
      <w:r w:rsidRPr="006C40C1">
        <w:softHyphen/>
        <w:t>grundande inkomst föreslår utskottet att även dessa regler ändras och att gränsen för deklarationsplikt höjs. Övriga motionsyrka</w:t>
      </w:r>
      <w:r w:rsidRPr="006C40C1">
        <w:t>n</w:t>
      </w:r>
      <w:r w:rsidRPr="006C40C1">
        <w:t xml:space="preserve">den avstyrks. </w:t>
      </w:r>
    </w:p>
    <w:p w:rsidR="00AA5D77" w:rsidRPr="006C40C1" w:rsidRDefault="00AA5D77">
      <w:pPr>
        <w:pStyle w:val="R4"/>
      </w:pPr>
      <w:bookmarkStart w:id="402" w:name="_Toc24531763"/>
      <w:bookmarkStart w:id="403" w:name="_Toc25055306"/>
      <w:r w:rsidRPr="006C40C1">
        <w:t>Socialförsäkringsutskottets yttrande</w:t>
      </w:r>
    </w:p>
    <w:p w:rsidR="00AA5D77" w:rsidRPr="006C40C1" w:rsidRDefault="00AA5D77">
      <w:r w:rsidRPr="006C40C1">
        <w:t>Socialförsäkringsutskottet går i sitt yttrande närmare in på förslaget om höjt grundavdrag och anför fö</w:t>
      </w:r>
      <w:r w:rsidRPr="006C40C1">
        <w:t>l</w:t>
      </w:r>
      <w:r w:rsidRPr="006C40C1">
        <w:t xml:space="preserve">jande. </w:t>
      </w:r>
    </w:p>
    <w:p w:rsidR="00AA5D77" w:rsidRPr="006C40C1" w:rsidRDefault="00AA5D77">
      <w:pPr>
        <w:pStyle w:val="LagtextIndrag"/>
        <w:spacing w:line="240" w:lineRule="atLeast"/>
      </w:pPr>
      <w:r w:rsidRPr="006C40C1">
        <w:t>För varje år som en person har varit försäkrad och har haft inkomster här i landet som är pensionsgrundande, ska hans eller hennes pensionsgrundande inkomst fastställas. Detta gäller dock endast om summan av de inkomster som är pensionsgrundande uppgått till minst 40,3 % av det för intjänandeåret gällande prisbasbeloppet enligt lagen (1962:381) om allmän försäkring.</w:t>
      </w:r>
    </w:p>
    <w:p w:rsidR="00AA5D77" w:rsidRPr="006C40C1" w:rsidRDefault="00AA5D77">
      <w:pPr>
        <w:pStyle w:val="LagtextIndrag"/>
        <w:spacing w:line="240" w:lineRule="atLeast"/>
      </w:pPr>
      <w:r w:rsidRPr="006C40C1">
        <w:t>Allmän pensionsavgift tas ut för finansiering av försäkringen för inkoms</w:t>
      </w:r>
      <w:r w:rsidRPr="006C40C1">
        <w:t>t</w:t>
      </w:r>
      <w:r w:rsidRPr="006C40C1">
        <w:t>pension och tilläggspension enligt lagen (1998:674) om inkomstgrundad ålderspension och tilläggspension i form av ålderspension enligt lagen (1962:381) om allmän försäkring. Avgiften betalas av den enskilde och b</w:t>
      </w:r>
      <w:r w:rsidRPr="006C40C1">
        <w:t>e</w:t>
      </w:r>
      <w:r w:rsidRPr="006C40C1">
        <w:t>räknas på ett underlag som består av inkomst av anställning och inkomst av annat förvärvsarbete till den del summan av inkomsterna inte överstiger 8,07 förhöjda prisbasbelopp. Avgiften utgör för närvarande 7 % av avgiftsunderl</w:t>
      </w:r>
      <w:r w:rsidRPr="006C40C1">
        <w:t>a</w:t>
      </w:r>
      <w:r w:rsidRPr="006C40C1">
        <w:t>get. Avgiften betalas inte av den vars inkomster för året understiger 4</w:t>
      </w:r>
      <w:r w:rsidRPr="006C40C1">
        <w:t xml:space="preserve">0,3 % av prisbasbeloppet. </w:t>
      </w:r>
    </w:p>
    <w:p w:rsidR="00AA5D77" w:rsidRPr="006C40C1" w:rsidRDefault="00AA5D77">
      <w:pPr>
        <w:pStyle w:val="LagtextIndrag"/>
        <w:spacing w:line="240" w:lineRule="atLeast"/>
      </w:pPr>
      <w:r w:rsidRPr="006C40C1">
        <w:t>Statlig ålderspensionsavgift tas ut för finansiering av försäkringen för i</w:t>
      </w:r>
      <w:r w:rsidRPr="006C40C1">
        <w:t>n</w:t>
      </w:r>
      <w:r w:rsidRPr="006C40C1">
        <w:t>komstgrundad ålderspension. Avgiften betalas med 10,21 % på vissa socia</w:t>
      </w:r>
      <w:r w:rsidRPr="006C40C1">
        <w:t>l</w:t>
      </w:r>
      <w:r w:rsidRPr="006C40C1">
        <w:t>försäkringsersättningar m.m. till den del dessa ersättningar tillsammans med övriga pensionsgrundande inkomster inte överstiger 8,07 inkomstbasbelopp. Dessutom ska statlig ålderspensionsavgift betalas på pensionsgrundande belopp (fiktiv inkomst som grundar pensionsrätt bl.a. för föräldrar till små barn) och fr.o.m. 2003 på inkomstrelaterad ålderspension och inkomstrelat</w:t>
      </w:r>
      <w:r w:rsidRPr="006C40C1">
        <w:t>e</w:t>
      </w:r>
      <w:r w:rsidRPr="006C40C1">
        <w:t>rad sjukersättning samt inkomstrelaterad aktivitetsersättning enli</w:t>
      </w:r>
      <w:r w:rsidRPr="006C40C1">
        <w:t>gt 8 kap. lagen (1962:381) om allmän försäkring med 18,5 %. Avgiften betalas inte på ersättningar och inkomster som för året understiger 40,3 % av prisbasbelo</w:t>
      </w:r>
      <w:r w:rsidRPr="006C40C1">
        <w:t>p</w:t>
      </w:r>
      <w:r w:rsidRPr="006C40C1">
        <w:t>pet.</w:t>
      </w:r>
    </w:p>
    <w:p w:rsidR="00AA5D77" w:rsidRPr="006C40C1" w:rsidRDefault="00AA5D77">
      <w:pPr>
        <w:pStyle w:val="LagtextIndrag"/>
        <w:spacing w:line="240" w:lineRule="atLeast"/>
      </w:pPr>
      <w:r w:rsidRPr="006C40C1">
        <w:t>Enligt nuvarande bestämmelser i lagen (2001:1227) om självdeklaration och kontrolluppgifter är bl.a. fysisk person skyldig att lämna självdeklaration när hans eller hennes intäkter av tjänst och av aktiv näringsverksamhet under beskattningsåret uppgått till sammanlagt minst 40,3 % av prisbasbeloppet. Det innebär att inkomster som understiger denn</w:t>
      </w:r>
      <w:r w:rsidRPr="006C40C1">
        <w:t>a gräns inte läggs till grund för taxering. Socialförsäkringsutskottet anför att en höjning av det allmänna grundavdraget från 40,3 % till 42,3 % av prisbasbeloppet bör få till följd att gränsen för skyldigheten att lämna självdeklaration och kontrolluppgift ska höjas till 42,3 % av prisbasbeloppet. Därmed kommer inkomster som unde</w:t>
      </w:r>
      <w:r w:rsidRPr="006C40C1">
        <w:t>r</w:t>
      </w:r>
      <w:r w:rsidRPr="006C40C1">
        <w:t>stiger de</w:t>
      </w:r>
      <w:r w:rsidRPr="006C40C1">
        <w:t>n</w:t>
      </w:r>
      <w:r w:rsidRPr="006C40C1">
        <w:t xml:space="preserve">na gräns inte att läggas till grund för taxering. </w:t>
      </w:r>
    </w:p>
    <w:p w:rsidR="00AA5D77" w:rsidRPr="006C40C1" w:rsidRDefault="00AA5D77">
      <w:pPr>
        <w:pStyle w:val="LagtextIndrag"/>
        <w:spacing w:line="240" w:lineRule="atLeast"/>
      </w:pPr>
      <w:r w:rsidRPr="006C40C1">
        <w:t xml:space="preserve">Eftersom taxeringen tjänar som underlag för beräkning av avgifter och av pensionsgrundande inkomst tvingas utskottet </w:t>
      </w:r>
      <w:r w:rsidRPr="006C40C1">
        <w:t>konstatera att ett höjt allmänt grundavdrag medför att den nedre inkomstgränsen för betalning av allmän pensionsavgift och statlig ålderspensionsavgift måste höjas i motsvarande mån och att detsamma gäller för gränsen för fastställande av pension</w:t>
      </w:r>
      <w:r w:rsidRPr="006C40C1">
        <w:t>s</w:t>
      </w:r>
      <w:r w:rsidRPr="006C40C1">
        <w:t>grundande inkomst.</w:t>
      </w:r>
    </w:p>
    <w:p w:rsidR="00AA5D77" w:rsidRPr="006C40C1" w:rsidRDefault="00AA5D77">
      <w:pPr>
        <w:pStyle w:val="LagtextIndrag"/>
        <w:spacing w:line="240" w:lineRule="atLeast"/>
      </w:pPr>
      <w:r w:rsidRPr="006C40C1">
        <w:t>Utskottet har i yttrande 2001/02:SfU1y kommenterat de då föreslagna än</w:t>
      </w:r>
      <w:r w:rsidRPr="006C40C1">
        <w:t>d</w:t>
      </w:r>
      <w:r w:rsidRPr="006C40C1">
        <w:t>ringarna av den pensionsgrundande inkomsten och pensionsavgifterna till följd av en höjning av det allmänna grundavdraget till nuvarande 40,3 % av prisbasbeloppet. Utskottet ansåg det olyckligt om en annars vällovlig skatt</w:t>
      </w:r>
      <w:r w:rsidRPr="006C40C1">
        <w:t>e</w:t>
      </w:r>
      <w:r w:rsidRPr="006C40C1">
        <w:t>växling ledde till att enskilda personers ålderspension påverkades. Även om förslagen innebar att pensionsavgift inte skulle betalas om inkomsterna u</w:t>
      </w:r>
      <w:r w:rsidRPr="006C40C1">
        <w:t>n</w:t>
      </w:r>
      <w:r w:rsidRPr="006C40C1">
        <w:t>dersteg detta belopp, kunde förändringar av grundavdraget och därmed dekl</w:t>
      </w:r>
      <w:r w:rsidRPr="006C40C1">
        <w:t>a</w:t>
      </w:r>
      <w:r w:rsidRPr="006C40C1">
        <w:t>rationsskyldigheten medföra att enskilda personer fick svårt att</w:t>
      </w:r>
      <w:r w:rsidRPr="006C40C1">
        <w:t xml:space="preserve"> bilda sig en uppfattning om vilka inkomster som skulle komma att läggas till grund för den framtida pensionen. Utskottet godtog dock regeringens förslag om höjd gräns för fastställande av pensionsgrundande inkomst liksom förslagen avs</w:t>
      </w:r>
      <w:r w:rsidRPr="006C40C1">
        <w:t>e</w:t>
      </w:r>
      <w:r w:rsidRPr="006C40C1">
        <w:t>ende pensionsavgifterna. Om ytterligare höjning av det allmänna grundavdr</w:t>
      </w:r>
      <w:r w:rsidRPr="006C40C1">
        <w:t>a</w:t>
      </w:r>
      <w:r w:rsidRPr="006C40C1">
        <w:t xml:space="preserve">get skulle bli aktuell, fanns det, enligt utskottets mening, skäl att överväga om den indirekta kopplingen mellan ett höjt grundavdrag och den nedre gränsen för att fastställa pensionsgrundande inkomst </w:t>
      </w:r>
      <w:r w:rsidRPr="006C40C1">
        <w:t>kan bibehållas. Med detta påp</w:t>
      </w:r>
      <w:r w:rsidRPr="006C40C1">
        <w:t>e</w:t>
      </w:r>
      <w:r w:rsidRPr="006C40C1">
        <w:t xml:space="preserve">kande tillstyrkte utskottet regeringens förslag till ändringar i lagen om allmän pensionsavgift, lagen om inkomstgrundad ålderspension och lagen om statlig ålderspensionsavgift. </w:t>
      </w:r>
    </w:p>
    <w:p w:rsidR="00AA5D77" w:rsidRPr="006C40C1" w:rsidRDefault="00AA5D77">
      <w:pPr>
        <w:pStyle w:val="LagtextIndrag"/>
        <w:spacing w:line="240" w:lineRule="atLeast"/>
      </w:pPr>
      <w:r w:rsidRPr="006C40C1">
        <w:t>Enligt utskottets mening bör en höjning av det allmänna grundavdraget från 40,3 % till 42,3 % av prisbasbeloppet medföra att riksdagen antar motsvara</w:t>
      </w:r>
      <w:r w:rsidRPr="006C40C1">
        <w:t>n</w:t>
      </w:r>
      <w:r w:rsidRPr="006C40C1">
        <w:t>de följdändringar vad avser pensionsgrundande inkomst, allmän pensionsa</w:t>
      </w:r>
      <w:r w:rsidRPr="006C40C1">
        <w:t>v</w:t>
      </w:r>
      <w:r w:rsidRPr="006C40C1">
        <w:t>gift och statlig ålderspensionsavgift. Utskottet anser vidare att regeringen bör överväga om den indirekta kopplingen mellan ett höjt grundavdrag och den nedre gränsen för att fastställa pensionsgrundande inkomst ska bibehållas. Socialförsäkringsutskottet föreslår att det sistnämnda ges regeringen till kä</w:t>
      </w:r>
      <w:r w:rsidRPr="006C40C1">
        <w:t>n</w:t>
      </w:r>
      <w:r w:rsidRPr="006C40C1">
        <w:t xml:space="preserve">na. </w:t>
      </w:r>
    </w:p>
    <w:p w:rsidR="00AA5D77" w:rsidRPr="006C40C1" w:rsidRDefault="00AA5D77">
      <w:pPr>
        <w:pStyle w:val="R4"/>
        <w:spacing w:line="240" w:lineRule="atLeast"/>
      </w:pPr>
      <w:r w:rsidRPr="006C40C1">
        <w:t>Finansutskottets ställningstagande</w:t>
      </w:r>
    </w:p>
    <w:p w:rsidR="00AA5D77" w:rsidRPr="006C40C1" w:rsidRDefault="00AA5D77">
      <w:pPr>
        <w:spacing w:line="240" w:lineRule="atLeast"/>
      </w:pPr>
      <w:r w:rsidRPr="006C40C1">
        <w:t>Finansutskottet delar skatteutskottets och socialförsäkringsutskottets bedö</w:t>
      </w:r>
      <w:r w:rsidRPr="006C40C1">
        <w:t>m</w:t>
      </w:r>
      <w:r w:rsidRPr="006C40C1">
        <w:t>ningar och tillstyrker propositionen punkt 27 med den ändring som föreslås i motion Fi230 (s, v, mp) yrkande 12 och de följdändringar som skatte- och socialförsäkringsutskotten rekommenderar i sina yttranden. De budgetmäss</w:t>
      </w:r>
      <w:r w:rsidRPr="006C40C1">
        <w:t>i</w:t>
      </w:r>
      <w:r w:rsidRPr="006C40C1">
        <w:t>ga effekterna av utskottets ställningstagande framgår av avsnitt 3.11 Berä</w:t>
      </w:r>
      <w:r w:rsidRPr="006C40C1">
        <w:t>k</w:t>
      </w:r>
      <w:r w:rsidRPr="006C40C1">
        <w:t>ning av statsbudgetens i</w:t>
      </w:r>
      <w:r w:rsidRPr="006C40C1">
        <w:t>n</w:t>
      </w:r>
      <w:r w:rsidRPr="006C40C1">
        <w:t>komster för 2003.</w:t>
      </w:r>
    </w:p>
    <w:p w:rsidR="00AA5D77" w:rsidRPr="006C40C1" w:rsidRDefault="00AA5D77">
      <w:pPr>
        <w:pStyle w:val="LagtextIndrag"/>
        <w:spacing w:line="240" w:lineRule="atLeast"/>
      </w:pPr>
      <w:r w:rsidRPr="006C40C1">
        <w:t>I likhet med socialförsäkringsutskottet anser finansutskottet att regeringen bör överväga om den indirekta kopplingen mellan ett höjt grundavdrag och den nedre gränsen fö</w:t>
      </w:r>
      <w:r w:rsidRPr="006C40C1">
        <w:t xml:space="preserve">r att fastställa pensionsgrundande inkomst ska bibehållas. Det anförda bör riksdagen som sin mening ge regeringen till känna. </w:t>
      </w:r>
    </w:p>
    <w:p w:rsidR="00AA5D77" w:rsidRPr="006C40C1" w:rsidRDefault="00AA5D77">
      <w:pPr>
        <w:pStyle w:val="Normaltindrag"/>
        <w:spacing w:line="240" w:lineRule="atLeast"/>
      </w:pPr>
      <w:r w:rsidRPr="006C40C1">
        <w:t>Utskottet avstyrker motionerna Fi256 (kd) yrkandena 8–10, 11 i denna del och 33, Fi255 (kd) yrkandena 2–4, 5 och 8, Fi286 (c) yrkandena 2–4, Fi287 (m) yrkandena 1</w:t>
      </w:r>
      <w:r w:rsidRPr="006C40C1">
        <w:softHyphen/>
        <w:t xml:space="preserve">–7 och 33 samt Sk382 (fp) yrkande 2. En samlad redovisning av de lagändringar som utskottets ställningstaganden medför finns under rubriken Lagförslagen. </w:t>
      </w:r>
    </w:p>
    <w:p w:rsidR="00AA5D77" w:rsidRPr="006C40C1" w:rsidRDefault="00AA5D77">
      <w:pPr>
        <w:pStyle w:val="Utskottetsvervganden-RubrikFrslagspunkt"/>
      </w:pPr>
      <w:bookmarkStart w:id="404" w:name="_Toc25411149"/>
      <w:bookmarkStart w:id="405" w:name="_Toc26191473"/>
      <w:r w:rsidRPr="006C40C1">
        <w:t>3.3.2 Det fasta beloppet vid beskattning av förvärvsinkomst</w:t>
      </w:r>
      <w:bookmarkEnd w:id="402"/>
      <w:bookmarkEnd w:id="403"/>
      <w:bookmarkEnd w:id="404"/>
      <w:bookmarkEnd w:id="405"/>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om att det fasta beloppet på 200 kr ska anses utgöra en kommunal inkomstskatt även vid 2004 års taxering.</w:t>
      </w:r>
    </w:p>
    <w:p w:rsidR="00AA5D77" w:rsidRPr="006C40C1" w:rsidRDefault="00AA5D77">
      <w:pPr>
        <w:pStyle w:val="R4"/>
      </w:pPr>
      <w:r w:rsidRPr="006C40C1">
        <w:t>Budgetpropositionen</w:t>
      </w:r>
    </w:p>
    <w:p w:rsidR="00AA5D77" w:rsidRPr="006C40C1" w:rsidRDefault="00AA5D77">
      <w:r w:rsidRPr="006C40C1">
        <w:t>Regeringen föreslår (avsnitt 8.2.3, punkt 31) att det fasta belopp på 200 kr som utgår vid statliga beskattningen av förvärvsinkomster ska utgöra en kommunal inkomstskatt även vid 2004 års taxering.</w:t>
      </w:r>
    </w:p>
    <w:p w:rsidR="00AA5D77" w:rsidRPr="006C40C1" w:rsidRDefault="00AA5D77">
      <w:pPr>
        <w:pStyle w:val="Normaltindrag"/>
      </w:pPr>
      <w:r w:rsidRPr="006C40C1">
        <w:t>Regeringen anför att den statliga skatten om 200 kr under några års tid har beslutats utgöra en kommunal inkomstskatt och att detta har motiverats med kommunernas och landstingens behov av medelsförstärkning. Regeringen konstaterar att kommunerna har ett visst behov av medelsförstärkning även år 2003 och föreslår därför att den fasta skatten om 200 kr ska utgöra en ko</w:t>
      </w:r>
      <w:r w:rsidRPr="006C40C1">
        <w:t>m</w:t>
      </w:r>
      <w:r w:rsidRPr="006C40C1">
        <w:softHyphen/>
        <w:t xml:space="preserve">munal inkomstkatt också vid 2004 års inkomsttaxering. </w:t>
      </w:r>
    </w:p>
    <w:p w:rsidR="00AA5D77" w:rsidRPr="006C40C1" w:rsidRDefault="00AA5D77">
      <w:pPr>
        <w:pStyle w:val="R4"/>
      </w:pPr>
      <w:r w:rsidRPr="006C40C1">
        <w:t>Skatteutskottets yttrande</w:t>
      </w:r>
    </w:p>
    <w:p w:rsidR="00AA5D77" w:rsidRPr="006C40C1" w:rsidRDefault="00AA5D77">
      <w:r w:rsidRPr="006C40C1">
        <w:t>Skatteutskottet har inte funnit någon anledning till erinran mot förslaget och tillstyrker propositionen i denna del.</w:t>
      </w:r>
    </w:p>
    <w:p w:rsidR="00AA5D77" w:rsidRPr="006C40C1" w:rsidRDefault="00AA5D77">
      <w:pPr>
        <w:pStyle w:val="R4"/>
      </w:pPr>
      <w:bookmarkStart w:id="406" w:name="_Toc24531764"/>
      <w:bookmarkStart w:id="407" w:name="_Toc25055307"/>
      <w:r w:rsidRPr="006C40C1">
        <w:t>Finansutskottets ställningstagande</w:t>
      </w:r>
    </w:p>
    <w:p w:rsidR="00AA5D77" w:rsidRPr="006C40C1" w:rsidRDefault="00AA5D77">
      <w:r w:rsidRPr="006C40C1">
        <w:t xml:space="preserve">Finansutskottet har i likhet med skatteutskottet inte funnit någon anledning till erinran mot förslaget och tillstyrker propositionen punkt 31. </w:t>
      </w:r>
    </w:p>
    <w:p w:rsidR="00AA5D77" w:rsidRPr="006C40C1" w:rsidRDefault="00AA5D77">
      <w:pPr>
        <w:pStyle w:val="Utskottetsvervganden-RubrikFrslagspunkt"/>
      </w:pPr>
      <w:bookmarkStart w:id="408" w:name="_Toc25411150"/>
      <w:bookmarkStart w:id="409" w:name="_Toc26191474"/>
      <w:r w:rsidRPr="006C40C1">
        <w:t>3.3.3 Beskattning av sjömän i viss internationell trafik</w:t>
      </w:r>
      <w:bookmarkEnd w:id="406"/>
      <w:bookmarkEnd w:id="407"/>
      <w:bookmarkEnd w:id="408"/>
      <w:bookmarkEnd w:id="409"/>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om en förlängning av den tillfälliga skattefriheten för svenska sjömän vid arbete i viss inter-nationell trafik till 2004 års taxering.</w:t>
      </w:r>
    </w:p>
    <w:p w:rsidR="00AA5D77" w:rsidRPr="006C40C1" w:rsidRDefault="00AA5D77">
      <w:pPr>
        <w:pStyle w:val="R4"/>
      </w:pPr>
      <w:r w:rsidRPr="006C40C1">
        <w:t>Budgetpropositionen</w:t>
      </w:r>
    </w:p>
    <w:p w:rsidR="00AA5D77" w:rsidRPr="006C40C1" w:rsidRDefault="00AA5D77">
      <w:r w:rsidRPr="006C40C1">
        <w:t>Regeringen föreslår (avsnitt 8.2.4, punkt 32) att den skattefrihet som enligt den särskilda övergångsbestämmelsen i artikel 31.3 i det nordiska skatteavt</w:t>
      </w:r>
      <w:r w:rsidRPr="006C40C1">
        <w:t>a</w:t>
      </w:r>
      <w:r w:rsidRPr="006C40C1">
        <w:softHyphen/>
        <w:t>let gäller för i Sverige obegränsat skattskyldiga sjömän som uppbär ersättning för arbete ombord på danskt, färöiskt, finskt, isländskt eller norskt skepp i inte</w:t>
      </w:r>
      <w:r w:rsidRPr="006C40C1">
        <w:t>r</w:t>
      </w:r>
      <w:r w:rsidRPr="006C40C1">
        <w:t>nationell trafik ska gälla också vid 2004 års taxering.</w:t>
      </w:r>
    </w:p>
    <w:p w:rsidR="00AA5D77" w:rsidRPr="006C40C1" w:rsidRDefault="00AA5D77">
      <w:pPr>
        <w:pStyle w:val="Normaltindrag"/>
      </w:pPr>
      <w:r w:rsidRPr="006C40C1">
        <w:t>Regeringen anför att frågan om beskattningen av sjömän i det nordiska skatteavtalet är en fråga som lämpligen bör lösas gemensamt inom Norden. Regeringen påbörjade under hösten 2001 en översyn av lastsjöfartens och färjenäringens villkor. Syftet är att utreda möjligheterna till en gemensam n</w:t>
      </w:r>
      <w:r w:rsidRPr="006C40C1">
        <w:t>ordisk uppfattning när det gäller den framtida utformningen av Europeiska gemenskapernas riktlinjer för statligt stöd till sjötransport. Detta uppdrag ska redovisas senast under år 2003. I avvaktan på en gemensam nordisk lösning och resultatet av den översyn som inletts föreslås att skattefriheten för o</w:t>
      </w:r>
      <w:r w:rsidRPr="006C40C1">
        <w:t>m</w:t>
      </w:r>
      <w:r w:rsidRPr="006C40C1">
        <w:t>bordanställda på nordiska skepp ska gälla även vid 2004 års taxering.</w:t>
      </w:r>
    </w:p>
    <w:p w:rsidR="00AA5D77" w:rsidRPr="006C40C1" w:rsidRDefault="00AA5D77">
      <w:pPr>
        <w:pStyle w:val="R4"/>
      </w:pPr>
      <w:r w:rsidRPr="006C40C1">
        <w:t>Skatteutskottets yttrande</w:t>
      </w:r>
    </w:p>
    <w:p w:rsidR="00AA5D77" w:rsidRPr="006C40C1" w:rsidRDefault="00AA5D77">
      <w:r w:rsidRPr="006C40C1">
        <w:t>Skatteutskottet har inte funnit någon anledning till erinran mot detta förslag och tillstyrker propositionen i denna del.</w:t>
      </w:r>
    </w:p>
    <w:p w:rsidR="00AA5D77" w:rsidRPr="006C40C1" w:rsidRDefault="00AA5D77">
      <w:pPr>
        <w:pStyle w:val="R4"/>
      </w:pPr>
      <w:bookmarkStart w:id="410" w:name="_Toc529603605"/>
      <w:bookmarkStart w:id="411" w:name="_Toc24531765"/>
      <w:bookmarkStart w:id="412" w:name="_Toc25055308"/>
      <w:r w:rsidRPr="006C40C1">
        <w:t>Finansutskottets ställningstagande</w:t>
      </w:r>
    </w:p>
    <w:p w:rsidR="00AA5D77" w:rsidRPr="006C40C1" w:rsidRDefault="00AA5D77">
      <w:r w:rsidRPr="006C40C1">
        <w:t xml:space="preserve">Finansutskottet har i likhet med skatteutskottet inte funnit någon anledning till erinran mot förslaget och tillstyrker propositionen punkt 32. </w:t>
      </w:r>
    </w:p>
    <w:p w:rsidR="00AA5D77" w:rsidRPr="006C40C1" w:rsidRDefault="00AA5D77">
      <w:pPr>
        <w:pStyle w:val="Utskottetsvervganden-RubrikFrslagspunkt"/>
      </w:pPr>
      <w:bookmarkStart w:id="413" w:name="_Toc25411151"/>
      <w:bookmarkStart w:id="414" w:name="_Toc26191475"/>
      <w:r w:rsidRPr="006C40C1">
        <w:t>3.3.4 Förmånsbeskattning av miljövänliga bilar</w:t>
      </w:r>
      <w:bookmarkEnd w:id="410"/>
      <w:bookmarkEnd w:id="411"/>
      <w:bookmarkEnd w:id="412"/>
      <w:bookmarkEnd w:id="413"/>
      <w:bookmarkEnd w:id="414"/>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motionsförslaget om en ettårig förlängning av den tidsbegränsade jämkningsregeln för miljövänliga bilar.</w:t>
      </w:r>
    </w:p>
    <w:p w:rsidR="00AA5D77" w:rsidRPr="006C40C1" w:rsidRDefault="00AA5D77">
      <w:pPr>
        <w:pStyle w:val="R4"/>
      </w:pPr>
      <w:r w:rsidRPr="006C40C1">
        <w:t>Bakgrund</w:t>
      </w:r>
    </w:p>
    <w:p w:rsidR="00AA5D77" w:rsidRPr="006C40C1" w:rsidRDefault="00AA5D77">
      <w:r w:rsidRPr="006C40C1">
        <w:t>De nuvarande reglerna om justering av värdet av bilförmån för s.k. miljöbilar tillämpades första gången vid 2000 års taxering. Reglerna innebär att fö</w:t>
      </w:r>
      <w:r w:rsidRPr="006C40C1">
        <w:t>r</w:t>
      </w:r>
      <w:r w:rsidRPr="006C40C1">
        <w:softHyphen/>
        <w:t>månsvärdet för en bil som är utrustad med teknik för drift med elektricitet eller med mer miljöanpassade drivmedel än bensin eller dieselolja och som därför har ett nybilspris som är högre än nybilspriset för närmast jämförbara bil utan sådan teknik, ska justeras ned till en nivå som motsvarar förmån</w:t>
      </w:r>
      <w:r w:rsidRPr="006C40C1">
        <w:t>s</w:t>
      </w:r>
      <w:r w:rsidRPr="006C40C1">
        <w:softHyphen/>
        <w:t>värdet för den jämförbara bilen. Reglerna infördes bl.a. för att underlätta introduktionen av miljöbilar på bilmarknaden och på så sätt skapa bättre förutsättningar för att miljöprestandan hos beståndet av f</w:t>
      </w:r>
      <w:r w:rsidRPr="006C40C1">
        <w:t>örmånsbilar skulle öka (prop. 1999/2000:6, bet. 1999/2000:SkU7).</w:t>
      </w:r>
    </w:p>
    <w:p w:rsidR="00AA5D77" w:rsidRPr="006C40C1" w:rsidRDefault="00AA5D77">
      <w:pPr>
        <w:pStyle w:val="Normaltindrag"/>
      </w:pPr>
      <w:r w:rsidRPr="006C40C1">
        <w:t>Den 1 januari 2002 infördes en tidsbegränsad möjlighet till ytterligare ne</w:t>
      </w:r>
      <w:r w:rsidRPr="006C40C1">
        <w:t>d</w:t>
      </w:r>
      <w:r w:rsidRPr="006C40C1">
        <w:softHyphen/>
        <w:t>sättning av förmånsvärdet för vissa typer av miljöanpassade förmånsbilar. För en elbil eller elhybridbil blev det möjligt att justera ned förmånsvärdet till 60 % av förmånsvärdet för närmast jämförbara bil utan sådan miljöanpassad teknik. Nedsättningen gäller i 3 år och får inte överstiga 16 000 kr per år. För bilar som drivs med alkohol eller med annan gas än gasol medges justering till 80 % av förmånsvärdet för den jämförbara bilen. Nedsättningen gäller under 4 år och får inte överstiga 8 000 kr per år.</w:t>
      </w:r>
      <w:r w:rsidRPr="006C40C1">
        <w:t xml:space="preserve"> En utvärdering av regelfö</w:t>
      </w:r>
      <w:r w:rsidRPr="006C40C1">
        <w:t>r</w:t>
      </w:r>
      <w:r w:rsidRPr="006C40C1">
        <w:softHyphen/>
        <w:t>ändringen ska genomföras och vara klar före respektive tillämpningsperiods utgång (prop. 2001/02:1, bet. 2001/02:FiU1, prop. 2001/02:45, bet. 2001/02: SkU12).</w:t>
      </w:r>
    </w:p>
    <w:p w:rsidR="00AA5D77" w:rsidRPr="006C40C1" w:rsidRDefault="00AA5D77">
      <w:pPr>
        <w:pStyle w:val="R4"/>
      </w:pPr>
      <w:r w:rsidRPr="006C40C1">
        <w:t>Motion</w:t>
      </w:r>
    </w:p>
    <w:p w:rsidR="00AA5D77" w:rsidRPr="006C40C1" w:rsidRDefault="00AA5D77">
      <w:r w:rsidRPr="006C40C1">
        <w:t>I motion Fi230 yrkande 17 av Britt Bohlin m.fl. (s, v, mp) föreslås att fö</w:t>
      </w:r>
      <w:r w:rsidRPr="006C40C1">
        <w:t>r</w:t>
      </w:r>
      <w:r w:rsidRPr="006C40C1">
        <w:softHyphen/>
        <w:t>söksperioderna med sänkt förmånsvärde för miljöanpassade bilar förlängs med ett år.</w:t>
      </w:r>
    </w:p>
    <w:p w:rsidR="00AA5D77" w:rsidRPr="006C40C1" w:rsidRDefault="00AA5D77">
      <w:pPr>
        <w:pStyle w:val="R4"/>
      </w:pPr>
      <w:r w:rsidRPr="006C40C1">
        <w:t>Skatteutskottets yttrande</w:t>
      </w:r>
    </w:p>
    <w:p w:rsidR="00AA5D77" w:rsidRPr="006C40C1" w:rsidRDefault="00AA5D77">
      <w:r w:rsidRPr="006C40C1">
        <w:t>Utskottet har inte funnit någon anledning till erinran mot motionärernas fö</w:t>
      </w:r>
      <w:r w:rsidRPr="006C40C1">
        <w:t>r</w:t>
      </w:r>
      <w:r w:rsidRPr="006C40C1">
        <w:t>slag och tillstyrker att riksdagen fattar beslut om en sådan förlängning.</w:t>
      </w:r>
    </w:p>
    <w:p w:rsidR="00AA5D77" w:rsidRPr="006C40C1" w:rsidRDefault="00AA5D77">
      <w:pPr>
        <w:pStyle w:val="R4"/>
      </w:pPr>
      <w:bookmarkStart w:id="415" w:name="_Toc24531766"/>
      <w:bookmarkStart w:id="416" w:name="_Toc25055309"/>
      <w:r w:rsidRPr="006C40C1">
        <w:t>Finansutskottets ställningstagande</w:t>
      </w:r>
    </w:p>
    <w:p w:rsidR="00AA5D77" w:rsidRPr="006C40C1" w:rsidRDefault="00AA5D77">
      <w:r w:rsidRPr="006C40C1">
        <w:t>Finansutskottet har i likhet med skatteutskottet inte funnit någon anledning till erinran mot förslaget och föreslår därför att riksdagen med bifall till motion Fi230 (s, v, mp) yrkande 17 beslutar om en ettårig förlängning av de aktuella försöksperioderna. En samlad redovisning av de lagändringar som utskottets ställningstaganden medför finns under rubriken Lagfö</w:t>
      </w:r>
      <w:r w:rsidRPr="006C40C1">
        <w:t>r</w:t>
      </w:r>
      <w:r w:rsidRPr="006C40C1">
        <w:t xml:space="preserve">slagen. </w:t>
      </w:r>
    </w:p>
    <w:p w:rsidR="00AA5D77" w:rsidRPr="006C40C1" w:rsidRDefault="00AA5D77">
      <w:pPr>
        <w:pStyle w:val="Utskottetsvervganden-RubrikFrslagspunkt"/>
      </w:pPr>
      <w:bookmarkStart w:id="417" w:name="_Toc25411152"/>
      <w:bookmarkStart w:id="418" w:name="_Toc26191476"/>
      <w:r w:rsidRPr="006C40C1">
        <w:t>3.3.5 Skattereduktion för fackföreningsavgift</w:t>
      </w:r>
      <w:bookmarkEnd w:id="415"/>
      <w:bookmarkEnd w:id="416"/>
      <w:bookmarkEnd w:id="417"/>
      <w:bookmarkEnd w:id="418"/>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 xml:space="preserve">Utskottet avstyrker motionsförslagen om slopade skattereduktioner för fackföreningsavgift och avgift till arbetslöshetskassa. </w:t>
      </w:r>
    </w:p>
    <w:p w:rsidR="00AA5D77" w:rsidRPr="006C40C1" w:rsidRDefault="00AA5D77">
      <w:pPr>
        <w:pStyle w:val="Utskottsfrslagikorthet-Text"/>
      </w:pPr>
      <w:r w:rsidRPr="006C40C1">
        <w:t xml:space="preserve">  Jämför reservationerna 8 (m), 9 (fp) och 11 (c).</w:t>
      </w:r>
    </w:p>
    <w:p w:rsidR="00AA5D77" w:rsidRPr="006C40C1" w:rsidRDefault="00AA5D77">
      <w:pPr>
        <w:pStyle w:val="R4"/>
      </w:pPr>
      <w:r w:rsidRPr="006C40C1">
        <w:t>Bakgrund</w:t>
      </w:r>
    </w:p>
    <w:p w:rsidR="00AA5D77" w:rsidRPr="006C40C1" w:rsidRDefault="00AA5D77">
      <w:r w:rsidRPr="006C40C1">
        <w:t>Riksdagen har under hösten 2001 fattat beslut om en skattereduktion på 25 % för medlemsavgiften till en arbetstagarorganisation och om en skattereduktion på 40 % för avgiften till en arbetslöshetskassa. Samtidigt avskaffades a</w:t>
      </w:r>
      <w:r w:rsidRPr="006C40C1">
        <w:t>v</w:t>
      </w:r>
      <w:r w:rsidRPr="006C40C1">
        <w:t>dragsrätten för avgiften till arbetslöshetskassa. De nya bestämmelserna har trätt i kraft den 1 januari 2002 (prop. 2001/02:35, bet. 2001/02:SkU6).</w:t>
      </w:r>
    </w:p>
    <w:p w:rsidR="00AA5D77" w:rsidRPr="006C40C1" w:rsidRDefault="00AA5D77">
      <w:pPr>
        <w:pStyle w:val="R4"/>
      </w:pPr>
      <w:r w:rsidRPr="006C40C1">
        <w:t>Motioner</w:t>
      </w:r>
    </w:p>
    <w:p w:rsidR="00AA5D77" w:rsidRPr="006C40C1" w:rsidRDefault="00AA5D77">
      <w:r w:rsidRPr="006C40C1">
        <w:t xml:space="preserve">I </w:t>
      </w:r>
      <w:r w:rsidRPr="006C40C1">
        <w:rPr>
          <w:i/>
        </w:rPr>
        <w:t>Moderata samlingspartiets</w:t>
      </w:r>
      <w:r w:rsidRPr="006C40C1">
        <w:t xml:space="preserve"> motion Fi287 yrkandena 37 och 38 av Lennart Hedquist m.fl. (m) föreslås att riksdagen fattar beslut om en återgång till tidigare regler. Skattereduktionen för fackföreningsavgift avskaffas och ska</w:t>
      </w:r>
      <w:r w:rsidRPr="006C40C1">
        <w:t>t</w:t>
      </w:r>
      <w:r w:rsidRPr="006C40C1">
        <w:t xml:space="preserve">tereduktionen för avgift till arbetslöshetskassa ersätts med en avdragsrätt vid inkomstbeskattningen. </w:t>
      </w:r>
    </w:p>
    <w:p w:rsidR="00AA5D77" w:rsidRPr="006C40C1" w:rsidRDefault="00AA5D77">
      <w:pPr>
        <w:pStyle w:val="Normaltindrag"/>
      </w:pPr>
      <w:r w:rsidRPr="006C40C1">
        <w:t xml:space="preserve">I </w:t>
      </w:r>
      <w:r w:rsidRPr="006C40C1">
        <w:rPr>
          <w:i/>
        </w:rPr>
        <w:t>Centerpartiets</w:t>
      </w:r>
      <w:r w:rsidRPr="006C40C1">
        <w:t xml:space="preserve"> motion Fi286 yrkande 5 av Maud Olofsson m.fl. (c) för</w:t>
      </w:r>
      <w:r w:rsidRPr="006C40C1">
        <w:t>e</w:t>
      </w:r>
      <w:r w:rsidRPr="006C40C1">
        <w:softHyphen/>
        <w:t>slås också att skattereduktionen för fackföreningsavgifter slopas. Problemen med höga skatter för dem med låga inkomster bör enligt vad motionärerna anför inte lösas genom kompe</w:t>
      </w:r>
      <w:r w:rsidRPr="006C40C1">
        <w:t>n</w:t>
      </w:r>
      <w:r w:rsidRPr="006C40C1">
        <w:t>sation för olika slags kostnader.</w:t>
      </w:r>
    </w:p>
    <w:p w:rsidR="00AA5D77" w:rsidRPr="006C40C1" w:rsidRDefault="00AA5D77">
      <w:pPr>
        <w:pStyle w:val="R4"/>
      </w:pPr>
      <w:r w:rsidRPr="006C40C1">
        <w:t>Skatteutskottets yttrande</w:t>
      </w:r>
    </w:p>
    <w:p w:rsidR="00AA5D77" w:rsidRPr="006C40C1" w:rsidRDefault="00AA5D77">
      <w:r w:rsidRPr="006C40C1">
        <w:t>Skatteutskottet anför i sitt yttrande att skattereduktionen för fackföreningsa</w:t>
      </w:r>
      <w:r w:rsidRPr="006C40C1">
        <w:t>v</w:t>
      </w:r>
      <w:r w:rsidRPr="006C40C1">
        <w:t>gifter syftar till att likställa villkoren för medlemskap i en arbetstagarorgan</w:t>
      </w:r>
      <w:r w:rsidRPr="006C40C1">
        <w:t>i</w:t>
      </w:r>
      <w:r w:rsidRPr="006C40C1">
        <w:t>sation med de villkor som gäller för medlemskap i en arbetsgivarorganisation. Organisa</w:t>
      </w:r>
      <w:r w:rsidRPr="006C40C1">
        <w:softHyphen/>
        <w:t>tioner och förbund på arbetsgivarsidan har efter hand fört över den över</w:t>
      </w:r>
      <w:r w:rsidRPr="006C40C1">
        <w:softHyphen/>
        <w:t>vägande delen av sin verksamhet till särskilt bildade servicebolag och på det sättet gjort det möjligt för medlemsföretagen att dra av serviceavgifterna som driftskostnader i den bedrivna rörelsen. Mervärdesskattebestämmelsernas ut</w:t>
      </w:r>
      <w:r w:rsidRPr="006C40C1">
        <w:softHyphen/>
        <w:t>formning har också medfört att arbetsgi</w:t>
      </w:r>
      <w:r w:rsidRPr="006C40C1">
        <w:t>varsidan i realiteten haft fördelar jämfört med arbetstagarsidan. Med en skatter</w:t>
      </w:r>
      <w:r w:rsidRPr="006C40C1">
        <w:t>e</w:t>
      </w:r>
      <w:r w:rsidRPr="006C40C1">
        <w:t>duktion på 25 % för de med</w:t>
      </w:r>
      <w:r w:rsidRPr="006C40C1">
        <w:softHyphen/>
        <w:t>lemsavgifter som enskilda medlemmar betalar till sina arbetstagarorganisa</w:t>
      </w:r>
      <w:r w:rsidRPr="006C40C1">
        <w:softHyphen/>
        <w:t>tioner uppnås en faktisk skattemässig behandling som motsvarar den som gäller för avgifterna på arbetsgivarsidan. Rättviseskäl talar således enligt skatteutskottets mening för att skattereduktionen för fackföreningsavgifter bibehålls.</w:t>
      </w:r>
    </w:p>
    <w:p w:rsidR="00AA5D77" w:rsidRPr="006C40C1" w:rsidRDefault="00AA5D77">
      <w:pPr>
        <w:pStyle w:val="Normaltindrag"/>
      </w:pPr>
      <w:r w:rsidRPr="006C40C1">
        <w:t>När det gäller skattereduktionen för avgift till arbetslöshetskassa anför skatteutskottet att i</w:t>
      </w:r>
      <w:r w:rsidRPr="006C40C1">
        <w:t>nten</w:t>
      </w:r>
      <w:r w:rsidRPr="006C40C1">
        <w:softHyphen/>
        <w:t>tionen hela tiden varit att avgiften ska vara avdragsgill, eftersom detta upp</w:t>
      </w:r>
      <w:r w:rsidRPr="006C40C1">
        <w:softHyphen/>
        <w:t>muntrar den enskilde att skaffa sig ett försäkringsskydd mot följderna av arbetslöshet. Beloppsbegränsningen av avdraget för övriga kostnader under inkomst av tjänst har emellertid försämrat förutsättningarna för denna avdragsrätt, allteftersom den grupp som kommer över beloppsgrä</w:t>
      </w:r>
      <w:r w:rsidRPr="006C40C1">
        <w:t>n</w:t>
      </w:r>
      <w:r w:rsidRPr="006C40C1">
        <w:t>sen blivit mindre. Härigenom har det uppkommit en olikformighet vid b</w:t>
      </w:r>
      <w:r w:rsidRPr="006C40C1">
        <w:t>e</w:t>
      </w:r>
      <w:r w:rsidRPr="006C40C1">
        <w:t>skattningen av arbetstagarsidan i förhållande till vad som gäller vid beskat</w:t>
      </w:r>
      <w:r w:rsidRPr="006C40C1">
        <w:t>t</w:t>
      </w:r>
      <w:r w:rsidRPr="006C40C1">
        <w:t>ningen av arbets</w:t>
      </w:r>
      <w:r w:rsidRPr="006C40C1">
        <w:softHyphen/>
        <w:t>givare, och det är av bl.a. detta skäl som riksdagen fattat beslut om att ersätta avdragsrätten med en skattereduktion i dessa fall. Skatt</w:t>
      </w:r>
      <w:r w:rsidRPr="006C40C1">
        <w:t>e</w:t>
      </w:r>
      <w:r w:rsidRPr="006C40C1">
        <w:t xml:space="preserve">utskottet anser att både rättvise- och hanteringsmässiga skäl talar för att den nuvarande ordningen bibehålls. </w:t>
      </w:r>
    </w:p>
    <w:p w:rsidR="00AA5D77" w:rsidRPr="006C40C1" w:rsidRDefault="00AA5D77">
      <w:pPr>
        <w:pStyle w:val="R4"/>
      </w:pPr>
      <w:bookmarkStart w:id="419" w:name="_Toc24531767"/>
      <w:bookmarkStart w:id="420" w:name="_Toc25055310"/>
      <w:r w:rsidRPr="006C40C1">
        <w:t>Finansutskottets ställningstagande</w:t>
      </w:r>
    </w:p>
    <w:p w:rsidR="00AA5D77" w:rsidRPr="006C40C1" w:rsidRDefault="00AA5D77">
      <w:r w:rsidRPr="006C40C1">
        <w:t xml:space="preserve">Finansutskottet delar skatteutskottets bedömning och avstyrker motionerna Fi287 (m) yrkandena 37 och 38 samt Fi286 (c) yrkande 5. </w:t>
      </w:r>
    </w:p>
    <w:p w:rsidR="00AA5D77" w:rsidRPr="006C40C1" w:rsidRDefault="00AA5D77">
      <w:pPr>
        <w:pStyle w:val="Utskottetsvervganden-RubrikFrslagspunkt"/>
      </w:pPr>
      <w:bookmarkStart w:id="421" w:name="_Toc25411153"/>
      <w:bookmarkStart w:id="422" w:name="_Toc26191477"/>
      <w:r w:rsidRPr="006C40C1">
        <w:t>3.3.6 Reseavdrag</w:t>
      </w:r>
      <w:bookmarkEnd w:id="419"/>
      <w:bookmarkEnd w:id="420"/>
      <w:bookmarkEnd w:id="421"/>
      <w:bookmarkEnd w:id="422"/>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höjda reseavdrag, sänkt gräns för avdragsgilla resekostnader och om att resor till dagis ska ingå.</w:t>
      </w:r>
    </w:p>
    <w:p w:rsidR="00AA5D77" w:rsidRPr="006C40C1" w:rsidRDefault="00AA5D77">
      <w:pPr>
        <w:pStyle w:val="Utskottsfrslagikorthet-Text"/>
      </w:pPr>
      <w:r w:rsidRPr="006C40C1">
        <w:t>Jämför reservationerna 8 (m), 9 (fp), 10 (kd) och 11 (c).</w:t>
      </w:r>
    </w:p>
    <w:p w:rsidR="00AA5D77" w:rsidRPr="006C40C1" w:rsidRDefault="00AA5D77">
      <w:pPr>
        <w:pStyle w:val="R4"/>
      </w:pPr>
      <w:r w:rsidRPr="006C40C1">
        <w:t>Bakgrund</w:t>
      </w:r>
    </w:p>
    <w:p w:rsidR="00AA5D77" w:rsidRPr="006C40C1" w:rsidRDefault="00AA5D77">
      <w:r w:rsidRPr="006C40C1">
        <w:t>Riksdagen höjde det avdragsgilla beloppet för kostnad för resor med egen bil mellan bostad och arbetsplats och i tjänsten från 13 kr till 15 kr fr.o.m. i</w:t>
      </w:r>
      <w:r w:rsidRPr="006C40C1">
        <w:t>n</w:t>
      </w:r>
      <w:r w:rsidRPr="006C40C1">
        <w:t>komståret 1998. Samtidigt höjdes gränsen för avdragsgilla kostnader för resor mellan bostaden och arbetsplatsen från 6 000 kr till 7 000 kr per år (prop. 1997/98:1, bet. 1997/98:FiU1).</w:t>
      </w:r>
    </w:p>
    <w:p w:rsidR="00AA5D77" w:rsidRPr="006C40C1" w:rsidRDefault="00AA5D77">
      <w:pPr>
        <w:pStyle w:val="Normaltindrag"/>
      </w:pPr>
      <w:r w:rsidRPr="006C40C1">
        <w:t>Det avdragsgilla beloppet för kostnader för resor med egen bil mellan b</w:t>
      </w:r>
      <w:r w:rsidRPr="006C40C1">
        <w:t>o</w:t>
      </w:r>
      <w:r w:rsidRPr="006C40C1">
        <w:t>stad och arbetsplats och för resor i tjänsten och näringsverksamhet höjdes från 15 till 16 kr per mil år 2001. Avdraget för resor med förmånsbilar är härefter 9 kr (6 kr för dieseldrivna förmånsbilar) (prop. 2000/01:1, bet. 2000/01: FiU1).</w:t>
      </w:r>
    </w:p>
    <w:p w:rsidR="00AA5D77" w:rsidRPr="006C40C1" w:rsidRDefault="00AA5D77">
      <w:pPr>
        <w:pStyle w:val="R4"/>
      </w:pPr>
      <w:r w:rsidRPr="006C40C1">
        <w:t>Motioner</w:t>
      </w:r>
    </w:p>
    <w:p w:rsidR="00AA5D77" w:rsidRPr="006C40C1" w:rsidRDefault="00AA5D77">
      <w:r w:rsidRPr="006C40C1">
        <w:t xml:space="preserve">I flera motioner från </w:t>
      </w:r>
      <w:r w:rsidRPr="006C40C1">
        <w:rPr>
          <w:i/>
        </w:rPr>
        <w:t>Moderata</w:t>
      </w:r>
      <w:r w:rsidRPr="006C40C1">
        <w:t xml:space="preserve"> </w:t>
      </w:r>
      <w:r w:rsidRPr="006C40C1">
        <w:rPr>
          <w:i/>
        </w:rPr>
        <w:t>samlingspartiet</w:t>
      </w:r>
      <w:r w:rsidRPr="006C40C1">
        <w:t xml:space="preserve"> framställs yrkanden om en höjning av reseavdraget till 20 kr per mil och med motsvarande höjningar av reseavdraget vid användning av förmånsbil. Sådana yrkanden framställs i motionerna Fi287 yrkandena 8 och 9 av Lennart Hedquist m.fl. (m) och N304 yrkande 4 delvis av Mikael Odenberg m.fl. (m).</w:t>
      </w:r>
    </w:p>
    <w:p w:rsidR="00AA5D77" w:rsidRPr="006C40C1" w:rsidRDefault="00AA5D77">
      <w:pPr>
        <w:pStyle w:val="Normaltindrag"/>
      </w:pPr>
      <w:r w:rsidRPr="006C40C1">
        <w:t xml:space="preserve">I </w:t>
      </w:r>
      <w:r w:rsidRPr="006C40C1">
        <w:rPr>
          <w:i/>
        </w:rPr>
        <w:t>Kristdemokraternas</w:t>
      </w:r>
      <w:r w:rsidRPr="006C40C1">
        <w:t xml:space="preserve"> motioner Fi256 yrkande 12 av Alf Svensson m.fl. (kd) och Fi255 yrkande 6 av Per Landgren m.fl. (kd) föreslås i stället att gränsen för reseavdraget sänks från 7 000 kr till 5 000 kr. </w:t>
      </w:r>
    </w:p>
    <w:p w:rsidR="00AA5D77" w:rsidRPr="006C40C1" w:rsidRDefault="00AA5D77">
      <w:pPr>
        <w:pStyle w:val="Normaltindrag"/>
      </w:pPr>
      <w:r w:rsidRPr="006C40C1">
        <w:rPr>
          <w:i/>
        </w:rPr>
        <w:t>Centerpartiets</w:t>
      </w:r>
      <w:r w:rsidRPr="006C40C1">
        <w:t xml:space="preserve"> förslag i motion Fi286 yrkandena 6 och 8 av Maud Olof</w:t>
      </w:r>
      <w:r w:rsidRPr="006C40C1">
        <w:t>s</w:t>
      </w:r>
      <w:r w:rsidRPr="006C40C1">
        <w:t>son m.fl. (c) innebär dels att reseavdraget höjs till 20 kr per mil, dels att resor till och från barnomsorg ska beaktas.</w:t>
      </w:r>
    </w:p>
    <w:p w:rsidR="00AA5D77" w:rsidRPr="006C40C1" w:rsidRDefault="00AA5D77">
      <w:pPr>
        <w:pStyle w:val="R4"/>
      </w:pPr>
      <w:r w:rsidRPr="006C40C1">
        <w:t>Skatteutskottets yttrande</w:t>
      </w:r>
    </w:p>
    <w:p w:rsidR="00AA5D77" w:rsidRPr="006C40C1" w:rsidRDefault="00AA5D77">
      <w:r w:rsidRPr="006C40C1">
        <w:t>Skatteutskottet anför i sitt yttrande att reseavdraget så sent som 1998 fas</w:t>
      </w:r>
      <w:r w:rsidRPr="006C40C1">
        <w:t>t</w:t>
      </w:r>
      <w:r w:rsidRPr="006C40C1">
        <w:t>ställts till 15 kr per mil och att avsikten då var att skapa en viss marginal för att beloppet skulle kunna kvarstå under ett antal år. Härefter har avdragsb</w:t>
      </w:r>
      <w:r w:rsidRPr="006C40C1">
        <w:t>e</w:t>
      </w:r>
      <w:r w:rsidRPr="006C40C1">
        <w:t>loppet höjts med 1 krona till 16 kr per mil år 2001. Syftet med denna höjning har varit att stimulera rörligheten på arbets</w:t>
      </w:r>
      <w:r w:rsidRPr="006C40C1">
        <w:softHyphen/>
        <w:t>marknaden. Enligt skatteutskottets mening finns det inte nu någon anledning att genomföra ytterligare justeringar av detta belopp.</w:t>
      </w:r>
    </w:p>
    <w:p w:rsidR="00AA5D77" w:rsidRPr="006C40C1" w:rsidRDefault="00AA5D77">
      <w:pPr>
        <w:pStyle w:val="Normaltindrag"/>
      </w:pPr>
      <w:r w:rsidRPr="006C40C1">
        <w:t>När det gäller förslagen om en sänkning av gränsen för reseavdraget är detta enligt skatteutskotte</w:t>
      </w:r>
      <w:r w:rsidRPr="006C40C1">
        <w:t>ts mening mindre lämpligt eftersom avdragsgränsen har en prak</w:t>
      </w:r>
      <w:r w:rsidRPr="006C40C1">
        <w:softHyphen/>
        <w:t>tisk betydelse genom att den bidrar till att förenkla taxeringsarb</w:t>
      </w:r>
      <w:r w:rsidRPr="006C40C1">
        <w:t>e</w:t>
      </w:r>
      <w:r w:rsidRPr="006C40C1">
        <w:t>tet. Utskottet anser inte att det finns skäl att nu sänka denna gräns.</w:t>
      </w:r>
    </w:p>
    <w:p w:rsidR="00AA5D77" w:rsidRPr="006C40C1" w:rsidRDefault="00AA5D77">
      <w:pPr>
        <w:pStyle w:val="Normaltindrag"/>
      </w:pPr>
      <w:r w:rsidRPr="006C40C1">
        <w:t>När det gäller förslagen om en möjlighet att räkna in den extra tiden för att lämna barn på dagis finns det enligt skatteutskottets mening skäl att hålla gräns</w:t>
      </w:r>
      <w:r w:rsidRPr="006C40C1">
        <w:softHyphen/>
        <w:t>dragningen kring dagens avdragsrätt för resor till och från arbetet så enkel och lättillämpad som möjligt. Att låta skattemyndigheterna beakta resan för att lämna och hämta barn på dagis när tidsvinsten beräknas skulle kompl</w:t>
      </w:r>
      <w:r w:rsidRPr="006C40C1">
        <w:t>i</w:t>
      </w:r>
      <w:r w:rsidRPr="006C40C1">
        <w:t>cera de bedömningar som måste göras i dessa fall. Härtill kommer att förde</w:t>
      </w:r>
      <w:r w:rsidRPr="006C40C1">
        <w:t>l</w:t>
      </w:r>
      <w:r w:rsidRPr="006C40C1">
        <w:t>nings</w:t>
      </w:r>
      <w:r w:rsidRPr="006C40C1">
        <w:softHyphen/>
        <w:t>politiska invändningar kan riktas mot åtgärder som innebär att endast vissa barnfamiljer erbjuds en avdragsrätt för en del av sina levnadskostnader. Om syftet är att förbättra barnfamiljernas ekonomiska si</w:t>
      </w:r>
      <w:r w:rsidRPr="006C40C1">
        <w:t>tuation bör andra lös</w:t>
      </w:r>
      <w:r w:rsidRPr="006C40C1">
        <w:softHyphen/>
        <w:t>ningar användas, t.ex. förbättringar av de olika stöd som i dag går direkt till bar</w:t>
      </w:r>
      <w:r w:rsidRPr="006C40C1">
        <w:t>n</w:t>
      </w:r>
      <w:r w:rsidRPr="006C40C1">
        <w:t xml:space="preserve">familjerna. </w:t>
      </w:r>
    </w:p>
    <w:p w:rsidR="00AA5D77" w:rsidRPr="006C40C1" w:rsidRDefault="00AA5D77">
      <w:pPr>
        <w:pStyle w:val="R4"/>
      </w:pPr>
      <w:bookmarkStart w:id="423" w:name="_Toc24531768"/>
      <w:bookmarkStart w:id="424" w:name="_Toc25055311"/>
      <w:r w:rsidRPr="006C40C1">
        <w:t>Finansutskottets ställningstagande</w:t>
      </w:r>
    </w:p>
    <w:p w:rsidR="00AA5D77" w:rsidRPr="006C40C1" w:rsidRDefault="00AA5D77">
      <w:r w:rsidRPr="006C40C1">
        <w:t>Finansutskottet delar skatteutskottets bedömning och avstyrker motionerna Fi255 (kd) yrkande 6, Fi256 (kd) yrkande 12, Fi286 (c) yrkan</w:t>
      </w:r>
      <w:r w:rsidRPr="006C40C1">
        <w:softHyphen/>
        <w:t xml:space="preserve">dena 6 och 8, Fi287 (m) yrkandena 8 och 9 samt N304 (m) yrkande 4 delvis. </w:t>
      </w:r>
    </w:p>
    <w:p w:rsidR="00AA5D77" w:rsidRPr="006C40C1" w:rsidRDefault="00AA5D77">
      <w:pPr>
        <w:pStyle w:val="Utskottetsvervganden-RubrikFrslagspunkt"/>
      </w:pPr>
      <w:bookmarkStart w:id="425" w:name="_Toc25411154"/>
      <w:bookmarkStart w:id="426" w:name="_Toc26191478"/>
      <w:r w:rsidRPr="006C40C1">
        <w:t>3.3.7 Hushållstjänster</w:t>
      </w:r>
      <w:bookmarkEnd w:id="423"/>
      <w:bookmarkEnd w:id="424"/>
      <w:bookmarkEnd w:id="425"/>
      <w:bookmarkEnd w:id="426"/>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en skattereduktion för hushållstjänster.</w:t>
      </w:r>
    </w:p>
    <w:p w:rsidR="00AA5D77" w:rsidRPr="006C40C1" w:rsidRDefault="00AA5D77">
      <w:pPr>
        <w:pStyle w:val="Utskottsfrslagikorthet-Text"/>
      </w:pPr>
      <w:r w:rsidRPr="006C40C1">
        <w:t>Jämför reservationerna 8 (m), 9 (fp), 10 (kd) och 11 (c).</w:t>
      </w:r>
    </w:p>
    <w:p w:rsidR="00AA5D77" w:rsidRPr="006C40C1" w:rsidRDefault="00AA5D77">
      <w:pPr>
        <w:pStyle w:val="R4"/>
      </w:pPr>
      <w:r w:rsidRPr="006C40C1">
        <w:t>Bakgrund</w:t>
      </w:r>
    </w:p>
    <w:p w:rsidR="00AA5D77" w:rsidRPr="006C40C1" w:rsidRDefault="00AA5D77">
      <w:r w:rsidRPr="006C40C1">
        <w:t>Frågor om särskilda skatteregler för tjänstesektorn har behandlats i Tjänsteu</w:t>
      </w:r>
      <w:r w:rsidRPr="006C40C1">
        <w:t>t</w:t>
      </w:r>
      <w:r w:rsidRPr="006C40C1">
        <w:softHyphen/>
        <w:t>redningens betänkande Uppskattad sysselsättning (SOU 1994:43) och i Tjänstebeskattningsutredningens betänkande Skatter, tjänster och sysselsät</w:t>
      </w:r>
      <w:r w:rsidRPr="006C40C1">
        <w:t>t</w:t>
      </w:r>
      <w:r w:rsidRPr="006C40C1">
        <w:softHyphen/>
        <w:t>ning (SOU 1997:17).</w:t>
      </w:r>
    </w:p>
    <w:p w:rsidR="00AA5D77" w:rsidRPr="006C40C1" w:rsidRDefault="00AA5D77">
      <w:pPr>
        <w:pStyle w:val="Normaltindrag"/>
      </w:pPr>
      <w:r w:rsidRPr="006C40C1">
        <w:t>En skattereduktion för byggnadsarbeten har tillämpats under perioden den 15 februari 1993–den 31 december 1994 (prop. 1992/93:150, bet. 1992/93: SkU36) och under perioden den 15 april 1996–den 31 mars 1999 (prop. 1995/96:229, bet. 1995/96:SkU32). Syftet har varit att åstadkomma en st</w:t>
      </w:r>
      <w:r w:rsidRPr="006C40C1">
        <w:t>i</w:t>
      </w:r>
      <w:r w:rsidRPr="006C40C1">
        <w:softHyphen/>
        <w:t>mulans av verksamheten inom byggsektorn och på så sätt motverka den då aktuella arbetslösheten.</w:t>
      </w:r>
    </w:p>
    <w:p w:rsidR="00AA5D77" w:rsidRPr="006C40C1" w:rsidRDefault="00AA5D77">
      <w:pPr>
        <w:pStyle w:val="R4"/>
      </w:pPr>
      <w:r w:rsidRPr="006C40C1">
        <w:t>Budgetpropositionen</w:t>
      </w:r>
    </w:p>
    <w:p w:rsidR="00AA5D77" w:rsidRPr="006C40C1" w:rsidRDefault="00AA5D77">
      <w:r w:rsidRPr="006C40C1">
        <w:t>I budgetpropositionen (avsnitt 8.7.2) tar regeringen upp frågan om den for</w:t>
      </w:r>
      <w:r w:rsidRPr="006C40C1">
        <w:t>t</w:t>
      </w:r>
      <w:r w:rsidRPr="006C40C1">
        <w:t>satta behand</w:t>
      </w:r>
      <w:r w:rsidRPr="006C40C1">
        <w:softHyphen/>
        <w:t>lingen av de utredningsförslag som lagts fram på området. R</w:t>
      </w:r>
      <w:r w:rsidRPr="006C40C1">
        <w:t>e</w:t>
      </w:r>
      <w:r w:rsidRPr="006C40C1">
        <w:t>geringen anför att den stigande arbetslösheten under 1990-talets första hälft aktualiserade frågan om en stimulans av den privata tjänstesektorn skulle kunna öka den aggregerade sysselsättningen och bidra till att minska arbet</w:t>
      </w:r>
      <w:r w:rsidRPr="006C40C1">
        <w:t>s</w:t>
      </w:r>
      <w:r w:rsidRPr="006C40C1">
        <w:t>lösheten. Regeringen tillkallade därför hösten 1996 en utredning med uppdrag att ana</w:t>
      </w:r>
      <w:r w:rsidRPr="006C40C1">
        <w:softHyphen/>
        <w:t>lysera de samhällsekonomiska effekterna av åtgärder som syftar till att sti</w:t>
      </w:r>
      <w:r w:rsidRPr="006C40C1">
        <w:softHyphen/>
        <w:t>mulera utbud och efterfrågan på privat tillhandahå</w:t>
      </w:r>
      <w:r w:rsidRPr="006C40C1">
        <w:t>llna tjänster, Tjänstebe</w:t>
      </w:r>
      <w:r w:rsidRPr="006C40C1">
        <w:softHyphen/>
        <w:t>skattningsutredningen. Fokus skulle särskilt riktas mot förväntade effekter på arbetslöshet och sysselsättning i privat och offentlig sektor. Utredningen överlämnade i mars 1997 betänkandet ”Skatter, tjänster och sysselsättning” (SOU 1997:17). Utredningen lämnade förslag om skattelättnader som, för</w:t>
      </w:r>
      <w:r w:rsidRPr="006C40C1">
        <w:softHyphen/>
        <w:t xml:space="preserve">utom att minska arbetslösheten, syftade till att motverka svartarbete. </w:t>
      </w:r>
    </w:p>
    <w:p w:rsidR="00AA5D77" w:rsidRPr="006C40C1" w:rsidRDefault="00AA5D77">
      <w:pPr>
        <w:pStyle w:val="Normaltindrag"/>
      </w:pPr>
      <w:r w:rsidRPr="006C40C1">
        <w:t>Regeringen anför vidare att senare analyser har visat att åtgärder av detta slag för att begränsa svartarbetets omf</w:t>
      </w:r>
      <w:r w:rsidRPr="006C40C1">
        <w:t>attning tenderar att bli offentligt fina</w:t>
      </w:r>
      <w:r w:rsidRPr="006C40C1">
        <w:t>n</w:t>
      </w:r>
      <w:r w:rsidRPr="006C40C1">
        <w:t>si</w:t>
      </w:r>
      <w:r w:rsidRPr="006C40C1">
        <w:softHyphen/>
        <w:t>ellt kostsamma och ineffektiva och att läget på arbetsmarknaden dessutom förändrats avsevärt sedan utredningen lämnat sitt betänkande. Den öppna arbetslösheten har halverats och i flera sektorer, bl.a. inom delar av tjänst</w:t>
      </w:r>
      <w:r w:rsidRPr="006C40C1">
        <w:t>e</w:t>
      </w:r>
      <w:r w:rsidRPr="006C40C1">
        <w:softHyphen/>
        <w:t>sektorn, är det snarare tendenser till arbetskraftsbrist som behöver uppmär</w:t>
      </w:r>
      <w:r w:rsidRPr="006C40C1">
        <w:t>k</w:t>
      </w:r>
      <w:r w:rsidRPr="006C40C1">
        <w:softHyphen/>
        <w:t>sammas. Regeringen ser därför inte något behov av att genomföra de av u</w:t>
      </w:r>
      <w:r w:rsidRPr="006C40C1">
        <w:t>t</w:t>
      </w:r>
      <w:r w:rsidRPr="006C40C1">
        <w:t>redningen föreslagna åtgärderna. Detta gäller enligt vad som anförs även de förslag som lämnade</w:t>
      </w:r>
      <w:r w:rsidRPr="006C40C1">
        <w:t>s 1994 av den s.k. Tjänsteutredningen i betänkandet Uppskattad sysselsättning – om skatternas betydelse för den privata tjänst</w:t>
      </w:r>
      <w:r w:rsidRPr="006C40C1">
        <w:t>e</w:t>
      </w:r>
      <w:r w:rsidRPr="006C40C1">
        <w:softHyphen/>
        <w:t>sektorn (SOU 1994:43).</w:t>
      </w:r>
    </w:p>
    <w:p w:rsidR="00AA5D77" w:rsidRPr="006C40C1" w:rsidRDefault="00AA5D77">
      <w:pPr>
        <w:pStyle w:val="R4"/>
      </w:pPr>
      <w:r w:rsidRPr="006C40C1">
        <w:t>Motioner</w:t>
      </w:r>
    </w:p>
    <w:p w:rsidR="00AA5D77" w:rsidRPr="006C40C1" w:rsidRDefault="00AA5D77">
      <w:r w:rsidRPr="006C40C1">
        <w:rPr>
          <w:i/>
        </w:rPr>
        <w:t xml:space="preserve">Moderata samlingspartiet, Kristdemokraterna, Centerpartiet </w:t>
      </w:r>
      <w:r w:rsidRPr="006C40C1">
        <w:t xml:space="preserve">och </w:t>
      </w:r>
      <w:r w:rsidRPr="006C40C1">
        <w:rPr>
          <w:i/>
        </w:rPr>
        <w:t xml:space="preserve">Folkpartiet liberalerna </w:t>
      </w:r>
      <w:r w:rsidRPr="006C40C1">
        <w:t>har i en gemensam motion (Sk402) lagt fram ett förslag om en skattereduktion för hushållstjänster. Förslaget innebär att en skattereduktion på 50 % införs för privatpersoners betalning av arbetskostnaden inklusive moms för hushållstjänster som utförs i det egna hemmet upp till 25 000 kr per år. Motionärerna anför att förslaget innebär att det vita priset halveras direkt vid köpet jämfört med dagens regler. Motionen har remitterats till skatte</w:t>
      </w:r>
      <w:r w:rsidRPr="006C40C1">
        <w:softHyphen/>
        <w:t>u</w:t>
      </w:r>
      <w:r w:rsidRPr="006C40C1">
        <w:t>t</w:t>
      </w:r>
      <w:r w:rsidRPr="006C40C1">
        <w:t xml:space="preserve">skottet och behandlas inte i detta </w:t>
      </w:r>
      <w:r w:rsidRPr="006C40C1">
        <w:t>ärende.</w:t>
      </w:r>
    </w:p>
    <w:p w:rsidR="00AA5D77" w:rsidRPr="006C40C1" w:rsidRDefault="00AA5D77">
      <w:pPr>
        <w:pStyle w:val="Normaltindrag"/>
      </w:pPr>
      <w:r w:rsidRPr="006C40C1">
        <w:t xml:space="preserve">I </w:t>
      </w:r>
      <w:r w:rsidRPr="006C40C1">
        <w:rPr>
          <w:i/>
        </w:rPr>
        <w:t>Moderata</w:t>
      </w:r>
      <w:r w:rsidRPr="006C40C1">
        <w:t xml:space="preserve"> </w:t>
      </w:r>
      <w:r w:rsidRPr="006C40C1">
        <w:rPr>
          <w:i/>
        </w:rPr>
        <w:t>samlingspartiets</w:t>
      </w:r>
      <w:r w:rsidRPr="006C40C1">
        <w:t xml:space="preserve"> motion Fi287 yrkande 29 av Lennart He</w:t>
      </w:r>
      <w:r w:rsidRPr="006C40C1">
        <w:t>d</w:t>
      </w:r>
      <w:r w:rsidRPr="006C40C1">
        <w:t xml:space="preserve">quist m.fl. (m) lägger motionärerna fram förslag om att en skattereduktion för privatpersoners betalning av arbetskostnaden på hushållsnära tjänster ska införas år 2003. </w:t>
      </w:r>
    </w:p>
    <w:p w:rsidR="00AA5D77" w:rsidRPr="006C40C1" w:rsidRDefault="00AA5D77">
      <w:pPr>
        <w:pStyle w:val="Normaltindrag"/>
      </w:pPr>
      <w:r w:rsidRPr="006C40C1">
        <w:t>Även</w:t>
      </w:r>
      <w:r w:rsidRPr="006C40C1">
        <w:rPr>
          <w:i/>
        </w:rPr>
        <w:t xml:space="preserve"> Folkpartiet</w:t>
      </w:r>
      <w:r w:rsidRPr="006C40C1">
        <w:t xml:space="preserve"> </w:t>
      </w:r>
      <w:r w:rsidRPr="006C40C1">
        <w:rPr>
          <w:i/>
        </w:rPr>
        <w:t>liberalerna</w:t>
      </w:r>
      <w:r w:rsidRPr="006C40C1">
        <w:t xml:space="preserve"> föreslår att en skattereduktion för hushåll</w:t>
      </w:r>
      <w:r w:rsidRPr="006C40C1">
        <w:t>s</w:t>
      </w:r>
      <w:r w:rsidRPr="006C40C1">
        <w:softHyphen/>
        <w:t>tjänster införs år 2003.</w:t>
      </w:r>
    </w:p>
    <w:p w:rsidR="00AA5D77" w:rsidRPr="006C40C1" w:rsidRDefault="00AA5D77">
      <w:pPr>
        <w:pStyle w:val="Normaltindrag"/>
      </w:pPr>
      <w:r w:rsidRPr="006C40C1">
        <w:rPr>
          <w:i/>
        </w:rPr>
        <w:t>Centerpartiet</w:t>
      </w:r>
      <w:r w:rsidRPr="006C40C1">
        <w:t xml:space="preserve"> föreslår i motion Fi286 yrkande 7 av Maud Olofsson m.fl. (c) en skattereduktion på 50 % för ROT-arbeten och hushållstjänster upp till 50 000 kr år 2004.</w:t>
      </w:r>
    </w:p>
    <w:p w:rsidR="00AA5D77" w:rsidRPr="006C40C1" w:rsidRDefault="00AA5D77">
      <w:pPr>
        <w:pStyle w:val="Normaltindrag"/>
      </w:pPr>
      <w:r w:rsidRPr="006C40C1">
        <w:t xml:space="preserve">Även </w:t>
      </w:r>
      <w:r w:rsidRPr="006C40C1">
        <w:rPr>
          <w:i/>
        </w:rPr>
        <w:t>Kristdemokraterna</w:t>
      </w:r>
      <w:r w:rsidRPr="006C40C1">
        <w:t xml:space="preserve"> föreslår i sitt alternativ att en skattereduktion för hushållstjänster införs år 2004.</w:t>
      </w:r>
    </w:p>
    <w:p w:rsidR="00AA5D77" w:rsidRPr="006C40C1" w:rsidRDefault="00AA5D77">
      <w:pPr>
        <w:pStyle w:val="R4"/>
      </w:pPr>
      <w:r w:rsidRPr="006C40C1">
        <w:t>Skatteutskottets yttrande</w:t>
      </w:r>
    </w:p>
    <w:p w:rsidR="00AA5D77" w:rsidRPr="006C40C1" w:rsidRDefault="00AA5D77">
      <w:r w:rsidRPr="006C40C1">
        <w:t>Skatteutskottet anför i sitt yttrande att införandet av en särskild stimulans för tjänstesektorn i de former som motionärerna föreslår skulle innebära ett a</w:t>
      </w:r>
      <w:r w:rsidRPr="006C40C1">
        <w:t>v</w:t>
      </w:r>
      <w:r w:rsidRPr="006C40C1">
        <w:t>steg från de principer om en likformig och neutral beskattning som ligger till grund för skattereformen och som enligt utskottets mening bör gälla. Utsko</w:t>
      </w:r>
      <w:r w:rsidRPr="006C40C1">
        <w:t>t</w:t>
      </w:r>
      <w:r w:rsidRPr="006C40C1">
        <w:t>tet delar också regeringens bedömning att det skulle vara kostsamt att genom stimu</w:t>
      </w:r>
      <w:r w:rsidRPr="006C40C1">
        <w:softHyphen/>
        <w:t>lanser försöka skapa en tjänsteproduktion som kan konkurrera med hushållens egen tjänsteproduktion. Risken är att effekterna på sysselsättnin</w:t>
      </w:r>
      <w:r w:rsidRPr="006C40C1">
        <w:t>g</w:t>
      </w:r>
      <w:r w:rsidRPr="006C40C1">
        <w:t>en blir mycket små eller inga alls, samtidigt som kostnaderna blir stora. De erfaren</w:t>
      </w:r>
      <w:r w:rsidRPr="006C40C1">
        <w:softHyphen/>
        <w:t xml:space="preserve">heter som man har gjort i Danmark talar för en </w:t>
      </w:r>
      <w:r w:rsidRPr="006C40C1">
        <w:t>sådan utgång. En st</w:t>
      </w:r>
      <w:r w:rsidRPr="006C40C1">
        <w:t>i</w:t>
      </w:r>
      <w:r w:rsidRPr="006C40C1">
        <w:t>mulans av denna typ skulle också leda till gränsdragningsproblem och ge upphov till svårkontrollerade gråzoner. Utskottet avstyrker motionsyrkand</w:t>
      </w:r>
      <w:r w:rsidRPr="006C40C1">
        <w:t>e</w:t>
      </w:r>
      <w:r w:rsidRPr="006C40C1">
        <w:t>na.</w:t>
      </w:r>
    </w:p>
    <w:p w:rsidR="00AA5D77" w:rsidRPr="006C40C1" w:rsidRDefault="00AA5D77">
      <w:pPr>
        <w:pStyle w:val="R4"/>
      </w:pPr>
      <w:bookmarkStart w:id="427" w:name="_Toc24531769"/>
      <w:bookmarkStart w:id="428" w:name="_Toc25055312"/>
      <w:r w:rsidRPr="006C40C1">
        <w:t>Finansutskottets ställningstagande</w:t>
      </w:r>
    </w:p>
    <w:p w:rsidR="00AA5D77" w:rsidRPr="006C40C1" w:rsidRDefault="00AA5D77">
      <w:r w:rsidRPr="006C40C1">
        <w:t xml:space="preserve">Finansutskottet delar skatteutskottets bedömning och avstyrker motionerna Fi286 (c) yrkande 7 och Fi287 (m) yrkande 29. </w:t>
      </w:r>
    </w:p>
    <w:p w:rsidR="00AA5D77" w:rsidRPr="006C40C1" w:rsidRDefault="00AA5D77">
      <w:pPr>
        <w:pStyle w:val="Utskottetsvervganden-RubrikFrslagspunkt"/>
      </w:pPr>
      <w:bookmarkStart w:id="429" w:name="_Toc25411155"/>
      <w:bookmarkStart w:id="430" w:name="_Toc26191479"/>
      <w:r w:rsidRPr="006C40C1">
        <w:t>3.3.8 Pensions- och kompetenssparande</w:t>
      </w:r>
      <w:bookmarkEnd w:id="427"/>
      <w:bookmarkEnd w:id="428"/>
      <w:bookmarkEnd w:id="429"/>
      <w:bookmarkEnd w:id="430"/>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motionsförslaget om att pensionssparandet ska utvidgas till ett pensions- och kompetenssparande.</w:t>
      </w:r>
    </w:p>
    <w:p w:rsidR="00AA5D77" w:rsidRPr="006C40C1" w:rsidRDefault="00AA5D77">
      <w:pPr>
        <w:pStyle w:val="Utskottsfrslagikorthet-Text"/>
      </w:pPr>
      <w:r w:rsidRPr="006C40C1">
        <w:t>Jämför reservationerna 8 (m) och 9 (fp).</w:t>
      </w:r>
    </w:p>
    <w:p w:rsidR="00AA5D77" w:rsidRPr="006C40C1" w:rsidRDefault="00AA5D77">
      <w:pPr>
        <w:pStyle w:val="R4"/>
      </w:pPr>
      <w:r w:rsidRPr="006C40C1">
        <w:t>Bakgrund</w:t>
      </w:r>
    </w:p>
    <w:p w:rsidR="00AA5D77" w:rsidRPr="006C40C1" w:rsidRDefault="00AA5D77">
      <w:r w:rsidRPr="006C40C1">
        <w:t>Pensionssparavdrag får enligt 59 kap. 2 § IL göras för premier för pension</w:t>
      </w:r>
      <w:r w:rsidRPr="006C40C1">
        <w:t>s</w:t>
      </w:r>
      <w:r w:rsidRPr="006C40C1">
        <w:softHyphen/>
        <w:t>försäkring som den skattskyldige äger och för inbetalningar på pensionsspar</w:t>
      </w:r>
      <w:r w:rsidRPr="006C40C1">
        <w:t>a</w:t>
      </w:r>
      <w:r w:rsidRPr="006C40C1">
        <w:softHyphen/>
        <w:t>rens eget pensionssparkonto. Pensionssparavdraget får inte överstiga summan av 0,5 prisbasbelopp och ett särskilt tillägg som är beroende av om pension</w:t>
      </w:r>
      <w:r w:rsidRPr="006C40C1">
        <w:t>s</w:t>
      </w:r>
      <w:r w:rsidRPr="006C40C1">
        <w:softHyphen/>
        <w:t>rätt föreligger eller ej. Om pensionsrätt föreligger i anställningen uppgår tillägget till 5 % av inkomsten mellan 10 och 20 prisbasbelopp. Om den skat</w:t>
      </w:r>
      <w:r w:rsidRPr="006C40C1">
        <w:t>t</w:t>
      </w:r>
      <w:r w:rsidRPr="006C40C1">
        <w:t>skyldige inte har pensionsrätt i sin anställning eller om inkomsten utgör aktiv näringsinkomst uppgår tillägget till 35 % av ink</w:t>
      </w:r>
      <w:r w:rsidRPr="006C40C1">
        <w:t>omsten, dock högst 10 pri</w:t>
      </w:r>
      <w:r w:rsidRPr="006C40C1">
        <w:t>s</w:t>
      </w:r>
      <w:r w:rsidRPr="006C40C1">
        <w:t>basbelopp.</w:t>
      </w:r>
    </w:p>
    <w:p w:rsidR="00AA5D77" w:rsidRPr="006C40C1" w:rsidRDefault="00AA5D77">
      <w:pPr>
        <w:pStyle w:val="Normaltindrag"/>
      </w:pPr>
      <w:r w:rsidRPr="006C40C1">
        <w:t>Riksdagen har under våren 2002 godkänt riktlinjer för ett system för ind</w:t>
      </w:r>
      <w:r w:rsidRPr="006C40C1">
        <w:t>i</w:t>
      </w:r>
      <w:r w:rsidRPr="006C40C1">
        <w:softHyphen/>
        <w:t>viduell kompetensutveckling. En utgångspunkt för systemet ska vara att ind</w:t>
      </w:r>
      <w:r w:rsidRPr="006C40C1">
        <w:t>i</w:t>
      </w:r>
      <w:r w:rsidRPr="006C40C1">
        <w:t>viden deltar med eget sparande på kompetenssparkonto. Den kompeten</w:t>
      </w:r>
      <w:r w:rsidRPr="006C40C1">
        <w:t>s</w:t>
      </w:r>
      <w:r w:rsidRPr="006C40C1">
        <w:softHyphen/>
        <w:t>utveckling som systemet ska stimulera ges en vid definition. Den enskilde individen ges möjlighet att med vissa begränsningar göra skattemässigt a</w:t>
      </w:r>
      <w:r w:rsidRPr="006C40C1">
        <w:t>v</w:t>
      </w:r>
      <w:r w:rsidRPr="006C40C1">
        <w:t>dragsgilla insättningar på kompetenssparkonton. En stimulans för arbetsgi</w:t>
      </w:r>
      <w:r w:rsidRPr="006C40C1">
        <w:softHyphen/>
        <w:t>vare att göra inbetalningar på en anställds kompetenssparkonto ska införas. Uttag från kompetenssparkonto beskattas som inkomst av tjänst. Vid utt</w:t>
      </w:r>
      <w:r w:rsidRPr="006C40C1">
        <w:t>ag i anslutning till kompetensutveckling lämnas en stimulans i form av en ko</w:t>
      </w:r>
      <w:r w:rsidRPr="006C40C1">
        <w:t>m</w:t>
      </w:r>
      <w:r w:rsidRPr="006C40C1">
        <w:softHyphen/>
        <w:t>petenspremie vars storlek bl.a. beror på längden på kompetensutvecklingen. Premien ges i form av en skattereduktion (prop. 2001/02:175, bet. 2001/02: AU10).</w:t>
      </w:r>
    </w:p>
    <w:p w:rsidR="00AA5D77" w:rsidRPr="006C40C1" w:rsidRDefault="00AA5D77">
      <w:pPr>
        <w:pStyle w:val="R4"/>
      </w:pPr>
      <w:r w:rsidRPr="006C40C1">
        <w:t>Motion</w:t>
      </w:r>
    </w:p>
    <w:p w:rsidR="00AA5D77" w:rsidRPr="006C40C1" w:rsidRDefault="00AA5D77">
      <w:r w:rsidRPr="006C40C1">
        <w:rPr>
          <w:i/>
        </w:rPr>
        <w:t>Folkpartiet</w:t>
      </w:r>
      <w:r w:rsidRPr="006C40C1">
        <w:t xml:space="preserve"> </w:t>
      </w:r>
      <w:r w:rsidRPr="006C40C1">
        <w:rPr>
          <w:i/>
        </w:rPr>
        <w:t>liberalerna</w:t>
      </w:r>
      <w:r w:rsidRPr="006C40C1">
        <w:t xml:space="preserve"> föreslår i motion Sk382 yrkande 7 av Lars Leijonborg m.fl. (fp) att dagens pensionssparande utvidgas så att avdrag medges upp till ett basbelopp, att sparandet får tas ut för att finansiera kompetensutveckling och att kvarstående sparande kan tas ut vid pe</w:t>
      </w:r>
      <w:r w:rsidRPr="006C40C1">
        <w:t>n</w:t>
      </w:r>
      <w:r w:rsidRPr="006C40C1">
        <w:t>sionering.</w:t>
      </w:r>
    </w:p>
    <w:p w:rsidR="00AA5D77" w:rsidRPr="006C40C1" w:rsidRDefault="00AA5D77">
      <w:pPr>
        <w:pStyle w:val="Normaltindrag"/>
      </w:pPr>
      <w:r w:rsidRPr="006C40C1">
        <w:rPr>
          <w:i/>
        </w:rPr>
        <w:t>Moderata</w:t>
      </w:r>
      <w:r w:rsidRPr="006C40C1">
        <w:t xml:space="preserve"> </w:t>
      </w:r>
      <w:r w:rsidRPr="006C40C1">
        <w:rPr>
          <w:i/>
        </w:rPr>
        <w:t xml:space="preserve">samlingspartiet </w:t>
      </w:r>
      <w:r w:rsidRPr="006C40C1">
        <w:t>har i motion Fi287 föreslagit att avdraget för pensionssparande höjs till ett basbelopp fr.o.m. år 2005. Förslaget har remitt</w:t>
      </w:r>
      <w:r w:rsidRPr="006C40C1">
        <w:t>e</w:t>
      </w:r>
      <w:r w:rsidRPr="006C40C1">
        <w:softHyphen/>
        <w:t>rats till skatteutskottet och behandlas inte i detta ärende.</w:t>
      </w:r>
    </w:p>
    <w:p w:rsidR="00AA5D77" w:rsidRPr="006C40C1" w:rsidRDefault="00AA5D77">
      <w:pPr>
        <w:pStyle w:val="R4"/>
      </w:pPr>
      <w:r w:rsidRPr="006C40C1">
        <w:t>Skatteutskottets yttrande</w:t>
      </w:r>
    </w:p>
    <w:p w:rsidR="00AA5D77" w:rsidRPr="006C40C1" w:rsidRDefault="00AA5D77">
      <w:r w:rsidRPr="006C40C1">
        <w:t>Skatteutskottet anför att det för närvarande pågår ett arbete med utformningen av de regler som behövs i ett system för individuell kompetensutveckling inom Regeringskansliet. En promemoria med förslag till skatteregler har upprättats inom Finansdeparte</w:t>
      </w:r>
      <w:r w:rsidRPr="006C40C1">
        <w:softHyphen/>
        <w:t>mentet och remissbehandlats över sommaren. Avsikten är att ett förslag med såväl skatteregler som övrig lagstiftning ska presenteras under hösten 2002 och att de nya reglerna ska kunna tillämpas fr.o.m. den 1 juli 2003. Enligt utskottets mening bör resultatet av regeringens arbete avvaktas, och utskottet avstyrker motionsyrkandet.</w:t>
      </w:r>
    </w:p>
    <w:p w:rsidR="00AA5D77" w:rsidRPr="006C40C1" w:rsidRDefault="00AA5D77">
      <w:pPr>
        <w:pStyle w:val="R4"/>
      </w:pPr>
      <w:bookmarkStart w:id="431" w:name="_Toc24531770"/>
      <w:bookmarkStart w:id="432" w:name="_Toc25055313"/>
      <w:r w:rsidRPr="006C40C1">
        <w:t>Finansutskottets ställningstagande</w:t>
      </w:r>
    </w:p>
    <w:p w:rsidR="00AA5D77" w:rsidRPr="006C40C1" w:rsidRDefault="00AA5D77">
      <w:r w:rsidRPr="006C40C1">
        <w:t>Finansutskottet delar skatteutskottets bedömning och avstyrker motion Sk382 (fp) yrkande 7.</w:t>
      </w:r>
    </w:p>
    <w:p w:rsidR="00AA5D77" w:rsidRPr="006C40C1" w:rsidRDefault="00AA5D77">
      <w:pPr>
        <w:pStyle w:val="Utskottetsvervganden-RubrikFrslagspunkt"/>
      </w:pPr>
      <w:bookmarkStart w:id="433" w:name="_Toc25411156"/>
      <w:bookmarkStart w:id="434" w:name="_Toc26191480"/>
      <w:r w:rsidRPr="006C40C1">
        <w:t>3.3.9 Gåvor till ideell verksamhet</w:t>
      </w:r>
      <w:bookmarkEnd w:id="431"/>
      <w:bookmarkEnd w:id="432"/>
      <w:bookmarkEnd w:id="433"/>
      <w:bookmarkEnd w:id="434"/>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motionsförslaget om en avdragsrätt för gåvor till internationellt bistånd.</w:t>
      </w:r>
    </w:p>
    <w:p w:rsidR="00AA5D77" w:rsidRPr="006C40C1" w:rsidRDefault="00AA5D77">
      <w:pPr>
        <w:pStyle w:val="Utskottsfrslagikorthet-Text"/>
      </w:pPr>
      <w:r w:rsidRPr="006C40C1">
        <w:t>Jämför reservation 9 (fp).</w:t>
      </w:r>
    </w:p>
    <w:p w:rsidR="00AA5D77" w:rsidRPr="006C40C1" w:rsidRDefault="00AA5D77">
      <w:pPr>
        <w:pStyle w:val="R4"/>
      </w:pPr>
      <w:r w:rsidRPr="006C40C1">
        <w:t>Motion</w:t>
      </w:r>
    </w:p>
    <w:p w:rsidR="00AA5D77" w:rsidRPr="006C40C1" w:rsidRDefault="00AA5D77">
      <w:pPr>
        <w:rPr>
          <w:snapToGrid w:val="0"/>
          <w:lang w:eastAsia="sv-SE"/>
        </w:rPr>
      </w:pPr>
      <w:r w:rsidRPr="006C40C1">
        <w:rPr>
          <w:i/>
        </w:rPr>
        <w:t>Folkpartiet</w:t>
      </w:r>
      <w:r w:rsidRPr="006C40C1">
        <w:t xml:space="preserve"> </w:t>
      </w:r>
      <w:r w:rsidRPr="006C40C1">
        <w:rPr>
          <w:i/>
        </w:rPr>
        <w:t>liberalerna</w:t>
      </w:r>
      <w:r w:rsidRPr="006C40C1">
        <w:t xml:space="preserve"> föreslår i motion Sk382 yrkande 14 av Lars Leijo</w:t>
      </w:r>
      <w:r w:rsidRPr="006C40C1">
        <w:t>n</w:t>
      </w:r>
      <w:r w:rsidRPr="006C40C1">
        <w:t>borg m.fl. (fp) att en avdragsrätt för gåvor till internationellt bistånd införs f</w:t>
      </w:r>
      <w:r w:rsidRPr="006C40C1">
        <w:rPr>
          <w:snapToGrid w:val="0"/>
          <w:lang w:eastAsia="sv-SE"/>
        </w:rPr>
        <w:t>ör att uppmuntra människor att dela med sig av sitt välstånd.</w:t>
      </w:r>
    </w:p>
    <w:p w:rsidR="00AA5D77" w:rsidRPr="006C40C1" w:rsidRDefault="00AA5D77">
      <w:pPr>
        <w:pStyle w:val="R4"/>
      </w:pPr>
      <w:r w:rsidRPr="006C40C1">
        <w:t>Skatteutskottets yttrande</w:t>
      </w:r>
    </w:p>
    <w:p w:rsidR="00AA5D77" w:rsidRPr="006C40C1" w:rsidRDefault="00AA5D77">
      <w:r w:rsidRPr="006C40C1">
        <w:t>Skatteutskottet anför att det är viktigt att det finns en demokratisk process bakom det stöd som samhället ger till frivilligarbete i kyrkliga organisationer, idrottsorganisationer, humanitära organisationer, internationellt bistånds</w:t>
      </w:r>
      <w:r w:rsidRPr="006C40C1">
        <w:softHyphen/>
        <w:t>arbete m.m. och att en avdragsrätt för gåvor till den här typen av verksamhet skulle minska utrymmet för det samhälleliga stödet och öka dessa viktiga verksam</w:t>
      </w:r>
      <w:r w:rsidRPr="006C40C1">
        <w:softHyphen/>
        <w:t>heters beroende av enskilda personers förmögenheter, förmåga och vilja att bidra.</w:t>
      </w:r>
    </w:p>
    <w:p w:rsidR="00AA5D77" w:rsidRPr="006C40C1" w:rsidRDefault="00AA5D77">
      <w:pPr>
        <w:pStyle w:val="Normaltindrag"/>
      </w:pPr>
      <w:r w:rsidRPr="006C40C1">
        <w:t>Utskottet understryker att det är önskvärt att skattesystemet så långt mö</w:t>
      </w:r>
      <w:r w:rsidRPr="006C40C1">
        <w:t>j</w:t>
      </w:r>
      <w:r w:rsidRPr="006C40C1">
        <w:t>ligt hålls fritt från inslag som inte hänger samman med dess grundläggande funktion att utgöra en säker bas för finansieringen av den gemensamma se</w:t>
      </w:r>
      <w:r w:rsidRPr="006C40C1">
        <w:t>k</w:t>
      </w:r>
      <w:r w:rsidRPr="006C40C1">
        <w:t>torn. Att belasta skattemyndigheterna med en kontroll av den här typen av stöd är enligt utskottets mening inte lämpligt. En ytterligare nackdel med att lämna stödet som ett skatteavdrag är att det inte på vanligt sätt blir föremål för en årlig och samlad prövning i samband med budgetberedningen. Utskottet avstyrker motionsförslaget.</w:t>
      </w:r>
    </w:p>
    <w:p w:rsidR="00AA5D77" w:rsidRPr="006C40C1" w:rsidRDefault="00AA5D77">
      <w:pPr>
        <w:pStyle w:val="R4"/>
      </w:pPr>
      <w:bookmarkStart w:id="435" w:name="_Toc24531771"/>
      <w:bookmarkStart w:id="436" w:name="_Toc25055314"/>
      <w:r w:rsidRPr="006C40C1">
        <w:t>Finansutskottets ställnings</w:t>
      </w:r>
      <w:r w:rsidRPr="006C40C1">
        <w:t>tagande</w:t>
      </w:r>
    </w:p>
    <w:p w:rsidR="00AA5D77" w:rsidRPr="006C40C1" w:rsidRDefault="00AA5D77">
      <w:r w:rsidRPr="006C40C1">
        <w:t xml:space="preserve">Finansutskottet delar skatteutskottets bedömning och avstyrker motion Sk382 (fp) yrkande 14. </w:t>
      </w:r>
    </w:p>
    <w:p w:rsidR="00AA5D77" w:rsidRPr="006C40C1" w:rsidRDefault="00AA5D77">
      <w:pPr>
        <w:pStyle w:val="Utskottetsvervganden-RubrikFrslagspunkt"/>
      </w:pPr>
      <w:bookmarkStart w:id="437" w:name="_Toc25411157"/>
      <w:bookmarkStart w:id="438" w:name="_Toc26191481"/>
      <w:r w:rsidRPr="006C40C1">
        <w:t>3.4 Juridiska personers inkomster</w:t>
      </w:r>
      <w:bookmarkEnd w:id="437"/>
      <w:bookmarkEnd w:id="438"/>
    </w:p>
    <w:p w:rsidR="00AA5D77" w:rsidRPr="006C40C1" w:rsidRDefault="00AA5D77">
      <w:pPr>
        <w:keepNext/>
        <w:spacing w:before="360" w:line="170" w:lineRule="exact"/>
        <w:rPr>
          <w:b/>
          <w:sz w:val="17"/>
        </w:rPr>
      </w:pPr>
      <w:r w:rsidRPr="006C40C1">
        <w:rPr>
          <w:b/>
          <w:sz w:val="17"/>
        </w:rPr>
        <w:t>Tabell 40. Inkomsttitel 1121 Juridiska personers inkomstskatt</w:t>
      </w:r>
    </w:p>
    <w:p w:rsidR="00AA5D77" w:rsidRPr="006C40C1" w:rsidRDefault="006C40C1">
      <w:r w:rsidRPr="006C40C1">
        <w:rPr>
          <w:noProof/>
        </w:rPr>
        <w:drawing>
          <wp:inline distT="0" distB="0" distL="0" distR="0">
            <wp:extent cx="3777615" cy="1104900"/>
            <wp:effectExtent l="0" t="0" r="0" b="0"/>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777615" cy="1104900"/>
                    </a:xfrm>
                    <a:prstGeom prst="rect">
                      <a:avLst/>
                    </a:prstGeom>
                    <a:noFill/>
                    <a:ln>
                      <a:noFill/>
                    </a:ln>
                  </pic:spPr>
                </pic:pic>
              </a:graphicData>
            </a:graphic>
          </wp:inline>
        </w:drawing>
      </w:r>
    </w:p>
    <w:p w:rsidR="00AA5D77" w:rsidRPr="006C40C1" w:rsidRDefault="00AA5D77">
      <w:pPr>
        <w:pStyle w:val="Utskottetsvervganden-RubrikFrslagspunkt"/>
      </w:pPr>
      <w:bookmarkStart w:id="439" w:name="_Toc25411158"/>
      <w:bookmarkStart w:id="440" w:name="_Toc26191482"/>
      <w:r w:rsidRPr="006C40C1">
        <w:t>3.4.1 Kapital och företagsbeskattning</w:t>
      </w:r>
      <w:bookmarkEnd w:id="435"/>
      <w:bookmarkEnd w:id="436"/>
      <w:bookmarkEnd w:id="439"/>
      <w:bookmarkEnd w:id="440"/>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slopad skatt på aktieutde</w:t>
      </w:r>
      <w:r w:rsidRPr="006C40C1">
        <w:t>l</w:t>
      </w:r>
      <w:r w:rsidRPr="006C40C1">
        <w:softHyphen/>
        <w:t>ning, riskkapitalavdrag, starta-eget-avdrag, höjd bolagsskatt och slopad arvsskatt på arbetande kapital i fåmansf</w:t>
      </w:r>
      <w:r w:rsidRPr="006C40C1">
        <w:t>ö</w:t>
      </w:r>
      <w:r w:rsidRPr="006C40C1">
        <w:t>retag.</w:t>
      </w:r>
    </w:p>
    <w:p w:rsidR="00AA5D77" w:rsidRPr="006C40C1" w:rsidRDefault="00AA5D77">
      <w:pPr>
        <w:pStyle w:val="Utskottsfrslagikorthet-Text"/>
      </w:pPr>
      <w:r w:rsidRPr="006C40C1">
        <w:t>Jämför reservationerna 8 (m), 9 (fp), 10 (kd) och 11 (c).</w:t>
      </w:r>
    </w:p>
    <w:p w:rsidR="00AA5D77" w:rsidRPr="006C40C1" w:rsidRDefault="00AA5D77">
      <w:pPr>
        <w:pStyle w:val="R4"/>
      </w:pPr>
      <w:r w:rsidRPr="006C40C1">
        <w:t>Bakgrund</w:t>
      </w:r>
    </w:p>
    <w:p w:rsidR="00AA5D77" w:rsidRPr="006C40C1" w:rsidRDefault="00AA5D77">
      <w:r w:rsidRPr="006C40C1">
        <w:t>Frågan om s.k. enkelbeskattning och dess inverkan på företagsinvesteringarna har utretts av 1992 års företagsskatteutredning. Utredningen avvisade i be</w:t>
      </w:r>
      <w:r w:rsidRPr="006C40C1">
        <w:softHyphen/>
        <w:t xml:space="preserve">tänkandet En lättnad i dubbelbeskattningen av mindre företags inkomster (SOU 1996:119) ett generellt slopande av dubbelbeskattningen som ett medel att förbättra villkoren för företagande. </w:t>
      </w:r>
    </w:p>
    <w:p w:rsidR="00AA5D77" w:rsidRPr="006C40C1" w:rsidRDefault="00AA5D77">
      <w:pPr>
        <w:pStyle w:val="Normaltindrag"/>
      </w:pPr>
      <w:r w:rsidRPr="006C40C1">
        <w:t>Genom lagstiftning under hösten 1996 (prop. 1996/97:45, bet. 1996/97: SkU13), som har kompletterats under våren 1997 (prop. 1996/97:150, bet. 1996/97:FiU20), har riksdagen genomfört lättnader i beskattningen av utde</w:t>
      </w:r>
      <w:r w:rsidRPr="006C40C1">
        <w:t>l</w:t>
      </w:r>
      <w:r w:rsidRPr="006C40C1">
        <w:softHyphen/>
        <w:t>ning och kapitalvinst på aktier i onoterade företag fr.o.m. 1998 års taxering. Lättnaderna ersatte det riskkapitalavdrag som införts tid</w:t>
      </w:r>
      <w:r w:rsidRPr="006C40C1">
        <w:t>i</w:t>
      </w:r>
      <w:r w:rsidRPr="006C40C1">
        <w:t>gare.</w:t>
      </w:r>
    </w:p>
    <w:p w:rsidR="00AA5D77" w:rsidRPr="006C40C1" w:rsidRDefault="00AA5D77">
      <w:pPr>
        <w:pStyle w:val="R4"/>
      </w:pPr>
      <w:r w:rsidRPr="006C40C1">
        <w:t>Motioner</w:t>
      </w:r>
    </w:p>
    <w:p w:rsidR="00AA5D77" w:rsidRPr="006C40C1" w:rsidRDefault="00AA5D77">
      <w:r w:rsidRPr="006C40C1">
        <w:rPr>
          <w:i/>
        </w:rPr>
        <w:t>Moderata</w:t>
      </w:r>
      <w:r w:rsidRPr="006C40C1">
        <w:t xml:space="preserve"> </w:t>
      </w:r>
      <w:r w:rsidRPr="006C40C1">
        <w:rPr>
          <w:i/>
        </w:rPr>
        <w:t>samlingspartiet</w:t>
      </w:r>
      <w:r w:rsidRPr="006C40C1">
        <w:t xml:space="preserve"> föreslår i motion Fi287 yrkande 26 av Lennart Hedquist m.fl. (m) att skatten på aktieutdelningar slopas fr.o.m. 2004 års taxering.</w:t>
      </w:r>
    </w:p>
    <w:p w:rsidR="00AA5D77" w:rsidRPr="006C40C1" w:rsidRDefault="00AA5D77">
      <w:pPr>
        <w:pStyle w:val="Normaltindrag"/>
      </w:pPr>
      <w:r w:rsidRPr="006C40C1">
        <w:rPr>
          <w:i/>
        </w:rPr>
        <w:t>Folkpartiet</w:t>
      </w:r>
      <w:r w:rsidRPr="006C40C1">
        <w:t xml:space="preserve"> </w:t>
      </w:r>
      <w:r w:rsidRPr="006C40C1">
        <w:rPr>
          <w:i/>
        </w:rPr>
        <w:t>liberalerna</w:t>
      </w:r>
      <w:r w:rsidRPr="006C40C1">
        <w:t xml:space="preserve"> anför i motion Sk382 yrkande 24 av Lars Leijo</w:t>
      </w:r>
      <w:r w:rsidRPr="006C40C1">
        <w:t>n</w:t>
      </w:r>
      <w:r w:rsidRPr="006C40C1">
        <w:t xml:space="preserve">borg m.fl. (fp) att beskattningen av aktieutdelningar bör avskaffas i etapper, och de föreslår att den halveras för privatpersoner under de närmaste två åren. </w:t>
      </w:r>
    </w:p>
    <w:p w:rsidR="00AA5D77" w:rsidRPr="006C40C1" w:rsidRDefault="00AA5D77">
      <w:pPr>
        <w:pStyle w:val="Normaltindrag"/>
      </w:pPr>
      <w:r w:rsidRPr="006C40C1">
        <w:rPr>
          <w:i/>
        </w:rPr>
        <w:t>Kristdemokraterna</w:t>
      </w:r>
      <w:r w:rsidRPr="006C40C1">
        <w:t xml:space="preserve"> föreslår i motion Fi256 yrkandena 19 och 20 av Alf Svensson m.fl. (kd) och motion Sk383 yrkandena 2, 6 och 14 av Per Lan</w:t>
      </w:r>
      <w:r w:rsidRPr="006C40C1">
        <w:t>d</w:t>
      </w:r>
      <w:r w:rsidRPr="006C40C1">
        <w:t>gren m.fl. (kd) att beskattningen av aktier avskaffas stegvis med en halvering av fysiska och juridiska personers utdelningsskatt år 2004 och med sikte på ett fullständigt slopande år 2005. Ett permanent riskkapitalavdrag för köp av aktier i onoterade bolag upp till 100 000 kr införs fr.o.m. år 2003. Bolag</w:t>
      </w:r>
      <w:r w:rsidRPr="006C40C1">
        <w:t>s</w:t>
      </w:r>
      <w:r w:rsidRPr="006C40C1">
        <w:t>skatten höjs till 30 % som en finansiering av avvecklad förmögenhets</w:t>
      </w:r>
      <w:r w:rsidRPr="006C40C1">
        <w:softHyphen/>
        <w:t xml:space="preserve">skatt m.m. </w:t>
      </w:r>
    </w:p>
    <w:p w:rsidR="00AA5D77" w:rsidRPr="006C40C1" w:rsidRDefault="00AA5D77">
      <w:pPr>
        <w:pStyle w:val="Normaltindrag"/>
      </w:pPr>
      <w:r w:rsidRPr="006C40C1">
        <w:t>I</w:t>
      </w:r>
      <w:r w:rsidRPr="006C40C1">
        <w:t xml:space="preserve"> </w:t>
      </w:r>
      <w:r w:rsidRPr="006C40C1">
        <w:rPr>
          <w:i/>
        </w:rPr>
        <w:t>Centerpartiets</w:t>
      </w:r>
      <w:r w:rsidRPr="006C40C1">
        <w:t xml:space="preserve"> motion Fi286 yrkandena 16, 17 och 22 av Maud Olofsson m.fl. (c) föreslås en avdragsrätt för starta-eget-sparande på upp till 40 000 kr om året, totalt högst 120 000 kr och ett personligt riskkapitalavdrag på högst 40 000 kr per år i tre år för start av företag utan hjälp av starta-eget-sparande. Motionärerna föreslår vidare att arvsskatten för arbetande kapital i fåmans</w:t>
      </w:r>
      <w:r w:rsidRPr="006C40C1">
        <w:softHyphen/>
        <w:t>f</w:t>
      </w:r>
      <w:r w:rsidRPr="006C40C1">
        <w:t>ö</w:t>
      </w:r>
      <w:r w:rsidRPr="006C40C1">
        <w:t>retag slopas.</w:t>
      </w:r>
    </w:p>
    <w:p w:rsidR="00AA5D77" w:rsidRPr="006C40C1" w:rsidRDefault="00AA5D77">
      <w:pPr>
        <w:pStyle w:val="R4"/>
      </w:pPr>
      <w:r w:rsidRPr="006C40C1">
        <w:t>Skatteutskottets yttrande</w:t>
      </w:r>
    </w:p>
    <w:p w:rsidR="00AA5D77" w:rsidRPr="006C40C1" w:rsidRDefault="00AA5D77">
      <w:r w:rsidRPr="006C40C1">
        <w:t>Skatteutskottet framhåller i sitt yttrande att regeringen i finansplanen tagit upp frågan om förändring av de mindre företagens beskattning. Regeringen anför i finansplanen att starka och livskraftiga företag är av avgö</w:t>
      </w:r>
      <w:r w:rsidRPr="006C40C1">
        <w:softHyphen/>
        <w:t>rande betydelse för att Sverige ska präglas av uthållig tillväxt och rättvisa och att det är angeläget att förbättra de skattemässiga villkoren för företagen. Det finns i dag drygt 800 000 företag i Sverige, varav drygt 600 000 enmans</w:t>
      </w:r>
      <w:r w:rsidRPr="006C40C1">
        <w:softHyphen/>
        <w:t>företag. Dessa företag utgör en viktig del i näringslivet, och deras vikt och betydelse för den svenska ekonomin kommer enligt vad som anförs i finansplanen sannolikt att öka ytterligare de kommande åren. Reglerna om beskattning av småföre</w:t>
      </w:r>
      <w:r w:rsidRPr="006C40C1">
        <w:softHyphen/>
        <w:t>tagsägares utdelning och kapitalvins</w:t>
      </w:r>
      <w:r w:rsidRPr="006C40C1">
        <w:t>t som löne- och kapitalinkomst är viktiga, och r</w:t>
      </w:r>
      <w:r w:rsidRPr="006C40C1">
        <w:t>e</w:t>
      </w:r>
      <w:r w:rsidRPr="006C40C1">
        <w:t>geringen vill under mandatperioden genomföra en förändring av dessa regler för att öka avkastningen för den som tar risken att starta ett eget företag och/eller expandera sin verksamhet. Regeringen avser även att ändra reglerna så att fler företag får lägre skatt vid generation</w:t>
      </w:r>
      <w:r w:rsidRPr="006C40C1">
        <w:t>s</w:t>
      </w:r>
      <w:r w:rsidRPr="006C40C1">
        <w:t>skiften.</w:t>
      </w:r>
    </w:p>
    <w:p w:rsidR="00AA5D77" w:rsidRPr="006C40C1" w:rsidRDefault="00AA5D77">
      <w:pPr>
        <w:pStyle w:val="Normaltindrag"/>
      </w:pPr>
      <w:r w:rsidRPr="006C40C1">
        <w:t>Enligt skatteutskottets mening visar de utredningar som gjorts på området att en slopad skatt på aktieutdelningar inte är ett verksamt medel för att fö</w:t>
      </w:r>
      <w:r w:rsidRPr="006C40C1">
        <w:t>r</w:t>
      </w:r>
      <w:r w:rsidRPr="006C40C1">
        <w:t>bättra de större företagens villkor. Tillgången till en internationell kapita</w:t>
      </w:r>
      <w:r w:rsidRPr="006C40C1">
        <w:t>l</w:t>
      </w:r>
      <w:r w:rsidRPr="006C40C1">
        <w:t>marknad gör att beskattningen av sparande endast i begränsad omfattning inverkar på företagens investeringsbenägenhet, och utskottet anser att en generell sänkning av skatten på ägarnas sparande i aktier inte är en effektiv metod för att förbättra villkoren för företagandet och avstyrker därför m</w:t>
      </w:r>
      <w:r w:rsidRPr="006C40C1">
        <w:t>o</w:t>
      </w:r>
      <w:r w:rsidRPr="006C40C1">
        <w:t>tionsyrka</w:t>
      </w:r>
      <w:r w:rsidRPr="006C40C1">
        <w:t>n</w:t>
      </w:r>
      <w:r w:rsidRPr="006C40C1">
        <w:t>dena om slopad skatt på aktieutdelning.</w:t>
      </w:r>
    </w:p>
    <w:p w:rsidR="00AA5D77" w:rsidRPr="006C40C1" w:rsidRDefault="00AA5D77">
      <w:pPr>
        <w:pStyle w:val="Normaltindrag"/>
      </w:pPr>
      <w:r w:rsidRPr="006C40C1">
        <w:t>För små och medelstora företag som inte i alla avseenden har tillgång till den intern</w:t>
      </w:r>
      <w:r w:rsidRPr="006C40C1">
        <w:t>ationella kapitalmarknaden kan det emellertid enligt skatteutskottets mening inte bortses från att den personliga kapitalbeskattningen inverkar på avkastningskravet och därmed i viss mån fungerar som en skatt på företagens investeringar, och detta förhållande har enligt vad som anförs i yttrandet beaktats i samband med att riksdagen på senare år beslutat om en rad än</w:t>
      </w:r>
      <w:r w:rsidRPr="006C40C1">
        <w:t>d</w:t>
      </w:r>
      <w:r w:rsidRPr="006C40C1">
        <w:t>ringar i syfte att förbättra villkoren för nyföretagande och entreprenör</w:t>
      </w:r>
      <w:r w:rsidRPr="006C40C1">
        <w:softHyphen/>
        <w:t>skap. En lättnad i beskattningen av utdelningar och kapitalvinster på</w:t>
      </w:r>
      <w:r w:rsidRPr="006C40C1">
        <w:t xml:space="preserve"> aktier i onoterade bolag infördes hösten 1996 och har utvidgats genom olika beslut under åren 1997 och 1998. Även villkoren för finansiering med egna vinst</w:t>
      </w:r>
      <w:r w:rsidRPr="006C40C1">
        <w:softHyphen/>
        <w:t>medel har förbättrats. Enskilda näringsidkare fick vid 1999 års taxering utvidgade mö</w:t>
      </w:r>
      <w:r w:rsidRPr="006C40C1">
        <w:t>j</w:t>
      </w:r>
      <w:r w:rsidRPr="006C40C1">
        <w:t>ligheter till reservering genom avsättning till periodiserings</w:t>
      </w:r>
      <w:r w:rsidRPr="006C40C1">
        <w:softHyphen/>
        <w:t>fond, och denna möjlighet har ytterligare förbättrats som ett resultat av en mer ingående u</w:t>
      </w:r>
      <w:r w:rsidRPr="006C40C1">
        <w:t>n</w:t>
      </w:r>
      <w:r w:rsidRPr="006C40C1">
        <w:t>dersökning av hur företagen använder periodiseringsfonderna (prop. 1999/2000:1 Förslag till statsbudget, finanspla</w:t>
      </w:r>
      <w:r w:rsidRPr="006C40C1">
        <w:t>n m.m.). Mot denna bakgrund finns det enligt skatteutskottets mening inte någon anledning att överväga att införa ett särskilt avdrag för investeringar i onoterade aktier. Utskottet avsty</w:t>
      </w:r>
      <w:r w:rsidRPr="006C40C1">
        <w:t>r</w:t>
      </w:r>
      <w:r w:rsidRPr="006C40C1">
        <w:t>ker därför förslaget om ett permanent riskkapitalav</w:t>
      </w:r>
      <w:r w:rsidRPr="006C40C1">
        <w:t>d</w:t>
      </w:r>
      <w:r w:rsidRPr="006C40C1">
        <w:t xml:space="preserve">rag. </w:t>
      </w:r>
    </w:p>
    <w:p w:rsidR="00AA5D77" w:rsidRPr="006C40C1" w:rsidRDefault="00AA5D77">
      <w:pPr>
        <w:pStyle w:val="Normaltindrag"/>
      </w:pPr>
      <w:r w:rsidRPr="006C40C1">
        <w:t>Skatteutskottet anför vidare att det är viktigt att skattereglerna inte lägger hinder i vägen för nyföretagande och entreprenörskap och att avkastningen för den som tar risken att starta ett eget företag eller att expandera sin ver</w:t>
      </w:r>
      <w:r w:rsidRPr="006C40C1">
        <w:t>k</w:t>
      </w:r>
      <w:r w:rsidRPr="006C40C1">
        <w:t>samhet är tillräcklig. Särskilda stimulanser i samband med nystart av företag ger emel</w:t>
      </w:r>
      <w:r w:rsidRPr="006C40C1">
        <w:softHyphen/>
        <w:t>lertid inte denna effekt utan skapar tvärtom en risk för att livskraftiga företag slås ut i konkurrensen med nystartade och skattegynnade företag, något som inte på sikt kan anses vara förenligt med kravet på stabila och goda regler för företagen. Utskottet är mot denna bakgrund inte berett att tillstyrka förslagen om ol</w:t>
      </w:r>
      <w:r w:rsidRPr="006C40C1">
        <w:t>i</w:t>
      </w:r>
      <w:r w:rsidRPr="006C40C1">
        <w:t>ka former av starta-eget-avdrag.</w:t>
      </w:r>
    </w:p>
    <w:p w:rsidR="00AA5D77" w:rsidRPr="006C40C1" w:rsidRDefault="00AA5D77">
      <w:pPr>
        <w:pStyle w:val="Normaltindrag"/>
      </w:pPr>
      <w:r w:rsidRPr="006C40C1">
        <w:t>När det gäller förslaget om avskaffad arvsskatt vid generationsskift</w:t>
      </w:r>
      <w:r w:rsidRPr="006C40C1">
        <w:t>en i f</w:t>
      </w:r>
      <w:r w:rsidRPr="006C40C1">
        <w:t>ö</w:t>
      </w:r>
      <w:r w:rsidRPr="006C40C1">
        <w:t xml:space="preserve">retag anför skatteutskottet att regeringens förslag bör avvaktas. </w:t>
      </w:r>
    </w:p>
    <w:p w:rsidR="00AA5D77" w:rsidRPr="006C40C1" w:rsidRDefault="00AA5D77">
      <w:pPr>
        <w:pStyle w:val="R4"/>
      </w:pPr>
      <w:bookmarkStart w:id="441" w:name="_Toc24531772"/>
      <w:bookmarkStart w:id="442" w:name="_Toc25055315"/>
      <w:r w:rsidRPr="006C40C1">
        <w:t>Finansutskottets ställningstagande</w:t>
      </w:r>
    </w:p>
    <w:p w:rsidR="00AA5D77" w:rsidRPr="006C40C1" w:rsidRDefault="00AA5D77">
      <w:r w:rsidRPr="006C40C1">
        <w:t xml:space="preserve">Finansutskottet delar skatteutskottets bedömning och avstyrker motionerna Fi256 (kd) yrkandena 19 och 20, Fi286 (c) yrkandena 16, 17 och 22, Fi287 (m) yrkande 26, Sk382 (fp) yrkande 24 och Sk383 (kd) yrkandena 2, 6 och 14. </w:t>
      </w:r>
    </w:p>
    <w:p w:rsidR="00AA5D77" w:rsidRPr="006C40C1" w:rsidRDefault="00AA5D77">
      <w:pPr>
        <w:pStyle w:val="Utskottetsvervganden-RubrikFrslagspunkt"/>
      </w:pPr>
      <w:bookmarkStart w:id="443" w:name="_Toc25411159"/>
      <w:bookmarkStart w:id="444" w:name="_Toc26191483"/>
      <w:r w:rsidRPr="006C40C1">
        <w:t>3.4.2 Avyttring av fåmansföretag genom andelsbyte</w:t>
      </w:r>
      <w:bookmarkEnd w:id="441"/>
      <w:bookmarkEnd w:id="442"/>
      <w:bookmarkEnd w:id="443"/>
      <w:bookmarkEnd w:id="444"/>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olika åtgärder i anslutning till fåmansbolagsägares andelsbyten.</w:t>
      </w:r>
    </w:p>
    <w:p w:rsidR="00AA5D77" w:rsidRPr="006C40C1" w:rsidRDefault="00AA5D77">
      <w:pPr>
        <w:pStyle w:val="Utskottsfrslagikorthet-Text"/>
      </w:pPr>
      <w:r w:rsidRPr="006C40C1">
        <w:t>Jämför reservationerna 8 (m), 9 (fp), 10 (kd) och 11 (c).</w:t>
      </w:r>
    </w:p>
    <w:p w:rsidR="00AA5D77" w:rsidRPr="006C40C1" w:rsidRDefault="00AA5D77">
      <w:pPr>
        <w:pStyle w:val="R4"/>
      </w:pPr>
      <w:r w:rsidRPr="006C40C1">
        <w:t>Bakgrund</w:t>
      </w:r>
    </w:p>
    <w:p w:rsidR="00AA5D77" w:rsidRPr="006C40C1" w:rsidRDefault="00AA5D77">
      <w:r w:rsidRPr="006C40C1">
        <w:t>Det förekommer att fåmansbolag avyttras genom byte mot andelar i ett annat företag. Om likviden till högst 10 % utgörs av kontanter och det är frågan om uppköp av ett helt företag är det möjligt att få uppskov med beskattningen av den vinst som uppkommer. Vinsten delas normalt upp i en tjänstebeskattad och en kapitalbeskattad del som en följd av de regler som gäller för fåmans</w:t>
      </w:r>
      <w:r w:rsidRPr="006C40C1">
        <w:softHyphen/>
        <w:t>f</w:t>
      </w:r>
      <w:r w:rsidRPr="006C40C1">
        <w:t>ö</w:t>
      </w:r>
      <w:r w:rsidRPr="006C40C1">
        <w:t>retag (3:12-reglerna). Om de mottagna andelarna sjunker i värde får förlus</w:t>
      </w:r>
      <w:r w:rsidRPr="006C40C1">
        <w:softHyphen/>
        <w:t xml:space="preserve">ten på vanligt sätt dras av i inkomstslaget kapital. Skatteeffekten av detta avdrag är dock lägre än den beskattning som träffar den tjänstebeskattade delen av vinsten. Kravet på skatt för den uppskjutna vinsten kvarstår även om de mottagna andelarna helt skulle förlora sitt värde. De komplikationer som uppkommer för den enskilde i fall som dessa har uppmärksammats under år 2001. </w:t>
      </w:r>
    </w:p>
    <w:p w:rsidR="00AA5D77" w:rsidRPr="006C40C1" w:rsidRDefault="00AA5D77">
      <w:pPr>
        <w:pStyle w:val="Normaltindrag"/>
      </w:pPr>
      <w:r w:rsidRPr="006C40C1">
        <w:t>Skatteutskottet behandlade i sitt yttrande över bu</w:t>
      </w:r>
      <w:r w:rsidRPr="006C40C1">
        <w:t>dgetpropositionen hösten 2001 (yttr. 2001/02:SkU1y) och under motionsbehandlingen våren 2002 (bet. 2001/02:SkU15) motioner som tog upp de problem som uppkommer när en företagare får betalt för sitt företag i andelar som sedan förlorar sitt värde. Vid den senare behandlingen hade ett analysarbete påbörjats i Finansdeparteme</w:t>
      </w:r>
      <w:r w:rsidRPr="006C40C1">
        <w:t>n</w:t>
      </w:r>
      <w:r w:rsidRPr="006C40C1">
        <w:softHyphen/>
        <w:t>tet, och den då aktuella motionen avstyrktes med hänvisning till detta arbete.</w:t>
      </w:r>
    </w:p>
    <w:p w:rsidR="00AA5D77" w:rsidRPr="006C40C1" w:rsidRDefault="00AA5D77">
      <w:pPr>
        <w:pStyle w:val="Normaltindrag"/>
      </w:pPr>
      <w:r w:rsidRPr="006C40C1">
        <w:t>Finansdepartementet presenterade den 12 april 2002 en promemoria om 3:12-reglerna och reglerna om andelsbyt</w:t>
      </w:r>
      <w:r w:rsidRPr="006C40C1">
        <w:t>en. I promemorian redovisades fyra tänkbara lösningar på problemet. I tre modeller mildras beskattningen av uppskovsbeloppet på olika sätt om de tillbytta andelarna sjunker i värde. I den fjärde modellen betraktas andelsbytet inte som en försäljning, utan beskat</w:t>
      </w:r>
      <w:r w:rsidRPr="006C40C1">
        <w:t>t</w:t>
      </w:r>
      <w:r w:rsidRPr="006C40C1">
        <w:softHyphen/>
        <w:t>ningen sker först när de tillbytta andelarna avyttras och då efter särskilda regler.</w:t>
      </w:r>
    </w:p>
    <w:p w:rsidR="00AA5D77" w:rsidRPr="006C40C1" w:rsidRDefault="00AA5D77">
      <w:pPr>
        <w:pStyle w:val="Normaltindrag"/>
      </w:pPr>
      <w:r w:rsidRPr="006C40C1">
        <w:t>I april 2002 tog skatteutskottet upp frågan till förnyade överväganden med anledning av att det arbete som pågick visat sig vara så komplicerat att bere</w:t>
      </w:r>
      <w:r w:rsidRPr="006C40C1">
        <w:t>d</w:t>
      </w:r>
      <w:r w:rsidRPr="006C40C1">
        <w:softHyphen/>
        <w:t>ningen inte beräknades kunna slutföras under våren. För att de berörda små</w:t>
      </w:r>
      <w:r w:rsidRPr="006C40C1">
        <w:softHyphen/>
        <w:t>företagarna skulle få besked i någon form om hur regelsystemet bör förändras föreslog utskottet att riksdagen skulle tillkännage för regeringen att den ska återkomma till riksdagen med ett förslag till en retroaktivt verkande lagän</w:t>
      </w:r>
      <w:r w:rsidRPr="006C40C1">
        <w:t>d</w:t>
      </w:r>
      <w:r w:rsidRPr="006C40C1">
        <w:softHyphen/>
        <w:t>ring som eliminerar de effekter som uppstår i förlustsituationer till följd av att ett tjänstebelopp ska tas upp till beskattning av den som genom ett up</w:t>
      </w:r>
      <w:r w:rsidRPr="006C40C1">
        <w:t>p</w:t>
      </w:r>
      <w:r w:rsidRPr="006C40C1">
        <w:softHyphen/>
        <w:t xml:space="preserve">skovsgrundande andelsbyte har avyttrat andelar </w:t>
      </w:r>
      <w:r w:rsidRPr="006C40C1">
        <w:t>i ett fåmansföretag. Utskottet uttalade att regeringen senast i augusti 2002 skulle återkomma till riksdagen med en proposition. Riksdagen biföll den 16 maj 2002 utskottets förslag ( bet. 2001/02:SkU29).</w:t>
      </w:r>
    </w:p>
    <w:p w:rsidR="00AA5D77" w:rsidRPr="006C40C1" w:rsidRDefault="00AA5D77">
      <w:pPr>
        <w:pStyle w:val="Normaltindrag"/>
      </w:pPr>
      <w:r w:rsidRPr="006C40C1">
        <w:t>Regeringen har den 13 november 2002 avlämnat proposition 2002/03:15 Utvidgning av reglerna om framskjuten beskattning vid vissa andelsbyten som behandlar den nu aktuella problematiken.</w:t>
      </w:r>
    </w:p>
    <w:p w:rsidR="00AA5D77" w:rsidRPr="006C40C1" w:rsidRDefault="00AA5D77">
      <w:pPr>
        <w:pStyle w:val="R4"/>
      </w:pPr>
      <w:r w:rsidRPr="006C40C1">
        <w:t>Motioner</w:t>
      </w:r>
    </w:p>
    <w:p w:rsidR="00AA5D77" w:rsidRPr="006C40C1" w:rsidRDefault="00AA5D77">
      <w:r w:rsidRPr="006C40C1">
        <w:t xml:space="preserve">I </w:t>
      </w:r>
      <w:r w:rsidRPr="006C40C1">
        <w:rPr>
          <w:i/>
        </w:rPr>
        <w:t>Moderata</w:t>
      </w:r>
      <w:r w:rsidRPr="006C40C1">
        <w:t xml:space="preserve"> </w:t>
      </w:r>
      <w:r w:rsidRPr="006C40C1">
        <w:rPr>
          <w:i/>
        </w:rPr>
        <w:t>samlingspartiets</w:t>
      </w:r>
      <w:r w:rsidRPr="006C40C1">
        <w:t xml:space="preserve"> motion Sk417 yrkandena 14 och 15 av Lennart Hedquist m.fl. (m) anför motionärerna att riksdagen bör lagstifta på egen hand om regeringen inte lägger fram något förslag, och motionärerna föreslår att riksdagen fattar beslut om att en försäljning av fåmansbolag där likvid erhållits i andelar och med villkor om att andelarna inte får säljas förrän vid en senare tidpunkt i sin helhet ska beskattas i inkomstslaget kapital. Beslutet bör gälla fr.o.m. den 1 januari 1999. Motionärerna anfö</w:t>
      </w:r>
      <w:r w:rsidRPr="006C40C1">
        <w:t>r vidare att även ko</w:t>
      </w:r>
      <w:r w:rsidRPr="006C40C1">
        <w:t>n</w:t>
      </w:r>
      <w:r w:rsidRPr="006C40C1">
        <w:t>tantbegränsningen vid uppskov ger orimliga effekter eftersom beräk</w:t>
      </w:r>
      <w:r w:rsidRPr="006C40C1">
        <w:softHyphen/>
        <w:t>ningen utgår från andelarnas nominella värde, och de föreslår att regeringen får åte</w:t>
      </w:r>
      <w:r w:rsidRPr="006C40C1">
        <w:t>r</w:t>
      </w:r>
      <w:r w:rsidRPr="006C40C1">
        <w:t>komma med ett förslag om att denna regel avskaffas fr.o.m. den 1 januari 1999.</w:t>
      </w:r>
    </w:p>
    <w:p w:rsidR="00AA5D77" w:rsidRPr="006C40C1" w:rsidRDefault="00AA5D77">
      <w:pPr>
        <w:pStyle w:val="Normaltindrag"/>
      </w:pPr>
      <w:r w:rsidRPr="006C40C1">
        <w:t xml:space="preserve">I </w:t>
      </w:r>
      <w:r w:rsidRPr="006C40C1">
        <w:rPr>
          <w:i/>
        </w:rPr>
        <w:t>Folkpartiet</w:t>
      </w:r>
      <w:r w:rsidRPr="006C40C1">
        <w:t xml:space="preserve"> </w:t>
      </w:r>
      <w:r w:rsidRPr="006C40C1">
        <w:rPr>
          <w:i/>
        </w:rPr>
        <w:t>liberalernas</w:t>
      </w:r>
      <w:r w:rsidRPr="006C40C1">
        <w:t xml:space="preserve"> motion Sk382 yrkande 22 av Lars Leijonborg m.fl. (fp) anförs att de problem som uppkommer vid uppskovsgrundande avyttring av fåmansföretag mot andelar också kan uppkomma i närliggande fall, och de begär ett tillkännagivande om att regeringen bör beakta detta förhållande vid sin utformning av den aviserade propositionen.</w:t>
      </w:r>
    </w:p>
    <w:p w:rsidR="00AA5D77" w:rsidRPr="006C40C1" w:rsidRDefault="00AA5D77">
      <w:pPr>
        <w:pStyle w:val="Normaltindrag"/>
      </w:pPr>
      <w:r w:rsidRPr="006C40C1">
        <w:t xml:space="preserve">I </w:t>
      </w:r>
      <w:r w:rsidRPr="006C40C1">
        <w:rPr>
          <w:i/>
        </w:rPr>
        <w:t>Centerpartiets</w:t>
      </w:r>
      <w:r w:rsidRPr="006C40C1">
        <w:t xml:space="preserve"> motion Fi286 yrkande 23 av Maud Olofsson m.fl. (c) a</w:t>
      </w:r>
      <w:r w:rsidRPr="006C40C1">
        <w:t>n</w:t>
      </w:r>
      <w:r w:rsidRPr="006C40C1">
        <w:t>förs att det blivit uppenbart att 3:12-reglerna ger upphov till problem för dem som sålt företag och fått betalt i andelar som sedan sjunkit i värde. Motion</w:t>
      </w:r>
      <w:r w:rsidRPr="006C40C1">
        <w:t>ä</w:t>
      </w:r>
      <w:r w:rsidRPr="006C40C1">
        <w:t>rerna noterar att regeringen lämnat en lagrådsremiss i ärendet men anser att riksdagen under alla omständigheter måste fatta ett beslut vid behandlingen av budgetpropositionen för år 2003. De föreslår därför att beskattningen av vinster vid andelsbyten ändras på ett sådant sätt att ande</w:t>
      </w:r>
      <w:r w:rsidRPr="006C40C1">
        <w:t>ls</w:t>
      </w:r>
      <w:r w:rsidRPr="006C40C1">
        <w:softHyphen/>
        <w:t>ägare kan välja om beskattning ska ske vid andelsbytet eller vid den slutliga försäljningen.</w:t>
      </w:r>
    </w:p>
    <w:p w:rsidR="00AA5D77" w:rsidRPr="006C40C1" w:rsidRDefault="00AA5D77">
      <w:pPr>
        <w:pStyle w:val="Normaltindrag"/>
      </w:pPr>
      <w:r w:rsidRPr="006C40C1">
        <w:t>I motion Fi261 av Per Rosengren (v) anförs att de problem som visat sig uppkomma vid uppskovsgrundande andelsbyten också kan uppkomma i andra fall. Gäller avyttringen konvertibler eller teckningsoptioner eller lägger ko</w:t>
      </w:r>
      <w:r w:rsidRPr="006C40C1">
        <w:t>n</w:t>
      </w:r>
      <w:r w:rsidRPr="006C40C1">
        <w:softHyphen/>
        <w:t>tantbegränsningsregeln hinder i vägen kan beskattningskonsekvenserna bli desamma. Motionären begär ett tillkännagivande om att det bör utredas om en begränsning till uppskovsfallen inte leder till att lika fall b</w:t>
      </w:r>
      <w:r w:rsidRPr="006C40C1">
        <w:t>e</w:t>
      </w:r>
      <w:r w:rsidRPr="006C40C1">
        <w:t>handlas olika.</w:t>
      </w:r>
    </w:p>
    <w:p w:rsidR="00AA5D77" w:rsidRPr="006C40C1" w:rsidRDefault="00AA5D77">
      <w:pPr>
        <w:pStyle w:val="R4"/>
      </w:pPr>
      <w:r w:rsidRPr="006C40C1">
        <w:t>Skatteutskottets yttrande</w:t>
      </w:r>
    </w:p>
    <w:p w:rsidR="00AA5D77" w:rsidRPr="006C40C1" w:rsidRDefault="00AA5D77">
      <w:r w:rsidRPr="006C40C1">
        <w:t>Skatteutskottet framhåller i sitt yttrande att regeringen i dagarna avlämnar en proposition till riksdagen med förslag om ändrade regler för beskattningen av vissa andelsbyten och att de nya reglerna under vissa förutsättningar ska få tillämpas retroaktivt på andelsbyten som skett under tiden den 1 januari 1999–den 31 december 2002. Utskottet ser positivt på att regeringen har avlämnat en proposition med det förslag till en retroaktivt verkande lagän</w:t>
      </w:r>
      <w:r w:rsidRPr="006C40C1">
        <w:t>d</w:t>
      </w:r>
      <w:r w:rsidRPr="006C40C1">
        <w:t>ring som riksdagen begärt och avser att ta ställning till den närmare utfor</w:t>
      </w:r>
      <w:r w:rsidRPr="006C40C1">
        <w:t>m</w:t>
      </w:r>
      <w:r w:rsidRPr="006C40C1">
        <w:t>ningen av de föreslagna lagänd</w:t>
      </w:r>
      <w:r w:rsidRPr="006C40C1">
        <w:softHyphen/>
        <w:t>ringarna under den fortsatta riksdagsbehan</w:t>
      </w:r>
      <w:r w:rsidRPr="006C40C1">
        <w:t>d</w:t>
      </w:r>
      <w:r w:rsidRPr="006C40C1">
        <w:t>lingen av regeringens förslag. Utskottet noterar att de förslag som läggs fram i propositionen inte beaktats vid regeringens inkomstberäkning.</w:t>
      </w:r>
    </w:p>
    <w:p w:rsidR="00AA5D77" w:rsidRPr="006C40C1" w:rsidRDefault="00AA5D77">
      <w:pPr>
        <w:pStyle w:val="Normaltindrag"/>
      </w:pPr>
      <w:r w:rsidRPr="006C40C1">
        <w:t>Skatteutskottet anser att den fortsatta riksdagsbehand</w:t>
      </w:r>
      <w:r w:rsidRPr="006C40C1">
        <w:softHyphen/>
        <w:t xml:space="preserve">lingen av regeringens förslag bör avvaktas och avstyrker därför de aktuella motionsyrkandena. </w:t>
      </w:r>
    </w:p>
    <w:p w:rsidR="00AA5D77" w:rsidRPr="006C40C1" w:rsidRDefault="00AA5D77">
      <w:pPr>
        <w:pStyle w:val="R4"/>
      </w:pPr>
      <w:bookmarkStart w:id="445" w:name="_Toc24531773"/>
      <w:bookmarkStart w:id="446" w:name="_Toc25055316"/>
      <w:r w:rsidRPr="006C40C1">
        <w:t>Finansutskottets ställningstagande</w:t>
      </w:r>
    </w:p>
    <w:p w:rsidR="00AA5D77" w:rsidRPr="006C40C1" w:rsidRDefault="00AA5D77">
      <w:r w:rsidRPr="006C40C1">
        <w:t>Finansutskottet delar skatteutskottets bedömning och avstyrker därför moti</w:t>
      </w:r>
      <w:r w:rsidRPr="006C40C1">
        <w:t>o</w:t>
      </w:r>
      <w:r w:rsidRPr="006C40C1">
        <w:t>nerna Fi261 (v), Fi286 (c) yrkande 23, Sk382 (fp) yrkande 22 och Sk417 (m) yrka</w:t>
      </w:r>
      <w:r w:rsidRPr="006C40C1">
        <w:t>n</w:t>
      </w:r>
      <w:r w:rsidRPr="006C40C1">
        <w:t>dena 14 och 15.</w:t>
      </w:r>
    </w:p>
    <w:p w:rsidR="00AA5D77" w:rsidRPr="006C40C1" w:rsidRDefault="00AA5D77">
      <w:pPr>
        <w:pStyle w:val="Normaltindrag"/>
      </w:pPr>
      <w:r w:rsidRPr="006C40C1">
        <w:t>Finansutskottet beaktar de förslag som regeringen lägger fram i propos</w:t>
      </w:r>
      <w:r w:rsidRPr="006C40C1">
        <w:t>i</w:t>
      </w:r>
      <w:r w:rsidRPr="006C40C1">
        <w:t>tion 2003/03:15 vid den inkomstberäkning som görs i detta ärende (se avsnitt 3.11 Beräkning av statsbudgetens inkomster för 2003).</w:t>
      </w:r>
    </w:p>
    <w:p w:rsidR="00AA5D77" w:rsidRPr="006C40C1" w:rsidRDefault="00AA5D77">
      <w:pPr>
        <w:pStyle w:val="Utskottetsvervganden-RubrikFrslagspunkt"/>
      </w:pPr>
      <w:bookmarkStart w:id="447" w:name="_Toc25411160"/>
      <w:bookmarkStart w:id="448" w:name="_Toc26191484"/>
      <w:r w:rsidRPr="006C40C1">
        <w:t>3.4.3 Beskattning av royaltyinkomster</w:t>
      </w:r>
      <w:bookmarkEnd w:id="445"/>
      <w:bookmarkEnd w:id="446"/>
      <w:bookmarkEnd w:id="447"/>
      <w:bookmarkEnd w:id="448"/>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skattefrihet och kapital</w:t>
      </w:r>
      <w:r w:rsidRPr="006C40C1">
        <w:softHyphen/>
        <w:t>b</w:t>
      </w:r>
      <w:r w:rsidRPr="006C40C1">
        <w:t>e</w:t>
      </w:r>
      <w:r w:rsidRPr="006C40C1">
        <w:t>skattning av royalty.</w:t>
      </w:r>
    </w:p>
    <w:p w:rsidR="00AA5D77" w:rsidRPr="006C40C1" w:rsidRDefault="00AA5D77">
      <w:pPr>
        <w:pStyle w:val="Utskottsfrslagikorthet-Text"/>
      </w:pPr>
      <w:r w:rsidRPr="006C40C1">
        <w:t>Jämför reservationerna 8 (m) och 10 (kd).</w:t>
      </w:r>
    </w:p>
    <w:p w:rsidR="00AA5D77" w:rsidRPr="006C40C1" w:rsidRDefault="00AA5D77">
      <w:pPr>
        <w:pStyle w:val="R4"/>
      </w:pPr>
      <w:r w:rsidRPr="006C40C1">
        <w:t>Bakgrund</w:t>
      </w:r>
    </w:p>
    <w:p w:rsidR="00AA5D77" w:rsidRPr="006C40C1" w:rsidRDefault="00AA5D77">
      <w:r w:rsidRPr="006C40C1">
        <w:t>Royalty ska enligt huvudregeln beskattas i inkomstslaget näringsverksam</w:t>
      </w:r>
      <w:r w:rsidRPr="006C40C1">
        <w:softHyphen/>
        <w:t>het. Om royalty grundar sig på anställning eller på uppdrag eller tillfällig ver</w:t>
      </w:r>
      <w:r w:rsidRPr="006C40C1">
        <w:t>k</w:t>
      </w:r>
      <w:r w:rsidRPr="006C40C1">
        <w:t>samhet som inte ingår i en näringsverksamhet ska den dock tas upp i inkoms</w:t>
      </w:r>
      <w:r w:rsidRPr="006C40C1">
        <w:t>t</w:t>
      </w:r>
      <w:r w:rsidRPr="006C40C1">
        <w:t>slaget tjänst.</w:t>
      </w:r>
    </w:p>
    <w:p w:rsidR="00AA5D77" w:rsidRPr="006C40C1" w:rsidRDefault="00AA5D77">
      <w:pPr>
        <w:pStyle w:val="R4"/>
      </w:pPr>
      <w:r w:rsidRPr="006C40C1">
        <w:t>Motioner</w:t>
      </w:r>
    </w:p>
    <w:p w:rsidR="00AA5D77" w:rsidRPr="006C40C1" w:rsidRDefault="00AA5D77">
      <w:r w:rsidRPr="006C40C1">
        <w:t xml:space="preserve">I </w:t>
      </w:r>
      <w:r w:rsidRPr="006C40C1">
        <w:rPr>
          <w:i/>
        </w:rPr>
        <w:t>Moderata</w:t>
      </w:r>
      <w:r w:rsidRPr="006C40C1">
        <w:t xml:space="preserve"> </w:t>
      </w:r>
      <w:r w:rsidRPr="006C40C1">
        <w:rPr>
          <w:i/>
        </w:rPr>
        <w:t>samlingspartiets</w:t>
      </w:r>
      <w:r w:rsidRPr="006C40C1">
        <w:t xml:space="preserve"> motion Fi287 yrkande 27 av Lennart Hedquist m.fl. (m) anförs att den nuvarande beskattningen av royalty från uppfinningar och patent driver uppfinningsrika innovatörer i landsflykt i stället för att slå vakt om deras kompetens för att utveckla nya idéer i Sverige. Motionärerna föreslår att royalty beskattas i i</w:t>
      </w:r>
      <w:r w:rsidRPr="006C40C1">
        <w:t>n</w:t>
      </w:r>
      <w:r w:rsidRPr="006C40C1">
        <w:t>komstslaget kapital fr.o.m. år 2003.</w:t>
      </w:r>
    </w:p>
    <w:p w:rsidR="00AA5D77" w:rsidRPr="006C40C1" w:rsidRDefault="00AA5D77">
      <w:pPr>
        <w:pStyle w:val="Normaltindrag"/>
      </w:pPr>
      <w:r w:rsidRPr="006C40C1">
        <w:t xml:space="preserve">I </w:t>
      </w:r>
      <w:r w:rsidRPr="006C40C1">
        <w:rPr>
          <w:i/>
        </w:rPr>
        <w:t>Kristdemokraternas</w:t>
      </w:r>
      <w:r w:rsidRPr="006C40C1">
        <w:t xml:space="preserve"> motion Sk383 yrkande 12 av Per Landgren m.fl. (kd) anförs att Sverige har en onormalt stor export av patent och uppfinningar som exploateras i andra länder, och de föreslår att royaltyinkomster befrias från skatt de två första åren för att därefter beskattas som inkomst av kapital.</w:t>
      </w:r>
    </w:p>
    <w:p w:rsidR="00AA5D77" w:rsidRPr="006C40C1" w:rsidRDefault="00AA5D77">
      <w:pPr>
        <w:pStyle w:val="R4"/>
      </w:pPr>
      <w:r w:rsidRPr="006C40C1">
        <w:t>Skatteutskottets yttrande</w:t>
      </w:r>
    </w:p>
    <w:p w:rsidR="00AA5D77" w:rsidRPr="006C40C1" w:rsidRDefault="00AA5D77">
      <w:r w:rsidRPr="006C40C1">
        <w:t>Skatteutskottet anför att det bör undvikas att införa särskilda skattestimulan</w:t>
      </w:r>
      <w:r w:rsidRPr="006C40C1">
        <w:softHyphen/>
        <w:t>ser för viss typ av verksamhet. Förslag om skattefrihet under begränsad tid för royaltyinkomster har tidigare föreslagits av Innovationsutredningen (SOU 1993:84) men har inte ansetts vara aktuella att genomföra. Utskottet avstyr</w:t>
      </w:r>
      <w:r w:rsidRPr="006C40C1">
        <w:softHyphen/>
        <w:t>ker motionerna.</w:t>
      </w:r>
    </w:p>
    <w:p w:rsidR="00AA5D77" w:rsidRPr="006C40C1" w:rsidRDefault="00AA5D77">
      <w:pPr>
        <w:pStyle w:val="R4"/>
      </w:pPr>
      <w:bookmarkStart w:id="449" w:name="_Toc24531774"/>
      <w:bookmarkStart w:id="450" w:name="_Toc25055317"/>
      <w:r w:rsidRPr="006C40C1">
        <w:t>Finansutskottets ställningstagande</w:t>
      </w:r>
    </w:p>
    <w:p w:rsidR="00AA5D77" w:rsidRPr="006C40C1" w:rsidRDefault="00AA5D77">
      <w:r w:rsidRPr="006C40C1">
        <w:t>Finansutskottet delar skatteutskottets bedömning och avstyrker motionerna Fi287 (m) yrkande 27 och Sk383 (kd) yrkande 12.</w:t>
      </w:r>
    </w:p>
    <w:p w:rsidR="00AA5D77" w:rsidRPr="006C40C1" w:rsidRDefault="00AA5D77">
      <w:pPr>
        <w:pStyle w:val="Utskottetsvervganden-RubrikFrslagspunkt"/>
      </w:pPr>
      <w:bookmarkStart w:id="451" w:name="_Toc25411161"/>
      <w:bookmarkStart w:id="452" w:name="_Toc26191485"/>
      <w:r w:rsidRPr="006C40C1">
        <w:t>3.5 Social- och arbetsgivaravgifter</w:t>
      </w:r>
      <w:bookmarkEnd w:id="451"/>
      <w:bookmarkEnd w:id="452"/>
    </w:p>
    <w:p w:rsidR="00AA5D77" w:rsidRPr="006C40C1" w:rsidRDefault="00AA5D77">
      <w:pPr>
        <w:keepNext/>
        <w:spacing w:before="360" w:line="170" w:lineRule="exact"/>
        <w:rPr>
          <w:b/>
          <w:sz w:val="17"/>
        </w:rPr>
      </w:pPr>
      <w:r w:rsidRPr="006C40C1">
        <w:rPr>
          <w:b/>
          <w:sz w:val="17"/>
        </w:rPr>
        <w:t>Tabell 41. Huvudgrupp 1200 Socialavgifter och allmän pensionsavgift</w:t>
      </w:r>
    </w:p>
    <w:p w:rsidR="00AA5D77" w:rsidRPr="006C40C1" w:rsidRDefault="006C40C1">
      <w:r w:rsidRPr="006C40C1">
        <w:rPr>
          <w:noProof/>
        </w:rPr>
        <w:drawing>
          <wp:inline distT="0" distB="0" distL="0" distR="0">
            <wp:extent cx="3771900" cy="1191895"/>
            <wp:effectExtent l="0" t="0" r="0" b="0"/>
            <wp:docPr id="46" name="Bild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71900" cy="1191895"/>
                    </a:xfrm>
                    <a:prstGeom prst="rect">
                      <a:avLst/>
                    </a:prstGeom>
                    <a:noFill/>
                    <a:ln>
                      <a:noFill/>
                    </a:ln>
                  </pic:spPr>
                </pic:pic>
              </a:graphicData>
            </a:graphic>
          </wp:inline>
        </w:drawing>
      </w:r>
    </w:p>
    <w:p w:rsidR="00AA5D77" w:rsidRPr="006C40C1" w:rsidRDefault="00AA5D77">
      <w:pPr>
        <w:pStyle w:val="Utskottetsvervganden-RubrikFrslagspunkt"/>
      </w:pPr>
      <w:bookmarkStart w:id="453" w:name="_Toc25411162"/>
      <w:bookmarkStart w:id="454" w:name="_Toc26191486"/>
      <w:r w:rsidRPr="006C40C1">
        <w:t>3.5.1 Förändrade nivåer för socialavgifter m.m.</w:t>
      </w:r>
      <w:bookmarkEnd w:id="453"/>
      <w:bookmarkEnd w:id="454"/>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om förändrade nivåer för socialavgifterna och avstyrker motionsförslagen om utvidgning av den regionala nedsättningen, höjning av den generella nedsättnin</w:t>
      </w:r>
      <w:r w:rsidRPr="006C40C1">
        <w:t>g</w:t>
      </w:r>
      <w:r w:rsidRPr="006C40C1">
        <w:t>en m.m.</w:t>
      </w:r>
    </w:p>
    <w:p w:rsidR="00AA5D77" w:rsidRPr="006C40C1" w:rsidRDefault="00AA5D77">
      <w:pPr>
        <w:pStyle w:val="Utskottsfrslagikorthet-Text"/>
      </w:pPr>
      <w:r w:rsidRPr="006C40C1">
        <w:t>Jämför reservationerna 8 (m), 9 (fp), 10 (kd) och 11 (c).</w:t>
      </w:r>
    </w:p>
    <w:p w:rsidR="00AA5D77" w:rsidRPr="006C40C1" w:rsidRDefault="00AA5D77">
      <w:pPr>
        <w:pStyle w:val="R4"/>
      </w:pPr>
      <w:r w:rsidRPr="006C40C1">
        <w:t>Bakgrund</w:t>
      </w:r>
    </w:p>
    <w:p w:rsidR="00AA5D77" w:rsidRPr="006C40C1" w:rsidRDefault="00AA5D77">
      <w:r w:rsidRPr="006C40C1">
        <w:t xml:space="preserve">Socialförsäkringarna finansieras av allmän pensionsavgift, socialavgifter, statlig ålderspensionsavgift och allmänna skattemedel. </w:t>
      </w:r>
    </w:p>
    <w:p w:rsidR="00AA5D77" w:rsidRPr="006C40C1" w:rsidRDefault="00AA5D77">
      <w:pPr>
        <w:pStyle w:val="Normaltindrag"/>
      </w:pPr>
      <w:r w:rsidRPr="006C40C1">
        <w:t>Den nya socialavgiftslagen (2000:980), som trädde i kraft den 1 januari 2001, innebär främst en lagteknisk och språklig bearbetning av de tidigare bestämmelserna om socialavgifter samt en anpassning till den nya socialfö</w:t>
      </w:r>
      <w:r w:rsidRPr="006C40C1">
        <w:t>r</w:t>
      </w:r>
      <w:r w:rsidRPr="006C40C1">
        <w:t>säkringslagen (1999:799). Socialavgifter utgörs av arbetsgivaravgifter och egenavgifter och tas ut för att finansiera systemen för social trygghet.</w:t>
      </w:r>
    </w:p>
    <w:p w:rsidR="00AA5D77" w:rsidRPr="006C40C1" w:rsidRDefault="00AA5D77">
      <w:pPr>
        <w:pStyle w:val="Normaltindrag"/>
      </w:pPr>
      <w:r w:rsidRPr="006C40C1">
        <w:t>Arbetsgivaravgifter betalas av arbetsgivare och andra personer som ger ut ersättning som är avgiftspliktig enligt 2 kap. socialavgiftslagen. Avgiftspliktig ersättning är främst löner, arvoden och andra skattepliktiga  förmåner. A</w:t>
      </w:r>
      <w:r w:rsidRPr="006C40C1">
        <w:t>v</w:t>
      </w:r>
      <w:r w:rsidRPr="006C40C1">
        <w:t>giftsunderlaget för beräkning av arbetsgivaravgifter består av summan av de avgiftspliktiga ersättningar som har utgetts under en kalendermånad. Arbet</w:t>
      </w:r>
      <w:r w:rsidRPr="006C40C1">
        <w:t>s</w:t>
      </w:r>
      <w:r w:rsidRPr="006C40C1">
        <w:t>givaravgifterna uppgår till 30,13 % av avgiftsunderlaget, varav sjukförsä</w:t>
      </w:r>
      <w:r w:rsidRPr="006C40C1">
        <w:t>k</w:t>
      </w:r>
      <w:r w:rsidRPr="006C40C1">
        <w:t>ringsavgiften utgör 8,80 %, arbetsmarknadsavgiften 5,84 % och arbetsskad</w:t>
      </w:r>
      <w:r w:rsidRPr="006C40C1">
        <w:t>e</w:t>
      </w:r>
      <w:r w:rsidRPr="006C40C1">
        <w:t xml:space="preserve">avgiften 1,38 %. </w:t>
      </w:r>
    </w:p>
    <w:p w:rsidR="00AA5D77" w:rsidRPr="006C40C1" w:rsidRDefault="00AA5D77">
      <w:pPr>
        <w:pStyle w:val="Normaltindrag"/>
      </w:pPr>
      <w:r w:rsidRPr="006C40C1">
        <w:t>Egenavgifter betalas av fysiska personer som har avgiftspliktig inkomst enligt 3 kap. socialavgiftslagen. I första hand betalas egenavgifter för öve</w:t>
      </w:r>
      <w:r w:rsidRPr="006C40C1">
        <w:t>r</w:t>
      </w:r>
      <w:r w:rsidRPr="006C40C1">
        <w:t>skott av näringsverksamhet i vilken den som har inkomsten har arbetat i inte oväsentlig utsträckning. Egenavgifterna uppgår till 28,32 % av avgiftsunde</w:t>
      </w:r>
      <w:r w:rsidRPr="006C40C1">
        <w:t>r</w:t>
      </w:r>
      <w:r w:rsidRPr="006C40C1">
        <w:t xml:space="preserve">laget, varav sjukförsäkringsavgiften utgör 9,53 %, arbetsskadeavgiften 1,38 % och arbetsmarknadsavgiften 3,30 %. </w:t>
      </w:r>
    </w:p>
    <w:p w:rsidR="00AA5D77" w:rsidRPr="006C40C1" w:rsidRDefault="00AA5D77">
      <w:pPr>
        <w:pStyle w:val="Normaltindrag"/>
      </w:pPr>
      <w:r w:rsidRPr="006C40C1">
        <w:t>Vid beräkning av arbetsgivaravgifterna gäller att en arbetsgivare varje m</w:t>
      </w:r>
      <w:r w:rsidRPr="006C40C1">
        <w:t>å</w:t>
      </w:r>
      <w:r w:rsidRPr="006C40C1">
        <w:t>nad får göra avdrag med 5 % av avgiftsunderlaget, dock högst med 3 550 kr, vilket motsvarar en årlig lönesumma på 852 000 kr. När det gäller beräkning av egenavgifter får avdrag göras med 5 % av avgiftsunderlaget, dock högst med 9 000 kr per år, vilket motsvarar ett avgiftsunderlag på 180 000 kr.</w:t>
      </w:r>
    </w:p>
    <w:p w:rsidR="00AA5D77" w:rsidRPr="006C40C1" w:rsidRDefault="00AA5D77">
      <w:pPr>
        <w:pStyle w:val="Normaltindrag"/>
      </w:pPr>
      <w:r w:rsidRPr="006C40C1">
        <w:t>Sverige hade tidigare även en regional nedsättning av socialavgifterna men tvingades upphöra med nedsättningen med anledning av att EG-kommissionen i december 2000 inte fann stödet förenligt med EG:s stat</w:t>
      </w:r>
      <w:r w:rsidRPr="006C40C1">
        <w:t>s</w:t>
      </w:r>
      <w:r w:rsidRPr="006C40C1">
        <w:t>stödsregler. Dessa regler tillät driftsstöd i Sverige endast i form av bidrag till transport av varor. Sverige utnyttjade denna möjlighet genom stödformen regionalt transportbidrag. I övrigt kunde driftsstöd endast lämnas inom ramen för s.k. försumbart stöd. Det innebär att offentligt stöd till ett enskilt företag inte får uppgå till mer än sammanlagt 100 000 euro under en treårsperiod. En sådan period kan sedan följas av en ny treårsperiod.</w:t>
      </w:r>
    </w:p>
    <w:p w:rsidR="00AA5D77" w:rsidRPr="006C40C1" w:rsidRDefault="00AA5D77">
      <w:pPr>
        <w:pStyle w:val="Normaltindrag"/>
      </w:pPr>
      <w:r w:rsidRPr="006C40C1">
        <w:t>Genom lagen (2001:1170) om utvidgning av de särskilda avdragen en</w:t>
      </w:r>
      <w:r w:rsidRPr="006C40C1">
        <w:t>ligt socialavgiftslagen (2000:980), som trädde i kraft den 1 januari 2002, infördes en regional stimulans för företagandet i stödområde A. Lagen är utformad så att den ryms inom ramen för det s.k. försumbara stödet. Företag inom sekt</w:t>
      </w:r>
      <w:r w:rsidRPr="006C40C1">
        <w:t>o</w:t>
      </w:r>
      <w:r w:rsidRPr="006C40C1">
        <w:t>rerna kol och stål, jordbruk, vattenbruk och fiske samt transport är därmed uteslutna. Stimulansen lämnas genom utvidgade avdrag på 10 %, utöver avdragen på 5 %, vid beräkningen av arbetsgivaravgifter och egenavgifter. Avdragen är maximerade på samma sätt som avdragen på 5 %. D</w:t>
      </w:r>
      <w:r w:rsidRPr="006C40C1">
        <w:t xml:space="preserve">et utvidgade avdraget avseende arbetsgivaravgifter är därför maximerat till 7 100 kr per månad och avseende egenavgifter till 18 000 kr per år. </w:t>
      </w:r>
    </w:p>
    <w:p w:rsidR="00AA5D77" w:rsidRPr="006C40C1" w:rsidRDefault="00AA5D77">
      <w:pPr>
        <w:pStyle w:val="Normaltindrag"/>
      </w:pPr>
      <w:r w:rsidRPr="006C40C1">
        <w:t>Den 23 juli 2002 upphörde fördraget om upprättande av Europeiska kol- och stålgemenskapen att gälla. Det innebär att det inte längre finns något EG-rättsligt hinder att låta verksamhet inom kol- och stålindustrin omfattas av det särskilda avdraget. Regeringen har i proposition 2002/03:5 Vissa mervärde</w:t>
      </w:r>
      <w:r w:rsidRPr="006C40C1">
        <w:t>s</w:t>
      </w:r>
      <w:r w:rsidRPr="006C40C1">
        <w:t>frågor m.m. lagt fram ett förslag om upphävande av bestämmelsen att lagen inte ska tillämpas på verksamhet inom kol- och stålindustri.</w:t>
      </w:r>
    </w:p>
    <w:p w:rsidR="00AA5D77" w:rsidRPr="006C40C1" w:rsidRDefault="00AA5D77">
      <w:pPr>
        <w:pStyle w:val="Normaltindrag"/>
      </w:pPr>
      <w:r w:rsidRPr="006C40C1">
        <w:t xml:space="preserve">Arbetsgivare och egenföretagare ska också enligt lagen (1994:1920) om allmän löneavgift betala allmän löneavgift med 2,69 %. </w:t>
      </w:r>
    </w:p>
    <w:p w:rsidR="00AA5D77" w:rsidRPr="006C40C1" w:rsidRDefault="00AA5D77">
      <w:pPr>
        <w:pStyle w:val="R4"/>
      </w:pPr>
      <w:r w:rsidRPr="006C40C1">
        <w:t xml:space="preserve">Budgetpropositionen </w:t>
      </w:r>
    </w:p>
    <w:p w:rsidR="00AA5D77" w:rsidRPr="006C40C1" w:rsidRDefault="00AA5D77">
      <w:r w:rsidRPr="006C40C1">
        <w:t>I propositionen (avsnitt 8.2.2, punkterna 28 och 29) föreslår regeringen än</w:t>
      </w:r>
      <w:r w:rsidRPr="006C40C1">
        <w:t>d</w:t>
      </w:r>
      <w:r w:rsidRPr="006C40C1">
        <w:t>ringar av enskilda avgiftssatser medan det totala avgiftsuttaget behålls ofö</w:t>
      </w:r>
      <w:r w:rsidRPr="006C40C1">
        <w:t>r</w:t>
      </w:r>
      <w:r w:rsidRPr="006C40C1">
        <w:t>ändrat. Regeringen framhåller att ett syfte med den förändrade avgiftsstruktur som riksdagen beslutat med anledning av budgetpropositionen för år 1998 (prop. 1997/98:1, bet. 1997/98:FiU1, rskr. 1997/98:36) var att inom ramen för ett i princip oförändrat avgiftsuttag skapa bättre samstämmighet mellan i</w:t>
      </w:r>
      <w:r w:rsidRPr="006C40C1">
        <w:t>n</w:t>
      </w:r>
      <w:r w:rsidRPr="006C40C1">
        <w:t>komster och utgifter i bl.a. sjukförsäkringssystemet. Underlaget för sociala</w:t>
      </w:r>
      <w:r w:rsidRPr="006C40C1">
        <w:t>v</w:t>
      </w:r>
      <w:r w:rsidRPr="006C40C1">
        <w:t>gifterna berä</w:t>
      </w:r>
      <w:r w:rsidRPr="006C40C1">
        <w:t>k</w:t>
      </w:r>
      <w:r w:rsidRPr="006C40C1">
        <w:t>nas till totalt ca 1 033 miljarder krono</w:t>
      </w:r>
      <w:r w:rsidRPr="006C40C1">
        <w:t xml:space="preserve">r för 2003. </w:t>
      </w:r>
    </w:p>
    <w:p w:rsidR="00AA5D77" w:rsidRPr="006C40C1" w:rsidRDefault="00AA5D77">
      <w:pPr>
        <w:pStyle w:val="Normaltindrag"/>
      </w:pPr>
      <w:r w:rsidRPr="006C40C1">
        <w:t>För 2003 beräknas de kostnader som sjukförsäkringsavgiften ska täcka uppgå till 110,14 miljarder kronor. Regeringen föreslår därför att sjukförsä</w:t>
      </w:r>
      <w:r w:rsidRPr="006C40C1">
        <w:t>k</w:t>
      </w:r>
      <w:r w:rsidRPr="006C40C1">
        <w:t xml:space="preserve">ringsavgiften i arbetsgivaravgifterna höjs till 11,08 % av avgiftsunderlaget och till 11,81 % av avgiftsunderlaget i egenavgifterna. </w:t>
      </w:r>
    </w:p>
    <w:p w:rsidR="00AA5D77" w:rsidRPr="006C40C1" w:rsidRDefault="00AA5D77">
      <w:pPr>
        <w:pStyle w:val="Normaltindrag"/>
      </w:pPr>
      <w:r w:rsidRPr="006C40C1">
        <w:t xml:space="preserve">För 2003 beräknas de kostnader som arbetsskadeavgiften ska täcka uppgå till 6,72 miljarder kronor. Regeringen föreslår därför att arbetsskadeavgiften i arbetsgivaravgiften och i egenavgiften sänks till 0,68 % av avgiftsunderlaget. </w:t>
      </w:r>
    </w:p>
    <w:p w:rsidR="00AA5D77" w:rsidRPr="006C40C1" w:rsidRDefault="00AA5D77">
      <w:pPr>
        <w:pStyle w:val="Normaltindrag"/>
      </w:pPr>
      <w:r w:rsidRPr="006C40C1">
        <w:t>För 2003 beräknas de kostnader som arbetsmarknadsavgiften ska täcka uppgå till 36,83 miljarder kronor. Regeringen föreslår därför att arbetsmar</w:t>
      </w:r>
      <w:r w:rsidRPr="006C40C1">
        <w:t>k</w:t>
      </w:r>
      <w:r w:rsidRPr="006C40C1">
        <w:t xml:space="preserve">nadsavgiften i arbetsgivaravgifterna sänks till 3,70 % av avgiftsunderlaget och till 1,16 % av avgiftsunderlaget i egenavgifterna. </w:t>
      </w:r>
    </w:p>
    <w:p w:rsidR="00AA5D77" w:rsidRPr="006C40C1" w:rsidRDefault="00AA5D77">
      <w:pPr>
        <w:pStyle w:val="Normaltindrag"/>
      </w:pPr>
      <w:r w:rsidRPr="006C40C1">
        <w:t>Eftersom de ovan föreslagna förändringarna således inte ska leda till någon förändring av det sammantagna uttaget av arbetsgivaravgifter och egenavgi</w:t>
      </w:r>
      <w:r w:rsidRPr="006C40C1">
        <w:t>f</w:t>
      </w:r>
      <w:r w:rsidRPr="006C40C1">
        <w:t xml:space="preserve">ter, föreslår regeringen en höjning av den allmänna löneavgiften med 0,56 procentenheter till 3,25 % av avgiftsunderlaget. </w:t>
      </w:r>
    </w:p>
    <w:p w:rsidR="00AA5D77" w:rsidRPr="006C40C1" w:rsidRDefault="00AA5D77">
      <w:pPr>
        <w:pStyle w:val="Normaltindrag"/>
      </w:pPr>
      <w:r w:rsidRPr="006C40C1">
        <w:t xml:space="preserve">Förändringarna i avgiftsnivåerna föreslås gälla från den 1 januari 2003. </w:t>
      </w:r>
    </w:p>
    <w:p w:rsidR="00AA5D77" w:rsidRPr="006C40C1" w:rsidRDefault="00AA5D77">
      <w:pPr>
        <w:pStyle w:val="R4"/>
        <w:rPr>
          <w:snapToGrid w:val="0"/>
          <w:lang w:eastAsia="sv-SE"/>
        </w:rPr>
      </w:pPr>
      <w:r w:rsidRPr="006C40C1">
        <w:rPr>
          <w:snapToGrid w:val="0"/>
          <w:lang w:eastAsia="sv-SE"/>
        </w:rPr>
        <w:t>Motionerna</w:t>
      </w:r>
    </w:p>
    <w:p w:rsidR="00AA5D77" w:rsidRPr="006C40C1" w:rsidRDefault="00AA5D77">
      <w:r w:rsidRPr="006C40C1">
        <w:t>I</w:t>
      </w:r>
      <w:r w:rsidRPr="006C40C1">
        <w:rPr>
          <w:i/>
        </w:rPr>
        <w:t xml:space="preserve"> Moderata samlingspartiets</w:t>
      </w:r>
      <w:r w:rsidRPr="006C40C1">
        <w:t xml:space="preserve"> motion Fi287 yrkande 39 av Lennart Hedquist m.fl. (m) begärs att företag inom sektorerna jordbruk, vattenbruk och fiske med driftställe i stödområde A också ska omfattas av den regionala nedsät</w:t>
      </w:r>
      <w:r w:rsidRPr="006C40C1">
        <w:t>t</w:t>
      </w:r>
      <w:r w:rsidRPr="006C40C1">
        <w:t xml:space="preserve">ningen av socialavgifterna. </w:t>
      </w:r>
    </w:p>
    <w:p w:rsidR="00AA5D77" w:rsidRPr="006C40C1" w:rsidRDefault="00AA5D77">
      <w:pPr>
        <w:pStyle w:val="Normaltindrag"/>
      </w:pPr>
      <w:r w:rsidRPr="006C40C1">
        <w:t xml:space="preserve">I </w:t>
      </w:r>
      <w:r w:rsidRPr="006C40C1">
        <w:rPr>
          <w:i/>
        </w:rPr>
        <w:t>Folkpartiets</w:t>
      </w:r>
      <w:r w:rsidRPr="006C40C1">
        <w:t xml:space="preserve"> motion Sk382 av Lars Leijonborg m.fl. (fp) yrkande 25 b</w:t>
      </w:r>
      <w:r w:rsidRPr="006C40C1">
        <w:t>e</w:t>
      </w:r>
      <w:r w:rsidRPr="006C40C1">
        <w:t>gärs ett tillkännagivande om att underlaget för den generella nedsättningen av arbetsgivar- och egenavgifterna ska höjas för arbetsgivaravgifterna till 1,5 miljoner kronor och för egenavgifterna till över 300 000 kronor. I motion Fi232 av Lars Leijonborg m.fl. (fp) finns ett likartat yrkande. Förslagen b</w:t>
      </w:r>
      <w:r w:rsidRPr="006C40C1">
        <w:t>e</w:t>
      </w:r>
      <w:r w:rsidRPr="006C40C1">
        <w:t>räknas minska statens inkomster med 1 300 miljoner kronor för 2003 och med 1 250 miljoner kronor för 2004.</w:t>
      </w:r>
    </w:p>
    <w:p w:rsidR="00AA5D77" w:rsidRPr="006C40C1" w:rsidRDefault="00AA5D77">
      <w:pPr>
        <w:pStyle w:val="Normaltindrag"/>
      </w:pPr>
      <w:r w:rsidRPr="006C40C1">
        <w:t xml:space="preserve">I </w:t>
      </w:r>
      <w:r w:rsidRPr="006C40C1">
        <w:rPr>
          <w:i/>
        </w:rPr>
        <w:t>Kristdemokraternas</w:t>
      </w:r>
      <w:r w:rsidRPr="006C40C1">
        <w:t xml:space="preserve"> motion Sk383 av Per Landgren m.fl. (kd) yrkande 5 begärs ett tillkännagivande om generell nedsättning av arbetsgivar- och ege</w:t>
      </w:r>
      <w:r w:rsidRPr="006C40C1">
        <w:t>n</w:t>
      </w:r>
      <w:r w:rsidRPr="006C40C1">
        <w:t>avgifter med 7 procentenheter på lönesummor upp till 900 000 kronor r</w:t>
      </w:r>
      <w:r w:rsidRPr="006C40C1">
        <w:t>e</w:t>
      </w:r>
      <w:r w:rsidRPr="006C40C1">
        <w:t>spektive 250 000 kronor fr.o.m. 2004. Samma yrkande framställs i motion Fi256 yrkande 15 av Alf Svensson m.fl. (kd). Förslaget beräknas minska statens inkomster med 3 160 miljoner kronor för 2004. I motion Fi256 yrka</w:t>
      </w:r>
      <w:r w:rsidRPr="006C40C1">
        <w:t>n</w:t>
      </w:r>
      <w:r w:rsidRPr="006C40C1">
        <w:t>de 16 begärs ett</w:t>
      </w:r>
      <w:r w:rsidRPr="006C40C1">
        <w:rPr>
          <w:b/>
        </w:rPr>
        <w:t xml:space="preserve"> </w:t>
      </w:r>
      <w:r w:rsidRPr="006C40C1">
        <w:t>beslut om höjda arbetsgivaravgifter med 0,47 %, varav 0,25 % på</w:t>
      </w:r>
      <w:r w:rsidRPr="006C40C1">
        <w:t xml:space="preserve"> sjukförsäkringsavgiften med anledning av införande av ytterligare en karensdag, 0,12 % på föräldraförsäkringsavgiften med anledning av ökade förmåner inom föräldraförsäkringen och 0,10 % på allmän löneavgift med anledning av växling mot lägre inkomstskatt. Förslaget beräknas öka statens inkomster med 4 680 miljoner kronor för 2003 och med 4 930 miljoner kr</w:t>
      </w:r>
      <w:r w:rsidRPr="006C40C1">
        <w:t>o</w:t>
      </w:r>
      <w:r w:rsidRPr="006C40C1">
        <w:t>nor för 2004.</w:t>
      </w:r>
    </w:p>
    <w:p w:rsidR="00AA5D77" w:rsidRPr="006C40C1" w:rsidRDefault="00AA5D77">
      <w:pPr>
        <w:pStyle w:val="Normaltindrag"/>
      </w:pPr>
      <w:r w:rsidRPr="006C40C1">
        <w:t xml:space="preserve">I </w:t>
      </w:r>
      <w:r w:rsidRPr="006C40C1">
        <w:rPr>
          <w:i/>
        </w:rPr>
        <w:t>Centerpartiets</w:t>
      </w:r>
      <w:r w:rsidRPr="006C40C1">
        <w:t xml:space="preserve"> motion Fi286 yrkande 18 av Maud Olofsson m.fl. (c) b</w:t>
      </w:r>
      <w:r w:rsidRPr="006C40C1">
        <w:t>e</w:t>
      </w:r>
      <w:r w:rsidRPr="006C40C1">
        <w:t>gärs att den generella nedsättningen av arbetsgivar- och egenavgifterna ska uppgå till 8 % upp till nuvarande maximala underlag. Motionärerna anför att förslaget främjar de mindre företagen. Förslaget innebär en minskning av statens inkomster med 3 700 miljoner kronor för 2003 och med 2 800 milj</w:t>
      </w:r>
      <w:r w:rsidRPr="006C40C1">
        <w:t>o</w:t>
      </w:r>
      <w:r w:rsidRPr="006C40C1">
        <w:t xml:space="preserve">ner kronor för 2004. </w:t>
      </w:r>
      <w:r w:rsidRPr="006C40C1">
        <w:rPr>
          <w:sz w:val="20"/>
        </w:rPr>
        <w:t xml:space="preserve">I motion Fi286 yrkande 19 begärs att nedsättningen </w:t>
      </w:r>
      <w:r w:rsidRPr="006C40C1">
        <w:t>av arbetsgivaravgiften ska beräknas på den årliga lönesumman och inte som i</w:t>
      </w:r>
      <w:r w:rsidRPr="006C40C1">
        <w:t xml:space="preserve"> dag på en månadsvis lönesumma. Enligt motionärerna behövs en sådan än</w:t>
      </w:r>
      <w:r w:rsidRPr="006C40C1">
        <w:t>d</w:t>
      </w:r>
      <w:r w:rsidRPr="006C40C1">
        <w:t>ring för företag med stora säsongsvariationer.</w:t>
      </w:r>
      <w:r w:rsidRPr="006C40C1">
        <w:rPr>
          <w:b/>
          <w:sz w:val="20"/>
        </w:rPr>
        <w:t xml:space="preserve"> </w:t>
      </w:r>
      <w:r w:rsidRPr="006C40C1">
        <w:t>I samma motions yrkande 20 begärs ett beslut om riktade sänkningar av arbetsgivaravgiften från 2003 för inrättande av övergångsmarknader. Motionärerna anser att sådana riktade sänkningar är nödvändiga för att ge arbetslösa förutsättningar att få anstäl</w:t>
      </w:r>
      <w:r w:rsidRPr="006C40C1">
        <w:t>l</w:t>
      </w:r>
      <w:r w:rsidRPr="006C40C1">
        <w:t xml:space="preserve">ning. Sistnämnda förslag innebär inkomstminskningar för staten med 750 miljoner kronor för 2003 och med 1 250 miljoner kronor för 2004. </w:t>
      </w:r>
    </w:p>
    <w:p w:rsidR="00AA5D77" w:rsidRPr="006C40C1" w:rsidRDefault="00AA5D77">
      <w:pPr>
        <w:pStyle w:val="R4"/>
      </w:pPr>
      <w:r w:rsidRPr="006C40C1">
        <w:t>Soci</w:t>
      </w:r>
      <w:r w:rsidRPr="006C40C1">
        <w:t>alförsäkringsutskottets yttrande</w:t>
      </w:r>
    </w:p>
    <w:p w:rsidR="00AA5D77" w:rsidRPr="006C40C1" w:rsidRDefault="00AA5D77">
      <w:r w:rsidRPr="006C40C1">
        <w:t>Socialförsäkringsutskottet anför att det inte finns utrymme för vare sig en generell sänkning av socialavgifterna eller en höjning av underlagen för a</w:t>
      </w:r>
      <w:r w:rsidRPr="006C40C1">
        <w:t>v</w:t>
      </w:r>
      <w:r w:rsidRPr="006C40C1">
        <w:t xml:space="preserve">giftsnedsättning. </w:t>
      </w:r>
    </w:p>
    <w:p w:rsidR="00AA5D77" w:rsidRPr="006C40C1" w:rsidRDefault="00AA5D77">
      <w:pPr>
        <w:pStyle w:val="Normaltindrag"/>
      </w:pPr>
      <w:r w:rsidRPr="006C40C1">
        <w:t>Utskottet noterar i övrigt att Riksdagens revisorer – på förslag av utskottet – gjorde en granskning av den nedsättning av socialavgifterna om 5 % som infördes den 1 januari 1997. Revisorerna konstaterade i förslag till riksdagen (2001/02:RR2) att syftet med stödet är att stimulera nyanställningar och up</w:t>
      </w:r>
      <w:r w:rsidRPr="006C40C1">
        <w:t>p</w:t>
      </w:r>
      <w:r w:rsidRPr="006C40C1">
        <w:t>muntra egenföretagande. Konstruktionen av stödet innebar dock att sysse</w:t>
      </w:r>
      <w:r w:rsidRPr="006C40C1">
        <w:t>l</w:t>
      </w:r>
      <w:r w:rsidRPr="006C40C1">
        <w:t>sättningseffekterna blev begränsade, medan de statsfinansiella konsekvense</w:t>
      </w:r>
      <w:r w:rsidRPr="006C40C1">
        <w:t>r</w:t>
      </w:r>
      <w:r w:rsidRPr="006C40C1">
        <w:t>na blev stora. Orsaken härtill var framför allt att nedsättningen endast i b</w:t>
      </w:r>
      <w:r w:rsidRPr="006C40C1">
        <w:t>e</w:t>
      </w:r>
      <w:r w:rsidRPr="006C40C1">
        <w:t>gränsad omfattning påverkade företagens anställningsbeslut. Revisorerna ansåg att regeringen borde ges i uppdrag att inom ett år redovisa effekterna av nedsättningen av socialavgifterna och att utvärderingen i första hand borde avse sysselsättningseffekter. Revisorerna föreslog att riks</w:t>
      </w:r>
      <w:r w:rsidRPr="006C40C1">
        <w:t>dagen som sin m</w:t>
      </w:r>
      <w:r w:rsidRPr="006C40C1">
        <w:t>e</w:t>
      </w:r>
      <w:r w:rsidRPr="006C40C1">
        <w:t>ning ska ge rege</w:t>
      </w:r>
      <w:r w:rsidRPr="006C40C1">
        <w:t>r</w:t>
      </w:r>
      <w:r w:rsidRPr="006C40C1">
        <w:t xml:space="preserve">ingen detta till känna. </w:t>
      </w:r>
    </w:p>
    <w:p w:rsidR="00AA5D77" w:rsidRPr="006C40C1" w:rsidRDefault="00AA5D77">
      <w:pPr>
        <w:pStyle w:val="Normaltindrag"/>
      </w:pPr>
      <w:r w:rsidRPr="006C40C1">
        <w:t>Frågan behandlades i betänkande 2001/02:FiU1. Finansutskottet anförde att regeringen i proposition 2001/02:45 hade föreslagit en utökad nedsättning av socialavgifterna i stödområde A. Mot bakgrund av att den generella ne</w:t>
      </w:r>
      <w:r w:rsidRPr="006C40C1">
        <w:t>d</w:t>
      </w:r>
      <w:r w:rsidRPr="006C40C1">
        <w:t>sättningen av socialavgifterna varit i kraft en relativt begränsad tidsperiod samt att regeringen avsåg att föreslå förändringar i nedsättningen gjorde u</w:t>
      </w:r>
      <w:r w:rsidRPr="006C40C1">
        <w:t>t</w:t>
      </w:r>
      <w:r w:rsidRPr="006C40C1">
        <w:t>skottet bedömningen att en sådan utvärdering som revisorerna efterlyste för närvarande inte var påkallad. En utvärdering borde ske när det utvidgade systemet varit i kraft ett par år. Därmed avstyrkte utskottet revisorernas y</w:t>
      </w:r>
      <w:r w:rsidRPr="006C40C1">
        <w:t>r</w:t>
      </w:r>
      <w:r w:rsidRPr="006C40C1">
        <w:t xml:space="preserve">kande. </w:t>
      </w:r>
    </w:p>
    <w:p w:rsidR="00AA5D77" w:rsidRPr="006C40C1" w:rsidRDefault="00AA5D77">
      <w:pPr>
        <w:pStyle w:val="Normaltindrag"/>
      </w:pPr>
      <w:r w:rsidRPr="006C40C1">
        <w:t>Beträffande Kristdemokraternas krav på höjda procentsatser för vissa soc</w:t>
      </w:r>
      <w:r w:rsidRPr="006C40C1">
        <w:t>i</w:t>
      </w:r>
      <w:r w:rsidRPr="006C40C1">
        <w:t>alavgifter är förslaget knutet till reformer i form av införande av ytterligare en karensdag, höjda föräldraförsäkringsförmåner och sänkt inkomstskatt. Efte</w:t>
      </w:r>
      <w:r w:rsidRPr="006C40C1">
        <w:t>r</w:t>
      </w:r>
      <w:r w:rsidRPr="006C40C1">
        <w:t xml:space="preserve">som utskottet inte anser att dessa reformer ska genomföras kan utskottet inte tillstyrka förslaget. </w:t>
      </w:r>
    </w:p>
    <w:p w:rsidR="00AA5D77" w:rsidRPr="006C40C1" w:rsidRDefault="00AA5D77">
      <w:pPr>
        <w:pStyle w:val="Normaltindrag"/>
      </w:pPr>
      <w:r w:rsidRPr="006C40C1">
        <w:t>Beträffande Centerpartiets yrkande om att reduktionen av arbetsgivara</w:t>
      </w:r>
      <w:r w:rsidRPr="006C40C1">
        <w:t>v</w:t>
      </w:r>
      <w:r w:rsidRPr="006C40C1">
        <w:t>gifterna ska beräknas på den årliga lönesumman har utskottet i sitt av riksd</w:t>
      </w:r>
      <w:r w:rsidRPr="006C40C1">
        <w:t>a</w:t>
      </w:r>
      <w:r w:rsidRPr="006C40C1">
        <w:t>gen godkända betänkande 2000/01:SfU5 avstyrkt ett liknande motionsyrka</w:t>
      </w:r>
      <w:r w:rsidRPr="006C40C1">
        <w:t>n</w:t>
      </w:r>
      <w:r w:rsidRPr="006C40C1">
        <w:t>de. I betänkandet behandlade utskottet regeringens proposition 2000/01:8 Ny socialavgiftslag, vari anfördes att betalningsperioden för arbetsgivaravgifter enligt socialavgiftslagen av både systematiska och pedagogiska skäl borde vara densamma som i skattebetalningslagen. Utskottet ansåg att bestämme</w:t>
      </w:r>
      <w:r w:rsidRPr="006C40C1">
        <w:t>l</w:t>
      </w:r>
      <w:r w:rsidRPr="006C40C1">
        <w:t>serna om månadsvis beräkning och betalning av arbetsgivaravgif</w:t>
      </w:r>
      <w:r w:rsidRPr="006C40C1">
        <w:t xml:space="preserve">terna av administrativa skäl då inte kunde ändras. Utskottet vidhöll i yttrande 2001/02:SfU1y denna inställning. Socialförsäkringsutskottet finner inte skäl att nu göra en annan bedömning. </w:t>
      </w:r>
    </w:p>
    <w:p w:rsidR="00AA5D77" w:rsidRPr="006C40C1" w:rsidRDefault="00AA5D77">
      <w:pPr>
        <w:pStyle w:val="Normaltindrag"/>
      </w:pPr>
      <w:r w:rsidRPr="006C40C1">
        <w:t>Vad gäller Moderaternas förslag om ökad nedsättning av socialavgifterna i Norrland konstaterar utskottet att lagen om utvidgning av de särskilda avdr</w:t>
      </w:r>
      <w:r w:rsidRPr="006C40C1">
        <w:t>a</w:t>
      </w:r>
      <w:r w:rsidRPr="006C40C1">
        <w:t>gen enligt socialavgiftslagen faller inom ramen för det s.k. försumbara stödet enligt EU-regler. I lagen undantas därför företag inom bl.a. sektorerna kol- och stålindustri, jordbruk, vattenbruk och fiske. Enligt utskottets mening är det viktigt att stödet ges en utformning som är förenlig med de regler som gäller inom EU för statsstöd. Utskottet noterar att regeringen lämnat förslag om upphävande av bestämmelsen att lagen inte ska tillämpas på verksamhet inom kol- och stålindustri.</w:t>
      </w:r>
    </w:p>
    <w:p w:rsidR="00AA5D77" w:rsidRPr="006C40C1" w:rsidRDefault="00AA5D77">
      <w:pPr>
        <w:pStyle w:val="Normaltindrag"/>
      </w:pPr>
      <w:r w:rsidRPr="006C40C1">
        <w:t xml:space="preserve">Det regionala avdraget </w:t>
      </w:r>
      <w:r w:rsidRPr="006C40C1">
        <w:t>vid beräkning av arbetsgivaravgifterna ska i första hand avse sjukförsäkringsavgiften och därefter föräldraförsäkringsavgiften. Detsamma gäller avdraget från egenavgifterna som dessutom ska avse arbet</w:t>
      </w:r>
      <w:r w:rsidRPr="006C40C1">
        <w:t>s</w:t>
      </w:r>
      <w:r w:rsidRPr="006C40C1">
        <w:t>skadeavgiften och efterlevandepensionsavgiften. Utskottets principiella i</w:t>
      </w:r>
      <w:r w:rsidRPr="006C40C1">
        <w:t>n</w:t>
      </w:r>
      <w:r w:rsidRPr="006C40C1">
        <w:t>ställning är att det bör finnas ett tydligt samband mellan de socialavgifter som erläggs och de olika förmåner som dessa avgifter ska finansiera. Ett sådant samband är lagfäst i den nya lagen om fördelning av socialavgifter. En regi</w:t>
      </w:r>
      <w:r w:rsidRPr="006C40C1">
        <w:t>o</w:t>
      </w:r>
      <w:r w:rsidRPr="006C40C1">
        <w:t xml:space="preserve">nal </w:t>
      </w:r>
      <w:r w:rsidRPr="006C40C1">
        <w:t>nedsättning av socialavgifter avsedd att bl.a. stimulera småföretagandet i det aktuella stödområdet måste betraktas som en del av regionalpolitiken. Mot bakgrund av detta och att det dessutom finns avgifter/löneskatter som inte har till syfte att finansiera sådana förmåner kan det ifrågasättas, och särskilt vid en eventuell utvidgning av avdraget, om det är lämpligt att för en regional åtgärd ta i anspråk avgifter som är avsedda att finansiera vissa preciserade sociala förmåner som sjukpenning och föräldrap</w:t>
      </w:r>
      <w:r w:rsidRPr="006C40C1">
        <w:t xml:space="preserve">enning. Utskottet kan således inte tillstyrka Moderaternas motionsförslag. </w:t>
      </w:r>
    </w:p>
    <w:p w:rsidR="00AA5D77" w:rsidRPr="006C40C1" w:rsidRDefault="00AA5D77">
      <w:pPr>
        <w:pStyle w:val="Normaltindrag"/>
      </w:pPr>
      <w:r w:rsidRPr="006C40C1">
        <w:t>Med dessa påpekanden godtar socialförsäkringsutskottet, såvitt avser soc</w:t>
      </w:r>
      <w:r w:rsidRPr="006C40C1">
        <w:t>i</w:t>
      </w:r>
      <w:r w:rsidRPr="006C40C1">
        <w:t>alavgifter och löneskatter, regeringens beräkning av statsbudgetens inkomster för bu</w:t>
      </w:r>
      <w:r w:rsidRPr="006C40C1">
        <w:t>d</w:t>
      </w:r>
      <w:r w:rsidRPr="006C40C1">
        <w:t>getåret 2003 och avstyrker de aktuella motionerna.</w:t>
      </w:r>
    </w:p>
    <w:p w:rsidR="00AA5D77" w:rsidRPr="006C40C1" w:rsidRDefault="00AA5D77">
      <w:pPr>
        <w:pStyle w:val="Normaltindrag"/>
      </w:pPr>
    </w:p>
    <w:p w:rsidR="00AA5D77" w:rsidRPr="006C40C1" w:rsidRDefault="00AA5D77">
      <w:pPr>
        <w:pStyle w:val="R4"/>
      </w:pPr>
      <w:r w:rsidRPr="006C40C1">
        <w:t>Finansutskottets ställningstagande</w:t>
      </w:r>
    </w:p>
    <w:p w:rsidR="00AA5D77" w:rsidRPr="006C40C1" w:rsidRDefault="00AA5D77">
      <w:r w:rsidRPr="006C40C1">
        <w:t>Finansutskottet delar socialförsäkringsutskottets bedömning och tillstyrker propositionen punkterna 28 och 29 och avstyrker motionerna Fi231 (m) y</w:t>
      </w:r>
      <w:r w:rsidRPr="006C40C1">
        <w:t>r</w:t>
      </w:r>
      <w:r w:rsidRPr="006C40C1">
        <w:t>kande 4, Fi256 (kd) yrkandena 15 och 16, Fi286 (c) yrkandena 18–20</w:t>
      </w:r>
      <w:r w:rsidRPr="006C40C1">
        <w:rPr>
          <w:sz w:val="20"/>
        </w:rPr>
        <w:t xml:space="preserve">, </w:t>
      </w:r>
      <w:r w:rsidRPr="006C40C1">
        <w:t xml:space="preserve">Fi287 (m) yrkande 39, Sk382 (fp) yrkande 25 och Sk383 (kd) yrkande 5. </w:t>
      </w:r>
    </w:p>
    <w:p w:rsidR="00AA5D77" w:rsidRPr="006C40C1" w:rsidRDefault="00AA5D77">
      <w:pPr>
        <w:pStyle w:val="Utskottetsvervganden-RubrikFrslagspunkt"/>
      </w:pPr>
      <w:bookmarkStart w:id="455" w:name="_Toc25411163"/>
      <w:bookmarkStart w:id="456" w:name="_Toc26191487"/>
      <w:r w:rsidRPr="006C40C1">
        <w:t>3.6 Skatt på egendom</w:t>
      </w:r>
      <w:bookmarkEnd w:id="455"/>
      <w:bookmarkEnd w:id="456"/>
    </w:p>
    <w:p w:rsidR="00AA5D77" w:rsidRPr="006C40C1" w:rsidRDefault="00AA5D77">
      <w:pPr>
        <w:keepNext/>
        <w:spacing w:before="360" w:line="170" w:lineRule="exact"/>
        <w:rPr>
          <w:b/>
          <w:sz w:val="17"/>
        </w:rPr>
      </w:pPr>
      <w:r w:rsidRPr="006C40C1">
        <w:rPr>
          <w:b/>
          <w:sz w:val="17"/>
        </w:rPr>
        <w:t>Tabell 42. Fastighets- och förmögenhetsskatt</w:t>
      </w:r>
    </w:p>
    <w:p w:rsidR="00AA5D77" w:rsidRPr="006C40C1" w:rsidRDefault="006C40C1">
      <w:r w:rsidRPr="006C40C1">
        <w:rPr>
          <w:noProof/>
        </w:rPr>
        <w:drawing>
          <wp:inline distT="0" distB="0" distL="0" distR="0">
            <wp:extent cx="3777615" cy="1692910"/>
            <wp:effectExtent l="0" t="0" r="0" b="0"/>
            <wp:docPr id="47" name="Bild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777615" cy="1692910"/>
                    </a:xfrm>
                    <a:prstGeom prst="rect">
                      <a:avLst/>
                    </a:prstGeom>
                    <a:noFill/>
                    <a:ln>
                      <a:noFill/>
                    </a:ln>
                  </pic:spPr>
                </pic:pic>
              </a:graphicData>
            </a:graphic>
          </wp:inline>
        </w:drawing>
      </w:r>
    </w:p>
    <w:p w:rsidR="00AA5D77" w:rsidRPr="006C40C1" w:rsidRDefault="00AA5D77">
      <w:pPr>
        <w:pStyle w:val="Utskottetsvervganden-RubrikFrslagspunkt"/>
      </w:pPr>
      <w:bookmarkStart w:id="457" w:name="_Toc25411164"/>
      <w:bookmarkStart w:id="458" w:name="_Toc26191488"/>
      <w:r w:rsidRPr="006C40C1">
        <w:t>3.6.1 Fastighetsskatt</w:t>
      </w:r>
      <w:bookmarkEnd w:id="449"/>
      <w:bookmarkEnd w:id="450"/>
      <w:bookmarkEnd w:id="457"/>
      <w:bookmarkEnd w:id="458"/>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frysta taxeringsvärden, sänkt fastighetsskatt och omläggningen till en kommunal avgift m.m.</w:t>
      </w:r>
    </w:p>
    <w:p w:rsidR="00AA5D77" w:rsidRPr="006C40C1" w:rsidRDefault="00AA5D77">
      <w:pPr>
        <w:pStyle w:val="Utskottsfrslagikorthet-Text"/>
      </w:pPr>
      <w:r w:rsidRPr="006C40C1">
        <w:t>Jämför reservationerna 8 (m), 9 (fp), 10 (kd) och 11 (c).</w:t>
      </w:r>
    </w:p>
    <w:p w:rsidR="00AA5D77" w:rsidRPr="006C40C1" w:rsidRDefault="00AA5D77">
      <w:pPr>
        <w:pStyle w:val="R4"/>
      </w:pPr>
      <w:r w:rsidRPr="006C40C1">
        <w:t>Bakgrund</w:t>
      </w:r>
    </w:p>
    <w:p w:rsidR="00AA5D77" w:rsidRPr="006C40C1" w:rsidRDefault="00AA5D77">
      <w:r w:rsidRPr="006C40C1">
        <w:t>Uttaget av fastighetsskatt på bostäder har sedan år 1996 kraftigt begränsats genom en rad successiva beslut. Det omräkningsförfarande som då infördes har inte tillämpats som avsett, utan taxeringsvärdena har i princip varit ofö</w:t>
      </w:r>
      <w:r w:rsidRPr="006C40C1">
        <w:t>r</w:t>
      </w:r>
      <w:r w:rsidRPr="006C40C1">
        <w:softHyphen/>
        <w:t>ändrade under åren 1997–2000. När ”frysningen” av taxeringsvärdena up</w:t>
      </w:r>
      <w:r w:rsidRPr="006C40C1">
        <w:t>p</w:t>
      </w:r>
      <w:r w:rsidRPr="006C40C1">
        <w:softHyphen/>
        <w:t>hörde år 2001 sänktes i stället skattesatsen för småhus och är nu 1,0 % (prop. 2001/02:1, bet. 2001/02:FiU1).</w:t>
      </w:r>
    </w:p>
    <w:p w:rsidR="00AA5D77" w:rsidRPr="006C40C1" w:rsidRDefault="00AA5D77">
      <w:pPr>
        <w:pStyle w:val="Normaltindrag"/>
      </w:pPr>
      <w:r w:rsidRPr="006C40C1">
        <w:t>Riksdagen beslutade under hösten 2001 om en begränsningsregel för fa</w:t>
      </w:r>
      <w:r w:rsidRPr="006C40C1">
        <w:t>s</w:t>
      </w:r>
      <w:r w:rsidRPr="006C40C1">
        <w:softHyphen/>
        <w:t>tighetskatten (prop. 2001/02:3, bet. 2001/02:SkU3). Regeln, som bygger på Fastighetsbeskattningskommitténs förslag, tar sikte på hushåll med låga i</w:t>
      </w:r>
      <w:r w:rsidRPr="006C40C1">
        <w:t>n</w:t>
      </w:r>
      <w:r w:rsidRPr="006C40C1">
        <w:t>komster som har sin bostad i fastigheter med höga taxeringsvärden och inn</w:t>
      </w:r>
      <w:r w:rsidRPr="006C40C1">
        <w:t>e</w:t>
      </w:r>
      <w:r w:rsidRPr="006C40C1">
        <w:t>bär att fasti</w:t>
      </w:r>
      <w:r w:rsidRPr="006C40C1">
        <w:t>g</w:t>
      </w:r>
      <w:r w:rsidRPr="006C40C1">
        <w:t>hetsskatten under vissa förutsättningar inte ska överstiga fem pro</w:t>
      </w:r>
      <w:r w:rsidRPr="006C40C1">
        <w:softHyphen/>
        <w:t>cent av hushållets sammanlagda inkomster.</w:t>
      </w:r>
    </w:p>
    <w:p w:rsidR="00AA5D77" w:rsidRPr="006C40C1" w:rsidRDefault="00AA5D77">
      <w:pPr>
        <w:pStyle w:val="Normaltindrag"/>
      </w:pPr>
      <w:r w:rsidRPr="006C40C1">
        <w:t>Vidare har Fastighetstaxeringsutredningens förslag om att omräkningsfö</w:t>
      </w:r>
      <w:r w:rsidRPr="006C40C1">
        <w:t>r</w:t>
      </w:r>
      <w:r w:rsidRPr="006C40C1">
        <w:softHyphen/>
        <w:t>farandet vid fastighetstaxeringen ska tas bort genomförts. I stället har det införts ett system för småhus-, hyreshus- och lantbruksenheter som innebär att förenklade fastighetstaxeringar ska ske mitt emellan de allmänna fastighet</w:t>
      </w:r>
      <w:r w:rsidRPr="006C40C1">
        <w:t>s</w:t>
      </w:r>
      <w:r w:rsidRPr="006C40C1">
        <w:softHyphen/>
        <w:t>taxeringarna. För småhus innebär det att en förenklad fastighetstaxering ska ske första gången år 2006. Allmän fastighetstaxering för småhus kommer att ske år 2003 och år 2009. Småhusen omräknas sista gången år 2002 (prop. 2001/02:43, bet. 2001/02:SkU11).</w:t>
      </w:r>
    </w:p>
    <w:p w:rsidR="00AA5D77" w:rsidRPr="006C40C1" w:rsidRDefault="00AA5D77">
      <w:pPr>
        <w:pStyle w:val="Normaltindrag"/>
      </w:pPr>
      <w:r w:rsidRPr="006C40C1">
        <w:t xml:space="preserve">Regeringen har vidare </w:t>
      </w:r>
      <w:r w:rsidRPr="006C40C1">
        <w:t>aviserat ett förslag om en s.k. dämpningsregel som syftar till att höjda taxeringsvärden inte omedelbart ska slå igenom på utta</w:t>
      </w:r>
      <w:r w:rsidRPr="006C40C1">
        <w:softHyphen/>
        <w:t>get av fastighetsskatt. Meningen är att endast en tredjedel av höjningen ska slå igenom under taxeringsåret och lika mycket under vart och ett av de två därpå följande åren.</w:t>
      </w:r>
    </w:p>
    <w:p w:rsidR="00AA5D77" w:rsidRPr="006C40C1" w:rsidRDefault="00AA5D77">
      <w:pPr>
        <w:pStyle w:val="Normaltindrag"/>
      </w:pPr>
      <w:r w:rsidRPr="006C40C1">
        <w:t>Regeringen har i juni 2002 tillsatt en pa</w:t>
      </w:r>
      <w:r w:rsidRPr="006C40C1">
        <w:t>r</w:t>
      </w:r>
      <w:r w:rsidRPr="006C40C1">
        <w:t>lamentarisk kommitté, Egendoms</w:t>
      </w:r>
      <w:r w:rsidRPr="006C40C1">
        <w:softHyphen/>
        <w:t>skattekommittén (Fi 2002:06), som ska utreda fastighetsskatten, förmögen</w:t>
      </w:r>
      <w:r w:rsidRPr="006C40C1">
        <w:softHyphen/>
        <w:t>hetsskatten samt arvs- och gåvoskatten. Uppdraget ska vara avslutat vid u</w:t>
      </w:r>
      <w:r w:rsidRPr="006C40C1">
        <w:t>t</w:t>
      </w:r>
      <w:r w:rsidRPr="006C40C1">
        <w:t>gången av år 2003. Kommittén ges möjlighet att pröva lösningar som kan innebära avsteg från nu gällande principer för fastighetsbeskattningen. En förutsättning är dock att de fördelningspoliti</w:t>
      </w:r>
      <w:r w:rsidRPr="006C40C1">
        <w:t>s</w:t>
      </w:r>
      <w:r w:rsidRPr="006C40C1">
        <w:t>ka konsekvenserna är accep</w:t>
      </w:r>
      <w:r w:rsidRPr="006C40C1">
        <w:softHyphen/>
        <w:t>tabla. En viktig utgångspunkt är en likformig beskattning av olika typer av tillgångar. Kommittén har fått i uppd</w:t>
      </w:r>
      <w:r w:rsidRPr="006C40C1">
        <w:t>rag att åstadkomma ett regelsystem som både är enkelt och rättvist.</w:t>
      </w:r>
    </w:p>
    <w:p w:rsidR="00AA5D77" w:rsidRPr="006C40C1" w:rsidRDefault="00AA5D77">
      <w:pPr>
        <w:pStyle w:val="R4"/>
      </w:pPr>
      <w:r w:rsidRPr="006C40C1">
        <w:t>Motioner</w:t>
      </w:r>
    </w:p>
    <w:p w:rsidR="00AA5D77" w:rsidRPr="006C40C1" w:rsidRDefault="00AA5D77">
      <w:r w:rsidRPr="006C40C1">
        <w:t xml:space="preserve">I </w:t>
      </w:r>
      <w:r w:rsidRPr="006C40C1">
        <w:rPr>
          <w:i/>
        </w:rPr>
        <w:t>Moderata</w:t>
      </w:r>
      <w:r w:rsidRPr="006C40C1">
        <w:t xml:space="preserve"> </w:t>
      </w:r>
      <w:r w:rsidRPr="006C40C1">
        <w:rPr>
          <w:i/>
        </w:rPr>
        <w:t>samlingspartiets</w:t>
      </w:r>
      <w:r w:rsidRPr="006C40C1">
        <w:t xml:space="preserve"> motion Fi287 yrkande 18 delvis, 19 och 21 av Lennart Hedquist m.fl. (m) föreslås att taxeringsvärdena fryses på 1997 års nivå, att fastighetsskatten för småhus bestäms till 0,9 % år 2002 och 0,8 % år 2003 och att begränsningsregeln och dämpningsregeln upphävs. I motion Fi245 yrkande 1 av Karin Enström (m) begärs ett tillkännagivande om att fastighetsskatten bör avskaffas omdelbart. </w:t>
      </w:r>
    </w:p>
    <w:p w:rsidR="00AA5D77" w:rsidRPr="006C40C1" w:rsidRDefault="00AA5D77">
      <w:pPr>
        <w:pStyle w:val="Normaltindrag"/>
      </w:pPr>
      <w:r w:rsidRPr="006C40C1">
        <w:t xml:space="preserve">I </w:t>
      </w:r>
      <w:r w:rsidRPr="006C40C1">
        <w:rPr>
          <w:i/>
        </w:rPr>
        <w:t>Folkpartiet</w:t>
      </w:r>
      <w:r w:rsidRPr="006C40C1">
        <w:t xml:space="preserve"> </w:t>
      </w:r>
      <w:r w:rsidRPr="006C40C1">
        <w:rPr>
          <w:i/>
        </w:rPr>
        <w:t>liberalernas</w:t>
      </w:r>
      <w:r w:rsidRPr="006C40C1">
        <w:t xml:space="preserve"> motion Sk382 yrkandena 8–10 av Lars Leijo</w:t>
      </w:r>
      <w:r w:rsidRPr="006C40C1">
        <w:t>n</w:t>
      </w:r>
      <w:r w:rsidRPr="006C40C1">
        <w:t>borg m.fl. (fp) begärs ett tillkännagivande om att fastighetsskatten måste avvecklas på sikt, systemet för taxering reformeras och likformighet mellan boendeformer upprättas. Motionärerna föreslår att taxeringsvärdena fryses till 1997 års nivå och att skatten på reavinst vid bostadsrätts- och fas</w:t>
      </w:r>
      <w:r w:rsidRPr="006C40C1">
        <w:softHyphen/>
        <w:t>tighets</w:t>
      </w:r>
      <w:r w:rsidRPr="006C40C1">
        <w:softHyphen/>
        <w:t>försäljning höjs från 20 % till 30 %.</w:t>
      </w:r>
    </w:p>
    <w:p w:rsidR="00AA5D77" w:rsidRPr="006C40C1" w:rsidRDefault="00AA5D77">
      <w:pPr>
        <w:pStyle w:val="Normaltindrag"/>
      </w:pPr>
      <w:r w:rsidRPr="006C40C1">
        <w:t>I</w:t>
      </w:r>
      <w:r w:rsidRPr="006C40C1">
        <w:rPr>
          <w:i/>
        </w:rPr>
        <w:t xml:space="preserve"> Kristdemokraternas</w:t>
      </w:r>
      <w:r w:rsidRPr="006C40C1">
        <w:t xml:space="preserve"> motioner Fi256 yrkandena 13 och 14 av Alf Sven</w:t>
      </w:r>
      <w:r w:rsidRPr="006C40C1">
        <w:t>s</w:t>
      </w:r>
      <w:r w:rsidRPr="006C40C1">
        <w:t>son m.fl. (kd), Fi254 yrkandena 1–3 av Per Landgren m.fl. (kd) och Bo216 yrkande 6 av Annelie Enochson (kd) anförs att fastighetsskatten bör slopas helt för småhus (egna hem), bostadshyreshus (hyresrätter och bostads</w:t>
      </w:r>
      <w:r w:rsidRPr="006C40C1">
        <w:softHyphen/>
        <w:t>rättsföreningar) och kommersiella lokaler och industrienheter. Kommunerna ska i stället ges rätt att ta ut en fast avgift per småhus, per bostadslägenhet samt per kvadratmeter lokalyta för kommersiella lokaler och industrienhete</w:t>
      </w:r>
      <w:r w:rsidRPr="006C40C1">
        <w:t>r. Den totala kommunala avgiften får inte överstiga kommunernas självkostna</w:t>
      </w:r>
      <w:r w:rsidRPr="006C40C1">
        <w:softHyphen/>
        <w:t>der för gator/vägar och parkering, räddningstjänst samt fysisk planering. Reavinstskatten vid försäljning av privatbostadsfastighet och bostadsrätt höjs till den gen</w:t>
      </w:r>
      <w:r w:rsidRPr="006C40C1">
        <w:t>e</w:t>
      </w:r>
      <w:r w:rsidRPr="006C40C1">
        <w:t>rella nivån på 30 %.</w:t>
      </w:r>
    </w:p>
    <w:p w:rsidR="00AA5D77" w:rsidRPr="006C40C1" w:rsidRDefault="00AA5D77">
      <w:pPr>
        <w:pStyle w:val="Normaltindrag"/>
      </w:pPr>
      <w:r w:rsidRPr="006C40C1">
        <w:t xml:space="preserve">I </w:t>
      </w:r>
      <w:r w:rsidRPr="006C40C1">
        <w:rPr>
          <w:i/>
        </w:rPr>
        <w:t>Centerpartiets</w:t>
      </w:r>
      <w:r w:rsidRPr="006C40C1">
        <w:t xml:space="preserve"> motion Fi286 yrkandena 9 och 11 av Maud Olofsson m.fl. (c) föreslås att 2003 års fastighetstaxeringsvärden räknas om med en med</w:t>
      </w:r>
      <w:r w:rsidRPr="006C40C1">
        <w:t>i</w:t>
      </w:r>
      <w:r w:rsidRPr="006C40C1">
        <w:softHyphen/>
        <w:t>anmodell där köpeskillingar i den undre och övre kvartilen tas bort. Motion</w:t>
      </w:r>
      <w:r w:rsidRPr="006C40C1">
        <w:t>ä</w:t>
      </w:r>
      <w:r w:rsidRPr="006C40C1">
        <w:softHyphen/>
        <w:t>rerna räknar med att detta sänker taxeringsvärdena med ca 10 %. De föreslår vidare att begränsningsregeln upphävs eftersom den bygger på en omodern sa</w:t>
      </w:r>
      <w:r w:rsidRPr="006C40C1">
        <w:t>m</w:t>
      </w:r>
      <w:r w:rsidRPr="006C40C1">
        <w:t>beskattningsprincip och inte behövs.</w:t>
      </w:r>
    </w:p>
    <w:p w:rsidR="00AA5D77" w:rsidRPr="006C40C1" w:rsidRDefault="00AA5D77">
      <w:pPr>
        <w:pStyle w:val="R4"/>
      </w:pPr>
      <w:r w:rsidRPr="006C40C1">
        <w:t>Skatteutskottets yttrande</w:t>
      </w:r>
    </w:p>
    <w:p w:rsidR="00AA5D77" w:rsidRPr="006C40C1" w:rsidRDefault="00AA5D77">
      <w:r w:rsidRPr="006C40C1">
        <w:t>Skatteutskottet anför i sitt yttrande att fastighetsskatten utgör en del av kap</w:t>
      </w:r>
      <w:r w:rsidRPr="006C40C1">
        <w:t>i</w:t>
      </w:r>
      <w:r w:rsidRPr="006C40C1">
        <w:t>talinkomst</w:t>
      </w:r>
      <w:r w:rsidRPr="006C40C1">
        <w:softHyphen/>
        <w:t>beskattningen och är en viktig inkomstkälla för att finansiera den offentliga välfärden. Den beräknas i år ge intäkter till staten på drygt 20 mi</w:t>
      </w:r>
      <w:r w:rsidRPr="006C40C1">
        <w:t>l</w:t>
      </w:r>
      <w:r w:rsidRPr="006C40C1">
        <w:t>jarder kronor. Utskottet är mot denna bakgrund inte berett att tillstyrka til</w:t>
      </w:r>
      <w:r w:rsidRPr="006C40C1">
        <w:t>l</w:t>
      </w:r>
      <w:r w:rsidRPr="006C40C1">
        <w:t>känna</w:t>
      </w:r>
      <w:r w:rsidRPr="006C40C1">
        <w:softHyphen/>
        <w:t>givanden eller beslut som innebär att fastighetsskatten helt eller delvis avskaf</w:t>
      </w:r>
      <w:r w:rsidRPr="006C40C1">
        <w:softHyphen/>
        <w:t>fas. I övrigt anser skatteutskottet att resultatet av Egendomsskatt</w:t>
      </w:r>
      <w:r w:rsidRPr="006C40C1">
        <w:t>e</w:t>
      </w:r>
      <w:r w:rsidRPr="006C40C1">
        <w:t>kommitténs arbete bör avvaktas. Utskottet avstyrker de aktuella motionsy</w:t>
      </w:r>
      <w:r w:rsidRPr="006C40C1">
        <w:t>r</w:t>
      </w:r>
      <w:r w:rsidRPr="006C40C1">
        <w:t xml:space="preserve">kandena. </w:t>
      </w:r>
    </w:p>
    <w:p w:rsidR="00AA5D77" w:rsidRPr="006C40C1" w:rsidRDefault="00AA5D77">
      <w:pPr>
        <w:pStyle w:val="R4"/>
      </w:pPr>
      <w:bookmarkStart w:id="459" w:name="_Toc24531775"/>
      <w:bookmarkStart w:id="460" w:name="_Toc25055318"/>
      <w:r w:rsidRPr="006C40C1">
        <w:t>Finansutskottets ställningstagande</w:t>
      </w:r>
    </w:p>
    <w:p w:rsidR="00AA5D77" w:rsidRPr="006C40C1" w:rsidRDefault="00AA5D77">
      <w:r w:rsidRPr="006C40C1">
        <w:t xml:space="preserve">Finansutskottet delar skatteutskottets bedömning och avstyrker motionerna Fi245 (m) yrkande 1, Fi254 (kd) yrkandena 1–3, Fi256 (kd) yrkandena 13 och 14, Fi286 (c) yrkandena 9 och 11, Fi287 (m) yrkandena 18 i denna del, 19 och 21, Sk382 (fp) yrkandena 8–10 och Bo216 (kd) yrkande 6. </w:t>
      </w:r>
    </w:p>
    <w:p w:rsidR="00AA5D77" w:rsidRPr="006C40C1" w:rsidRDefault="00AA5D77">
      <w:pPr>
        <w:pStyle w:val="Utskottetsvervganden-RubrikFrslagspunkt"/>
      </w:pPr>
      <w:bookmarkStart w:id="461" w:name="_Toc25411165"/>
      <w:bookmarkStart w:id="462" w:name="_Toc26191489"/>
      <w:r w:rsidRPr="006C40C1">
        <w:t>3.6.2 Förmögenhetsskatt</w:t>
      </w:r>
      <w:bookmarkEnd w:id="459"/>
      <w:bookmarkEnd w:id="460"/>
      <w:bookmarkEnd w:id="461"/>
      <w:bookmarkEnd w:id="462"/>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slopad sambeskattning, sänkta skattesatser, avskaffande av förmöge</w:t>
      </w:r>
      <w:r w:rsidRPr="006C40C1">
        <w:t>n</w:t>
      </w:r>
      <w:r w:rsidRPr="006C40C1">
        <w:t xml:space="preserve">hetsskatten m.m. </w:t>
      </w:r>
    </w:p>
    <w:p w:rsidR="00AA5D77" w:rsidRPr="006C40C1" w:rsidRDefault="00AA5D77">
      <w:pPr>
        <w:pStyle w:val="Utskottsfrslagikorthet-Text"/>
      </w:pPr>
      <w:r w:rsidRPr="006C40C1">
        <w:t xml:space="preserve">  Jämför reservationerna 8 (m), 9 (fp), 10 (kd) och 11 (c).</w:t>
      </w:r>
    </w:p>
    <w:p w:rsidR="00AA5D77" w:rsidRPr="006C40C1" w:rsidRDefault="00AA5D77">
      <w:pPr>
        <w:pStyle w:val="R4"/>
      </w:pPr>
      <w:r w:rsidRPr="006C40C1">
        <w:t>Bakgrund</w:t>
      </w:r>
    </w:p>
    <w:p w:rsidR="00AA5D77" w:rsidRPr="006C40C1" w:rsidRDefault="00AA5D77">
      <w:r w:rsidRPr="006C40C1">
        <w:t>För fysisk person, dödsbo och familjestiftelse är skattesatsen 1,5 %. För a</w:t>
      </w:r>
      <w:r w:rsidRPr="006C40C1">
        <w:t>n</w:t>
      </w:r>
      <w:r w:rsidRPr="006C40C1">
        <w:t xml:space="preserve">nan juridisk person är skattesatsen 1,5 promille. </w:t>
      </w:r>
    </w:p>
    <w:p w:rsidR="00AA5D77" w:rsidRPr="006C40C1" w:rsidRDefault="00AA5D77">
      <w:pPr>
        <w:pStyle w:val="Normaltindrag"/>
      </w:pPr>
      <w:r w:rsidRPr="006C40C1">
        <w:t>Skatt påförs på den del av förmögenheten som överstiger ett fribelopp. Makar och hemmavarande barn under 18 år som inte själva ska lämna själ</w:t>
      </w:r>
      <w:r w:rsidRPr="006C40C1">
        <w:t>v</w:t>
      </w:r>
      <w:r w:rsidRPr="006C40C1">
        <w:softHyphen/>
        <w:t xml:space="preserve">deklaration sambeskattas. Vid 2003 års inkomsttaxering är gränsen för uttag av förmögenhetsskatt 1 500 000 kr för ensamstående och 2 000 000 kr för sambeskattade par. </w:t>
      </w:r>
    </w:p>
    <w:p w:rsidR="00AA5D77" w:rsidRPr="006C40C1" w:rsidRDefault="00AA5D77">
      <w:pPr>
        <w:pStyle w:val="Normaltindrag"/>
      </w:pPr>
      <w:r w:rsidRPr="006C40C1">
        <w:t>Arbetande kapital i företag är fritt från förmögenhetsskatt, och befrielsen gäller i princip också arbetande kapital som innehas via aktier. Aktier på börsens A-lista betraktas dock i flertalet fall som en kapitalplacering och värderas då till 80 % av marknadsvärdet.</w:t>
      </w:r>
    </w:p>
    <w:p w:rsidR="00AA5D77" w:rsidRPr="006C40C1" w:rsidRDefault="00AA5D77">
      <w:pPr>
        <w:pStyle w:val="Normaltindrag"/>
      </w:pPr>
      <w:r w:rsidRPr="006C40C1">
        <w:t>Regeringen beslutade i juni 2002 att tillsätta en parlamentarisk kommitté, Egendomsskattekommittén (Fi 2002:06), som ska utreda fastighetsskatten på småhus m.m., förmögenhetsskatten samt arvs- och gåvoskatten. Kommittén ska avsluta uppdraget senast vid utgången av 2003.</w:t>
      </w:r>
    </w:p>
    <w:p w:rsidR="00AA5D77" w:rsidRPr="006C40C1" w:rsidRDefault="00AA5D77">
      <w:pPr>
        <w:pStyle w:val="R4"/>
      </w:pPr>
      <w:r w:rsidRPr="006C40C1">
        <w:t>Motioner</w:t>
      </w:r>
    </w:p>
    <w:p w:rsidR="00AA5D77" w:rsidRPr="006C40C1" w:rsidRDefault="00AA5D77">
      <w:r w:rsidRPr="006C40C1">
        <w:t>I</w:t>
      </w:r>
      <w:r w:rsidRPr="006C40C1">
        <w:rPr>
          <w:i/>
        </w:rPr>
        <w:t xml:space="preserve"> Moderata</w:t>
      </w:r>
      <w:r w:rsidRPr="006C40C1">
        <w:t xml:space="preserve"> </w:t>
      </w:r>
      <w:r w:rsidRPr="006C40C1">
        <w:rPr>
          <w:i/>
        </w:rPr>
        <w:t>samlingspartiets</w:t>
      </w:r>
      <w:r w:rsidRPr="006C40C1">
        <w:t xml:space="preserve"> motion Fi287 yrkandena 18 delvis och 22–24 av Lennart Hedquist m.fl. (m) anförs att förmögenhetsskatten ökar avkastning</w:t>
      </w:r>
      <w:r w:rsidRPr="006C40C1">
        <w:t>s</w:t>
      </w:r>
      <w:r w:rsidRPr="006C40C1">
        <w:softHyphen/>
        <w:t>kravet på investeringar som görs i Sverige, och de föreslår att den avskaffas år 2004. Ett första steg tas år 2003 då sambeskattningen slopas och fribeloppet höjs till två miljoner kronor per person. Vidare ska 1997 års fastighetstax</w:t>
      </w:r>
      <w:r w:rsidRPr="006C40C1">
        <w:t>e</w:t>
      </w:r>
      <w:r w:rsidRPr="006C40C1">
        <w:softHyphen/>
        <w:t xml:space="preserve">ringsvärden ligga till grund för förmögenhetsbeskattningen fr.o.m. år 2003. I motion Fi245 yrkande 2 av Karin Enström (m) begärs </w:t>
      </w:r>
      <w:r w:rsidRPr="006C40C1">
        <w:t>ett tillkännagivande om att förmögenhetsskatten bör slopas omedelbart. Också i motion A315 yrkande 2 av Anders G Högmark m.fl. (m) föreslås att sambeskattningen av förm</w:t>
      </w:r>
      <w:r w:rsidRPr="006C40C1">
        <w:t>ö</w:t>
      </w:r>
      <w:r w:rsidRPr="006C40C1">
        <w:softHyphen/>
        <w:t>genhet slopas.</w:t>
      </w:r>
    </w:p>
    <w:p w:rsidR="00AA5D77" w:rsidRPr="006C40C1" w:rsidRDefault="00AA5D77">
      <w:pPr>
        <w:pStyle w:val="Normaltindrag"/>
      </w:pPr>
      <w:r w:rsidRPr="006C40C1">
        <w:t xml:space="preserve">I </w:t>
      </w:r>
      <w:r w:rsidRPr="006C40C1">
        <w:rPr>
          <w:i/>
        </w:rPr>
        <w:t>Folkpartiet</w:t>
      </w:r>
      <w:r w:rsidRPr="006C40C1">
        <w:t xml:space="preserve"> </w:t>
      </w:r>
      <w:r w:rsidRPr="006C40C1">
        <w:rPr>
          <w:i/>
        </w:rPr>
        <w:t>liberalernas</w:t>
      </w:r>
      <w:r w:rsidRPr="006C40C1">
        <w:t xml:space="preserve"> motion Sk382 yrkandena 11 och 12 av Lars Leijonborg m.fl. (fp) anförs att sambeskattningen av makar i förmögenhets</w:t>
      </w:r>
      <w:r w:rsidRPr="006C40C1">
        <w:softHyphen/>
        <w:t>beskattningen är en restprodukt i skattesystemet från den tid då kvinnor inte betraktades som egna ekonomiska subjekt, och de föreslår att sambeskat</w:t>
      </w:r>
      <w:r w:rsidRPr="006C40C1">
        <w:t>t</w:t>
      </w:r>
      <w:r w:rsidRPr="006C40C1">
        <w:softHyphen/>
        <w:t xml:space="preserve">ningen slopas år 2003. Vidare bör fribeloppet höjas till 2,1 miljoner kronor med sikte på ett fullständigt avskaffande av förmögenhetsskatten. </w:t>
      </w:r>
    </w:p>
    <w:p w:rsidR="00AA5D77" w:rsidRPr="006C40C1" w:rsidRDefault="00AA5D77">
      <w:pPr>
        <w:pStyle w:val="Normaltindrag"/>
      </w:pPr>
      <w:r w:rsidRPr="006C40C1">
        <w:t xml:space="preserve">I </w:t>
      </w:r>
      <w:r w:rsidRPr="006C40C1">
        <w:rPr>
          <w:i/>
        </w:rPr>
        <w:t>Kristdemokraternas</w:t>
      </w:r>
      <w:r w:rsidRPr="006C40C1">
        <w:t xml:space="preserve"> motioner Fi256 yrkandena 21 och 22 av Alf Sven</w:t>
      </w:r>
      <w:r w:rsidRPr="006C40C1">
        <w:t>s</w:t>
      </w:r>
      <w:r w:rsidRPr="006C40C1">
        <w:t>son m.fl. (kd) och Sk383 yrkande 3 av Per Landgren m.fl. (kd) föreslås att effekten av sambeskattningen av förmögenhet avvecklas helt genom att fr</w:t>
      </w:r>
      <w:r w:rsidRPr="006C40C1">
        <w:t>i</w:t>
      </w:r>
      <w:r w:rsidRPr="006C40C1">
        <w:t>beloppet för sambeskattade par höjs till 3 000 000 kr. Därefter föreslår moti</w:t>
      </w:r>
      <w:r w:rsidRPr="006C40C1">
        <w:t>o</w:t>
      </w:r>
      <w:r w:rsidRPr="006C40C1">
        <w:t>närerna att förmögenhetsskatten avvecklas med 0,5 procentenhet per år så att den blir 1,0 % år 2004 och 0,5 % år 2005.</w:t>
      </w:r>
    </w:p>
    <w:p w:rsidR="00AA5D77" w:rsidRPr="006C40C1" w:rsidRDefault="00AA5D77">
      <w:pPr>
        <w:pStyle w:val="Normaltindrag"/>
      </w:pPr>
      <w:r w:rsidRPr="006C40C1">
        <w:t xml:space="preserve">I </w:t>
      </w:r>
      <w:r w:rsidRPr="006C40C1">
        <w:rPr>
          <w:i/>
        </w:rPr>
        <w:t>Centerpartiets</w:t>
      </w:r>
      <w:r w:rsidRPr="006C40C1">
        <w:t xml:space="preserve"> motion Fi286 yrkandena 13 och 14 av Maud Olofsson m.fl. (c) anförs att starka skäl talar för att förmögenhetsskatten bör fasas ut ur det svenska skattesystemet. Sambeskattningen av förmögenhet är en kvarleva från ett gammalt patriarkalt samhälle med familjeförsörjare och bör avskaffas redan år 2003. Vidare innebär förmögenhetsskatten också en dubbelbeskat</w:t>
      </w:r>
      <w:r w:rsidRPr="006C40C1">
        <w:t>t</w:t>
      </w:r>
      <w:r w:rsidRPr="006C40C1">
        <w:softHyphen/>
        <w:t>ning av det egna boendet. Innan förmögenhetsskatten är helt avskaffad bör därför förmögenhetsskatten endast beräknas på halva taxeringsvär</w:t>
      </w:r>
      <w:r w:rsidRPr="006C40C1">
        <w:t>det fr.o.m. 2003.</w:t>
      </w:r>
    </w:p>
    <w:p w:rsidR="00AA5D77" w:rsidRPr="006C40C1" w:rsidRDefault="00AA5D77">
      <w:pPr>
        <w:pStyle w:val="R4"/>
      </w:pPr>
      <w:r w:rsidRPr="006C40C1">
        <w:t>Skatteutskottets yttrande</w:t>
      </w:r>
    </w:p>
    <w:p w:rsidR="00AA5D77" w:rsidRPr="006C40C1" w:rsidRDefault="00AA5D77">
      <w:r w:rsidRPr="006C40C1">
        <w:t>Skatteutskottet anför att en övergång till särbeskattning skulle medföra en oönskad stimulans för skattemotiverade överföringar inom familjen och att ett system med skilda fribelopp för ensamstående respektive sambeskattade par därför är att föredra. Utskottet är därför inte berett att tillstyrka förslagen om slopad samb</w:t>
      </w:r>
      <w:r w:rsidRPr="006C40C1">
        <w:t>e</w:t>
      </w:r>
      <w:r w:rsidRPr="006C40C1">
        <w:t>skattning.</w:t>
      </w:r>
    </w:p>
    <w:p w:rsidR="00AA5D77" w:rsidRPr="006C40C1" w:rsidRDefault="00AA5D77">
      <w:pPr>
        <w:pStyle w:val="Normaltindrag"/>
      </w:pPr>
      <w:r w:rsidRPr="006C40C1">
        <w:t>När det gäller förslagen om slopad förmögenhetsskatt m.m. anför utskottet att regeringen i juni 2002 beslutat tillsätta en parlamentarisk kommitté, Ege</w:t>
      </w:r>
      <w:r w:rsidRPr="006C40C1">
        <w:t>n</w:t>
      </w:r>
      <w:r w:rsidRPr="006C40C1">
        <w:t>domsskattekommittén (Fi 2002:06), som ska utreda fastighetsskatten på sm</w:t>
      </w:r>
      <w:r w:rsidRPr="006C40C1">
        <w:t>å</w:t>
      </w:r>
      <w:r w:rsidRPr="006C40C1">
        <w:t>hus m.m., förmögenhetsskatten samt arvs- och gåvoskatten och att bakgru</w:t>
      </w:r>
      <w:r w:rsidRPr="006C40C1">
        <w:t>n</w:t>
      </w:r>
      <w:r w:rsidRPr="006C40C1">
        <w:t>den bl.a. är att reglerna kritiserats för bristande enhetlighet i behandlingen av olika tillgångar och för de fördelningspolitiska effekterna. Kommittén ska avsluta uppdraget senast vid utgången av 2003. Utskottet anser att resultatet av denna utredning bör avvaktas och avstyrker därför motionsförslagen om slopad förmögenhet</w:t>
      </w:r>
      <w:r w:rsidRPr="006C40C1">
        <w:t>s</w:t>
      </w:r>
      <w:r w:rsidRPr="006C40C1">
        <w:t xml:space="preserve">skatt m.m. </w:t>
      </w:r>
    </w:p>
    <w:p w:rsidR="00AA5D77" w:rsidRPr="006C40C1" w:rsidRDefault="00AA5D77">
      <w:pPr>
        <w:pStyle w:val="R4"/>
      </w:pPr>
      <w:bookmarkStart w:id="463" w:name="_Toc24531776"/>
      <w:bookmarkStart w:id="464" w:name="_Toc25055319"/>
      <w:r w:rsidRPr="006C40C1">
        <w:t>Finansutskottets ställnings</w:t>
      </w:r>
      <w:r w:rsidRPr="006C40C1">
        <w:t>tagande</w:t>
      </w:r>
    </w:p>
    <w:p w:rsidR="00AA5D77" w:rsidRPr="006C40C1" w:rsidRDefault="00AA5D77">
      <w:r w:rsidRPr="006C40C1">
        <w:t>Finansutskottet delar skatteutskottets bedömning och avstyrker motionerna Fi245 (m) yrkande 2, Fi256 (kd) yrkandena 21 och 22, Fi286 (c) yrkandena 13 och 14, Fi287 (m) yrkandena 18 i denna del och 22–24, Sk382 (fp) yrka</w:t>
      </w:r>
      <w:r w:rsidRPr="006C40C1">
        <w:t>n</w:t>
      </w:r>
      <w:r w:rsidRPr="006C40C1">
        <w:t>dena 11 och 12, Sk383 (kd) yrka</w:t>
      </w:r>
      <w:r w:rsidRPr="006C40C1">
        <w:t>n</w:t>
      </w:r>
      <w:r w:rsidRPr="006C40C1">
        <w:t>de 3 och A315 (m) yrkande 2.</w:t>
      </w:r>
    </w:p>
    <w:p w:rsidR="00AA5D77" w:rsidRPr="006C40C1" w:rsidRDefault="00AA5D77">
      <w:pPr>
        <w:pStyle w:val="Utskottetsvervganden-RubrikFrslagspunkt"/>
      </w:pPr>
      <w:bookmarkStart w:id="465" w:name="_Toc25411166"/>
      <w:bookmarkStart w:id="466" w:name="_Toc26191490"/>
      <w:r w:rsidRPr="006C40C1">
        <w:t>3.7 Skatt på varor och tjänster</w:t>
      </w:r>
      <w:bookmarkEnd w:id="465"/>
      <w:bookmarkEnd w:id="466"/>
    </w:p>
    <w:p w:rsidR="00AA5D77" w:rsidRPr="006C40C1" w:rsidRDefault="00AA5D77">
      <w:pPr>
        <w:keepNext/>
        <w:spacing w:before="360" w:line="170" w:lineRule="exact"/>
        <w:rPr>
          <w:b/>
          <w:sz w:val="17"/>
        </w:rPr>
      </w:pPr>
      <w:r w:rsidRPr="006C40C1">
        <w:rPr>
          <w:b/>
          <w:sz w:val="17"/>
        </w:rPr>
        <w:t>Tabell 43. Skatt på varor och tjänster</w:t>
      </w:r>
    </w:p>
    <w:p w:rsidR="00AA5D77" w:rsidRPr="006C40C1" w:rsidRDefault="006C40C1">
      <w:r w:rsidRPr="006C40C1">
        <w:rPr>
          <w:noProof/>
        </w:rPr>
        <w:drawing>
          <wp:inline distT="0" distB="0" distL="0" distR="0">
            <wp:extent cx="3777615" cy="4517390"/>
            <wp:effectExtent l="0" t="0" r="0" b="0"/>
            <wp:docPr id="48" name="Bild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777615" cy="4517390"/>
                    </a:xfrm>
                    <a:prstGeom prst="rect">
                      <a:avLst/>
                    </a:prstGeom>
                    <a:noFill/>
                    <a:ln>
                      <a:noFill/>
                    </a:ln>
                  </pic:spPr>
                </pic:pic>
              </a:graphicData>
            </a:graphic>
          </wp:inline>
        </w:drawing>
      </w:r>
    </w:p>
    <w:p w:rsidR="00AA5D77" w:rsidRPr="006C40C1" w:rsidRDefault="00AA5D77">
      <w:pPr>
        <w:pStyle w:val="Utskottetsvervganden-RubrikFrslagspunkt"/>
      </w:pPr>
      <w:bookmarkStart w:id="467" w:name="_Toc25411167"/>
      <w:bookmarkStart w:id="468" w:name="_Toc26191491"/>
      <w:r w:rsidRPr="006C40C1">
        <w:t>3.7.1 En skattelättnad för studentbostäder och äldrebostäder</w:t>
      </w:r>
      <w:bookmarkEnd w:id="463"/>
      <w:bookmarkEnd w:id="464"/>
      <w:bookmarkEnd w:id="467"/>
      <w:bookmarkEnd w:id="468"/>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halverad byggmoms och om slopad uttagsbeskattning av fastighetsskötsel.</w:t>
      </w:r>
    </w:p>
    <w:p w:rsidR="00AA5D77" w:rsidRPr="006C40C1" w:rsidRDefault="00AA5D77">
      <w:pPr>
        <w:pStyle w:val="Utskottsfrslagikorthet-Text"/>
      </w:pPr>
      <w:r w:rsidRPr="006C40C1">
        <w:t>Jämför reservationerna 10 (kd) och 11 (c).</w:t>
      </w:r>
    </w:p>
    <w:p w:rsidR="00AA5D77" w:rsidRPr="006C40C1" w:rsidRDefault="00AA5D77">
      <w:pPr>
        <w:pStyle w:val="R4"/>
      </w:pPr>
      <w:r w:rsidRPr="006C40C1">
        <w:t>Budgetpropositionen</w:t>
      </w:r>
    </w:p>
    <w:p w:rsidR="00AA5D77" w:rsidRPr="006C40C1" w:rsidRDefault="00AA5D77">
      <w:r w:rsidRPr="006C40C1">
        <w:t>Regeringen bedömer (avsnitt 8.6.2) att en sänkning av mervärdesskattekos</w:t>
      </w:r>
      <w:r w:rsidRPr="006C40C1">
        <w:t>t</w:t>
      </w:r>
      <w:r w:rsidRPr="006C40C1">
        <w:softHyphen/>
        <w:t>naden bör prövas för studentbostäder och äldrebostäder. I syfte att tillgodose huvudsakligen ungdomarnas bostadsbehov vill regeringen även pröva föru</w:t>
      </w:r>
      <w:r w:rsidRPr="006C40C1">
        <w:t>t</w:t>
      </w:r>
      <w:r w:rsidRPr="006C40C1">
        <w:softHyphen/>
        <w:t xml:space="preserve">sättningarna för att på ett kostnadseffektivt sätt minska boendekostnaderna genom en sänkning av mervärdesskattekostnaderna för produktion av mindre hyreslägenheter. </w:t>
      </w:r>
    </w:p>
    <w:p w:rsidR="00AA5D77" w:rsidRPr="006C40C1" w:rsidRDefault="00AA5D77">
      <w:pPr>
        <w:pStyle w:val="Normaltindrag"/>
      </w:pPr>
      <w:r w:rsidRPr="006C40C1">
        <w:t>När det gäller den närmare avgränsningen av de byggprojekt som kan komma i fråga för en sänkning av mervärdesskattekostnaden krävs enligt vad som anförs noggranna överväganden. Reglerna bör ge</w:t>
      </w:r>
      <w:r w:rsidRPr="006C40C1">
        <w:t>s en sådan utformning att de inte leder till senareläggning av byggprojekt som redan nu kan påbö</w:t>
      </w:r>
      <w:r w:rsidRPr="006C40C1">
        <w:t>r</w:t>
      </w:r>
      <w:r w:rsidRPr="006C40C1">
        <w:softHyphen/>
        <w:t>jas. Kravet på förutsebarhet och klarhet i skattelagstiftningen måste beaktas. Byggherren måste redan vid projekteringen av ett nytt bygge ha möjlighet att bedöma skattekonsekvenserna. Även kontrollaspekterna är av stor vikt. För att utröna om sänkningen får avsedd verkan, bör åtgärden tidsbegränsas till att gälla projekt som påbörjas före utgången av 2006 och utvärderas tillsammans med de övriga stöd som finns</w:t>
      </w:r>
      <w:r w:rsidRPr="006C40C1">
        <w:t xml:space="preserve"> för de aktuella bostadstyperna. Vid analysen av på vilket sätt mervärdesskattesänkningen lämpligen bör genomföras bör fö</w:t>
      </w:r>
      <w:r w:rsidRPr="006C40C1">
        <w:t>r</w:t>
      </w:r>
      <w:r w:rsidRPr="006C40C1">
        <w:t>utsättningarna för en återbäring av mervärdesskatten i form av en skatte</w:t>
      </w:r>
      <w:r w:rsidRPr="006C40C1">
        <w:softHyphen/>
        <w:t>r</w:t>
      </w:r>
      <w:r w:rsidRPr="006C40C1">
        <w:t>e</w:t>
      </w:r>
      <w:r w:rsidRPr="006C40C1">
        <w:t>duktion övervägas.</w:t>
      </w:r>
    </w:p>
    <w:p w:rsidR="00AA5D77" w:rsidRPr="006C40C1" w:rsidRDefault="00AA5D77">
      <w:pPr>
        <w:pStyle w:val="R4"/>
      </w:pPr>
      <w:r w:rsidRPr="006C40C1">
        <w:t>Motioner</w:t>
      </w:r>
    </w:p>
    <w:p w:rsidR="00AA5D77" w:rsidRPr="006C40C1" w:rsidRDefault="00AA5D77">
      <w:r w:rsidRPr="006C40C1">
        <w:rPr>
          <w:i/>
        </w:rPr>
        <w:t>Kristdemokraterna</w:t>
      </w:r>
      <w:r w:rsidRPr="006C40C1">
        <w:t xml:space="preserve"> föreslår i motion Fi256 yrkande 26 av Alf Svensson m.fl. (kd) att mervärdesskatten på byggande halveras med start den 1 oktober 2003. För att inte gå emot EU:s regler föreslår motionärerna att skattesänkningen utformas så att byggföretaget efter deklaration erhåller en skattereduktion som motsvarar hälften av den erlagda byggmomsen, dvs. 10 % av byggkos</w:t>
      </w:r>
      <w:r w:rsidRPr="006C40C1">
        <w:t>t</w:t>
      </w:r>
      <w:r w:rsidRPr="006C40C1">
        <w:softHyphen/>
        <w:t>naden. Avsikten är att skattereduktionen ska ses som en del av skattesyste</w:t>
      </w:r>
      <w:r w:rsidRPr="006C40C1">
        <w:softHyphen/>
        <w:t>met och inte som ett bidrag.</w:t>
      </w:r>
    </w:p>
    <w:p w:rsidR="00AA5D77" w:rsidRPr="006C40C1" w:rsidRDefault="00AA5D77">
      <w:pPr>
        <w:pStyle w:val="Normaltindrag"/>
        <w:rPr>
          <w:snapToGrid w:val="0"/>
          <w:lang w:eastAsia="sv-SE"/>
        </w:rPr>
      </w:pPr>
      <w:r w:rsidRPr="006C40C1">
        <w:t>I</w:t>
      </w:r>
      <w:r w:rsidRPr="006C40C1">
        <w:rPr>
          <w:i/>
        </w:rPr>
        <w:t xml:space="preserve"> Centerpartiets</w:t>
      </w:r>
      <w:r w:rsidRPr="006C40C1">
        <w:t xml:space="preserve"> motion Fi286 yrkande 15 av Maud Olofsson m.fl. (c) a</w:t>
      </w:r>
      <w:r w:rsidRPr="006C40C1">
        <w:t>n</w:t>
      </w:r>
      <w:r w:rsidRPr="006C40C1">
        <w:t xml:space="preserve">förs att </w:t>
      </w:r>
      <w:r w:rsidRPr="006C40C1">
        <w:rPr>
          <w:snapToGrid w:val="0"/>
          <w:lang w:eastAsia="sv-SE"/>
        </w:rPr>
        <w:t>en uttagsskatt på företag som driver fastighetsskötsel i egen regi i</w:t>
      </w:r>
      <w:r w:rsidRPr="006C40C1">
        <w:rPr>
          <w:snapToGrid w:val="0"/>
          <w:lang w:eastAsia="sv-SE"/>
        </w:rPr>
        <w:t>n</w:t>
      </w:r>
      <w:r w:rsidRPr="006C40C1">
        <w:rPr>
          <w:snapToGrid w:val="0"/>
          <w:lang w:eastAsia="sv-SE"/>
        </w:rPr>
        <w:t>fördes vid 1990 års skattereform och att detta bl.a. har drabbat många all</w:t>
      </w:r>
      <w:r w:rsidRPr="006C40C1">
        <w:rPr>
          <w:snapToGrid w:val="0"/>
          <w:lang w:eastAsia="sv-SE"/>
        </w:rPr>
        <w:softHyphen/>
        <w:t>mä</w:t>
      </w:r>
      <w:r w:rsidRPr="006C40C1">
        <w:rPr>
          <w:snapToGrid w:val="0"/>
          <w:lang w:eastAsia="sv-SE"/>
        </w:rPr>
        <w:t>n</w:t>
      </w:r>
      <w:r w:rsidRPr="006C40C1">
        <w:rPr>
          <w:snapToGrid w:val="0"/>
          <w:lang w:eastAsia="sv-SE"/>
        </w:rPr>
        <w:t>nyttiga och kooperativa bostadsföretag. Motionärerna föreslår att uttags</w:t>
      </w:r>
      <w:r w:rsidRPr="006C40C1">
        <w:rPr>
          <w:snapToGrid w:val="0"/>
          <w:lang w:eastAsia="sv-SE"/>
        </w:rPr>
        <w:softHyphen/>
        <w:t>ska</w:t>
      </w:r>
      <w:r w:rsidRPr="006C40C1">
        <w:rPr>
          <w:snapToGrid w:val="0"/>
          <w:lang w:eastAsia="sv-SE"/>
        </w:rPr>
        <w:t>t</w:t>
      </w:r>
      <w:r w:rsidRPr="006C40C1">
        <w:rPr>
          <w:snapToGrid w:val="0"/>
          <w:lang w:eastAsia="sv-SE"/>
        </w:rPr>
        <w:t>ten slopas så att beskattningen av hyresboendet blir lägre och inte miss</w:t>
      </w:r>
      <w:r w:rsidRPr="006C40C1">
        <w:rPr>
          <w:snapToGrid w:val="0"/>
          <w:lang w:eastAsia="sv-SE"/>
        </w:rPr>
        <w:softHyphen/>
        <w:t>gynnas i jämförelse med andra boendefo</w:t>
      </w:r>
      <w:r w:rsidRPr="006C40C1">
        <w:rPr>
          <w:snapToGrid w:val="0"/>
          <w:lang w:eastAsia="sv-SE"/>
        </w:rPr>
        <w:t>r</w:t>
      </w:r>
      <w:r w:rsidRPr="006C40C1">
        <w:rPr>
          <w:snapToGrid w:val="0"/>
          <w:lang w:eastAsia="sv-SE"/>
        </w:rPr>
        <w:t>mer.</w:t>
      </w:r>
    </w:p>
    <w:p w:rsidR="00AA5D77" w:rsidRPr="006C40C1" w:rsidRDefault="00AA5D77">
      <w:pPr>
        <w:pStyle w:val="R4"/>
      </w:pPr>
      <w:r w:rsidRPr="006C40C1">
        <w:t>Skatteutskottets yttrande</w:t>
      </w:r>
    </w:p>
    <w:p w:rsidR="00AA5D77" w:rsidRPr="006C40C1" w:rsidRDefault="00AA5D77">
      <w:r w:rsidRPr="006C40C1">
        <w:t>Skatteutskottet anför i sitt yttrande att det finns ett starkt behov av att ytterl</w:t>
      </w:r>
      <w:r w:rsidRPr="006C40C1">
        <w:t>i</w:t>
      </w:r>
      <w:r w:rsidRPr="006C40C1">
        <w:t>gare stimulera produktionen av vissa typer av hyreslägenheter som studentl</w:t>
      </w:r>
      <w:r w:rsidRPr="006C40C1">
        <w:t>ä</w:t>
      </w:r>
      <w:r w:rsidRPr="006C40C1">
        <w:t>genheter, äldrebostäder och mindre hyres</w:t>
      </w:r>
      <w:r w:rsidRPr="006C40C1">
        <w:softHyphen/>
        <w:t>lägenheter. I dag används investe</w:t>
      </w:r>
      <w:r w:rsidRPr="006C40C1">
        <w:t>r</w:t>
      </w:r>
      <w:r w:rsidRPr="006C40C1">
        <w:t>ingsbidrag t.ex. för att stimulera produktio</w:t>
      </w:r>
      <w:r w:rsidRPr="006C40C1">
        <w:softHyphen/>
        <w:t>nen av studentlägenheter och h</w:t>
      </w:r>
      <w:r w:rsidRPr="006C40C1">
        <w:t>y</w:t>
      </w:r>
      <w:r w:rsidRPr="006C40C1">
        <w:t>reslägenheter, och detta har haft en god effekt när det gäller att få fram en produktion av lägenheter till rimligare kostnader. Det har också lett till att ett antal aktörer har etablerat sig på marknaden och nu bygger bostäder där kos</w:t>
      </w:r>
      <w:r w:rsidRPr="006C40C1">
        <w:t>t</w:t>
      </w:r>
      <w:r w:rsidRPr="006C40C1">
        <w:t>naderna är rimligare än vad kostnaderna är i den</w:t>
      </w:r>
      <w:r w:rsidRPr="006C40C1">
        <w:t xml:space="preserve"> traditi</w:t>
      </w:r>
      <w:r w:rsidRPr="006C40C1">
        <w:t>o</w:t>
      </w:r>
      <w:r w:rsidRPr="006C40C1">
        <w:t xml:space="preserve">nella produktionen. </w:t>
      </w:r>
    </w:p>
    <w:p w:rsidR="00AA5D77" w:rsidRPr="006C40C1" w:rsidRDefault="00AA5D77">
      <w:pPr>
        <w:pStyle w:val="Normaltindrag"/>
      </w:pPr>
      <w:r w:rsidRPr="006C40C1">
        <w:t>Skatteutskottet har mot denna bakgrund ingen invändning mot regeringens bedömning att en moms</w:t>
      </w:r>
      <w:r w:rsidRPr="006C40C1">
        <w:softHyphen/>
        <w:t>sänkning bör prövas som en kompletterande stim</w:t>
      </w:r>
      <w:r w:rsidRPr="006C40C1">
        <w:t>u</w:t>
      </w:r>
      <w:r w:rsidRPr="006C40C1">
        <w:t>lans på detta område. När det gäller motionsförslaget om att riksdagen nu ska fatta beslut om en lik</w:t>
      </w:r>
      <w:r w:rsidRPr="006C40C1">
        <w:softHyphen/>
        <w:t>nande stimulans anser utskottet att regeringens förslag bör avvaktas. U</w:t>
      </w:r>
      <w:r w:rsidRPr="006C40C1">
        <w:t>t</w:t>
      </w:r>
      <w:r w:rsidRPr="006C40C1">
        <w:t>skottet avstyrker därför det motionsyrkandet.</w:t>
      </w:r>
    </w:p>
    <w:p w:rsidR="00AA5D77" w:rsidRPr="006C40C1" w:rsidRDefault="00AA5D77">
      <w:pPr>
        <w:pStyle w:val="Normaltindrag"/>
      </w:pPr>
      <w:r w:rsidRPr="006C40C1">
        <w:t>När det gäller uttagsbeskattningen av viss fastighetsskötsel anför skatteu</w:t>
      </w:r>
      <w:r w:rsidRPr="006C40C1">
        <w:t>t</w:t>
      </w:r>
      <w:r w:rsidRPr="006C40C1">
        <w:t>skottet att bakgrunden till bestämmelsen är att många fastighetsförvaltande företag, bl.a. bostadsför</w:t>
      </w:r>
      <w:r w:rsidRPr="006C40C1">
        <w:softHyphen/>
        <w:t>valtningsföretagen, inte är skyldiga att ta ut mervä</w:t>
      </w:r>
      <w:r w:rsidRPr="006C40C1">
        <w:t>r</w:t>
      </w:r>
      <w:r w:rsidRPr="006C40C1">
        <w:t>desskatt i sin verksamhet och därför inte heller kan dra av den skatt som fristående fastighetsskötare debiterar. För att undvika att bostadsförvaltarna och andra momsbefriade företag av skatteskäl helt går över till fastighetsskö</w:t>
      </w:r>
      <w:r w:rsidRPr="006C40C1">
        <w:t>t</w:t>
      </w:r>
      <w:r w:rsidRPr="006C40C1">
        <w:t>sel i egen regi har sådan egenregiverksamhet belagts med moms om kostn</w:t>
      </w:r>
      <w:r w:rsidRPr="006C40C1">
        <w:t>a</w:t>
      </w:r>
      <w:r w:rsidRPr="006C40C1">
        <w:t>den överstiger ett viss belopp. Skatteutskottet är int</w:t>
      </w:r>
      <w:r w:rsidRPr="006C40C1">
        <w:t>e berett att tillstyrka att denna beskattningsregel sl</w:t>
      </w:r>
      <w:r w:rsidRPr="006C40C1">
        <w:t>o</w:t>
      </w:r>
      <w:r w:rsidRPr="006C40C1">
        <w:t>pas.</w:t>
      </w:r>
    </w:p>
    <w:p w:rsidR="00AA5D77" w:rsidRPr="006C40C1" w:rsidRDefault="00AA5D77">
      <w:pPr>
        <w:pStyle w:val="Normaltindrag"/>
      </w:pPr>
      <w:r w:rsidRPr="006C40C1">
        <w:t>Utskottet avstyrker de aktuella motionerna.</w:t>
      </w:r>
    </w:p>
    <w:p w:rsidR="00AA5D77" w:rsidRPr="006C40C1" w:rsidRDefault="00AA5D77">
      <w:pPr>
        <w:pStyle w:val="R4"/>
      </w:pPr>
      <w:bookmarkStart w:id="469" w:name="_Toc24531777"/>
      <w:bookmarkStart w:id="470" w:name="_Toc25055320"/>
      <w:r w:rsidRPr="006C40C1">
        <w:t>Finansutskottets ställningstagande</w:t>
      </w:r>
    </w:p>
    <w:p w:rsidR="00AA5D77" w:rsidRPr="006C40C1" w:rsidRDefault="00AA5D77">
      <w:r w:rsidRPr="006C40C1">
        <w:t>Finansutskottet delar skatteutskottets bedömning och avstyrker motionerna Fi256 (kd) yrkande 26 och Fi286 (c) yrkande 15.</w:t>
      </w:r>
    </w:p>
    <w:p w:rsidR="00AA5D77" w:rsidRPr="006C40C1" w:rsidRDefault="00AA5D77">
      <w:pPr>
        <w:pStyle w:val="Utskottetsvervganden-RubrikFrslagspunkt"/>
      </w:pPr>
      <w:bookmarkStart w:id="471" w:name="_Toc25411168"/>
      <w:bookmarkStart w:id="472" w:name="_Toc26191492"/>
      <w:r w:rsidRPr="006C40C1">
        <w:t>3.7.2 Mervärdesskatten på böcker och tidskrifter</w:t>
      </w:r>
      <w:bookmarkEnd w:id="469"/>
      <w:bookmarkEnd w:id="470"/>
      <w:bookmarkEnd w:id="471"/>
      <w:bookmarkEnd w:id="472"/>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 xml:space="preserve">Utskottet avstyrker motionsförslagen om höjd moms på tidskrifter och om en utredning av mervärdesskatten på kulturområdet. </w:t>
      </w:r>
    </w:p>
    <w:p w:rsidR="00AA5D77" w:rsidRPr="006C40C1" w:rsidRDefault="00AA5D77">
      <w:pPr>
        <w:pStyle w:val="Utskottsfrslagikorthet-Text"/>
      </w:pPr>
      <w:r w:rsidRPr="006C40C1">
        <w:t xml:space="preserve">  Jämför reservationerna 10 (kd) och 11 (c).</w:t>
      </w:r>
    </w:p>
    <w:p w:rsidR="00AA5D77" w:rsidRPr="006C40C1" w:rsidRDefault="00AA5D77">
      <w:pPr>
        <w:pStyle w:val="R4"/>
      </w:pPr>
      <w:r w:rsidRPr="006C40C1">
        <w:t>Bakgrund</w:t>
      </w:r>
    </w:p>
    <w:p w:rsidR="00AA5D77" w:rsidRPr="006C40C1" w:rsidRDefault="00AA5D77">
      <w:r w:rsidRPr="006C40C1">
        <w:t xml:space="preserve">Riksdagen har under hösten 2001 beslutat att sänka mervärdesskatten på böcker och tidskrifter från 25 % till 6 % fr.o.m. den 1 januari 2002 (prop. 2001/02: 45, bet. 2001/02:SkU12). </w:t>
      </w:r>
    </w:p>
    <w:p w:rsidR="00AA5D77" w:rsidRPr="006C40C1" w:rsidRDefault="00AA5D77">
      <w:pPr>
        <w:pStyle w:val="R4"/>
      </w:pPr>
      <w:r w:rsidRPr="006C40C1">
        <w:t>Motioner</w:t>
      </w:r>
    </w:p>
    <w:p w:rsidR="00AA5D77" w:rsidRPr="006C40C1" w:rsidRDefault="00AA5D77">
      <w:r w:rsidRPr="006C40C1">
        <w:t>I</w:t>
      </w:r>
      <w:r w:rsidRPr="006C40C1">
        <w:rPr>
          <w:i/>
        </w:rPr>
        <w:t xml:space="preserve"> Kristdemokraternas </w:t>
      </w:r>
      <w:r w:rsidRPr="006C40C1">
        <w:t>motion Fi256 yrkandena 27 och 29 av Alf Svensson m.fl. (kd) anförs att den nyligen genomförda sänkningen av mervärdesskatten på tidskrifter inte kan ses som en angelägen skattesänkning, och de föreslår att mervärdesskatten på tidskrifter återställs till 25 %. De begär också ett tillkännagivande om att regeringen bör utreda hur kulturmomsen generellt ska kunna sänkas till 6 %.</w:t>
      </w:r>
    </w:p>
    <w:p w:rsidR="00AA5D77" w:rsidRPr="006C40C1" w:rsidRDefault="00AA5D77">
      <w:pPr>
        <w:pStyle w:val="Normaltindrag"/>
        <w:rPr>
          <w:snapToGrid w:val="0"/>
          <w:lang w:eastAsia="sv-SE"/>
        </w:rPr>
      </w:pPr>
      <w:r w:rsidRPr="006C40C1">
        <w:t xml:space="preserve">Också </w:t>
      </w:r>
      <w:r w:rsidRPr="006C40C1">
        <w:rPr>
          <w:i/>
        </w:rPr>
        <w:t>Centerpartiets</w:t>
      </w:r>
      <w:r w:rsidRPr="006C40C1">
        <w:t xml:space="preserve"> motion Fi286 yrkande 31 av Maud Olofsson m.fl. (c) föreslås att mervärdesskatten på tidskrifter höjs till 25 %. Motionärerna anför att </w:t>
      </w:r>
      <w:r w:rsidRPr="006C40C1">
        <w:rPr>
          <w:snapToGrid w:val="0"/>
          <w:lang w:eastAsia="sv-SE"/>
        </w:rPr>
        <w:t>momsen på tidskrifter bör återställas till sin gamla nivå i avvaktan på en översyn av momsen inom hela kulturområdet.</w:t>
      </w:r>
    </w:p>
    <w:p w:rsidR="00AA5D77" w:rsidRPr="006C40C1" w:rsidRDefault="00AA5D77">
      <w:pPr>
        <w:pStyle w:val="R4"/>
      </w:pPr>
      <w:r w:rsidRPr="006C40C1">
        <w:t>Skatteutskottets yttrande</w:t>
      </w:r>
    </w:p>
    <w:p w:rsidR="00AA5D77" w:rsidRPr="006C40C1" w:rsidRDefault="00AA5D77">
      <w:r w:rsidRPr="006C40C1">
        <w:t>Skatteutskottet anför att både det kulturpolitiska syftet och administra</w:t>
      </w:r>
      <w:r w:rsidRPr="006C40C1">
        <w:softHyphen/>
        <w:t>tiva och praktiska skäl talar för att både böcker och tidskrifter bör ingå i området med reducerad mervärdesskatt. Området har utformats i nära anslutning till det utrymme som finns i punkt 6 i bilaga H till sjätte mervärdesskattedirekti</w:t>
      </w:r>
      <w:r w:rsidRPr="006C40C1">
        <w:softHyphen/>
        <w:t>vet. Utskottet ser inte någon anledning att ändra denna gränsdragning och avsty</w:t>
      </w:r>
      <w:r w:rsidRPr="006C40C1">
        <w:t>r</w:t>
      </w:r>
      <w:r w:rsidRPr="006C40C1">
        <w:t>ker därför motionsyrkandena om höjd mervärde</w:t>
      </w:r>
      <w:r w:rsidRPr="006C40C1">
        <w:t>s</w:t>
      </w:r>
      <w:r w:rsidRPr="006C40C1">
        <w:t>skatt för tidskrifter.</w:t>
      </w:r>
    </w:p>
    <w:p w:rsidR="00AA5D77" w:rsidRPr="006C40C1" w:rsidRDefault="00AA5D77">
      <w:pPr>
        <w:pStyle w:val="Normaltindrag"/>
      </w:pPr>
      <w:r w:rsidRPr="006C40C1">
        <w:t>När det gäller yrkandena om en översyn av momsen inom kulturområdet hänvisar utskottet till att utskottet i betänkande 2001/0</w:t>
      </w:r>
      <w:r w:rsidRPr="006C40C1">
        <w:t>2:SkU18 tagit upp de problem som områ</w:t>
      </w:r>
      <w:r w:rsidRPr="006C40C1">
        <w:softHyphen/>
        <w:t>dena med nedsatt mervärdesskatt orsakar och konstaterat att systemet kommit att bli alltmer svåröverskådligt och krångligt. Gränsdra</w:t>
      </w:r>
      <w:r w:rsidRPr="006C40C1">
        <w:t>g</w:t>
      </w:r>
      <w:r w:rsidRPr="006C40C1">
        <w:t>ningen mellan varor och tjänster som beskattas på normal nivå, 12-procentsnivån, 6-procentsnivån respektive undantas från beskattning framstår i en del fall som svårbegriplig, godtycklig och orättvis. Skattemyndigheterna tvingas till grannlaga avgöran</w:t>
      </w:r>
      <w:r w:rsidRPr="006C40C1">
        <w:softHyphen/>
        <w:t>den om huruvida olika varor och verksamheter ska hänföras till den ena eller den andra gr</w:t>
      </w:r>
      <w:r w:rsidRPr="006C40C1">
        <w:t>uppen. En av lagstiftningstekniska och praktiska skäl motiverad önskan att göra gränsen för ett lågbeskattat område så snäv som möjligt för att underlätta tillämpningen ger ibland up</w:t>
      </w:r>
      <w:r w:rsidRPr="006C40C1">
        <w:t>p</w:t>
      </w:r>
      <w:r w:rsidRPr="006C40C1">
        <w:t>hov till känsliga och vidlyftiga rätt</w:t>
      </w:r>
      <w:r w:rsidRPr="006C40C1">
        <w:softHyphen/>
        <w:t>visediskussioner när ett besläktat och nä</w:t>
      </w:r>
      <w:r w:rsidRPr="006C40C1">
        <w:t>r</w:t>
      </w:r>
      <w:r w:rsidRPr="006C40C1">
        <w:t xml:space="preserve">liggande område beskattas på en högre nivå. Företag och andra näringsidkare lägger ibland ned avsevärda ansträngningar och betydande kostnader på att få till stånd en förmånligare mervärdesbeskattning av just de varor och tjänster som det företaget </w:t>
      </w:r>
      <w:r w:rsidRPr="006C40C1">
        <w:t>eller den näringsidkaren producerar, dvs. att få med dessa varor och tjänster i en låg</w:t>
      </w:r>
      <w:r w:rsidRPr="006C40C1">
        <w:softHyphen/>
        <w:t>beskattad sektor. Mot denna bakgrund föreslog utskottet då ett tillkännagivande till regeringen om behovet av en översyn av tillämpningsområdet för de redu</w:t>
      </w:r>
      <w:r w:rsidRPr="006C40C1">
        <w:softHyphen/>
        <w:t>cerade skattesatserna. Riksdagen biföll u</w:t>
      </w:r>
      <w:r w:rsidRPr="006C40C1">
        <w:t>t</w:t>
      </w:r>
      <w:r w:rsidRPr="006C40C1">
        <w:t>skottets förslag (bet. 2001/02:17). Regeringen anför i budgetpropositionen (avsnitt 8.6.1) att det pågår ett arbete med att ta fram direktiv till utredningen och att avsikten är att utred</w:t>
      </w:r>
      <w:r w:rsidRPr="006C40C1">
        <w:softHyphen/>
        <w:t>nin</w:t>
      </w:r>
      <w:r w:rsidRPr="006C40C1">
        <w:t>g</w:t>
      </w:r>
      <w:r w:rsidRPr="006C40C1">
        <w:t>en ska tillsättas under hösten 2002</w:t>
      </w:r>
      <w:r w:rsidRPr="006C40C1">
        <w:t>.</w:t>
      </w:r>
    </w:p>
    <w:p w:rsidR="00AA5D77" w:rsidRPr="006C40C1" w:rsidRDefault="00AA5D77">
      <w:pPr>
        <w:pStyle w:val="Normaltindrag"/>
      </w:pPr>
      <w:r w:rsidRPr="006C40C1">
        <w:t>Enligt skatteutskottets mening bör resultatet av den aviserade utredningen av tillämpningsområdet för de reducerade skattesatserna avvaktas. Utskottet avstyrker även motionsförslaget om en utredning om enhetlig kultu</w:t>
      </w:r>
      <w:r w:rsidRPr="006C40C1">
        <w:t>r</w:t>
      </w:r>
      <w:r w:rsidRPr="006C40C1">
        <w:t>moms.</w:t>
      </w:r>
    </w:p>
    <w:p w:rsidR="00AA5D77" w:rsidRPr="006C40C1" w:rsidRDefault="00AA5D77">
      <w:pPr>
        <w:pStyle w:val="R4"/>
      </w:pPr>
      <w:bookmarkStart w:id="473" w:name="_Toc24531778"/>
      <w:bookmarkStart w:id="474" w:name="_Toc25055321"/>
      <w:r w:rsidRPr="006C40C1">
        <w:t>Finansutskottets ställningstagande</w:t>
      </w:r>
    </w:p>
    <w:p w:rsidR="00AA5D77" w:rsidRPr="006C40C1" w:rsidRDefault="00AA5D77">
      <w:r w:rsidRPr="006C40C1">
        <w:t>Finansutskottet delar skatteutskottets bedömning och avstyrker motionerna Fi256 (kd) yrkandena 27 och 29 samt Fi286 (c) yrkande 31.</w:t>
      </w:r>
    </w:p>
    <w:p w:rsidR="00AA5D77" w:rsidRPr="006C40C1" w:rsidRDefault="00AA5D77">
      <w:pPr>
        <w:pStyle w:val="Utskottetsvervganden-RubrikFrslagspunkt"/>
      </w:pPr>
      <w:bookmarkStart w:id="475" w:name="_Toc25411169"/>
      <w:bookmarkStart w:id="476" w:name="_Toc26191493"/>
      <w:r w:rsidRPr="006C40C1">
        <w:t>3.7.3 Skatt på lågpriscigaretter</w:t>
      </w:r>
      <w:bookmarkEnd w:id="473"/>
      <w:bookmarkEnd w:id="474"/>
      <w:bookmarkEnd w:id="475"/>
      <w:bookmarkEnd w:id="476"/>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om minimipunktskatt på c</w:t>
      </w:r>
      <w:r w:rsidRPr="006C40C1">
        <w:t>i</w:t>
      </w:r>
      <w:r w:rsidRPr="006C40C1">
        <w:t>garetter på 90 % och avslår motionsförslaget om en högre mini</w:t>
      </w:r>
      <w:r w:rsidRPr="006C40C1">
        <w:softHyphen/>
        <w:t>m</w:t>
      </w:r>
      <w:r w:rsidRPr="006C40C1">
        <w:t>i</w:t>
      </w:r>
      <w:r w:rsidRPr="006C40C1">
        <w:t>skatt.</w:t>
      </w:r>
    </w:p>
    <w:p w:rsidR="00AA5D77" w:rsidRPr="006C40C1" w:rsidRDefault="00AA5D77">
      <w:pPr>
        <w:pStyle w:val="Utskottsfrslagikorthet-Text"/>
      </w:pPr>
      <w:r w:rsidRPr="006C40C1">
        <w:t xml:space="preserve">  Jämför reservation 10 (kd).</w:t>
      </w:r>
    </w:p>
    <w:p w:rsidR="00AA5D77" w:rsidRPr="006C40C1" w:rsidRDefault="00AA5D77">
      <w:pPr>
        <w:pStyle w:val="R4"/>
      </w:pPr>
      <w:r w:rsidRPr="006C40C1">
        <w:t>Budgetpropositionen</w:t>
      </w:r>
    </w:p>
    <w:p w:rsidR="00AA5D77" w:rsidRPr="006C40C1" w:rsidRDefault="00AA5D77">
      <w:r w:rsidRPr="006C40C1">
        <w:t>Regeringen föreslår (avsnitt 8.5.2, punkt 36) att en minimipunktskatt införs den 1 mars 2003 på cigaretter som har ett lägre detaljhandelspris än cigaretter i den mest efterfrågade priskategorin. Skatten bestäms till 90 % av den sa</w:t>
      </w:r>
      <w:r w:rsidRPr="006C40C1">
        <w:t>m</w:t>
      </w:r>
      <w:r w:rsidRPr="006C40C1">
        <w:softHyphen/>
        <w:t>manlagda skatten på cigaretter i den mest efterfrågade priskategorin. Vidare införs en skyldighet för tillverkare att lämna uppgifter till Riksskatteverket om försäl</w:t>
      </w:r>
      <w:r w:rsidRPr="006C40C1">
        <w:t>j</w:t>
      </w:r>
      <w:r w:rsidRPr="006C40C1">
        <w:t xml:space="preserve">ning av cigaretter i de olika priskategorierna. </w:t>
      </w:r>
    </w:p>
    <w:p w:rsidR="00AA5D77" w:rsidRPr="006C40C1" w:rsidRDefault="00AA5D77">
      <w:pPr>
        <w:pStyle w:val="Normaltindrag"/>
      </w:pPr>
      <w:r w:rsidRPr="006C40C1">
        <w:t xml:space="preserve">Regeringen anför att ett antal s.k. lågpriscigaretter lanserats på den svenska marknaden under senare tid. Cigaretterna har ett pris som per paket ligger ca 10 kr under priset på ett cigarettpaket i den mest efterfrågade priskategorin. Dessa lågpriscigaretters andel av marknaden har successivt </w:t>
      </w:r>
      <w:r w:rsidRPr="006C40C1">
        <w:t>ökat, och de står för närvarande för ca 10 % av cigarettkonsumtionen i landet. Även i andra medlemsstater har denna kategori av cigaretter tagit marknadsandelar. Det låga priset på dessa cigaretter medför en risk för att cigarettrökningen ko</w:t>
      </w:r>
      <w:r w:rsidRPr="006C40C1">
        <w:t>m</w:t>
      </w:r>
      <w:r w:rsidRPr="006C40C1">
        <w:t>mer att öka. Regeringen anser därför att det finns skäl att införa en mini</w:t>
      </w:r>
      <w:r w:rsidRPr="006C40C1">
        <w:softHyphen/>
        <w:t>mipunktskatt för cigaretter som har ett lägre detaljhandelspris än cigaretter i den mest efterfrågade priskategorin. Enligt EG-reglerna skulle det vara möj</w:t>
      </w:r>
      <w:r w:rsidRPr="006C40C1">
        <w:softHyphen/>
        <w:t>ligt att ta ut en minimipunktskatt på 1</w:t>
      </w:r>
      <w:r w:rsidRPr="006C40C1">
        <w:t>00 % av den sammanlagda skatten på cigaretter i den mest efterfrågade priskategorin. Regeringen bedömer dock att det inte är lämpligt att fastställa en minimipunktskatt på 100 % med hänsyn till att en sådan höjning av punktskatten på lågpriscigaretter skulle kunna öka risken för smuggling av cigaretter. En för låg minimipunktskatt skulle dock inte få någon större effekt på cigarettkonsumtionen. Vid en samlad bedöm</w:t>
      </w:r>
      <w:r w:rsidRPr="006C40C1">
        <w:softHyphen/>
        <w:t>ning u</w:t>
      </w:r>
      <w:r w:rsidRPr="006C40C1">
        <w:t>t</w:t>
      </w:r>
      <w:r w:rsidRPr="006C40C1">
        <w:t>ifrån nuvarande förhållanden har regeringen funnit att en minimi</w:t>
      </w:r>
      <w:r w:rsidRPr="006C40C1">
        <w:softHyphen/>
        <w:t xml:space="preserve">punktskatt som uppgår </w:t>
      </w:r>
      <w:r w:rsidRPr="006C40C1">
        <w:t>till 90 % av den punktskatt som tas ut på cigaretter i den mest efterfrågade priskategorin bör införas.</w:t>
      </w:r>
    </w:p>
    <w:p w:rsidR="00AA5D77" w:rsidRPr="006C40C1" w:rsidRDefault="00AA5D77">
      <w:pPr>
        <w:pStyle w:val="R4"/>
      </w:pPr>
      <w:r w:rsidRPr="006C40C1">
        <w:t>Motion</w:t>
      </w:r>
    </w:p>
    <w:p w:rsidR="00AA5D77" w:rsidRPr="006C40C1" w:rsidRDefault="00AA5D77">
      <w:r w:rsidRPr="006C40C1">
        <w:t xml:space="preserve">I </w:t>
      </w:r>
      <w:r w:rsidRPr="006C40C1">
        <w:rPr>
          <w:i/>
        </w:rPr>
        <w:t>Kristdemokraternas</w:t>
      </w:r>
      <w:r w:rsidRPr="006C40C1">
        <w:t xml:space="preserve"> motion Sk397 av Ragnwi Marcelind (kd) anförs att möjligheten att införa en minimiskatt på cigaretter bör utnyttjas till 100 %. Med en skatt på 90 % kan lågpriscigaretterna fortfarande vara hela 8 kr bill</w:t>
      </w:r>
      <w:r w:rsidRPr="006C40C1">
        <w:t>i</w:t>
      </w:r>
      <w:r w:rsidRPr="006C40C1">
        <w:softHyphen/>
        <w:t>gare än den mest säljande priskategorin, och risken är överhängande att lå</w:t>
      </w:r>
      <w:r w:rsidRPr="006C40C1">
        <w:t>g</w:t>
      </w:r>
      <w:r w:rsidRPr="006C40C1">
        <w:softHyphen/>
        <w:t>priscigaretterna fortsätter att locka unga rökare. Med en skatt på 100 % ökar priset med ytterligare 2 kr, och det finns då en möjlighet att lågpris</w:t>
      </w:r>
      <w:r w:rsidRPr="006C40C1">
        <w:softHyphen/>
        <w:t>ciga</w:t>
      </w:r>
      <w:r w:rsidRPr="006C40C1">
        <w:softHyphen/>
        <w:t>retterna på sikt kan försvinna helt.</w:t>
      </w:r>
    </w:p>
    <w:p w:rsidR="00AA5D77" w:rsidRPr="006C40C1" w:rsidRDefault="00AA5D77">
      <w:pPr>
        <w:pStyle w:val="R4"/>
      </w:pPr>
      <w:r w:rsidRPr="006C40C1">
        <w:t>Skatteutskottets yttr</w:t>
      </w:r>
      <w:r w:rsidRPr="006C40C1">
        <w:t>ande</w:t>
      </w:r>
    </w:p>
    <w:p w:rsidR="00AA5D77" w:rsidRPr="006C40C1" w:rsidRDefault="00AA5D77">
      <w:r w:rsidRPr="006C40C1">
        <w:t>Skatteutskottet har i sitt yttrande inte funnit någon anledning till invändning mot regeringens förslag om att införa en minimiskatt på cigaretter för att på det sättet dämpa den ökande andelen för dessa cigaretter. I likhet med rege</w:t>
      </w:r>
      <w:r w:rsidRPr="006C40C1">
        <w:t>r</w:t>
      </w:r>
      <w:r w:rsidRPr="006C40C1">
        <w:t>ingen gör utskottet bedömningen att skatten bör bestämmas till en nivå som tar hänsyn både till behovet av att dämpa efterfrågan och till risken för smuggling om skattesatsen skulle sättas för högt. Utskottet instämmer därför i regeringens slutsats att en nivå som uppgår till 90 % av den punktskatt som tas ut på cigaretter i den mest efterfrågade kategorin är lämplig. Utskottet tillstyrker regeringens förslag och avstyrker m</w:t>
      </w:r>
      <w:r w:rsidRPr="006C40C1">
        <w:t>o</w:t>
      </w:r>
      <w:r w:rsidRPr="006C40C1">
        <w:t xml:space="preserve">tionen. </w:t>
      </w:r>
    </w:p>
    <w:p w:rsidR="00AA5D77" w:rsidRPr="006C40C1" w:rsidRDefault="00AA5D77">
      <w:pPr>
        <w:pStyle w:val="R4"/>
      </w:pPr>
      <w:bookmarkStart w:id="477" w:name="_Toc24531779"/>
      <w:bookmarkStart w:id="478" w:name="_Toc25055322"/>
      <w:r w:rsidRPr="006C40C1">
        <w:t>Finansutskottets ställningstagande</w:t>
      </w:r>
    </w:p>
    <w:p w:rsidR="00AA5D77" w:rsidRPr="006C40C1" w:rsidRDefault="00AA5D77">
      <w:r w:rsidRPr="006C40C1">
        <w:t>Finansutskottet delar skatteutskottets bedömning och tillstyrker propositionen punkt 36 och avstyrker m</w:t>
      </w:r>
      <w:r w:rsidRPr="006C40C1">
        <w:t>o</w:t>
      </w:r>
      <w:r w:rsidRPr="006C40C1">
        <w:t>tion Sk397 (kd).</w:t>
      </w:r>
    </w:p>
    <w:p w:rsidR="00AA5D77" w:rsidRPr="006C40C1" w:rsidRDefault="00AA5D77">
      <w:pPr>
        <w:pStyle w:val="Utskottetsvervganden-RubrikFrslagspunkt"/>
      </w:pPr>
      <w:bookmarkStart w:id="479" w:name="_Toc25411170"/>
      <w:bookmarkStart w:id="480" w:name="_Toc26191494"/>
      <w:r w:rsidRPr="006C40C1">
        <w:t>3.7.4 Privatinförselkvoter</w:t>
      </w:r>
      <w:bookmarkEnd w:id="477"/>
      <w:bookmarkEnd w:id="478"/>
      <w:bookmarkEnd w:id="479"/>
      <w:bookmarkEnd w:id="480"/>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om höjda kvoter för pr</w:t>
      </w:r>
      <w:r w:rsidRPr="006C40C1">
        <w:t>i</w:t>
      </w:r>
      <w:r w:rsidRPr="006C40C1">
        <w:t xml:space="preserve">vatinförsel. </w:t>
      </w:r>
    </w:p>
    <w:p w:rsidR="00AA5D77" w:rsidRPr="006C40C1" w:rsidRDefault="00AA5D77">
      <w:pPr>
        <w:pStyle w:val="R4"/>
      </w:pPr>
      <w:r w:rsidRPr="006C40C1">
        <w:t>Budgetpropositionen</w:t>
      </w:r>
    </w:p>
    <w:p w:rsidR="00AA5D77" w:rsidRPr="006C40C1" w:rsidRDefault="00AA5D77">
      <w:r w:rsidRPr="006C40C1">
        <w:t>Regeringen föreslår (avsnitt 8.5.1, punkterna 37 och 38) att den mängd spri</w:t>
      </w:r>
      <w:r w:rsidRPr="006C40C1">
        <w:t>t</w:t>
      </w:r>
      <w:r w:rsidRPr="006C40C1">
        <w:softHyphen/>
        <w:t>drycker, vin och öl som privatpersoner kan föra in till Sverige från ett annat EU-land utan att skatt ska betalas i Sverige ökas från den 1 januari 2003. Från denna tidpunkt kan en privatperson föra in 5 liter spritdryck, 52 liter vin och 64 liter öl utan att svensk skatt ska betalas. Kvoterna för s.k. starkvin och för tobaksprodukter ändras inte.</w:t>
      </w:r>
    </w:p>
    <w:p w:rsidR="00AA5D77" w:rsidRPr="006C40C1" w:rsidRDefault="00AA5D77">
      <w:pPr>
        <w:pStyle w:val="R4"/>
      </w:pPr>
      <w:r w:rsidRPr="006C40C1">
        <w:t>Skatteutskottets yttrande</w:t>
      </w:r>
    </w:p>
    <w:p w:rsidR="00AA5D77" w:rsidRPr="006C40C1" w:rsidRDefault="00AA5D77">
      <w:r w:rsidRPr="006C40C1">
        <w:t>Utskottet har inte funnit någon anledning till erinran mot förslaget och til</w:t>
      </w:r>
      <w:r w:rsidRPr="006C40C1">
        <w:t>l</w:t>
      </w:r>
      <w:r w:rsidRPr="006C40C1">
        <w:softHyphen/>
        <w:t xml:space="preserve">styrker därför propositionen i denna del. </w:t>
      </w:r>
    </w:p>
    <w:p w:rsidR="00AA5D77" w:rsidRPr="006C40C1" w:rsidRDefault="00AA5D77">
      <w:pPr>
        <w:pStyle w:val="R4"/>
      </w:pPr>
      <w:bookmarkStart w:id="481" w:name="_Toc24531780"/>
      <w:bookmarkStart w:id="482" w:name="_Toc25055323"/>
      <w:r w:rsidRPr="006C40C1">
        <w:t>Finansutskottets ställningstagande</w:t>
      </w:r>
    </w:p>
    <w:p w:rsidR="00AA5D77" w:rsidRPr="006C40C1" w:rsidRDefault="00AA5D77">
      <w:r w:rsidRPr="006C40C1">
        <w:t>Finansutskottet har i likhet med skatteutskottet inte funnit någon anledning till erinran mot förslaget och tillstyrker därför propositionen punkterna 37 och 38.</w:t>
      </w:r>
    </w:p>
    <w:p w:rsidR="00AA5D77" w:rsidRPr="006C40C1" w:rsidRDefault="00AA5D77">
      <w:pPr>
        <w:pStyle w:val="Utskottetsvervganden-RubrikFrslagspunkt"/>
      </w:pPr>
      <w:bookmarkStart w:id="483" w:name="_Toc25411171"/>
      <w:bookmarkStart w:id="484" w:name="_Toc26191495"/>
      <w:r w:rsidRPr="006C40C1">
        <w:t>3.7.5 Skatten på alkoholdrycker</w:t>
      </w:r>
      <w:bookmarkEnd w:id="481"/>
      <w:bookmarkEnd w:id="482"/>
      <w:bookmarkEnd w:id="483"/>
      <w:bookmarkEnd w:id="484"/>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sänkta skatter på öl, vin och sprit.</w:t>
      </w:r>
    </w:p>
    <w:p w:rsidR="00AA5D77" w:rsidRPr="006C40C1" w:rsidRDefault="00AA5D77">
      <w:pPr>
        <w:pStyle w:val="Utskottsfrslagikorthet-Text"/>
      </w:pPr>
      <w:r w:rsidRPr="006C40C1">
        <w:t xml:space="preserve">  Jämför reservation 8 (m).</w:t>
      </w:r>
    </w:p>
    <w:p w:rsidR="00AA5D77" w:rsidRPr="006C40C1" w:rsidRDefault="00AA5D77">
      <w:pPr>
        <w:pStyle w:val="R4"/>
      </w:pPr>
      <w:r w:rsidRPr="006C40C1">
        <w:t>Bakgrund</w:t>
      </w:r>
    </w:p>
    <w:p w:rsidR="00AA5D77" w:rsidRPr="006C40C1" w:rsidRDefault="00AA5D77">
      <w:r w:rsidRPr="006C40C1">
        <w:t>Skattesatsen på öl över 2,8 volymprocent är 1,47 kr för varje volymprocent alkohol och liter. Vid en alkoholhalt på 5 % är skatten 7,35 kr per liter.</w:t>
      </w:r>
    </w:p>
    <w:p w:rsidR="00AA5D77" w:rsidRPr="006C40C1" w:rsidRDefault="00AA5D77">
      <w:pPr>
        <w:pStyle w:val="Normaltindrag"/>
      </w:pPr>
      <w:r w:rsidRPr="006C40C1">
        <w:t xml:space="preserve">Skatten på lättvin tas ut i ”trappsteg” och uppgår till 22,08 kr per liter för vin över 8,5 och upp till 15 volymprocent. </w:t>
      </w:r>
    </w:p>
    <w:p w:rsidR="00AA5D77" w:rsidRPr="006C40C1" w:rsidRDefault="00AA5D77">
      <w:pPr>
        <w:pStyle w:val="Normaltindrag"/>
      </w:pPr>
      <w:r w:rsidRPr="006C40C1">
        <w:t>Skatten på sprit är 501,75 kr per liter ren alkohol. Skatten på 1 liter star</w:t>
      </w:r>
      <w:r w:rsidRPr="006C40C1">
        <w:t>k</w:t>
      </w:r>
      <w:r w:rsidRPr="006C40C1">
        <w:softHyphen/>
        <w:t xml:space="preserve">sprit är ca 200 kr. </w:t>
      </w:r>
    </w:p>
    <w:p w:rsidR="00AA5D77" w:rsidRPr="006C40C1" w:rsidRDefault="00AA5D77">
      <w:pPr>
        <w:pStyle w:val="R4"/>
      </w:pPr>
      <w:r w:rsidRPr="006C40C1">
        <w:t>Motioner</w:t>
      </w:r>
    </w:p>
    <w:p w:rsidR="00AA5D77" w:rsidRPr="006C40C1" w:rsidRDefault="00AA5D77">
      <w:pPr>
        <w:rPr>
          <w:snapToGrid w:val="0"/>
        </w:rPr>
      </w:pPr>
      <w:r w:rsidRPr="006C40C1">
        <w:t>I</w:t>
      </w:r>
      <w:r w:rsidRPr="006C40C1">
        <w:rPr>
          <w:i/>
        </w:rPr>
        <w:t xml:space="preserve"> Moderata</w:t>
      </w:r>
      <w:r w:rsidRPr="006C40C1">
        <w:t xml:space="preserve"> </w:t>
      </w:r>
      <w:r w:rsidRPr="006C40C1">
        <w:rPr>
          <w:i/>
        </w:rPr>
        <w:t>samlingspartiets</w:t>
      </w:r>
      <w:r w:rsidRPr="006C40C1">
        <w:t xml:space="preserve"> motioner Fi207 yrkandena 1–4 av Lennart He</w:t>
      </w:r>
      <w:r w:rsidRPr="006C40C1">
        <w:t>d</w:t>
      </w:r>
      <w:r w:rsidRPr="006C40C1">
        <w:t>quist m.fl. (m) och Fi287 yrkandena 30–32 av Lennart Hedquist m.fl. (m) anför motionärerna att d</w:t>
      </w:r>
      <w:r w:rsidRPr="006C40C1">
        <w:rPr>
          <w:snapToGrid w:val="0"/>
        </w:rPr>
        <w:t>e höga skatterna och de ökande införselkvoterna gör att skatteinkomsterna minskar och att den svenska bryggerinäringen slås ut, och de föreslår en sänkning av de svenska alkoholskatterna mot nuvarande danska nivå. En sådan sänkning är enligt motionärernas mening statsfinans</w:t>
      </w:r>
      <w:r w:rsidRPr="006C40C1">
        <w:rPr>
          <w:snapToGrid w:val="0"/>
        </w:rPr>
        <w:t>i</w:t>
      </w:r>
      <w:r w:rsidRPr="006C40C1">
        <w:rPr>
          <w:snapToGrid w:val="0"/>
        </w:rPr>
        <w:softHyphen/>
        <w:t xml:space="preserve">ellt neutral. </w:t>
      </w:r>
      <w:r w:rsidRPr="006C40C1">
        <w:t>Skatten på vin med en alkoholhalt på 8,5–15,0 volymproce</w:t>
      </w:r>
      <w:r w:rsidRPr="006C40C1">
        <w:t>nt sänks från 22,08 kr till 9 kr per liter, med motsvarande ändring för vin med annan alkoholhalt. Skatten på öl sänks från 1,47 kr till 85 öre per volym</w:t>
      </w:r>
      <w:r w:rsidRPr="006C40C1">
        <w:softHyphen/>
        <w:t>procent och skatten på sprit sänks från 501,75 kr till 375 kr per liter ren alk</w:t>
      </w:r>
      <w:r w:rsidRPr="006C40C1">
        <w:t>o</w:t>
      </w:r>
      <w:r w:rsidRPr="006C40C1">
        <w:softHyphen/>
        <w:t xml:space="preserve">hol. </w:t>
      </w:r>
    </w:p>
    <w:p w:rsidR="00AA5D77" w:rsidRPr="006C40C1" w:rsidRDefault="00AA5D77">
      <w:pPr>
        <w:pStyle w:val="R4"/>
      </w:pPr>
      <w:r w:rsidRPr="006C40C1">
        <w:t>Skatteutskottets yttrande</w:t>
      </w:r>
    </w:p>
    <w:p w:rsidR="00AA5D77" w:rsidRPr="006C40C1" w:rsidRDefault="00AA5D77">
      <w:r w:rsidRPr="006C40C1">
        <w:t>Skatteutskottet anför i sitt yttrande att Sverige håller fast vid en restriktiv alkoholpolitik som syftar till att begränsa alkoholens skadeverkningar genom en minskad totalkonsumtion. Politiken utgörs främst av en kombination av höga skatter och restriktioner som på olika sätt begränsar tillgängligheten samt information, opinionsbildning och behandlingsinsatser. Utskottet anför att EU-medlemskapet och den ökade internationella rörligheten har medfört ändrade förutsättningar för alkoholpolitiken och att pr</w:t>
      </w:r>
      <w:r w:rsidRPr="006C40C1">
        <w:t>ioriteringar därför måste göras till de områden där insatserna ger störst effekt. Strävan är att hålla fast vid de mest verkningsfulla alkoholpolitiska medlen så länge de har effekt och ta bort sådana restriktioner som bedöms ha mindre alkoholpolitisk betydelse och som ifrågasätts från EG-rättslig synpunkt. Riksdagen har i den nationella handlingsplanen för att förebygga alkohol</w:t>
      </w:r>
      <w:r w:rsidRPr="006C40C1">
        <w:softHyphen/>
        <w:t>skador (prop. 2000/01:20, bet. 2000/01:SoU8) antagit åtgärder för att Sverige fortsättningsvis, även vid höjda införselkvoter, ska</w:t>
      </w:r>
      <w:r w:rsidRPr="006C40C1">
        <w:t xml:space="preserve"> kunna behålla målet om att begränsa alkoholens skadeverkningar och verka för att minska den totala alkoholko</w:t>
      </w:r>
      <w:r w:rsidRPr="006C40C1">
        <w:t>n</w:t>
      </w:r>
      <w:r w:rsidRPr="006C40C1">
        <w:t xml:space="preserve">sumtionen. </w:t>
      </w:r>
    </w:p>
    <w:p w:rsidR="00AA5D77" w:rsidRPr="006C40C1" w:rsidRDefault="00AA5D77">
      <w:pPr>
        <w:pStyle w:val="Normaltindrag"/>
      </w:pPr>
      <w:r w:rsidRPr="006C40C1">
        <w:t>Skatteutskottet anser att ett av de viktigaste alkoholpolitiska medlen fortf</w:t>
      </w:r>
      <w:r w:rsidRPr="006C40C1">
        <w:t>a</w:t>
      </w:r>
      <w:r w:rsidRPr="006C40C1">
        <w:t>rande är prispolitiken och att det inte är lämpligt att genomföra sådana skatt</w:t>
      </w:r>
      <w:r w:rsidRPr="006C40C1">
        <w:t>e</w:t>
      </w:r>
      <w:r w:rsidRPr="006C40C1">
        <w:t>sänk</w:t>
      </w:r>
      <w:r w:rsidRPr="006C40C1">
        <w:softHyphen/>
        <w:t>ningar som föreslås i de nu aktuella motionerna. Utskottet avstyrker moti</w:t>
      </w:r>
      <w:r w:rsidRPr="006C40C1">
        <w:t>o</w:t>
      </w:r>
      <w:r w:rsidRPr="006C40C1">
        <w:softHyphen/>
        <w:t>nerna.</w:t>
      </w:r>
    </w:p>
    <w:p w:rsidR="00AA5D77" w:rsidRPr="006C40C1" w:rsidRDefault="00AA5D77">
      <w:pPr>
        <w:pStyle w:val="R4"/>
      </w:pPr>
      <w:bookmarkStart w:id="485" w:name="_Toc24531781"/>
      <w:bookmarkStart w:id="486" w:name="_Toc25055324"/>
      <w:r w:rsidRPr="006C40C1">
        <w:t>Finansutskottets ställningstagande</w:t>
      </w:r>
    </w:p>
    <w:p w:rsidR="00AA5D77" w:rsidRPr="006C40C1" w:rsidRDefault="00AA5D77">
      <w:r w:rsidRPr="006C40C1">
        <w:t>Finansutskottet delar skatteutskottets bedömning och avstyrker motionerna Fi207 (m) yrkandena 1–4 och Fi287 (m) yrkandena 30–32.</w:t>
      </w:r>
    </w:p>
    <w:p w:rsidR="00AA5D77" w:rsidRPr="006C40C1" w:rsidRDefault="00AA5D77">
      <w:pPr>
        <w:pStyle w:val="Utskottetsvervganden-RubrikFrslagspunkt"/>
      </w:pPr>
      <w:bookmarkStart w:id="487" w:name="_Toc25411172"/>
      <w:bookmarkStart w:id="488" w:name="_Toc26191496"/>
      <w:r w:rsidRPr="006C40C1">
        <w:t>3.7.6 Grön skatteväxling – höjd koldioxidskatt och elskatt</w:t>
      </w:r>
      <w:bookmarkEnd w:id="485"/>
      <w:bookmarkEnd w:id="486"/>
      <w:bookmarkEnd w:id="487"/>
      <w:bookmarkEnd w:id="488"/>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 xml:space="preserve">Utskottet tillstyrker regeringens förslag om höjd skatt på koldioxid och el med den utvidgning som föreslås i motion Fi230 (s, v, mp). </w:t>
      </w:r>
    </w:p>
    <w:p w:rsidR="00AA5D77" w:rsidRPr="006C40C1" w:rsidRDefault="00AA5D77">
      <w:pPr>
        <w:pStyle w:val="Utskottsfrslagikorthet-Text"/>
      </w:pPr>
      <w:r w:rsidRPr="006C40C1">
        <w:t>Utskottet avstyrker motionsförslagen om en begräsning av ind</w:t>
      </w:r>
      <w:r w:rsidRPr="006C40C1">
        <w:t>u</w:t>
      </w:r>
      <w:r w:rsidRPr="006C40C1">
        <w:softHyphen/>
        <w:t>strins koldioxidskatterabatt och om införande av en kväve</w:t>
      </w:r>
      <w:r w:rsidRPr="006C40C1">
        <w:softHyphen/>
        <w:t>o</w:t>
      </w:r>
      <w:r w:rsidRPr="006C40C1">
        <w:t>x</w:t>
      </w:r>
      <w:r w:rsidRPr="006C40C1">
        <w:t>id</w:t>
      </w:r>
      <w:r w:rsidRPr="006C40C1">
        <w:softHyphen/>
        <w:t xml:space="preserve">skatt. </w:t>
      </w:r>
    </w:p>
    <w:p w:rsidR="00AA5D77" w:rsidRPr="006C40C1" w:rsidRDefault="00AA5D77">
      <w:pPr>
        <w:pStyle w:val="Utskottsfrslagikorthet-Text"/>
      </w:pPr>
      <w:r w:rsidRPr="006C40C1">
        <w:t xml:space="preserve">  Jämför reservationerna 8 (m), 10 (kd) och 11 (c).</w:t>
      </w:r>
    </w:p>
    <w:p w:rsidR="00AA5D77" w:rsidRPr="006C40C1" w:rsidRDefault="00AA5D77">
      <w:pPr>
        <w:pStyle w:val="R4"/>
      </w:pPr>
      <w:r w:rsidRPr="006C40C1">
        <w:t>Budgetpropositionen</w:t>
      </w:r>
    </w:p>
    <w:p w:rsidR="00AA5D77" w:rsidRPr="006C40C1" w:rsidRDefault="00AA5D77">
      <w:r w:rsidRPr="006C40C1">
        <w:t>Regeringen föreslår (avsnitten 8.4.1.1–3, punkt 33 i denna del) att koldio</w:t>
      </w:r>
      <w:r w:rsidRPr="006C40C1">
        <w:t>x</w:t>
      </w:r>
      <w:r w:rsidRPr="006C40C1">
        <w:t>idskatten på bränslen höjs med 16 %. För bensin och dieselolja sänks energ</w:t>
      </w:r>
      <w:r w:rsidRPr="006C40C1">
        <w:t>i</w:t>
      </w:r>
      <w:r w:rsidRPr="006C40C1">
        <w:t>skattesatserna lika mycket som koldioxidskattesatserna höjs. Drivmedel som endast belastas med koldioxidskatt undantas från koldioxidskattehöjningen. Tillverknings</w:t>
      </w:r>
      <w:r w:rsidRPr="006C40C1">
        <w:softHyphen/>
        <w:t>industrin, jordbruks-, skogsbruks- och vattenbruksnäringarna kompense</w:t>
      </w:r>
      <w:r w:rsidRPr="006C40C1">
        <w:softHyphen/>
        <w:t xml:space="preserve">ras genom att koldioxidskatterabatten för dessa näringar höjs från 70 % till 74 %. Energiskatten på el höjs med 2,1 öre per kWh. </w:t>
      </w:r>
    </w:p>
    <w:p w:rsidR="00AA5D77" w:rsidRPr="006C40C1" w:rsidRDefault="00AA5D77">
      <w:pPr>
        <w:pStyle w:val="Normaltindrag"/>
      </w:pPr>
      <w:r w:rsidRPr="006C40C1">
        <w:t>Samtliga energi- och koldioxidskattesatser höjs motsvarande förändring</w:t>
      </w:r>
      <w:r w:rsidRPr="006C40C1">
        <w:softHyphen/>
        <w:t>arna i konsumentprisindex under perioden juni 2001–juni 2002. Höjningarna träder i kraft den 1 januari 2003.</w:t>
      </w:r>
    </w:p>
    <w:p w:rsidR="00AA5D77" w:rsidRPr="006C40C1" w:rsidRDefault="00AA5D77">
      <w:pPr>
        <w:pStyle w:val="Normaltindrag"/>
      </w:pPr>
      <w:r w:rsidRPr="006C40C1">
        <w:t>Regeringen anför att det är viktigt att fortsätta att öka tyngden av kol</w:t>
      </w:r>
      <w:r w:rsidRPr="006C40C1">
        <w:softHyphen/>
        <w:t>dioxidskatten i förhållande till energiskatten. Eftersom det är angeläget att åstadkomma en begränsning av koldioxidutsläppen föreslås en höjning av koldioxidskatten med 16 %. Tillsammans med den årliga indexuppräkningen inn</w:t>
      </w:r>
      <w:r w:rsidRPr="006C40C1">
        <w:t>e</w:t>
      </w:r>
      <w:r w:rsidRPr="006C40C1">
        <w:t>bär det att koldioxidskatten höjs från 63 till 74 öre per kg utsläppt kol</w:t>
      </w:r>
      <w:r w:rsidRPr="006C40C1">
        <w:softHyphen/>
        <w:t>dioxid. Energiskatten ändras inte för bränslen som används för uppvärmning. För bensin och dieselolja sänks dock energiskatten med samma belopp per liter som motsvarar koldioxidskattehöjningen. När gasol, metan o</w:t>
      </w:r>
      <w:r w:rsidRPr="006C40C1">
        <w:t>ch naturgas används som drivmedel belastas de inte med någon energiskatt. För att även skatten på dessa drivmedel ska vara oförändrad undantas de från höjningen av koldioxidskatten.</w:t>
      </w:r>
    </w:p>
    <w:p w:rsidR="00AA5D77" w:rsidRPr="006C40C1" w:rsidRDefault="00AA5D77">
      <w:pPr>
        <w:pStyle w:val="Normaltindrag"/>
      </w:pPr>
      <w:r w:rsidRPr="006C40C1">
        <w:t>Vidare anförs att höjningen av koldioxidskatten på fossila bränslen begrä</w:t>
      </w:r>
      <w:r w:rsidRPr="006C40C1">
        <w:t>n</w:t>
      </w:r>
      <w:r w:rsidRPr="006C40C1">
        <w:softHyphen/>
        <w:t xml:space="preserve">sar användningen av dessa, men att det relativa priset på el samtidigt sjunker. Det kan medföra att elanvändningen ökar, vilket motiverar att energiskatten på el höjs för att motverka detta. Samtidigt med den föreslagna höjningen av koldioxidskatten föreslås därför en energiskattehöjning på el med 2,1 öre per kWh för samtliga energiskattesatser på el. </w:t>
      </w:r>
    </w:p>
    <w:p w:rsidR="00AA5D77" w:rsidRPr="006C40C1" w:rsidRDefault="00AA5D77">
      <w:pPr>
        <w:pStyle w:val="R4"/>
      </w:pPr>
      <w:r w:rsidRPr="006C40C1">
        <w:t>Motioner</w:t>
      </w:r>
    </w:p>
    <w:p w:rsidR="00AA5D77" w:rsidRPr="006C40C1" w:rsidRDefault="00AA5D77">
      <w:r w:rsidRPr="006C40C1">
        <w:t>I motion Fi230 yrkande 12 delvis av Britt Bohlin m.fl. (s, v, mp) anförs att regeringen, Vänsterpartiet och Miljöpartiet träffat överenskommelse om att den av regeringen föreslagna gröna skatteväxlingen på 2,6 miljarder kronor ska utvidgas så att den får en total omslutning på 3 miljarder kronor och att detta ska ske genom ytterligare höjningar av koldioxidskatten på bränslen och energiskatten på el. De tillkommande intäkterna ska användas till ytter</w:t>
      </w:r>
      <w:r w:rsidRPr="006C40C1">
        <w:softHyphen/>
        <w:t>ligare höjningar av grundavdraget, riktade till personer i de lägsta inkomst</w:t>
      </w:r>
      <w:r w:rsidRPr="006C40C1">
        <w:softHyphen/>
        <w:t>skikten. På samma sätt som i budgetpropositionen undantas tillverknings</w:t>
      </w:r>
      <w:r w:rsidRPr="006C40C1">
        <w:softHyphen/>
        <w:t>industri, jordbruk och vattenbruk från höjningen genom en höjning av den procentuella koldioxidskatterabatten för dessa sektorer, och skatteuttaget för drivmedel neutraliseras. Mot denna bakgrund föreslår motionärerna att kol</w:t>
      </w:r>
      <w:r w:rsidRPr="006C40C1">
        <w:softHyphen/>
        <w:t>dioxidskatten höjs med 19 % och att samtliga energiskattesatser på el höjs med på 2,5 öre/kWh.</w:t>
      </w:r>
    </w:p>
    <w:p w:rsidR="00AA5D77" w:rsidRPr="006C40C1" w:rsidRDefault="00AA5D77">
      <w:pPr>
        <w:pStyle w:val="Normaltindrag"/>
      </w:pPr>
      <w:r w:rsidRPr="006C40C1">
        <w:rPr>
          <w:i/>
        </w:rPr>
        <w:t>Moderata</w:t>
      </w:r>
      <w:r w:rsidRPr="006C40C1">
        <w:t xml:space="preserve"> </w:t>
      </w:r>
      <w:r w:rsidRPr="006C40C1">
        <w:rPr>
          <w:i/>
        </w:rPr>
        <w:t>samlingspartiet</w:t>
      </w:r>
      <w:r w:rsidRPr="006C40C1">
        <w:t xml:space="preserve"> hemställer att förslagen om höjda skatter på koldioxid och el avslås. Yrkandena framställs i motion Fi287 yrkandena 12 och 13 av Lennart Hedquist m.fl. (m) och motion N301 yrkande 9 av Mikael Ode</w:t>
      </w:r>
      <w:r w:rsidRPr="006C40C1">
        <w:t>n</w:t>
      </w:r>
      <w:r w:rsidRPr="006C40C1">
        <w:t xml:space="preserve">berg m.fl. (m). </w:t>
      </w:r>
    </w:p>
    <w:p w:rsidR="00AA5D77" w:rsidRPr="006C40C1" w:rsidRDefault="00AA5D77">
      <w:pPr>
        <w:pStyle w:val="Normaltindrag"/>
      </w:pPr>
      <w:r w:rsidRPr="006C40C1">
        <w:t>Även</w:t>
      </w:r>
      <w:r w:rsidRPr="006C40C1">
        <w:rPr>
          <w:i/>
        </w:rPr>
        <w:t xml:space="preserve"> Kristdemokraterna</w:t>
      </w:r>
      <w:r w:rsidRPr="006C40C1">
        <w:t xml:space="preserve"> föreslår en grön skatteväxling på 3 miljarder kr</w:t>
      </w:r>
      <w:r w:rsidRPr="006C40C1">
        <w:t>o</w:t>
      </w:r>
      <w:r w:rsidRPr="006C40C1">
        <w:t>nor år 2003. Motionärerna tillstyrker höjningarna av koldioxidskatten, energ</w:t>
      </w:r>
      <w:r w:rsidRPr="006C40C1">
        <w:t>i</w:t>
      </w:r>
      <w:r w:rsidRPr="006C40C1">
        <w:t>skatten, avfallsskatten och skatten på naturgrus och föreslår i motion Fi256 yrkande 32 av Alf Svensson m.fl. (kd) att skatten på el höjs med 0,5 öre mer än vad regeringen föreslagit. Skatteväxlingen finansierar motionärernas fö</w:t>
      </w:r>
      <w:r w:rsidRPr="006C40C1">
        <w:t>r</w:t>
      </w:r>
      <w:r w:rsidRPr="006C40C1">
        <w:t>slag om ett grundavdrag på 26 500 kr.</w:t>
      </w:r>
    </w:p>
    <w:p w:rsidR="00AA5D77" w:rsidRPr="006C40C1" w:rsidRDefault="00AA5D77">
      <w:pPr>
        <w:pStyle w:val="Normaltindrag"/>
      </w:pPr>
      <w:r w:rsidRPr="006C40C1">
        <w:t xml:space="preserve">I </w:t>
      </w:r>
      <w:r w:rsidRPr="006C40C1">
        <w:rPr>
          <w:i/>
        </w:rPr>
        <w:t>Centerpartiets</w:t>
      </w:r>
      <w:r w:rsidRPr="006C40C1">
        <w:t xml:space="preserve"> motion Fi286 yrkandena 25 och 26 av Maud Olofsson m.fl. (c) anförs att de senaste två årens skatteväxling har lett till att skillnaden mellan de enskildas och industrins koldioxidskatt ökat, och motionärerna föreslår att denna skillnad nu reduceras genom att industrins rabatt minskas med 2 miljarder kronor. Vidare anförs att kväveoxidutsläppen stadigt har ökat och att därför även avgifterna på utsläpp av kväveoxid bör öka. Motionärerna föreslår att kväveoxidskatt ska tas ut med 10 kr per kilo</w:t>
      </w:r>
      <w:r w:rsidRPr="006C40C1">
        <w:t xml:space="preserve"> NOx i pannor med en större effekt än 5 megawatt och med en nyttiggjord energiproduktion större än 20 gigawatt.</w:t>
      </w:r>
    </w:p>
    <w:p w:rsidR="00AA5D77" w:rsidRPr="006C40C1" w:rsidRDefault="00AA5D77">
      <w:pPr>
        <w:pStyle w:val="R4"/>
      </w:pPr>
      <w:r w:rsidRPr="006C40C1">
        <w:t>Skatteutskottets yttrande</w:t>
      </w:r>
    </w:p>
    <w:p w:rsidR="00AA5D77" w:rsidRPr="006C40C1" w:rsidRDefault="00AA5D77">
      <w:r w:rsidRPr="006C40C1">
        <w:t>Skatteutskottet anför att en fortsatt grön skatteväxling utgör en central del i regeringens strategi för att omvandla Sverige till ett ekologiskt hållbart sa</w:t>
      </w:r>
      <w:r w:rsidRPr="006C40C1">
        <w:t>m</w:t>
      </w:r>
      <w:r w:rsidRPr="006C40C1">
        <w:t>hälle och att det främsta syftet med skatteväxlingen är att bidra till att fas</w:t>
      </w:r>
      <w:r w:rsidRPr="006C40C1">
        <w:t>t</w:t>
      </w:r>
      <w:r w:rsidRPr="006C40C1">
        <w:t>ställda miljömål uppnås genom en ökad miljöstyrning via skattesystemet. Genom miljöskatter sätter man ett pris på miljön, och det blir dyrare att släppa ut föroreningar. Härigenom får hushållen ekonomiska motiv att välja en mer miljövänlig och resurssnål livsstil medan företagen stimuleras att utveckla en mer miljövänlig teknik. En grön skatteväxling innebär enligt vad som anförs inte en höjning av det totala skatteuttaget då hö</w:t>
      </w:r>
      <w:r w:rsidRPr="006C40C1">
        <w:t xml:space="preserve">jningar av de miljörelaterade skatterna balanseras av sänkningar av skatterna på arbete. </w:t>
      </w:r>
    </w:p>
    <w:p w:rsidR="00AA5D77" w:rsidRPr="006C40C1" w:rsidRDefault="00AA5D77">
      <w:pPr>
        <w:pStyle w:val="Normaltindrag"/>
      </w:pPr>
      <w:r w:rsidRPr="006C40C1">
        <w:t>Skatteutskottet konstaterar att regeringens bedömning avseende det totala utrymmet för grön skatteväx</w:t>
      </w:r>
      <w:r w:rsidRPr="006C40C1">
        <w:softHyphen/>
        <w:t>ling 2001–2010 på 30 miljarder kronor kvarstår och anför att en fortsatt grön skatteväxling måste genomföras stegvis och varsamt med en löpande uppföljning av de olika stegen vad gäller effekterna för miljön, för individer och inkomstfördelning och för det svenska näringsl</w:t>
      </w:r>
      <w:r w:rsidRPr="006C40C1">
        <w:t>i</w:t>
      </w:r>
      <w:r w:rsidRPr="006C40C1">
        <w:t>vets konkurrenskraft. En ökad miljörelatering av skattesystemet förutsätter enligt utskottets mening också en rationell energiskattestruktur, baserad på lättförståeliga och brett accepterade principer samtidigt som skattesystemet måste v</w:t>
      </w:r>
      <w:r w:rsidRPr="006C40C1">
        <w:t>ara förenligt med Sveriges medlemskap i EU. Som en integrerad del i den gröna skatteväxlingen arbetar också ett par utredningar med att ta fram underlag för en reformering av energi- och miljö</w:t>
      </w:r>
      <w:r w:rsidRPr="006C40C1">
        <w:softHyphen/>
        <w:t>skattestrukturen: Skattene</w:t>
      </w:r>
      <w:r w:rsidRPr="006C40C1">
        <w:t>d</w:t>
      </w:r>
      <w:r w:rsidRPr="006C40C1">
        <w:t>sättningskommittén (dir. 2001:29) om nedsättning av energiskatt för näring</w:t>
      </w:r>
      <w:r w:rsidRPr="006C40C1">
        <w:t>s</w:t>
      </w:r>
      <w:r w:rsidRPr="006C40C1">
        <w:t>livet och Vägtrafikskatteutredningen (dir. 2001:12) om vägtrafikbeskattnin</w:t>
      </w:r>
      <w:r w:rsidRPr="006C40C1">
        <w:t>g</w:t>
      </w:r>
      <w:r w:rsidRPr="006C40C1">
        <w:t xml:space="preserve">en. </w:t>
      </w:r>
    </w:p>
    <w:p w:rsidR="00AA5D77" w:rsidRPr="006C40C1" w:rsidRDefault="00AA5D77">
      <w:pPr>
        <w:pStyle w:val="Normaltindrag"/>
      </w:pPr>
      <w:r w:rsidRPr="006C40C1">
        <w:t>Enligt skatteutskottets mening bör ytterligare ett steg nu tas i den gröna skatte</w:t>
      </w:r>
      <w:r w:rsidRPr="006C40C1">
        <w:softHyphen/>
        <w:t>växlingen, och härvid bör ytterligare utrymme för en sänkning av i</w:t>
      </w:r>
      <w:r w:rsidRPr="006C40C1">
        <w:t>n</w:t>
      </w:r>
      <w:r w:rsidRPr="006C40C1">
        <w:t xml:space="preserve">komstskatten skapas genom att växlingen utvidgas till 3 miljarder kronor på det sätt som föreslås i motion Fi230. Skatteutskottet tillstyrker således att regeringens förslag genomförs med de ändringar som föreslås i motion Fi230 yrkande 12 i denna del. </w:t>
      </w:r>
    </w:p>
    <w:p w:rsidR="00AA5D77" w:rsidRPr="006C40C1" w:rsidRDefault="00AA5D77">
      <w:pPr>
        <w:pStyle w:val="Normaltindrag"/>
      </w:pPr>
      <w:r w:rsidRPr="006C40C1">
        <w:t>När det gäller förslaget om en neddragning av koldioxidskatterabatten för tillverkningsindustrin och jordbruks-, skogsbruks- och vattenbruksnäringarna anser utskottet att resultatet av Skatt</w:t>
      </w:r>
      <w:r w:rsidRPr="006C40C1">
        <w:t>enedsättningskommitténs arbete bör avvaktas. Utskottet anför vidare att den kväveoxidavgift som i dag tas ut på större anläggningar är ett exempel på ett väl fungerande ekonomiskt styrm</w:t>
      </w:r>
      <w:r w:rsidRPr="006C40C1">
        <w:t>e</w:t>
      </w:r>
      <w:r w:rsidRPr="006C40C1">
        <w:t xml:space="preserve">del inom miljöpolitiken, och utskottet är inte berett att tillstyrka att det i stället läggs en skatt på dessa anläggningar. </w:t>
      </w:r>
    </w:p>
    <w:p w:rsidR="00AA5D77" w:rsidRPr="006C40C1" w:rsidRDefault="00AA5D77">
      <w:pPr>
        <w:pStyle w:val="Normaltindrag"/>
      </w:pPr>
      <w:r w:rsidRPr="006C40C1">
        <w:t>Utskottet avstyrker med det anförda övriga nu aktuella motioner.</w:t>
      </w:r>
    </w:p>
    <w:p w:rsidR="00AA5D77" w:rsidRPr="006C40C1" w:rsidRDefault="00AA5D77">
      <w:pPr>
        <w:pStyle w:val="R4"/>
      </w:pPr>
      <w:r w:rsidRPr="006C40C1">
        <w:t>Finansutskottets ställningstagande</w:t>
      </w:r>
    </w:p>
    <w:p w:rsidR="00AA5D77" w:rsidRPr="006C40C1" w:rsidRDefault="00AA5D77">
      <w:r w:rsidRPr="006C40C1">
        <w:t>Finansutskottet delar skatteutskottets bedömning och tillstyrker propositionen punkt 33 i denna del och motion Fi230 (s, v, mp) yrkande 12 i denna del. Utskottet återkommer i avsnitt 3.11 Beräkning av statsbudgetens inkomster för 2003 till de budgetmässiga effekterna av utskottets ställningstagande. Utskottet avstyrker motionerna Fi256 (kd) yrkande 32, Fi286 (c) yrkandena 25 och 26, Fi287 (m) yrkandena 12 och 13 samt N301 (m) yrkande 9.</w:t>
      </w:r>
    </w:p>
    <w:p w:rsidR="00AA5D77" w:rsidRPr="006C40C1" w:rsidRDefault="00AA5D77">
      <w:pPr>
        <w:pStyle w:val="Normaltindrag"/>
      </w:pPr>
      <w:r w:rsidRPr="006C40C1">
        <w:t>De lagändringar som utskottets ställningstagande medför redovisas under rubriken Lagfö</w:t>
      </w:r>
      <w:r w:rsidRPr="006C40C1">
        <w:t>r</w:t>
      </w:r>
      <w:r w:rsidRPr="006C40C1">
        <w:t>slagen.</w:t>
      </w:r>
    </w:p>
    <w:p w:rsidR="00AA5D77" w:rsidRPr="006C40C1" w:rsidRDefault="00AA5D77">
      <w:pPr>
        <w:pStyle w:val="Utskottetsvervganden-RubrikFrslagspunkt"/>
      </w:pPr>
      <w:bookmarkStart w:id="489" w:name="_Toc25411173"/>
      <w:bookmarkStart w:id="490" w:name="_Toc26191497"/>
      <w:r w:rsidRPr="006C40C1">
        <w:t>3.7.7 Kraftvärmebeskattningen</w:t>
      </w:r>
      <w:bookmarkEnd w:id="489"/>
      <w:bookmarkEnd w:id="490"/>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regeringens förslag om nya regler för kraftvä</w:t>
      </w:r>
      <w:r w:rsidRPr="006C40C1">
        <w:t>r</w:t>
      </w:r>
      <w:r w:rsidRPr="006C40C1">
        <w:t xml:space="preserve">mebeskattning eftersom något godkännande från kommissionen ännu inte föreligger. </w:t>
      </w:r>
    </w:p>
    <w:p w:rsidR="00AA5D77" w:rsidRPr="006C40C1" w:rsidRDefault="00AA5D77">
      <w:pPr>
        <w:pStyle w:val="Utskottsfrslagikorthet-Text"/>
      </w:pPr>
      <w:r w:rsidRPr="006C40C1">
        <w:t>Utskottet tillstyrker motionsförslagen om tillkännagivanden till r</w:t>
      </w:r>
      <w:r w:rsidRPr="006C40C1">
        <w:t>e</w:t>
      </w:r>
      <w:r w:rsidRPr="006C40C1">
        <w:t>geringen om behovet av en uppföljning av det kommande beslutet och om behovet av tydliga konsekvensbeskrivningar på detta omr</w:t>
      </w:r>
      <w:r w:rsidRPr="006C40C1">
        <w:t>å</w:t>
      </w:r>
      <w:r w:rsidRPr="006C40C1">
        <w:t xml:space="preserve">de. </w:t>
      </w:r>
    </w:p>
    <w:p w:rsidR="00AA5D77" w:rsidRPr="006C40C1" w:rsidRDefault="00AA5D77">
      <w:pPr>
        <w:pStyle w:val="Utskottsfrslagikorthet-Text"/>
      </w:pPr>
      <w:r w:rsidRPr="006C40C1">
        <w:t xml:space="preserve">  Jämför reservation 11 (c).</w:t>
      </w:r>
    </w:p>
    <w:p w:rsidR="00AA5D77" w:rsidRPr="006C40C1" w:rsidRDefault="00AA5D77">
      <w:pPr>
        <w:pStyle w:val="R4"/>
      </w:pPr>
      <w:r w:rsidRPr="006C40C1">
        <w:t>Bakgrund</w:t>
      </w:r>
    </w:p>
    <w:p w:rsidR="00AA5D77" w:rsidRPr="006C40C1" w:rsidRDefault="00AA5D77">
      <w:r w:rsidRPr="006C40C1">
        <w:t>I energipropositionen (prop. 2001/02:143) bedömde regeringen att möjligh</w:t>
      </w:r>
      <w:r w:rsidRPr="006C40C1">
        <w:t>e</w:t>
      </w:r>
      <w:r w:rsidRPr="006C40C1">
        <w:softHyphen/>
        <w:t>terna bör undersökas att införa ändringar i energibeskattningen för kraft</w:t>
      </w:r>
      <w:r w:rsidRPr="006C40C1">
        <w:softHyphen/>
        <w:t>värmeanläggningar som innebär att skattereglerna likställs med dem som gäller för industriellt mottryck. I kraftvärmeverk får i dag avdrag göras för hälften av energiskatten på den del av bränsleförbrukningen som hänförs till värmeproduktion. Om i stället industrins avdragsregler införs för denna bränslefö</w:t>
      </w:r>
      <w:r w:rsidRPr="006C40C1">
        <w:t>r</w:t>
      </w:r>
      <w:r w:rsidRPr="006C40C1">
        <w:t>brukning innebär det att hela energiskatten och 74 % av kol</w:t>
      </w:r>
      <w:r w:rsidRPr="006C40C1">
        <w:softHyphen/>
        <w:t>dioxidskatten på bränslen får dras av.</w:t>
      </w:r>
    </w:p>
    <w:p w:rsidR="00AA5D77" w:rsidRPr="006C40C1" w:rsidRDefault="00AA5D77">
      <w:pPr>
        <w:pStyle w:val="R4"/>
      </w:pPr>
      <w:r w:rsidRPr="006C40C1">
        <w:t>Budgetpropositionen</w:t>
      </w:r>
    </w:p>
    <w:p w:rsidR="00AA5D77" w:rsidRPr="006C40C1" w:rsidRDefault="00AA5D77">
      <w:r w:rsidRPr="006C40C1">
        <w:t>Regeringen föreslår (avsnitt 8.4.2.1–3, punkt 33 i denna del) att avdrag ska få göras för hela energiskatten och 74 % av koldioxidskatten på bränslen som förbrukas för värmeproduktion i kraftvärmeverk. Vidare föreslås att turor</w:t>
      </w:r>
      <w:r w:rsidRPr="006C40C1">
        <w:t>d</w:t>
      </w:r>
      <w:r w:rsidRPr="006C40C1">
        <w:t>ningen mellan bränslena inte ska få väljas fritt vid beräkning av skatteavdr</w:t>
      </w:r>
      <w:r w:rsidRPr="006C40C1">
        <w:t>a</w:t>
      </w:r>
      <w:r w:rsidRPr="006C40C1">
        <w:t>gen i kraft</w:t>
      </w:r>
      <w:r w:rsidRPr="006C40C1">
        <w:softHyphen/>
        <w:t>värmeverk. I stället införs regler om proportionering. Sådana regler införs också i andra sammanhang där turordningen fått väljas fritt. Slutligen förelås att avdraget för energiskatt på el som produceras i kraftvärmeverk och som används i egen verksamhet som består av el-, gas-, värme- eller vatte</w:t>
      </w:r>
      <w:r w:rsidRPr="006C40C1">
        <w:t>n</w:t>
      </w:r>
      <w:r w:rsidRPr="006C40C1">
        <w:t>försörj</w:t>
      </w:r>
      <w:r w:rsidRPr="006C40C1">
        <w:softHyphen/>
        <w:t>ning slopas den 1 maj 2003. En begränsning av avdragsrätten sker dock redan den 1 januari 2003.</w:t>
      </w:r>
    </w:p>
    <w:p w:rsidR="00AA5D77" w:rsidRPr="006C40C1" w:rsidRDefault="00AA5D77">
      <w:pPr>
        <w:pStyle w:val="Normaltindrag"/>
      </w:pPr>
      <w:r w:rsidRPr="006C40C1">
        <w:t>Regeringen anför a</w:t>
      </w:r>
      <w:r w:rsidRPr="006C40C1">
        <w:t>tt en förutsättning för skatteavdraget vid produktion av värme i kraftvärmeverk är att el- och värmeproduktionen sker integrerat och samtidigt, dvs. att produktionen sker i en sammanhållen process och att fö</w:t>
      </w:r>
      <w:r w:rsidRPr="006C40C1">
        <w:t>r</w:t>
      </w:r>
      <w:r w:rsidRPr="006C40C1">
        <w:softHyphen/>
        <w:t>hållandena vid varje tillfälle är avgörande. Reglerna för nedsättning av ene</w:t>
      </w:r>
      <w:r w:rsidRPr="006C40C1">
        <w:t>r</w:t>
      </w:r>
      <w:r w:rsidRPr="006C40C1">
        <w:softHyphen/>
        <w:t>giskatter är föremål för översyn av en parlamentarisk kommitté, Skattene</w:t>
      </w:r>
      <w:r w:rsidRPr="006C40C1">
        <w:t>d</w:t>
      </w:r>
      <w:r w:rsidRPr="006C40C1">
        <w:softHyphen/>
        <w:t>sättningskommittén (dir. 2001:29). Kommittén, som tillsattes som ett led i arbetet med att förverkliga strategin för fortsatt grön skatteväxling, ska r</w:t>
      </w:r>
      <w:r w:rsidRPr="006C40C1">
        <w:t>ed</w:t>
      </w:r>
      <w:r w:rsidRPr="006C40C1">
        <w:t>o</w:t>
      </w:r>
      <w:r w:rsidRPr="006C40C1">
        <w:t>visa sitt arbete senast den 31 december 2002. Den föreslagna ändringen får därför ses som temporär i avvaktan på kommi</w:t>
      </w:r>
      <w:r w:rsidRPr="006C40C1">
        <w:t>t</w:t>
      </w:r>
      <w:r w:rsidRPr="006C40C1">
        <w:t xml:space="preserve">téns förslag. </w:t>
      </w:r>
    </w:p>
    <w:p w:rsidR="00AA5D77" w:rsidRPr="006C40C1" w:rsidRDefault="00AA5D77">
      <w:pPr>
        <w:pStyle w:val="Normaltindrag"/>
      </w:pPr>
      <w:r w:rsidRPr="006C40C1">
        <w:t>Regeringen anför vidare att det fordras en prövning av kommissionen om de höjda avdragen är tillåtliga enligt EU:s regler om statsstöd innan en fö</w:t>
      </w:r>
      <w:r w:rsidRPr="006C40C1">
        <w:t>r</w:t>
      </w:r>
      <w:r w:rsidRPr="006C40C1">
        <w:softHyphen/>
        <w:t>ändring av skattebestämmelserna kan genomföras. Sverige har redan anmält förslaget om ändrade bränsleavdrag i samband med en pågående granskning av energ</w:t>
      </w:r>
      <w:r w:rsidRPr="006C40C1">
        <w:t>i</w:t>
      </w:r>
      <w:r w:rsidRPr="006C40C1">
        <w:t>skattenedsättningarna för industrin.</w:t>
      </w:r>
    </w:p>
    <w:p w:rsidR="00AA5D77" w:rsidRPr="006C40C1" w:rsidRDefault="00AA5D77">
      <w:pPr>
        <w:pStyle w:val="Normaltindrag"/>
      </w:pPr>
      <w:r w:rsidRPr="006C40C1">
        <w:t>En central fråga är enligt vad som anförs hur den här föreslagna generella stimulansen för kraftvärmen ska kunna uppnås utan att biobränslenas ko</w:t>
      </w:r>
      <w:r w:rsidRPr="006C40C1">
        <w:t>n</w:t>
      </w:r>
      <w:r w:rsidRPr="006C40C1">
        <w:softHyphen/>
        <w:t>kurrenskraft försämras. För att via skattereglerna minska risken för en ökad fossilanvändning på bekostnad av biobränsleanvändningen föreslås att de regler som gäller för beräkning av skatteavdragen ändras. Kraftvärme</w:t>
      </w:r>
      <w:r w:rsidRPr="006C40C1">
        <w:softHyphen/>
        <w:t>produ</w:t>
      </w:r>
      <w:r w:rsidRPr="006C40C1">
        <w:softHyphen/>
        <w:t>centen får enligt dagens regler välja hur den gemensamma bränslefö</w:t>
      </w:r>
      <w:r w:rsidRPr="006C40C1">
        <w:t>r</w:t>
      </w:r>
      <w:r w:rsidRPr="006C40C1">
        <w:t>bruk</w:t>
      </w:r>
      <w:r w:rsidRPr="006C40C1">
        <w:softHyphen/>
        <w:t>ningen fördelas på elproduktion respektive värmeproduktion. Det har därvid varit gynnsamt att så långt möjligt hänföra beskattade fossila bränslen till elproduktionen, eftersom skatteavdragsbeloppet då blir större.</w:t>
      </w:r>
      <w:r w:rsidRPr="006C40C1">
        <w:t xml:space="preserve"> Om flera b</w:t>
      </w:r>
      <w:r w:rsidRPr="006C40C1">
        <w:t>e</w:t>
      </w:r>
      <w:r w:rsidRPr="006C40C1">
        <w:t>skattade bränslen använts samtidigt har de också fått turordnas sinsemellan. I stället bör regler om proportionering införas. Sådana regler bör också införas när el framställs samtidigt med både kraftvärme- och kondenskraftteknik i sammankopplade system samt om värme levereras till utomstående som omfattas av nedsättningsreglerna för industri, jordbruk, skogsbruk och vatte</w:t>
      </w:r>
      <w:r w:rsidRPr="006C40C1">
        <w:t>n</w:t>
      </w:r>
      <w:r w:rsidRPr="006C40C1">
        <w:softHyphen/>
        <w:t>bruk.</w:t>
      </w:r>
    </w:p>
    <w:p w:rsidR="00AA5D77" w:rsidRPr="006C40C1" w:rsidRDefault="00AA5D77">
      <w:pPr>
        <w:pStyle w:val="Normaltindrag"/>
      </w:pPr>
      <w:r w:rsidRPr="006C40C1">
        <w:t>Vid elproduktion i kraftvärmeverk finns det en alternativ möjlighet att i stället för bränsleavdrag göra avdrag för e</w:t>
      </w:r>
      <w:r w:rsidRPr="006C40C1">
        <w:t>nergiskatten på den del av den egenproducerade el som används i kraftvärmeproducentens egen verksamhet som består av el-, gas-, värme- eller vattenförsörjning. Med nuvarande skatt</w:t>
      </w:r>
      <w:r w:rsidRPr="006C40C1">
        <w:t>e</w:t>
      </w:r>
      <w:r w:rsidRPr="006C40C1">
        <w:softHyphen/>
        <w:t>satser på bränslen och el har det varit fördelaktigt att utnyttja detta avdrag om biobränslen och andra obeskattade bränslen har använts för elproduktionen. Det har visat sig att denna avdragsmöjlighet har utnyttjats i allt större omfat</w:t>
      </w:r>
      <w:r w:rsidRPr="006C40C1">
        <w:t>t</w:t>
      </w:r>
      <w:r w:rsidRPr="006C40C1">
        <w:softHyphen/>
        <w:t>ning under de senaste åren. Uppenbarligen är det utnyttjandet av avdraget för el i elpannor o</w:t>
      </w:r>
      <w:r w:rsidRPr="006C40C1">
        <w:t>ch värmepumpar som ökar. Elcertifikatsutredningen konstat</w:t>
      </w:r>
      <w:r w:rsidRPr="006C40C1">
        <w:t>e</w:t>
      </w:r>
      <w:r w:rsidRPr="006C40C1">
        <w:softHyphen/>
        <w:t>rade i sitt slutbetänkande Handel med elcertifikat (SOU 2001:77) att ett bib</w:t>
      </w:r>
      <w:r w:rsidRPr="006C40C1">
        <w:t>e</w:t>
      </w:r>
      <w:r w:rsidRPr="006C40C1">
        <w:softHyphen/>
        <w:t>hållande av denna avdragsrätt kombinerat med ett certifikatsystem kunde ses som ett dubbelt stöd för att främja förnybar elproduktion. Avdraget motverkar också syftet med de förhöjda skattesatserna på stora elpannor under vinte</w:t>
      </w:r>
      <w:r w:rsidRPr="006C40C1">
        <w:t>r</w:t>
      </w:r>
      <w:r w:rsidRPr="006C40C1">
        <w:softHyphen/>
        <w:t>halvåret om det får göras för sådan elanvändning. Ett slopat avdrag bör min</w:t>
      </w:r>
      <w:r w:rsidRPr="006C40C1">
        <w:t>s</w:t>
      </w:r>
      <w:r w:rsidRPr="006C40C1">
        <w:t>ka elanvändningen för värmeproduktion, vilket stämmer överens med måle</w:t>
      </w:r>
      <w:r w:rsidRPr="006C40C1">
        <w:t>n inom energipolitiken.</w:t>
      </w:r>
    </w:p>
    <w:p w:rsidR="00AA5D77" w:rsidRPr="006C40C1" w:rsidRDefault="00AA5D77">
      <w:pPr>
        <w:pStyle w:val="R4"/>
      </w:pPr>
      <w:r w:rsidRPr="006C40C1">
        <w:t>Motioner</w:t>
      </w:r>
    </w:p>
    <w:p w:rsidR="00AA5D77" w:rsidRPr="006C40C1" w:rsidRDefault="00AA5D77">
      <w:r w:rsidRPr="006C40C1">
        <w:t>I motion Fi230 yrkande 14 av Britt Bohlin m.fl. (s, v, mp) anförs att förslagen om ändrad beskattning av kraftvärme i kombination med planerna på handel med elcertifikat bör leda till en utbyggnad av biobränslebaserad kraftvärme. Motionärerna begär ett tillkännagivande om att det är viktigt att regeringen noga följer utvecklingen och snarast återkommer till riksdagen med förslag till ändringar om effekterna inte skulle bli de efterstr</w:t>
      </w:r>
      <w:r w:rsidRPr="006C40C1">
        <w:t>ä</w:t>
      </w:r>
      <w:r w:rsidRPr="006C40C1">
        <w:t>vade.</w:t>
      </w:r>
    </w:p>
    <w:p w:rsidR="00AA5D77" w:rsidRPr="006C40C1" w:rsidRDefault="00AA5D77">
      <w:pPr>
        <w:pStyle w:val="Normaltindrag"/>
      </w:pPr>
      <w:r w:rsidRPr="006C40C1">
        <w:t>I</w:t>
      </w:r>
      <w:r w:rsidRPr="006C40C1">
        <w:rPr>
          <w:i/>
        </w:rPr>
        <w:t xml:space="preserve"> Centerpartiets</w:t>
      </w:r>
      <w:r w:rsidRPr="006C40C1">
        <w:t xml:space="preserve"> motion N394 yrkandena 2 och 3 av Åsa Torstensson m.fl. (c) anförs att det finns en risk för att förslaget kommer att gynna användnin</w:t>
      </w:r>
      <w:r w:rsidRPr="006C40C1">
        <w:t>g</w:t>
      </w:r>
      <w:r w:rsidRPr="006C40C1">
        <w:t>en av fossila bränslen för all producerad kraftvärme, inte bara för kraft</w:t>
      </w:r>
      <w:r w:rsidRPr="006C40C1">
        <w:softHyphen/>
        <w:t>produk</w:t>
      </w:r>
      <w:r w:rsidRPr="006C40C1">
        <w:softHyphen/>
        <w:t xml:space="preserve">tionen. För att mota denna risk bör riksdagen besluta att skatteavdrag för värmeproduktion endast medges för den mängd bränslen som motsvarar den producerade elenergin. Motionärerna begär vidare ett tillkännagivande om att det vid den fortsatta energiomställningen och utvecklingen </w:t>
      </w:r>
      <w:r w:rsidRPr="006C40C1">
        <w:t>av förnyb</w:t>
      </w:r>
      <w:r w:rsidRPr="006C40C1">
        <w:t>a</w:t>
      </w:r>
      <w:r w:rsidRPr="006C40C1">
        <w:t>ra bränslen är angeläget med en tydlig redovisning av de energipolitiska ko</w:t>
      </w:r>
      <w:r w:rsidRPr="006C40C1">
        <w:t>n</w:t>
      </w:r>
      <w:r w:rsidRPr="006C40C1">
        <w:t>sekvenserna av förändrade regler för beskattningen av kraftvärm</w:t>
      </w:r>
      <w:r w:rsidRPr="006C40C1">
        <w:t>e</w:t>
      </w:r>
      <w:r w:rsidRPr="006C40C1">
        <w:t>verk.</w:t>
      </w:r>
    </w:p>
    <w:p w:rsidR="00AA5D77" w:rsidRPr="006C40C1" w:rsidRDefault="00AA5D77">
      <w:pPr>
        <w:pStyle w:val="R4"/>
      </w:pPr>
      <w:r w:rsidRPr="006C40C1">
        <w:t>Skatteutskottets yttrande</w:t>
      </w:r>
    </w:p>
    <w:p w:rsidR="00AA5D77" w:rsidRPr="006C40C1" w:rsidRDefault="00AA5D77">
      <w:r w:rsidRPr="006C40C1">
        <w:t>Skatteutskottet anför i sitt yttrande att skattestimulansen för kraftvärmeverken urholkats under senare år och att följden är att det inte längre är lönsamt att bygga nya fossileldade kraftvärmeanläggningar. Kraft</w:t>
      </w:r>
      <w:r w:rsidRPr="006C40C1">
        <w:softHyphen/>
        <w:t>värmeverken klarar inte längre av konkurrensen från t.ex. kolkondenskraft</w:t>
      </w:r>
      <w:r w:rsidRPr="006C40C1">
        <w:softHyphen/>
        <w:t>verk, och även de befintliga kraftvärmeanläggningarna har lönsamhetspro</w:t>
      </w:r>
      <w:r w:rsidRPr="006C40C1">
        <w:softHyphen/>
        <w:t>blem. Bristande lönsamhet i de fossileldade kraftvärmeverken kan på sikt leda till att dessa, liksom tidigare kondenskraftverken, läggs ned. Detta skulle leda till att försörjningstryggh</w:t>
      </w:r>
      <w:r w:rsidRPr="006C40C1">
        <w:t>e</w:t>
      </w:r>
      <w:r w:rsidRPr="006C40C1">
        <w:t>ten i det svenska elsystemet försämras, framför allt i södra Sverige, samtidigt som miljöeffekterna skulle vara negativa eftersom det rör sig om anläggnin</w:t>
      </w:r>
      <w:r w:rsidRPr="006C40C1">
        <w:t>g</w:t>
      </w:r>
      <w:r w:rsidRPr="006C40C1">
        <w:t xml:space="preserve">ar med ofta mycket hög </w:t>
      </w:r>
      <w:r w:rsidRPr="006C40C1">
        <w:t>verkningsgrad såsom natur</w:t>
      </w:r>
      <w:r w:rsidRPr="006C40C1">
        <w:softHyphen/>
        <w:t>gaseldade kombicykela</w:t>
      </w:r>
      <w:r w:rsidRPr="006C40C1">
        <w:t>n</w:t>
      </w:r>
      <w:r w:rsidRPr="006C40C1">
        <w:t>läggningar och PFBC (trycksatt fluidiserad bädd). På marginalen skulle bor</w:t>
      </w:r>
      <w:r w:rsidRPr="006C40C1">
        <w:t>t</w:t>
      </w:r>
      <w:r w:rsidRPr="006C40C1">
        <w:t>fallande elproduktion ersättas med import av miljö</w:t>
      </w:r>
      <w:r w:rsidRPr="006C40C1">
        <w:softHyphen/>
        <w:t>mässigt sämre elproduktion i kolkraftverk.</w:t>
      </w:r>
    </w:p>
    <w:p w:rsidR="00AA5D77" w:rsidRPr="006C40C1" w:rsidRDefault="00AA5D77">
      <w:pPr>
        <w:pStyle w:val="Normaltindrag"/>
      </w:pPr>
      <w:r w:rsidRPr="006C40C1">
        <w:t>Mot denna bakgrund anser skatteutskottet att det finns anledning att genomföra en omläggning av den nuvarande skatterabatten för kraftvärm</w:t>
      </w:r>
      <w:r w:rsidRPr="006C40C1">
        <w:t>e</w:t>
      </w:r>
      <w:r w:rsidRPr="006C40C1">
        <w:t>tekniken, och utskottet delar härvid regeringens bedömning att kraftvärm</w:t>
      </w:r>
      <w:r w:rsidRPr="006C40C1">
        <w:t>e</w:t>
      </w:r>
      <w:r w:rsidRPr="006C40C1">
        <w:t>verken bör få samma skatteregler som indu</w:t>
      </w:r>
      <w:r w:rsidRPr="006C40C1">
        <w:softHyphen/>
        <w:t>striellt mottryck. En sådan förän</w:t>
      </w:r>
      <w:r w:rsidRPr="006C40C1">
        <w:t>d</w:t>
      </w:r>
      <w:r w:rsidRPr="006C40C1">
        <w:t>ring kommer att leda till högre elproduktion i befintliga kraftvärmeverk och även till en förbättring av förutsättningarna för investeringar i ny kraftvärme. I befintliga gaseldade kraftvärmeverk i södra Sverige kan elproduktionen komma att öka med ca 1 TWh. Därtill kommer en ökning med 1,5 TWh om det planerade gaskraftvärmeverket i Göteborg byggs. Den ökade i</w:t>
      </w:r>
      <w:r w:rsidRPr="006C40C1">
        <w:t>nhemska elproduktionen skulle leda till minskad elimport med minskade koldioxidu</w:t>
      </w:r>
      <w:r w:rsidRPr="006C40C1">
        <w:t>t</w:t>
      </w:r>
      <w:r w:rsidRPr="006C40C1">
        <w:t>släpp i vår omvärld som följd.</w:t>
      </w:r>
    </w:p>
    <w:p w:rsidR="00AA5D77" w:rsidRPr="006C40C1" w:rsidRDefault="00AA5D77">
      <w:pPr>
        <w:pStyle w:val="Normaltindrag"/>
      </w:pPr>
      <w:r w:rsidRPr="006C40C1">
        <w:t>Enligt skatteutskottets mening är det viktigt att omläggningen kan ske med bibehållen konkurrenskraft för biobränslen och då särskilt för de biobränsl</w:t>
      </w:r>
      <w:r w:rsidRPr="006C40C1">
        <w:t>e</w:t>
      </w:r>
      <w:r w:rsidRPr="006C40C1">
        <w:t>eldade kraftvärmeverken. Investeringsstöd utgår sedan 1991 till bio</w:t>
      </w:r>
      <w:r w:rsidRPr="006C40C1">
        <w:softHyphen/>
        <w:t>bränsle</w:t>
      </w:r>
      <w:r w:rsidRPr="006C40C1">
        <w:softHyphen/>
        <w:t>eldade kraftvärmeanläggningar, och stödet är förenat med en begränsning i möjligheten att använda fossilbränsle. Vidare kommer ett införande av ett system med elcertifikat att innebära en förbättrad konkur</w:t>
      </w:r>
      <w:r w:rsidRPr="006C40C1">
        <w:softHyphen/>
        <w:t>renssituation för den biobränslebaserade kraftvärmen. Utskottet anför att de bedömningar som redovisats i proposition 2001/02:146 innebär att biokraftvärme rent generellt skulle vara mer konkurrenskraftig även med en övergång til</w:t>
      </w:r>
      <w:r w:rsidRPr="006C40C1">
        <w:t>l industribeskat</w:t>
      </w:r>
      <w:r w:rsidRPr="006C40C1">
        <w:t>t</w:t>
      </w:r>
      <w:r w:rsidRPr="006C40C1">
        <w:t>ning för den fossila kraftvärmen. Sameldning med fossila bränslen för elpr</w:t>
      </w:r>
      <w:r w:rsidRPr="006C40C1">
        <w:t>o</w:t>
      </w:r>
      <w:r w:rsidRPr="006C40C1">
        <w:t>duktion i kraftvärmeverk som kan använda både fossila bränslen och bi</w:t>
      </w:r>
      <w:r w:rsidRPr="006C40C1">
        <w:t>o</w:t>
      </w:r>
      <w:r w:rsidRPr="006C40C1">
        <w:t>bränslen kommer enligt de bedömningar som redovisats i proposition 2001/02:146 i allmänhet inte längre att vara lönsamt.</w:t>
      </w:r>
    </w:p>
    <w:p w:rsidR="00AA5D77" w:rsidRPr="006C40C1" w:rsidRDefault="00AA5D77">
      <w:pPr>
        <w:pStyle w:val="Normaltindrag"/>
      </w:pPr>
      <w:r w:rsidRPr="006C40C1">
        <w:t>Skatteutskottet instämmer också i regeringens bedömning att en ytterligare minskning av risken för en ökad fossilanvändning kan uppnås om de särskilda turordningsregler som gäller för beräkning av skatteavdragen ändras så att pro</w:t>
      </w:r>
      <w:r w:rsidRPr="006C40C1">
        <w:t>portionering används i stället och instämmer också i förslaget att samma regler bör gälla överallt där turordningsreglerna nu tillä</w:t>
      </w:r>
      <w:r w:rsidRPr="006C40C1">
        <w:t>m</w:t>
      </w:r>
      <w:r w:rsidRPr="006C40C1">
        <w:t>pas.</w:t>
      </w:r>
    </w:p>
    <w:p w:rsidR="00AA5D77" w:rsidRPr="006C40C1" w:rsidRDefault="00AA5D77">
      <w:pPr>
        <w:pStyle w:val="Normaltindrag"/>
      </w:pPr>
      <w:r w:rsidRPr="006C40C1">
        <w:t>Vad slutligen gäller kraftvärmeverkens elavdrag vid produktion av el som används i egen verksamhet har skatteutskottet inte funnit anledning till eri</w:t>
      </w:r>
      <w:r w:rsidRPr="006C40C1">
        <w:t>n</w:t>
      </w:r>
      <w:r w:rsidRPr="006C40C1">
        <w:t>ran mot regeringens förslag.</w:t>
      </w:r>
    </w:p>
    <w:p w:rsidR="00AA5D77" w:rsidRPr="006C40C1" w:rsidRDefault="00AA5D77">
      <w:pPr>
        <w:pStyle w:val="Normaltindrag"/>
      </w:pPr>
      <w:r w:rsidRPr="006C40C1">
        <w:t>Skatteutskottet ställer sig i sitt yttrande sammanfattningsvis bakom de fö</w:t>
      </w:r>
      <w:r w:rsidRPr="006C40C1">
        <w:t>r</w:t>
      </w:r>
      <w:r w:rsidRPr="006C40C1">
        <w:t>slag till omläggning av kraftvärmebeskattningen som regeringen lägger fram. Med hänsyn till att utskottet tillstyrkt en utvidgning av den skatteväxling som föreslås i proposi</w:t>
      </w:r>
      <w:r w:rsidRPr="006C40C1">
        <w:softHyphen/>
        <w:t>tionen anmärker utskottet att bestämmelserna om kraftvä</w:t>
      </w:r>
      <w:r w:rsidRPr="006C40C1">
        <w:t>r</w:t>
      </w:r>
      <w:r w:rsidRPr="006C40C1">
        <w:t>merabatten bör justeras till den nya nivå som gäller efter u</w:t>
      </w:r>
      <w:r w:rsidRPr="006C40C1">
        <w:t>t</w:t>
      </w:r>
      <w:r w:rsidRPr="006C40C1">
        <w:t>vidgningen.</w:t>
      </w:r>
    </w:p>
    <w:p w:rsidR="00AA5D77" w:rsidRPr="006C40C1" w:rsidRDefault="00AA5D77">
      <w:pPr>
        <w:pStyle w:val="Normaltindrag"/>
      </w:pPr>
      <w:r w:rsidRPr="006C40C1">
        <w:t>När det gäller förslaget i motion N394 om att kraftvärmerabatten ska kopplas hårdare till elproduktionen för att på det sättet säkra att rabatten inte utnyttjas av verk som i huvudsak producerar värme ser ut</w:t>
      </w:r>
      <w:r w:rsidRPr="006C40C1">
        <w:t xml:space="preserve">skottet inte något behov av en sådan komplettering av regeringens förslag och avstyrker därför motionsyrkandet. </w:t>
      </w:r>
    </w:p>
    <w:p w:rsidR="00AA5D77" w:rsidRPr="006C40C1" w:rsidRDefault="00AA5D77">
      <w:pPr>
        <w:pStyle w:val="Normaltindrag"/>
      </w:pPr>
      <w:r w:rsidRPr="006C40C1">
        <w:t>Skatteutskottet anför att de sammanlagda effekterna av förslagen, särskilt på kort sikt, är svårbedömda. En risk kan finnas att effekten i vissa fall inte blir den eftersträvade. Enligt skatteutskottets mening är det mot denna ba</w:t>
      </w:r>
      <w:r w:rsidRPr="006C40C1">
        <w:t>k</w:t>
      </w:r>
      <w:r w:rsidRPr="006C40C1">
        <w:t>grund viktigt att rege</w:t>
      </w:r>
      <w:r w:rsidRPr="006C40C1">
        <w:softHyphen/>
        <w:t>ringen noga följer utvecklingen och snabbt återkommer till riksdagen med förslag till ändringar i beskattningen eller reglerna för certifikatshandeln om effekterna inte skulle bli de eftersträvade. I samma</w:t>
      </w:r>
      <w:r w:rsidRPr="006C40C1">
        <w:t>n</w:t>
      </w:r>
      <w:r w:rsidRPr="006C40C1">
        <w:t>hanget framhåller skatteutskottet också att det är angeläget att förändringar på detta område åtföljs av en tydlig redovisning av de energipolitiska kons</w:t>
      </w:r>
      <w:r w:rsidRPr="006C40C1">
        <w:t>e</w:t>
      </w:r>
      <w:r w:rsidRPr="006C40C1">
        <w:t>kvenserna. Skatteutskottet föreslår ett tillkännagivande till regeringen av denna innebörd och tillstyrker såle</w:t>
      </w:r>
      <w:r w:rsidRPr="006C40C1">
        <w:softHyphen/>
        <w:t>des motionerna F</w:t>
      </w:r>
      <w:r w:rsidRPr="006C40C1">
        <w:t>i230 yrkande 14 och N394 yrkande 3.</w:t>
      </w:r>
    </w:p>
    <w:p w:rsidR="00AA5D77" w:rsidRPr="006C40C1" w:rsidRDefault="00AA5D77">
      <w:pPr>
        <w:pStyle w:val="Normaltindrag"/>
      </w:pPr>
      <w:r w:rsidRPr="006C40C1">
        <w:t>I sitt yttrande tar skatteutskottet slutligen upp behovet av ett godkännande från kommissionens sida för den del av förslaget som gäller en övergång till industribeskattning för kraftvärmeverken. Utskottet noterar att regeringen informerat kommissionen om ändringarna i avsikt att hinna få ett besked i så god tid att reglerna kan träda i kraft den 1 januari 2003 men att något besked ännu inte erhållits. Skatteutskottet anför med anledning härav att ett besked om kommissio</w:t>
      </w:r>
      <w:r w:rsidRPr="006C40C1">
        <w:softHyphen/>
        <w:t>nens inställning bör avvaktas innan ärendet föreläggs riksdagen för beslut i nu aktuella delar.</w:t>
      </w:r>
    </w:p>
    <w:p w:rsidR="00AA5D77" w:rsidRPr="006C40C1" w:rsidRDefault="00AA5D77">
      <w:pPr>
        <w:pStyle w:val="R4"/>
      </w:pPr>
      <w:bookmarkStart w:id="491" w:name="_Toc24531783"/>
      <w:bookmarkStart w:id="492" w:name="_Toc25055326"/>
      <w:r w:rsidRPr="006C40C1">
        <w:t>Finansutskottets ställningstagande</w:t>
      </w:r>
    </w:p>
    <w:p w:rsidR="00AA5D77" w:rsidRPr="006C40C1" w:rsidRDefault="00AA5D77">
      <w:r w:rsidRPr="006C40C1">
        <w:t>Finansutskottet delar skatteutskottets bedömning och anser således att ett besked om kommissio</w:t>
      </w:r>
      <w:r w:rsidRPr="006C40C1">
        <w:softHyphen/>
        <w:t>nens inställning bör avvaktas innan ärendet föreläggs riksdagen för beslut i nu aktuella delar.</w:t>
      </w:r>
    </w:p>
    <w:p w:rsidR="00AA5D77" w:rsidRPr="006C40C1" w:rsidRDefault="00AA5D77">
      <w:pPr>
        <w:pStyle w:val="Normaltindrag"/>
      </w:pPr>
      <w:r w:rsidRPr="006C40C1">
        <w:t>Eftersom något besked om kommissionens inställning ännu inte föreligger bedömer utskottet att regeringens förslag bör avslås för att på det sättet ge regeringen möjlighet till den ytterligare beredning som kan behövas. Den utvidgning av skatteväxlingen som utskottet tillstyrkt i detta ärende gör t.ex. att det finns ett behov av att justera de lagförslag som lagts fram i fråga om kraftvärmen. En konsekvens av uts</w:t>
      </w:r>
      <w:r w:rsidRPr="006C40C1">
        <w:t>kottets ställningstagande är att skattei</w:t>
      </w:r>
      <w:r w:rsidRPr="006C40C1">
        <w:t>n</w:t>
      </w:r>
      <w:r w:rsidRPr="006C40C1">
        <w:t>komsterna bör justeras ned. Under förutsättning att kommissionen inte anför alltför allvarliga invändningar bör de föreslagna skatteändringarna kunna träda i kraft någon gång under första halvåret 2003, och regeringens berä</w:t>
      </w:r>
      <w:r w:rsidRPr="006C40C1">
        <w:t>k</w:t>
      </w:r>
      <w:r w:rsidRPr="006C40C1">
        <w:t>ning av inkomsterna bör därför justeras ned med ca 125 miljoner kronor (se närmare avsnitt 3.11 Beräkning av statsbudgetens inkomster för 2003).</w:t>
      </w:r>
    </w:p>
    <w:p w:rsidR="00AA5D77" w:rsidRPr="006C40C1" w:rsidRDefault="00AA5D77">
      <w:pPr>
        <w:pStyle w:val="Normaltindrag"/>
      </w:pPr>
      <w:r w:rsidRPr="006C40C1">
        <w:t>Det anförda innebär att även förslaget i motion N394 om en begränsning av kraftvärmerabatten bör avslå</w:t>
      </w:r>
      <w:r w:rsidRPr="006C40C1">
        <w:t>s.</w:t>
      </w:r>
    </w:p>
    <w:p w:rsidR="00AA5D77" w:rsidRPr="006C40C1" w:rsidRDefault="00AA5D77">
      <w:pPr>
        <w:pStyle w:val="Normaltindrag"/>
      </w:pPr>
      <w:r w:rsidRPr="006C40C1">
        <w:t>I likhet med motionärerna bakom motion Fi230 (s, v, mp) anser utskottet att kraftvärme är en mycket energieffektiv form av elproduktion som också kan vara mycket miljövänlig om den sker med hjälp av biobränslen. Det finns därför starka skäl att uppmuntra och stödja en fortsatt utbyggnad av den bi</w:t>
      </w:r>
      <w:r w:rsidRPr="006C40C1">
        <w:t>o</w:t>
      </w:r>
      <w:r w:rsidRPr="006C40C1">
        <w:t>bränslebaserade kraftvärmen, och utskottet anser i likhet med skatteutskottet att regeringens förslag i kombination med de planerade reglerna för handel med certifikat för förnybar el bör kunna få denna effekt. De sammanlagda effekterna av förslagen är dock, särskilt på kort sikt, svårbedömda. Det kan finnas en risk för att effekten i vissa fall inte blir den eftersträvade. Det är därför viktigt att regeringen följer upp det kommande beslutet och snarast återkommer till riksdagen med förslag till ändringar</w:t>
      </w:r>
      <w:r w:rsidRPr="006C40C1">
        <w:t xml:space="preserve"> i beskattningen eller reglerna för certifikatshandeln om effekterna inte skulle bli de eftersträvade. Det anförda bör riksdagen som sin mening ge regeringen till känna.</w:t>
      </w:r>
    </w:p>
    <w:p w:rsidR="00AA5D77" w:rsidRPr="006C40C1" w:rsidRDefault="00AA5D77">
      <w:pPr>
        <w:pStyle w:val="Normaltindrag"/>
      </w:pPr>
      <w:r w:rsidRPr="006C40C1">
        <w:t>I likhet med motionärerna bakom motion N394 (c) anser finansutskottet att det är angeläget att förändringar på detta område åtföljs av en tydlig redovi</w:t>
      </w:r>
      <w:r w:rsidRPr="006C40C1">
        <w:t>s</w:t>
      </w:r>
      <w:r w:rsidRPr="006C40C1">
        <w:t>ning av de energipolitiska konsekvenserna. Det anförda bör riksdagen som sin mening ge regeringen till känna.</w:t>
      </w:r>
    </w:p>
    <w:p w:rsidR="00AA5D77" w:rsidRPr="006C40C1" w:rsidRDefault="00AA5D77">
      <w:pPr>
        <w:pStyle w:val="Normaltindrag"/>
      </w:pPr>
      <w:r w:rsidRPr="006C40C1">
        <w:t>Med det anförda avstyrker utskottet propositionen punkt 33 i denna del och motion N394 (c) yrkande 2. Utskottet tillstyrker motionerna Fi230 (s, v, mp) yrkande 14 och N394 (c) yrkande 3. En samlad redovisning av de lagändrin</w:t>
      </w:r>
      <w:r w:rsidRPr="006C40C1">
        <w:t>g</w:t>
      </w:r>
      <w:r w:rsidRPr="006C40C1">
        <w:t>ar som utskottets ställningstaganden medför finns under rubriken Lagförsl</w:t>
      </w:r>
      <w:r w:rsidRPr="006C40C1">
        <w:t>a</w:t>
      </w:r>
      <w:r w:rsidRPr="006C40C1">
        <w:t xml:space="preserve">gen. </w:t>
      </w:r>
    </w:p>
    <w:p w:rsidR="00AA5D77" w:rsidRPr="006C40C1" w:rsidRDefault="00AA5D77">
      <w:pPr>
        <w:pStyle w:val="Utskottetsvervganden-RubrikFrslagspunkt"/>
      </w:pPr>
      <w:bookmarkStart w:id="493" w:name="_Toc25411174"/>
      <w:bookmarkStart w:id="494" w:name="_Toc26191498"/>
      <w:r w:rsidRPr="006C40C1">
        <w:t>3.7.8 Kalk- och cementbranschens koldioxidskatt</w:t>
      </w:r>
      <w:bookmarkEnd w:id="491"/>
      <w:bookmarkEnd w:id="492"/>
      <w:bookmarkEnd w:id="493"/>
      <w:bookmarkEnd w:id="494"/>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 xml:space="preserve">Utskottet tillstyrker regeringens förslag om en förlängning av kalk- och cementindustrins begränsningsregel för koldioxidskatt. </w:t>
      </w:r>
    </w:p>
    <w:p w:rsidR="00AA5D77" w:rsidRPr="006C40C1" w:rsidRDefault="00AA5D77">
      <w:pPr>
        <w:pStyle w:val="R4"/>
      </w:pPr>
      <w:r w:rsidRPr="006C40C1">
        <w:t>Budgetpropositionen</w:t>
      </w:r>
    </w:p>
    <w:p w:rsidR="00AA5D77" w:rsidRPr="006C40C1" w:rsidRDefault="00AA5D77">
      <w:r w:rsidRPr="006C40C1">
        <w:t>Regeringen föreslår (avsnitt 8.4.3, punkt 33 i denna del) att den övergångsvis gällande begränsningsregeln avseende kalk- och cementbranscherna m.m. (1,2-pro</w:t>
      </w:r>
      <w:r w:rsidRPr="006C40C1">
        <w:softHyphen/>
        <w:t>centsregeln) förlängs ytterligare ett år.</w:t>
      </w:r>
    </w:p>
    <w:p w:rsidR="00AA5D77" w:rsidRPr="006C40C1" w:rsidRDefault="00AA5D77">
      <w:pPr>
        <w:pStyle w:val="R4"/>
      </w:pPr>
      <w:r w:rsidRPr="006C40C1">
        <w:t>Skatteutskottets yttrande</w:t>
      </w:r>
    </w:p>
    <w:p w:rsidR="00AA5D77" w:rsidRPr="006C40C1" w:rsidRDefault="00AA5D77">
      <w:r w:rsidRPr="006C40C1">
        <w:t>Skatteutskottet har inte funnit någon anledning till erinran mot förslaget och til</w:t>
      </w:r>
      <w:r w:rsidRPr="006C40C1">
        <w:t>l</w:t>
      </w:r>
      <w:r w:rsidRPr="006C40C1">
        <w:softHyphen/>
        <w:t>styrker propositionen i denna del.</w:t>
      </w:r>
    </w:p>
    <w:p w:rsidR="00AA5D77" w:rsidRPr="006C40C1" w:rsidRDefault="00AA5D77">
      <w:pPr>
        <w:pStyle w:val="R4"/>
      </w:pPr>
      <w:bookmarkStart w:id="495" w:name="_Toc24531784"/>
      <w:bookmarkStart w:id="496" w:name="_Toc25055327"/>
      <w:r w:rsidRPr="006C40C1">
        <w:t>Finansutskottets ställningstagande</w:t>
      </w:r>
    </w:p>
    <w:p w:rsidR="00AA5D77" w:rsidRPr="006C40C1" w:rsidRDefault="00AA5D77">
      <w:r w:rsidRPr="006C40C1">
        <w:t>Finansutskottet finner i likhet med skatteutskottet inte någon anledning till erinran mot förslaget och tillstyrker därför propositionen punkt 33 i denna del.</w:t>
      </w:r>
    </w:p>
    <w:p w:rsidR="00AA5D77" w:rsidRPr="006C40C1" w:rsidRDefault="00AA5D77">
      <w:pPr>
        <w:pStyle w:val="Utskottetsvervganden-RubrikFrslagspunkt"/>
      </w:pPr>
      <w:bookmarkStart w:id="497" w:name="_Toc25411175"/>
      <w:bookmarkStart w:id="498" w:name="_Toc26191499"/>
      <w:r w:rsidRPr="006C40C1">
        <w:t>3.7.9 Beskattningen av alternativa drivmedel</w:t>
      </w:r>
      <w:bookmarkEnd w:id="495"/>
      <w:bookmarkEnd w:id="496"/>
      <w:bookmarkEnd w:id="497"/>
      <w:bookmarkEnd w:id="498"/>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att koldioxidneutrala drivmedel ska befrias från både energiskatt och koldioxidskatt.</w:t>
      </w:r>
    </w:p>
    <w:p w:rsidR="00AA5D77" w:rsidRPr="006C40C1" w:rsidRDefault="00AA5D77">
      <w:pPr>
        <w:pStyle w:val="Utskottsfrslagikorthet-Text"/>
      </w:pPr>
      <w:r w:rsidRPr="006C40C1">
        <w:t xml:space="preserve">  Jämför reservationerna 10 (kd) och 11 (c).</w:t>
      </w:r>
    </w:p>
    <w:p w:rsidR="00AA5D77" w:rsidRPr="006C40C1" w:rsidRDefault="00AA5D77">
      <w:pPr>
        <w:pStyle w:val="R4"/>
      </w:pPr>
      <w:r w:rsidRPr="006C40C1">
        <w:t>Bakgrund</w:t>
      </w:r>
    </w:p>
    <w:p w:rsidR="00AA5D77" w:rsidRPr="006C40C1" w:rsidRDefault="00AA5D77">
      <w:r w:rsidRPr="006C40C1">
        <w:t>Riksdagen (prop. 2001/02:1, bet. 2001/02:FiU1) har nyligen tagit del av r</w:t>
      </w:r>
      <w:r w:rsidRPr="006C40C1">
        <w:t>e</w:t>
      </w:r>
      <w:r w:rsidRPr="006C40C1">
        <w:t>geringens bedömning i budgetpropositionen för 2002 om hur en strategi fr.o.m. 2003 för nedsättning av skatten på alternativa drivmedel ska utfor</w:t>
      </w:r>
      <w:r w:rsidRPr="006C40C1">
        <w:softHyphen/>
        <w:t>mas. Huvudkomponenterna i strategin innefattar skattelättnader i form av dels energi- och koldioxidskattebefrielse för pilotprojektdispenser i enskilda fall, dels en generell koldioxidskattebefrielse för koldioxidneutrala drivmedel med stöd av ett beslut enligt artikel 8.4 i mineraloljedirektivet.</w:t>
      </w:r>
    </w:p>
    <w:p w:rsidR="00AA5D77" w:rsidRPr="006C40C1" w:rsidRDefault="00AA5D77">
      <w:pPr>
        <w:pStyle w:val="R4"/>
      </w:pPr>
      <w:r w:rsidRPr="006C40C1">
        <w:t>Budgetpropositionen</w:t>
      </w:r>
    </w:p>
    <w:p w:rsidR="00AA5D77" w:rsidRPr="006C40C1" w:rsidRDefault="00AA5D77">
      <w:r w:rsidRPr="006C40C1">
        <w:t>Regeringen bedömer (avsnitt 8.4.5) att det är angeläget att den strategi för skatte</w:t>
      </w:r>
      <w:r w:rsidRPr="006C40C1">
        <w:softHyphen/>
        <w:t>nedsättning för alternativa drivmedel som lades fast i budgetproposi</w:t>
      </w:r>
      <w:r w:rsidRPr="006C40C1">
        <w:softHyphen/>
        <w:t>tionen för 2002 kan börja tillämpas så snart erforderliga godkännanden har erhållits från rådet och kommissionen. Konkurrenskraftiga och konkurrens</w:t>
      </w:r>
      <w:r w:rsidRPr="006C40C1">
        <w:softHyphen/>
        <w:t>neutrala villkor för de alternativa drivmedlen under år 2003 beaktas i särskild ordning i a</w:t>
      </w:r>
      <w:r w:rsidRPr="006C40C1">
        <w:t>v</w:t>
      </w:r>
      <w:r w:rsidRPr="006C40C1">
        <w:t>vaktan på EG-beslut.</w:t>
      </w:r>
    </w:p>
    <w:p w:rsidR="00AA5D77" w:rsidRPr="006C40C1" w:rsidRDefault="00AA5D77">
      <w:pPr>
        <w:pStyle w:val="R4"/>
      </w:pPr>
      <w:r w:rsidRPr="006C40C1">
        <w:t>Motion</w:t>
      </w:r>
    </w:p>
    <w:p w:rsidR="00AA5D77" w:rsidRPr="006C40C1" w:rsidRDefault="00AA5D77">
      <w:r w:rsidRPr="006C40C1">
        <w:rPr>
          <w:i/>
        </w:rPr>
        <w:t>Kristdemokraterna</w:t>
      </w:r>
      <w:r w:rsidRPr="006C40C1">
        <w:t xml:space="preserve"> föreslår i motion Fi256 yrkandena 30 och 31 av Alf Svensson m.fl. (kd) att både energi- och koldioxidskatten på biodrivmedel slopas. Motionärerna anför att regeringens skattestrategi för alternativa dri</w:t>
      </w:r>
      <w:r w:rsidRPr="006C40C1">
        <w:t>v</w:t>
      </w:r>
      <w:r w:rsidRPr="006C40C1">
        <w:softHyphen/>
        <w:t>medel innebär att koldioxidneutrala drivmedel ska befrias från kol</w:t>
      </w:r>
      <w:r w:rsidRPr="006C40C1">
        <w:softHyphen/>
        <w:t>dioxidskatt från 2003. Producenter och intressenter på området menar dock att en befrie</w:t>
      </w:r>
      <w:r w:rsidRPr="006C40C1">
        <w:t>l</w:t>
      </w:r>
      <w:r w:rsidRPr="006C40C1">
        <w:t>se från energiskatten är nödvändig om det ska finnas en chans för ökad pr</w:t>
      </w:r>
      <w:r w:rsidRPr="006C40C1">
        <w:t>o</w:t>
      </w:r>
      <w:r w:rsidRPr="006C40C1">
        <w:t>duktion av alternativa brän</w:t>
      </w:r>
      <w:r w:rsidRPr="006C40C1">
        <w:t>s</w:t>
      </w:r>
      <w:r w:rsidRPr="006C40C1">
        <w:t>len.</w:t>
      </w:r>
    </w:p>
    <w:p w:rsidR="00AA5D77" w:rsidRPr="006C40C1" w:rsidRDefault="00AA5D77">
      <w:pPr>
        <w:pStyle w:val="R4"/>
      </w:pPr>
      <w:r w:rsidRPr="006C40C1">
        <w:t>Skatteutskottets yttrande</w:t>
      </w:r>
    </w:p>
    <w:p w:rsidR="00AA5D77" w:rsidRPr="006C40C1" w:rsidRDefault="00AA5D77">
      <w:r w:rsidRPr="006C40C1">
        <w:t>Skatteutskottet anför att utgångspunkten för de skattebefrielser som ska gälla mer långsiktigt bör vara att de bränslen som kan betraktas som koldio</w:t>
      </w:r>
      <w:r w:rsidRPr="006C40C1">
        <w:t>x</w:t>
      </w:r>
      <w:r w:rsidRPr="006C40C1">
        <w:t>id</w:t>
      </w:r>
      <w:r w:rsidRPr="006C40C1">
        <w:softHyphen/>
        <w:t>neutrala befrias från koldioxidskatt men inte från energiskatt. Strategin för nedsättning av skatten på alternativa drivmedel bör således ligga fast. En ökad konkurrenskraft för de koldioxidneutrala dri</w:t>
      </w:r>
      <w:r w:rsidRPr="006C40C1">
        <w:t>v</w:t>
      </w:r>
      <w:r w:rsidRPr="006C40C1">
        <w:t>medlen uppnås genom att kol</w:t>
      </w:r>
      <w:r w:rsidRPr="006C40C1">
        <w:softHyphen/>
        <w:t>dioxidskatten ges en ökad tyngd vid energibeskattningen, något som ingår i strategin för en grön skatteväxling. Utskottet avstyrker motionsyrkandena.</w:t>
      </w:r>
    </w:p>
    <w:p w:rsidR="00AA5D77" w:rsidRPr="006C40C1" w:rsidRDefault="00AA5D77">
      <w:pPr>
        <w:pStyle w:val="R4"/>
      </w:pPr>
      <w:bookmarkStart w:id="499" w:name="_Toc24531785"/>
      <w:bookmarkStart w:id="500" w:name="_Toc25055328"/>
      <w:r w:rsidRPr="006C40C1">
        <w:t>Finansutskottets ställningstagande</w:t>
      </w:r>
    </w:p>
    <w:p w:rsidR="00AA5D77" w:rsidRPr="006C40C1" w:rsidRDefault="00AA5D77">
      <w:r w:rsidRPr="006C40C1">
        <w:t>Finansutskottet delar skatteutskottets bedömning och avstyrker motion Fi256 (kd) yrka</w:t>
      </w:r>
      <w:r w:rsidRPr="006C40C1">
        <w:t>n</w:t>
      </w:r>
      <w:r w:rsidRPr="006C40C1">
        <w:softHyphen/>
        <w:t>dena 30 och 31.</w:t>
      </w:r>
    </w:p>
    <w:p w:rsidR="00AA5D77" w:rsidRPr="006C40C1" w:rsidRDefault="00AA5D77">
      <w:pPr>
        <w:pStyle w:val="Utskottetsvervganden-RubrikFrslagspunkt"/>
      </w:pPr>
      <w:bookmarkStart w:id="501" w:name="_Toc25411176"/>
      <w:bookmarkStart w:id="502" w:name="_Toc26191500"/>
      <w:r w:rsidRPr="006C40C1">
        <w:t>3.7.10 Skatten på drivmedel, m.m.</w:t>
      </w:r>
      <w:bookmarkEnd w:id="499"/>
      <w:bookmarkEnd w:id="500"/>
      <w:bookmarkEnd w:id="501"/>
      <w:bookmarkEnd w:id="502"/>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sänkta skatter på driv</w:t>
      </w:r>
      <w:r w:rsidRPr="006C40C1">
        <w:softHyphen/>
        <w:t>m</w:t>
      </w:r>
      <w:r w:rsidRPr="006C40C1">
        <w:t>e</w:t>
      </w:r>
      <w:r w:rsidRPr="006C40C1">
        <w:t>del, veteranlastbilar och veteranfartyg.</w:t>
      </w:r>
    </w:p>
    <w:p w:rsidR="00AA5D77" w:rsidRPr="006C40C1" w:rsidRDefault="00AA5D77">
      <w:pPr>
        <w:pStyle w:val="Utskottsfrslagikorthet-Text"/>
      </w:pPr>
      <w:r w:rsidRPr="006C40C1">
        <w:t xml:space="preserve">  Jämför reservationerna 8 (m) och 10 (kd).</w:t>
      </w:r>
    </w:p>
    <w:p w:rsidR="00AA5D77" w:rsidRPr="006C40C1" w:rsidRDefault="00AA5D77">
      <w:pPr>
        <w:pStyle w:val="R4"/>
      </w:pPr>
      <w:r w:rsidRPr="006C40C1">
        <w:t>Motioner</w:t>
      </w:r>
    </w:p>
    <w:p w:rsidR="00AA5D77" w:rsidRPr="006C40C1" w:rsidRDefault="00AA5D77">
      <w:r w:rsidRPr="006C40C1">
        <w:rPr>
          <w:i/>
        </w:rPr>
        <w:t>Moderata</w:t>
      </w:r>
      <w:r w:rsidRPr="006C40C1">
        <w:t xml:space="preserve"> </w:t>
      </w:r>
      <w:r w:rsidRPr="006C40C1">
        <w:rPr>
          <w:i/>
        </w:rPr>
        <w:t>samlingspartiet</w:t>
      </w:r>
      <w:r w:rsidRPr="006C40C1">
        <w:t xml:space="preserve"> föreslår att skatten på bensin och diesel sänks med 70 öre per liter inklusive moms den 1 januari 2003. Sådana yrkanden fra</w:t>
      </w:r>
      <w:r w:rsidRPr="006C40C1">
        <w:t>m</w:t>
      </w:r>
      <w:r w:rsidRPr="006C40C1">
        <w:softHyphen/>
        <w:t>ställs i motion Fi287 yrkande 14 av Lennart Hedquist m.fl. (m) och N304 yrkande 4 delvis av Mikael Odenberg m.fl. (m).</w:t>
      </w:r>
    </w:p>
    <w:p w:rsidR="00AA5D77" w:rsidRPr="006C40C1" w:rsidRDefault="00AA5D77">
      <w:pPr>
        <w:pStyle w:val="Normaltindrag"/>
      </w:pPr>
      <w:r w:rsidRPr="006C40C1">
        <w:rPr>
          <w:i/>
        </w:rPr>
        <w:t>Kristdemokraterna</w:t>
      </w:r>
      <w:r w:rsidRPr="006C40C1">
        <w:t xml:space="preserve"> föreslår att skatten på diesel sänks med 31 öre per liter inklusive moms för att underlätta för de svenska åkerierna och att skatten på bensin sänks med 31 öre per liter inklusive moms i stödområde A. Motion</w:t>
      </w:r>
      <w:r w:rsidRPr="006C40C1">
        <w:t>ä</w:t>
      </w:r>
      <w:r w:rsidRPr="006C40C1">
        <w:softHyphen/>
        <w:t>rerna anför att det är rimligt att ta ut en lägre skatt på bensin i de områden där avstånden är längre. Yrkandena framställs i motionerna Fi256 yrkandena 17 och 18 av Alf Svensson m.fl. (kd), Sk383 yrkandena 8 och 9 av Per Landgren m.fl. (kd) och N307 yrkande 3 av Sven Gunnar Persson m.fl. (kd).</w:t>
      </w:r>
    </w:p>
    <w:p w:rsidR="00AA5D77" w:rsidRPr="006C40C1" w:rsidRDefault="00AA5D77">
      <w:pPr>
        <w:pStyle w:val="Normaltindrag"/>
      </w:pPr>
      <w:r w:rsidRPr="006C40C1">
        <w:t>I mot</w:t>
      </w:r>
      <w:r w:rsidRPr="006C40C1">
        <w:t>ion Fi227 av Ulla Löfgren och Elisabeth Nyström (m) anför motion</w:t>
      </w:r>
      <w:r w:rsidRPr="006C40C1">
        <w:t>ä</w:t>
      </w:r>
      <w:r w:rsidRPr="006C40C1">
        <w:softHyphen/>
        <w:t xml:space="preserve">rerna att gamla bilar är befriade från fordonsskatt när de uppnår veteranålder, och motionärerna föreslår en motsvarande befrielse från dieselskatt för fartyg som är 50 år eller äldre. </w:t>
      </w:r>
    </w:p>
    <w:p w:rsidR="00AA5D77" w:rsidRPr="006C40C1" w:rsidRDefault="00AA5D77">
      <w:pPr>
        <w:pStyle w:val="Normaltindrag"/>
      </w:pPr>
      <w:r w:rsidRPr="006C40C1">
        <w:t>I motion MJ377 yrkande 2 av Lars Gustafsson m.fl. (kd) föreslås att det u</w:t>
      </w:r>
      <w:r w:rsidRPr="006C40C1">
        <w:t>t</w:t>
      </w:r>
      <w:r w:rsidRPr="006C40C1">
        <w:t>reds om veteranlastbilar kan befrias från vägavgifter och fordonsskatt när de inte regelmässigt går i yrkesmässig trafik.</w:t>
      </w:r>
    </w:p>
    <w:p w:rsidR="00AA5D77" w:rsidRPr="006C40C1" w:rsidRDefault="00AA5D77">
      <w:pPr>
        <w:pStyle w:val="R4"/>
      </w:pPr>
      <w:r w:rsidRPr="006C40C1">
        <w:t>Skatteutskottets yttrande</w:t>
      </w:r>
    </w:p>
    <w:p w:rsidR="00AA5D77" w:rsidRPr="006C40C1" w:rsidRDefault="00AA5D77">
      <w:r w:rsidRPr="006C40C1">
        <w:t>Skatteutskottet anför i sitt yttrande att skatterna på bl.a. bensin och diesel utgör viktiga styr</w:t>
      </w:r>
      <w:r w:rsidRPr="006C40C1">
        <w:softHyphen/>
        <w:t>medel i miljöpolitiken som syftar till att minska utsläppen av koldioxid och andra växthusgaser. Utskottet konstaterar att regeringen på sikt avser (avsnitt 8.4.1.1) att verka för att inslaget av rörliga skatter i vägtrafikb</w:t>
      </w:r>
      <w:r w:rsidRPr="006C40C1">
        <w:t>e</w:t>
      </w:r>
      <w:r w:rsidRPr="006C40C1">
        <w:t>skattningen ökar och att regeringen anser att det är viktigt att bensin och dieselolja för privat bruk beskattas på ett likartat sätt. Regeringen avvaktar dock den pågå</w:t>
      </w:r>
      <w:r w:rsidRPr="006C40C1">
        <w:softHyphen/>
        <w:t>ende Vägtrafikskatteutredningens förslag om förändringar av drivmedels</w:t>
      </w:r>
      <w:r w:rsidRPr="006C40C1">
        <w:softHyphen/>
        <w:t>skatten och utredningens analys om för- och na</w:t>
      </w:r>
      <w:r w:rsidRPr="006C40C1">
        <w:t>ckdelar med en kilometerskatt. Utskottet ser inga skäl att sänka skatten på bensin och diesel, och detta gäller även för äldre fartyg i privat bruk. Utskottet avstyrker således motionsyrkandena om sänkta drivmedelsskatter.</w:t>
      </w:r>
    </w:p>
    <w:p w:rsidR="00AA5D77" w:rsidRPr="006C40C1" w:rsidRDefault="00AA5D77">
      <w:pPr>
        <w:pStyle w:val="Normaltindrag"/>
      </w:pPr>
      <w:r w:rsidRPr="006C40C1">
        <w:t>Veteranlastbilar är enligt vad som anförs i skatteutskottets yttrande redan befriade från fordonsskatt och vägavgifter om de inte används kommersiellt. Skatteutskottet avstyrker därför motionsyrkandet om en utredning med denna inriktning.</w:t>
      </w:r>
    </w:p>
    <w:p w:rsidR="00AA5D77" w:rsidRPr="006C40C1" w:rsidRDefault="00AA5D77">
      <w:pPr>
        <w:pStyle w:val="R4"/>
      </w:pPr>
      <w:bookmarkStart w:id="503" w:name="_Toc24531786"/>
      <w:bookmarkStart w:id="504" w:name="_Toc25055329"/>
      <w:r w:rsidRPr="006C40C1">
        <w:t>Finansutskottets ställningstagande</w:t>
      </w:r>
    </w:p>
    <w:p w:rsidR="00AA5D77" w:rsidRPr="006C40C1" w:rsidRDefault="00AA5D77">
      <w:r w:rsidRPr="006C40C1">
        <w:t xml:space="preserve">Finansutskottet delar skatteutskottets bedömning och avstyrker motionerna Fi227 (m), Fi256 (kd) yrkandena 17 och 18, Fi287 (m) yrkande 14, Sk383 (kd) yrkandena 8 och 9, MJ377 (kd) yrkande 2, N304 (m) yrkande 4 delvis och N307 (kd) yrkande 3. </w:t>
      </w:r>
    </w:p>
    <w:p w:rsidR="00AA5D77" w:rsidRPr="006C40C1" w:rsidRDefault="00AA5D77">
      <w:pPr>
        <w:pStyle w:val="Utskottetsvervganden-RubrikFrslagspunkt"/>
      </w:pPr>
      <w:bookmarkStart w:id="505" w:name="_Toc25411177"/>
      <w:bookmarkStart w:id="506" w:name="_Toc26191501"/>
      <w:r w:rsidRPr="006C40C1">
        <w:t>3.7.11 Kärnkraftsproducerad el</w:t>
      </w:r>
      <w:bookmarkEnd w:id="503"/>
      <w:bookmarkEnd w:id="504"/>
      <w:bookmarkEnd w:id="505"/>
      <w:bookmarkEnd w:id="506"/>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en sänkning av skatten på kärnkraftverk och en övergång från effektskatt till skatt på produc</w:t>
      </w:r>
      <w:r w:rsidRPr="006C40C1">
        <w:t>e</w:t>
      </w:r>
      <w:r w:rsidRPr="006C40C1">
        <w:softHyphen/>
        <w:t>rad energi.</w:t>
      </w:r>
    </w:p>
    <w:p w:rsidR="00AA5D77" w:rsidRPr="006C40C1" w:rsidRDefault="00AA5D77">
      <w:pPr>
        <w:pStyle w:val="Utskottsfrslagikorthet-Text"/>
      </w:pPr>
      <w:r w:rsidRPr="006C40C1">
        <w:t xml:space="preserve">  Jämför reservation 8 (m).</w:t>
      </w:r>
    </w:p>
    <w:p w:rsidR="00AA5D77" w:rsidRPr="006C40C1" w:rsidRDefault="00AA5D77">
      <w:pPr>
        <w:pStyle w:val="R4"/>
      </w:pPr>
      <w:r w:rsidRPr="006C40C1">
        <w:t>Bakgrund</w:t>
      </w:r>
    </w:p>
    <w:p w:rsidR="00AA5D77" w:rsidRPr="006C40C1" w:rsidRDefault="00AA5D77">
      <w:r w:rsidRPr="006C40C1">
        <w:t>Skatt på termisk effekt i kärnkraftverk tas ut månadsvis med 5 514 kr per megawatt – motsvarande ca 181 kr per megawatt och dygn – av kärnkrafts</w:t>
      </w:r>
      <w:r w:rsidRPr="006C40C1">
        <w:softHyphen/>
        <w:t>reaktorns högsta tillåtna termiska effekt. Om en reaktor har varit ur drift u</w:t>
      </w:r>
      <w:r w:rsidRPr="006C40C1">
        <w:t>n</w:t>
      </w:r>
      <w:r w:rsidRPr="006C40C1">
        <w:t>der en sammanhängande period av mer än 90 kalenderdygn, får för varje dygn utöver de 90 första göras avdrag med 181 kr per megawatt av den ter</w:t>
      </w:r>
      <w:r w:rsidRPr="006C40C1">
        <w:softHyphen/>
        <w:t>miska effekten. Skatten ersatte fr.o.m. den 1 juli 2000 en tidigare skatt på energi som producerats i kärnkraftverk.</w:t>
      </w:r>
    </w:p>
    <w:p w:rsidR="00AA5D77" w:rsidRPr="006C40C1" w:rsidRDefault="00AA5D77">
      <w:pPr>
        <w:pStyle w:val="R4"/>
      </w:pPr>
      <w:r w:rsidRPr="006C40C1">
        <w:t>Motion</w:t>
      </w:r>
    </w:p>
    <w:p w:rsidR="00AA5D77" w:rsidRPr="006C40C1" w:rsidRDefault="00AA5D77">
      <w:r w:rsidRPr="006C40C1">
        <w:t xml:space="preserve">I </w:t>
      </w:r>
      <w:r w:rsidRPr="006C40C1">
        <w:rPr>
          <w:i/>
        </w:rPr>
        <w:t>Moderata</w:t>
      </w:r>
      <w:r w:rsidRPr="006C40C1">
        <w:t xml:space="preserve"> </w:t>
      </w:r>
      <w:r w:rsidRPr="006C40C1">
        <w:rPr>
          <w:i/>
        </w:rPr>
        <w:t>samlingspartiets</w:t>
      </w:r>
      <w:r w:rsidRPr="006C40C1">
        <w:t xml:space="preserve"> motion Fi287 yrkandena 15 och 16 av Lennart Hedquist m.fl. (m) anför motionärerna att miljöskatter ska tas ut i produ</w:t>
      </w:r>
      <w:r w:rsidRPr="006C40C1">
        <w:t>k</w:t>
      </w:r>
      <w:r w:rsidRPr="006C40C1">
        <w:softHyphen/>
        <w:t>tionsledet medan energiskatter ska tas ut i konsumentledet. Då erhålls en konkurrensneutral beskattning mellan olika energiproducenter och mellan olika bränslen. Skatten på kärnkraftsproducerad el bryter mot denna princip och bör på sikt tas bort. Motionärerna föreslår att skatten sänks med 0,5 öre per kWh 2003. De föreslår vidare att den omvandlas från en effektsk</w:t>
      </w:r>
      <w:r w:rsidRPr="006C40C1">
        <w:t xml:space="preserve">att till en skatt på producerad energi. </w:t>
      </w:r>
    </w:p>
    <w:p w:rsidR="00AA5D77" w:rsidRPr="006C40C1" w:rsidRDefault="00AA5D77">
      <w:pPr>
        <w:pStyle w:val="R4"/>
      </w:pPr>
      <w:r w:rsidRPr="006C40C1">
        <w:t>Skatteutskottets yttrande</w:t>
      </w:r>
    </w:p>
    <w:p w:rsidR="00AA5D77" w:rsidRPr="006C40C1" w:rsidRDefault="00AA5D77">
      <w:r w:rsidRPr="006C40C1">
        <w:t>Skatteutskottet är inte berett att sänka skatten på kärnkraftverk och anför att omläggningen till den nuvarande effektskatten för kärnkraftverk genomförts under år 2000 för att minska risken för snedvridningar inom elproduktionss</w:t>
      </w:r>
      <w:r w:rsidRPr="006C40C1">
        <w:t>y</w:t>
      </w:r>
      <w:r w:rsidRPr="006C40C1">
        <w:t>stemet. Utskottet är inte berett att tillstyrka en återgång till den tidigare b</w:t>
      </w:r>
      <w:r w:rsidRPr="006C40C1">
        <w:t>e</w:t>
      </w:r>
      <w:r w:rsidRPr="006C40C1">
        <w:t>skatt</w:t>
      </w:r>
      <w:r w:rsidRPr="006C40C1">
        <w:softHyphen/>
        <w:t>ningstekn</w:t>
      </w:r>
      <w:r w:rsidRPr="006C40C1">
        <w:t>i</w:t>
      </w:r>
      <w:r w:rsidRPr="006C40C1">
        <w:t>ken. Utskottet avstyrker motionsyrkandena.</w:t>
      </w:r>
    </w:p>
    <w:p w:rsidR="00AA5D77" w:rsidRPr="006C40C1" w:rsidRDefault="00AA5D77">
      <w:pPr>
        <w:pStyle w:val="R4"/>
      </w:pPr>
      <w:bookmarkStart w:id="507" w:name="_Toc24531787"/>
      <w:bookmarkStart w:id="508" w:name="_Toc25055330"/>
      <w:r w:rsidRPr="006C40C1">
        <w:t>Finansutskottets ställningstagande</w:t>
      </w:r>
    </w:p>
    <w:p w:rsidR="00AA5D77" w:rsidRPr="006C40C1" w:rsidRDefault="00AA5D77">
      <w:r w:rsidRPr="006C40C1">
        <w:t xml:space="preserve">Finansutskottet delar skatteutskottets bedömning och avstyrker motion Fi287 (m) yrkandena 15 och 16. </w:t>
      </w:r>
    </w:p>
    <w:p w:rsidR="00AA5D77" w:rsidRPr="006C40C1" w:rsidRDefault="00AA5D77">
      <w:pPr>
        <w:pStyle w:val="Utskottetsvervganden-RubrikFrslagspunkt"/>
      </w:pPr>
      <w:bookmarkStart w:id="509" w:name="_Toc25411178"/>
      <w:bookmarkStart w:id="510" w:name="_Toc26191502"/>
      <w:r w:rsidRPr="006C40C1">
        <w:t>3.7.12 Grön skatteväxling – höjd avfallsskatt</w:t>
      </w:r>
      <w:bookmarkEnd w:id="507"/>
      <w:bookmarkEnd w:id="508"/>
      <w:bookmarkEnd w:id="509"/>
      <w:bookmarkEnd w:id="510"/>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om höjd avfallsskatt m.m. och tillstyrker motionsförslaget om ett tillkännagivande angående den fortsatta analysen av en skatt på förbränning av osorterat a</w:t>
      </w:r>
      <w:r w:rsidRPr="006C40C1">
        <w:t>v</w:t>
      </w:r>
      <w:r w:rsidRPr="006C40C1">
        <w:t xml:space="preserve">fall. </w:t>
      </w:r>
    </w:p>
    <w:p w:rsidR="00AA5D77" w:rsidRPr="006C40C1" w:rsidRDefault="00AA5D77">
      <w:pPr>
        <w:pStyle w:val="Utskottsfrslagikorthet-Text"/>
      </w:pPr>
      <w:r w:rsidRPr="006C40C1">
        <w:t xml:space="preserve">  Jämför reservationerna 9 (fp) och 11 (c).</w:t>
      </w:r>
    </w:p>
    <w:p w:rsidR="00AA5D77" w:rsidRPr="006C40C1" w:rsidRDefault="00AA5D77">
      <w:pPr>
        <w:pStyle w:val="R4"/>
      </w:pPr>
      <w:r w:rsidRPr="006C40C1">
        <w:t>Budgetpropositionen</w:t>
      </w:r>
    </w:p>
    <w:p w:rsidR="00AA5D77" w:rsidRPr="006C40C1" w:rsidRDefault="00AA5D77">
      <w:r w:rsidRPr="006C40C1">
        <w:t>Regeringen föreslår (avsnitten 8.4.1.4 och 8.4.4, punkt 34) att skatten på avfall som deponeras höjs från 288 till 370 kr per ton avfall. Vidare föreslås att avdrag för skatt på avfall som är avsett för sluttäckning inom en avfalls</w:t>
      </w:r>
      <w:r w:rsidRPr="006C40C1">
        <w:softHyphen/>
        <w:t>anläggning ska medges redan när avfallet förs in till en skattepliktig anläg</w:t>
      </w:r>
      <w:r w:rsidRPr="006C40C1">
        <w:t>g</w:t>
      </w:r>
      <w:r w:rsidRPr="006C40C1">
        <w:softHyphen/>
        <w:t>ning, om det förvaras skilt från övrigt avfall och utgörs av jord, grus, lera, skiffer, kalkstoft, kalksten eller annan sten. Ändringen träder i kraft den 1 januari 2003.</w:t>
      </w:r>
    </w:p>
    <w:p w:rsidR="00AA5D77" w:rsidRPr="006C40C1" w:rsidRDefault="00AA5D77">
      <w:pPr>
        <w:pStyle w:val="Normaltindrag"/>
      </w:pPr>
      <w:r w:rsidRPr="006C40C1">
        <w:t>Regeringen anför att höjningen ger både enskilda, kommuner och prod</w:t>
      </w:r>
      <w:r w:rsidRPr="006C40C1">
        <w:t>u</w:t>
      </w:r>
      <w:r w:rsidRPr="006C40C1">
        <w:softHyphen/>
        <w:t>center ett ökat ekonomiskt incitament att minska mängden avfall som depon</w:t>
      </w:r>
      <w:r w:rsidRPr="006C40C1">
        <w:t>e</w:t>
      </w:r>
      <w:r w:rsidRPr="006C40C1">
        <w:softHyphen/>
        <w:t xml:space="preserve">ras. Skattehöjningen, som är ett led i den gröna skatteväxlingen, ligger i linje med den avfallsstrategi som utvecklats inom EU och som primärt syftar till att styra bort mängden avfall från deponering genom minskning av mängden avfall och en ökad grad av återanvändning och återvinning. </w:t>
      </w:r>
    </w:p>
    <w:p w:rsidR="00AA5D77" w:rsidRPr="006C40C1" w:rsidRDefault="00AA5D77">
      <w:pPr>
        <w:pStyle w:val="R4"/>
      </w:pPr>
      <w:r w:rsidRPr="006C40C1">
        <w:t>Motioner</w:t>
      </w:r>
    </w:p>
    <w:p w:rsidR="00AA5D77" w:rsidRPr="006C40C1" w:rsidRDefault="00AA5D77">
      <w:r w:rsidRPr="006C40C1">
        <w:t>I motion Fi230 yrkande 15 av Britt Bohlin m.fl. (s, v, mp) anför motionärerna att höjningen av avfallsskatten aktualiserar en skatt på förbränning av avfall för att få en utveckling som mer överensstämmer med strategin på avfallso</w:t>
      </w:r>
      <w:r w:rsidRPr="006C40C1">
        <w:t>m</w:t>
      </w:r>
      <w:r w:rsidRPr="006C40C1">
        <w:softHyphen/>
        <w:t xml:space="preserve">rådet. Frågan om en skatt på avfallsförbränning bör bli föremål för en fortsatt analys som möjliggör ett slutligt ställningstagande i samband med den till våren 2003 planerade kretsloppspropositionen. </w:t>
      </w:r>
    </w:p>
    <w:p w:rsidR="00AA5D77" w:rsidRPr="006C40C1" w:rsidRDefault="00AA5D77">
      <w:pPr>
        <w:pStyle w:val="Normaltindrag"/>
      </w:pPr>
      <w:r w:rsidRPr="006C40C1">
        <w:t xml:space="preserve">I </w:t>
      </w:r>
      <w:r w:rsidRPr="006C40C1">
        <w:rPr>
          <w:i/>
        </w:rPr>
        <w:t>Centerpartiets</w:t>
      </w:r>
      <w:r w:rsidRPr="006C40C1">
        <w:t xml:space="preserve"> motion Fi286 yrkande 27 av Maud Olofsson m.fl. (c) a</w:t>
      </w:r>
      <w:r w:rsidRPr="006C40C1">
        <w:t>n</w:t>
      </w:r>
      <w:r w:rsidRPr="006C40C1">
        <w:t>för motionärerna att förbränningen av osorterat avfall ökar, och de föreslår att en skatt på förbränning av osorterat avfall införs för att säkerställa målet om minskade avfallsmängder.</w:t>
      </w:r>
    </w:p>
    <w:p w:rsidR="00AA5D77" w:rsidRPr="006C40C1" w:rsidRDefault="00AA5D77">
      <w:pPr>
        <w:pStyle w:val="R4"/>
      </w:pPr>
      <w:r w:rsidRPr="006C40C1">
        <w:t>Skatteutskottets yttrande</w:t>
      </w:r>
    </w:p>
    <w:p w:rsidR="00AA5D77" w:rsidRPr="006C40C1" w:rsidRDefault="00AA5D77">
      <w:r w:rsidRPr="006C40C1">
        <w:t>Skatteutskottet har inte funnit någon anledning till erinran mot förslaget om höjd skatt på avfall och om avdrag för sluttäckningsmaterial och tillstyrker därför dessa förslag. Utskottet delar motionärernas inställning när det gäller en fortsatt analys av frågan om en skatt på förbränning av osorterat avfall men utgår ifrån att regeringen redovisar en sådan analys utan något särskilt til</w:t>
      </w:r>
      <w:r w:rsidRPr="006C40C1">
        <w:t>l</w:t>
      </w:r>
      <w:r w:rsidRPr="006C40C1">
        <w:t>kännagivande från riksdagens sida och avstyrker därför motionsyrkandet. Förslaget om ett omedelbart beslut om att införa en sådan skatt avstyrks oc</w:t>
      </w:r>
      <w:r w:rsidRPr="006C40C1">
        <w:t>k</w:t>
      </w:r>
      <w:r w:rsidRPr="006C40C1">
        <w:t>så.</w:t>
      </w:r>
    </w:p>
    <w:p w:rsidR="00AA5D77" w:rsidRPr="006C40C1" w:rsidRDefault="00AA5D77">
      <w:pPr>
        <w:pStyle w:val="R4"/>
      </w:pPr>
      <w:bookmarkStart w:id="511" w:name="_Toc24531788"/>
      <w:bookmarkStart w:id="512" w:name="_Toc25055331"/>
      <w:r w:rsidRPr="006C40C1">
        <w:t>Finansutskottets ställningstagande</w:t>
      </w:r>
    </w:p>
    <w:p w:rsidR="00AA5D77" w:rsidRPr="006C40C1" w:rsidRDefault="00AA5D77">
      <w:r w:rsidRPr="006C40C1">
        <w:t>Finansutskottet finner i likhet med skatteutskottet inte någon anledning till erinran mot förslaget om höjd skatt på avfall och om avdrag för sluttäc</w:t>
      </w:r>
      <w:r w:rsidRPr="006C40C1">
        <w:t>k</w:t>
      </w:r>
      <w:r w:rsidRPr="006C40C1">
        <w:t>ningsmaterial och tillstyrker därför propositionen i denna del. Utskottet i</w:t>
      </w:r>
      <w:r w:rsidRPr="006C40C1">
        <w:t>n</w:t>
      </w:r>
      <w:r w:rsidRPr="006C40C1">
        <w:t xml:space="preserve">stämmer också i skatteutskottets bedömning när det gäller motionsförslaget om att riksdagen nu ska fatta beslut om att införa en skatt på förbränning av osorterat avfall. </w:t>
      </w:r>
    </w:p>
    <w:p w:rsidR="00AA5D77" w:rsidRPr="006C40C1" w:rsidRDefault="00AA5D77">
      <w:pPr>
        <w:pStyle w:val="Normaltindrag"/>
      </w:pPr>
      <w:r w:rsidRPr="006C40C1">
        <w:t>I likhet med skatteutskottet anser finansutskottet att det finns anledning att analysera frågan om skatt på förbränning av osorterat avfall.</w:t>
      </w:r>
    </w:p>
    <w:p w:rsidR="00AA5D77" w:rsidRPr="006C40C1" w:rsidRDefault="00AA5D77">
      <w:pPr>
        <w:pStyle w:val="Normaltindrag"/>
      </w:pPr>
      <w:r w:rsidRPr="006C40C1">
        <w:t>Sveriges strategi för att minska de miljöproblem som är förknippade med produ</w:t>
      </w:r>
      <w:r w:rsidRPr="006C40C1">
        <w:t>k</w:t>
      </w:r>
      <w:r w:rsidRPr="006C40C1">
        <w:t>tion och hantering av avfall innehåller en prioritering, den s.k. avfalls</w:t>
      </w:r>
      <w:r w:rsidRPr="006C40C1">
        <w:softHyphen/>
        <w:t>strategin. I första hand ska produktionen av avfall minskas och i andra hand ska återanvän</w:t>
      </w:r>
      <w:r w:rsidRPr="006C40C1">
        <w:t>d</w:t>
      </w:r>
      <w:r w:rsidRPr="006C40C1">
        <w:t>ning och materialåtervinning väljas. Först därefter ska för</w:t>
      </w:r>
      <w:r w:rsidRPr="006C40C1">
        <w:softHyphen/>
        <w:t>bränning eller energiåte</w:t>
      </w:r>
      <w:r w:rsidRPr="006C40C1">
        <w:t>r</w:t>
      </w:r>
      <w:r w:rsidRPr="006C40C1">
        <w:t xml:space="preserve">vinning och i sista hand deponi användas. </w:t>
      </w:r>
    </w:p>
    <w:p w:rsidR="00AA5D77" w:rsidRPr="006C40C1" w:rsidRDefault="00AA5D77">
      <w:pPr>
        <w:pStyle w:val="Normaltindrag"/>
      </w:pPr>
      <w:r w:rsidRPr="006C40C1">
        <w:t>Det är enligt utskottets mening angeläget att beskattningen av avfall får en utformning som resulterar i en miljömässigt motiverad balans mellan altern</w:t>
      </w:r>
      <w:r w:rsidRPr="006C40C1">
        <w:t>a</w:t>
      </w:r>
      <w:r w:rsidRPr="006C40C1">
        <w:softHyphen/>
        <w:t>tiven som ingår i avfallsstrategin. Ett problem med en ensidig höjning av skatten på deponi kan vara att avfallsförbränning gynnas i alltför stor u</w:t>
      </w:r>
      <w:r w:rsidRPr="006C40C1">
        <w:t>t</w:t>
      </w:r>
      <w:r w:rsidRPr="006C40C1">
        <w:t>sträckning. Alternativ som återanvändning, materialåtervinning och biolo</w:t>
      </w:r>
      <w:r w:rsidRPr="006C40C1">
        <w:softHyphen/>
        <w:t xml:space="preserve">gisk behandling som har högre prioritet i avfallshierarkin kan därmed få svårt att konkurrera. </w:t>
      </w:r>
    </w:p>
    <w:p w:rsidR="00AA5D77" w:rsidRPr="006C40C1" w:rsidRDefault="00AA5D77">
      <w:pPr>
        <w:pStyle w:val="Normaltindrag"/>
      </w:pPr>
      <w:r w:rsidRPr="006C40C1">
        <w:t>För närvarande byggs kapaciteten för avfallsförbränning ut mycket snabbt. Detta medför miljöproblem med framför allt stora askmängder och kondensat som måste deponeras. För att få en utveckling</w:t>
      </w:r>
      <w:r w:rsidRPr="006C40C1">
        <w:t xml:space="preserve"> som mer överensstämmer med strategin på avfallsområdet och som ger en miljömässigt motiverad balans mellan olika alternativ anser utskottet att en skatt på avfallsförbränning bör bli föremål för en fortsatt analys för att möjliggöra ett slutligt ställnings</w:t>
      </w:r>
      <w:r w:rsidRPr="006C40C1">
        <w:softHyphen/>
        <w:t>tagande till en förbränning</w:t>
      </w:r>
      <w:r w:rsidRPr="006C40C1">
        <w:t>s</w:t>
      </w:r>
      <w:r w:rsidRPr="006C40C1">
        <w:t>skatt och dess nivå.</w:t>
      </w:r>
    </w:p>
    <w:p w:rsidR="00AA5D77" w:rsidRPr="006C40C1" w:rsidRDefault="00AA5D77">
      <w:pPr>
        <w:pStyle w:val="Normaltindrag"/>
      </w:pPr>
      <w:r w:rsidRPr="006C40C1">
        <w:t>Avfallsskatteutredningen (SOU 2002:9), som analyserade frågan men som inte hade som uppgift att presentera ett förslag till förbränningsskatt, har varit ute på remiss. Utredningen, remissvaren samt prisutv</w:t>
      </w:r>
      <w:r w:rsidRPr="006C40C1">
        <w:t xml:space="preserve">ecklingen på olika typer av behandling av avfall bör beaktas vid analysen av den nivå på skatten som kan anses mest lämplig för att avfallsstrategin ska kunna förverkligas. Till våren 2003 förbereds en kretsloppsproposition som kommer att innehålla förslag som syftar till att nå de miljömål som riksdagen antagit. </w:t>
      </w:r>
    </w:p>
    <w:p w:rsidR="00AA5D77" w:rsidRPr="006C40C1" w:rsidRDefault="00AA5D77">
      <w:pPr>
        <w:pStyle w:val="Normaltindrag"/>
      </w:pPr>
      <w:r w:rsidRPr="006C40C1">
        <w:t xml:space="preserve">Frågan om avfallsskatt bör enligt utskottets mening behandlas i samband med kretsloppspropositionen. </w:t>
      </w:r>
    </w:p>
    <w:p w:rsidR="00AA5D77" w:rsidRPr="006C40C1" w:rsidRDefault="00AA5D77">
      <w:pPr>
        <w:pStyle w:val="Normaltindrag"/>
      </w:pPr>
      <w:r w:rsidRPr="006C40C1">
        <w:t>Det anförda bör riksdagen som sin mening ge regeringen till känna.</w:t>
      </w:r>
    </w:p>
    <w:p w:rsidR="00AA5D77" w:rsidRPr="006C40C1" w:rsidRDefault="00AA5D77">
      <w:pPr>
        <w:pStyle w:val="Normaltindrag"/>
      </w:pPr>
      <w:r w:rsidRPr="006C40C1">
        <w:t>Med det anförda tillstyrker utskottet propositionen punkt 34 och motion Fi230 (s, v, mp) yrkande 15. Motion Fi286 (c) yrkande 27 avstyrks av u</w:t>
      </w:r>
      <w:r w:rsidRPr="006C40C1">
        <w:t>t</w:t>
      </w:r>
      <w:r w:rsidRPr="006C40C1">
        <w:t>skottet.</w:t>
      </w:r>
    </w:p>
    <w:p w:rsidR="00AA5D77" w:rsidRPr="006C40C1" w:rsidRDefault="00AA5D77">
      <w:pPr>
        <w:pStyle w:val="Utskottetsvervganden-RubrikFrslagspunkt"/>
      </w:pPr>
      <w:bookmarkStart w:id="513" w:name="_Toc25411179"/>
      <w:bookmarkStart w:id="514" w:name="_Toc26191503"/>
      <w:r w:rsidRPr="006C40C1">
        <w:t>3.7.13 Grön skatteväxling – höjd naturgrusskatt</w:t>
      </w:r>
      <w:bookmarkEnd w:id="511"/>
      <w:bookmarkEnd w:id="512"/>
      <w:bookmarkEnd w:id="513"/>
      <w:bookmarkEnd w:id="514"/>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 xml:space="preserve">Utskottet tillstyrker regeringens förslag om höjd naturgrusskatt och motionsförslaget om ett tillkännagivande om behovet av ytterligare höjningar. </w:t>
      </w:r>
    </w:p>
    <w:p w:rsidR="00AA5D77" w:rsidRPr="006C40C1" w:rsidRDefault="00AA5D77">
      <w:pPr>
        <w:pStyle w:val="Utskottsfrslagikorthet-Text"/>
      </w:pPr>
      <w:r w:rsidRPr="006C40C1">
        <w:t xml:space="preserve">  Jämför reservation 8 (m).</w:t>
      </w:r>
    </w:p>
    <w:p w:rsidR="00AA5D77" w:rsidRPr="006C40C1" w:rsidRDefault="00AA5D77">
      <w:pPr>
        <w:pStyle w:val="R4"/>
      </w:pPr>
      <w:r w:rsidRPr="006C40C1">
        <w:t>Budgetpropositionen</w:t>
      </w:r>
    </w:p>
    <w:p w:rsidR="00AA5D77" w:rsidRPr="006C40C1" w:rsidRDefault="00AA5D77">
      <w:r w:rsidRPr="006C40C1">
        <w:t>Regeringen föreslår (avsnitt 8.4.1.5, punkt 35) att skatten på naturgrus höjs från 5 till 10 kr per ton naturgrus.</w:t>
      </w:r>
    </w:p>
    <w:p w:rsidR="00AA5D77" w:rsidRPr="006C40C1" w:rsidRDefault="00AA5D77">
      <w:pPr>
        <w:pStyle w:val="Normaltindrag"/>
      </w:pPr>
      <w:r w:rsidRPr="006C40C1">
        <w:t>Regeringen anför att syftet med lagen om skatt på naturgrus är att åsta</w:t>
      </w:r>
      <w:r w:rsidRPr="006C40C1">
        <w:t>d</w:t>
      </w:r>
      <w:r w:rsidRPr="006C40C1">
        <w:softHyphen/>
        <w:t>komma bättre hushållning med naturgrus och påskynda utvecklingen mot användning av alternativa material. Enligt Naturvårdsverkets bedömning skulle så mycket som 70–80 % av naturgrusprodukterna kunna ersättas med alternativa material, t.ex. bergkrossprodukter. Det är generellt sett dubbelt så dyrt att tillverka bergkrossprodukter som naturgrus. Skattesatsen har varit oförändrad sedan skatten infördes. Vid en samlad bedömning anser rege</w:t>
      </w:r>
      <w:r w:rsidRPr="006C40C1">
        <w:softHyphen/>
        <w:t>ringen att skattesatsen nu bör omprövas i syfte att uppnå större miljös</w:t>
      </w:r>
      <w:r w:rsidRPr="006C40C1">
        <w:t>tyrande effekt. Regeringen föreslår att skatten på naturgrus höjs från 5 kr till 10 kr per ton naturgrus.</w:t>
      </w:r>
    </w:p>
    <w:p w:rsidR="00AA5D77" w:rsidRPr="006C40C1" w:rsidRDefault="00AA5D77">
      <w:pPr>
        <w:pStyle w:val="R4"/>
      </w:pPr>
      <w:r w:rsidRPr="006C40C1">
        <w:t>Motioner</w:t>
      </w:r>
    </w:p>
    <w:p w:rsidR="00AA5D77" w:rsidRPr="006C40C1" w:rsidRDefault="00AA5D77">
      <w:r w:rsidRPr="006C40C1">
        <w:t>I motion Fi230 yrkande 13 av Britt Bohlin m.fl. (s, v, mp) anförs att det är osäkert om den föreslagna fördubb</w:t>
      </w:r>
      <w:r w:rsidRPr="006C40C1">
        <w:softHyphen/>
        <w:t>lingen av naturgrusskatten är tillräcklig för att reducera användningen till 12 miljoner ton per år. Regeringen bör därför senast under våren 2003 återkomma till riksdagen med det förslag på ytterl</w:t>
      </w:r>
      <w:r w:rsidRPr="006C40C1">
        <w:t>i</w:t>
      </w:r>
      <w:r w:rsidRPr="006C40C1">
        <w:t>gare höjning som behövs för att det av riksdagen uppställda målet ska nås.</w:t>
      </w:r>
    </w:p>
    <w:p w:rsidR="00AA5D77" w:rsidRPr="006C40C1" w:rsidRDefault="00AA5D77">
      <w:pPr>
        <w:pStyle w:val="Normaltindrag"/>
      </w:pPr>
      <w:r w:rsidRPr="006C40C1">
        <w:t>I motion T288 yrkande 2 av Ulla Löfgren och Anders G Högmark (m) a</w:t>
      </w:r>
      <w:r w:rsidRPr="006C40C1">
        <w:t>n</w:t>
      </w:r>
      <w:r w:rsidRPr="006C40C1">
        <w:t>förs att kostnaden för att bygga och underhålla vägar har ökat som en följd av höjd skatt på diesel, kraven på miljö</w:t>
      </w:r>
      <w:r w:rsidRPr="006C40C1">
        <w:softHyphen/>
        <w:t>konse</w:t>
      </w:r>
      <w:r w:rsidRPr="006C40C1">
        <w:softHyphen/>
        <w:t>kvens</w:t>
      </w:r>
      <w:r w:rsidRPr="006C40C1">
        <w:softHyphen/>
        <w:t>beskrivningar m.m. En öve</w:t>
      </w:r>
      <w:r w:rsidRPr="006C40C1">
        <w:t>r</w:t>
      </w:r>
      <w:r w:rsidRPr="006C40C1">
        <w:t>syn bör genomföras för att underlätta öppnandet av kommersiella natur</w:t>
      </w:r>
      <w:r w:rsidRPr="006C40C1">
        <w:softHyphen/>
        <w:t>grustäkter, dieselskatten sänkas och förslaget om en fördubbling av naturgru</w:t>
      </w:r>
      <w:r w:rsidRPr="006C40C1">
        <w:t>s</w:t>
      </w:r>
      <w:r w:rsidRPr="006C40C1">
        <w:softHyphen/>
        <w:t>skatten avslås.</w:t>
      </w:r>
    </w:p>
    <w:p w:rsidR="00AA5D77" w:rsidRPr="006C40C1" w:rsidRDefault="00AA5D77">
      <w:pPr>
        <w:pStyle w:val="R4"/>
      </w:pPr>
      <w:r w:rsidRPr="006C40C1">
        <w:t>Skatteutskottets yttrande</w:t>
      </w:r>
    </w:p>
    <w:p w:rsidR="00AA5D77" w:rsidRPr="006C40C1" w:rsidRDefault="00AA5D77">
      <w:r w:rsidRPr="006C40C1">
        <w:t>Skatteutskottet anför att naturgrusskatten är ett viktigt styrmedel när det gäller att minska naturgrusanvändningen, och utskottet har därför inte någon i</w:t>
      </w:r>
      <w:r w:rsidRPr="006C40C1">
        <w:t>n</w:t>
      </w:r>
      <w:r w:rsidRPr="006C40C1">
        <w:t>vändning mot regeringens förslag om en höjning av naturgrusskatten. U</w:t>
      </w:r>
      <w:r w:rsidRPr="006C40C1">
        <w:t>t</w:t>
      </w:r>
      <w:r w:rsidRPr="006C40C1">
        <w:t>skottet tillstyrker propositionen i denna del och avstyrker motion T288 yrka</w:t>
      </w:r>
      <w:r w:rsidRPr="006C40C1">
        <w:t>n</w:t>
      </w:r>
      <w:r w:rsidRPr="006C40C1">
        <w:t>de 2.</w:t>
      </w:r>
    </w:p>
    <w:p w:rsidR="00AA5D77" w:rsidRPr="006C40C1" w:rsidRDefault="00AA5D77">
      <w:pPr>
        <w:pStyle w:val="Normaltindrag"/>
      </w:pPr>
      <w:r w:rsidRPr="006C40C1">
        <w:t>I sitt yttrande anför skatteutskottet att det är osäkert om den f</w:t>
      </w:r>
      <w:r w:rsidRPr="006C40C1">
        <w:t>ö</w:t>
      </w:r>
      <w:r w:rsidRPr="006C40C1">
        <w:t>reslagna höj</w:t>
      </w:r>
      <w:r w:rsidRPr="006C40C1">
        <w:softHyphen/>
        <w:t>ningen är tillräcklig för att det nationella målet om ett uttag på 12 miljoner ton ska nås och att ytterligare höjningar kan behövas och troligen också andra åtgärder, t.ex. stöd till utveckling av ersättningsmaterial och ny teknik. R</w:t>
      </w:r>
      <w:r w:rsidRPr="006C40C1">
        <w:t>e</w:t>
      </w:r>
      <w:r w:rsidRPr="006C40C1">
        <w:t>geringen bör därför enligt vad som anförs senast under våren 2003 återko</w:t>
      </w:r>
      <w:r w:rsidRPr="006C40C1">
        <w:t>m</w:t>
      </w:r>
      <w:r w:rsidRPr="006C40C1">
        <w:t>ma till riksdagen med de förslag om ytterligare höjning av naturgrusskatten som kan vara motiverade för att det av riksdagen uppsatta målet ska uppnås. Utskottet utgår ifrån att det inte beh</w:t>
      </w:r>
      <w:r w:rsidRPr="006C40C1">
        <w:t>övs något särskilt tillkännagivande från riksdagen i denna del och avstyrker därför motion Fi230 (s, v, mp) yrkande 13.</w:t>
      </w:r>
    </w:p>
    <w:p w:rsidR="00AA5D77" w:rsidRPr="006C40C1" w:rsidRDefault="00AA5D77">
      <w:pPr>
        <w:pStyle w:val="R4"/>
      </w:pPr>
      <w:bookmarkStart w:id="515" w:name="_Toc24531789"/>
      <w:bookmarkStart w:id="516" w:name="_Toc25055332"/>
      <w:r w:rsidRPr="006C40C1">
        <w:t>Finansutskottets ställningstagande</w:t>
      </w:r>
    </w:p>
    <w:p w:rsidR="00AA5D77" w:rsidRPr="006C40C1" w:rsidRDefault="00AA5D77">
      <w:r w:rsidRPr="006C40C1">
        <w:t>Finansutskottet finner i likhet med skatteutskottet inte någon anledning till erinran mot förslaget om höjd naturgrusskatt och tillstyrker därför propositi</w:t>
      </w:r>
      <w:r w:rsidRPr="006C40C1">
        <w:t>o</w:t>
      </w:r>
      <w:r w:rsidRPr="006C40C1">
        <w:t>nen i denna del.</w:t>
      </w:r>
    </w:p>
    <w:p w:rsidR="00AA5D77" w:rsidRPr="006C40C1" w:rsidRDefault="00AA5D77">
      <w:pPr>
        <w:pStyle w:val="Normaltindrag"/>
      </w:pPr>
      <w:r w:rsidRPr="006C40C1">
        <w:t xml:space="preserve">I likhet med skatteutskottet anser finansutskottet att det är osäkert om den föreslagna höjningen är tillräcklig. </w:t>
      </w:r>
    </w:p>
    <w:p w:rsidR="00AA5D77" w:rsidRPr="006C40C1" w:rsidRDefault="00AA5D77">
      <w:pPr>
        <w:pStyle w:val="Normaltindrag"/>
      </w:pPr>
      <w:r w:rsidRPr="006C40C1">
        <w:t>Riksdagen har med anledning av regeringens miljömålsproposition 2000/01:130 satt upp målet att uttaget av naturgrus i landet ska vara högst 12 miljoner ton per år. I dag är det ungefär dubbelt så stort. Naturgrus är i många delar av landet en mycket knapp naturresurs. Därför måste användningen av naturgrus minimeras till de områden där inga andra alternativ finns. En hu</w:t>
      </w:r>
      <w:r w:rsidRPr="006C40C1">
        <w:t>s</w:t>
      </w:r>
      <w:r w:rsidRPr="006C40C1">
        <w:t xml:space="preserve">hållning med naturgrus är angelägen bl.a. för att skydda det grundvatten som finns i grusavlagringar. </w:t>
      </w:r>
    </w:p>
    <w:p w:rsidR="00AA5D77" w:rsidRPr="006C40C1" w:rsidRDefault="00AA5D77">
      <w:pPr>
        <w:pStyle w:val="Normaltindrag"/>
      </w:pPr>
      <w:r w:rsidRPr="006C40C1">
        <w:t>Ytterligare skattehöjningar kan enligt finansutskottets mening behövas och troligen också andra åtgärder, t.ex. stöd till utveckling av ersättningsmaterial och ny teknik. Regeringen bör därför senast under våren 2003 återkomma till riksdagen med de förslag på ytterligare höjning av naturgrusskatten som kan vara motiverad för att det av riksdagen uppsatta målet ska uppnås. I det sa</w:t>
      </w:r>
      <w:r w:rsidRPr="006C40C1">
        <w:t>m</w:t>
      </w:r>
      <w:r w:rsidRPr="006C40C1">
        <w:t>manhanget bör också upp</w:t>
      </w:r>
      <w:r w:rsidRPr="006C40C1">
        <w:softHyphen/>
        <w:t>märksammas att tillgången på naturgrus varierar mellan olika delar av landet liksom efterfrågan. Vidare kan effekterna på grundvattenmagasin och dricks</w:t>
      </w:r>
      <w:r w:rsidRPr="006C40C1">
        <w:softHyphen/>
        <w:t>vattenförsörjning av uttag av naturgrus också variera. Dessa faktorer, liksom effekterna för olika slag av företag, bör bea</w:t>
      </w:r>
      <w:r w:rsidRPr="006C40C1">
        <w:t>k</w:t>
      </w:r>
      <w:r w:rsidRPr="006C40C1">
        <w:t xml:space="preserve">tas i den fortsatta analys som ska göras. </w:t>
      </w:r>
    </w:p>
    <w:p w:rsidR="00AA5D77" w:rsidRPr="006C40C1" w:rsidRDefault="00AA5D77">
      <w:pPr>
        <w:pStyle w:val="Normaltindrag"/>
      </w:pPr>
      <w:r w:rsidRPr="006C40C1">
        <w:t>Det anförda bör riksdagen som sin mening ge regeringen till känna.</w:t>
      </w:r>
    </w:p>
    <w:p w:rsidR="00AA5D77" w:rsidRPr="006C40C1" w:rsidRDefault="00AA5D77">
      <w:pPr>
        <w:pStyle w:val="Normaltindrag"/>
      </w:pPr>
      <w:r w:rsidRPr="006C40C1">
        <w:t>Med det anförda tillstyrker utskottet propositionen punkt 35 och motion Fi230 (s, v, mp) yrkande 13. Utskottet avstyrker motion T288 (m) yrkande 2.</w:t>
      </w:r>
    </w:p>
    <w:p w:rsidR="00AA5D77" w:rsidRPr="006C40C1" w:rsidRDefault="00AA5D77">
      <w:pPr>
        <w:pStyle w:val="Utskottetsvervganden-RubrikFrslagspunkt"/>
      </w:pPr>
      <w:bookmarkStart w:id="517" w:name="_Toc25411180"/>
      <w:bookmarkStart w:id="518" w:name="_Toc26191504"/>
      <w:r w:rsidRPr="006C40C1">
        <w:t>3.7.14 Reklamskatten</w:t>
      </w:r>
      <w:bookmarkEnd w:id="515"/>
      <w:bookmarkEnd w:id="516"/>
      <w:bookmarkEnd w:id="517"/>
      <w:bookmarkEnd w:id="518"/>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uttalar att det är viktigt att arbetet med att fasa ut rekla</w:t>
      </w:r>
      <w:r w:rsidRPr="006C40C1">
        <w:t>m</w:t>
      </w:r>
      <w:r w:rsidRPr="006C40C1">
        <w:softHyphen/>
        <w:t>skatten fortsätter och utgår från att regeringen prövar frågan inför nästa års budget och då påbörjar en stegvis avveckling av rekla</w:t>
      </w:r>
      <w:r w:rsidRPr="006C40C1">
        <w:t>m</w:t>
      </w:r>
      <w:r w:rsidRPr="006C40C1">
        <w:softHyphen/>
        <w:t>skatten. Utskottet anser emellertid inte att det behövs något beslut eller tillkännagivande i saken och avstyrker därför motionsyrka</w:t>
      </w:r>
      <w:r w:rsidRPr="006C40C1">
        <w:t>n</w:t>
      </w:r>
      <w:r w:rsidRPr="006C40C1">
        <w:softHyphen/>
        <w:t>dena.</w:t>
      </w:r>
    </w:p>
    <w:p w:rsidR="00AA5D77" w:rsidRPr="006C40C1" w:rsidRDefault="00AA5D77">
      <w:pPr>
        <w:pStyle w:val="Utskottsfrslagikorthet-Text"/>
      </w:pPr>
      <w:r w:rsidRPr="006C40C1">
        <w:t xml:space="preserve">  Jämför reservationerna 8 (m) och 10 (kd).</w:t>
      </w:r>
    </w:p>
    <w:p w:rsidR="00AA5D77" w:rsidRPr="006C40C1" w:rsidRDefault="00AA5D77">
      <w:pPr>
        <w:pStyle w:val="R4"/>
      </w:pPr>
      <w:r w:rsidRPr="006C40C1">
        <w:t>Bakgrund</w:t>
      </w:r>
    </w:p>
    <w:p w:rsidR="00AA5D77" w:rsidRPr="006C40C1" w:rsidRDefault="00AA5D77">
      <w:r w:rsidRPr="006C40C1">
        <w:t>Skatt tas ut på annons som är avsedd att offentliggöras i landet och för reklam som är avsedd att spridas inom landet i annan form än av annons. Skattsky</w:t>
      </w:r>
      <w:r w:rsidRPr="006C40C1">
        <w:t>l</w:t>
      </w:r>
      <w:r w:rsidRPr="006C40C1">
        <w:t>dig är den som yrkesmässigt offentliggör reklam eller annons. Skattesatsen för annons i allmän nyhetstidning är 4 % av beskattningsvärdet och annars 11 % av beskattningsvärdet. Reklamskatt tas inte ut på direktreklam, dvs. reklam</w:t>
      </w:r>
      <w:r w:rsidRPr="006C40C1">
        <w:softHyphen/>
        <w:t>trycksaker, inte heller på reklam i kommersiell TV och radio eller på reklam via Internet. Reklamskatten beräknas för år 2002 inbringa 1 173 mi</w:t>
      </w:r>
      <w:r w:rsidRPr="006C40C1">
        <w:t>l</w:t>
      </w:r>
      <w:r w:rsidRPr="006C40C1">
        <w:t xml:space="preserve">joner kronor. </w:t>
      </w:r>
    </w:p>
    <w:p w:rsidR="00AA5D77" w:rsidRPr="006C40C1" w:rsidRDefault="00AA5D77">
      <w:pPr>
        <w:pStyle w:val="Normaltindrag"/>
      </w:pPr>
      <w:r w:rsidRPr="006C40C1">
        <w:t>Riksdagen beslutade våren 1998 att fr.o.m. år 1999 avskaffa reklamskatten på reklam</w:t>
      </w:r>
      <w:r w:rsidRPr="006C40C1">
        <w:softHyphen/>
        <w:t>trycksaker eftersom den var svår att tillämpa och kontrollera (prop. 1997/98:150, bet. 1997/98:FiU20). Skatteutskottet erinrade i sitt yttrande (1997/98:SkU4y) till finansutskottet om att det rådde bred enighet om att reklamskatten borde avskaffas. Skatteutskottet delade dock regeringens up</w:t>
      </w:r>
      <w:r w:rsidRPr="006C40C1">
        <w:t>p</w:t>
      </w:r>
      <w:r w:rsidRPr="006C40C1">
        <w:softHyphen/>
        <w:t>fattning att det vid detta tillfälle saknades ekonomiskt utrymme för att helt avskaffa skatten. Utskottet framhöll dock att åtgärden kunde leda till nya nackdelar för reklam i annan form och försämra konkurrensförhålla</w:t>
      </w:r>
      <w:r w:rsidRPr="006C40C1">
        <w:t>ndena exempelvis för gratistidningar och s.k. annonsblad. Utskottet förutsatte att regeringen noga skulle följa utvecklingen och återkomma till dessa frågor så snart som utvecklingen motiverade detta. Finansutskottet ställde sig bakom skatteutskottets förslag.</w:t>
      </w:r>
    </w:p>
    <w:p w:rsidR="00AA5D77" w:rsidRPr="006C40C1" w:rsidRDefault="00AA5D77">
      <w:pPr>
        <w:pStyle w:val="Normaltindrag"/>
      </w:pPr>
      <w:r w:rsidRPr="006C40C1">
        <w:t>Våren 2002 anförde skatteutskottet i betänkande 2001/02:SkU20 att u</w:t>
      </w:r>
      <w:r w:rsidRPr="006C40C1">
        <w:t>t</w:t>
      </w:r>
      <w:r w:rsidRPr="006C40C1">
        <w:t>skottet under flera år har ansett att reklamskatten har sådana tekniska och konkurrensmässiga brister att skatten bör avvecklas men att det hittills av statsfinansiella skäl varit nödvändigt att dröja med en sådan åtgärd. Utskottet anförde att frågan om reklamskattens avveckling borde prioriteras i den kommande budgetberedningen, men delade samtidigt finansutskottets up</w:t>
      </w:r>
      <w:r w:rsidRPr="006C40C1">
        <w:t>p</w:t>
      </w:r>
      <w:r w:rsidRPr="006C40C1">
        <w:softHyphen/>
        <w:t>fattning att detta borde ske med beaktande av de budgetpolitiska målen. Rik</w:t>
      </w:r>
      <w:r w:rsidRPr="006C40C1">
        <w:t>s</w:t>
      </w:r>
      <w:r w:rsidRPr="006C40C1">
        <w:softHyphen/>
        <w:t>dagen biföll utskottets begäran om ett tillkännagivande till</w:t>
      </w:r>
      <w:r w:rsidRPr="006C40C1">
        <w:t xml:space="preserve"> regeringen av denna innebörd. </w:t>
      </w:r>
    </w:p>
    <w:p w:rsidR="00AA5D77" w:rsidRPr="006C40C1" w:rsidRDefault="00AA5D77">
      <w:pPr>
        <w:pStyle w:val="R4"/>
      </w:pPr>
      <w:r w:rsidRPr="006C40C1">
        <w:t>Budgetpropositionen</w:t>
      </w:r>
    </w:p>
    <w:p w:rsidR="00AA5D77" w:rsidRPr="006C40C1" w:rsidRDefault="00AA5D77">
      <w:r w:rsidRPr="006C40C1">
        <w:t>Regeringen anför i budgetpropositionen (avsnitt 8.5.3) att frågan om avska</w:t>
      </w:r>
      <w:r w:rsidRPr="006C40C1">
        <w:t>f</w:t>
      </w:r>
      <w:r w:rsidRPr="006C40C1">
        <w:softHyphen/>
        <w:t>fande av reklamskatten har prioriterats i budgetberedningen men att rege</w:t>
      </w:r>
      <w:r w:rsidRPr="006C40C1">
        <w:softHyphen/>
        <w:t>rin</w:t>
      </w:r>
      <w:r w:rsidRPr="006C40C1">
        <w:t>g</w:t>
      </w:r>
      <w:r w:rsidRPr="006C40C1">
        <w:t>en har funnit, med beaktande av de budgetpolitiska målen, att förutsätt</w:t>
      </w:r>
      <w:r w:rsidRPr="006C40C1">
        <w:softHyphen/>
        <w:t>ningar för finansiering av ett avskaffande av den resterande reklamskatten för närvarande inte föreli</w:t>
      </w:r>
      <w:r w:rsidRPr="006C40C1">
        <w:t>g</w:t>
      </w:r>
      <w:r w:rsidRPr="006C40C1">
        <w:t>ger.</w:t>
      </w:r>
    </w:p>
    <w:p w:rsidR="00AA5D77" w:rsidRPr="006C40C1" w:rsidRDefault="00AA5D77">
      <w:pPr>
        <w:pStyle w:val="R4"/>
      </w:pPr>
      <w:r w:rsidRPr="006C40C1">
        <w:t>Motioner</w:t>
      </w:r>
    </w:p>
    <w:p w:rsidR="00AA5D77" w:rsidRPr="006C40C1" w:rsidRDefault="00AA5D77">
      <w:r w:rsidRPr="006C40C1">
        <w:t>I ett antal motioner framställs yrkanden om reklamskattens avskaffande. Motionärerna anför att skatten inte är konkurrensneutral och att den ger up</w:t>
      </w:r>
      <w:r w:rsidRPr="006C40C1">
        <w:t>p</w:t>
      </w:r>
      <w:r w:rsidRPr="006C40C1">
        <w:softHyphen/>
        <w:t>hov till svårigheter i tillämpningen och kontrollen, och de hänvisar till de orättvisor som den förorsakar på vissa områden. Motionärerna framställer både yrkanden om ett omedelbart avskaffande och yrkanden om en gradvis utfasning av skatten. Sådana yrkanden framställs i motionerna Fi203 av Mar</w:t>
      </w:r>
      <w:r w:rsidRPr="006C40C1">
        <w:t>i</w:t>
      </w:r>
      <w:r w:rsidRPr="006C40C1">
        <w:t>etta de Pourbaix-Lundin (m), Fi205 av Cristina Husmark Pehrsson och Anne Marie Brodén (m), Fi228 av Gunnar Axén och Per Bill (m), Fi229 av Ingvar Svensson (kd), Fi243 av Christina Nenes och Göte Wahlström (s),  Fi2</w:t>
      </w:r>
      <w:r w:rsidRPr="006C40C1">
        <w:t>51 av Johan Pehrson (fp), Fi252 av Sven Bergström och Håkan Larsson (c), Fi268 av Carl-Axel Roslund (m), Fi277 av Kenth Högström m.fl. (s), Fi287 yrkande 28 av Lennart Hedquist m.fl. (m), Sk223 av Rigmor Stenmark (c), Sk295 av Gunnar Andrén (fp), Sk346 yrkande 2 av Jörgen Johansson och Jan Ander</w:t>
      </w:r>
      <w:r w:rsidRPr="006C40C1">
        <w:t>s</w:t>
      </w:r>
      <w:r w:rsidRPr="006C40C1">
        <w:t xml:space="preserve">son (c), Sk417 yrkande 8 av Lennart Hedquist m.fl. (m) och Kr297 yrkande 13 av Kent Olsson m.fl. (m). </w:t>
      </w:r>
    </w:p>
    <w:p w:rsidR="00AA5D77" w:rsidRPr="006C40C1" w:rsidRDefault="00AA5D77">
      <w:pPr>
        <w:pStyle w:val="R4"/>
      </w:pPr>
      <w:r w:rsidRPr="006C40C1">
        <w:t>Skatteutskottets yttrande</w:t>
      </w:r>
    </w:p>
    <w:p w:rsidR="00AA5D77" w:rsidRPr="006C40C1" w:rsidRDefault="00AA5D77">
      <w:r w:rsidRPr="006C40C1">
        <w:t>Skatteutskottet anför i sitt yttrande att utskottet senast under våren 2002 har klargjort sin uppfattning att reklam</w:t>
      </w:r>
      <w:r w:rsidRPr="006C40C1">
        <w:softHyphen/>
        <w:t>skatten bör avskaffas och att detta är en fråga som bör prioriteras vid budget</w:t>
      </w:r>
      <w:r w:rsidRPr="006C40C1">
        <w:softHyphen/>
        <w:t>beredningen. Utskottet är samtidigt me</w:t>
      </w:r>
      <w:r w:rsidRPr="006C40C1">
        <w:t>d</w:t>
      </w:r>
      <w:r w:rsidRPr="006C40C1">
        <w:t>vetet om att de prioriteringar som sker i bud</w:t>
      </w:r>
      <w:r w:rsidRPr="006C40C1">
        <w:softHyphen/>
        <w:t>getarbetet innebär att endast de åtgärder och behov som från allmän synpunkt framstår som mest angelägna kan få den högsta prioriteten och kan därför enligt vad som anförs ha förståe</w:t>
      </w:r>
      <w:r w:rsidRPr="006C40C1">
        <w:t>l</w:t>
      </w:r>
      <w:r w:rsidRPr="006C40C1">
        <w:t>se för svårigheterna att finna en möjlighet att direkt avskaffa den resterande reklamskatten i det nuv</w:t>
      </w:r>
      <w:r w:rsidRPr="006C40C1">
        <w:t>a</w:t>
      </w:r>
      <w:r w:rsidRPr="006C40C1">
        <w:t>rande budgetläget.</w:t>
      </w:r>
    </w:p>
    <w:p w:rsidR="00AA5D77" w:rsidRPr="006C40C1" w:rsidRDefault="00AA5D77">
      <w:pPr>
        <w:pStyle w:val="Normaltindrag"/>
      </w:pPr>
      <w:r w:rsidRPr="006C40C1">
        <w:t>Skatteutskottet anför också att det är vik</w:t>
      </w:r>
      <w:r w:rsidRPr="006C40C1">
        <w:t>tig att arbetet med att avskaffa r</w:t>
      </w:r>
      <w:r w:rsidRPr="006C40C1">
        <w:t>e</w:t>
      </w:r>
      <w:r w:rsidRPr="006C40C1">
        <w:t>klamskatten, som regeringen påbörjat genom att slopa reklamskatten på trycksaker, fortsätter i en rimlig takt. För att komma vidare i detta arbete bör enligt skatteutskottets mening en stegvis avveckling av reklam</w:t>
      </w:r>
      <w:r w:rsidRPr="006C40C1">
        <w:softHyphen/>
        <w:t>skatten överv</w:t>
      </w:r>
      <w:r w:rsidRPr="006C40C1">
        <w:t>ä</w:t>
      </w:r>
      <w:r w:rsidRPr="006C40C1">
        <w:t>gas. Utskottet utgår från att regeringen inför nästa års budget ånyo prövar frågan och då påbörjar en stegvis avveckling av reklamskatten och avstyrker därmed motionsy</w:t>
      </w:r>
      <w:r w:rsidRPr="006C40C1">
        <w:t>r</w:t>
      </w:r>
      <w:r w:rsidRPr="006C40C1">
        <w:t>kandena.</w:t>
      </w:r>
    </w:p>
    <w:p w:rsidR="00AA5D77" w:rsidRPr="006C40C1" w:rsidRDefault="00AA5D77">
      <w:pPr>
        <w:pStyle w:val="R4"/>
      </w:pPr>
      <w:bookmarkStart w:id="519" w:name="_Toc24531790"/>
      <w:bookmarkStart w:id="520" w:name="_Toc25055333"/>
      <w:r w:rsidRPr="006C40C1">
        <w:t>Finansutskottets ställningstagande</w:t>
      </w:r>
    </w:p>
    <w:p w:rsidR="00AA5D77" w:rsidRPr="006C40C1" w:rsidRDefault="00AA5D77">
      <w:r w:rsidRPr="006C40C1">
        <w:t xml:space="preserve">Finansutskottet utgår i likhet med skatteutskottet ifrån att regeringen inför nästa års budget ånyo prövar frågan om en avveckling av reklamskatten och avstyrker därmed motionsyrkandena. </w:t>
      </w:r>
    </w:p>
    <w:p w:rsidR="00AA5D77" w:rsidRPr="006C40C1" w:rsidRDefault="00AA5D77">
      <w:pPr>
        <w:pStyle w:val="Normaltindrag"/>
      </w:pPr>
      <w:r w:rsidRPr="006C40C1">
        <w:t>Med det anförda avstyrker utskottet motionerna Fi203 (m), Fi205 (m), Fi228 (m), Fi229 (kd), Fi243 (s) Fi251 (fp), Fi252 (c), Fi268 (m), Fi277 (s), Fi287 yrkande 28 (m), Sk223 (c), Sk295 (fp), Sk346 yrkande 2 (c), Sk417 yrkande 8 (m) och Kr297 yrkande 13 (m).</w:t>
      </w:r>
    </w:p>
    <w:p w:rsidR="00AA5D77" w:rsidRPr="006C40C1" w:rsidRDefault="00AA5D77">
      <w:pPr>
        <w:pStyle w:val="Utskottetsvervganden-RubrikFrslagspunkt"/>
      </w:pPr>
      <w:bookmarkStart w:id="521" w:name="_Toc25411181"/>
      <w:bookmarkStart w:id="522" w:name="_Toc26191505"/>
      <w:r w:rsidRPr="006C40C1">
        <w:t>3.7.15 Jordbruk och skogsbruk</w:t>
      </w:r>
      <w:bookmarkEnd w:id="519"/>
      <w:bookmarkEnd w:id="520"/>
      <w:bookmarkEnd w:id="521"/>
      <w:bookmarkEnd w:id="522"/>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sänkta eller slopade ska</w:t>
      </w:r>
      <w:r w:rsidRPr="006C40C1">
        <w:t>t</w:t>
      </w:r>
      <w:r w:rsidRPr="006C40C1">
        <w:t>ter på diesel, handelsgödsel, el m.m. i jordbruk och skog</w:t>
      </w:r>
      <w:r w:rsidRPr="006C40C1">
        <w:t>s</w:t>
      </w:r>
      <w:r w:rsidRPr="006C40C1">
        <w:t>bruk.</w:t>
      </w:r>
    </w:p>
    <w:p w:rsidR="00AA5D77" w:rsidRPr="006C40C1" w:rsidRDefault="00AA5D77">
      <w:pPr>
        <w:pStyle w:val="Utskottsfrslagikorthet-Text"/>
      </w:pPr>
      <w:r w:rsidRPr="006C40C1">
        <w:t xml:space="preserve">  Jämför reservationerna 8 (m), 10 (kd) och 11 (c).</w:t>
      </w:r>
    </w:p>
    <w:p w:rsidR="00AA5D77" w:rsidRPr="006C40C1" w:rsidRDefault="00AA5D77">
      <w:pPr>
        <w:pStyle w:val="R4"/>
      </w:pPr>
      <w:r w:rsidRPr="006C40C1">
        <w:t>Bakgrund</w:t>
      </w:r>
    </w:p>
    <w:p w:rsidR="00AA5D77" w:rsidRPr="006C40C1" w:rsidRDefault="00AA5D77">
      <w:r w:rsidRPr="006C40C1">
        <w:t>Sedan den 1 juli 2000 omfattas jordbrukssektorn av samma skattelättnader som tillverkningsindustrin vid förbrukning av el och bränslen. På bränslen som används för uppvärmning och drift av stationära motorer vid yrkes</w:t>
      </w:r>
      <w:r w:rsidRPr="006C40C1">
        <w:softHyphen/>
        <w:t>mässig jordbruks-, skogsbruks- och vattenbruksverksamhet (inklusive växt</w:t>
      </w:r>
      <w:r w:rsidRPr="006C40C1">
        <w:softHyphen/>
        <w:t>husnäringen) utgår således ingen energiskatt, och en reducerad koldioxidskatt motsvarande 30 % av den generella nivån tas ut. De reducerade skatte</w:t>
      </w:r>
      <w:r w:rsidRPr="006C40C1">
        <w:softHyphen/>
        <w:t xml:space="preserve">satserna gäller dock inte för bensin (oavsett användning) eller andra bränslen som förbrukas för drift av motordrivna fordon. Ingen energiskatt betalas heller på el som förbrukas i dessa sektorer. </w:t>
      </w:r>
    </w:p>
    <w:p w:rsidR="00AA5D77" w:rsidRPr="006C40C1" w:rsidRDefault="00AA5D77">
      <w:pPr>
        <w:pStyle w:val="Normaltindrag"/>
      </w:pPr>
      <w:r w:rsidRPr="006C40C1">
        <w:t>Företag med stor energiförbrukning kan få viss ytterligare nedsättning av koldioxidskatten. O</w:t>
      </w:r>
      <w:r w:rsidRPr="006C40C1">
        <w:t>m den koldioxidskatt som belastar ett företag överstiger 0,8 % av försäljningsvärdet sätts skatten ned så att den överskjutande skatte</w:t>
      </w:r>
      <w:r w:rsidRPr="006C40C1">
        <w:softHyphen/>
        <w:t>belastningen inte överstiger 24 % av det överskjutande skattebeloppet för bränslet (0,8-procentsregeln). EG-rätten innehåller dock minimi</w:t>
      </w:r>
      <w:r w:rsidRPr="006C40C1">
        <w:softHyphen/>
        <w:t xml:space="preserve">skattesatser som inte får underskridas. </w:t>
      </w:r>
    </w:p>
    <w:p w:rsidR="00AA5D77" w:rsidRPr="006C40C1" w:rsidRDefault="00AA5D77">
      <w:pPr>
        <w:pStyle w:val="R4"/>
      </w:pPr>
      <w:r w:rsidRPr="006C40C1">
        <w:t>Motioner</w:t>
      </w:r>
    </w:p>
    <w:p w:rsidR="00AA5D77" w:rsidRPr="006C40C1" w:rsidRDefault="00AA5D77">
      <w:r w:rsidRPr="006C40C1">
        <w:rPr>
          <w:i/>
        </w:rPr>
        <w:t>Moderata</w:t>
      </w:r>
      <w:r w:rsidRPr="006C40C1">
        <w:t xml:space="preserve"> </w:t>
      </w:r>
      <w:r w:rsidRPr="006C40C1">
        <w:rPr>
          <w:i/>
        </w:rPr>
        <w:t>samlingspartiet</w:t>
      </w:r>
      <w:r w:rsidRPr="006C40C1">
        <w:t xml:space="preserve"> föreslår att skatten på diesel för arbetsredskap i jord- och skogsbruk samt för entreprenadmaskiner sänks till 53 öre per liter från den 1 januari 2003 och att skatten på kväve i handelsgödsel tas bort från samma datum. Motionärerna anför att den svenska dieselskatten ligger högre än i andra länder och utgör en tung börda för dessa näringar. Även den sven</w:t>
      </w:r>
      <w:r w:rsidRPr="006C40C1">
        <w:t>s</w:t>
      </w:r>
      <w:r w:rsidRPr="006C40C1">
        <w:t>ka skatten på handelsgödsel leder till en internationell konkurrensnack</w:t>
      </w:r>
      <w:r w:rsidRPr="006C40C1">
        <w:softHyphen/>
        <w:t>del. Dessa yrkanden framställs i motionerna Fi287 yrkandena 10 oc</w:t>
      </w:r>
      <w:r w:rsidRPr="006C40C1">
        <w:t>h 11 av Le</w:t>
      </w:r>
      <w:r w:rsidRPr="006C40C1">
        <w:t>n</w:t>
      </w:r>
      <w:r w:rsidRPr="006C40C1">
        <w:t xml:space="preserve">nart Hedquist m.fl. (m) och MJ268 yrkandena 4 och 5 av Per Westerberg m.fl. (m). </w:t>
      </w:r>
    </w:p>
    <w:p w:rsidR="00AA5D77" w:rsidRPr="006C40C1" w:rsidRDefault="00AA5D77">
      <w:pPr>
        <w:pStyle w:val="Normaltindrag"/>
        <w:rPr>
          <w:snapToGrid w:val="0"/>
        </w:rPr>
      </w:pPr>
      <w:r w:rsidRPr="006C40C1">
        <w:rPr>
          <w:i/>
        </w:rPr>
        <w:t>Kristdemokraterna</w:t>
      </w:r>
      <w:r w:rsidRPr="006C40C1">
        <w:t xml:space="preserve"> föreslår i motion Sk383 yrkande 7 av Per Landgren m.fl. (kd) en sänkning av dieselskatten till 1 kr per liter för jordbruket. Moti</w:t>
      </w:r>
      <w:r w:rsidRPr="006C40C1">
        <w:t>o</w:t>
      </w:r>
      <w:r w:rsidRPr="006C40C1">
        <w:softHyphen/>
        <w:t xml:space="preserve">närerna anför att </w:t>
      </w:r>
      <w:r w:rsidRPr="006C40C1">
        <w:rPr>
          <w:snapToGrid w:val="0"/>
        </w:rPr>
        <w:t xml:space="preserve">högre skatter och avgifter har försatt svensk jordbruksnäring i en ohållbar </w:t>
      </w:r>
      <w:r w:rsidRPr="006C40C1">
        <w:t>konkurrenssituation</w:t>
      </w:r>
      <w:r w:rsidRPr="006C40C1">
        <w:rPr>
          <w:snapToGrid w:val="0"/>
        </w:rPr>
        <w:t xml:space="preserve">. </w:t>
      </w:r>
    </w:p>
    <w:p w:rsidR="00AA5D77" w:rsidRPr="006C40C1" w:rsidRDefault="00AA5D77">
      <w:pPr>
        <w:pStyle w:val="Normaltindrag"/>
      </w:pPr>
      <w:r w:rsidRPr="006C40C1">
        <w:t xml:space="preserve">I </w:t>
      </w:r>
      <w:r w:rsidRPr="006C40C1">
        <w:rPr>
          <w:i/>
        </w:rPr>
        <w:t>Centerpartiets</w:t>
      </w:r>
      <w:r w:rsidRPr="006C40C1">
        <w:t xml:space="preserve"> motion Fi286 yrkandena 28–30 av Maud Olofsson m.fl. (c) anför motionärerna att l</w:t>
      </w:r>
      <w:r w:rsidRPr="006C40C1">
        <w:rPr>
          <w:snapToGrid w:val="0"/>
        </w:rPr>
        <w:t>ikställandet av el- och eldningsoljebeskattningen med industrins nivåer har blivit en halvmesyr. Genom underliga gränsdra</w:t>
      </w:r>
      <w:r w:rsidRPr="006C40C1">
        <w:rPr>
          <w:snapToGrid w:val="0"/>
        </w:rPr>
        <w:t>g</w:t>
      </w:r>
      <w:r w:rsidRPr="006C40C1">
        <w:rPr>
          <w:snapToGrid w:val="0"/>
        </w:rPr>
        <w:softHyphen/>
        <w:t>ningar har småbrukarna ställts utanför nedsättningen. Motionärerna föreslår att gränsen på 1 000 kr för att få del av nedsättningen på el- och eldningsolj</w:t>
      </w:r>
      <w:r w:rsidRPr="006C40C1">
        <w:rPr>
          <w:snapToGrid w:val="0"/>
        </w:rPr>
        <w:t>e</w:t>
      </w:r>
      <w:r w:rsidRPr="006C40C1">
        <w:rPr>
          <w:snapToGrid w:val="0"/>
        </w:rPr>
        <w:softHyphen/>
        <w:t>skatten slopas. Vidare leder dieselskattehöjningarna till att konkurrenskraften försämras, och motionärerna föreslår därför att skatten på</w:t>
      </w:r>
      <w:r w:rsidRPr="006C40C1">
        <w:rPr>
          <w:snapToGrid w:val="0"/>
        </w:rPr>
        <w:t xml:space="preserve"> diesel för jord- och skogsbruksmaskiner sänks till EU-genomsnittet, dvs. 1 kr per liter. Slutligen anförs att handelsgödselkostnaderna är betungande i jämförelse med motsv</w:t>
      </w:r>
      <w:r w:rsidRPr="006C40C1">
        <w:rPr>
          <w:snapToGrid w:val="0"/>
        </w:rPr>
        <w:t>a</w:t>
      </w:r>
      <w:r w:rsidRPr="006C40C1">
        <w:rPr>
          <w:snapToGrid w:val="0"/>
        </w:rPr>
        <w:softHyphen/>
        <w:t>rande kostnader i konkurrentländerna och att regeringens modell för kompe</w:t>
      </w:r>
      <w:r w:rsidRPr="006C40C1">
        <w:rPr>
          <w:snapToGrid w:val="0"/>
        </w:rPr>
        <w:t>n</w:t>
      </w:r>
      <w:r w:rsidRPr="006C40C1">
        <w:rPr>
          <w:snapToGrid w:val="0"/>
        </w:rPr>
        <w:softHyphen/>
        <w:t xml:space="preserve">sation för kostnaderna kräver ansökningar, godkännanden från EU och en hel del onödig administration. De föreslår att kväveskatten på handelsgödsel slopas. </w:t>
      </w:r>
      <w:r w:rsidRPr="006C40C1">
        <w:t>I motion MJ487 yrkande 2 av Jan Andersson m.fl. (c) framställs ett yrkande med samma i</w:t>
      </w:r>
      <w:r w:rsidRPr="006C40C1">
        <w:t>n</w:t>
      </w:r>
      <w:r w:rsidRPr="006C40C1">
        <w:t>riktning.</w:t>
      </w:r>
    </w:p>
    <w:p w:rsidR="00AA5D77" w:rsidRPr="006C40C1" w:rsidRDefault="00AA5D77">
      <w:pPr>
        <w:pStyle w:val="R4"/>
      </w:pPr>
      <w:r w:rsidRPr="006C40C1">
        <w:t>Skatteutsk</w:t>
      </w:r>
      <w:r w:rsidRPr="006C40C1">
        <w:t>ottets yttrande</w:t>
      </w:r>
    </w:p>
    <w:p w:rsidR="00AA5D77" w:rsidRPr="006C40C1" w:rsidRDefault="00AA5D77">
      <w:r w:rsidRPr="006C40C1">
        <w:t>Skatteutskottet hänvisar i sitt yttrande till de utredningar som arbetar på o</w:t>
      </w:r>
      <w:r w:rsidRPr="006C40C1">
        <w:t>m</w:t>
      </w:r>
      <w:r w:rsidRPr="006C40C1">
        <w:t>rådet. Skattenedsättningskommittén (Fi 2001:09) ser över utformningen av nedsättningssystemet för bl.a. jordbruks-, skogsbruks- och vatte</w:t>
      </w:r>
      <w:r w:rsidRPr="006C40C1">
        <w:t>n</w:t>
      </w:r>
      <w:r w:rsidRPr="006C40C1">
        <w:t>bruksnäring</w:t>
      </w:r>
      <w:r w:rsidRPr="006C40C1">
        <w:softHyphen/>
        <w:t>arna (inklusive trädgårdsnäringen), och beskattningen av dieselolja för jor</w:t>
      </w:r>
      <w:r w:rsidRPr="006C40C1">
        <w:t>d</w:t>
      </w:r>
      <w:r w:rsidRPr="006C40C1">
        <w:t>brukets arbetsmaskiner ses med förtur över av Vägtrafikskatteutredningen (Fi 2001:8), (dir. 2001:12). Skatteutskottet är mot den angivna bakgrunden inte berett att tillstyrka förslaget om en sänkning av jordbrukets och skogsbrukets dieselskatt. När det gäller gränsbeloppet om 1 000 kr</w:t>
      </w:r>
      <w:r w:rsidRPr="006C40C1">
        <w:t xml:space="preserve"> vid återbetalning av elskatt anför skatteutskottet att de regler som gäller har utformats med ind</w:t>
      </w:r>
      <w:r w:rsidRPr="006C40C1">
        <w:t>u</w:t>
      </w:r>
      <w:r w:rsidRPr="006C40C1">
        <w:t>strin som förebild. Utskottet är inte berett att tillstyrka att dessa regler ändras och avstyrker därför även motions</w:t>
      </w:r>
      <w:r w:rsidRPr="006C40C1">
        <w:softHyphen/>
        <w:t xml:space="preserve">yrkandet om slopad 1 000-kronorsgräns. </w:t>
      </w:r>
    </w:p>
    <w:p w:rsidR="00AA5D77" w:rsidRPr="006C40C1" w:rsidRDefault="00AA5D77">
      <w:pPr>
        <w:pStyle w:val="Normaltindrag"/>
      </w:pPr>
      <w:r w:rsidRPr="006C40C1">
        <w:t>När det gäller skatterna på bekämpningsmedel och gödselmedel anför skatteutskottet bl.a. att särskild utredare tillkallats i juni 2001 med uppgift att utvärdera skatterna på bekämpningsmedel och handelsgödsel. Utredaren ska dels analysera och bedöma skatt</w:t>
      </w:r>
      <w:r w:rsidRPr="006C40C1">
        <w:t>ernas påverkan på användningen, dels bed</w:t>
      </w:r>
      <w:r w:rsidRPr="006C40C1">
        <w:t>ö</w:t>
      </w:r>
      <w:r w:rsidRPr="006C40C1">
        <w:t>ma vilka effekter de har på miljön. Därutöver ska utredaren se över om ska</w:t>
      </w:r>
      <w:r w:rsidRPr="006C40C1">
        <w:t>t</w:t>
      </w:r>
      <w:r w:rsidRPr="006C40C1">
        <w:t>terna bör förändras så att de fungerar som effektivare styrmedel på miljö</w:t>
      </w:r>
      <w:r w:rsidRPr="006C40C1">
        <w:softHyphen/>
        <w:t>området utan att kraven på kostnadseffektivitet eftersätts. Uppdraget ska redovisas senast den 30 november 2002. Utskottet är mot bl.a. denna ba</w:t>
      </w:r>
      <w:r w:rsidRPr="006C40C1">
        <w:t>k</w:t>
      </w:r>
      <w:r w:rsidRPr="006C40C1">
        <w:t>grund inte heller berett att tillstyrka förslagen om slopad skatt på handelsgö</w:t>
      </w:r>
      <w:r w:rsidRPr="006C40C1">
        <w:t>d</w:t>
      </w:r>
      <w:r w:rsidRPr="006C40C1">
        <w:t>sel.</w:t>
      </w:r>
    </w:p>
    <w:p w:rsidR="00AA5D77" w:rsidRPr="006C40C1" w:rsidRDefault="00AA5D77">
      <w:pPr>
        <w:pStyle w:val="Normaltindrag"/>
      </w:pPr>
      <w:r w:rsidRPr="006C40C1">
        <w:t>I sitt yttrande avstyrker utskottet de aktuella motionsyrkandena.</w:t>
      </w:r>
    </w:p>
    <w:p w:rsidR="00AA5D77" w:rsidRPr="006C40C1" w:rsidRDefault="00AA5D77">
      <w:pPr>
        <w:pStyle w:val="R4"/>
      </w:pPr>
      <w:bookmarkStart w:id="523" w:name="_Toc24531791"/>
      <w:bookmarkStart w:id="524" w:name="_Toc25055334"/>
      <w:r w:rsidRPr="006C40C1">
        <w:t>Finansutskottets ställningstagande</w:t>
      </w:r>
    </w:p>
    <w:p w:rsidR="00AA5D77" w:rsidRPr="006C40C1" w:rsidRDefault="00AA5D77">
      <w:r w:rsidRPr="006C40C1">
        <w:t xml:space="preserve">Finansutskottet delar skatteutskottets bedömning och avstyrker motionerna Fi286 (c) yrkandena 28–30, Fi287 (m) yrkandena 10 och 11, Sk383 (kd) yrkande 7, MJ268 (m) yrkandena 4 och 5 samt MJ487 (c) yrkande 2. </w:t>
      </w:r>
    </w:p>
    <w:p w:rsidR="00AA5D77" w:rsidRPr="006C40C1" w:rsidRDefault="00AA5D77">
      <w:pPr>
        <w:pStyle w:val="Utskottetsvervganden-RubrikFrslagspunkt"/>
      </w:pPr>
      <w:bookmarkStart w:id="525" w:name="_Toc25411182"/>
      <w:bookmarkStart w:id="526" w:name="_Toc26191506"/>
      <w:r w:rsidRPr="006C40C1">
        <w:t>3.8 Skattenedsättningar</w:t>
      </w:r>
      <w:bookmarkEnd w:id="525"/>
      <w:bookmarkEnd w:id="526"/>
    </w:p>
    <w:p w:rsidR="00AA5D77" w:rsidRPr="006C40C1" w:rsidRDefault="00AA5D77">
      <w:pPr>
        <w:keepNext/>
        <w:spacing w:before="360" w:line="170" w:lineRule="exact"/>
        <w:rPr>
          <w:b/>
          <w:sz w:val="17"/>
        </w:rPr>
      </w:pPr>
      <w:r w:rsidRPr="006C40C1">
        <w:rPr>
          <w:b/>
          <w:sz w:val="17"/>
        </w:rPr>
        <w:t>Tabell 44. Nedsättningar av skatter</w:t>
      </w:r>
    </w:p>
    <w:p w:rsidR="00AA5D77" w:rsidRPr="006C40C1" w:rsidRDefault="006C40C1">
      <w:r w:rsidRPr="006C40C1">
        <w:rPr>
          <w:noProof/>
        </w:rPr>
        <w:drawing>
          <wp:inline distT="0" distB="0" distL="0" distR="0">
            <wp:extent cx="3771900" cy="1970405"/>
            <wp:effectExtent l="0" t="0" r="0" b="0"/>
            <wp:docPr id="49" name="Bild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771900" cy="1970405"/>
                    </a:xfrm>
                    <a:prstGeom prst="rect">
                      <a:avLst/>
                    </a:prstGeom>
                    <a:noFill/>
                    <a:ln>
                      <a:noFill/>
                    </a:ln>
                  </pic:spPr>
                </pic:pic>
              </a:graphicData>
            </a:graphic>
          </wp:inline>
        </w:drawing>
      </w:r>
    </w:p>
    <w:p w:rsidR="00AA5D77" w:rsidRPr="006C40C1" w:rsidRDefault="00AA5D77">
      <w:pPr>
        <w:pStyle w:val="Utskottetsvervganden-RubrikFrslagspunkt"/>
      </w:pPr>
      <w:bookmarkStart w:id="527" w:name="_Toc25411183"/>
      <w:bookmarkStart w:id="528" w:name="_Toc26191507"/>
      <w:r w:rsidRPr="006C40C1">
        <w:t>3.8.1 Bredbandsinstallation</w:t>
      </w:r>
      <w:bookmarkEnd w:id="523"/>
      <w:bookmarkEnd w:id="524"/>
      <w:bookmarkEnd w:id="527"/>
      <w:bookmarkEnd w:id="528"/>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om en ettårig förlängning av skattereduktionen för bredbandsinstallation och avstyrker m</w:t>
      </w:r>
      <w:r w:rsidRPr="006C40C1">
        <w:t>o</w:t>
      </w:r>
      <w:r w:rsidRPr="006C40C1">
        <w:t>tion</w:t>
      </w:r>
      <w:r w:rsidRPr="006C40C1">
        <w:t>s</w:t>
      </w:r>
      <w:r w:rsidRPr="006C40C1">
        <w:t>förslagen om att skattereduktionen ska avskaffas.</w:t>
      </w:r>
    </w:p>
    <w:p w:rsidR="00AA5D77" w:rsidRPr="006C40C1" w:rsidRDefault="00AA5D77">
      <w:pPr>
        <w:pStyle w:val="Utskottsfrslagikorthet-Text"/>
      </w:pPr>
      <w:r w:rsidRPr="006C40C1">
        <w:t xml:space="preserve">  Jämför reservationerna 8 (m), 9 (fp) och 11 (c).</w:t>
      </w:r>
    </w:p>
    <w:p w:rsidR="00AA5D77" w:rsidRPr="006C40C1" w:rsidRDefault="00AA5D77">
      <w:pPr>
        <w:pStyle w:val="R4"/>
      </w:pPr>
      <w:r w:rsidRPr="006C40C1">
        <w:t>Bakgrund</w:t>
      </w:r>
    </w:p>
    <w:p w:rsidR="00AA5D77" w:rsidRPr="006C40C1" w:rsidRDefault="00AA5D77">
      <w:r w:rsidRPr="006C40C1">
        <w:t>Den som installerar bredband och tar installationen i bruk mellan den 1 janu</w:t>
      </w:r>
      <w:r w:rsidRPr="006C40C1">
        <w:softHyphen/>
        <w:t>ari 2001 och den 31 december 2002 kan få en skattereduktion. Skatte</w:t>
      </w:r>
      <w:r w:rsidRPr="006C40C1">
        <w:softHyphen/>
        <w:t>reduk</w:t>
      </w:r>
      <w:r w:rsidRPr="006C40C1">
        <w:softHyphen/>
        <w:t>tionen uppgår till 50 % av de utgifter som överstiger 8 000 kr per hus eller, i fråga om hyreshus, 8 000 kr per ansluten bostad eller lokal. Skatte</w:t>
      </w:r>
      <w:r w:rsidRPr="006C40C1">
        <w:softHyphen/>
        <w:t>reduk</w:t>
      </w:r>
      <w:r w:rsidRPr="006C40C1">
        <w:softHyphen/>
        <w:t>tionen utgår med högst 5 000 kr per hus, bostad eller lokal. Om ansökan kommit in senast den 1 mars 2002 avräknas skattereduktionen på skatte</w:t>
      </w:r>
      <w:r w:rsidRPr="006C40C1">
        <w:softHyphen/>
        <w:t>besked för 2002. Kommer ansökan in senast den 1 mars 2003 avräknas reduktionen på skatt</w:t>
      </w:r>
      <w:r w:rsidRPr="006C40C1">
        <w:t>e</w:t>
      </w:r>
      <w:r w:rsidRPr="006C40C1">
        <w:t>beskedet för 2003 (prop. 2000/01:24 och bet. 2000/01:</w:t>
      </w:r>
      <w:r w:rsidRPr="006C40C1">
        <w:t>SkU8).</w:t>
      </w:r>
    </w:p>
    <w:p w:rsidR="00AA5D77" w:rsidRPr="006C40C1" w:rsidRDefault="00AA5D77">
      <w:pPr>
        <w:pStyle w:val="R4"/>
      </w:pPr>
      <w:r w:rsidRPr="006C40C1">
        <w:t>Budgetpropositionen</w:t>
      </w:r>
    </w:p>
    <w:p w:rsidR="00AA5D77" w:rsidRPr="006C40C1" w:rsidRDefault="00AA5D77">
      <w:r w:rsidRPr="006C40C1">
        <w:t>Regeringen föreslår (avsnitt 8.7.3, punkt 30) att möjligheten för fysiska och juridiska personer att få skattereduktion för utgifter för vissa anslutningar för tele- och datakommunikation förlängs med ett år.</w:t>
      </w:r>
    </w:p>
    <w:p w:rsidR="00AA5D77" w:rsidRPr="006C40C1" w:rsidRDefault="00AA5D77">
      <w:pPr>
        <w:pStyle w:val="Normaltindrag"/>
      </w:pPr>
      <w:r w:rsidRPr="006C40C1">
        <w:t>Regeringen anför att det har visat sig att bredbandsutbyggnaden har blivit försenad. Detta beror bl.a. på det förändrade marknadsläget och den korta grävsäsongen i landets norra delar. Hitintills har endast ca 1 230 ansökningar om skattereduktion kommit in till skattemyndigheten. Mot denna bakgrund är regeringen av uppfattningen att tiden måste utsträckas ytterligare ett år för att möjliggöra för fysiska och juridiska personer att kunna ansöka om skatte</w:t>
      </w:r>
      <w:r w:rsidRPr="006C40C1">
        <w:softHyphen/>
        <w:t xml:space="preserve">reduktion för utgifter för bredbandsanslutningar. Regeringen föreslår därför att skattereduktionen även ges vid debiteringen av slutlig skatt på grund av 2004 års taxering. </w:t>
      </w:r>
    </w:p>
    <w:p w:rsidR="00AA5D77" w:rsidRPr="006C40C1" w:rsidRDefault="00AA5D77">
      <w:pPr>
        <w:pStyle w:val="R4"/>
      </w:pPr>
      <w:r w:rsidRPr="006C40C1">
        <w:t>Motioner</w:t>
      </w:r>
    </w:p>
    <w:p w:rsidR="00AA5D77" w:rsidRPr="006C40C1" w:rsidRDefault="00AA5D77">
      <w:r w:rsidRPr="006C40C1">
        <w:rPr>
          <w:i/>
        </w:rPr>
        <w:t>Moderata</w:t>
      </w:r>
      <w:r w:rsidRPr="006C40C1">
        <w:t xml:space="preserve"> </w:t>
      </w:r>
      <w:r w:rsidRPr="006C40C1">
        <w:rPr>
          <w:i/>
        </w:rPr>
        <w:t>samlingspartiet</w:t>
      </w:r>
      <w:r w:rsidRPr="006C40C1">
        <w:t xml:space="preserve"> föreslår i motion Fi287 yrkande 36 av Lennart Hedquist m.fl. (m) att skattereduktionen för installation av bredband avska</w:t>
      </w:r>
      <w:r w:rsidRPr="006C40C1">
        <w:t>f</w:t>
      </w:r>
      <w:r w:rsidRPr="006C40C1">
        <w:softHyphen/>
        <w:t>fas.</w:t>
      </w:r>
    </w:p>
    <w:p w:rsidR="00AA5D77" w:rsidRPr="006C40C1" w:rsidRDefault="00AA5D77">
      <w:pPr>
        <w:pStyle w:val="Normaltindrag"/>
      </w:pPr>
      <w:r w:rsidRPr="006C40C1">
        <w:rPr>
          <w:i/>
        </w:rPr>
        <w:t>Folkpartiet</w:t>
      </w:r>
      <w:r w:rsidRPr="006C40C1">
        <w:t xml:space="preserve"> </w:t>
      </w:r>
      <w:r w:rsidRPr="006C40C1">
        <w:rPr>
          <w:i/>
        </w:rPr>
        <w:t>liberalerna</w:t>
      </w:r>
      <w:r w:rsidRPr="006C40C1">
        <w:t xml:space="preserve"> avslår i motion Fi232 yrkande 26 av Lars Leijo</w:t>
      </w:r>
      <w:r w:rsidRPr="006C40C1">
        <w:t>n</w:t>
      </w:r>
      <w:r w:rsidRPr="006C40C1">
        <w:t>borg m.fl. (fp) förslaget om en ettårig förlängning av bredbandsreduk</w:t>
      </w:r>
      <w:r w:rsidRPr="006C40C1">
        <w:softHyphen/>
        <w:t>tionen.</w:t>
      </w:r>
    </w:p>
    <w:p w:rsidR="00AA5D77" w:rsidRPr="006C40C1" w:rsidRDefault="00AA5D77">
      <w:pPr>
        <w:pStyle w:val="Normaltindrag"/>
      </w:pPr>
      <w:r w:rsidRPr="006C40C1">
        <w:rPr>
          <w:i/>
        </w:rPr>
        <w:t xml:space="preserve">Centerpartiet </w:t>
      </w:r>
      <w:r w:rsidRPr="006C40C1">
        <w:t>föreslår i motion Fi286 yrkande 33 av Maud Olofsson m.fl. (c) att bredbandsreduktionen slopas. Motionärerna anför att skattelättnaden för utbyggnad av bredband bör slopas som ett led i en övergång till en u</w:t>
      </w:r>
      <w:r w:rsidRPr="006C40C1">
        <w:t>t</w:t>
      </w:r>
      <w:r w:rsidRPr="006C40C1">
        <w:t>byggnad grundad på ett statligt ansvarstagande för infrastrukturen i hela la</w:t>
      </w:r>
      <w:r w:rsidRPr="006C40C1">
        <w:t>n</w:t>
      </w:r>
      <w:r w:rsidRPr="006C40C1">
        <w:t>det fram till varje e</w:t>
      </w:r>
      <w:r w:rsidRPr="006C40C1">
        <w:t>n</w:t>
      </w:r>
      <w:r w:rsidRPr="006C40C1">
        <w:t xml:space="preserve">skild abonnent. </w:t>
      </w:r>
    </w:p>
    <w:p w:rsidR="00AA5D77" w:rsidRPr="006C40C1" w:rsidRDefault="00AA5D77">
      <w:pPr>
        <w:pStyle w:val="R4"/>
      </w:pPr>
      <w:r w:rsidRPr="006C40C1">
        <w:t>Skatteutskottets yttrande</w:t>
      </w:r>
    </w:p>
    <w:p w:rsidR="00AA5D77" w:rsidRPr="006C40C1" w:rsidRDefault="00AA5D77">
      <w:r w:rsidRPr="006C40C1">
        <w:t>Skatteutskottet är inte berett att tillstyrka att staten tar över ansvaret för u</w:t>
      </w:r>
      <w:r w:rsidRPr="006C40C1">
        <w:t>t</w:t>
      </w:r>
      <w:r w:rsidRPr="006C40C1">
        <w:t>byggna</w:t>
      </w:r>
      <w:r w:rsidRPr="006C40C1">
        <w:softHyphen/>
        <w:t>den av bredband och anser därför att skattereduktionen för installation av bredband ska finnas kvar. Utskottet har inte funnit någon anledning till erinran mot regeringens förslag om en ettårig förlängning av bredbands</w:t>
      </w:r>
      <w:r w:rsidRPr="006C40C1">
        <w:softHyphen/>
        <w:t xml:space="preserve">reduktionen och tillstyrker därför att förslaget genomförs. Utskottet avstyrker motionerna. </w:t>
      </w:r>
    </w:p>
    <w:p w:rsidR="00AA5D77" w:rsidRPr="006C40C1" w:rsidRDefault="00AA5D77">
      <w:pPr>
        <w:pStyle w:val="R4"/>
      </w:pPr>
      <w:bookmarkStart w:id="529" w:name="_Toc24531792"/>
      <w:bookmarkStart w:id="530" w:name="_Toc25055335"/>
      <w:r w:rsidRPr="006C40C1">
        <w:t>Finansutskottets ställningstagande</w:t>
      </w:r>
    </w:p>
    <w:p w:rsidR="00AA5D77" w:rsidRPr="006C40C1" w:rsidRDefault="00AA5D77">
      <w:r w:rsidRPr="006C40C1">
        <w:t>Finansutskottet delar skatteutskottets bedömning och tillstyrker därför prop</w:t>
      </w:r>
      <w:r w:rsidRPr="006C40C1">
        <w:t>o</w:t>
      </w:r>
      <w:r w:rsidRPr="006C40C1">
        <w:t>sitionen punkt 30 och avstyrker motionerna Fi232 (fp) yrkande 26, Fi286 (c) yrkande 33 och Fi287 (m) yrkande 36.</w:t>
      </w:r>
    </w:p>
    <w:p w:rsidR="00AA5D77" w:rsidRPr="006C40C1" w:rsidRDefault="00AA5D77">
      <w:pPr>
        <w:pStyle w:val="Utskottetsvervganden-RubrikFrslagspunkt"/>
      </w:pPr>
      <w:bookmarkStart w:id="531" w:name="_Toc25411184"/>
      <w:bookmarkStart w:id="532" w:name="_Toc26191508"/>
      <w:r w:rsidRPr="006C40C1">
        <w:t>3.8.2 Miljöförbättrande åtgärder på bostäder</w:t>
      </w:r>
      <w:bookmarkEnd w:id="529"/>
      <w:bookmarkEnd w:id="530"/>
      <w:bookmarkEnd w:id="531"/>
      <w:bookmarkEnd w:id="532"/>
      <w:r w:rsidRPr="006C40C1">
        <w:t xml:space="preserve"> </w:t>
      </w:r>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förslaget i motion Fi230 (s, v, mp) om ett ROT-avdrag för miljöförbättrande åtgärder på bostäder.</w:t>
      </w:r>
    </w:p>
    <w:p w:rsidR="00AA5D77" w:rsidRPr="006C40C1" w:rsidRDefault="00AA5D77">
      <w:pPr>
        <w:pStyle w:val="Utskottsfrslagikorthet-Text"/>
      </w:pPr>
      <w:r w:rsidRPr="006C40C1">
        <w:t>Jämför reservation 9 (fp).</w:t>
      </w:r>
    </w:p>
    <w:p w:rsidR="00AA5D77" w:rsidRPr="006C40C1" w:rsidRDefault="00AA5D77">
      <w:pPr>
        <w:pStyle w:val="R4"/>
      </w:pPr>
      <w:r w:rsidRPr="006C40C1">
        <w:t>Bakgrund</w:t>
      </w:r>
    </w:p>
    <w:p w:rsidR="00AA5D77" w:rsidRPr="006C40C1" w:rsidRDefault="00AA5D77">
      <w:r w:rsidRPr="006C40C1">
        <w:t>En skattereduktion för byggnadsarbeten har tillämpats under perioden den 15 februari 1993–den 31 december 1994 (prop. 1992/93:150, bet. 1992/93: SkU36) och under perioden den 15 april 1996–den 31 mars 1999 (prop. 1995/96:229, bet. 1995/96:SkU32). Syftet har varit att åstadkomma en st</w:t>
      </w:r>
      <w:r w:rsidRPr="006C40C1">
        <w:t>i</w:t>
      </w:r>
      <w:r w:rsidRPr="006C40C1">
        <w:softHyphen/>
        <w:t>mulans av verksamheten inom byggsektorn och på så sätt motverka den då aktuella arbetslösheten.</w:t>
      </w:r>
    </w:p>
    <w:p w:rsidR="00AA5D77" w:rsidRPr="006C40C1" w:rsidRDefault="00AA5D77">
      <w:pPr>
        <w:pStyle w:val="R4"/>
      </w:pPr>
      <w:r w:rsidRPr="006C40C1">
        <w:t>Motion</w:t>
      </w:r>
    </w:p>
    <w:p w:rsidR="00AA5D77" w:rsidRPr="006C40C1" w:rsidRDefault="00AA5D77">
      <w:r w:rsidRPr="006C40C1">
        <w:t>I motion Fi230 yrkande 16 av Britt Bohlin m.fl. (s, v, mp) anför motionärerna att ett ROT-avdrag för installationer av typen pelletsbrännare, treglasfönster, isolerglasfönster etc. bör införas under taxeringsåren 2004–2006, och de he</w:t>
      </w:r>
      <w:r w:rsidRPr="006C40C1">
        <w:t>m</w:t>
      </w:r>
      <w:r w:rsidRPr="006C40C1">
        <w:softHyphen/>
        <w:t>ställer att riksdagen begär att regeringen snarast lägger fram förslag om en sådan skattereduktion. Syftet är att stimulera miljöförbättrande åtgärder på perm</w:t>
      </w:r>
      <w:r w:rsidRPr="006C40C1">
        <w:t>a</w:t>
      </w:r>
      <w:r w:rsidRPr="006C40C1">
        <w:softHyphen/>
        <w:t>nentbostäder.</w:t>
      </w:r>
    </w:p>
    <w:p w:rsidR="00AA5D77" w:rsidRPr="006C40C1" w:rsidRDefault="00AA5D77">
      <w:pPr>
        <w:pStyle w:val="R4"/>
      </w:pPr>
      <w:r w:rsidRPr="006C40C1">
        <w:t>Skatteutskottets yttrande</w:t>
      </w:r>
    </w:p>
    <w:p w:rsidR="00AA5D77" w:rsidRPr="006C40C1" w:rsidRDefault="00AA5D77">
      <w:r w:rsidRPr="006C40C1">
        <w:t>Skatteutskottet finner ingen anledning att rikta någon invändning mot försl</w:t>
      </w:r>
      <w:r w:rsidRPr="006C40C1">
        <w:t>a</w:t>
      </w:r>
      <w:r w:rsidRPr="006C40C1">
        <w:t>get i motion Fi230 (s, v, mp) om att i miljöpolitiskt syfte införa en särskild skattereduktion i form av ett s.k. ROT-avdrag och tillstyrker att riksdagen hos regeringen begär att regeringen snarast lägger fram förslag om en sådan ska</w:t>
      </w:r>
      <w:r w:rsidRPr="006C40C1">
        <w:t>t</w:t>
      </w:r>
      <w:r w:rsidRPr="006C40C1">
        <w:t>ter</w:t>
      </w:r>
      <w:r w:rsidRPr="006C40C1">
        <w:t>e</w:t>
      </w:r>
      <w:r w:rsidRPr="006C40C1">
        <w:t>duktion.</w:t>
      </w:r>
    </w:p>
    <w:p w:rsidR="00AA5D77" w:rsidRPr="006C40C1" w:rsidRDefault="00AA5D77">
      <w:pPr>
        <w:pStyle w:val="R4"/>
      </w:pPr>
      <w:r w:rsidRPr="006C40C1">
        <w:t>Finansutskottets ställningstagande</w:t>
      </w:r>
    </w:p>
    <w:p w:rsidR="00AA5D77" w:rsidRPr="006C40C1" w:rsidRDefault="00AA5D77">
      <w:r w:rsidRPr="006C40C1">
        <w:t>I likhet med skatteutskottet finner finansutskottet inte anledning att rikta någon invändning mot förslaget om att i miljöpolitiskt syfte införa en särskild skattereduktion i form av ett s.k. ROT-avdrag. Avdraget kan kopplas till att olika slags installationer genom</w:t>
      </w:r>
      <w:r w:rsidRPr="006C40C1">
        <w:softHyphen/>
        <w:t>förs, exempelvis av pelletsbrännare, tregla</w:t>
      </w:r>
      <w:r w:rsidRPr="006C40C1">
        <w:t>s</w:t>
      </w:r>
      <w:r w:rsidRPr="006C40C1">
        <w:t>fönster och isolerglasfönster. Den exakta avgränsningen av vilket slag av installationer som ska omfattas bör ske med beaktande av miljönytta och energieffektivisering, samt att kapa effekttoppar, hos olika alternativ. Avdr</w:t>
      </w:r>
      <w:r w:rsidRPr="006C40C1">
        <w:t>a</w:t>
      </w:r>
      <w:r w:rsidRPr="006C40C1">
        <w:t>get bör utformas på ett kostnads</w:t>
      </w:r>
      <w:r w:rsidRPr="006C40C1">
        <w:softHyphen/>
        <w:t>effektivt sätt och i princip ej ges för install</w:t>
      </w:r>
      <w:r w:rsidRPr="006C40C1">
        <w:t>a</w:t>
      </w:r>
      <w:r w:rsidRPr="006C40C1">
        <w:t>tioner som ändå skulle ha genom</w:t>
      </w:r>
      <w:r w:rsidRPr="006C40C1">
        <w:softHyphen/>
        <w:t>förts. Som ett exempel kan nämnas install</w:t>
      </w:r>
      <w:r w:rsidRPr="006C40C1">
        <w:t>a</w:t>
      </w:r>
      <w:r w:rsidRPr="006C40C1">
        <w:t>tion av isolerglasfönster vid nybyggnation. Lagstiftningen bör enligt utsko</w:t>
      </w:r>
      <w:r w:rsidRPr="006C40C1">
        <w:t>t</w:t>
      </w:r>
      <w:r w:rsidRPr="006C40C1">
        <w:t xml:space="preserve">tets mening </w:t>
      </w:r>
      <w:r w:rsidRPr="006C40C1">
        <w:t>vara tidsbegränsad och gälla under inkomsttaxeringarna 2004–2006. För åtgärden bör en finan</w:t>
      </w:r>
      <w:r w:rsidRPr="006C40C1">
        <w:softHyphen/>
        <w:t>siell ram om 50 miljoner kronor per år avsättas.</w:t>
      </w:r>
    </w:p>
    <w:p w:rsidR="00AA5D77" w:rsidRPr="006C40C1" w:rsidRDefault="00AA5D77">
      <w:pPr>
        <w:pStyle w:val="Normaltindrag"/>
      </w:pPr>
      <w:r w:rsidRPr="006C40C1">
        <w:t>Riksdagen har med anledning av Riksdagens revisorers granskning av tid</w:t>
      </w:r>
      <w:r w:rsidRPr="006C40C1">
        <w:t>i</w:t>
      </w:r>
      <w:r w:rsidRPr="006C40C1">
        <w:softHyphen/>
        <w:t>gare ROT-avdrag uttalat att eventuellt nya åtgärder liknande ROT-avdraget måste analyseras noggrant innan de införs, följas upp medan de är i kraft samt utvärderas inom rimlig tid, liksom att de erfarenheter som kommit fram av ROT-avdragets tillämpning under 1990-talet bör vägas in. I uttalandet fra</w:t>
      </w:r>
      <w:r w:rsidRPr="006C40C1">
        <w:t>m</w:t>
      </w:r>
      <w:r w:rsidRPr="006C40C1">
        <w:softHyphen/>
        <w:t>hölls också att man i ett sådant analys- och utvärderingsarbete bör ta hänsyn till relevanta genus- och jämställdhetsperspektiv (försl. 2001/02:RR8, bet. 2001/02:SkU28).</w:t>
      </w:r>
    </w:p>
    <w:p w:rsidR="00AA5D77" w:rsidRPr="006C40C1" w:rsidRDefault="00AA5D77">
      <w:pPr>
        <w:pStyle w:val="Normaltindrag"/>
      </w:pPr>
      <w:r w:rsidRPr="006C40C1">
        <w:t>Enligt finansutskottets mening bör rik</w:t>
      </w:r>
      <w:r w:rsidRPr="006C40C1">
        <w:t>sdagen begära att regeringen snarast lägger fram förslag om en skattereduktion i enlighet med vad som anförts. Utskottet til</w:t>
      </w:r>
      <w:r w:rsidRPr="006C40C1">
        <w:t>l</w:t>
      </w:r>
      <w:r w:rsidRPr="006C40C1">
        <w:softHyphen/>
        <w:t>styrker således motion Fi230 (s, v, mp) yrkande 16.</w:t>
      </w:r>
    </w:p>
    <w:p w:rsidR="00AA5D77" w:rsidRPr="006C40C1" w:rsidRDefault="00AA5D77">
      <w:pPr>
        <w:pStyle w:val="Rubrik2"/>
      </w:pPr>
      <w:bookmarkStart w:id="533" w:name="_Toc25411185"/>
      <w:bookmarkStart w:id="534" w:name="_Toc26191509"/>
      <w:r w:rsidRPr="006C40C1">
        <w:t>3.8.3 Anställningsstöd och rederistöd</w:t>
      </w:r>
      <w:bookmarkEnd w:id="533"/>
      <w:bookmarkEnd w:id="534"/>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avstyrker motionsförslagen om slopat rederistöd och sä</w:t>
      </w:r>
      <w:r w:rsidRPr="006C40C1">
        <w:t>r</w:t>
      </w:r>
      <w:r w:rsidRPr="006C40C1">
        <w:t>skilt anställningsstöd.</w:t>
      </w:r>
    </w:p>
    <w:p w:rsidR="00AA5D77" w:rsidRPr="006C40C1" w:rsidRDefault="00AA5D77">
      <w:pPr>
        <w:pStyle w:val="Utskottsfrslagikorthet-Text"/>
      </w:pPr>
      <w:r w:rsidRPr="006C40C1">
        <w:t xml:space="preserve">  Jämför reservationerna 8 (m), 9 (fp) och 10 (kd).</w:t>
      </w:r>
    </w:p>
    <w:p w:rsidR="00AA5D77" w:rsidRPr="006C40C1" w:rsidRDefault="00AA5D77">
      <w:pPr>
        <w:pStyle w:val="R4"/>
      </w:pPr>
      <w:r w:rsidRPr="006C40C1">
        <w:t>Motionerna</w:t>
      </w:r>
    </w:p>
    <w:p w:rsidR="00AA5D77" w:rsidRPr="006C40C1" w:rsidRDefault="00AA5D77">
      <w:r w:rsidRPr="006C40C1">
        <w:t xml:space="preserve">I </w:t>
      </w:r>
      <w:r w:rsidRPr="006C40C1">
        <w:rPr>
          <w:i/>
        </w:rPr>
        <w:t>Moderata samlingspartiets</w:t>
      </w:r>
      <w:r w:rsidRPr="006C40C1">
        <w:t xml:space="preserve"> motion Fi287 yrkandena 34 och 35 av Lennart Hedquist m.fl. (m) föreslår motionärerna att skattereduktionen för rederinä</w:t>
      </w:r>
      <w:r w:rsidRPr="006C40C1">
        <w:t>r</w:t>
      </w:r>
      <w:r w:rsidRPr="006C40C1">
        <w:t xml:space="preserve">ingen upphävs och att kreditering på skattekonto för anställningsstöd inte längre ska medges. </w:t>
      </w:r>
    </w:p>
    <w:p w:rsidR="00AA5D77" w:rsidRPr="006C40C1" w:rsidRDefault="00AA5D77">
      <w:pPr>
        <w:pStyle w:val="Normaltindrag"/>
      </w:pPr>
      <w:r w:rsidRPr="006C40C1">
        <w:t xml:space="preserve">I </w:t>
      </w:r>
      <w:r w:rsidRPr="006C40C1">
        <w:rPr>
          <w:i/>
        </w:rPr>
        <w:t>Kristdemokraternas</w:t>
      </w:r>
      <w:r w:rsidRPr="006C40C1">
        <w:t xml:space="preserve"> motion Fi256 yrkande 28 av Alf Svensson m.fl. (kd) föreslås </w:t>
      </w:r>
      <w:r w:rsidRPr="006C40C1">
        <w:rPr>
          <w:snapToGrid w:val="0"/>
          <w:color w:val="000000"/>
          <w:lang w:eastAsia="sv-SE"/>
        </w:rPr>
        <w:t xml:space="preserve">att det särskilda anställningsstödet avskaffas för att skapa enhetliga regler för anställningsstödet. </w:t>
      </w:r>
    </w:p>
    <w:p w:rsidR="00AA5D77" w:rsidRPr="006C40C1" w:rsidRDefault="00AA5D77">
      <w:pPr>
        <w:pStyle w:val="R4"/>
      </w:pPr>
      <w:r w:rsidRPr="006C40C1">
        <w:t>Finansutskottets ställningstagande</w:t>
      </w:r>
    </w:p>
    <w:p w:rsidR="00AA5D77" w:rsidRPr="006C40C1" w:rsidRDefault="00AA5D77">
      <w:r w:rsidRPr="006C40C1">
        <w:t>Finansutskottet konstaterar att riksdagen i skilda sammanhang ställt sig ba</w:t>
      </w:r>
      <w:r w:rsidRPr="006C40C1">
        <w:t>k</w:t>
      </w:r>
      <w:r w:rsidRPr="006C40C1">
        <w:t>om de stödformer som motionärerna vill avskaffa och ser inte någon anle</w:t>
      </w:r>
      <w:r w:rsidRPr="006C40C1">
        <w:t>d</w:t>
      </w:r>
      <w:r w:rsidRPr="006C40C1">
        <w:t>ning att föreslå riksdagen att ompröva dessa ställningstaganden.</w:t>
      </w:r>
    </w:p>
    <w:p w:rsidR="00AA5D77" w:rsidRPr="006C40C1" w:rsidRDefault="00AA5D77">
      <w:pPr>
        <w:pStyle w:val="Normaltindrag"/>
      </w:pPr>
      <w:r w:rsidRPr="006C40C1">
        <w:t>Utskottet avstyrker motionerna Fi256 (kd) yrkande 28 och Fi287 (m) y</w:t>
      </w:r>
      <w:r w:rsidRPr="006C40C1">
        <w:t>r</w:t>
      </w:r>
      <w:r w:rsidRPr="006C40C1">
        <w:t xml:space="preserve">kandena 34 och 35. </w:t>
      </w:r>
    </w:p>
    <w:p w:rsidR="00AA5D77" w:rsidRPr="006C40C1" w:rsidRDefault="00AA5D77">
      <w:pPr>
        <w:pStyle w:val="Rubrik2"/>
      </w:pPr>
      <w:r w:rsidRPr="006C40C1">
        <w:br w:type="page"/>
      </w:r>
      <w:bookmarkStart w:id="535" w:name="_Toc25411186"/>
      <w:bookmarkStart w:id="536" w:name="_Toc26191510"/>
      <w:r w:rsidRPr="006C40C1">
        <w:t>3.9 Inkomster av statens verksamhet</w:t>
      </w:r>
      <w:bookmarkEnd w:id="535"/>
      <w:bookmarkEnd w:id="536"/>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föreslår att riksdagen godkänner regeringens beräkning av inkomster av statens verksamhet. Därmed avstyrker utskottet här aktuella motionsyrkanden.</w:t>
      </w:r>
    </w:p>
    <w:p w:rsidR="00AA5D77" w:rsidRPr="006C40C1" w:rsidRDefault="00AA5D77">
      <w:pPr>
        <w:pStyle w:val="Utskottsfrslagikorthet-Text"/>
      </w:pPr>
      <w:r w:rsidRPr="006C40C1">
        <w:t xml:space="preserve">  Jämför reservationerna 8 (m), 9 (fp), 10 (kd) och 11 (c).</w:t>
      </w:r>
    </w:p>
    <w:p w:rsidR="00AA5D77" w:rsidRPr="006C40C1" w:rsidRDefault="00AA5D77">
      <w:pPr>
        <w:keepNext/>
        <w:spacing w:before="360" w:line="170" w:lineRule="exact"/>
        <w:rPr>
          <w:b/>
          <w:sz w:val="16"/>
        </w:rPr>
      </w:pPr>
      <w:r w:rsidRPr="006C40C1">
        <w:rPr>
          <w:b/>
          <w:sz w:val="16"/>
        </w:rPr>
        <w:t>Tabell 45. Inkomster av statens verksamhet</w:t>
      </w:r>
    </w:p>
    <w:p w:rsidR="00AA5D77" w:rsidRPr="006C40C1" w:rsidRDefault="006C40C1">
      <w:r w:rsidRPr="006C40C1">
        <w:rPr>
          <w:noProof/>
        </w:rPr>
        <w:drawing>
          <wp:inline distT="0" distB="0" distL="0" distR="0">
            <wp:extent cx="3771900" cy="1485900"/>
            <wp:effectExtent l="0" t="0" r="0" b="0"/>
            <wp:docPr id="50" name="Bil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771900" cy="1485900"/>
                    </a:xfrm>
                    <a:prstGeom prst="rect">
                      <a:avLst/>
                    </a:prstGeom>
                    <a:noFill/>
                    <a:ln>
                      <a:noFill/>
                    </a:ln>
                  </pic:spPr>
                </pic:pic>
              </a:graphicData>
            </a:graphic>
          </wp:inline>
        </w:drawing>
      </w:r>
    </w:p>
    <w:p w:rsidR="00AA5D77" w:rsidRPr="006C40C1" w:rsidRDefault="00AA5D77">
      <w:pPr>
        <w:pStyle w:val="R4"/>
      </w:pPr>
      <w:bookmarkStart w:id="537" w:name="_Toc24531793"/>
      <w:bookmarkStart w:id="538" w:name="_Toc25055336"/>
      <w:r w:rsidRPr="006C40C1">
        <w:t>Motionerna</w:t>
      </w:r>
    </w:p>
    <w:p w:rsidR="00AA5D77" w:rsidRPr="006C40C1" w:rsidRDefault="00AA5D77">
      <w:r w:rsidRPr="006C40C1">
        <w:t xml:space="preserve">I </w:t>
      </w:r>
      <w:r w:rsidRPr="006C40C1">
        <w:rPr>
          <w:i/>
        </w:rPr>
        <w:t>motion Fi231</w:t>
      </w:r>
      <w:r w:rsidRPr="006C40C1">
        <w:t xml:space="preserve"> anför </w:t>
      </w:r>
      <w:r w:rsidRPr="006C40C1">
        <w:rPr>
          <w:i/>
        </w:rPr>
        <w:t>Moderata samlingspartiet</w:t>
      </w:r>
      <w:r w:rsidRPr="006C40C1">
        <w:t xml:space="preserve"> att statens inkomster bör ökas med 300 miljoner kronor genom att tullavgifter och vissa andra offentligrätt</w:t>
      </w:r>
      <w:r w:rsidRPr="006C40C1">
        <w:t>s</w:t>
      </w:r>
      <w:r w:rsidRPr="006C40C1">
        <w:t>liga avgifter förs till inkomsttitel.</w:t>
      </w:r>
    </w:p>
    <w:p w:rsidR="00AA5D77" w:rsidRPr="006C40C1" w:rsidRDefault="00AA5D77">
      <w:pPr>
        <w:pStyle w:val="Normaltindrag"/>
      </w:pPr>
      <w:r w:rsidRPr="006C40C1">
        <w:rPr>
          <w:i/>
        </w:rPr>
        <w:t>Folkpartiet liberalerna</w:t>
      </w:r>
      <w:r w:rsidRPr="006C40C1">
        <w:t xml:space="preserve"> framhåller i </w:t>
      </w:r>
      <w:r w:rsidRPr="006C40C1">
        <w:rPr>
          <w:i/>
        </w:rPr>
        <w:t>motion Fi232</w:t>
      </w:r>
      <w:r w:rsidRPr="006C40C1">
        <w:t xml:space="preserve"> att en auktionering av lokalradiofrekvenser, riks-TV, riksradio samt ersättande av nuvarande prö</w:t>
      </w:r>
      <w:r w:rsidRPr="006C40C1">
        <w:t>v</w:t>
      </w:r>
      <w:r w:rsidRPr="006C40C1">
        <w:t>ningsförfarande med ett auktionsförfarande ger löpande inkomster. Ett åte</w:t>
      </w:r>
      <w:r w:rsidRPr="006C40C1">
        <w:t>r</w:t>
      </w:r>
      <w:r w:rsidRPr="006C40C1">
        <w:t>ställande av beslutet om Barsebäck 1 innebär att ersättning till Vattenfall på planerat sätt ej behöver utgå utan kan inlevereras till staten.</w:t>
      </w:r>
    </w:p>
    <w:p w:rsidR="00AA5D77" w:rsidRPr="006C40C1" w:rsidRDefault="00AA5D77">
      <w:pPr>
        <w:pStyle w:val="Normaltindrag"/>
      </w:pPr>
      <w:r w:rsidRPr="006C40C1">
        <w:rPr>
          <w:i/>
        </w:rPr>
        <w:t>Kristdemokraterna</w:t>
      </w:r>
      <w:r w:rsidRPr="006C40C1">
        <w:t xml:space="preserve"> anför i </w:t>
      </w:r>
      <w:r w:rsidRPr="006C40C1">
        <w:rPr>
          <w:i/>
        </w:rPr>
        <w:t>motion Fi233</w:t>
      </w:r>
      <w:r w:rsidRPr="006C40C1">
        <w:t xml:space="preserve"> att staten kan få in 80 miljoner kronor genom avgifter från försäljning av högskoleutbildning till studenter från länder utanför EES.</w:t>
      </w:r>
    </w:p>
    <w:p w:rsidR="00AA5D77" w:rsidRPr="006C40C1" w:rsidRDefault="00AA5D77">
      <w:pPr>
        <w:pStyle w:val="R4"/>
      </w:pPr>
      <w:r w:rsidRPr="006C40C1">
        <w:t>Finansutskottets ställningstagande</w:t>
      </w:r>
    </w:p>
    <w:p w:rsidR="00AA5D77" w:rsidRPr="006C40C1" w:rsidRDefault="00AA5D77">
      <w:r w:rsidRPr="006C40C1">
        <w:t>Utskottet konstaterar att den inleverans av avgifter som Moderaterna sa</w:t>
      </w:r>
      <w:r w:rsidRPr="006C40C1">
        <w:t>m</w:t>
      </w:r>
      <w:r w:rsidRPr="006C40C1">
        <w:t>lingspartiet föreslår innebär att tullen inte får något resurstillskott jämfört med regeringens förslag. Riksdagen har flera gånger tidigare beräknat de aktuella anslagen med beaktande av att offentligrättsliga avgifter disponeras i ver</w:t>
      </w:r>
      <w:r w:rsidRPr="006C40C1">
        <w:t>k</w:t>
      </w:r>
      <w:r w:rsidRPr="006C40C1">
        <w:t xml:space="preserve">samheten. </w:t>
      </w:r>
    </w:p>
    <w:p w:rsidR="00AA5D77" w:rsidRPr="006C40C1" w:rsidRDefault="00AA5D77">
      <w:pPr>
        <w:pStyle w:val="Normaltindrag"/>
      </w:pPr>
      <w:r w:rsidRPr="006C40C1">
        <w:t xml:space="preserve">Utskottet konstaterar vidare att riksdagen i skilda sammanhang har ställt sig bakom de åtgärder som Folkpartiet motsätter sig. Utskottet finner ingen anledning att föreslå riksdagen att ompröva dessa ställningstaganden. </w:t>
      </w:r>
    </w:p>
    <w:p w:rsidR="00AA5D77" w:rsidRPr="006C40C1" w:rsidRDefault="00AA5D77">
      <w:pPr>
        <w:pStyle w:val="Normaltindrag"/>
      </w:pPr>
      <w:r w:rsidRPr="006C40C1">
        <w:t xml:space="preserve">Utbildningsutskottet avslog i sitt betänkande 2001/02:UbU4 ett förslag om avgiftssättning liknande det som Kristdemokraterna nu föreslår. Utskottet finner inte skäl att nu åter ta upp denna fråga till prövning. </w:t>
      </w:r>
    </w:p>
    <w:p w:rsidR="00AA5D77" w:rsidRPr="006C40C1" w:rsidRDefault="00AA5D77">
      <w:pPr>
        <w:pStyle w:val="Normaltindrag"/>
      </w:pPr>
      <w:r w:rsidRPr="006C40C1">
        <w:t>Utskottet noterar vidare att trots att samtliga oppositionspartier föreslagit långtgående försäljningar av statliga företag har inte något parti beaktat ko</w:t>
      </w:r>
      <w:r w:rsidRPr="006C40C1">
        <w:t>n</w:t>
      </w:r>
      <w:r w:rsidRPr="006C40C1">
        <w:t>sekvenserna av detta på inkomsterna av aktieutdelningen 2003. Endast Kris</w:t>
      </w:r>
      <w:r w:rsidRPr="006C40C1">
        <w:t>t</w:t>
      </w:r>
      <w:r w:rsidRPr="006C40C1">
        <w:t>demokraterna har beaktat detta för 2004.</w:t>
      </w:r>
    </w:p>
    <w:p w:rsidR="00AA5D77" w:rsidRPr="006C40C1" w:rsidRDefault="00AA5D77">
      <w:pPr>
        <w:pStyle w:val="Normaltindrag"/>
      </w:pPr>
      <w:r w:rsidRPr="006C40C1">
        <w:t>Således tillstyrker utskottet budgetpropositionens  förslag till beräkning av inkomster av statens verksamhet och avstyrker motionerna  Fi231 (m) yrka</w:t>
      </w:r>
      <w:r w:rsidRPr="006C40C1">
        <w:t>n</w:t>
      </w:r>
      <w:r w:rsidRPr="006C40C1">
        <w:t>de 4 i denna del, Fi232 (fp) yrkande 4  i denna del samt Fi233 (kd) yrkande 6 i denna del.</w:t>
      </w:r>
    </w:p>
    <w:p w:rsidR="00AA5D77" w:rsidRPr="006C40C1" w:rsidRDefault="00AA5D77">
      <w:pPr>
        <w:pStyle w:val="Rubrik2"/>
      </w:pPr>
      <w:bookmarkStart w:id="539" w:name="_Toc25411187"/>
      <w:bookmarkStart w:id="540" w:name="_Toc26191511"/>
      <w:r w:rsidRPr="006C40C1">
        <w:t>3.10 Lagförslagen</w:t>
      </w:r>
      <w:bookmarkEnd w:id="537"/>
      <w:bookmarkEnd w:id="538"/>
      <w:bookmarkEnd w:id="539"/>
      <w:bookmarkEnd w:id="540"/>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föreslår att regeringens lagförslag antas med de komple</w:t>
      </w:r>
      <w:r w:rsidRPr="006C40C1">
        <w:t>t</w:t>
      </w:r>
      <w:r w:rsidRPr="006C40C1">
        <w:t xml:space="preserve">teringar som framgår av bilaga 3. </w:t>
      </w:r>
    </w:p>
    <w:p w:rsidR="00AA5D77" w:rsidRPr="006C40C1" w:rsidRDefault="00AA5D77">
      <w:pPr>
        <w:pStyle w:val="R4"/>
      </w:pPr>
      <w:r w:rsidRPr="006C40C1">
        <w:t>Beskattning av förvärvsinkomster</w:t>
      </w:r>
    </w:p>
    <w:p w:rsidR="00AA5D77" w:rsidRPr="006C40C1" w:rsidRDefault="00AA5D77">
      <w:r w:rsidRPr="006C40C1">
        <w:t>Utskottet har tillstyrkt förslaget i motion Fi230 yrkande 12 delvis om en ytterligare höjning av grundavdraget och föreslår därför den ändring i rege</w:t>
      </w:r>
      <w:r w:rsidRPr="006C40C1">
        <w:t>r</w:t>
      </w:r>
      <w:r w:rsidRPr="006C40C1">
        <w:t>ingens förslag om ändring i inkomstskattelagen (1999:1229) och de ändringar i lagen (1994:1744) om allmän pensionsavgift, lagen (1998:676) om statlig ålderspensionsavgift, lagen (1998:674) om inkomstgrundad ålderspension och lagen (2001:1227) om självdeklarationer och kontrolluppgifter som framgår av bilaga 3.</w:t>
      </w:r>
    </w:p>
    <w:p w:rsidR="00AA5D77" w:rsidRPr="006C40C1" w:rsidRDefault="00AA5D77">
      <w:pPr>
        <w:pStyle w:val="R4"/>
      </w:pPr>
      <w:r w:rsidRPr="006C40C1">
        <w:t>Förmånsbeskattning av miljövänliga bilar</w:t>
      </w:r>
    </w:p>
    <w:p w:rsidR="00AA5D77" w:rsidRPr="006C40C1" w:rsidRDefault="00AA5D77">
      <w:r w:rsidRPr="006C40C1">
        <w:t>Utskottet har tillstyrkt förslaget i motion Fi230 yrkande 17 om en ettårig förlängning av försöksperioderna med sänkt förmånsvärde för miljöanpassade bilar. Regeringens förslag om ändring i inkomstskattelagen tillförs därför den ändring av punkt 3 i övergångsbestämmelserna till lagen (2001:1175) om ändring i inkomstskattelagen som framgår av bilaga 3.</w:t>
      </w:r>
    </w:p>
    <w:p w:rsidR="00AA5D77" w:rsidRPr="006C40C1" w:rsidRDefault="00AA5D77">
      <w:pPr>
        <w:pStyle w:val="R4"/>
      </w:pPr>
      <w:r w:rsidRPr="006C40C1">
        <w:t>Grön skatteväxling – höjd koldioxidskatt och elskatt</w:t>
      </w:r>
    </w:p>
    <w:p w:rsidR="00AA5D77" w:rsidRPr="006C40C1" w:rsidRDefault="00AA5D77">
      <w:r w:rsidRPr="006C40C1">
        <w:t>Utskottet har tillstyrkt förslaget i motion Fi230 yrkande 12 delvis om en ytterligare höjning av koldioxidskatten och elskatten. Detta föranleder de ändrade skattesatser m.m. i regeringens förslag till lag om ändring i lagen (1994:1776) om skatt på energi som fra</w:t>
      </w:r>
      <w:r w:rsidRPr="006C40C1">
        <w:t>m</w:t>
      </w:r>
      <w:r w:rsidRPr="006C40C1">
        <w:t>går av bilaga 3.</w:t>
      </w:r>
    </w:p>
    <w:p w:rsidR="00AA5D77" w:rsidRPr="006C40C1" w:rsidRDefault="00AA5D77">
      <w:pPr>
        <w:pStyle w:val="R4"/>
      </w:pPr>
      <w:r w:rsidRPr="006C40C1">
        <w:t>Kraftvärmebeskattningen</w:t>
      </w:r>
    </w:p>
    <w:p w:rsidR="00AA5D77" w:rsidRPr="006C40C1" w:rsidRDefault="00AA5D77">
      <w:r w:rsidRPr="006C40C1">
        <w:t>Regeringens förslag om en ny kraftvärmebeskattning avstyrks av utskottet i avvaktan på kommissionens godkännande. Ställningstagandet föranleder att vissa delar utgår ur regeringens förslag om ändring i lagen (1994:1776) om skatt på energi på det sätt som framgår av bilaga 3.</w:t>
      </w:r>
    </w:p>
    <w:p w:rsidR="00AA5D77" w:rsidRPr="006C40C1" w:rsidRDefault="00AA5D77">
      <w:pPr>
        <w:pStyle w:val="R4"/>
      </w:pPr>
      <w:r w:rsidRPr="006C40C1">
        <w:t>Övrigt</w:t>
      </w:r>
    </w:p>
    <w:p w:rsidR="00AA5D77" w:rsidRPr="006C40C1" w:rsidRDefault="00AA5D77">
      <w:r w:rsidRPr="006C40C1">
        <w:t>Utskottet föreslår en komplettering i förslaget till lag om ändring i lagen (1994:1563) om tobaksskatt som syftar till att klargöra att de skattesatser som ska fastställas av Riksskatteverket avser det kommande kalenderåret.</w:t>
      </w:r>
    </w:p>
    <w:p w:rsidR="00AA5D77" w:rsidRPr="006C40C1" w:rsidRDefault="00AA5D77">
      <w:pPr>
        <w:pStyle w:val="Normaltindrag"/>
      </w:pPr>
      <w:r w:rsidRPr="006C40C1">
        <w:t xml:space="preserve">Utskottet har vid sin indexuppräkning av skattesatserna för alkylatbensin kommit till ett något lägre belopp än regeringen föreslagit.  </w:t>
      </w:r>
    </w:p>
    <w:p w:rsidR="00AA5D77" w:rsidRPr="006C40C1" w:rsidRDefault="00AA5D77">
      <w:pPr>
        <w:pStyle w:val="Rubrik2"/>
      </w:pPr>
      <w:bookmarkStart w:id="541" w:name="_Toc25411188"/>
      <w:bookmarkStart w:id="542" w:name="_Toc26191512"/>
      <w:r w:rsidRPr="006C40C1">
        <w:t>3.11 Beräkning av statsbudgetens inkomster för 2003</w:t>
      </w:r>
      <w:bookmarkEnd w:id="541"/>
      <w:bookmarkEnd w:id="542"/>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till beräkning av statsbu</w:t>
      </w:r>
      <w:r w:rsidRPr="006C40C1">
        <w:t>d</w:t>
      </w:r>
      <w:r w:rsidRPr="006C40C1">
        <w:t>getens inkomster med den ändringen att de beräknade inkomsterna minskas med 341 miljoner kronor jämfört med regeringens förslag.</w:t>
      </w:r>
    </w:p>
    <w:p w:rsidR="00AA5D77" w:rsidRPr="006C40C1" w:rsidRDefault="00AA5D77">
      <w:pPr>
        <w:pStyle w:val="Utskottsfrslagikorthet-Text"/>
      </w:pPr>
      <w:r w:rsidRPr="006C40C1">
        <w:t>Utskottet avstyrker därmed de alternativa yrkanden som framförs av Moderata samlingspartiet, Folkpartiet liberalerna, Kristdem</w:t>
      </w:r>
      <w:r w:rsidRPr="006C40C1">
        <w:t>o</w:t>
      </w:r>
      <w:r w:rsidRPr="006C40C1">
        <w:t>kraterna och Cente</w:t>
      </w:r>
      <w:r w:rsidRPr="006C40C1">
        <w:t>r</w:t>
      </w:r>
      <w:r w:rsidRPr="006C40C1">
        <w:t>partiet.</w:t>
      </w:r>
    </w:p>
    <w:p w:rsidR="00AA5D77" w:rsidRPr="006C40C1" w:rsidRDefault="00AA5D77">
      <w:pPr>
        <w:pStyle w:val="Utskottsfrslagikorthet-Text"/>
      </w:pPr>
      <w:r w:rsidRPr="006C40C1">
        <w:t xml:space="preserve">  Jämför reservationerna 8 (m), 9 (fp), 10 (kd) och 11 (c).</w:t>
      </w:r>
    </w:p>
    <w:p w:rsidR="00AA5D77" w:rsidRPr="006C40C1" w:rsidRDefault="00AA5D77">
      <w:pPr>
        <w:pStyle w:val="Rubrik4"/>
        <w:rPr>
          <w:noProof w:val="0"/>
        </w:rPr>
      </w:pPr>
      <w:bookmarkStart w:id="543" w:name="_Toc26191513"/>
      <w:r w:rsidRPr="006C40C1">
        <w:rPr>
          <w:noProof w:val="0"/>
        </w:rPr>
        <w:t>Budgetpropositionen</w:t>
      </w:r>
      <w:bookmarkEnd w:id="543"/>
    </w:p>
    <w:p w:rsidR="00AA5D77" w:rsidRPr="006C40C1" w:rsidRDefault="00AA5D77">
      <w:r w:rsidRPr="006C40C1">
        <w:t>Regeringen redovisar i budgetpropositionen (avsnitt 5.4 och bilaga 1) sin beräkning av statsbudgetens inkomster för 2003 och föreslår att inkomstb</w:t>
      </w:r>
      <w:r w:rsidRPr="006C40C1">
        <w:t>e</w:t>
      </w:r>
      <w:r w:rsidRPr="006C40C1">
        <w:t>räkningen på statsbudgeten godkänns (punkt 7).</w:t>
      </w:r>
    </w:p>
    <w:p w:rsidR="00AA5D77" w:rsidRPr="006C40C1" w:rsidRDefault="00AA5D77">
      <w:pPr>
        <w:pStyle w:val="Normaltindrag"/>
      </w:pPr>
      <w:r w:rsidRPr="006C40C1">
        <w:t>I propositionens kapitel 5 redovisas skatternas utveckling under perioden 2001–2004 enligt tre olika redovisningsprinciper. Den periodiserade redovi</w:t>
      </w:r>
      <w:r w:rsidRPr="006C40C1">
        <w:t>s</w:t>
      </w:r>
      <w:r w:rsidRPr="006C40C1">
        <w:t>ningen visar de skatter som är hänförliga till ett visst inkomstår. Redovisnin</w:t>
      </w:r>
      <w:r w:rsidRPr="006C40C1">
        <w:t>g</w:t>
      </w:r>
      <w:r w:rsidRPr="006C40C1">
        <w:t>en enligt det nya nationalräkenskapssystemet (NR) belyser skatteinkomsterna med hänsyn till de för Europeiska unionen gemensamma definitionerna. Dessutom redovisas statsbudgetens inkomster av skatter och övriga inkoms</w:t>
      </w:r>
      <w:r w:rsidRPr="006C40C1">
        <w:t>t</w:t>
      </w:r>
      <w:r w:rsidRPr="006C40C1">
        <w:t>källor. Inkomsterna på statsbudgeten anges huvudsakligen kassamä</w:t>
      </w:r>
      <w:r w:rsidRPr="006C40C1">
        <w:t>s</w:t>
      </w:r>
      <w:r w:rsidRPr="006C40C1">
        <w:t>sigt.</w:t>
      </w:r>
    </w:p>
    <w:p w:rsidR="00AA5D77" w:rsidRPr="006C40C1" w:rsidRDefault="00AA5D77">
      <w:pPr>
        <w:pStyle w:val="FiU1tabellrubrik2000"/>
        <w:keepNext/>
        <w:keepLines/>
        <w:spacing w:line="240" w:lineRule="auto"/>
        <w:outlineLvl w:val="0"/>
      </w:pPr>
      <w:r w:rsidRPr="006C40C1">
        <w:t>Tabell 46. Offentliga sektorns periodiserade skatter, offentliga sektorns inkomster enligt nationalräkenskaperna samt statsbudgetens inkomster</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Miljarder kronor och procent</w:t>
      </w:r>
    </w:p>
    <w:p w:rsidR="00AA5D77" w:rsidRPr="006C40C1" w:rsidRDefault="006C40C1">
      <w:r w:rsidRPr="006C40C1">
        <w:rPr>
          <w:noProof/>
        </w:rPr>
        <w:drawing>
          <wp:inline distT="0" distB="0" distL="0" distR="0">
            <wp:extent cx="3777615" cy="3477895"/>
            <wp:effectExtent l="0" t="0" r="0" b="0"/>
            <wp:docPr id="51" name="Bild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777615" cy="3477895"/>
                    </a:xfrm>
                    <a:prstGeom prst="rect">
                      <a:avLst/>
                    </a:prstGeom>
                    <a:noFill/>
                    <a:ln>
                      <a:noFill/>
                    </a:ln>
                  </pic:spPr>
                </pic:pic>
              </a:graphicData>
            </a:graphic>
          </wp:inline>
        </w:drawing>
      </w:r>
    </w:p>
    <w:p w:rsidR="00AA5D77" w:rsidRPr="006C40C1" w:rsidRDefault="00AA5D77">
      <w:pPr>
        <w:pStyle w:val="Tabell"/>
        <w:keepNext/>
        <w:keepLines/>
        <w:spacing w:line="160" w:lineRule="exact"/>
        <w:outlineLvl w:val="0"/>
        <w:rPr>
          <w:rFonts w:ascii="Times New Roman" w:hAnsi="Times New Roman"/>
          <w:sz w:val="14"/>
        </w:rPr>
      </w:pPr>
      <w:r w:rsidRPr="006C40C1">
        <w:rPr>
          <w:rFonts w:ascii="Times New Roman" w:hAnsi="Times New Roman"/>
          <w:sz w:val="14"/>
        </w:rPr>
        <w:t xml:space="preserve"> Anm.: Beloppen är avrundade och summerar därför inte.</w:t>
      </w:r>
    </w:p>
    <w:p w:rsidR="00AA5D77" w:rsidRPr="006C40C1" w:rsidRDefault="00AA5D77">
      <w:pPr>
        <w:pStyle w:val="Tabell"/>
        <w:keepNext/>
        <w:keepLines/>
        <w:spacing w:line="160" w:lineRule="exact"/>
        <w:outlineLvl w:val="0"/>
        <w:rPr>
          <w:sz w:val="14"/>
        </w:rPr>
      </w:pPr>
      <w:r w:rsidRPr="006C40C1">
        <w:rPr>
          <w:rFonts w:ascii="Times New Roman" w:hAnsi="Times New Roman"/>
          <w:sz w:val="14"/>
        </w:rPr>
        <w:t xml:space="preserve"> Källa: Proposition 2002/03:1, s. 111.</w:t>
      </w:r>
    </w:p>
    <w:p w:rsidR="00AA5D77" w:rsidRPr="006C40C1" w:rsidRDefault="00AA5D77">
      <w:pPr>
        <w:pStyle w:val="Normaltindrag"/>
      </w:pPr>
    </w:p>
    <w:p w:rsidR="00AA5D77" w:rsidRPr="006C40C1" w:rsidRDefault="00AA5D77">
      <w:r w:rsidRPr="006C40C1">
        <w:t>Skatternas utveckling under prognosperioden enligt de olika redovisning</w:t>
      </w:r>
      <w:r w:rsidRPr="006C40C1">
        <w:t>s</w:t>
      </w:r>
      <w:r w:rsidRPr="006C40C1">
        <w:t>principerna framgår av tabell 46. De periodiserade skatterna, vilka inkluderar de skatter som betalas till Europeiska unionen, ökar mellan 2001 och 2004 med 128 miljarder kronor. Ökningen förklaras i huvudsak av tillväxten i kom</w:t>
      </w:r>
      <w:r w:rsidRPr="006C40C1">
        <w:softHyphen/>
        <w:t>munskatter, arbetsgivaravgifter och mervärdes</w:t>
      </w:r>
      <w:r w:rsidRPr="006C40C1">
        <w:softHyphen/>
        <w:t>skatt. Den beräknade årliga ökningen under perioden 2002–2004 är ojämn och varierar mellan 16 och 66 miljarder kronor. Den svaga utvecklingen 2002 förklaras till största delen av de skattesänkningar som trädde i kraft 2002, medan ökning</w:t>
      </w:r>
      <w:r w:rsidRPr="006C40C1">
        <w:t>en under 2003 till viss del förklaras av att det särskilda grundavdraget för pensionärer ersätts med en beskattad g</w:t>
      </w:r>
      <w:r w:rsidRPr="006C40C1">
        <w:t>a</w:t>
      </w:r>
      <w:r w:rsidRPr="006C40C1">
        <w:t>rantipension. Omläggningen innebär dock ingen budget</w:t>
      </w:r>
      <w:r w:rsidRPr="006C40C1">
        <w:softHyphen/>
        <w:t>förstärkning eftersom de ökade skatteintäkterna motsvaras av ökade pe</w:t>
      </w:r>
      <w:r w:rsidRPr="006C40C1">
        <w:t>n</w:t>
      </w:r>
      <w:r w:rsidRPr="006C40C1">
        <w:t>sionsutbetalningar. Den underliggande årliga förändringen under samma period är enligt regeringens beräkningar betydligt jämnare och uppgår till 41, 52 respektive 46 miljarder kr</w:t>
      </w:r>
      <w:r w:rsidRPr="006C40C1">
        <w:t>o</w:t>
      </w:r>
      <w:r w:rsidRPr="006C40C1">
        <w:t>nor.</w:t>
      </w:r>
    </w:p>
    <w:p w:rsidR="00AA5D77" w:rsidRPr="006C40C1" w:rsidRDefault="00AA5D77">
      <w:pPr>
        <w:pStyle w:val="Normaltindrag"/>
      </w:pPr>
      <w:r w:rsidRPr="006C40C1">
        <w:t>Skatterna enligt nationalräkenskaperna (NR) beräknas öka med 80 milja</w:t>
      </w:r>
      <w:r w:rsidRPr="006C40C1">
        <w:t>r</w:t>
      </w:r>
      <w:r w:rsidRPr="006C40C1">
        <w:t>der kronor mellan 2001 och 2004. Den långsam</w:t>
      </w:r>
      <w:r w:rsidRPr="006C40C1">
        <w:softHyphen/>
        <w:t>mare utvecklingen av skatte</w:t>
      </w:r>
      <w:r w:rsidRPr="006C40C1">
        <w:t>r</w:t>
      </w:r>
      <w:r w:rsidRPr="006C40C1">
        <w:t>na enligt NR jämfört med de periodiserade skatterna för</w:t>
      </w:r>
      <w:r w:rsidRPr="006C40C1">
        <w:softHyphen/>
        <w:t>klaras av stora peri</w:t>
      </w:r>
      <w:r w:rsidRPr="006C40C1">
        <w:t>o</w:t>
      </w:r>
      <w:r w:rsidRPr="006C40C1">
        <w:t>diseringseffekter i början av perioden. Effekterna avser bl.a. hushållens skatt på kapitalvinster inkomståret 2000 som i NR-redovisningen påverkar skatte</w:t>
      </w:r>
      <w:r w:rsidRPr="006C40C1">
        <w:t>r</w:t>
      </w:r>
      <w:r w:rsidRPr="006C40C1">
        <w:t>na först år 2001.</w:t>
      </w:r>
    </w:p>
    <w:p w:rsidR="00AA5D77" w:rsidRPr="006C40C1" w:rsidRDefault="00AA5D77">
      <w:pPr>
        <w:pStyle w:val="Normaltindrag"/>
      </w:pPr>
      <w:r w:rsidRPr="006C40C1">
        <w:t>Statsbudgetens skatteinkomster minskar mellan 2002 och 2004 med 17 miljarder kronor. Den svaga utvecklingen 2002 förklaras dels av beslutade skatteändringar, dels av periodiserings</w:t>
      </w:r>
      <w:r w:rsidRPr="006C40C1">
        <w:softHyphen/>
        <w:t>effekter avseende hushållens skatt på kapitalvinster. Mellan 2002 och 2003 beräknas statsbudgetens skatteinkom</w:t>
      </w:r>
      <w:r w:rsidRPr="006C40C1">
        <w:t>s</w:t>
      </w:r>
      <w:r w:rsidRPr="006C40C1">
        <w:t>ter minska med 16 miljarder kronor främst till följd av omlägg</w:t>
      </w:r>
      <w:r w:rsidRPr="006C40C1">
        <w:softHyphen/>
        <w:t>ningen av det kommunala momssystemet. Övriga inkomster på stats</w:t>
      </w:r>
      <w:r w:rsidRPr="006C40C1">
        <w:softHyphen/>
        <w:t>budgeten beräknas under prognosperioden minska med 8 miljarder kronor. Inkomster av försåld egendom beräknas öka med 15 miljarder kronor, vilket motverkas av att Riksbankens inlevererade överskott minskar med 22 miljarder kronor bl.a. till följd av att den extra utdelninge</w:t>
      </w:r>
      <w:r w:rsidRPr="006C40C1">
        <w:t>n som riksdagen beslutat om enbart gäller 2001 och 2002.</w:t>
      </w:r>
    </w:p>
    <w:p w:rsidR="00AA5D77" w:rsidRPr="006C40C1" w:rsidRDefault="00AA5D77">
      <w:pPr>
        <w:pStyle w:val="Normaltindrag"/>
      </w:pPr>
      <w:r w:rsidRPr="006C40C1">
        <w:t>En specifikation av statsbudgetens inkomster på huvudtitlar för prognosp</w:t>
      </w:r>
      <w:r w:rsidRPr="006C40C1">
        <w:t>e</w:t>
      </w:r>
      <w:r w:rsidRPr="006C40C1">
        <w:t>rioden redovisas i nedanstående tabell.</w:t>
      </w:r>
    </w:p>
    <w:p w:rsidR="00AA5D77" w:rsidRPr="006C40C1" w:rsidRDefault="00AA5D77">
      <w:pPr>
        <w:pStyle w:val="FiU1tabellrubrik2000"/>
        <w:keepNext/>
        <w:keepLines/>
        <w:spacing w:line="240" w:lineRule="auto"/>
        <w:outlineLvl w:val="0"/>
      </w:pPr>
      <w:r w:rsidRPr="006C40C1">
        <w:t>Tabell 47. Statsbudgetens inkomster 2001–2004</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 xml:space="preserve">Miljarder kronor </w:t>
      </w:r>
    </w:p>
    <w:p w:rsidR="00AA5D77" w:rsidRPr="006C40C1" w:rsidRDefault="006C40C1">
      <w:r w:rsidRPr="006C40C1">
        <w:rPr>
          <w:noProof/>
        </w:rPr>
        <w:drawing>
          <wp:inline distT="0" distB="0" distL="0" distR="0">
            <wp:extent cx="3777615" cy="1175385"/>
            <wp:effectExtent l="0" t="0" r="0" b="0"/>
            <wp:docPr id="52" name="Bild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777615" cy="1175385"/>
                    </a:xfrm>
                    <a:prstGeom prst="rect">
                      <a:avLst/>
                    </a:prstGeom>
                    <a:noFill/>
                    <a:ln>
                      <a:noFill/>
                    </a:ln>
                  </pic:spPr>
                </pic:pic>
              </a:graphicData>
            </a:graphic>
          </wp:inline>
        </w:drawing>
      </w:r>
    </w:p>
    <w:p w:rsidR="00AA5D77" w:rsidRPr="006C40C1" w:rsidRDefault="00AA5D77">
      <w:pPr>
        <w:pStyle w:val="Tabell"/>
        <w:keepNext/>
        <w:keepLines/>
        <w:spacing w:after="40"/>
        <w:outlineLvl w:val="0"/>
        <w:rPr>
          <w:rFonts w:ascii="Times New Roman" w:hAnsi="Times New Roman"/>
          <w:sz w:val="14"/>
        </w:rPr>
      </w:pPr>
      <w:r w:rsidRPr="006C40C1">
        <w:rPr>
          <w:sz w:val="14"/>
        </w:rPr>
        <w:t xml:space="preserve"> </w:t>
      </w:r>
      <w:r w:rsidRPr="006C40C1">
        <w:rPr>
          <w:rFonts w:ascii="Times New Roman" w:hAnsi="Times New Roman"/>
          <w:sz w:val="14"/>
        </w:rPr>
        <w:t>Källa: Proposition 2002/03:1, s.129.</w:t>
      </w:r>
    </w:p>
    <w:p w:rsidR="00AA5D77" w:rsidRPr="006C40C1" w:rsidRDefault="00AA5D77"/>
    <w:p w:rsidR="00AA5D77" w:rsidRPr="006C40C1" w:rsidRDefault="00AA5D77">
      <w:r w:rsidRPr="006C40C1">
        <w:t>I propositionen beräknas inkomsterna för 2003 uppgå till 701,3 miljarder kronor. I beräkningarna har hänsyn tagits till budgeteffekter av föreslagna åtgärder på skatteområdet. De av regeringen föreslagna åtgärderna redovisas i nedanstående tabell.</w:t>
      </w:r>
    </w:p>
    <w:p w:rsidR="00AA5D77" w:rsidRPr="006C40C1" w:rsidRDefault="00AA5D77">
      <w:pPr>
        <w:pStyle w:val="Normaltindrag"/>
      </w:pPr>
    </w:p>
    <w:p w:rsidR="00AA5D77" w:rsidRPr="006C40C1" w:rsidRDefault="00AA5D77">
      <w:pPr>
        <w:pStyle w:val="FiU1tabellrubrik2000"/>
        <w:keepNext/>
        <w:keepLines/>
        <w:spacing w:line="240" w:lineRule="auto"/>
        <w:ind w:left="-1418" w:right="-1418"/>
        <w:jc w:val="left"/>
        <w:outlineLvl w:val="0"/>
        <w:rPr>
          <w:sz w:val="16"/>
        </w:rPr>
      </w:pPr>
      <w:bookmarkStart w:id="544" w:name="_Toc21513575"/>
      <w:r w:rsidRPr="006C40C1">
        <w:br w:type="page"/>
      </w:r>
      <w:r w:rsidRPr="006C40C1">
        <w:rPr>
          <w:sz w:val="16"/>
        </w:rPr>
        <w:t xml:space="preserve">Tabell 48. Budgeteffekter av åtgärder på skatteområdet i BP 2003 m.m. </w:t>
      </w:r>
    </w:p>
    <w:p w:rsidR="00AA5D77" w:rsidRPr="006C40C1" w:rsidRDefault="00AA5D77">
      <w:pPr>
        <w:pStyle w:val="FiU1tabellrubrik2000"/>
        <w:keepNext/>
        <w:keepLines/>
        <w:spacing w:before="0" w:line="240" w:lineRule="auto"/>
        <w:ind w:left="-1418" w:right="-1418"/>
        <w:jc w:val="left"/>
        <w:outlineLvl w:val="0"/>
        <w:rPr>
          <w:b w:val="0"/>
        </w:rPr>
      </w:pPr>
      <w:r w:rsidRPr="006C40C1">
        <w:rPr>
          <w:b w:val="0"/>
          <w:sz w:val="16"/>
        </w:rPr>
        <w:t xml:space="preserve">Bruttoeffekter, kassamässiga effekter för statsbudgeten och periodiserade nettoeffekter för offentlig sektor </w:t>
      </w:r>
      <w:r w:rsidRPr="006C40C1">
        <w:rPr>
          <w:b w:val="0"/>
          <w:sz w:val="16"/>
        </w:rPr>
        <w:br/>
        <w:t>åren 2003–2004 samt varaktiga effekter för offentlig sektor</w:t>
      </w:r>
      <w:bookmarkEnd w:id="544"/>
    </w:p>
    <w:p w:rsidR="00AA5D77" w:rsidRPr="006C40C1" w:rsidRDefault="00AA5D77">
      <w:pPr>
        <w:pStyle w:val="Tabell"/>
        <w:keepNext/>
        <w:keepLines/>
        <w:spacing w:after="40"/>
        <w:ind w:left="-1418" w:right="-1418"/>
        <w:outlineLvl w:val="0"/>
        <w:rPr>
          <w:rFonts w:ascii="Times New Roman" w:hAnsi="Times New Roman"/>
          <w:spacing w:val="0"/>
          <w:sz w:val="14"/>
        </w:rPr>
      </w:pPr>
      <w:r w:rsidRPr="006C40C1">
        <w:rPr>
          <w:rFonts w:ascii="Times New Roman" w:hAnsi="Times New Roman"/>
          <w:spacing w:val="0"/>
          <w:sz w:val="14"/>
        </w:rPr>
        <w:t xml:space="preserve">Miljarder kronor </w:t>
      </w:r>
    </w:p>
    <w:tbl>
      <w:tblPr>
        <w:tblW w:w="0" w:type="auto"/>
        <w:jc w:val="right"/>
        <w:tblBorders>
          <w:top w:val="single" w:sz="4" w:space="0" w:color="auto"/>
          <w:bottom w:val="single" w:sz="4" w:space="0" w:color="auto"/>
          <w:insideH w:val="single" w:sz="2" w:space="0" w:color="auto"/>
        </w:tblBorders>
        <w:tblLayout w:type="fixed"/>
        <w:tblCellMar>
          <w:left w:w="107" w:type="dxa"/>
          <w:right w:w="107" w:type="dxa"/>
        </w:tblCellMar>
        <w:tblLook w:val="0000" w:firstRow="0" w:lastRow="0" w:firstColumn="0" w:lastColumn="0" w:noHBand="0" w:noVBand="0"/>
      </w:tblPr>
      <w:tblGrid>
        <w:gridCol w:w="2606"/>
        <w:gridCol w:w="794"/>
        <w:gridCol w:w="680"/>
        <w:gridCol w:w="680"/>
        <w:gridCol w:w="567"/>
        <w:gridCol w:w="680"/>
        <w:gridCol w:w="681"/>
        <w:gridCol w:w="791"/>
      </w:tblGrid>
      <w:tr w:rsidR="00000000" w:rsidRPr="006C40C1">
        <w:tblPrEx>
          <w:tblCellMar>
            <w:top w:w="0" w:type="dxa"/>
            <w:bottom w:w="0" w:type="dxa"/>
          </w:tblCellMar>
        </w:tblPrEx>
        <w:trPr>
          <w:cantSplit/>
          <w:trHeight w:val="240"/>
          <w:jc w:val="right"/>
        </w:trPr>
        <w:tc>
          <w:tcPr>
            <w:tcW w:w="2606" w:type="dxa"/>
            <w:tcBorders>
              <w:top w:val="single" w:sz="4" w:space="0" w:color="auto"/>
              <w:bottom w:val="nil"/>
            </w:tcBorders>
          </w:tcPr>
          <w:p w:rsidR="00AA5D77" w:rsidRPr="006C40C1" w:rsidRDefault="00AA5D77">
            <w:pPr>
              <w:pStyle w:val="Brdtext"/>
              <w:tabs>
                <w:tab w:val="left" w:pos="135"/>
              </w:tabs>
              <w:rPr>
                <w:sz w:val="16"/>
              </w:rPr>
            </w:pPr>
          </w:p>
        </w:tc>
        <w:tc>
          <w:tcPr>
            <w:tcW w:w="794" w:type="dxa"/>
            <w:tcBorders>
              <w:top w:val="single" w:sz="4" w:space="0" w:color="auto"/>
              <w:bottom w:val="nil"/>
            </w:tcBorders>
          </w:tcPr>
          <w:p w:rsidR="00AA5D77" w:rsidRPr="006C40C1" w:rsidRDefault="00AA5D77">
            <w:pPr>
              <w:pStyle w:val="Brdtext"/>
              <w:rPr>
                <w:sz w:val="16"/>
              </w:rPr>
            </w:pPr>
          </w:p>
        </w:tc>
        <w:tc>
          <w:tcPr>
            <w:tcW w:w="680" w:type="dxa"/>
            <w:tcBorders>
              <w:top w:val="single" w:sz="4" w:space="0" w:color="auto"/>
              <w:bottom w:val="nil"/>
            </w:tcBorders>
          </w:tcPr>
          <w:p w:rsidR="00AA5D77" w:rsidRPr="006C40C1" w:rsidRDefault="00AA5D77">
            <w:pPr>
              <w:pStyle w:val="Brdtext"/>
              <w:rPr>
                <w:sz w:val="16"/>
              </w:rPr>
            </w:pPr>
          </w:p>
        </w:tc>
        <w:tc>
          <w:tcPr>
            <w:tcW w:w="680" w:type="dxa"/>
            <w:tcBorders>
              <w:top w:val="single" w:sz="4" w:space="0" w:color="auto"/>
              <w:bottom w:val="single" w:sz="4" w:space="0" w:color="auto"/>
            </w:tcBorders>
          </w:tcPr>
          <w:p w:rsidR="00AA5D77" w:rsidRPr="006C40C1" w:rsidRDefault="00AA5D77">
            <w:pPr>
              <w:pStyle w:val="Brdtext"/>
              <w:jc w:val="right"/>
              <w:rPr>
                <w:sz w:val="16"/>
              </w:rPr>
            </w:pPr>
            <w:r w:rsidRPr="006C40C1">
              <w:rPr>
                <w:sz w:val="16"/>
              </w:rPr>
              <w:t>Staten</w:t>
            </w:r>
          </w:p>
        </w:tc>
        <w:tc>
          <w:tcPr>
            <w:tcW w:w="567" w:type="dxa"/>
            <w:tcBorders>
              <w:top w:val="single" w:sz="4" w:space="0" w:color="auto"/>
              <w:bottom w:val="single" w:sz="4" w:space="0" w:color="auto"/>
            </w:tcBorders>
          </w:tcPr>
          <w:p w:rsidR="00AA5D77" w:rsidRPr="006C40C1" w:rsidRDefault="00AA5D77">
            <w:pPr>
              <w:pStyle w:val="Brdtext"/>
              <w:jc w:val="center"/>
              <w:rPr>
                <w:sz w:val="16"/>
              </w:rPr>
            </w:pPr>
          </w:p>
        </w:tc>
        <w:tc>
          <w:tcPr>
            <w:tcW w:w="1361" w:type="dxa"/>
            <w:gridSpan w:val="2"/>
            <w:tcBorders>
              <w:top w:val="single" w:sz="4" w:space="0" w:color="auto"/>
              <w:bottom w:val="single" w:sz="4" w:space="0" w:color="auto"/>
            </w:tcBorders>
          </w:tcPr>
          <w:p w:rsidR="00AA5D77" w:rsidRPr="006C40C1" w:rsidRDefault="00AA5D77">
            <w:pPr>
              <w:pStyle w:val="Brdtext"/>
              <w:jc w:val="center"/>
              <w:rPr>
                <w:sz w:val="16"/>
              </w:rPr>
            </w:pPr>
            <w:r w:rsidRPr="006C40C1">
              <w:rPr>
                <w:sz w:val="16"/>
              </w:rPr>
              <w:t>Offentlig sektor</w:t>
            </w:r>
          </w:p>
        </w:tc>
        <w:tc>
          <w:tcPr>
            <w:tcW w:w="790" w:type="dxa"/>
            <w:tcBorders>
              <w:top w:val="single" w:sz="4" w:space="0" w:color="auto"/>
              <w:bottom w:val="single" w:sz="4" w:space="0" w:color="auto"/>
            </w:tcBorders>
          </w:tcPr>
          <w:p w:rsidR="00AA5D77" w:rsidRPr="006C40C1" w:rsidRDefault="00AA5D77">
            <w:pPr>
              <w:pStyle w:val="Brdtext"/>
              <w:rPr>
                <w:sz w:val="16"/>
              </w:rPr>
            </w:pPr>
          </w:p>
        </w:tc>
      </w:tr>
      <w:tr w:rsidR="00000000" w:rsidRPr="006C40C1">
        <w:tblPrEx>
          <w:tblCellMar>
            <w:top w:w="0" w:type="dxa"/>
            <w:bottom w:w="0" w:type="dxa"/>
          </w:tblCellMar>
        </w:tblPrEx>
        <w:trPr>
          <w:jc w:val="right"/>
        </w:trPr>
        <w:tc>
          <w:tcPr>
            <w:tcW w:w="2606" w:type="dxa"/>
            <w:tcBorders>
              <w:top w:val="nil"/>
              <w:bottom w:val="single" w:sz="4" w:space="0" w:color="auto"/>
            </w:tcBorders>
          </w:tcPr>
          <w:p w:rsidR="00AA5D77" w:rsidRPr="006C40C1" w:rsidRDefault="00AA5D77">
            <w:pPr>
              <w:pStyle w:val="Brdtext"/>
              <w:tabs>
                <w:tab w:val="left" w:pos="135"/>
              </w:tabs>
              <w:rPr>
                <w:sz w:val="16"/>
              </w:rPr>
            </w:pPr>
          </w:p>
        </w:tc>
        <w:tc>
          <w:tcPr>
            <w:tcW w:w="794" w:type="dxa"/>
            <w:tcBorders>
              <w:top w:val="nil"/>
              <w:bottom w:val="single" w:sz="4" w:space="0" w:color="auto"/>
            </w:tcBorders>
          </w:tcPr>
          <w:p w:rsidR="00AA5D77" w:rsidRPr="006C40C1" w:rsidRDefault="00AA5D77">
            <w:pPr>
              <w:pStyle w:val="Brdtext"/>
              <w:spacing w:line="240" w:lineRule="auto"/>
              <w:jc w:val="center"/>
              <w:rPr>
                <w:sz w:val="16"/>
              </w:rPr>
            </w:pPr>
          </w:p>
          <w:p w:rsidR="00AA5D77" w:rsidRPr="006C40C1" w:rsidRDefault="00AA5D77">
            <w:pPr>
              <w:pStyle w:val="Brdtext"/>
              <w:spacing w:line="240" w:lineRule="auto"/>
              <w:jc w:val="center"/>
              <w:rPr>
                <w:sz w:val="16"/>
              </w:rPr>
            </w:pPr>
            <w:r w:rsidRPr="006C40C1">
              <w:rPr>
                <w:sz w:val="16"/>
              </w:rPr>
              <w:t>I kraft</w:t>
            </w:r>
          </w:p>
        </w:tc>
        <w:tc>
          <w:tcPr>
            <w:tcW w:w="680" w:type="dxa"/>
            <w:tcBorders>
              <w:top w:val="nil"/>
              <w:bottom w:val="single" w:sz="4" w:space="0" w:color="auto"/>
            </w:tcBorders>
            <w:vAlign w:val="bottom"/>
          </w:tcPr>
          <w:p w:rsidR="00AA5D77" w:rsidRPr="006C40C1" w:rsidRDefault="00AA5D77">
            <w:pPr>
              <w:pStyle w:val="Brdtext"/>
              <w:spacing w:line="240" w:lineRule="auto"/>
              <w:jc w:val="center"/>
              <w:rPr>
                <w:sz w:val="16"/>
              </w:rPr>
            </w:pPr>
            <w:r w:rsidRPr="006C40C1">
              <w:rPr>
                <w:sz w:val="16"/>
              </w:rPr>
              <w:t> Bruttoeffekt</w:t>
            </w:r>
            <w:r w:rsidRPr="006C40C1">
              <w:rPr>
                <w:sz w:val="16"/>
                <w:vertAlign w:val="superscript"/>
              </w:rPr>
              <w:t>1</w:t>
            </w:r>
            <w:r w:rsidRPr="006C40C1">
              <w:rPr>
                <w:sz w:val="16"/>
              </w:rPr>
              <w:t xml:space="preserve">  </w:t>
            </w:r>
          </w:p>
        </w:tc>
        <w:tc>
          <w:tcPr>
            <w:tcW w:w="680" w:type="dxa"/>
            <w:tcBorders>
              <w:top w:val="single" w:sz="4" w:space="0" w:color="auto"/>
              <w:bottom w:val="single" w:sz="4" w:space="0" w:color="auto"/>
            </w:tcBorders>
          </w:tcPr>
          <w:p w:rsidR="00AA5D77" w:rsidRPr="006C40C1" w:rsidRDefault="00AA5D77">
            <w:pPr>
              <w:pStyle w:val="Brdtext"/>
              <w:spacing w:line="240" w:lineRule="auto"/>
              <w:jc w:val="right"/>
              <w:rPr>
                <w:sz w:val="16"/>
              </w:rPr>
            </w:pPr>
            <w:r w:rsidRPr="006C40C1">
              <w:rPr>
                <w:sz w:val="16"/>
              </w:rPr>
              <w:br/>
              <w:t>2003</w:t>
            </w:r>
          </w:p>
        </w:tc>
        <w:tc>
          <w:tcPr>
            <w:tcW w:w="567" w:type="dxa"/>
            <w:tcBorders>
              <w:top w:val="single" w:sz="4" w:space="0" w:color="auto"/>
              <w:bottom w:val="single" w:sz="4" w:space="0" w:color="auto"/>
            </w:tcBorders>
          </w:tcPr>
          <w:p w:rsidR="00AA5D77" w:rsidRPr="006C40C1" w:rsidRDefault="00AA5D77">
            <w:pPr>
              <w:pStyle w:val="Brdtext"/>
              <w:spacing w:line="240" w:lineRule="auto"/>
              <w:jc w:val="right"/>
              <w:rPr>
                <w:sz w:val="16"/>
              </w:rPr>
            </w:pPr>
          </w:p>
          <w:p w:rsidR="00AA5D77" w:rsidRPr="006C40C1" w:rsidRDefault="00AA5D77">
            <w:pPr>
              <w:pStyle w:val="Brdtext"/>
              <w:spacing w:line="240" w:lineRule="auto"/>
              <w:jc w:val="right"/>
              <w:rPr>
                <w:sz w:val="16"/>
              </w:rPr>
            </w:pPr>
            <w:r w:rsidRPr="006C40C1">
              <w:rPr>
                <w:sz w:val="16"/>
              </w:rPr>
              <w:t>2004</w:t>
            </w:r>
          </w:p>
        </w:tc>
        <w:tc>
          <w:tcPr>
            <w:tcW w:w="680" w:type="dxa"/>
            <w:tcBorders>
              <w:top w:val="single" w:sz="4" w:space="0" w:color="auto"/>
              <w:bottom w:val="single" w:sz="4" w:space="0" w:color="auto"/>
            </w:tcBorders>
          </w:tcPr>
          <w:p w:rsidR="00AA5D77" w:rsidRPr="006C40C1" w:rsidRDefault="00AA5D77">
            <w:pPr>
              <w:pStyle w:val="Brdtext"/>
              <w:spacing w:line="240" w:lineRule="auto"/>
              <w:jc w:val="right"/>
              <w:rPr>
                <w:sz w:val="16"/>
              </w:rPr>
            </w:pPr>
            <w:r w:rsidRPr="006C40C1">
              <w:rPr>
                <w:sz w:val="16"/>
              </w:rPr>
              <w:br/>
              <w:t>2003</w:t>
            </w:r>
          </w:p>
        </w:tc>
        <w:tc>
          <w:tcPr>
            <w:tcW w:w="680" w:type="dxa"/>
            <w:tcBorders>
              <w:top w:val="single" w:sz="4" w:space="0" w:color="auto"/>
              <w:bottom w:val="single" w:sz="4" w:space="0" w:color="auto"/>
            </w:tcBorders>
          </w:tcPr>
          <w:p w:rsidR="00AA5D77" w:rsidRPr="006C40C1" w:rsidRDefault="00AA5D77">
            <w:pPr>
              <w:pStyle w:val="Brdtext"/>
              <w:spacing w:line="240" w:lineRule="auto"/>
              <w:jc w:val="right"/>
              <w:rPr>
                <w:sz w:val="16"/>
              </w:rPr>
            </w:pPr>
            <w:r w:rsidRPr="006C40C1">
              <w:rPr>
                <w:sz w:val="16"/>
              </w:rPr>
              <w:br/>
              <w:t>2004</w:t>
            </w:r>
          </w:p>
        </w:tc>
        <w:tc>
          <w:tcPr>
            <w:tcW w:w="791" w:type="dxa"/>
            <w:tcBorders>
              <w:top w:val="single" w:sz="4" w:space="0" w:color="auto"/>
              <w:bottom w:val="single" w:sz="4" w:space="0" w:color="auto"/>
            </w:tcBorders>
          </w:tcPr>
          <w:p w:rsidR="00AA5D77" w:rsidRPr="006C40C1" w:rsidRDefault="00AA5D77">
            <w:pPr>
              <w:pStyle w:val="Brdtext"/>
              <w:rPr>
                <w:sz w:val="16"/>
              </w:rPr>
            </w:pPr>
            <w:r w:rsidRPr="006C40C1">
              <w:rPr>
                <w:sz w:val="16"/>
              </w:rPr>
              <w:t>Varaktig effekt o.</w:t>
            </w:r>
          </w:p>
          <w:p w:rsidR="00AA5D77" w:rsidRPr="006C40C1" w:rsidRDefault="00AA5D77">
            <w:pPr>
              <w:pStyle w:val="Brdtext"/>
              <w:rPr>
                <w:sz w:val="16"/>
              </w:rPr>
            </w:pPr>
            <w:r w:rsidRPr="006C40C1">
              <w:rPr>
                <w:sz w:val="16"/>
              </w:rPr>
              <w:t>off. sekt.</w:t>
            </w:r>
          </w:p>
        </w:tc>
      </w:tr>
      <w:tr w:rsidR="00000000" w:rsidRPr="006C40C1">
        <w:tblPrEx>
          <w:tblCellMar>
            <w:top w:w="0" w:type="dxa"/>
            <w:bottom w:w="0" w:type="dxa"/>
          </w:tblCellMar>
        </w:tblPrEx>
        <w:trPr>
          <w:jc w:val="right"/>
        </w:trPr>
        <w:tc>
          <w:tcPr>
            <w:tcW w:w="7478" w:type="dxa"/>
            <w:gridSpan w:val="8"/>
            <w:tcBorders>
              <w:top w:val="single" w:sz="4" w:space="0" w:color="auto"/>
            </w:tcBorders>
          </w:tcPr>
          <w:p w:rsidR="00AA5D77" w:rsidRPr="006C40C1" w:rsidRDefault="00AA5D77">
            <w:pPr>
              <w:pStyle w:val="AnvndHyperlnk"/>
              <w:tabs>
                <w:tab w:val="left" w:pos="135"/>
              </w:tabs>
              <w:jc w:val="left"/>
              <w:rPr>
                <w:b/>
                <w:sz w:val="16"/>
              </w:rPr>
            </w:pPr>
            <w:r w:rsidRPr="006C40C1">
              <w:rPr>
                <w:b/>
                <w:sz w:val="16"/>
              </w:rPr>
              <w:t>I. Förslag i budgetpropositionen</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i/>
                <w:sz w:val="16"/>
              </w:rPr>
            </w:pPr>
            <w:r w:rsidRPr="006C40C1">
              <w:rPr>
                <w:i/>
                <w:sz w:val="16"/>
              </w:rPr>
              <w:t>Förvärvsinkomstskatt</w:t>
            </w:r>
          </w:p>
        </w:tc>
        <w:tc>
          <w:tcPr>
            <w:tcW w:w="794" w:type="dxa"/>
            <w:vAlign w:val="bottom"/>
          </w:tcPr>
          <w:p w:rsidR="00AA5D77" w:rsidRPr="006C40C1" w:rsidRDefault="00AA5D77">
            <w:pPr>
              <w:pStyle w:val="AnvndHyperlnk"/>
              <w:spacing w:line="240" w:lineRule="auto"/>
              <w:rPr>
                <w:sz w:val="16"/>
              </w:rPr>
            </w:pPr>
          </w:p>
        </w:tc>
        <w:tc>
          <w:tcPr>
            <w:tcW w:w="680" w:type="dxa"/>
            <w:vAlign w:val="bottom"/>
          </w:tcPr>
          <w:p w:rsidR="00AA5D77" w:rsidRPr="006C40C1" w:rsidRDefault="00AA5D77">
            <w:pPr>
              <w:pStyle w:val="AnvndHyperlnk"/>
              <w:spacing w:line="240" w:lineRule="auto"/>
              <w:rPr>
                <w:sz w:val="16"/>
              </w:rPr>
            </w:pPr>
          </w:p>
        </w:tc>
        <w:tc>
          <w:tcPr>
            <w:tcW w:w="680" w:type="dxa"/>
            <w:vAlign w:val="bottom"/>
          </w:tcPr>
          <w:p w:rsidR="00AA5D77" w:rsidRPr="006C40C1" w:rsidRDefault="00AA5D77">
            <w:pPr>
              <w:pStyle w:val="AnvndHyperlnk"/>
              <w:spacing w:line="240" w:lineRule="auto"/>
              <w:rPr>
                <w:sz w:val="16"/>
              </w:rPr>
            </w:pPr>
          </w:p>
        </w:tc>
        <w:tc>
          <w:tcPr>
            <w:tcW w:w="567" w:type="dxa"/>
            <w:vAlign w:val="bottom"/>
          </w:tcPr>
          <w:p w:rsidR="00AA5D77" w:rsidRPr="006C40C1" w:rsidRDefault="00AA5D77">
            <w:pPr>
              <w:pStyle w:val="AnvndHyperlnk"/>
              <w:spacing w:line="240" w:lineRule="auto"/>
              <w:rPr>
                <w:sz w:val="16"/>
              </w:rPr>
            </w:pPr>
          </w:p>
        </w:tc>
        <w:tc>
          <w:tcPr>
            <w:tcW w:w="680" w:type="dxa"/>
            <w:vAlign w:val="bottom"/>
          </w:tcPr>
          <w:p w:rsidR="00AA5D77" w:rsidRPr="006C40C1" w:rsidRDefault="00AA5D77">
            <w:pPr>
              <w:pStyle w:val="AnvndHyperlnk"/>
              <w:spacing w:line="240" w:lineRule="auto"/>
              <w:rPr>
                <w:sz w:val="16"/>
              </w:rPr>
            </w:pPr>
          </w:p>
        </w:tc>
        <w:tc>
          <w:tcPr>
            <w:tcW w:w="680" w:type="dxa"/>
            <w:vAlign w:val="bottom"/>
          </w:tcPr>
          <w:p w:rsidR="00AA5D77" w:rsidRPr="006C40C1" w:rsidRDefault="00AA5D77">
            <w:pPr>
              <w:pStyle w:val="AnvndHyperlnk"/>
              <w:spacing w:line="240" w:lineRule="auto"/>
              <w:rPr>
                <w:sz w:val="16"/>
              </w:rPr>
            </w:pPr>
          </w:p>
        </w:tc>
        <w:tc>
          <w:tcPr>
            <w:tcW w:w="791" w:type="dxa"/>
            <w:vAlign w:val="bottom"/>
          </w:tcPr>
          <w:p w:rsidR="00AA5D77" w:rsidRPr="006C40C1" w:rsidRDefault="00AA5D77">
            <w:pPr>
              <w:pStyle w:val="AnvndHyperlnk"/>
              <w:spacing w:line="240" w:lineRule="auto"/>
              <w:rPr>
                <w:sz w:val="16"/>
              </w:rPr>
            </w:pP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sz w:val="16"/>
              </w:rPr>
            </w:pPr>
            <w:r w:rsidRPr="006C40C1">
              <w:rPr>
                <w:sz w:val="16"/>
              </w:rPr>
              <w:t>Omvandling av 200-kronan till kommunal skatt</w:t>
            </w:r>
          </w:p>
        </w:tc>
        <w:tc>
          <w:tcPr>
            <w:tcW w:w="794" w:type="dxa"/>
            <w:vAlign w:val="bottom"/>
          </w:tcPr>
          <w:p w:rsidR="00AA5D77" w:rsidRPr="006C40C1" w:rsidRDefault="00AA5D77">
            <w:pPr>
              <w:pStyle w:val="AnvndHyperlnk"/>
              <w:spacing w:line="240" w:lineRule="auto"/>
              <w:rPr>
                <w:sz w:val="16"/>
              </w:rPr>
            </w:pPr>
            <w:r w:rsidRPr="006C40C1">
              <w:rPr>
                <w:sz w:val="16"/>
              </w:rPr>
              <w:t>1/1 2003</w:t>
            </w:r>
          </w:p>
        </w:tc>
        <w:tc>
          <w:tcPr>
            <w:tcW w:w="680" w:type="dxa"/>
            <w:vAlign w:val="bottom"/>
          </w:tcPr>
          <w:p w:rsidR="00AA5D77" w:rsidRPr="006C40C1" w:rsidRDefault="00AA5D77">
            <w:pPr>
              <w:pStyle w:val="AnvndHyperlnk"/>
              <w:spacing w:line="240" w:lineRule="auto"/>
              <w:jc w:val="right"/>
              <w:rPr>
                <w:sz w:val="16"/>
              </w:rPr>
            </w:pPr>
            <w:r w:rsidRPr="006C40C1">
              <w:rPr>
                <w:sz w:val="16"/>
              </w:rPr>
              <w:t>-1,30</w:t>
            </w:r>
          </w:p>
        </w:tc>
        <w:tc>
          <w:tcPr>
            <w:tcW w:w="680" w:type="dxa"/>
            <w:vAlign w:val="bottom"/>
          </w:tcPr>
          <w:p w:rsidR="00AA5D77" w:rsidRPr="006C40C1" w:rsidRDefault="00AA5D77">
            <w:pPr>
              <w:pStyle w:val="AnvndHyperlnk"/>
              <w:spacing w:line="240" w:lineRule="auto"/>
              <w:jc w:val="right"/>
              <w:rPr>
                <w:sz w:val="16"/>
              </w:rPr>
            </w:pPr>
            <w:r w:rsidRPr="006C40C1">
              <w:rPr>
                <w:sz w:val="16"/>
              </w:rPr>
              <w:t>-1,30</w:t>
            </w:r>
          </w:p>
        </w:tc>
        <w:tc>
          <w:tcPr>
            <w:tcW w:w="567" w:type="dxa"/>
            <w:vAlign w:val="bottom"/>
          </w:tcPr>
          <w:p w:rsidR="00AA5D77" w:rsidRPr="006C40C1" w:rsidRDefault="00AA5D77">
            <w:pPr>
              <w:pStyle w:val="AnvndHyperlnk"/>
              <w:spacing w:line="240" w:lineRule="auto"/>
              <w:jc w:val="right"/>
              <w:rPr>
                <w:sz w:val="16"/>
              </w:rPr>
            </w:pPr>
            <w:r w:rsidRPr="006C40C1">
              <w:rPr>
                <w:sz w:val="16"/>
              </w:rPr>
              <w:t>0,00</w:t>
            </w:r>
          </w:p>
        </w:tc>
        <w:tc>
          <w:tcPr>
            <w:tcW w:w="680" w:type="dxa"/>
            <w:vAlign w:val="bottom"/>
          </w:tcPr>
          <w:p w:rsidR="00AA5D77" w:rsidRPr="006C40C1" w:rsidRDefault="00AA5D77">
            <w:pPr>
              <w:pStyle w:val="AnvndHyperlnk"/>
              <w:spacing w:line="240" w:lineRule="auto"/>
              <w:jc w:val="right"/>
              <w:rPr>
                <w:sz w:val="16"/>
              </w:rPr>
            </w:pPr>
            <w:r w:rsidRPr="006C40C1">
              <w:rPr>
                <w:sz w:val="16"/>
              </w:rPr>
              <w:t>0,00</w:t>
            </w:r>
          </w:p>
        </w:tc>
        <w:tc>
          <w:tcPr>
            <w:tcW w:w="680" w:type="dxa"/>
            <w:vAlign w:val="bottom"/>
          </w:tcPr>
          <w:p w:rsidR="00AA5D77" w:rsidRPr="006C40C1" w:rsidRDefault="00AA5D77">
            <w:pPr>
              <w:pStyle w:val="AnvndHyperlnk"/>
              <w:spacing w:line="240" w:lineRule="auto"/>
              <w:jc w:val="right"/>
              <w:rPr>
                <w:sz w:val="16"/>
              </w:rPr>
            </w:pPr>
            <w:r w:rsidRPr="006C40C1">
              <w:rPr>
                <w:sz w:val="16"/>
              </w:rPr>
              <w:t>0,00</w:t>
            </w:r>
          </w:p>
        </w:tc>
        <w:tc>
          <w:tcPr>
            <w:tcW w:w="791" w:type="dxa"/>
            <w:vAlign w:val="bottom"/>
          </w:tcPr>
          <w:p w:rsidR="00AA5D77" w:rsidRPr="006C40C1" w:rsidRDefault="00AA5D77">
            <w:pPr>
              <w:pStyle w:val="AnvndHyperlnk"/>
              <w:spacing w:line="240" w:lineRule="auto"/>
              <w:jc w:val="right"/>
              <w:rPr>
                <w:sz w:val="16"/>
              </w:rPr>
            </w:pPr>
            <w:r w:rsidRPr="006C40C1">
              <w:rPr>
                <w:sz w:val="16"/>
              </w:rPr>
              <w:t>0,00</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sz w:val="16"/>
              </w:rPr>
            </w:pPr>
            <w:r w:rsidRPr="006C40C1">
              <w:rPr>
                <w:sz w:val="16"/>
              </w:rPr>
              <w:t>Tillfälligt sysselsättningsstöd till kommunsektorn</w:t>
            </w:r>
          </w:p>
        </w:tc>
        <w:tc>
          <w:tcPr>
            <w:tcW w:w="794" w:type="dxa"/>
            <w:vAlign w:val="bottom"/>
          </w:tcPr>
          <w:p w:rsidR="00AA5D77" w:rsidRPr="006C40C1" w:rsidRDefault="00AA5D77">
            <w:pPr>
              <w:pStyle w:val="AnvndHyperlnk"/>
              <w:spacing w:line="240" w:lineRule="auto"/>
              <w:rPr>
                <w:sz w:val="16"/>
              </w:rPr>
            </w:pPr>
            <w:r w:rsidRPr="006C40C1">
              <w:rPr>
                <w:sz w:val="16"/>
              </w:rPr>
              <w:t>1/1 2003</w:t>
            </w:r>
          </w:p>
        </w:tc>
        <w:tc>
          <w:tcPr>
            <w:tcW w:w="680" w:type="dxa"/>
            <w:vAlign w:val="bottom"/>
          </w:tcPr>
          <w:p w:rsidR="00AA5D77" w:rsidRPr="006C40C1" w:rsidRDefault="00AA5D77">
            <w:pPr>
              <w:pStyle w:val="AnvndHyperlnk"/>
              <w:spacing w:line="240" w:lineRule="auto"/>
              <w:jc w:val="right"/>
              <w:rPr>
                <w:sz w:val="16"/>
              </w:rPr>
            </w:pPr>
            <w:r w:rsidRPr="006C40C1">
              <w:rPr>
                <w:sz w:val="16"/>
              </w:rPr>
              <w:t>-3,10</w:t>
            </w:r>
          </w:p>
        </w:tc>
        <w:tc>
          <w:tcPr>
            <w:tcW w:w="680" w:type="dxa"/>
            <w:vAlign w:val="bottom"/>
          </w:tcPr>
          <w:p w:rsidR="00AA5D77" w:rsidRPr="006C40C1" w:rsidRDefault="00AA5D77">
            <w:pPr>
              <w:pStyle w:val="AnvndHyperlnk"/>
              <w:spacing w:line="240" w:lineRule="auto"/>
              <w:jc w:val="right"/>
              <w:rPr>
                <w:sz w:val="16"/>
              </w:rPr>
            </w:pPr>
            <w:r w:rsidRPr="006C40C1">
              <w:rPr>
                <w:sz w:val="16"/>
              </w:rPr>
              <w:t>-2,30</w:t>
            </w:r>
          </w:p>
        </w:tc>
        <w:tc>
          <w:tcPr>
            <w:tcW w:w="567" w:type="dxa"/>
            <w:vAlign w:val="bottom"/>
          </w:tcPr>
          <w:p w:rsidR="00AA5D77" w:rsidRPr="006C40C1" w:rsidRDefault="00AA5D77">
            <w:pPr>
              <w:pStyle w:val="AnvndHyperlnk"/>
              <w:spacing w:line="240" w:lineRule="auto"/>
              <w:jc w:val="right"/>
              <w:rPr>
                <w:sz w:val="16"/>
              </w:rPr>
            </w:pPr>
            <w:r w:rsidRPr="006C40C1">
              <w:rPr>
                <w:sz w:val="16"/>
              </w:rPr>
              <w:t>-0,70</w:t>
            </w:r>
          </w:p>
        </w:tc>
        <w:tc>
          <w:tcPr>
            <w:tcW w:w="680" w:type="dxa"/>
            <w:vAlign w:val="bottom"/>
          </w:tcPr>
          <w:p w:rsidR="00AA5D77" w:rsidRPr="006C40C1" w:rsidRDefault="00AA5D77">
            <w:pPr>
              <w:pStyle w:val="AnvndHyperlnk"/>
              <w:spacing w:line="240" w:lineRule="auto"/>
              <w:jc w:val="right"/>
              <w:rPr>
                <w:sz w:val="16"/>
              </w:rPr>
            </w:pPr>
            <w:r w:rsidRPr="006C40C1">
              <w:rPr>
                <w:sz w:val="16"/>
              </w:rPr>
              <w:t>0,00</w:t>
            </w:r>
          </w:p>
        </w:tc>
        <w:tc>
          <w:tcPr>
            <w:tcW w:w="680" w:type="dxa"/>
            <w:vAlign w:val="bottom"/>
          </w:tcPr>
          <w:p w:rsidR="00AA5D77" w:rsidRPr="006C40C1" w:rsidRDefault="00AA5D77">
            <w:pPr>
              <w:pStyle w:val="AnvndHyperlnk"/>
              <w:spacing w:line="240" w:lineRule="auto"/>
              <w:jc w:val="right"/>
              <w:rPr>
                <w:sz w:val="16"/>
              </w:rPr>
            </w:pPr>
            <w:r w:rsidRPr="006C40C1">
              <w:rPr>
                <w:sz w:val="16"/>
              </w:rPr>
              <w:t>0,00</w:t>
            </w:r>
          </w:p>
        </w:tc>
        <w:tc>
          <w:tcPr>
            <w:tcW w:w="791" w:type="dxa"/>
            <w:vAlign w:val="bottom"/>
          </w:tcPr>
          <w:p w:rsidR="00AA5D77" w:rsidRPr="006C40C1" w:rsidRDefault="00AA5D77">
            <w:pPr>
              <w:pStyle w:val="AnvndHyperlnk"/>
              <w:spacing w:line="240" w:lineRule="auto"/>
              <w:jc w:val="right"/>
              <w:rPr>
                <w:sz w:val="16"/>
              </w:rPr>
            </w:pPr>
            <w:r w:rsidRPr="006C40C1">
              <w:rPr>
                <w:sz w:val="16"/>
              </w:rPr>
              <w:t>0,00</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i/>
                <w:sz w:val="16"/>
              </w:rPr>
            </w:pPr>
            <w:r w:rsidRPr="006C40C1">
              <w:rPr>
                <w:i/>
                <w:sz w:val="16"/>
              </w:rPr>
              <w:t>Grön skatteväxling</w:t>
            </w:r>
          </w:p>
        </w:tc>
        <w:tc>
          <w:tcPr>
            <w:tcW w:w="794" w:type="dxa"/>
            <w:vAlign w:val="bottom"/>
          </w:tcPr>
          <w:p w:rsidR="00AA5D77" w:rsidRPr="006C40C1" w:rsidRDefault="00AA5D77">
            <w:pPr>
              <w:pStyle w:val="AnvndHyperlnk"/>
              <w:spacing w:line="240" w:lineRule="auto"/>
              <w:rPr>
                <w:sz w:val="16"/>
              </w:rPr>
            </w:pPr>
          </w:p>
        </w:tc>
        <w:tc>
          <w:tcPr>
            <w:tcW w:w="680"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567"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791" w:type="dxa"/>
            <w:vAlign w:val="bottom"/>
          </w:tcPr>
          <w:p w:rsidR="00AA5D77" w:rsidRPr="006C40C1" w:rsidRDefault="00AA5D77">
            <w:pPr>
              <w:pStyle w:val="AnvndHyperlnk"/>
              <w:spacing w:line="240" w:lineRule="auto"/>
              <w:jc w:val="right"/>
              <w:rPr>
                <w:sz w:val="16"/>
              </w:rPr>
            </w:pP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sz w:val="16"/>
              </w:rPr>
            </w:pPr>
            <w:r w:rsidRPr="006C40C1">
              <w:rPr>
                <w:sz w:val="16"/>
              </w:rPr>
              <w:t>Höjda grundavdrag</w:t>
            </w:r>
          </w:p>
        </w:tc>
        <w:tc>
          <w:tcPr>
            <w:tcW w:w="794" w:type="dxa"/>
            <w:vAlign w:val="bottom"/>
          </w:tcPr>
          <w:p w:rsidR="00AA5D77" w:rsidRPr="006C40C1" w:rsidRDefault="00AA5D77">
            <w:pPr>
              <w:pStyle w:val="AnvndHyperlnk"/>
              <w:spacing w:line="240" w:lineRule="auto"/>
              <w:rPr>
                <w:sz w:val="16"/>
              </w:rPr>
            </w:pPr>
            <w:r w:rsidRPr="006C40C1">
              <w:rPr>
                <w:sz w:val="16"/>
              </w:rPr>
              <w:t>1/1 2003</w:t>
            </w:r>
          </w:p>
        </w:tc>
        <w:tc>
          <w:tcPr>
            <w:tcW w:w="680" w:type="dxa"/>
            <w:vAlign w:val="bottom"/>
          </w:tcPr>
          <w:p w:rsidR="00AA5D77" w:rsidRPr="006C40C1" w:rsidRDefault="00AA5D77">
            <w:pPr>
              <w:pStyle w:val="AnvndHyperlnk"/>
              <w:spacing w:line="240" w:lineRule="auto"/>
              <w:jc w:val="right"/>
              <w:rPr>
                <w:sz w:val="16"/>
              </w:rPr>
            </w:pPr>
            <w:r w:rsidRPr="006C40C1">
              <w:rPr>
                <w:sz w:val="16"/>
              </w:rPr>
              <w:t>-2,60</w:t>
            </w:r>
          </w:p>
        </w:tc>
        <w:tc>
          <w:tcPr>
            <w:tcW w:w="680" w:type="dxa"/>
            <w:vAlign w:val="bottom"/>
          </w:tcPr>
          <w:p w:rsidR="00AA5D77" w:rsidRPr="006C40C1" w:rsidRDefault="00AA5D77">
            <w:pPr>
              <w:pStyle w:val="AnvndHyperlnk"/>
              <w:spacing w:line="240" w:lineRule="auto"/>
              <w:jc w:val="right"/>
              <w:rPr>
                <w:sz w:val="16"/>
              </w:rPr>
            </w:pPr>
            <w:r w:rsidRPr="006C40C1">
              <w:rPr>
                <w:sz w:val="16"/>
              </w:rPr>
              <w:t>-2,38</w:t>
            </w:r>
          </w:p>
        </w:tc>
        <w:tc>
          <w:tcPr>
            <w:tcW w:w="567" w:type="dxa"/>
            <w:vAlign w:val="bottom"/>
          </w:tcPr>
          <w:p w:rsidR="00AA5D77" w:rsidRPr="006C40C1" w:rsidRDefault="00AA5D77">
            <w:pPr>
              <w:pStyle w:val="AnvndHyperlnk"/>
              <w:spacing w:line="240" w:lineRule="auto"/>
              <w:jc w:val="right"/>
              <w:rPr>
                <w:sz w:val="16"/>
              </w:rPr>
            </w:pPr>
            <w:r w:rsidRPr="006C40C1">
              <w:rPr>
                <w:sz w:val="16"/>
              </w:rPr>
              <w:t>-2,60</w:t>
            </w:r>
          </w:p>
        </w:tc>
        <w:tc>
          <w:tcPr>
            <w:tcW w:w="680" w:type="dxa"/>
            <w:vAlign w:val="bottom"/>
          </w:tcPr>
          <w:p w:rsidR="00AA5D77" w:rsidRPr="006C40C1" w:rsidRDefault="00AA5D77">
            <w:pPr>
              <w:pStyle w:val="AnvndHyperlnk"/>
              <w:spacing w:line="240" w:lineRule="auto"/>
              <w:jc w:val="right"/>
              <w:rPr>
                <w:sz w:val="16"/>
              </w:rPr>
            </w:pPr>
            <w:r w:rsidRPr="006C40C1">
              <w:rPr>
                <w:sz w:val="16"/>
              </w:rPr>
              <w:t>-2,60</w:t>
            </w:r>
          </w:p>
        </w:tc>
        <w:tc>
          <w:tcPr>
            <w:tcW w:w="680" w:type="dxa"/>
            <w:vAlign w:val="bottom"/>
          </w:tcPr>
          <w:p w:rsidR="00AA5D77" w:rsidRPr="006C40C1" w:rsidRDefault="00AA5D77">
            <w:pPr>
              <w:pStyle w:val="AnvndHyperlnk"/>
              <w:spacing w:line="240" w:lineRule="auto"/>
              <w:jc w:val="right"/>
              <w:rPr>
                <w:sz w:val="16"/>
              </w:rPr>
            </w:pPr>
            <w:r w:rsidRPr="006C40C1">
              <w:rPr>
                <w:sz w:val="16"/>
              </w:rPr>
              <w:t>-2,60</w:t>
            </w:r>
          </w:p>
        </w:tc>
        <w:tc>
          <w:tcPr>
            <w:tcW w:w="791" w:type="dxa"/>
            <w:vAlign w:val="bottom"/>
          </w:tcPr>
          <w:p w:rsidR="00AA5D77" w:rsidRPr="006C40C1" w:rsidRDefault="00AA5D77">
            <w:pPr>
              <w:pStyle w:val="AnvndHyperlnk"/>
              <w:spacing w:line="240" w:lineRule="auto"/>
              <w:jc w:val="right"/>
              <w:rPr>
                <w:sz w:val="16"/>
              </w:rPr>
            </w:pPr>
            <w:r w:rsidRPr="006C40C1">
              <w:rPr>
                <w:sz w:val="16"/>
              </w:rPr>
              <w:t>-2,60</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sz w:val="16"/>
              </w:rPr>
            </w:pPr>
            <w:r w:rsidRPr="006C40C1">
              <w:rPr>
                <w:sz w:val="16"/>
              </w:rPr>
              <w:t>Höjd koldioxidskatt med 16 procent</w:t>
            </w:r>
          </w:p>
        </w:tc>
        <w:tc>
          <w:tcPr>
            <w:tcW w:w="794" w:type="dxa"/>
            <w:vAlign w:val="bottom"/>
          </w:tcPr>
          <w:p w:rsidR="00AA5D77" w:rsidRPr="006C40C1" w:rsidRDefault="00AA5D77">
            <w:pPr>
              <w:pStyle w:val="AnvndHyperlnk"/>
              <w:spacing w:line="240" w:lineRule="auto"/>
              <w:rPr>
                <w:sz w:val="16"/>
              </w:rPr>
            </w:pPr>
            <w:r w:rsidRPr="006C40C1">
              <w:rPr>
                <w:sz w:val="16"/>
              </w:rPr>
              <w:t>1/1 2003</w:t>
            </w:r>
          </w:p>
        </w:tc>
        <w:tc>
          <w:tcPr>
            <w:tcW w:w="680" w:type="dxa"/>
            <w:vAlign w:val="bottom"/>
          </w:tcPr>
          <w:p w:rsidR="00AA5D77" w:rsidRPr="006C40C1" w:rsidRDefault="00AA5D77">
            <w:pPr>
              <w:pStyle w:val="AnvndHyperlnk"/>
              <w:spacing w:line="240" w:lineRule="auto"/>
              <w:jc w:val="right"/>
              <w:rPr>
                <w:sz w:val="16"/>
              </w:rPr>
            </w:pPr>
            <w:r w:rsidRPr="006C40C1">
              <w:rPr>
                <w:sz w:val="16"/>
              </w:rPr>
              <w:t>0,73</w:t>
            </w:r>
          </w:p>
        </w:tc>
        <w:tc>
          <w:tcPr>
            <w:tcW w:w="680" w:type="dxa"/>
            <w:vAlign w:val="bottom"/>
          </w:tcPr>
          <w:p w:rsidR="00AA5D77" w:rsidRPr="006C40C1" w:rsidRDefault="00AA5D77">
            <w:pPr>
              <w:pStyle w:val="AnvndHyperlnk"/>
              <w:spacing w:line="240" w:lineRule="auto"/>
              <w:jc w:val="right"/>
              <w:rPr>
                <w:sz w:val="16"/>
              </w:rPr>
            </w:pPr>
            <w:r w:rsidRPr="006C40C1">
              <w:rPr>
                <w:sz w:val="16"/>
              </w:rPr>
              <w:t>0,78</w:t>
            </w:r>
          </w:p>
        </w:tc>
        <w:tc>
          <w:tcPr>
            <w:tcW w:w="567" w:type="dxa"/>
            <w:vAlign w:val="bottom"/>
          </w:tcPr>
          <w:p w:rsidR="00AA5D77" w:rsidRPr="006C40C1" w:rsidRDefault="00AA5D77">
            <w:pPr>
              <w:pStyle w:val="AnvndHyperlnk"/>
              <w:spacing w:line="240" w:lineRule="auto"/>
              <w:jc w:val="right"/>
              <w:rPr>
                <w:sz w:val="16"/>
              </w:rPr>
            </w:pPr>
            <w:r w:rsidRPr="006C40C1">
              <w:rPr>
                <w:sz w:val="16"/>
              </w:rPr>
              <w:t>0,79</w:t>
            </w:r>
          </w:p>
        </w:tc>
        <w:tc>
          <w:tcPr>
            <w:tcW w:w="680" w:type="dxa"/>
            <w:vAlign w:val="bottom"/>
          </w:tcPr>
          <w:p w:rsidR="00AA5D77" w:rsidRPr="006C40C1" w:rsidRDefault="00AA5D77">
            <w:pPr>
              <w:pStyle w:val="AnvndHyperlnk"/>
              <w:spacing w:line="240" w:lineRule="auto"/>
              <w:jc w:val="right"/>
              <w:rPr>
                <w:sz w:val="16"/>
              </w:rPr>
            </w:pPr>
            <w:r w:rsidRPr="006C40C1">
              <w:rPr>
                <w:sz w:val="16"/>
              </w:rPr>
              <w:t>0,74</w:t>
            </w:r>
          </w:p>
        </w:tc>
        <w:tc>
          <w:tcPr>
            <w:tcW w:w="680" w:type="dxa"/>
            <w:vAlign w:val="bottom"/>
          </w:tcPr>
          <w:p w:rsidR="00AA5D77" w:rsidRPr="006C40C1" w:rsidRDefault="00AA5D77">
            <w:pPr>
              <w:pStyle w:val="AnvndHyperlnk"/>
              <w:spacing w:line="240" w:lineRule="auto"/>
              <w:jc w:val="right"/>
              <w:rPr>
                <w:sz w:val="16"/>
              </w:rPr>
            </w:pPr>
            <w:r w:rsidRPr="006C40C1">
              <w:rPr>
                <w:sz w:val="16"/>
              </w:rPr>
              <w:t>0,66</w:t>
            </w:r>
          </w:p>
        </w:tc>
        <w:tc>
          <w:tcPr>
            <w:tcW w:w="791" w:type="dxa"/>
            <w:vAlign w:val="bottom"/>
          </w:tcPr>
          <w:p w:rsidR="00AA5D77" w:rsidRPr="006C40C1" w:rsidRDefault="00AA5D77">
            <w:pPr>
              <w:pStyle w:val="AnvndHyperlnk"/>
              <w:spacing w:line="240" w:lineRule="auto"/>
              <w:jc w:val="right"/>
              <w:rPr>
                <w:sz w:val="16"/>
              </w:rPr>
            </w:pPr>
            <w:r w:rsidRPr="006C40C1">
              <w:rPr>
                <w:sz w:val="16"/>
              </w:rPr>
              <w:t>0,64</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sz w:val="16"/>
              </w:rPr>
            </w:pPr>
            <w:r w:rsidRPr="006C40C1">
              <w:rPr>
                <w:sz w:val="16"/>
              </w:rPr>
              <w:t>Höjd energiskatt på el med 2,1 öre</w:t>
            </w:r>
          </w:p>
        </w:tc>
        <w:tc>
          <w:tcPr>
            <w:tcW w:w="794" w:type="dxa"/>
            <w:vAlign w:val="bottom"/>
          </w:tcPr>
          <w:p w:rsidR="00AA5D77" w:rsidRPr="006C40C1" w:rsidRDefault="00AA5D77">
            <w:pPr>
              <w:pStyle w:val="AnvndHyperlnk"/>
              <w:spacing w:line="240" w:lineRule="auto"/>
              <w:rPr>
                <w:sz w:val="16"/>
              </w:rPr>
            </w:pPr>
            <w:r w:rsidRPr="006C40C1">
              <w:rPr>
                <w:sz w:val="16"/>
              </w:rPr>
              <w:t>1/1 2003</w:t>
            </w:r>
          </w:p>
        </w:tc>
        <w:tc>
          <w:tcPr>
            <w:tcW w:w="680" w:type="dxa"/>
            <w:vAlign w:val="bottom"/>
          </w:tcPr>
          <w:p w:rsidR="00AA5D77" w:rsidRPr="006C40C1" w:rsidRDefault="00AA5D77">
            <w:pPr>
              <w:pStyle w:val="AnvndHyperlnk"/>
              <w:spacing w:line="240" w:lineRule="auto"/>
              <w:jc w:val="right"/>
              <w:rPr>
                <w:sz w:val="16"/>
              </w:rPr>
            </w:pPr>
            <w:r w:rsidRPr="006C40C1">
              <w:rPr>
                <w:sz w:val="16"/>
              </w:rPr>
              <w:t>1,54</w:t>
            </w:r>
          </w:p>
        </w:tc>
        <w:tc>
          <w:tcPr>
            <w:tcW w:w="680" w:type="dxa"/>
            <w:vAlign w:val="bottom"/>
          </w:tcPr>
          <w:p w:rsidR="00AA5D77" w:rsidRPr="006C40C1" w:rsidRDefault="00AA5D77">
            <w:pPr>
              <w:pStyle w:val="AnvndHyperlnk"/>
              <w:spacing w:line="240" w:lineRule="auto"/>
              <w:jc w:val="right"/>
              <w:rPr>
                <w:sz w:val="16"/>
              </w:rPr>
            </w:pPr>
            <w:r w:rsidRPr="006C40C1">
              <w:rPr>
                <w:sz w:val="16"/>
              </w:rPr>
              <w:t>1,64</w:t>
            </w:r>
          </w:p>
        </w:tc>
        <w:tc>
          <w:tcPr>
            <w:tcW w:w="567" w:type="dxa"/>
            <w:vAlign w:val="bottom"/>
          </w:tcPr>
          <w:p w:rsidR="00AA5D77" w:rsidRPr="006C40C1" w:rsidRDefault="00AA5D77">
            <w:pPr>
              <w:pStyle w:val="AnvndHyperlnk"/>
              <w:spacing w:line="240" w:lineRule="auto"/>
              <w:jc w:val="right"/>
              <w:rPr>
                <w:sz w:val="16"/>
              </w:rPr>
            </w:pPr>
            <w:r w:rsidRPr="006C40C1">
              <w:rPr>
                <w:sz w:val="16"/>
              </w:rPr>
              <w:t>1,67</w:t>
            </w:r>
          </w:p>
        </w:tc>
        <w:tc>
          <w:tcPr>
            <w:tcW w:w="680" w:type="dxa"/>
            <w:vAlign w:val="bottom"/>
          </w:tcPr>
          <w:p w:rsidR="00AA5D77" w:rsidRPr="006C40C1" w:rsidRDefault="00AA5D77">
            <w:pPr>
              <w:pStyle w:val="AnvndHyperlnk"/>
              <w:spacing w:line="240" w:lineRule="auto"/>
              <w:jc w:val="right"/>
              <w:rPr>
                <w:sz w:val="16"/>
              </w:rPr>
            </w:pPr>
            <w:r w:rsidRPr="006C40C1">
              <w:rPr>
                <w:sz w:val="16"/>
              </w:rPr>
              <w:t>1,47</w:t>
            </w:r>
          </w:p>
        </w:tc>
        <w:tc>
          <w:tcPr>
            <w:tcW w:w="680" w:type="dxa"/>
            <w:vAlign w:val="bottom"/>
          </w:tcPr>
          <w:p w:rsidR="00AA5D77" w:rsidRPr="006C40C1" w:rsidRDefault="00AA5D77">
            <w:pPr>
              <w:pStyle w:val="AnvndHyperlnk"/>
              <w:spacing w:line="240" w:lineRule="auto"/>
              <w:jc w:val="right"/>
              <w:rPr>
                <w:sz w:val="16"/>
              </w:rPr>
            </w:pPr>
            <w:r w:rsidRPr="006C40C1">
              <w:rPr>
                <w:sz w:val="16"/>
              </w:rPr>
              <w:t>1,32</w:t>
            </w:r>
          </w:p>
        </w:tc>
        <w:tc>
          <w:tcPr>
            <w:tcW w:w="791" w:type="dxa"/>
            <w:vAlign w:val="bottom"/>
          </w:tcPr>
          <w:p w:rsidR="00AA5D77" w:rsidRPr="006C40C1" w:rsidRDefault="00AA5D77">
            <w:pPr>
              <w:pStyle w:val="AnvndHyperlnk"/>
              <w:spacing w:line="240" w:lineRule="auto"/>
              <w:jc w:val="right"/>
              <w:rPr>
                <w:sz w:val="16"/>
              </w:rPr>
            </w:pPr>
            <w:r w:rsidRPr="006C40C1">
              <w:rPr>
                <w:sz w:val="16"/>
              </w:rPr>
              <w:t>1,29</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sz w:val="16"/>
              </w:rPr>
            </w:pPr>
            <w:r w:rsidRPr="006C40C1">
              <w:rPr>
                <w:sz w:val="16"/>
              </w:rPr>
              <w:t>Höjd avfallsskatt</w:t>
            </w:r>
          </w:p>
        </w:tc>
        <w:tc>
          <w:tcPr>
            <w:tcW w:w="794" w:type="dxa"/>
            <w:vAlign w:val="bottom"/>
          </w:tcPr>
          <w:p w:rsidR="00AA5D77" w:rsidRPr="006C40C1" w:rsidRDefault="00AA5D77">
            <w:pPr>
              <w:pStyle w:val="AnvndHyperlnk"/>
              <w:spacing w:line="240" w:lineRule="auto"/>
              <w:rPr>
                <w:sz w:val="16"/>
              </w:rPr>
            </w:pPr>
            <w:r w:rsidRPr="006C40C1">
              <w:rPr>
                <w:sz w:val="16"/>
              </w:rPr>
              <w:t>1/1 2003</w:t>
            </w:r>
          </w:p>
        </w:tc>
        <w:tc>
          <w:tcPr>
            <w:tcW w:w="680" w:type="dxa"/>
            <w:vAlign w:val="bottom"/>
          </w:tcPr>
          <w:p w:rsidR="00AA5D77" w:rsidRPr="006C40C1" w:rsidRDefault="00AA5D77">
            <w:pPr>
              <w:pStyle w:val="AnvndHyperlnk"/>
              <w:spacing w:line="240" w:lineRule="auto"/>
              <w:jc w:val="right"/>
              <w:rPr>
                <w:sz w:val="16"/>
              </w:rPr>
            </w:pPr>
            <w:r w:rsidRPr="006C40C1">
              <w:rPr>
                <w:sz w:val="16"/>
              </w:rPr>
              <w:t>0,32</w:t>
            </w:r>
          </w:p>
        </w:tc>
        <w:tc>
          <w:tcPr>
            <w:tcW w:w="680" w:type="dxa"/>
            <w:vAlign w:val="bottom"/>
          </w:tcPr>
          <w:p w:rsidR="00AA5D77" w:rsidRPr="006C40C1" w:rsidRDefault="00AA5D77">
            <w:pPr>
              <w:pStyle w:val="AnvndHyperlnk"/>
              <w:spacing w:line="240" w:lineRule="auto"/>
              <w:jc w:val="right"/>
              <w:rPr>
                <w:sz w:val="16"/>
              </w:rPr>
            </w:pPr>
            <w:r w:rsidRPr="006C40C1">
              <w:rPr>
                <w:sz w:val="16"/>
              </w:rPr>
              <w:t>0,23</w:t>
            </w:r>
          </w:p>
        </w:tc>
        <w:tc>
          <w:tcPr>
            <w:tcW w:w="567" w:type="dxa"/>
            <w:vAlign w:val="bottom"/>
          </w:tcPr>
          <w:p w:rsidR="00AA5D77" w:rsidRPr="006C40C1" w:rsidRDefault="00AA5D77">
            <w:pPr>
              <w:pStyle w:val="AnvndHyperlnk"/>
              <w:spacing w:line="240" w:lineRule="auto"/>
              <w:jc w:val="right"/>
              <w:rPr>
                <w:sz w:val="16"/>
              </w:rPr>
            </w:pPr>
            <w:r w:rsidRPr="006C40C1">
              <w:rPr>
                <w:sz w:val="16"/>
              </w:rPr>
              <w:t>0,31</w:t>
            </w:r>
          </w:p>
        </w:tc>
        <w:tc>
          <w:tcPr>
            <w:tcW w:w="680" w:type="dxa"/>
            <w:vAlign w:val="bottom"/>
          </w:tcPr>
          <w:p w:rsidR="00AA5D77" w:rsidRPr="006C40C1" w:rsidRDefault="00AA5D77">
            <w:pPr>
              <w:pStyle w:val="AnvndHyperlnk"/>
              <w:spacing w:line="240" w:lineRule="auto"/>
              <w:jc w:val="right"/>
              <w:rPr>
                <w:sz w:val="16"/>
              </w:rPr>
            </w:pPr>
            <w:r w:rsidRPr="006C40C1">
              <w:rPr>
                <w:sz w:val="16"/>
              </w:rPr>
              <w:t>0,28</w:t>
            </w:r>
          </w:p>
        </w:tc>
        <w:tc>
          <w:tcPr>
            <w:tcW w:w="680" w:type="dxa"/>
            <w:vAlign w:val="bottom"/>
          </w:tcPr>
          <w:p w:rsidR="00AA5D77" w:rsidRPr="006C40C1" w:rsidRDefault="00AA5D77">
            <w:pPr>
              <w:pStyle w:val="AnvndHyperlnk"/>
              <w:spacing w:line="240" w:lineRule="auto"/>
              <w:jc w:val="right"/>
              <w:rPr>
                <w:sz w:val="16"/>
              </w:rPr>
            </w:pPr>
            <w:r w:rsidRPr="006C40C1">
              <w:rPr>
                <w:sz w:val="16"/>
              </w:rPr>
              <w:t>0,30</w:t>
            </w:r>
          </w:p>
        </w:tc>
        <w:tc>
          <w:tcPr>
            <w:tcW w:w="791" w:type="dxa"/>
            <w:vAlign w:val="bottom"/>
          </w:tcPr>
          <w:p w:rsidR="00AA5D77" w:rsidRPr="006C40C1" w:rsidRDefault="00AA5D77">
            <w:pPr>
              <w:pStyle w:val="AnvndHyperlnk"/>
              <w:spacing w:line="240" w:lineRule="auto"/>
              <w:jc w:val="right"/>
              <w:rPr>
                <w:sz w:val="16"/>
              </w:rPr>
            </w:pPr>
            <w:r w:rsidRPr="006C40C1">
              <w:rPr>
                <w:sz w:val="16"/>
              </w:rPr>
              <w:t>0,27</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sz w:val="16"/>
              </w:rPr>
            </w:pPr>
            <w:r w:rsidRPr="006C40C1">
              <w:rPr>
                <w:sz w:val="16"/>
              </w:rPr>
              <w:t>Höjd skatt på naturgrus</w:t>
            </w:r>
          </w:p>
        </w:tc>
        <w:tc>
          <w:tcPr>
            <w:tcW w:w="794" w:type="dxa"/>
            <w:vAlign w:val="bottom"/>
          </w:tcPr>
          <w:p w:rsidR="00AA5D77" w:rsidRPr="006C40C1" w:rsidRDefault="00AA5D77">
            <w:pPr>
              <w:pStyle w:val="AnvndHyperlnk"/>
              <w:spacing w:line="240" w:lineRule="auto"/>
              <w:rPr>
                <w:sz w:val="16"/>
              </w:rPr>
            </w:pPr>
            <w:r w:rsidRPr="006C40C1">
              <w:rPr>
                <w:sz w:val="16"/>
              </w:rPr>
              <w:t>1/1 2003</w:t>
            </w:r>
          </w:p>
        </w:tc>
        <w:tc>
          <w:tcPr>
            <w:tcW w:w="680" w:type="dxa"/>
            <w:vAlign w:val="bottom"/>
          </w:tcPr>
          <w:p w:rsidR="00AA5D77" w:rsidRPr="006C40C1" w:rsidRDefault="00AA5D77">
            <w:pPr>
              <w:pStyle w:val="AnvndHyperlnk"/>
              <w:spacing w:line="240" w:lineRule="auto"/>
              <w:jc w:val="right"/>
              <w:rPr>
                <w:sz w:val="16"/>
              </w:rPr>
            </w:pPr>
            <w:r w:rsidRPr="006C40C1">
              <w:rPr>
                <w:sz w:val="16"/>
              </w:rPr>
              <w:t>0,12</w:t>
            </w:r>
          </w:p>
        </w:tc>
        <w:tc>
          <w:tcPr>
            <w:tcW w:w="680" w:type="dxa"/>
            <w:vAlign w:val="bottom"/>
          </w:tcPr>
          <w:p w:rsidR="00AA5D77" w:rsidRPr="006C40C1" w:rsidRDefault="00AA5D77">
            <w:pPr>
              <w:pStyle w:val="AnvndHyperlnk"/>
              <w:spacing w:line="240" w:lineRule="auto"/>
              <w:jc w:val="right"/>
              <w:rPr>
                <w:sz w:val="16"/>
              </w:rPr>
            </w:pPr>
            <w:r w:rsidRPr="006C40C1">
              <w:rPr>
                <w:sz w:val="16"/>
              </w:rPr>
              <w:t>0,08</w:t>
            </w:r>
          </w:p>
        </w:tc>
        <w:tc>
          <w:tcPr>
            <w:tcW w:w="567" w:type="dxa"/>
            <w:vAlign w:val="bottom"/>
          </w:tcPr>
          <w:p w:rsidR="00AA5D77" w:rsidRPr="006C40C1" w:rsidRDefault="00AA5D77">
            <w:pPr>
              <w:pStyle w:val="AnvndHyperlnk"/>
              <w:spacing w:line="240" w:lineRule="auto"/>
              <w:jc w:val="right"/>
              <w:rPr>
                <w:sz w:val="16"/>
              </w:rPr>
            </w:pPr>
            <w:r w:rsidRPr="006C40C1">
              <w:rPr>
                <w:sz w:val="16"/>
              </w:rPr>
              <w:t>0,09</w:t>
            </w:r>
          </w:p>
        </w:tc>
        <w:tc>
          <w:tcPr>
            <w:tcW w:w="680" w:type="dxa"/>
            <w:vAlign w:val="bottom"/>
          </w:tcPr>
          <w:p w:rsidR="00AA5D77" w:rsidRPr="006C40C1" w:rsidRDefault="00AA5D77">
            <w:pPr>
              <w:pStyle w:val="AnvndHyperlnk"/>
              <w:spacing w:line="240" w:lineRule="auto"/>
              <w:jc w:val="right"/>
              <w:rPr>
                <w:sz w:val="16"/>
              </w:rPr>
            </w:pPr>
            <w:r w:rsidRPr="006C40C1">
              <w:rPr>
                <w:sz w:val="16"/>
              </w:rPr>
              <w:t>0,09</w:t>
            </w:r>
          </w:p>
        </w:tc>
        <w:tc>
          <w:tcPr>
            <w:tcW w:w="680" w:type="dxa"/>
            <w:vAlign w:val="bottom"/>
          </w:tcPr>
          <w:p w:rsidR="00AA5D77" w:rsidRPr="006C40C1" w:rsidRDefault="00AA5D77">
            <w:pPr>
              <w:pStyle w:val="AnvndHyperlnk"/>
              <w:spacing w:line="240" w:lineRule="auto"/>
              <w:jc w:val="right"/>
              <w:rPr>
                <w:sz w:val="16"/>
              </w:rPr>
            </w:pPr>
            <w:r w:rsidRPr="006C40C1">
              <w:rPr>
                <w:sz w:val="16"/>
              </w:rPr>
              <w:t>0,09</w:t>
            </w:r>
          </w:p>
        </w:tc>
        <w:tc>
          <w:tcPr>
            <w:tcW w:w="791" w:type="dxa"/>
            <w:vAlign w:val="bottom"/>
          </w:tcPr>
          <w:p w:rsidR="00AA5D77" w:rsidRPr="006C40C1" w:rsidRDefault="00AA5D77">
            <w:pPr>
              <w:pStyle w:val="AnvndHyperlnk"/>
              <w:spacing w:line="240" w:lineRule="auto"/>
              <w:jc w:val="right"/>
              <w:rPr>
                <w:sz w:val="16"/>
              </w:rPr>
            </w:pPr>
            <w:r w:rsidRPr="006C40C1">
              <w:rPr>
                <w:sz w:val="16"/>
              </w:rPr>
              <w:t>0,09</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sz w:val="16"/>
              </w:rPr>
            </w:pPr>
            <w:r w:rsidRPr="006C40C1">
              <w:rPr>
                <w:i/>
                <w:sz w:val="16"/>
              </w:rPr>
              <w:t>Energiskatt</w:t>
            </w:r>
          </w:p>
        </w:tc>
        <w:tc>
          <w:tcPr>
            <w:tcW w:w="794" w:type="dxa"/>
            <w:vAlign w:val="bottom"/>
          </w:tcPr>
          <w:p w:rsidR="00AA5D77" w:rsidRPr="006C40C1" w:rsidRDefault="00AA5D77">
            <w:pPr>
              <w:pStyle w:val="AnvndHyperlnk"/>
              <w:spacing w:line="240" w:lineRule="auto"/>
              <w:rPr>
                <w:sz w:val="16"/>
              </w:rPr>
            </w:pPr>
          </w:p>
        </w:tc>
        <w:tc>
          <w:tcPr>
            <w:tcW w:w="680"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567"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791" w:type="dxa"/>
            <w:vAlign w:val="bottom"/>
          </w:tcPr>
          <w:p w:rsidR="00AA5D77" w:rsidRPr="006C40C1" w:rsidRDefault="00AA5D77">
            <w:pPr>
              <w:pStyle w:val="AnvndHyperlnk"/>
              <w:spacing w:line="240" w:lineRule="auto"/>
              <w:jc w:val="right"/>
              <w:rPr>
                <w:sz w:val="16"/>
              </w:rPr>
            </w:pP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sz w:val="16"/>
              </w:rPr>
            </w:pPr>
            <w:r w:rsidRPr="006C40C1">
              <w:rPr>
                <w:sz w:val="16"/>
              </w:rPr>
              <w:t>Ändrade regler för kraftvärmeverk, totalt</w:t>
            </w:r>
          </w:p>
        </w:tc>
        <w:tc>
          <w:tcPr>
            <w:tcW w:w="794" w:type="dxa"/>
            <w:vAlign w:val="bottom"/>
          </w:tcPr>
          <w:p w:rsidR="00AA5D77" w:rsidRPr="006C40C1" w:rsidRDefault="00AA5D77">
            <w:pPr>
              <w:pStyle w:val="AnvndHyperlnk"/>
              <w:spacing w:line="240" w:lineRule="auto"/>
              <w:rPr>
                <w:sz w:val="16"/>
              </w:rPr>
            </w:pPr>
            <w:r w:rsidRPr="006C40C1">
              <w:rPr>
                <w:sz w:val="16"/>
              </w:rPr>
              <w:t>1/1 2003</w:t>
            </w:r>
          </w:p>
        </w:tc>
        <w:tc>
          <w:tcPr>
            <w:tcW w:w="680" w:type="dxa"/>
            <w:vAlign w:val="bottom"/>
          </w:tcPr>
          <w:p w:rsidR="00AA5D77" w:rsidRPr="006C40C1" w:rsidRDefault="00AA5D77">
            <w:pPr>
              <w:pStyle w:val="AnvndHyperlnk"/>
              <w:spacing w:line="240" w:lineRule="auto"/>
              <w:jc w:val="right"/>
              <w:rPr>
                <w:sz w:val="16"/>
              </w:rPr>
            </w:pPr>
            <w:r w:rsidRPr="006C40C1">
              <w:rPr>
                <w:sz w:val="16"/>
              </w:rPr>
              <w:t>0,39</w:t>
            </w:r>
          </w:p>
        </w:tc>
        <w:tc>
          <w:tcPr>
            <w:tcW w:w="680" w:type="dxa"/>
            <w:vAlign w:val="bottom"/>
          </w:tcPr>
          <w:p w:rsidR="00AA5D77" w:rsidRPr="006C40C1" w:rsidRDefault="00AA5D77">
            <w:pPr>
              <w:pStyle w:val="AnvndHyperlnk"/>
              <w:spacing w:line="240" w:lineRule="auto"/>
              <w:jc w:val="right"/>
              <w:rPr>
                <w:sz w:val="16"/>
              </w:rPr>
            </w:pPr>
            <w:r w:rsidRPr="006C40C1">
              <w:rPr>
                <w:sz w:val="16"/>
              </w:rPr>
              <w:t>0,36</w:t>
            </w:r>
          </w:p>
        </w:tc>
        <w:tc>
          <w:tcPr>
            <w:tcW w:w="567" w:type="dxa"/>
            <w:vAlign w:val="bottom"/>
          </w:tcPr>
          <w:p w:rsidR="00AA5D77" w:rsidRPr="006C40C1" w:rsidRDefault="00AA5D77">
            <w:pPr>
              <w:pStyle w:val="AnvndHyperlnk"/>
              <w:spacing w:line="240" w:lineRule="auto"/>
              <w:jc w:val="right"/>
              <w:rPr>
                <w:sz w:val="16"/>
              </w:rPr>
            </w:pPr>
            <w:r w:rsidRPr="006C40C1">
              <w:rPr>
                <w:sz w:val="16"/>
              </w:rPr>
              <w:t>0,29</w:t>
            </w:r>
          </w:p>
        </w:tc>
        <w:tc>
          <w:tcPr>
            <w:tcW w:w="680" w:type="dxa"/>
            <w:vAlign w:val="bottom"/>
          </w:tcPr>
          <w:p w:rsidR="00AA5D77" w:rsidRPr="006C40C1" w:rsidRDefault="00AA5D77">
            <w:pPr>
              <w:pStyle w:val="AnvndHyperlnk"/>
              <w:spacing w:line="240" w:lineRule="auto"/>
              <w:jc w:val="right"/>
              <w:rPr>
                <w:sz w:val="16"/>
              </w:rPr>
            </w:pPr>
            <w:r w:rsidRPr="006C40C1">
              <w:rPr>
                <w:sz w:val="16"/>
              </w:rPr>
              <w:t>0,29</w:t>
            </w:r>
          </w:p>
        </w:tc>
        <w:tc>
          <w:tcPr>
            <w:tcW w:w="680" w:type="dxa"/>
            <w:vAlign w:val="bottom"/>
          </w:tcPr>
          <w:p w:rsidR="00AA5D77" w:rsidRPr="006C40C1" w:rsidRDefault="00AA5D77">
            <w:pPr>
              <w:pStyle w:val="AnvndHyperlnk"/>
              <w:spacing w:line="240" w:lineRule="auto"/>
              <w:jc w:val="right"/>
              <w:rPr>
                <w:sz w:val="16"/>
              </w:rPr>
            </w:pPr>
            <w:r w:rsidRPr="006C40C1">
              <w:rPr>
                <w:sz w:val="16"/>
              </w:rPr>
              <w:t>0,29</w:t>
            </w:r>
          </w:p>
        </w:tc>
        <w:tc>
          <w:tcPr>
            <w:tcW w:w="791" w:type="dxa"/>
            <w:vAlign w:val="bottom"/>
          </w:tcPr>
          <w:p w:rsidR="00AA5D77" w:rsidRPr="006C40C1" w:rsidRDefault="00AA5D77">
            <w:pPr>
              <w:pStyle w:val="AnvndHyperlnk"/>
              <w:spacing w:line="240" w:lineRule="auto"/>
              <w:jc w:val="right"/>
              <w:rPr>
                <w:sz w:val="16"/>
              </w:rPr>
            </w:pPr>
            <w:r w:rsidRPr="006C40C1">
              <w:rPr>
                <w:sz w:val="16"/>
              </w:rPr>
              <w:t>0,29</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sz w:val="16"/>
              </w:rPr>
            </w:pPr>
            <w:r w:rsidRPr="006C40C1">
              <w:rPr>
                <w:sz w:val="16"/>
              </w:rPr>
              <w:t>Varav</w:t>
            </w:r>
          </w:p>
        </w:tc>
        <w:tc>
          <w:tcPr>
            <w:tcW w:w="794" w:type="dxa"/>
            <w:vAlign w:val="bottom"/>
          </w:tcPr>
          <w:p w:rsidR="00AA5D77" w:rsidRPr="006C40C1" w:rsidRDefault="00AA5D77">
            <w:pPr>
              <w:pStyle w:val="AnvndHyperlnk"/>
              <w:spacing w:line="240" w:lineRule="auto"/>
              <w:rPr>
                <w:sz w:val="16"/>
              </w:rPr>
            </w:pPr>
          </w:p>
        </w:tc>
        <w:tc>
          <w:tcPr>
            <w:tcW w:w="680"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567"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791" w:type="dxa"/>
            <w:vAlign w:val="bottom"/>
          </w:tcPr>
          <w:p w:rsidR="00AA5D77" w:rsidRPr="006C40C1" w:rsidRDefault="00AA5D77">
            <w:pPr>
              <w:pStyle w:val="AnvndHyperlnk"/>
              <w:spacing w:line="240" w:lineRule="auto"/>
              <w:jc w:val="right"/>
              <w:rPr>
                <w:sz w:val="16"/>
              </w:rPr>
            </w:pP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ind w:left="135" w:hanging="135"/>
              <w:jc w:val="left"/>
              <w:rPr>
                <w:sz w:val="16"/>
              </w:rPr>
            </w:pPr>
            <w:r w:rsidRPr="006C40C1">
              <w:rPr>
                <w:sz w:val="16"/>
              </w:rPr>
              <w:tab/>
              <w:t>Tvingande regler för proportion</w:t>
            </w:r>
            <w:r w:rsidRPr="006C40C1">
              <w:rPr>
                <w:sz w:val="16"/>
              </w:rPr>
              <w:t>e</w:t>
            </w:r>
            <w:r w:rsidRPr="006C40C1">
              <w:rPr>
                <w:sz w:val="16"/>
              </w:rPr>
              <w:t>ring</w:t>
            </w:r>
          </w:p>
        </w:tc>
        <w:tc>
          <w:tcPr>
            <w:tcW w:w="794" w:type="dxa"/>
            <w:vAlign w:val="bottom"/>
          </w:tcPr>
          <w:p w:rsidR="00AA5D77" w:rsidRPr="006C40C1" w:rsidRDefault="00AA5D77">
            <w:pPr>
              <w:pStyle w:val="AnvndHyperlnk"/>
              <w:spacing w:line="240" w:lineRule="auto"/>
              <w:rPr>
                <w:sz w:val="16"/>
              </w:rPr>
            </w:pPr>
            <w:r w:rsidRPr="006C40C1">
              <w:rPr>
                <w:sz w:val="16"/>
              </w:rPr>
              <w:t>1/1 2003</w:t>
            </w:r>
          </w:p>
        </w:tc>
        <w:tc>
          <w:tcPr>
            <w:tcW w:w="680" w:type="dxa"/>
            <w:vAlign w:val="bottom"/>
          </w:tcPr>
          <w:p w:rsidR="00AA5D77" w:rsidRPr="006C40C1" w:rsidRDefault="00AA5D77">
            <w:pPr>
              <w:pStyle w:val="AnvndHyperlnk"/>
              <w:spacing w:line="240" w:lineRule="auto"/>
              <w:jc w:val="right"/>
              <w:rPr>
                <w:sz w:val="16"/>
              </w:rPr>
            </w:pPr>
            <w:r w:rsidRPr="006C40C1">
              <w:rPr>
                <w:sz w:val="16"/>
              </w:rPr>
              <w:t>0,27</w:t>
            </w:r>
          </w:p>
        </w:tc>
        <w:tc>
          <w:tcPr>
            <w:tcW w:w="680" w:type="dxa"/>
            <w:vAlign w:val="bottom"/>
          </w:tcPr>
          <w:p w:rsidR="00AA5D77" w:rsidRPr="006C40C1" w:rsidRDefault="00AA5D77">
            <w:pPr>
              <w:pStyle w:val="AnvndHyperlnk"/>
              <w:spacing w:line="240" w:lineRule="auto"/>
              <w:jc w:val="right"/>
              <w:rPr>
                <w:sz w:val="16"/>
              </w:rPr>
            </w:pPr>
            <w:r w:rsidRPr="006C40C1">
              <w:rPr>
                <w:sz w:val="16"/>
              </w:rPr>
              <w:t>0,25</w:t>
            </w:r>
          </w:p>
        </w:tc>
        <w:tc>
          <w:tcPr>
            <w:tcW w:w="567" w:type="dxa"/>
            <w:vAlign w:val="bottom"/>
          </w:tcPr>
          <w:p w:rsidR="00AA5D77" w:rsidRPr="006C40C1" w:rsidRDefault="00AA5D77">
            <w:pPr>
              <w:pStyle w:val="AnvndHyperlnk"/>
              <w:spacing w:line="240" w:lineRule="auto"/>
              <w:jc w:val="right"/>
              <w:rPr>
                <w:sz w:val="16"/>
              </w:rPr>
            </w:pPr>
            <w:r w:rsidRPr="006C40C1">
              <w:rPr>
                <w:sz w:val="16"/>
              </w:rPr>
              <w:t>0,20</w:t>
            </w:r>
          </w:p>
        </w:tc>
        <w:tc>
          <w:tcPr>
            <w:tcW w:w="680" w:type="dxa"/>
            <w:vAlign w:val="bottom"/>
          </w:tcPr>
          <w:p w:rsidR="00AA5D77" w:rsidRPr="006C40C1" w:rsidRDefault="00AA5D77">
            <w:pPr>
              <w:pStyle w:val="AnvndHyperlnk"/>
              <w:spacing w:line="240" w:lineRule="auto"/>
              <w:jc w:val="right"/>
              <w:rPr>
                <w:sz w:val="16"/>
              </w:rPr>
            </w:pPr>
            <w:r w:rsidRPr="006C40C1">
              <w:rPr>
                <w:sz w:val="16"/>
              </w:rPr>
              <w:t>0,20</w:t>
            </w:r>
          </w:p>
        </w:tc>
        <w:tc>
          <w:tcPr>
            <w:tcW w:w="680" w:type="dxa"/>
            <w:vAlign w:val="bottom"/>
          </w:tcPr>
          <w:p w:rsidR="00AA5D77" w:rsidRPr="006C40C1" w:rsidRDefault="00AA5D77">
            <w:pPr>
              <w:pStyle w:val="AnvndHyperlnk"/>
              <w:spacing w:line="240" w:lineRule="auto"/>
              <w:jc w:val="right"/>
              <w:rPr>
                <w:sz w:val="16"/>
              </w:rPr>
            </w:pPr>
            <w:r w:rsidRPr="006C40C1">
              <w:rPr>
                <w:sz w:val="16"/>
              </w:rPr>
              <w:t>0,20</w:t>
            </w:r>
          </w:p>
        </w:tc>
        <w:tc>
          <w:tcPr>
            <w:tcW w:w="791" w:type="dxa"/>
            <w:vAlign w:val="bottom"/>
          </w:tcPr>
          <w:p w:rsidR="00AA5D77" w:rsidRPr="006C40C1" w:rsidRDefault="00AA5D77">
            <w:pPr>
              <w:pStyle w:val="AnvndHyperlnk"/>
              <w:spacing w:line="240" w:lineRule="auto"/>
              <w:jc w:val="right"/>
              <w:rPr>
                <w:sz w:val="16"/>
              </w:rPr>
            </w:pPr>
            <w:r w:rsidRPr="006C40C1">
              <w:rPr>
                <w:sz w:val="16"/>
              </w:rPr>
              <w:t>0,20</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sz w:val="16"/>
              </w:rPr>
            </w:pPr>
            <w:r w:rsidRPr="006C40C1">
              <w:rPr>
                <w:sz w:val="16"/>
              </w:rPr>
              <w:tab/>
              <w:t xml:space="preserve">Sänkt skatt för bränslen </w:t>
            </w:r>
          </w:p>
        </w:tc>
        <w:tc>
          <w:tcPr>
            <w:tcW w:w="794" w:type="dxa"/>
            <w:vAlign w:val="bottom"/>
          </w:tcPr>
          <w:p w:rsidR="00AA5D77" w:rsidRPr="006C40C1" w:rsidRDefault="00AA5D77">
            <w:pPr>
              <w:pStyle w:val="AnvndHyperlnk"/>
              <w:spacing w:line="240" w:lineRule="auto"/>
              <w:rPr>
                <w:sz w:val="16"/>
              </w:rPr>
            </w:pPr>
            <w:r w:rsidRPr="006C40C1">
              <w:rPr>
                <w:sz w:val="16"/>
              </w:rPr>
              <w:t>1/1 2003</w:t>
            </w:r>
          </w:p>
        </w:tc>
        <w:tc>
          <w:tcPr>
            <w:tcW w:w="680" w:type="dxa"/>
            <w:vAlign w:val="bottom"/>
          </w:tcPr>
          <w:p w:rsidR="00AA5D77" w:rsidRPr="006C40C1" w:rsidRDefault="00AA5D77">
            <w:pPr>
              <w:pStyle w:val="AnvndHyperlnk"/>
              <w:spacing w:line="240" w:lineRule="auto"/>
              <w:jc w:val="right"/>
              <w:rPr>
                <w:sz w:val="16"/>
              </w:rPr>
            </w:pPr>
            <w:r w:rsidRPr="006C40C1">
              <w:rPr>
                <w:sz w:val="16"/>
              </w:rPr>
              <w:t>-0,38</w:t>
            </w:r>
          </w:p>
        </w:tc>
        <w:tc>
          <w:tcPr>
            <w:tcW w:w="680" w:type="dxa"/>
            <w:vAlign w:val="bottom"/>
          </w:tcPr>
          <w:p w:rsidR="00AA5D77" w:rsidRPr="006C40C1" w:rsidRDefault="00AA5D77">
            <w:pPr>
              <w:pStyle w:val="AnvndHyperlnk"/>
              <w:spacing w:line="240" w:lineRule="auto"/>
              <w:jc w:val="right"/>
              <w:rPr>
                <w:sz w:val="16"/>
              </w:rPr>
            </w:pPr>
            <w:r w:rsidRPr="006C40C1">
              <w:rPr>
                <w:sz w:val="16"/>
              </w:rPr>
              <w:t>-0,35</w:t>
            </w:r>
          </w:p>
        </w:tc>
        <w:tc>
          <w:tcPr>
            <w:tcW w:w="567" w:type="dxa"/>
            <w:vAlign w:val="bottom"/>
          </w:tcPr>
          <w:p w:rsidR="00AA5D77" w:rsidRPr="006C40C1" w:rsidRDefault="00AA5D77">
            <w:pPr>
              <w:pStyle w:val="AnvndHyperlnk"/>
              <w:spacing w:line="240" w:lineRule="auto"/>
              <w:jc w:val="right"/>
              <w:rPr>
                <w:sz w:val="16"/>
              </w:rPr>
            </w:pPr>
            <w:r w:rsidRPr="006C40C1">
              <w:rPr>
                <w:sz w:val="16"/>
              </w:rPr>
              <w:t>-0,28</w:t>
            </w:r>
          </w:p>
        </w:tc>
        <w:tc>
          <w:tcPr>
            <w:tcW w:w="680" w:type="dxa"/>
            <w:vAlign w:val="bottom"/>
          </w:tcPr>
          <w:p w:rsidR="00AA5D77" w:rsidRPr="006C40C1" w:rsidRDefault="00AA5D77">
            <w:pPr>
              <w:pStyle w:val="AnvndHyperlnk"/>
              <w:spacing w:line="240" w:lineRule="auto"/>
              <w:jc w:val="right"/>
              <w:rPr>
                <w:sz w:val="16"/>
              </w:rPr>
            </w:pPr>
            <w:r w:rsidRPr="006C40C1">
              <w:rPr>
                <w:sz w:val="16"/>
              </w:rPr>
              <w:t>-0,28</w:t>
            </w:r>
          </w:p>
        </w:tc>
        <w:tc>
          <w:tcPr>
            <w:tcW w:w="680" w:type="dxa"/>
            <w:vAlign w:val="bottom"/>
          </w:tcPr>
          <w:p w:rsidR="00AA5D77" w:rsidRPr="006C40C1" w:rsidRDefault="00AA5D77">
            <w:pPr>
              <w:pStyle w:val="AnvndHyperlnk"/>
              <w:spacing w:line="240" w:lineRule="auto"/>
              <w:jc w:val="right"/>
              <w:rPr>
                <w:sz w:val="16"/>
              </w:rPr>
            </w:pPr>
            <w:r w:rsidRPr="006C40C1">
              <w:rPr>
                <w:sz w:val="16"/>
              </w:rPr>
              <w:t>-0,28</w:t>
            </w:r>
          </w:p>
        </w:tc>
        <w:tc>
          <w:tcPr>
            <w:tcW w:w="791" w:type="dxa"/>
            <w:vAlign w:val="bottom"/>
          </w:tcPr>
          <w:p w:rsidR="00AA5D77" w:rsidRPr="006C40C1" w:rsidRDefault="00AA5D77">
            <w:pPr>
              <w:pStyle w:val="AnvndHyperlnk"/>
              <w:spacing w:line="240" w:lineRule="auto"/>
              <w:jc w:val="right"/>
              <w:rPr>
                <w:sz w:val="16"/>
              </w:rPr>
            </w:pPr>
            <w:r w:rsidRPr="006C40C1">
              <w:rPr>
                <w:sz w:val="16"/>
              </w:rPr>
              <w:t>-0,28</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ind w:left="135" w:hanging="135"/>
              <w:jc w:val="left"/>
              <w:rPr>
                <w:sz w:val="16"/>
              </w:rPr>
            </w:pPr>
            <w:r w:rsidRPr="006C40C1">
              <w:rPr>
                <w:sz w:val="16"/>
              </w:rPr>
              <w:tab/>
              <w:t>Slopat avdrag internförbr</w:t>
            </w:r>
            <w:r w:rsidRPr="006C40C1">
              <w:rPr>
                <w:sz w:val="16"/>
              </w:rPr>
              <w:t>u</w:t>
            </w:r>
            <w:r w:rsidRPr="006C40C1">
              <w:rPr>
                <w:sz w:val="16"/>
              </w:rPr>
              <w:t>kad el</w:t>
            </w:r>
          </w:p>
        </w:tc>
        <w:tc>
          <w:tcPr>
            <w:tcW w:w="794" w:type="dxa"/>
            <w:vAlign w:val="bottom"/>
          </w:tcPr>
          <w:p w:rsidR="00AA5D77" w:rsidRPr="006C40C1" w:rsidRDefault="00AA5D77">
            <w:pPr>
              <w:pStyle w:val="AnvndHyperlnk"/>
              <w:spacing w:line="240" w:lineRule="auto"/>
              <w:jc w:val="left"/>
              <w:rPr>
                <w:sz w:val="16"/>
                <w:vertAlign w:val="superscript"/>
              </w:rPr>
            </w:pPr>
            <w:r w:rsidRPr="006C40C1">
              <w:rPr>
                <w:sz w:val="16"/>
              </w:rPr>
              <w:t>1/1 2003</w:t>
            </w:r>
            <w:r w:rsidRPr="006C40C1">
              <w:rPr>
                <w:sz w:val="16"/>
                <w:vertAlign w:val="superscript"/>
              </w:rPr>
              <w:t>2</w:t>
            </w:r>
          </w:p>
        </w:tc>
        <w:tc>
          <w:tcPr>
            <w:tcW w:w="680" w:type="dxa"/>
            <w:vAlign w:val="bottom"/>
          </w:tcPr>
          <w:p w:rsidR="00AA5D77" w:rsidRPr="006C40C1" w:rsidRDefault="00AA5D77">
            <w:pPr>
              <w:pStyle w:val="AnvndHyperlnk"/>
              <w:spacing w:line="240" w:lineRule="auto"/>
              <w:jc w:val="right"/>
              <w:rPr>
                <w:sz w:val="16"/>
              </w:rPr>
            </w:pPr>
            <w:r w:rsidRPr="006C40C1">
              <w:rPr>
                <w:sz w:val="16"/>
              </w:rPr>
              <w:t>0,50</w:t>
            </w:r>
          </w:p>
        </w:tc>
        <w:tc>
          <w:tcPr>
            <w:tcW w:w="680" w:type="dxa"/>
            <w:vAlign w:val="bottom"/>
          </w:tcPr>
          <w:p w:rsidR="00AA5D77" w:rsidRPr="006C40C1" w:rsidRDefault="00AA5D77">
            <w:pPr>
              <w:pStyle w:val="AnvndHyperlnk"/>
              <w:spacing w:line="240" w:lineRule="auto"/>
              <w:jc w:val="right"/>
              <w:rPr>
                <w:sz w:val="16"/>
              </w:rPr>
            </w:pPr>
            <w:r w:rsidRPr="006C40C1">
              <w:rPr>
                <w:sz w:val="16"/>
              </w:rPr>
              <w:t>0,46</w:t>
            </w:r>
          </w:p>
        </w:tc>
        <w:tc>
          <w:tcPr>
            <w:tcW w:w="567" w:type="dxa"/>
            <w:vAlign w:val="bottom"/>
          </w:tcPr>
          <w:p w:rsidR="00AA5D77" w:rsidRPr="006C40C1" w:rsidRDefault="00AA5D77">
            <w:pPr>
              <w:pStyle w:val="AnvndHyperlnk"/>
              <w:spacing w:line="240" w:lineRule="auto"/>
              <w:jc w:val="right"/>
              <w:rPr>
                <w:sz w:val="16"/>
              </w:rPr>
            </w:pPr>
            <w:r w:rsidRPr="006C40C1">
              <w:rPr>
                <w:sz w:val="16"/>
              </w:rPr>
              <w:t>0,37</w:t>
            </w:r>
          </w:p>
        </w:tc>
        <w:tc>
          <w:tcPr>
            <w:tcW w:w="680" w:type="dxa"/>
            <w:vAlign w:val="bottom"/>
          </w:tcPr>
          <w:p w:rsidR="00AA5D77" w:rsidRPr="006C40C1" w:rsidRDefault="00AA5D77">
            <w:pPr>
              <w:pStyle w:val="AnvndHyperlnk"/>
              <w:spacing w:line="240" w:lineRule="auto"/>
              <w:jc w:val="right"/>
              <w:rPr>
                <w:sz w:val="16"/>
              </w:rPr>
            </w:pPr>
            <w:r w:rsidRPr="006C40C1">
              <w:rPr>
                <w:sz w:val="16"/>
              </w:rPr>
              <w:t>0,37</w:t>
            </w:r>
          </w:p>
        </w:tc>
        <w:tc>
          <w:tcPr>
            <w:tcW w:w="680" w:type="dxa"/>
            <w:vAlign w:val="bottom"/>
          </w:tcPr>
          <w:p w:rsidR="00AA5D77" w:rsidRPr="006C40C1" w:rsidRDefault="00AA5D77">
            <w:pPr>
              <w:pStyle w:val="AnvndHyperlnk"/>
              <w:spacing w:line="240" w:lineRule="auto"/>
              <w:jc w:val="right"/>
              <w:rPr>
                <w:sz w:val="16"/>
              </w:rPr>
            </w:pPr>
            <w:r w:rsidRPr="006C40C1">
              <w:rPr>
                <w:sz w:val="16"/>
              </w:rPr>
              <w:t>0,37</w:t>
            </w:r>
          </w:p>
        </w:tc>
        <w:tc>
          <w:tcPr>
            <w:tcW w:w="791" w:type="dxa"/>
            <w:vAlign w:val="bottom"/>
          </w:tcPr>
          <w:p w:rsidR="00AA5D77" w:rsidRPr="006C40C1" w:rsidRDefault="00AA5D77">
            <w:pPr>
              <w:pStyle w:val="AnvndHyperlnk"/>
              <w:spacing w:line="240" w:lineRule="auto"/>
              <w:jc w:val="right"/>
              <w:rPr>
                <w:sz w:val="16"/>
              </w:rPr>
            </w:pPr>
            <w:r w:rsidRPr="006C40C1">
              <w:rPr>
                <w:sz w:val="16"/>
              </w:rPr>
              <w:t>0,37</w:t>
            </w:r>
          </w:p>
        </w:tc>
      </w:tr>
      <w:tr w:rsidR="00000000" w:rsidRPr="006C40C1">
        <w:tblPrEx>
          <w:tblCellMar>
            <w:top w:w="0" w:type="dxa"/>
            <w:bottom w:w="0" w:type="dxa"/>
          </w:tblCellMar>
        </w:tblPrEx>
        <w:trPr>
          <w:jc w:val="right"/>
        </w:trPr>
        <w:tc>
          <w:tcPr>
            <w:tcW w:w="7478" w:type="dxa"/>
            <w:gridSpan w:val="8"/>
            <w:vAlign w:val="bottom"/>
          </w:tcPr>
          <w:p w:rsidR="00AA5D77" w:rsidRPr="006C40C1" w:rsidRDefault="00AA5D77">
            <w:pPr>
              <w:pStyle w:val="AnvndHyperlnk"/>
              <w:tabs>
                <w:tab w:val="left" w:pos="135"/>
              </w:tabs>
              <w:spacing w:line="240" w:lineRule="auto"/>
              <w:jc w:val="left"/>
              <w:rPr>
                <w:i/>
                <w:sz w:val="16"/>
              </w:rPr>
            </w:pPr>
            <w:r w:rsidRPr="006C40C1">
              <w:rPr>
                <w:i/>
                <w:sz w:val="16"/>
              </w:rPr>
              <w:t>Tobaksskatt</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sz w:val="16"/>
              </w:rPr>
            </w:pPr>
            <w:r w:rsidRPr="006C40C1">
              <w:rPr>
                <w:sz w:val="16"/>
              </w:rPr>
              <w:t>Minimiskatt på cigaretter</w:t>
            </w:r>
          </w:p>
        </w:tc>
        <w:tc>
          <w:tcPr>
            <w:tcW w:w="794" w:type="dxa"/>
            <w:vAlign w:val="bottom"/>
          </w:tcPr>
          <w:p w:rsidR="00AA5D77" w:rsidRPr="006C40C1" w:rsidRDefault="00AA5D77">
            <w:pPr>
              <w:pStyle w:val="AnvndHyperlnk"/>
              <w:spacing w:line="240" w:lineRule="auto"/>
              <w:rPr>
                <w:sz w:val="16"/>
              </w:rPr>
            </w:pPr>
            <w:r w:rsidRPr="006C40C1">
              <w:rPr>
                <w:sz w:val="16"/>
              </w:rPr>
              <w:t>1/3 2003</w:t>
            </w:r>
          </w:p>
        </w:tc>
        <w:tc>
          <w:tcPr>
            <w:tcW w:w="680" w:type="dxa"/>
            <w:vAlign w:val="bottom"/>
          </w:tcPr>
          <w:p w:rsidR="00AA5D77" w:rsidRPr="006C40C1" w:rsidRDefault="00AA5D77">
            <w:pPr>
              <w:pStyle w:val="AnvndHyperlnk"/>
              <w:spacing w:line="240" w:lineRule="auto"/>
              <w:jc w:val="right"/>
              <w:rPr>
                <w:sz w:val="16"/>
              </w:rPr>
            </w:pPr>
            <w:r w:rsidRPr="006C40C1">
              <w:rPr>
                <w:sz w:val="16"/>
              </w:rPr>
              <w:t>0,30</w:t>
            </w:r>
          </w:p>
        </w:tc>
        <w:tc>
          <w:tcPr>
            <w:tcW w:w="680" w:type="dxa"/>
            <w:vAlign w:val="bottom"/>
          </w:tcPr>
          <w:p w:rsidR="00AA5D77" w:rsidRPr="006C40C1" w:rsidRDefault="00AA5D77">
            <w:pPr>
              <w:pStyle w:val="AnvndHyperlnk"/>
              <w:spacing w:line="240" w:lineRule="auto"/>
              <w:jc w:val="right"/>
              <w:rPr>
                <w:sz w:val="16"/>
              </w:rPr>
            </w:pPr>
            <w:r w:rsidRPr="006C40C1">
              <w:rPr>
                <w:sz w:val="16"/>
              </w:rPr>
              <w:t>0,38</w:t>
            </w:r>
          </w:p>
        </w:tc>
        <w:tc>
          <w:tcPr>
            <w:tcW w:w="567" w:type="dxa"/>
            <w:vAlign w:val="bottom"/>
          </w:tcPr>
          <w:p w:rsidR="00AA5D77" w:rsidRPr="006C40C1" w:rsidRDefault="00AA5D77">
            <w:pPr>
              <w:pStyle w:val="AnvndHyperlnk"/>
              <w:spacing w:line="240" w:lineRule="auto"/>
              <w:jc w:val="right"/>
              <w:rPr>
                <w:sz w:val="16"/>
              </w:rPr>
            </w:pPr>
            <w:r w:rsidRPr="006C40C1">
              <w:rPr>
                <w:sz w:val="16"/>
              </w:rPr>
              <w:t>0,39</w:t>
            </w:r>
          </w:p>
        </w:tc>
        <w:tc>
          <w:tcPr>
            <w:tcW w:w="680" w:type="dxa"/>
            <w:vAlign w:val="bottom"/>
          </w:tcPr>
          <w:p w:rsidR="00AA5D77" w:rsidRPr="006C40C1" w:rsidRDefault="00AA5D77">
            <w:pPr>
              <w:pStyle w:val="AnvndHyperlnk"/>
              <w:spacing w:line="240" w:lineRule="auto"/>
              <w:jc w:val="right"/>
              <w:rPr>
                <w:sz w:val="16"/>
              </w:rPr>
            </w:pPr>
            <w:r w:rsidRPr="006C40C1">
              <w:rPr>
                <w:sz w:val="16"/>
              </w:rPr>
              <w:t>0,42</w:t>
            </w:r>
          </w:p>
        </w:tc>
        <w:tc>
          <w:tcPr>
            <w:tcW w:w="680" w:type="dxa"/>
            <w:vAlign w:val="bottom"/>
          </w:tcPr>
          <w:p w:rsidR="00AA5D77" w:rsidRPr="006C40C1" w:rsidRDefault="00AA5D77">
            <w:pPr>
              <w:pStyle w:val="AnvndHyperlnk"/>
              <w:spacing w:line="240" w:lineRule="auto"/>
              <w:jc w:val="right"/>
              <w:rPr>
                <w:sz w:val="16"/>
              </w:rPr>
            </w:pPr>
            <w:r w:rsidRPr="006C40C1">
              <w:rPr>
                <w:sz w:val="16"/>
              </w:rPr>
              <w:t>0,36</w:t>
            </w:r>
          </w:p>
        </w:tc>
        <w:tc>
          <w:tcPr>
            <w:tcW w:w="791" w:type="dxa"/>
            <w:vAlign w:val="bottom"/>
          </w:tcPr>
          <w:p w:rsidR="00AA5D77" w:rsidRPr="006C40C1" w:rsidRDefault="00AA5D77">
            <w:pPr>
              <w:pStyle w:val="AnvndHyperlnk"/>
              <w:spacing w:line="240" w:lineRule="auto"/>
              <w:jc w:val="right"/>
              <w:rPr>
                <w:sz w:val="16"/>
              </w:rPr>
            </w:pPr>
            <w:r w:rsidRPr="006C40C1">
              <w:rPr>
                <w:sz w:val="16"/>
              </w:rPr>
              <w:t>0,36</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i/>
                <w:sz w:val="16"/>
              </w:rPr>
            </w:pPr>
          </w:p>
        </w:tc>
        <w:tc>
          <w:tcPr>
            <w:tcW w:w="794" w:type="dxa"/>
            <w:vAlign w:val="bottom"/>
          </w:tcPr>
          <w:p w:rsidR="00AA5D77" w:rsidRPr="006C40C1" w:rsidRDefault="00AA5D77">
            <w:pPr>
              <w:pStyle w:val="AnvndHyperlnk"/>
              <w:spacing w:line="240" w:lineRule="auto"/>
              <w:rPr>
                <w:sz w:val="16"/>
              </w:rPr>
            </w:pPr>
          </w:p>
        </w:tc>
        <w:tc>
          <w:tcPr>
            <w:tcW w:w="680"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567"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791" w:type="dxa"/>
            <w:vAlign w:val="bottom"/>
          </w:tcPr>
          <w:p w:rsidR="00AA5D77" w:rsidRPr="006C40C1" w:rsidRDefault="00AA5D77">
            <w:pPr>
              <w:pStyle w:val="AnvndHyperlnk"/>
              <w:spacing w:line="240" w:lineRule="auto"/>
              <w:jc w:val="right"/>
              <w:rPr>
                <w:sz w:val="16"/>
              </w:rPr>
            </w:pP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i/>
                <w:sz w:val="16"/>
              </w:rPr>
            </w:pPr>
            <w:r w:rsidRPr="006C40C1">
              <w:rPr>
                <w:i/>
                <w:sz w:val="16"/>
              </w:rPr>
              <w:t>Delsumma</w:t>
            </w:r>
          </w:p>
        </w:tc>
        <w:tc>
          <w:tcPr>
            <w:tcW w:w="794" w:type="dxa"/>
            <w:vAlign w:val="bottom"/>
          </w:tcPr>
          <w:p w:rsidR="00AA5D77" w:rsidRPr="006C40C1" w:rsidRDefault="00AA5D77">
            <w:pPr>
              <w:pStyle w:val="AnvndHyperlnk"/>
              <w:spacing w:line="240" w:lineRule="auto"/>
              <w:rPr>
                <w:sz w:val="16"/>
              </w:rPr>
            </w:pPr>
          </w:p>
        </w:tc>
        <w:tc>
          <w:tcPr>
            <w:tcW w:w="680" w:type="dxa"/>
            <w:vAlign w:val="bottom"/>
          </w:tcPr>
          <w:p w:rsidR="00AA5D77" w:rsidRPr="006C40C1" w:rsidRDefault="00AA5D77">
            <w:pPr>
              <w:pStyle w:val="AnvndHyperlnk"/>
              <w:spacing w:line="240" w:lineRule="auto"/>
              <w:jc w:val="right"/>
              <w:rPr>
                <w:sz w:val="16"/>
              </w:rPr>
            </w:pPr>
            <w:r w:rsidRPr="006C40C1">
              <w:rPr>
                <w:sz w:val="16"/>
              </w:rPr>
              <w:t>-3,60</w:t>
            </w:r>
          </w:p>
        </w:tc>
        <w:tc>
          <w:tcPr>
            <w:tcW w:w="680" w:type="dxa"/>
            <w:vAlign w:val="bottom"/>
          </w:tcPr>
          <w:p w:rsidR="00AA5D77" w:rsidRPr="006C40C1" w:rsidRDefault="00AA5D77">
            <w:pPr>
              <w:pStyle w:val="AnvndHyperlnk"/>
              <w:spacing w:line="240" w:lineRule="auto"/>
              <w:jc w:val="right"/>
              <w:rPr>
                <w:sz w:val="16"/>
              </w:rPr>
            </w:pPr>
            <w:r w:rsidRPr="006C40C1">
              <w:rPr>
                <w:sz w:val="16"/>
              </w:rPr>
              <w:t>-2,51</w:t>
            </w:r>
          </w:p>
        </w:tc>
        <w:tc>
          <w:tcPr>
            <w:tcW w:w="567" w:type="dxa"/>
            <w:vAlign w:val="bottom"/>
          </w:tcPr>
          <w:p w:rsidR="00AA5D77" w:rsidRPr="006C40C1" w:rsidRDefault="00AA5D77">
            <w:pPr>
              <w:pStyle w:val="AnvndHyperlnk"/>
              <w:spacing w:line="240" w:lineRule="auto"/>
              <w:jc w:val="right"/>
              <w:rPr>
                <w:sz w:val="16"/>
              </w:rPr>
            </w:pPr>
            <w:r w:rsidRPr="006C40C1">
              <w:rPr>
                <w:sz w:val="16"/>
              </w:rPr>
              <w:t>0,24</w:t>
            </w:r>
          </w:p>
        </w:tc>
        <w:tc>
          <w:tcPr>
            <w:tcW w:w="680" w:type="dxa"/>
            <w:vAlign w:val="bottom"/>
          </w:tcPr>
          <w:p w:rsidR="00AA5D77" w:rsidRPr="006C40C1" w:rsidRDefault="00AA5D77">
            <w:pPr>
              <w:pStyle w:val="AnvndHyperlnk"/>
              <w:spacing w:line="240" w:lineRule="auto"/>
              <w:jc w:val="right"/>
              <w:rPr>
                <w:sz w:val="16"/>
              </w:rPr>
            </w:pPr>
            <w:r w:rsidRPr="006C40C1">
              <w:rPr>
                <w:sz w:val="16"/>
              </w:rPr>
              <w:t>0,69</w:t>
            </w:r>
          </w:p>
        </w:tc>
        <w:tc>
          <w:tcPr>
            <w:tcW w:w="680" w:type="dxa"/>
            <w:vAlign w:val="bottom"/>
          </w:tcPr>
          <w:p w:rsidR="00AA5D77" w:rsidRPr="006C40C1" w:rsidRDefault="00AA5D77">
            <w:pPr>
              <w:pStyle w:val="AnvndHyperlnk"/>
              <w:spacing w:line="240" w:lineRule="auto"/>
              <w:jc w:val="right"/>
              <w:rPr>
                <w:sz w:val="16"/>
              </w:rPr>
            </w:pPr>
            <w:r w:rsidRPr="006C40C1">
              <w:rPr>
                <w:sz w:val="16"/>
              </w:rPr>
              <w:t>0,42</w:t>
            </w:r>
          </w:p>
        </w:tc>
        <w:tc>
          <w:tcPr>
            <w:tcW w:w="791" w:type="dxa"/>
            <w:vAlign w:val="bottom"/>
          </w:tcPr>
          <w:p w:rsidR="00AA5D77" w:rsidRPr="006C40C1" w:rsidRDefault="00AA5D77">
            <w:pPr>
              <w:pStyle w:val="AnvndHyperlnk"/>
              <w:spacing w:line="240" w:lineRule="auto"/>
              <w:jc w:val="right"/>
              <w:rPr>
                <w:sz w:val="16"/>
              </w:rPr>
            </w:pPr>
            <w:r w:rsidRPr="006C40C1">
              <w:rPr>
                <w:sz w:val="16"/>
              </w:rPr>
              <w:t>0,34</w:t>
            </w:r>
          </w:p>
        </w:tc>
      </w:tr>
      <w:tr w:rsidR="00000000" w:rsidRPr="006C40C1">
        <w:tblPrEx>
          <w:tblCellMar>
            <w:top w:w="0" w:type="dxa"/>
            <w:bottom w:w="0" w:type="dxa"/>
          </w:tblCellMar>
        </w:tblPrEx>
        <w:trPr>
          <w:jc w:val="right"/>
        </w:trPr>
        <w:tc>
          <w:tcPr>
            <w:tcW w:w="7478" w:type="dxa"/>
            <w:gridSpan w:val="8"/>
            <w:vAlign w:val="bottom"/>
          </w:tcPr>
          <w:p w:rsidR="00AA5D77" w:rsidRPr="006C40C1" w:rsidRDefault="00AA5D77">
            <w:pPr>
              <w:pStyle w:val="AnvndHyperlnk"/>
              <w:tabs>
                <w:tab w:val="left" w:pos="135"/>
              </w:tabs>
              <w:jc w:val="left"/>
              <w:rPr>
                <w:b/>
                <w:sz w:val="16"/>
              </w:rPr>
            </w:pPr>
            <w:r w:rsidRPr="006C40C1">
              <w:rPr>
                <w:b/>
                <w:sz w:val="16"/>
              </w:rPr>
              <w:t>II. Förslag i andra propositioner</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sz w:val="16"/>
              </w:rPr>
            </w:pPr>
            <w:r w:rsidRPr="006C40C1">
              <w:rPr>
                <w:sz w:val="16"/>
              </w:rPr>
              <w:t>Skattelättnad för vissa byg</w:t>
            </w:r>
            <w:r w:rsidRPr="006C40C1">
              <w:rPr>
                <w:sz w:val="16"/>
              </w:rPr>
              <w:t>g</w:t>
            </w:r>
            <w:r w:rsidRPr="006C40C1">
              <w:rPr>
                <w:sz w:val="16"/>
              </w:rPr>
              <w:t>tjänster</w:t>
            </w:r>
          </w:p>
        </w:tc>
        <w:tc>
          <w:tcPr>
            <w:tcW w:w="794" w:type="dxa"/>
            <w:vAlign w:val="bottom"/>
          </w:tcPr>
          <w:p w:rsidR="00AA5D77" w:rsidRPr="006C40C1" w:rsidRDefault="00AA5D77">
            <w:pPr>
              <w:pStyle w:val="AnvndHyperlnk"/>
              <w:spacing w:line="240" w:lineRule="auto"/>
              <w:rPr>
                <w:sz w:val="16"/>
              </w:rPr>
            </w:pPr>
          </w:p>
        </w:tc>
        <w:tc>
          <w:tcPr>
            <w:tcW w:w="680" w:type="dxa"/>
            <w:vAlign w:val="bottom"/>
          </w:tcPr>
          <w:p w:rsidR="00AA5D77" w:rsidRPr="006C40C1" w:rsidRDefault="00AA5D77">
            <w:pPr>
              <w:pStyle w:val="AnvndHyperlnk"/>
              <w:spacing w:line="240" w:lineRule="auto"/>
              <w:jc w:val="right"/>
              <w:rPr>
                <w:sz w:val="16"/>
              </w:rPr>
            </w:pPr>
            <w:r w:rsidRPr="006C40C1">
              <w:rPr>
                <w:sz w:val="16"/>
              </w:rPr>
              <w:t>-1,78</w:t>
            </w:r>
          </w:p>
        </w:tc>
        <w:tc>
          <w:tcPr>
            <w:tcW w:w="680" w:type="dxa"/>
            <w:vAlign w:val="bottom"/>
          </w:tcPr>
          <w:p w:rsidR="00AA5D77" w:rsidRPr="006C40C1" w:rsidRDefault="00AA5D77">
            <w:pPr>
              <w:pStyle w:val="AnvndHyperlnk"/>
              <w:spacing w:line="240" w:lineRule="auto"/>
              <w:jc w:val="right"/>
              <w:rPr>
                <w:sz w:val="16"/>
              </w:rPr>
            </w:pPr>
            <w:r w:rsidRPr="006C40C1">
              <w:rPr>
                <w:sz w:val="16"/>
              </w:rPr>
              <w:t>-0,30</w:t>
            </w:r>
          </w:p>
        </w:tc>
        <w:tc>
          <w:tcPr>
            <w:tcW w:w="567" w:type="dxa"/>
            <w:vAlign w:val="bottom"/>
          </w:tcPr>
          <w:p w:rsidR="00AA5D77" w:rsidRPr="006C40C1" w:rsidRDefault="00AA5D77">
            <w:pPr>
              <w:pStyle w:val="AnvndHyperlnk"/>
              <w:spacing w:line="240" w:lineRule="auto"/>
              <w:jc w:val="right"/>
              <w:rPr>
                <w:sz w:val="16"/>
              </w:rPr>
            </w:pPr>
            <w:r w:rsidRPr="006C40C1">
              <w:rPr>
                <w:sz w:val="16"/>
              </w:rPr>
              <w:t>-1,78</w:t>
            </w:r>
          </w:p>
        </w:tc>
        <w:tc>
          <w:tcPr>
            <w:tcW w:w="680" w:type="dxa"/>
            <w:vAlign w:val="bottom"/>
          </w:tcPr>
          <w:p w:rsidR="00AA5D77" w:rsidRPr="006C40C1" w:rsidRDefault="00AA5D77">
            <w:pPr>
              <w:pStyle w:val="AnvndHyperlnk"/>
              <w:spacing w:line="240" w:lineRule="auto"/>
              <w:jc w:val="right"/>
              <w:rPr>
                <w:sz w:val="16"/>
              </w:rPr>
            </w:pPr>
            <w:r w:rsidRPr="006C40C1">
              <w:rPr>
                <w:sz w:val="16"/>
              </w:rPr>
              <w:t>-0,44</w:t>
            </w:r>
          </w:p>
        </w:tc>
        <w:tc>
          <w:tcPr>
            <w:tcW w:w="680" w:type="dxa"/>
            <w:vAlign w:val="bottom"/>
          </w:tcPr>
          <w:p w:rsidR="00AA5D77" w:rsidRPr="006C40C1" w:rsidRDefault="00AA5D77">
            <w:pPr>
              <w:pStyle w:val="AnvndHyperlnk"/>
              <w:spacing w:line="240" w:lineRule="auto"/>
              <w:jc w:val="right"/>
              <w:rPr>
                <w:sz w:val="16"/>
              </w:rPr>
            </w:pPr>
            <w:r w:rsidRPr="006C40C1">
              <w:rPr>
                <w:sz w:val="16"/>
              </w:rPr>
              <w:t>-1,78</w:t>
            </w:r>
          </w:p>
        </w:tc>
        <w:tc>
          <w:tcPr>
            <w:tcW w:w="791" w:type="dxa"/>
            <w:vAlign w:val="bottom"/>
          </w:tcPr>
          <w:p w:rsidR="00AA5D77" w:rsidRPr="006C40C1" w:rsidRDefault="00AA5D77">
            <w:pPr>
              <w:pStyle w:val="AnvndHyperlnk"/>
              <w:spacing w:line="240" w:lineRule="auto"/>
              <w:jc w:val="right"/>
              <w:rPr>
                <w:sz w:val="16"/>
              </w:rPr>
            </w:pPr>
            <w:r w:rsidRPr="006C40C1">
              <w:rPr>
                <w:sz w:val="16"/>
              </w:rPr>
              <w:t>-0,35</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i/>
                <w:sz w:val="16"/>
              </w:rPr>
            </w:pPr>
          </w:p>
        </w:tc>
        <w:tc>
          <w:tcPr>
            <w:tcW w:w="794" w:type="dxa"/>
            <w:vAlign w:val="bottom"/>
          </w:tcPr>
          <w:p w:rsidR="00AA5D77" w:rsidRPr="006C40C1" w:rsidRDefault="00AA5D77">
            <w:pPr>
              <w:pStyle w:val="AnvndHyperlnk"/>
              <w:spacing w:line="240" w:lineRule="auto"/>
              <w:rPr>
                <w:sz w:val="16"/>
              </w:rPr>
            </w:pPr>
          </w:p>
        </w:tc>
        <w:tc>
          <w:tcPr>
            <w:tcW w:w="680"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567"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680" w:type="dxa"/>
            <w:vAlign w:val="bottom"/>
          </w:tcPr>
          <w:p w:rsidR="00AA5D77" w:rsidRPr="006C40C1" w:rsidRDefault="00AA5D77">
            <w:pPr>
              <w:pStyle w:val="AnvndHyperlnk"/>
              <w:spacing w:line="240" w:lineRule="auto"/>
              <w:jc w:val="right"/>
              <w:rPr>
                <w:sz w:val="16"/>
              </w:rPr>
            </w:pPr>
          </w:p>
        </w:tc>
        <w:tc>
          <w:tcPr>
            <w:tcW w:w="791" w:type="dxa"/>
            <w:vAlign w:val="bottom"/>
          </w:tcPr>
          <w:p w:rsidR="00AA5D77" w:rsidRPr="006C40C1" w:rsidRDefault="00AA5D77">
            <w:pPr>
              <w:pStyle w:val="AnvndHyperlnk"/>
              <w:spacing w:line="240" w:lineRule="auto"/>
              <w:jc w:val="right"/>
              <w:rPr>
                <w:sz w:val="16"/>
              </w:rPr>
            </w:pP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spacing w:line="240" w:lineRule="auto"/>
              <w:jc w:val="left"/>
              <w:rPr>
                <w:i/>
                <w:sz w:val="16"/>
              </w:rPr>
            </w:pPr>
            <w:r w:rsidRPr="006C40C1">
              <w:rPr>
                <w:i/>
                <w:sz w:val="16"/>
              </w:rPr>
              <w:t>Delsumma</w:t>
            </w:r>
          </w:p>
        </w:tc>
        <w:tc>
          <w:tcPr>
            <w:tcW w:w="794" w:type="dxa"/>
            <w:vAlign w:val="bottom"/>
          </w:tcPr>
          <w:p w:rsidR="00AA5D77" w:rsidRPr="006C40C1" w:rsidRDefault="00AA5D77">
            <w:pPr>
              <w:pStyle w:val="AnvndHyperlnk"/>
              <w:spacing w:line="240" w:lineRule="auto"/>
              <w:rPr>
                <w:sz w:val="16"/>
              </w:rPr>
            </w:pPr>
          </w:p>
        </w:tc>
        <w:tc>
          <w:tcPr>
            <w:tcW w:w="680" w:type="dxa"/>
            <w:vAlign w:val="bottom"/>
          </w:tcPr>
          <w:p w:rsidR="00AA5D77" w:rsidRPr="006C40C1" w:rsidRDefault="00AA5D77">
            <w:pPr>
              <w:pStyle w:val="AnvndHyperlnk"/>
              <w:spacing w:line="240" w:lineRule="auto"/>
              <w:jc w:val="right"/>
              <w:rPr>
                <w:sz w:val="16"/>
              </w:rPr>
            </w:pPr>
            <w:r w:rsidRPr="006C40C1">
              <w:rPr>
                <w:sz w:val="16"/>
              </w:rPr>
              <w:t>-1,78</w:t>
            </w:r>
          </w:p>
        </w:tc>
        <w:tc>
          <w:tcPr>
            <w:tcW w:w="680" w:type="dxa"/>
            <w:vAlign w:val="bottom"/>
          </w:tcPr>
          <w:p w:rsidR="00AA5D77" w:rsidRPr="006C40C1" w:rsidRDefault="00AA5D77">
            <w:pPr>
              <w:pStyle w:val="AnvndHyperlnk"/>
              <w:spacing w:line="240" w:lineRule="auto"/>
              <w:jc w:val="right"/>
              <w:rPr>
                <w:sz w:val="16"/>
              </w:rPr>
            </w:pPr>
            <w:r w:rsidRPr="006C40C1">
              <w:rPr>
                <w:sz w:val="16"/>
              </w:rPr>
              <w:t>-0,30</w:t>
            </w:r>
          </w:p>
        </w:tc>
        <w:tc>
          <w:tcPr>
            <w:tcW w:w="567" w:type="dxa"/>
            <w:vAlign w:val="bottom"/>
          </w:tcPr>
          <w:p w:rsidR="00AA5D77" w:rsidRPr="006C40C1" w:rsidRDefault="00AA5D77">
            <w:pPr>
              <w:pStyle w:val="AnvndHyperlnk"/>
              <w:spacing w:line="240" w:lineRule="auto"/>
              <w:jc w:val="right"/>
              <w:rPr>
                <w:sz w:val="16"/>
              </w:rPr>
            </w:pPr>
            <w:r w:rsidRPr="006C40C1">
              <w:rPr>
                <w:sz w:val="16"/>
              </w:rPr>
              <w:t>-1,78</w:t>
            </w:r>
          </w:p>
        </w:tc>
        <w:tc>
          <w:tcPr>
            <w:tcW w:w="680" w:type="dxa"/>
            <w:vAlign w:val="bottom"/>
          </w:tcPr>
          <w:p w:rsidR="00AA5D77" w:rsidRPr="006C40C1" w:rsidRDefault="00AA5D77">
            <w:pPr>
              <w:pStyle w:val="AnvndHyperlnk"/>
              <w:spacing w:line="240" w:lineRule="auto"/>
              <w:jc w:val="right"/>
              <w:rPr>
                <w:sz w:val="16"/>
              </w:rPr>
            </w:pPr>
            <w:r w:rsidRPr="006C40C1">
              <w:rPr>
                <w:sz w:val="16"/>
              </w:rPr>
              <w:t>-0,44</w:t>
            </w:r>
          </w:p>
        </w:tc>
        <w:tc>
          <w:tcPr>
            <w:tcW w:w="680" w:type="dxa"/>
            <w:vAlign w:val="bottom"/>
          </w:tcPr>
          <w:p w:rsidR="00AA5D77" w:rsidRPr="006C40C1" w:rsidRDefault="00AA5D77">
            <w:pPr>
              <w:pStyle w:val="AnvndHyperlnk"/>
              <w:spacing w:line="240" w:lineRule="auto"/>
              <w:jc w:val="right"/>
              <w:rPr>
                <w:sz w:val="16"/>
              </w:rPr>
            </w:pPr>
            <w:r w:rsidRPr="006C40C1">
              <w:rPr>
                <w:sz w:val="16"/>
              </w:rPr>
              <w:t>-1,78</w:t>
            </w:r>
          </w:p>
        </w:tc>
        <w:tc>
          <w:tcPr>
            <w:tcW w:w="791" w:type="dxa"/>
            <w:vAlign w:val="bottom"/>
          </w:tcPr>
          <w:p w:rsidR="00AA5D77" w:rsidRPr="006C40C1" w:rsidRDefault="00AA5D77">
            <w:pPr>
              <w:pStyle w:val="AnvndHyperlnk"/>
              <w:spacing w:line="240" w:lineRule="auto"/>
              <w:jc w:val="right"/>
              <w:rPr>
                <w:sz w:val="16"/>
              </w:rPr>
            </w:pPr>
            <w:r w:rsidRPr="006C40C1">
              <w:rPr>
                <w:sz w:val="16"/>
              </w:rPr>
              <w:t>-0,35</w:t>
            </w:r>
          </w:p>
        </w:tc>
      </w:tr>
      <w:tr w:rsidR="00000000" w:rsidRPr="006C40C1">
        <w:tblPrEx>
          <w:tblCellMar>
            <w:top w:w="0" w:type="dxa"/>
            <w:bottom w:w="0" w:type="dxa"/>
          </w:tblCellMar>
        </w:tblPrEx>
        <w:trPr>
          <w:jc w:val="right"/>
        </w:trPr>
        <w:tc>
          <w:tcPr>
            <w:tcW w:w="2606" w:type="dxa"/>
          </w:tcPr>
          <w:p w:rsidR="00AA5D77" w:rsidRPr="006C40C1" w:rsidRDefault="00AA5D77">
            <w:pPr>
              <w:pStyle w:val="AnvndHyperlnk"/>
              <w:tabs>
                <w:tab w:val="left" w:pos="135"/>
              </w:tabs>
              <w:jc w:val="left"/>
              <w:rPr>
                <w:b/>
                <w:sz w:val="16"/>
              </w:rPr>
            </w:pPr>
            <w:r w:rsidRPr="006C40C1">
              <w:rPr>
                <w:b/>
                <w:sz w:val="16"/>
              </w:rPr>
              <w:t>Summa total</w:t>
            </w:r>
          </w:p>
        </w:tc>
        <w:tc>
          <w:tcPr>
            <w:tcW w:w="794" w:type="dxa"/>
            <w:vAlign w:val="bottom"/>
          </w:tcPr>
          <w:p w:rsidR="00AA5D77" w:rsidRPr="006C40C1" w:rsidRDefault="00AA5D77">
            <w:pPr>
              <w:pStyle w:val="AnvndHyperlnk"/>
              <w:rPr>
                <w:b/>
                <w:sz w:val="16"/>
              </w:rPr>
            </w:pPr>
          </w:p>
        </w:tc>
        <w:tc>
          <w:tcPr>
            <w:tcW w:w="680" w:type="dxa"/>
            <w:vAlign w:val="bottom"/>
          </w:tcPr>
          <w:p w:rsidR="00AA5D77" w:rsidRPr="006C40C1" w:rsidRDefault="00AA5D77">
            <w:pPr>
              <w:pStyle w:val="AnvndHyperlnk"/>
              <w:jc w:val="right"/>
              <w:rPr>
                <w:b/>
                <w:sz w:val="16"/>
              </w:rPr>
            </w:pPr>
            <w:r w:rsidRPr="006C40C1">
              <w:rPr>
                <w:b/>
                <w:sz w:val="16"/>
              </w:rPr>
              <w:t>-5,38</w:t>
            </w:r>
          </w:p>
        </w:tc>
        <w:tc>
          <w:tcPr>
            <w:tcW w:w="680" w:type="dxa"/>
            <w:vAlign w:val="bottom"/>
          </w:tcPr>
          <w:p w:rsidR="00AA5D77" w:rsidRPr="006C40C1" w:rsidRDefault="00AA5D77">
            <w:pPr>
              <w:pStyle w:val="AnvndHyperlnk"/>
              <w:jc w:val="right"/>
              <w:rPr>
                <w:b/>
                <w:sz w:val="16"/>
              </w:rPr>
            </w:pPr>
            <w:r w:rsidRPr="006C40C1">
              <w:rPr>
                <w:b/>
                <w:sz w:val="16"/>
              </w:rPr>
              <w:t>-2,81</w:t>
            </w:r>
          </w:p>
        </w:tc>
        <w:tc>
          <w:tcPr>
            <w:tcW w:w="567" w:type="dxa"/>
            <w:vAlign w:val="bottom"/>
          </w:tcPr>
          <w:p w:rsidR="00AA5D77" w:rsidRPr="006C40C1" w:rsidRDefault="00AA5D77">
            <w:pPr>
              <w:pStyle w:val="AnvndHyperlnk"/>
              <w:jc w:val="right"/>
              <w:rPr>
                <w:b/>
                <w:sz w:val="16"/>
              </w:rPr>
            </w:pPr>
            <w:r w:rsidRPr="006C40C1">
              <w:rPr>
                <w:b/>
                <w:sz w:val="16"/>
              </w:rPr>
              <w:t>-1,54</w:t>
            </w:r>
          </w:p>
        </w:tc>
        <w:tc>
          <w:tcPr>
            <w:tcW w:w="680" w:type="dxa"/>
            <w:vAlign w:val="bottom"/>
          </w:tcPr>
          <w:p w:rsidR="00AA5D77" w:rsidRPr="006C40C1" w:rsidRDefault="00AA5D77">
            <w:pPr>
              <w:pStyle w:val="AnvndHyperlnk"/>
              <w:jc w:val="right"/>
              <w:rPr>
                <w:b/>
                <w:sz w:val="16"/>
              </w:rPr>
            </w:pPr>
            <w:r w:rsidRPr="006C40C1">
              <w:rPr>
                <w:b/>
                <w:sz w:val="16"/>
              </w:rPr>
              <w:t>0,25</w:t>
            </w:r>
          </w:p>
        </w:tc>
        <w:tc>
          <w:tcPr>
            <w:tcW w:w="680" w:type="dxa"/>
            <w:vAlign w:val="bottom"/>
          </w:tcPr>
          <w:p w:rsidR="00AA5D77" w:rsidRPr="006C40C1" w:rsidRDefault="00AA5D77">
            <w:pPr>
              <w:pStyle w:val="AnvndHyperlnk"/>
              <w:jc w:val="right"/>
              <w:rPr>
                <w:b/>
                <w:sz w:val="16"/>
              </w:rPr>
            </w:pPr>
            <w:r w:rsidRPr="006C40C1">
              <w:rPr>
                <w:b/>
                <w:sz w:val="16"/>
              </w:rPr>
              <w:t>-1,36</w:t>
            </w:r>
          </w:p>
        </w:tc>
        <w:tc>
          <w:tcPr>
            <w:tcW w:w="791" w:type="dxa"/>
            <w:vAlign w:val="bottom"/>
          </w:tcPr>
          <w:p w:rsidR="00AA5D77" w:rsidRPr="006C40C1" w:rsidRDefault="00AA5D77">
            <w:pPr>
              <w:pStyle w:val="AnvndHyperlnk"/>
              <w:jc w:val="right"/>
              <w:rPr>
                <w:b/>
                <w:sz w:val="16"/>
              </w:rPr>
            </w:pPr>
            <w:r w:rsidRPr="006C40C1">
              <w:rPr>
                <w:b/>
                <w:sz w:val="16"/>
              </w:rPr>
              <w:t>-0,01</w:t>
            </w:r>
          </w:p>
        </w:tc>
      </w:tr>
    </w:tbl>
    <w:p w:rsidR="00AA5D77" w:rsidRPr="006C40C1" w:rsidRDefault="00AA5D77">
      <w:pPr>
        <w:spacing w:before="0" w:line="160" w:lineRule="exact"/>
        <w:ind w:left="-1418"/>
        <w:rPr>
          <w:sz w:val="14"/>
        </w:rPr>
      </w:pPr>
      <w:r w:rsidRPr="006C40C1">
        <w:rPr>
          <w:rStyle w:val="AnvndHyperlnk"/>
          <w:sz w:val="14"/>
          <w:vertAlign w:val="superscript"/>
        </w:rPr>
        <w:t>1</w:t>
      </w:r>
      <w:r w:rsidRPr="006C40C1">
        <w:t xml:space="preserve"> </w:t>
      </w:r>
      <w:r w:rsidRPr="006C40C1">
        <w:rPr>
          <w:sz w:val="14"/>
        </w:rPr>
        <w:t>Med bruttoeffekt avses endast den direkta effekten på den skatt som rege</w:t>
      </w:r>
      <w:r w:rsidRPr="006C40C1">
        <w:rPr>
          <w:sz w:val="14"/>
        </w:rPr>
        <w:t>l</w:t>
      </w:r>
      <w:r w:rsidRPr="006C40C1">
        <w:rPr>
          <w:sz w:val="14"/>
        </w:rPr>
        <w:t>ändringen avser.</w:t>
      </w:r>
    </w:p>
    <w:p w:rsidR="00AA5D77" w:rsidRPr="006C40C1" w:rsidRDefault="00AA5D77">
      <w:pPr>
        <w:spacing w:before="0" w:line="160" w:lineRule="exact"/>
        <w:ind w:left="-1305" w:hanging="113"/>
        <w:rPr>
          <w:sz w:val="14"/>
        </w:rPr>
      </w:pPr>
      <w:r w:rsidRPr="006C40C1">
        <w:rPr>
          <w:rStyle w:val="AnvndHyperlnk"/>
          <w:sz w:val="14"/>
          <w:vertAlign w:val="superscript"/>
        </w:rPr>
        <w:t>2</w:t>
      </w:r>
      <w:r w:rsidRPr="006C40C1">
        <w:rPr>
          <w:sz w:val="14"/>
        </w:rPr>
        <w:t xml:space="preserve">  Den 1 januari 2003 föreslås endast en begräsning av avdragsmöjligheterna träda i kraft. Avdraget föreslås slopas först fr.o.m. den 1 maj 2003.</w:t>
      </w:r>
    </w:p>
    <w:p w:rsidR="00AA5D77" w:rsidRPr="006C40C1" w:rsidRDefault="00AA5D77">
      <w:pPr>
        <w:spacing w:before="0" w:line="160" w:lineRule="exact"/>
        <w:ind w:left="-1418"/>
        <w:rPr>
          <w:sz w:val="14"/>
        </w:rPr>
      </w:pPr>
      <w:r w:rsidRPr="006C40C1">
        <w:rPr>
          <w:sz w:val="14"/>
        </w:rPr>
        <w:t>Källa: Proposition 2002/03:1, s. 196.</w:t>
      </w:r>
    </w:p>
    <w:p w:rsidR="00AA5D77" w:rsidRPr="006C40C1" w:rsidRDefault="00AA5D77">
      <w:pPr>
        <w:pStyle w:val="Rubrik4"/>
        <w:rPr>
          <w:noProof w:val="0"/>
        </w:rPr>
      </w:pPr>
      <w:bookmarkStart w:id="545" w:name="_Toc26191514"/>
      <w:r w:rsidRPr="006C40C1">
        <w:rPr>
          <w:noProof w:val="0"/>
        </w:rPr>
        <w:br w:type="page"/>
        <w:t>Motionerna</w:t>
      </w:r>
      <w:bookmarkEnd w:id="545"/>
    </w:p>
    <w:p w:rsidR="00AA5D77" w:rsidRPr="006C40C1" w:rsidRDefault="00AA5D77">
      <w:r w:rsidRPr="006C40C1">
        <w:rPr>
          <w:i/>
        </w:rPr>
        <w:t>Moderata samlingspartiet, Folkpartiet liberalerna, Kristdemokraterna och Centerpartiet</w:t>
      </w:r>
      <w:r w:rsidRPr="006C40C1">
        <w:t xml:space="preserve"> begär i sina </w:t>
      </w:r>
      <w:r w:rsidRPr="006C40C1">
        <w:rPr>
          <w:i/>
        </w:rPr>
        <w:t xml:space="preserve">motioner Fi231 </w:t>
      </w:r>
      <w:r w:rsidRPr="006C40C1">
        <w:t xml:space="preserve">(m), </w:t>
      </w:r>
      <w:r w:rsidRPr="006C40C1">
        <w:rPr>
          <w:i/>
        </w:rPr>
        <w:t>Fi232</w:t>
      </w:r>
      <w:r w:rsidRPr="006C40C1">
        <w:t xml:space="preserve"> (fp), </w:t>
      </w:r>
      <w:r w:rsidRPr="006C40C1">
        <w:rPr>
          <w:i/>
        </w:rPr>
        <w:t>Fi233</w:t>
      </w:r>
      <w:r w:rsidRPr="006C40C1">
        <w:t xml:space="preserve"> och </w:t>
      </w:r>
      <w:r w:rsidRPr="006C40C1">
        <w:rPr>
          <w:i/>
        </w:rPr>
        <w:t>Fi256</w:t>
      </w:r>
      <w:r w:rsidRPr="006C40C1">
        <w:t xml:space="preserve"> (båda kd) samt </w:t>
      </w:r>
      <w:r w:rsidRPr="006C40C1">
        <w:rPr>
          <w:i/>
        </w:rPr>
        <w:t>Fi234</w:t>
      </w:r>
      <w:r w:rsidRPr="006C40C1">
        <w:t xml:space="preserve"> (c) godkännande av de egna inkomstberäkningarna för 2003.</w:t>
      </w:r>
    </w:p>
    <w:p w:rsidR="00AA5D77" w:rsidRPr="006C40C1" w:rsidRDefault="00AA5D77">
      <w:pPr>
        <w:pStyle w:val="Normaltindrag"/>
      </w:pPr>
      <w:r w:rsidRPr="006C40C1">
        <w:rPr>
          <w:i/>
        </w:rPr>
        <w:t>Kristdemokraterna</w:t>
      </w:r>
      <w:r w:rsidRPr="006C40C1">
        <w:t xml:space="preserve"> begär dessutom i </w:t>
      </w:r>
      <w:r w:rsidRPr="006C40C1">
        <w:rPr>
          <w:i/>
        </w:rPr>
        <w:t>motion Fi256</w:t>
      </w:r>
      <w:r w:rsidRPr="006C40C1">
        <w:t xml:space="preserve"> ett tillkännagivande om att motionärernas satsning på effektivare skattekontroll gör att inkomsterna kan b</w:t>
      </w:r>
      <w:r w:rsidRPr="006C40C1">
        <w:t>e</w:t>
      </w:r>
      <w:r w:rsidRPr="006C40C1">
        <w:t>räknas öka med 480 miljoner kronor 2003 (yrkande 24).</w:t>
      </w:r>
    </w:p>
    <w:p w:rsidR="00AA5D77" w:rsidRPr="006C40C1" w:rsidRDefault="00AA5D77">
      <w:pPr>
        <w:pStyle w:val="Rubrik4"/>
        <w:rPr>
          <w:noProof w:val="0"/>
        </w:rPr>
      </w:pPr>
      <w:bookmarkStart w:id="546" w:name="_Toc26191515"/>
      <w:r w:rsidRPr="006C40C1">
        <w:rPr>
          <w:noProof w:val="0"/>
        </w:rPr>
        <w:t>Skatte- och socialförsäkringsutskottens yttranden</w:t>
      </w:r>
      <w:bookmarkEnd w:id="546"/>
    </w:p>
    <w:p w:rsidR="00AA5D77" w:rsidRPr="006C40C1" w:rsidRDefault="00AA5D77">
      <w:r w:rsidRPr="006C40C1">
        <w:t>Skatteutskottet tillstyrker i sitt yttrande (SkU1y) att regeringens inkomstb</w:t>
      </w:r>
      <w:r w:rsidRPr="006C40C1">
        <w:t>e</w:t>
      </w:r>
      <w:r w:rsidRPr="006C40C1">
        <w:t>räkning godkänns med vissa justeringar som berör kraftvärmebeskattningen samt den gröna skatteväxlingen. Skatteutskottet föreslår att riksdagen avva</w:t>
      </w:r>
      <w:r w:rsidRPr="006C40C1">
        <w:t>k</w:t>
      </w:r>
      <w:r w:rsidRPr="006C40C1">
        <w:t>tar Europeiska kommissionens godkännande innan ett beslut fattas om den av regeringen föreslagna omläggningen av kraftvärmebeskattningen. Vidare tillstyrker skatteutskottet förslaget i motion Fi230 (s, v, mp) om en utvidgning av den gröna skatteväxlingen. Skatteutskottet finner vidare att det förslag om ändrade regler för beskattningen av vissa andelsbyten som</w:t>
      </w:r>
      <w:r w:rsidRPr="006C40C1">
        <w:t xml:space="preserve"> riksdagen beställt i april 2002 och som i dagarna avlämnas till riksdagen (prop. 2002/03:15 U</w:t>
      </w:r>
      <w:r w:rsidRPr="006C40C1">
        <w:t>t</w:t>
      </w:r>
      <w:r w:rsidRPr="006C40C1">
        <w:t>vidgning av reglerna om framskjuten beskattning vid vissa andelsbyten) inte har beaktats vid inkomstberäkningen. Motionsyrkandena om godkännande av de alternativa inkomstberäkningarna respektive tillkännagivande om effekte</w:t>
      </w:r>
      <w:r w:rsidRPr="006C40C1">
        <w:t>r</w:t>
      </w:r>
      <w:r w:rsidRPr="006C40C1">
        <w:t>na av resurstillskott för ökad skattekontroll a</w:t>
      </w:r>
      <w:r w:rsidRPr="006C40C1">
        <w:t>v</w:t>
      </w:r>
      <w:r w:rsidRPr="006C40C1">
        <w:t>styrks.</w:t>
      </w:r>
    </w:p>
    <w:p w:rsidR="00AA5D77" w:rsidRPr="006C40C1" w:rsidRDefault="00AA5D77">
      <w:pPr>
        <w:pStyle w:val="Normaltindrag"/>
      </w:pPr>
      <w:r w:rsidRPr="006C40C1">
        <w:t>Socialförsäkringsutskottet godtar i sitt yttrande (SfU1y) regeringens b</w:t>
      </w:r>
      <w:r w:rsidRPr="006C40C1">
        <w:t>e</w:t>
      </w:r>
      <w:r w:rsidRPr="006C40C1">
        <w:t xml:space="preserve">räkning av statsbudgetens inkomster avseende socialavgifter och löneskatter för budgetåret 2003. Oppositionspartiernas motioner avstyrks i motsvarande delar. </w:t>
      </w:r>
    </w:p>
    <w:p w:rsidR="00AA5D77" w:rsidRPr="006C40C1" w:rsidRDefault="00AA5D77">
      <w:pPr>
        <w:pStyle w:val="Rubrik4"/>
        <w:rPr>
          <w:noProof w:val="0"/>
        </w:rPr>
      </w:pPr>
      <w:bookmarkStart w:id="547" w:name="_Toc26191516"/>
      <w:r w:rsidRPr="006C40C1">
        <w:rPr>
          <w:noProof w:val="0"/>
        </w:rPr>
        <w:t>Regeringens proposition 15</w:t>
      </w:r>
      <w:bookmarkEnd w:id="547"/>
    </w:p>
    <w:p w:rsidR="00AA5D77" w:rsidRPr="006C40C1" w:rsidRDefault="00AA5D77">
      <w:r w:rsidRPr="006C40C1">
        <w:t>Regeringen överlämnade till riksdagen en proposition om en utvidgning av reglerna om framskjuten beskattning vid vissa andelsbyten (prop. 2002/03:15) den 7 november 2002. Propositionen har remitterats till finansutskottet, som avser att överlämna den till skatteutskottet för beredning av lagförslagen.</w:t>
      </w:r>
    </w:p>
    <w:p w:rsidR="00AA5D77" w:rsidRPr="006C40C1" w:rsidRDefault="00AA5D77">
      <w:pPr>
        <w:pStyle w:val="Normaltindrag"/>
      </w:pPr>
      <w:r w:rsidRPr="006C40C1">
        <w:t>I propositionen föreslår regeringen att bestämmelserna för fysiska personer om framskjuten beskattning vid vissa andelsbyten utvidgas till att även o</w:t>
      </w:r>
      <w:r w:rsidRPr="006C40C1">
        <w:t>m</w:t>
      </w:r>
      <w:r w:rsidRPr="006C40C1">
        <w:t>fatta andelar som inte är marknadsnoterade samt byten av kvalificerade a</w:t>
      </w:r>
      <w:r w:rsidRPr="006C40C1">
        <w:t>n</w:t>
      </w:r>
      <w:r w:rsidRPr="006C40C1">
        <w:t>delar och andelar som blir kvalificerade hos säljaren. De nya reglerna föreslås träda i kraft den 1 januari 2003 och ska huvudsakligen tillämpas på andel</w:t>
      </w:r>
      <w:r w:rsidRPr="006C40C1">
        <w:t>s</w:t>
      </w:r>
      <w:r w:rsidRPr="006C40C1">
        <w:t>byten som sker efter den 31 december 2002.</w:t>
      </w:r>
    </w:p>
    <w:p w:rsidR="00AA5D77" w:rsidRPr="006C40C1" w:rsidRDefault="00AA5D77">
      <w:pPr>
        <w:pStyle w:val="Normaltindrag"/>
      </w:pPr>
      <w:r w:rsidRPr="006C40C1">
        <w:t>Statsbudgetens inkomster, och därmed inkomsterna för den offentliga sektorn, beräknas minska med 283 miljoner kronor 2003 som en konsekvens av att de föreslagna reglerna för andelsbyten införs samma år. Den varaktiga effekten på statsbudgete</w:t>
      </w:r>
      <w:r w:rsidRPr="006C40C1">
        <w:t>n och hela den offentliga sektorns finanser beräknas däremot till 9 miljoner kronor i utebliven skatteintäkt. Regeringen påpekar dock i propositionen att dessa uppskattningar är behäftade med stor osäkerhet.</w:t>
      </w:r>
    </w:p>
    <w:p w:rsidR="00AA5D77" w:rsidRPr="006C40C1" w:rsidRDefault="00AA5D77">
      <w:pPr>
        <w:pStyle w:val="Rubrik4"/>
        <w:rPr>
          <w:noProof w:val="0"/>
        </w:rPr>
      </w:pPr>
      <w:bookmarkStart w:id="548" w:name="_Toc26191517"/>
      <w:r w:rsidRPr="006C40C1">
        <w:rPr>
          <w:noProof w:val="0"/>
        </w:rPr>
        <w:t>Finansutskottets ställningstagande</w:t>
      </w:r>
      <w:bookmarkEnd w:id="548"/>
    </w:p>
    <w:p w:rsidR="00AA5D77" w:rsidRPr="006C40C1" w:rsidRDefault="00AA5D77">
      <w:r w:rsidRPr="006C40C1">
        <w:t>Finansutskottet har i det föregående tagit ställning till de olika skatteförsl</w:t>
      </w:r>
      <w:r w:rsidRPr="006C40C1">
        <w:t>a</w:t>
      </w:r>
      <w:r w:rsidRPr="006C40C1">
        <w:t>gen. Det finns mot denna bakgrund också anledning att ta ställning till försl</w:t>
      </w:r>
      <w:r w:rsidRPr="006C40C1">
        <w:t>a</w:t>
      </w:r>
      <w:r w:rsidRPr="006C40C1">
        <w:t>gens samlade effekter på statsbudgetens inkomster.</w:t>
      </w:r>
    </w:p>
    <w:p w:rsidR="00AA5D77" w:rsidRPr="006C40C1" w:rsidRDefault="00AA5D77">
      <w:pPr>
        <w:pStyle w:val="Normaltindrag"/>
      </w:pPr>
      <w:r w:rsidRPr="006C40C1">
        <w:t>I tabell 49 redovisas oppositionspartiernas inkomstberäkningar i deras r</w:t>
      </w:r>
      <w:r w:rsidRPr="006C40C1">
        <w:t>e</w:t>
      </w:r>
      <w:r w:rsidRPr="006C40C1">
        <w:t>spektive budgetalternativ. Tabellen innehåller dessutom regeringens förslag till inkomstberäkning samt beräknade effekter av förslagen i Socialdemokr</w:t>
      </w:r>
      <w:r w:rsidRPr="006C40C1">
        <w:t>a</w:t>
      </w:r>
      <w:r w:rsidRPr="006C40C1">
        <w:t xml:space="preserve">ternas, Vänsterpartiets och Miljöpartiet de grönas motion Fi230. </w:t>
      </w:r>
    </w:p>
    <w:p w:rsidR="00AA5D77" w:rsidRPr="006C40C1" w:rsidRDefault="00AA5D77">
      <w:pPr>
        <w:pStyle w:val="Normaltindrag"/>
      </w:pPr>
      <w:r w:rsidRPr="006C40C1">
        <w:t>Utskottet vill med anledning av oppositionspartiernas inkomstberäkningar göra några kommentarer.</w:t>
      </w:r>
    </w:p>
    <w:p w:rsidR="00AA5D77" w:rsidRPr="006C40C1" w:rsidRDefault="00AA5D77">
      <w:pPr>
        <w:pStyle w:val="Normaltindrag"/>
      </w:pPr>
      <w:r w:rsidRPr="006C40C1">
        <w:t>Alla oppositionspartierna föreslår att skatterna totalt sett ska sänkas i rel</w:t>
      </w:r>
      <w:r w:rsidRPr="006C40C1">
        <w:t>a</w:t>
      </w:r>
      <w:r w:rsidRPr="006C40C1">
        <w:t>tion till regeringens förslag. Effekterna på statsbudgetens inkomster bestäms också av hur skattesänkningarna utformas tekniskt samt hur de redovisas. Eftersom partierna redovisar sina förslag på olika sätt kan redovisningen av statsbudgeteffekterna ge en missvisande och svårtolkad bild. Redovisningen skiljer sig särskilt åt beträffande regleringarna mellan staten och kommune</w:t>
      </w:r>
      <w:r w:rsidRPr="006C40C1">
        <w:t>r</w:t>
      </w:r>
      <w:r w:rsidRPr="006C40C1">
        <w:t>na. En väsentlig del av partiernas skatteförslag leder till att kommunerna förlorar inkomster. Oppositionspartierna kompenserar komm</w:t>
      </w:r>
      <w:r w:rsidRPr="006C40C1">
        <w:t>unerna för i</w:t>
      </w:r>
      <w:r w:rsidRPr="006C40C1">
        <w:t>n</w:t>
      </w:r>
      <w:r w:rsidRPr="006C40C1">
        <w:t>komstbortfallet men väljer att göra det på olika sätt. Moderata samlingspart</w:t>
      </w:r>
      <w:r w:rsidRPr="006C40C1">
        <w:t>i</w:t>
      </w:r>
      <w:r w:rsidRPr="006C40C1">
        <w:t xml:space="preserve">et, Folkpartiet liberalerna och Centerpartiet redovisar kompensationen som utgifter under utgiftsområde 25 </w:t>
      </w:r>
      <w:r w:rsidRPr="006C40C1">
        <w:rPr>
          <w:i/>
        </w:rPr>
        <w:t>Allmänna bidrag till kommuner</w:t>
      </w:r>
      <w:r w:rsidRPr="006C40C1">
        <w:t>. Kristdem</w:t>
      </w:r>
      <w:r w:rsidRPr="006C40C1">
        <w:t>o</w:t>
      </w:r>
      <w:r w:rsidRPr="006C40C1">
        <w:t xml:space="preserve">kraterna redovisar i stället kompensationen till kommunerna netto, dvs. som en negativ inkomst, på inkomsttiteln 1111 </w:t>
      </w:r>
      <w:r w:rsidRPr="006C40C1">
        <w:rPr>
          <w:i/>
        </w:rPr>
        <w:t>Fysiska personers inkomstskatt</w:t>
      </w:r>
      <w:r w:rsidRPr="006C40C1">
        <w:t>. Resultatet av detta blir att inkomsttiteln uppvisar ett stort och varaktigt minus. Kommunerna tillförs på så sätt betydande b</w:t>
      </w:r>
      <w:r w:rsidRPr="006C40C1">
        <w:t>elopp utan att riksdagen tar stäl</w:t>
      </w:r>
      <w:r w:rsidRPr="006C40C1">
        <w:t>l</w:t>
      </w:r>
      <w:r w:rsidRPr="006C40C1">
        <w:t>ning till dessa. En sådan redovisning är enligt utskottets mening olycklig då den gör redovisningen mer svårgenomtränglig och det kan ifrågasättas om den tillgodoser budgetlagens krav på bruttoredovisning.</w:t>
      </w:r>
    </w:p>
    <w:p w:rsidR="00AA5D77" w:rsidRPr="006C40C1" w:rsidRDefault="00AA5D77">
      <w:pPr>
        <w:pStyle w:val="Normaltindrag"/>
      </w:pPr>
      <w:r w:rsidRPr="006C40C1">
        <w:t>Oppositionspartierna föreslår att statliga företag ska säljas till ett värde av 30 miljarder kronor utöver regeringens förslag för 2003. Dessa försäljning</w:t>
      </w:r>
      <w:r w:rsidRPr="006C40C1">
        <w:t>s</w:t>
      </w:r>
      <w:r w:rsidRPr="006C40C1">
        <w:t>inkomster förstärker statsbudgetens inkomstsida och därmed även budgetsa</w:t>
      </w:r>
      <w:r w:rsidRPr="006C40C1">
        <w:t>l</w:t>
      </w:r>
      <w:r w:rsidRPr="006C40C1">
        <w:t>dot.</w:t>
      </w:r>
    </w:p>
    <w:p w:rsidR="00AA5D77" w:rsidRPr="006C40C1" w:rsidRDefault="00AA5D77">
      <w:pPr>
        <w:pStyle w:val="FiU1tabellrubrik2000"/>
        <w:keepNext/>
        <w:keepLines/>
        <w:spacing w:line="240" w:lineRule="auto"/>
        <w:outlineLvl w:val="0"/>
      </w:pPr>
      <w:r w:rsidRPr="006C40C1">
        <w:t>Tabell 49. Inkomstberäkningar enligt regeringens och riksdagspartiernas budge</w:t>
      </w:r>
      <w:r w:rsidRPr="006C40C1">
        <w:t>t</w:t>
      </w:r>
      <w:r w:rsidRPr="006C40C1">
        <w:t>förslag</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 xml:space="preserve">Miljoner kronor </w:t>
      </w:r>
    </w:p>
    <w:p w:rsidR="00AA5D77" w:rsidRPr="006C40C1" w:rsidRDefault="006C40C1">
      <w:r w:rsidRPr="006C40C1">
        <w:rPr>
          <w:noProof/>
        </w:rPr>
        <w:drawing>
          <wp:inline distT="0" distB="0" distL="0" distR="0">
            <wp:extent cx="3777615" cy="1420495"/>
            <wp:effectExtent l="0" t="0" r="0" b="0"/>
            <wp:docPr id="53" name="Bild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777615" cy="1420495"/>
                    </a:xfrm>
                    <a:prstGeom prst="rect">
                      <a:avLst/>
                    </a:prstGeom>
                    <a:noFill/>
                    <a:ln>
                      <a:noFill/>
                    </a:ln>
                  </pic:spPr>
                </pic:pic>
              </a:graphicData>
            </a:graphic>
          </wp:inline>
        </w:drawing>
      </w:r>
    </w:p>
    <w:p w:rsidR="00AA5D77" w:rsidRPr="006C40C1" w:rsidRDefault="00AA5D77">
      <w:pPr>
        <w:pStyle w:val="Normaltindrag"/>
      </w:pPr>
    </w:p>
    <w:p w:rsidR="00AA5D77" w:rsidRPr="006C40C1" w:rsidRDefault="00AA5D77">
      <w:r w:rsidRPr="006C40C1">
        <w:t>En mer rättvisande bild av oppositionspartiernas inkomstberäkningar ges i stället om man jämför effekterna på den konsoliderade offentliga sektorns inkomster med regeringens prognos enligt nationalräkenskapernas definition, som i tabell 50. Med en sådan redovisning elimineras de missvisande effe</w:t>
      </w:r>
      <w:r w:rsidRPr="006C40C1">
        <w:t>k</w:t>
      </w:r>
      <w:r w:rsidRPr="006C40C1">
        <w:t>terna av partiernas olika sätt att beräkna kompensationen till kommunerna. Inkomsterna från företagsförsäljningar ingår inte i nationalräkenskapernas inkomstbegrepp eftersom sådana transaktioner endast utgör ett byte av en finansiell tillgång, aktier, mot en annan, pengar. Oppositionspartiernas i</w:t>
      </w:r>
      <w:r w:rsidRPr="006C40C1">
        <w:t>n</w:t>
      </w:r>
      <w:r w:rsidRPr="006C40C1">
        <w:t>komstförstärkningar genom aktieförsäljningar är således eliminerade i tabell 50.</w:t>
      </w:r>
    </w:p>
    <w:p w:rsidR="00AA5D77" w:rsidRPr="006C40C1" w:rsidRDefault="00AA5D77">
      <w:pPr>
        <w:pStyle w:val="FiU1tabellrubrik2000"/>
        <w:keepNext/>
        <w:keepLines/>
        <w:spacing w:line="240" w:lineRule="auto"/>
        <w:outlineLvl w:val="0"/>
      </w:pPr>
      <w:r w:rsidRPr="006C40C1">
        <w:t>Tabell 50. Offentliga sektorns inkomster enligt NR 2003</w:t>
      </w:r>
      <w:r w:rsidRPr="006C40C1">
        <w:softHyphen/>
        <w:t>–2004</w:t>
      </w:r>
    </w:p>
    <w:p w:rsidR="00AA5D77" w:rsidRPr="006C40C1" w:rsidRDefault="00AA5D77">
      <w:pPr>
        <w:pStyle w:val="FiU1tabellrubrik2000"/>
        <w:keepNext/>
        <w:keepLines/>
        <w:spacing w:before="0" w:line="240" w:lineRule="auto"/>
        <w:outlineLvl w:val="0"/>
      </w:pPr>
      <w:r w:rsidRPr="006C40C1">
        <w:t>Regeringens förslag och avvikelser enligt oppositionspartiernas förslag</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 xml:space="preserve">Miljarder kronor </w:t>
      </w:r>
    </w:p>
    <w:p w:rsidR="00AA5D77" w:rsidRPr="006C40C1" w:rsidRDefault="006C40C1">
      <w:r w:rsidRPr="006C40C1">
        <w:rPr>
          <w:noProof/>
        </w:rPr>
        <w:drawing>
          <wp:inline distT="0" distB="0" distL="0" distR="0">
            <wp:extent cx="3777615" cy="1115695"/>
            <wp:effectExtent l="0" t="0" r="0" b="0"/>
            <wp:docPr id="54"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777615" cy="1115695"/>
                    </a:xfrm>
                    <a:prstGeom prst="rect">
                      <a:avLst/>
                    </a:prstGeom>
                    <a:noFill/>
                    <a:ln>
                      <a:noFill/>
                    </a:ln>
                  </pic:spPr>
                </pic:pic>
              </a:graphicData>
            </a:graphic>
          </wp:inline>
        </w:drawing>
      </w:r>
    </w:p>
    <w:p w:rsidR="00AA5D77" w:rsidRPr="006C40C1" w:rsidRDefault="00AA5D77">
      <w:pPr>
        <w:pStyle w:val="Normaltindrag"/>
      </w:pPr>
    </w:p>
    <w:p w:rsidR="00AA5D77" w:rsidRPr="006C40C1" w:rsidRDefault="00AA5D77">
      <w:r w:rsidRPr="006C40C1">
        <w:t>Utskottet har i avsnitt 2.4.3 utförligt behandlat budgetförslagen i partimoti</w:t>
      </w:r>
      <w:r w:rsidRPr="006C40C1">
        <w:t>o</w:t>
      </w:r>
      <w:r w:rsidRPr="006C40C1">
        <w:t>nerna från Moderata samlingspartiet, Folkpartiet liberalerna, Kristdemokr</w:t>
      </w:r>
      <w:r w:rsidRPr="006C40C1">
        <w:t>a</w:t>
      </w:r>
      <w:r w:rsidRPr="006C40C1">
        <w:t>terna samt Centerpartiet och där avstyrkt dessa. I överrensstämmelse härmed avstyrker utskottet motionerna Fi231 (m) yrkande 4, Fi232 (fp) yrkande 4, Fi233 (kd) yrkande 6, Fi234 (c) yrkande 11 samt Fi256 (kd) yrkande 1.</w:t>
      </w:r>
    </w:p>
    <w:p w:rsidR="00AA5D77" w:rsidRPr="006C40C1" w:rsidRDefault="00AA5D77">
      <w:pPr>
        <w:pStyle w:val="Normaltindrag"/>
      </w:pPr>
      <w:r w:rsidRPr="006C40C1">
        <w:t>Beträffande förslaget i motion Fi256 (kd) om effekterna av resurstillskott till skatteförvaltningen så delar finansutskottet skatteutskottets uppfattning att de inkomstförstärkningar som motionärerna tillgodoräknar si</w:t>
      </w:r>
      <w:r w:rsidRPr="006C40C1">
        <w:t>g 2003 inte är realistiska. Finansutskottet avstyrker därmed motion Fi256 (kd) yrkande 24. Finansutskottet noterar dessutom att Folkpartiet liberalerna tillgodoräknar sig 0,9 miljarder kronor 2003 genom skärpt skattekontroll. Inte heller detta är enligt utskottets uppfattning realistiskt.</w:t>
      </w:r>
    </w:p>
    <w:p w:rsidR="00AA5D77" w:rsidRPr="006C40C1" w:rsidRDefault="00AA5D77">
      <w:r w:rsidRPr="006C40C1">
        <w:t>Finansutskottet har tidigare i avsnitt 3 behandlat skattepolitikens inriktning samt olika skatte- och avgiftsförslag och därvid tillstyrkt regeringens förslag med vissa ändringar. Dessa ändringar avser bl.a. Socialdemokrat</w:t>
      </w:r>
      <w:r w:rsidRPr="006C40C1">
        <w:t>ernas, Vän</w:t>
      </w:r>
      <w:r w:rsidRPr="006C40C1">
        <w:t>s</w:t>
      </w:r>
      <w:r w:rsidRPr="006C40C1">
        <w:t>terpartiets och Miljöpartiet de grönas förslag i motion Fi230 om en utvidgad grön skatteväxling. Finansutskottet ställer sig i enlighet med skatteutskottets uppfattning bakom förslaget och anser att statsbudgetens beräknade skattei</w:t>
      </w:r>
      <w:r w:rsidRPr="006C40C1">
        <w:t>n</w:t>
      </w:r>
      <w:r w:rsidRPr="006C40C1">
        <w:t>komster till följd av detta bör höjas med sammanlagt 67 miljoner kronor jämfört med regeringens berä</w:t>
      </w:r>
      <w:r w:rsidRPr="006C40C1">
        <w:t>k</w:t>
      </w:r>
      <w:r w:rsidRPr="006C40C1">
        <w:t>ning.</w:t>
      </w:r>
    </w:p>
    <w:p w:rsidR="00AA5D77" w:rsidRPr="006C40C1" w:rsidRDefault="00AA5D77">
      <w:pPr>
        <w:pStyle w:val="Normaltindrag"/>
      </w:pPr>
      <w:r w:rsidRPr="006C40C1">
        <w:t>Dessutom delar finansutskottet skatteutskottets uppfattning att riksdagen bör avvakta kommissionens godkännande innan ett beslut fattas om den för</w:t>
      </w:r>
      <w:r w:rsidRPr="006C40C1">
        <w:t>e</w:t>
      </w:r>
      <w:r w:rsidRPr="006C40C1">
        <w:t>slagna omläggningen av kraftvärmebeskattningen. Finansutskottet bedömer emellertid att de nya reglerna kan träda i kraft någon gång under första hal</w:t>
      </w:r>
      <w:r w:rsidRPr="006C40C1">
        <w:t>v</w:t>
      </w:r>
      <w:r w:rsidRPr="006C40C1">
        <w:t>året 2003. Regeringens inkomstberäkning bör därför justeras så att endast en del av omläggningens beräknade årseffekt tillförs statsbudgeten för 2003. De av regeringen beräknade inkomsterna från energiskatter bör därför enligt utskottets mening justeras ned med 125 miljoner kronor.</w:t>
      </w:r>
    </w:p>
    <w:p w:rsidR="00AA5D77" w:rsidRPr="006C40C1" w:rsidRDefault="00AA5D77">
      <w:pPr>
        <w:pStyle w:val="Normaltindrag"/>
      </w:pPr>
      <w:r w:rsidRPr="006C40C1">
        <w:t>Vidare vill utskottet erinra om att regeringens förslag om en utvidgning av reg</w:t>
      </w:r>
      <w:r w:rsidRPr="006C40C1">
        <w:t>lerna om framskjuten beskattning vid vissa andelsbyten fr.o.m. den 1 januari 2003 beräknas påverka statsbudgetens inkomster redan under 2003. Det beräknade inkomstbortfallet för nästa år uppgår enligt förslaget till 283 miljoner kronor. Regeringen har emellertid inte haft möjlighet att beakta effekten av detta förslag vid inkomstberäkningen i budgetpropositionen. Med hänsyn härtill föreslår utskottet att regeringens beräkning av statsbudgetens inkomster justeras ned med 283 miljoner kronor i enlighet med de</w:t>
      </w:r>
      <w:r w:rsidRPr="006C40C1">
        <w:t xml:space="preserve"> i propos</w:t>
      </w:r>
      <w:r w:rsidRPr="006C40C1">
        <w:t>i</w:t>
      </w:r>
      <w:r w:rsidRPr="006C40C1">
        <w:t>tion 2002/03:15 redovisade effekterna.</w:t>
      </w:r>
    </w:p>
    <w:p w:rsidR="00AA5D77" w:rsidRPr="006C40C1" w:rsidRDefault="00AA5D77">
      <w:pPr>
        <w:pStyle w:val="Normaltindrag"/>
      </w:pPr>
      <w:r w:rsidRPr="006C40C1">
        <w:t>Sammanlagt uppgår de av utskottet föreslagna justeringarna av beräknin</w:t>
      </w:r>
      <w:r w:rsidRPr="006C40C1">
        <w:t>g</w:t>
      </w:r>
      <w:r w:rsidRPr="006C40C1">
        <w:t>en av statsbudgetens inkomster för 2003 till –341 miljoner kronor i förhålla</w:t>
      </w:r>
      <w:r w:rsidRPr="006C40C1">
        <w:t>n</w:t>
      </w:r>
      <w:r w:rsidRPr="006C40C1">
        <w:t>de till budgetpropositionen. Konsekvenserna av utskottets förslag presenteras i efterföljande tabell.</w:t>
      </w:r>
    </w:p>
    <w:p w:rsidR="00AA5D77" w:rsidRPr="006C40C1" w:rsidRDefault="00AA5D77">
      <w:pPr>
        <w:pStyle w:val="FiU1tabellrubrik2000"/>
        <w:keepNext/>
        <w:keepLines/>
        <w:spacing w:line="240" w:lineRule="auto"/>
        <w:outlineLvl w:val="0"/>
      </w:pPr>
      <w:r w:rsidRPr="006C40C1">
        <w:t>Tabell 51. Konsekvenser av utskottets förslag till förändringar i beräkningen av statsbudgetens inkomster för 2003</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 xml:space="preserve">Miljoner kronor </w:t>
      </w:r>
    </w:p>
    <w:p w:rsidR="00AA5D77" w:rsidRPr="006C40C1" w:rsidRDefault="006C40C1">
      <w:r w:rsidRPr="006C40C1">
        <w:rPr>
          <w:noProof/>
        </w:rPr>
        <w:drawing>
          <wp:inline distT="0" distB="0" distL="0" distR="0">
            <wp:extent cx="3777615" cy="1371600"/>
            <wp:effectExtent l="0" t="0" r="0" b="0"/>
            <wp:docPr id="55" name="Bild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777615" cy="1371600"/>
                    </a:xfrm>
                    <a:prstGeom prst="rect">
                      <a:avLst/>
                    </a:prstGeom>
                    <a:noFill/>
                    <a:ln>
                      <a:noFill/>
                    </a:ln>
                  </pic:spPr>
                </pic:pic>
              </a:graphicData>
            </a:graphic>
          </wp:inline>
        </w:drawing>
      </w:r>
    </w:p>
    <w:p w:rsidR="00AA5D77" w:rsidRPr="006C40C1" w:rsidRDefault="00AA5D77"/>
    <w:p w:rsidR="00AA5D77" w:rsidRPr="006C40C1" w:rsidRDefault="00AA5D77">
      <w:r w:rsidRPr="006C40C1">
        <w:t>I konsekvens med det ovan anförda biträder utskottet regeringens förslag till beräkning av statsbudgetens inkomster för 2003 med de ändringar som red</w:t>
      </w:r>
      <w:r w:rsidRPr="006C40C1">
        <w:t>o</w:t>
      </w:r>
      <w:r w:rsidRPr="006C40C1">
        <w:t>visats här. Utskottet tillstyrker således delvis punkt 7 i budgetpropositi</w:t>
      </w:r>
      <w:r w:rsidRPr="006C40C1">
        <w:t>o</w:t>
      </w:r>
      <w:r w:rsidRPr="006C40C1">
        <w:t xml:space="preserve">nen. </w:t>
      </w:r>
    </w:p>
    <w:p w:rsidR="00AA5D77" w:rsidRPr="006C40C1" w:rsidRDefault="00AA5D77">
      <w:pPr>
        <w:pStyle w:val="Normaltindrag"/>
      </w:pPr>
    </w:p>
    <w:p w:rsidR="00AA5D77" w:rsidRPr="006C40C1" w:rsidRDefault="00AA5D77">
      <w:pPr>
        <w:pStyle w:val="Normaltindrag"/>
      </w:pPr>
    </w:p>
    <w:p w:rsidR="00AA5D77" w:rsidRPr="006C40C1" w:rsidRDefault="00AA5D77">
      <w:pPr>
        <w:pStyle w:val="Normaltindrag"/>
        <w:ind w:firstLine="0"/>
        <w:sectPr w:rsidR="00000000" w:rsidRPr="006C40C1">
          <w:headerReference w:type="even" r:id="rId110"/>
          <w:headerReference w:type="default" r:id="rId111"/>
          <w:footerReference w:type="even" r:id="rId112"/>
          <w:footerReference w:type="default" r:id="rId113"/>
          <w:headerReference w:type="first" r:id="rId114"/>
          <w:footerReference w:type="first" r:id="rId115"/>
          <w:pgSz w:w="11906" w:h="16838" w:code="9"/>
          <w:pgMar w:top="907" w:right="4649" w:bottom="4508" w:left="1304" w:header="340" w:footer="227" w:gutter="0"/>
          <w:cols w:space="720"/>
          <w:titlePg/>
        </w:sectPr>
      </w:pPr>
    </w:p>
    <w:p w:rsidR="00AA5D77" w:rsidRPr="006C40C1" w:rsidRDefault="00AA5D77">
      <w:pPr>
        <w:pStyle w:val="Rubrik1"/>
        <w:spacing w:after="120"/>
        <w:rPr>
          <w:noProof w:val="0"/>
        </w:rPr>
      </w:pPr>
      <w:bookmarkStart w:id="549" w:name="_Toc25397615"/>
      <w:bookmarkStart w:id="550" w:name="_Toc26191518"/>
      <w:r w:rsidRPr="006C40C1">
        <w:rPr>
          <w:noProof w:val="0"/>
        </w:rPr>
        <w:t>4 Utgifter</w:t>
      </w:r>
      <w:bookmarkEnd w:id="549"/>
      <w:bookmarkEnd w:id="550"/>
    </w:p>
    <w:p w:rsidR="00AA5D77" w:rsidRPr="006C40C1" w:rsidRDefault="00AA5D77">
      <w:pPr>
        <w:pStyle w:val="Rubrik2"/>
        <w:spacing w:before="375"/>
      </w:pPr>
      <w:bookmarkStart w:id="551" w:name="_Toc25397616"/>
      <w:bookmarkStart w:id="552" w:name="_Toc26191519"/>
      <w:r w:rsidRPr="006C40C1">
        <w:t>4.1 Fördelning av utgifter på utgiftsområden åren 2003 och 2004</w:t>
      </w:r>
      <w:bookmarkEnd w:id="551"/>
      <w:bookmarkEnd w:id="552"/>
    </w:p>
    <w:p w:rsidR="00AA5D77" w:rsidRPr="006C40C1" w:rsidRDefault="00AA5D77">
      <w:pPr>
        <w:pStyle w:val="Rubrik3"/>
        <w:spacing w:before="125"/>
        <w:rPr>
          <w:noProof w:val="0"/>
        </w:rPr>
      </w:pPr>
      <w:bookmarkStart w:id="553" w:name="_Toc25397617"/>
      <w:bookmarkStart w:id="554" w:name="_Toc26191520"/>
      <w:r w:rsidRPr="006C40C1">
        <w:rPr>
          <w:noProof w:val="0"/>
        </w:rPr>
        <w:t>4.1.1 Utgiftsområde 1 Rikets styrelse</w:t>
      </w:r>
      <w:bookmarkEnd w:id="553"/>
      <w:bookmarkEnd w:id="554"/>
    </w:p>
    <w:p w:rsidR="00AA5D77" w:rsidRPr="006C40C1" w:rsidRDefault="00AA5D77">
      <w:r w:rsidRPr="006C40C1">
        <w:t>Utgiftsområdet omfattar riksdagen och dess myndigheter, Regeringskansliet, statschefen, press- och partistödet, Sametinget, samt myndigheter med a</w:t>
      </w:r>
      <w:r w:rsidRPr="006C40C1">
        <w:t>n</w:t>
      </w:r>
      <w:r w:rsidRPr="006C40C1">
        <w:t xml:space="preserve">knytning till demokratins funktion. </w:t>
      </w:r>
    </w:p>
    <w:p w:rsidR="00AA5D77" w:rsidRPr="006C40C1" w:rsidRDefault="00AA5D77">
      <w:pPr>
        <w:pStyle w:val="Normaltindrag"/>
      </w:pPr>
      <w:r w:rsidRPr="006C40C1">
        <w:t xml:space="preserve">För 2002 beräknas de totala utgifterna för utgiftsområdet uppgå till ca 7 667 miljoner kronor. </w:t>
      </w:r>
    </w:p>
    <w:p w:rsidR="00AA5D77" w:rsidRPr="006C40C1" w:rsidRDefault="00AA5D77">
      <w:pPr>
        <w:pStyle w:val="R4"/>
      </w:pPr>
      <w:r w:rsidRPr="006C40C1">
        <w:t>Budgetpropositionen</w:t>
      </w:r>
    </w:p>
    <w:p w:rsidR="00AA5D77" w:rsidRPr="006C40C1" w:rsidRDefault="00AA5D77">
      <w:r w:rsidRPr="006C40C1">
        <w:t>I budgetpropositionen (avsnitt 6.3) beräknas en höjning av utgiftsområdesr</w:t>
      </w:r>
      <w:r w:rsidRPr="006C40C1">
        <w:t>a</w:t>
      </w:r>
      <w:r w:rsidRPr="006C40C1">
        <w:t>men 2004 med 284 miljoner kronor jämfört med  ramnivån för 2002 (inklus</w:t>
      </w:r>
      <w:r w:rsidRPr="006C40C1">
        <w:t>i</w:t>
      </w:r>
      <w:r w:rsidRPr="006C40C1">
        <w:t>ve tilläggsbudget i den ekonomiska vårpropositionen och budgetpropositi</w:t>
      </w:r>
      <w:r w:rsidRPr="006C40C1">
        <w:t>o</w:t>
      </w:r>
      <w:r w:rsidRPr="006C40C1">
        <w:t xml:space="preserve">nen). Förändringen beror bl.a. på att anslag 90:6 </w:t>
      </w:r>
      <w:r w:rsidRPr="006C40C1">
        <w:rPr>
          <w:i/>
        </w:rPr>
        <w:t>Regeringskansliet m.m.</w:t>
      </w:r>
      <w:r w:rsidRPr="006C40C1">
        <w:t xml:space="preserve"> ökas med 80 miljoner kronor 2003 och ytterligare 100 miljoner kronor 2004. Des</w:t>
      </w:r>
      <w:r w:rsidRPr="006C40C1">
        <w:t>s</w:t>
      </w:r>
      <w:r w:rsidRPr="006C40C1">
        <w:t xml:space="preserve">utom tillkommer, på riksdagsstyrelsens förslag, ett nytt anslag 90:4 </w:t>
      </w:r>
      <w:r w:rsidRPr="006C40C1">
        <w:rPr>
          <w:i/>
        </w:rPr>
        <w:t>Riksd</w:t>
      </w:r>
      <w:r w:rsidRPr="006C40C1">
        <w:rPr>
          <w:i/>
        </w:rPr>
        <w:t>a</w:t>
      </w:r>
      <w:r w:rsidRPr="006C40C1">
        <w:rPr>
          <w:i/>
        </w:rPr>
        <w:t>gens fastigheter</w:t>
      </w:r>
      <w:r w:rsidRPr="006C40C1">
        <w:t xml:space="preserve"> på 50 milj</w:t>
      </w:r>
      <w:r w:rsidRPr="006C40C1">
        <w:t>o</w:t>
      </w:r>
      <w:r w:rsidRPr="006C40C1">
        <w:t>ner från och med 2003.</w:t>
      </w:r>
    </w:p>
    <w:p w:rsidR="00AA5D77" w:rsidRPr="006C40C1" w:rsidRDefault="00AA5D77">
      <w:pPr>
        <w:pStyle w:val="Normaltindrag"/>
      </w:pPr>
      <w:r w:rsidRPr="006C40C1">
        <w:t>Propositionens och riksdagspartiernas förslag till ramnivå för utgiftsomr</w:t>
      </w:r>
      <w:r w:rsidRPr="006C40C1">
        <w:t>å</w:t>
      </w:r>
      <w:r w:rsidRPr="006C40C1">
        <w:t xml:space="preserve">det under åren 2003–2004 redovisas i efterföljande tabell. </w:t>
      </w:r>
    </w:p>
    <w:p w:rsidR="00AA5D77" w:rsidRPr="006C40C1" w:rsidRDefault="00AA5D77">
      <w:pPr>
        <w:pStyle w:val="Tabelltext"/>
      </w:pPr>
    </w:p>
    <w:p w:rsidR="00AA5D77" w:rsidRPr="006C40C1" w:rsidRDefault="00AA5D77">
      <w:pPr>
        <w:pStyle w:val="Tabelltext"/>
        <w:rPr>
          <w:b/>
        </w:rPr>
      </w:pPr>
      <w:r w:rsidRPr="006C40C1">
        <w:rPr>
          <w:b/>
        </w:rPr>
        <w:t>Förslag till ram för utgiftsområde 1 Rikets styrelse</w:t>
      </w:r>
    </w:p>
    <w:p w:rsidR="00AA5D77" w:rsidRPr="006C40C1" w:rsidRDefault="00AA5D77">
      <w:pPr>
        <w:pStyle w:val="Tabellrubrik"/>
        <w:spacing w:before="0"/>
      </w:pPr>
      <w:r w:rsidRPr="006C40C1">
        <w:rPr>
          <w:caps w:val="0"/>
        </w:rPr>
        <w:t>Belopp i miljoner kronor</w:t>
      </w:r>
    </w:p>
    <w:p w:rsidR="00AA5D77" w:rsidRPr="006C40C1" w:rsidRDefault="006C40C1">
      <w:r w:rsidRPr="006C40C1">
        <w:rPr>
          <w:noProof/>
        </w:rPr>
        <w:drawing>
          <wp:inline distT="0" distB="0" distL="0" distR="0">
            <wp:extent cx="3761105" cy="762000"/>
            <wp:effectExtent l="0" t="0" r="0" b="0"/>
            <wp:docPr id="56" name="Bild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761105" cy="762000"/>
                    </a:xfrm>
                    <a:prstGeom prst="rect">
                      <a:avLst/>
                    </a:prstGeom>
                    <a:noFill/>
                    <a:ln>
                      <a:noFill/>
                    </a:ln>
                  </pic:spPr>
                </pic:pic>
              </a:graphicData>
            </a:graphic>
          </wp:inline>
        </w:drawing>
      </w:r>
      <w:r w:rsidR="00AA5D77" w:rsidRPr="006C40C1">
        <w:t xml:space="preserve">   </w:t>
      </w:r>
    </w:p>
    <w:p w:rsidR="00AA5D77" w:rsidRPr="006C40C1" w:rsidRDefault="00AA5D77">
      <w:pPr>
        <w:pStyle w:val="R4"/>
      </w:pPr>
      <w:r w:rsidRPr="006C40C1">
        <w:t>Motionerna</w:t>
      </w:r>
    </w:p>
    <w:p w:rsidR="00AA5D77" w:rsidRPr="006C40C1" w:rsidRDefault="00AA5D77">
      <w:r w:rsidRPr="006C40C1">
        <w:t xml:space="preserve">Förslagen i </w:t>
      </w:r>
      <w:r w:rsidRPr="006C40C1">
        <w:rPr>
          <w:i/>
        </w:rPr>
        <w:t xml:space="preserve">motion Fi230 </w:t>
      </w:r>
      <w:r w:rsidRPr="006C40C1">
        <w:t xml:space="preserve">från </w:t>
      </w:r>
      <w:r w:rsidRPr="006C40C1">
        <w:rPr>
          <w:i/>
        </w:rPr>
        <w:t>Socialdemokraterna, Vänsterpartiet</w:t>
      </w:r>
      <w:r w:rsidRPr="006C40C1">
        <w:t xml:space="preserve"> och </w:t>
      </w:r>
      <w:r w:rsidRPr="006C40C1">
        <w:rPr>
          <w:i/>
        </w:rPr>
        <w:t>Milj</w:t>
      </w:r>
      <w:r w:rsidRPr="006C40C1">
        <w:rPr>
          <w:i/>
        </w:rPr>
        <w:t>ö</w:t>
      </w:r>
      <w:r w:rsidRPr="006C40C1">
        <w:rPr>
          <w:i/>
        </w:rPr>
        <w:t>partiet de gröna</w:t>
      </w:r>
      <w:r w:rsidRPr="006C40C1">
        <w:t xml:space="preserve"> berör inte u</w:t>
      </w:r>
      <w:r w:rsidRPr="006C40C1">
        <w:t>t</w:t>
      </w:r>
      <w:r w:rsidRPr="006C40C1">
        <w:t>giftsområde 1.</w:t>
      </w:r>
    </w:p>
    <w:p w:rsidR="00AA5D77" w:rsidRPr="006C40C1" w:rsidRDefault="00AA5D77">
      <w:pPr>
        <w:pStyle w:val="Normaltindrag"/>
      </w:pPr>
      <w:r w:rsidRPr="006C40C1">
        <w:rPr>
          <w:i/>
        </w:rPr>
        <w:t>Moderata samlingspartiet</w:t>
      </w:r>
      <w:r w:rsidRPr="006C40C1">
        <w:t xml:space="preserve"> föreslår i </w:t>
      </w:r>
      <w:r w:rsidRPr="006C40C1">
        <w:rPr>
          <w:i/>
        </w:rPr>
        <w:t>motion Fi231</w:t>
      </w:r>
      <w:r w:rsidRPr="006C40C1">
        <w:t xml:space="preserve"> en sänkning av ramen. Presstödet fyller  inte den funktion som förespeglades när det infördes och bör minskas 2003 för att helt tas bort 2004. Även partistödet avvecklas i två steg med en halvering 2004 som fullföljs 2005. Regeringskansliets expansion bör hållas tillbaka och anslaget minskas med 540 miljoner i förhållande till pr</w:t>
      </w:r>
      <w:r w:rsidRPr="006C40C1">
        <w:t>o</w:t>
      </w:r>
      <w:r w:rsidRPr="006C40C1">
        <w:t xml:space="preserve">positionen. En särskild kampanj om kommunismens brott mot mänskligheten bör genomföras. Anslaget </w:t>
      </w:r>
      <w:r w:rsidRPr="006C40C1">
        <w:rPr>
          <w:i/>
        </w:rPr>
        <w:t>Utrikesförvaltningen</w:t>
      </w:r>
      <w:r w:rsidRPr="006C40C1">
        <w:t xml:space="preserve"> bör återföras till utgiftsomr</w:t>
      </w:r>
      <w:r w:rsidRPr="006C40C1">
        <w:t>å</w:t>
      </w:r>
      <w:r w:rsidRPr="006C40C1">
        <w:t>de 5 oc</w:t>
      </w:r>
      <w:r w:rsidRPr="006C40C1">
        <w:t xml:space="preserve">h förstärkas med 65 miljoner kronor, vilket riksdagen emellertid kan ta ställning till först vid behandling av vårpropositionen 2003. </w:t>
      </w:r>
    </w:p>
    <w:p w:rsidR="00AA5D77" w:rsidRPr="006C40C1" w:rsidRDefault="00AA5D77">
      <w:pPr>
        <w:pStyle w:val="Normaltindrag"/>
      </w:pPr>
      <w:r w:rsidRPr="006C40C1">
        <w:rPr>
          <w:i/>
        </w:rPr>
        <w:t>Folkpartiet liberalerna</w:t>
      </w:r>
      <w:r w:rsidRPr="006C40C1">
        <w:t xml:space="preserve"> föreslår i </w:t>
      </w:r>
      <w:r w:rsidRPr="006C40C1">
        <w:rPr>
          <w:i/>
        </w:rPr>
        <w:t>motion Fi232</w:t>
      </w:r>
      <w:r w:rsidRPr="006C40C1">
        <w:t xml:space="preserve"> en minskning av Rege</w:t>
      </w:r>
      <w:r w:rsidRPr="006C40C1">
        <w:t>r</w:t>
      </w:r>
      <w:r w:rsidRPr="006C40C1">
        <w:t>ingskansliets anslag på 600 miljoner kronor, då ordförandeskapet i EU avsl</w:t>
      </w:r>
      <w:r w:rsidRPr="006C40C1">
        <w:t>u</w:t>
      </w:r>
      <w:r w:rsidRPr="006C40C1">
        <w:t>tats. Vidare bör samordningsvinster av sammanslagningen med utrikesfö</w:t>
      </w:r>
      <w:r w:rsidRPr="006C40C1">
        <w:t>r</w:t>
      </w:r>
      <w:r w:rsidRPr="006C40C1">
        <w:t>valtningen kunna realiseras. Presstödet, som var anpassat till en annan medi</w:t>
      </w:r>
      <w:r w:rsidRPr="006C40C1">
        <w:t>e</w:t>
      </w:r>
      <w:r w:rsidRPr="006C40C1">
        <w:t>situation och innebär en snedvridning av konkurrensen, bör kunna minskas betydligt. Även pa</w:t>
      </w:r>
      <w:r w:rsidRPr="006C40C1">
        <w:t>r</w:t>
      </w:r>
      <w:r w:rsidRPr="006C40C1">
        <w:t>tistödet föreslås minska.</w:t>
      </w:r>
    </w:p>
    <w:p w:rsidR="00AA5D77" w:rsidRPr="006C40C1" w:rsidRDefault="00AA5D77">
      <w:pPr>
        <w:pStyle w:val="Normaltindrag"/>
      </w:pPr>
      <w:r w:rsidRPr="006C40C1">
        <w:rPr>
          <w:i/>
        </w:rPr>
        <w:t>Kristdemokraterna</w:t>
      </w:r>
      <w:r w:rsidRPr="006C40C1">
        <w:t xml:space="preserve"> påpekar i </w:t>
      </w:r>
      <w:r w:rsidRPr="006C40C1">
        <w:rPr>
          <w:i/>
        </w:rPr>
        <w:t>motion Fi233</w:t>
      </w:r>
      <w:r w:rsidRPr="006C40C1">
        <w:t xml:space="preserve"> att regeringens tidigare utlov</w:t>
      </w:r>
      <w:r w:rsidRPr="006C40C1">
        <w:t>a</w:t>
      </w:r>
      <w:r w:rsidRPr="006C40C1">
        <w:t>de analys av Regeringskansliets dimensionering skjutits fram till 2002 och 2003. Mot bakgrund av att myndigheten inte kunnat redovisa produktivitet och resultat i förhållande till de stora anslagsposterna föreslås dessa minska med 410 miljoner kronor. Även presstödet och anslaget till Datainspektionen föreslås min</w:t>
      </w:r>
      <w:r w:rsidRPr="006C40C1">
        <w:t>s</w:t>
      </w:r>
      <w:r w:rsidRPr="006C40C1">
        <w:t>ka något.</w:t>
      </w:r>
    </w:p>
    <w:p w:rsidR="00AA5D77" w:rsidRPr="006C40C1" w:rsidRDefault="00AA5D77">
      <w:pPr>
        <w:pStyle w:val="Normaltindrag"/>
      </w:pPr>
      <w:r w:rsidRPr="006C40C1">
        <w:rPr>
          <w:i/>
        </w:rPr>
        <w:t>Centerpartiet</w:t>
      </w:r>
      <w:r w:rsidRPr="006C40C1">
        <w:t xml:space="preserve"> föreslår i </w:t>
      </w:r>
      <w:r w:rsidRPr="006C40C1">
        <w:rPr>
          <w:i/>
        </w:rPr>
        <w:t>motion Fi234</w:t>
      </w:r>
      <w:r w:rsidRPr="006C40C1">
        <w:t xml:space="preserve"> en sänkning av ramen. Regering</w:t>
      </w:r>
      <w:r w:rsidRPr="006C40C1">
        <w:t>s</w:t>
      </w:r>
      <w:r w:rsidRPr="006C40C1">
        <w:t>kansliets anslag, genom departementssammanslagningar och allmänna besp</w:t>
      </w:r>
      <w:r w:rsidRPr="006C40C1">
        <w:t>a</w:t>
      </w:r>
      <w:r w:rsidRPr="006C40C1">
        <w:t>ringar, bör kunna minskas med 836 miljoner kronor i förhållande till propos</w:t>
      </w:r>
      <w:r w:rsidRPr="006C40C1">
        <w:t>i</w:t>
      </w:r>
      <w:r w:rsidRPr="006C40C1">
        <w:t>tionen, så att den ökning som skedde inför ordförandeskapet i EU återtas.</w:t>
      </w:r>
    </w:p>
    <w:p w:rsidR="00AA5D77" w:rsidRPr="006C40C1" w:rsidRDefault="00AA5D77">
      <w:pPr>
        <w:pStyle w:val="R4"/>
      </w:pPr>
      <w:r w:rsidRPr="006C40C1">
        <w:t xml:space="preserve">Konstitutionsutskottet </w:t>
      </w:r>
      <w:r w:rsidRPr="006C40C1">
        <w:rPr>
          <w:i w:val="0"/>
          <w:sz w:val="19"/>
        </w:rPr>
        <w:t>har avstått från att yttra sig.</w:t>
      </w:r>
    </w:p>
    <w:p w:rsidR="00AA5D77" w:rsidRPr="006C40C1" w:rsidRDefault="00AA5D77">
      <w:pPr>
        <w:pStyle w:val="R4"/>
      </w:pPr>
      <w:r w:rsidRPr="006C40C1">
        <w:t>Finansutskottets ställningstagande</w:t>
      </w:r>
    </w:p>
    <w:p w:rsidR="00AA5D77" w:rsidRPr="006C40C1" w:rsidRDefault="00AA5D77">
      <w:r w:rsidRPr="006C40C1">
        <w:t xml:space="preserve">Finansutskottet har tidigare i betänkandet (avsnitten 2.4.3 och 2.6) redovisat sin bedömning av fördelningen av utgifterna på utgiftsområden för budgetåret 2003. </w:t>
      </w:r>
    </w:p>
    <w:p w:rsidR="00AA5D77" w:rsidRPr="006C40C1" w:rsidRDefault="00AA5D77">
      <w:pPr>
        <w:pStyle w:val="Normaltindrag"/>
      </w:pPr>
      <w:r w:rsidRPr="006C40C1">
        <w:t>Finansutskottet föreslår mot den bakgrunden att ramen för utgiftsområde 1 år 2003 fastställs till 7 350 miljoner kronor. Därmed tillstyrker utskottet pr</w:t>
      </w:r>
      <w:r w:rsidRPr="006C40C1">
        <w:t>o</w:t>
      </w:r>
      <w:r w:rsidRPr="006C40C1">
        <w:t>positionen och avstyrker motionernas förslag till alternativa ramar.</w:t>
      </w:r>
    </w:p>
    <w:p w:rsidR="00AA5D77" w:rsidRPr="006C40C1" w:rsidRDefault="00AA5D77">
      <w:pPr>
        <w:pStyle w:val="Rubrik3"/>
        <w:rPr>
          <w:noProof w:val="0"/>
        </w:rPr>
      </w:pPr>
      <w:bookmarkStart w:id="555" w:name="_Toc529614323"/>
      <w:bookmarkStart w:id="556" w:name="_Toc530479501"/>
      <w:bookmarkStart w:id="557" w:name="_Toc25397618"/>
      <w:bookmarkStart w:id="558" w:name="_Toc26191521"/>
      <w:r w:rsidRPr="006C40C1">
        <w:rPr>
          <w:noProof w:val="0"/>
        </w:rPr>
        <w:t>4.1.2 Utgiftsområde 2 Samhällsekonomi och finansförvaltning</w:t>
      </w:r>
      <w:bookmarkEnd w:id="555"/>
      <w:bookmarkEnd w:id="556"/>
      <w:bookmarkEnd w:id="557"/>
      <w:bookmarkEnd w:id="558"/>
    </w:p>
    <w:p w:rsidR="00AA5D77" w:rsidRPr="006C40C1" w:rsidRDefault="00AA5D77">
      <w:r w:rsidRPr="006C40C1">
        <w:t>Utgiftsområdet omfattar ett antal centrala myndigheter, bl.a. Riksrevision</w:t>
      </w:r>
      <w:r w:rsidRPr="006C40C1">
        <w:t>s</w:t>
      </w:r>
      <w:r w:rsidRPr="006C40C1">
        <w:t>verket, Ekonomistyrningsverket, Statskontoret, Statistiska centralbyrån, Konjunkturinstitutet, Riksgäldskontoret, Kammarkollegiet, Statens kvalitets- och kompetensråd, Statens fastighetsverk, Statens pensionsverk, Fortifik</w:t>
      </w:r>
      <w:r w:rsidRPr="006C40C1">
        <w:t>a</w:t>
      </w:r>
      <w:r w:rsidRPr="006C40C1">
        <w:t>tionsverket, Finansinspektionen, Insättningsgarantinämnden och Premiepe</w:t>
      </w:r>
      <w:r w:rsidRPr="006C40C1">
        <w:t>n</w:t>
      </w:r>
      <w:r w:rsidRPr="006C40C1">
        <w:t>sionsmyndigheten. Vidare ingår vissa kostnader för statens upplåning och låneförvaltning, vissa särskilda finansierings- och garantiåtaganden, statliga arbetsgivarfrågor samt Riksdagens revisorer. Från den 1 juli 200</w:t>
      </w:r>
      <w:r w:rsidRPr="006C40C1">
        <w:t>3 ingår även den nya Riksrevisi</w:t>
      </w:r>
      <w:r w:rsidRPr="006C40C1">
        <w:t>o</w:t>
      </w:r>
      <w:r w:rsidRPr="006C40C1">
        <w:t>nen.</w:t>
      </w:r>
    </w:p>
    <w:p w:rsidR="00AA5D77" w:rsidRPr="006C40C1" w:rsidRDefault="00AA5D77">
      <w:pPr>
        <w:pStyle w:val="Normaltindrag"/>
      </w:pPr>
      <w:r w:rsidRPr="006C40C1">
        <w:t>För 2002 beräknas de totala utgifterna för utgiftsområdet uppgå till ca 9 020 miljoner kronor.</w:t>
      </w:r>
    </w:p>
    <w:p w:rsidR="00AA5D77" w:rsidRPr="006C40C1" w:rsidRDefault="00AA5D77">
      <w:pPr>
        <w:pStyle w:val="R4"/>
      </w:pPr>
      <w:r w:rsidRPr="006C40C1">
        <w:t>Budgetpropositionen</w:t>
      </w:r>
    </w:p>
    <w:p w:rsidR="00AA5D77" w:rsidRPr="006C40C1" w:rsidRDefault="00AA5D77">
      <w:r w:rsidRPr="006C40C1">
        <w:t>I budgetpropositionen (avsnitt 6.3) redovisar regeringen att förändringen av utgiftsområdesramen jämfört med 2002 års ekonomiska vårproposition i huvudsak förklaras av bildandet av den nya myndigheten Riksrevisionen, avvecklingskostnader för Riksrevisionsverket samt en uppskjuten avsättning för garantiverksamhet. Utgifterna inom utgiftsområdet minskar därmed med 450 miljoner kronor.</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FiU1tabellrubrik2000"/>
        <w:keepNext/>
        <w:keepLines/>
        <w:outlineLvl w:val="0"/>
      </w:pPr>
      <w:r w:rsidRPr="006C40C1">
        <w:t>Förslag till ram för utgiftsområde 2 Samhällsekonomi och finansförvaltning</w:t>
      </w:r>
    </w:p>
    <w:p w:rsidR="00AA5D77" w:rsidRPr="006C40C1" w:rsidRDefault="00AA5D77">
      <w:pPr>
        <w:pStyle w:val="Tabell"/>
        <w:keepNext/>
        <w:keepLines/>
        <w:spacing w:after="40"/>
        <w:outlineLvl w:val="0"/>
        <w:rPr>
          <w:rFonts w:ascii="Times New Roman" w:hAnsi="Times New Roman"/>
          <w:spacing w:val="0"/>
          <w:sz w:val="14"/>
        </w:rPr>
      </w:pPr>
      <w:r w:rsidRPr="006C40C1">
        <w:rPr>
          <w:rFonts w:ascii="Times New Roman" w:hAnsi="Times New Roman"/>
          <w:spacing w:val="0"/>
          <w:sz w:val="14"/>
        </w:rPr>
        <w:t xml:space="preserve">Belopp i  miljoner kronor </w:t>
      </w:r>
    </w:p>
    <w:p w:rsidR="00AA5D77" w:rsidRPr="006C40C1" w:rsidRDefault="006C40C1">
      <w:pPr>
        <w:pStyle w:val="Tabell"/>
        <w:keepLines/>
        <w:spacing w:line="240" w:lineRule="auto"/>
        <w:outlineLvl w:val="0"/>
        <w:rPr>
          <w:sz w:val="14"/>
        </w:rPr>
      </w:pPr>
      <w:r w:rsidRPr="006C40C1">
        <w:rPr>
          <w:noProof/>
          <w:sz w:val="14"/>
        </w:rPr>
        <w:drawing>
          <wp:inline distT="0" distB="0" distL="0" distR="0">
            <wp:extent cx="3739515" cy="800100"/>
            <wp:effectExtent l="0" t="0" r="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739515" cy="800100"/>
                    </a:xfrm>
                    <a:prstGeom prst="rect">
                      <a:avLst/>
                    </a:prstGeom>
                    <a:noFill/>
                    <a:ln>
                      <a:noFill/>
                    </a:ln>
                  </pic:spPr>
                </pic:pic>
              </a:graphicData>
            </a:graphic>
          </wp:inline>
        </w:drawing>
      </w:r>
    </w:p>
    <w:p w:rsidR="00AA5D77" w:rsidRPr="006C40C1" w:rsidRDefault="00AA5D77">
      <w:pPr>
        <w:pStyle w:val="Tabell"/>
        <w:keepLines/>
        <w:spacing w:after="40"/>
        <w:outlineLvl w:val="0"/>
        <w:rPr>
          <w:sz w:val="14"/>
        </w:rPr>
      </w:pPr>
    </w:p>
    <w:p w:rsidR="00AA5D77" w:rsidRPr="006C40C1" w:rsidRDefault="00AA5D77">
      <w:pPr>
        <w:spacing w:line="240" w:lineRule="auto"/>
        <w:rPr>
          <w:i/>
          <w:sz w:val="21"/>
        </w:rPr>
      </w:pPr>
      <w:r w:rsidRPr="006C40C1">
        <w:rPr>
          <w:i/>
          <w:sz w:val="21"/>
        </w:rPr>
        <w:t xml:space="preserve">Motionerna </w:t>
      </w:r>
    </w:p>
    <w:p w:rsidR="00AA5D77" w:rsidRPr="006C40C1" w:rsidRDefault="00AA5D77">
      <w:r w:rsidRPr="006C40C1">
        <w:t xml:space="preserve">Förslagen i </w:t>
      </w:r>
      <w:r w:rsidRPr="006C40C1">
        <w:rPr>
          <w:i/>
        </w:rPr>
        <w:t xml:space="preserve">motion Fi230 </w:t>
      </w:r>
      <w:r w:rsidRPr="006C40C1">
        <w:t xml:space="preserve">från </w:t>
      </w:r>
      <w:r w:rsidRPr="006C40C1">
        <w:rPr>
          <w:i/>
        </w:rPr>
        <w:t>Socialdemokraterna</w:t>
      </w:r>
      <w:r w:rsidRPr="006C40C1">
        <w:t xml:space="preserve">, </w:t>
      </w:r>
      <w:r w:rsidRPr="006C40C1">
        <w:rPr>
          <w:i/>
        </w:rPr>
        <w:t>Vänsterpartiet</w:t>
      </w:r>
      <w:r w:rsidRPr="006C40C1">
        <w:t xml:space="preserve"> och </w:t>
      </w:r>
      <w:r w:rsidRPr="006C40C1">
        <w:rPr>
          <w:i/>
        </w:rPr>
        <w:t>Milj</w:t>
      </w:r>
      <w:r w:rsidRPr="006C40C1">
        <w:rPr>
          <w:i/>
        </w:rPr>
        <w:t>ö</w:t>
      </w:r>
      <w:r w:rsidRPr="006C40C1">
        <w:rPr>
          <w:i/>
        </w:rPr>
        <w:t xml:space="preserve">partiet de gröna </w:t>
      </w:r>
      <w:r w:rsidRPr="006C40C1">
        <w:t>berör inte u</w:t>
      </w:r>
      <w:r w:rsidRPr="006C40C1">
        <w:t>t</w:t>
      </w:r>
      <w:r w:rsidRPr="006C40C1">
        <w:t>giftsområde 2.</w:t>
      </w:r>
    </w:p>
    <w:p w:rsidR="00AA5D77" w:rsidRPr="006C40C1" w:rsidRDefault="00AA5D77">
      <w:pPr>
        <w:pStyle w:val="Normaltindrag"/>
      </w:pPr>
      <w:r w:rsidRPr="006C40C1">
        <w:rPr>
          <w:i/>
        </w:rPr>
        <w:t>Moderata samlingspartiet</w:t>
      </w:r>
      <w:r w:rsidRPr="006C40C1">
        <w:t xml:space="preserve"> föreslår i </w:t>
      </w:r>
      <w:r w:rsidRPr="006C40C1">
        <w:rPr>
          <w:i/>
        </w:rPr>
        <w:t>motion Fi253</w:t>
      </w:r>
      <w:r w:rsidRPr="006C40C1">
        <w:t xml:space="preserve"> en minskning av ramen. Statistiska centralbyråns verksamhet bör begränsas och avgiftsfinansieras i högre grad. Detta innebär att anslaget kan minskas. Genomförandet av en folk- och bostadsräkning avvisas. Statens kvalitets- och kompetensråd bör avvecklas varför anslaget kan halveras under första året. Nämnden för offen</w:t>
      </w:r>
      <w:r w:rsidRPr="006C40C1">
        <w:t>t</w:t>
      </w:r>
      <w:r w:rsidRPr="006C40C1">
        <w:t>lig upphandling (NOU) bör slås ihop med Konkurrensverket till en ny my</w:t>
      </w:r>
      <w:r w:rsidRPr="006C40C1">
        <w:t>n</w:t>
      </w:r>
      <w:r w:rsidRPr="006C40C1">
        <w:t>dighet, Konkurrens- och upphandlingsverket. Samordningsfördelar kommer då att uppnås, vilket me</w:t>
      </w:r>
      <w:r w:rsidRPr="006C40C1">
        <w:t>dför att anslaget till NOU kan minskas till hälften.</w:t>
      </w:r>
    </w:p>
    <w:p w:rsidR="00AA5D77" w:rsidRPr="006C40C1" w:rsidRDefault="00AA5D77">
      <w:pPr>
        <w:pStyle w:val="Normaltindrag"/>
      </w:pPr>
      <w:r w:rsidRPr="006C40C1">
        <w:rPr>
          <w:i/>
        </w:rPr>
        <w:t>Folkpartiet liberalerna</w:t>
      </w:r>
      <w:r w:rsidRPr="006C40C1">
        <w:t xml:space="preserve"> motsätter sig i </w:t>
      </w:r>
      <w:r w:rsidRPr="006C40C1">
        <w:rPr>
          <w:i/>
        </w:rPr>
        <w:t>motionerna Fi232</w:t>
      </w:r>
      <w:r w:rsidRPr="006C40C1">
        <w:t xml:space="preserve"> och </w:t>
      </w:r>
      <w:r w:rsidRPr="006C40C1">
        <w:rPr>
          <w:i/>
        </w:rPr>
        <w:t xml:space="preserve">Fi269 </w:t>
      </w:r>
      <w:r w:rsidRPr="006C40C1">
        <w:t>att en folk- och b</w:t>
      </w:r>
      <w:r w:rsidRPr="006C40C1">
        <w:t>o</w:t>
      </w:r>
      <w:r w:rsidRPr="006C40C1">
        <w:t>stadsräkning genomförs.</w:t>
      </w:r>
    </w:p>
    <w:p w:rsidR="00AA5D77" w:rsidRPr="006C40C1" w:rsidRDefault="00AA5D77">
      <w:pPr>
        <w:pStyle w:val="Normaltindrag"/>
      </w:pPr>
      <w:r w:rsidRPr="006C40C1">
        <w:rPr>
          <w:i/>
        </w:rPr>
        <w:t>Kristdemokraterna</w:t>
      </w:r>
      <w:r w:rsidRPr="006C40C1">
        <w:t xml:space="preserve"> anser i </w:t>
      </w:r>
      <w:r w:rsidRPr="006C40C1">
        <w:rPr>
          <w:i/>
        </w:rPr>
        <w:t>motion Fi266</w:t>
      </w:r>
      <w:r w:rsidRPr="006C40C1">
        <w:t xml:space="preserve"> att ramen kan minskas genom b</w:t>
      </w:r>
      <w:r w:rsidRPr="006C40C1">
        <w:t>e</w:t>
      </w:r>
      <w:r w:rsidRPr="006C40C1">
        <w:t>sparingar och samordning mellan eller sammanslagningar av vissa myndi</w:t>
      </w:r>
      <w:r w:rsidRPr="006C40C1">
        <w:t>g</w:t>
      </w:r>
      <w:r w:rsidRPr="006C40C1">
        <w:t>hetsfunktioner. Besparingar kommer bl.a. att göras genom att Kammarkoll</w:t>
      </w:r>
      <w:r w:rsidRPr="006C40C1">
        <w:t>e</w:t>
      </w:r>
      <w:r w:rsidRPr="006C40C1">
        <w:t xml:space="preserve">giet slås samman med Statskontoret och Nämnden för offentlig upphandling med Konkurrensverket.  Folk- och bostadsräkningen bör inte genomföras. Ökad grad av avgiftsfinansiering av Riksrevisionen möjliggör en minskning av anslaget. Riksgäldskontorets anslag minskas med ett belopp motsvarande den anslagsbehållning som </w:t>
      </w:r>
      <w:r w:rsidRPr="006C40C1">
        <w:t>ställts till regeringens disposition under anslaget.</w:t>
      </w:r>
    </w:p>
    <w:p w:rsidR="00AA5D77" w:rsidRPr="006C40C1" w:rsidRDefault="00AA5D77">
      <w:pPr>
        <w:pStyle w:val="Normaltindrag"/>
      </w:pPr>
      <w:r w:rsidRPr="006C40C1">
        <w:rPr>
          <w:i/>
        </w:rPr>
        <w:t>Centerpartiet</w:t>
      </w:r>
      <w:r w:rsidRPr="006C40C1">
        <w:t xml:space="preserve"> förespråkar i </w:t>
      </w:r>
      <w:r w:rsidRPr="006C40C1">
        <w:rPr>
          <w:i/>
        </w:rPr>
        <w:t xml:space="preserve">motion Fi259 </w:t>
      </w:r>
      <w:r w:rsidRPr="006C40C1">
        <w:t>en sänkt ram för utgiftsområdet. Av en kommittémotion framgår att besparingar görs inom myndigheternas administration. Statens kvalitets- och kompetensråd liksom Ekonomiska rådet bör avvecklas.</w:t>
      </w:r>
    </w:p>
    <w:p w:rsidR="00AA5D77" w:rsidRPr="006C40C1" w:rsidRDefault="00AA5D77">
      <w:pPr>
        <w:pStyle w:val="R4"/>
      </w:pPr>
      <w:r w:rsidRPr="006C40C1">
        <w:t xml:space="preserve">Finansutskottets ställningstagande </w:t>
      </w:r>
    </w:p>
    <w:p w:rsidR="00AA5D77" w:rsidRPr="006C40C1" w:rsidRDefault="00AA5D77">
      <w:r w:rsidRPr="006C40C1">
        <w:t>Finansutskottet har tidigare i betänkandet (avsnitten 2.4.3 och 2.6) redovisat sin bedömning av fördelningen av utgifterna på utgiftsområden för budgetåret 2003 och tillstyrkt regeringens förslag i denna del.</w:t>
      </w:r>
    </w:p>
    <w:p w:rsidR="00AA5D77" w:rsidRPr="006C40C1" w:rsidRDefault="00AA5D77">
      <w:pPr>
        <w:pStyle w:val="Normaltindrag"/>
      </w:pPr>
      <w:r w:rsidRPr="006C40C1">
        <w:t>Finansutskottet föreslår således att ramen för utgiftsområde 2 år 2003 fas</w:t>
      </w:r>
      <w:r w:rsidRPr="006C40C1">
        <w:t>t</w:t>
      </w:r>
      <w:r w:rsidRPr="006C40C1">
        <w:t xml:space="preserve">ställs till 9 078 miljoner kronor. Därmed tillstyrker utskottet propositionens förslag och avstyrker motionernas förslag till alternativa ramar. </w:t>
      </w:r>
    </w:p>
    <w:p w:rsidR="00AA5D77" w:rsidRPr="006C40C1" w:rsidRDefault="00AA5D77">
      <w:pPr>
        <w:pStyle w:val="Rubrik3"/>
        <w:rPr>
          <w:noProof w:val="0"/>
        </w:rPr>
      </w:pPr>
      <w:bookmarkStart w:id="559" w:name="_Toc529614324"/>
      <w:bookmarkStart w:id="560" w:name="_Toc530479502"/>
      <w:bookmarkStart w:id="561" w:name="_Toc25397619"/>
      <w:bookmarkStart w:id="562" w:name="_Toc26191522"/>
      <w:r w:rsidRPr="006C40C1">
        <w:rPr>
          <w:noProof w:val="0"/>
        </w:rPr>
        <w:t>4.1.3 Utgiftsområde 3 Skatt</w:t>
      </w:r>
      <w:bookmarkEnd w:id="559"/>
      <w:r w:rsidRPr="006C40C1">
        <w:rPr>
          <w:noProof w:val="0"/>
        </w:rPr>
        <w:t>, tull och exekution</w:t>
      </w:r>
      <w:bookmarkEnd w:id="560"/>
      <w:bookmarkEnd w:id="561"/>
      <w:bookmarkEnd w:id="562"/>
    </w:p>
    <w:p w:rsidR="00AA5D77" w:rsidRPr="006C40C1" w:rsidRDefault="00AA5D77">
      <w:r w:rsidRPr="006C40C1">
        <w:t>Utgiftsområdet omfattar Riksskatteverket, skattemyndigheterna och Tullve</w:t>
      </w:r>
      <w:r w:rsidRPr="006C40C1">
        <w:t>r</w:t>
      </w:r>
      <w:r w:rsidRPr="006C40C1">
        <w:t>ket.</w:t>
      </w:r>
    </w:p>
    <w:p w:rsidR="00AA5D77" w:rsidRPr="006C40C1" w:rsidRDefault="00AA5D77">
      <w:pPr>
        <w:pStyle w:val="Normaltindrag"/>
      </w:pPr>
      <w:r w:rsidRPr="006C40C1">
        <w:t>De totala utgifterna för utgiftsområdet 2002 beräknas uppgå till 8 059 miljoner kronor.</w:t>
      </w:r>
    </w:p>
    <w:p w:rsidR="00AA5D77" w:rsidRPr="006C40C1" w:rsidRDefault="00AA5D77">
      <w:pPr>
        <w:pStyle w:val="R4"/>
        <w:outlineLvl w:val="0"/>
      </w:pPr>
      <w:r w:rsidRPr="006C40C1">
        <w:t>Budgetpropositionen</w:t>
      </w:r>
    </w:p>
    <w:p w:rsidR="00AA5D77" w:rsidRPr="006C40C1" w:rsidRDefault="00AA5D77">
      <w:r w:rsidRPr="006C40C1">
        <w:t>I budgetpropositionen (avsnitt 6.3) förklarar regeringen att förändringen i utgiftsområdesramen jämfört med 2002 års ekonomiska vårproposition i huvudsak beror på att regeringen förslår att Tullverket tillförs 15 miljoner kronor.</w:t>
      </w:r>
    </w:p>
    <w:p w:rsidR="00AA5D77" w:rsidRPr="006C40C1" w:rsidRDefault="00AA5D77">
      <w:pPr>
        <w:pStyle w:val="Normaltindrag"/>
      </w:pPr>
      <w:r w:rsidRPr="006C40C1">
        <w:t>Propositionens och riksdagspartiernas förslag till preliminär ramnivå för utgiftsområdet u</w:t>
      </w:r>
      <w:r w:rsidRPr="006C40C1">
        <w:t>n</w:t>
      </w:r>
      <w:r w:rsidRPr="006C40C1">
        <w:t>der åren 2003 och 2004 redovisas i efterföljande tabell.</w:t>
      </w:r>
    </w:p>
    <w:p w:rsidR="00AA5D77" w:rsidRPr="006C40C1" w:rsidRDefault="00AA5D77">
      <w:pPr>
        <w:pStyle w:val="FiU1tabellrubrik2000"/>
        <w:keepNext/>
        <w:keepLines/>
        <w:outlineLvl w:val="0"/>
      </w:pPr>
      <w:r w:rsidRPr="006C40C1">
        <w:t xml:space="preserve">Förslag till ram för utgiftsområde 3 Skatt, tull och exekution </w:t>
      </w:r>
    </w:p>
    <w:p w:rsidR="00AA5D77" w:rsidRPr="006C40C1" w:rsidRDefault="00AA5D77">
      <w:pPr>
        <w:pStyle w:val="Tabell"/>
        <w:keepNext/>
        <w:keepLines/>
        <w:spacing w:after="40"/>
        <w:outlineLvl w:val="0"/>
        <w:rPr>
          <w:rFonts w:ascii="Times New Roman" w:hAnsi="Times New Roman"/>
          <w:spacing w:val="0"/>
          <w:sz w:val="14"/>
        </w:rPr>
      </w:pPr>
      <w:r w:rsidRPr="006C40C1">
        <w:rPr>
          <w:rFonts w:ascii="Times New Roman" w:hAnsi="Times New Roman"/>
          <w:spacing w:val="0"/>
          <w:sz w:val="14"/>
        </w:rPr>
        <w:t>Belopp i miljoner kronor</w:t>
      </w:r>
    </w:p>
    <w:p w:rsidR="00AA5D77" w:rsidRPr="006C40C1" w:rsidRDefault="006C40C1">
      <w:pPr>
        <w:spacing w:line="240" w:lineRule="auto"/>
      </w:pPr>
      <w:r w:rsidRPr="006C40C1">
        <w:rPr>
          <w:noProof/>
        </w:rPr>
        <w:drawing>
          <wp:inline distT="0" distB="0" distL="0" distR="0">
            <wp:extent cx="3739515" cy="800100"/>
            <wp:effectExtent l="0" t="0" r="0" b="0"/>
            <wp:docPr id="58"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739515" cy="800100"/>
                    </a:xfrm>
                    <a:prstGeom prst="rect">
                      <a:avLst/>
                    </a:prstGeom>
                    <a:noFill/>
                    <a:ln>
                      <a:noFill/>
                    </a:ln>
                  </pic:spPr>
                </pic:pic>
              </a:graphicData>
            </a:graphic>
          </wp:inline>
        </w:drawing>
      </w:r>
    </w:p>
    <w:p w:rsidR="00AA5D77" w:rsidRPr="006C40C1" w:rsidRDefault="00AA5D77">
      <w:pPr>
        <w:pStyle w:val="R4"/>
        <w:outlineLvl w:val="0"/>
      </w:pPr>
      <w:r w:rsidRPr="006C40C1">
        <w:t xml:space="preserve">Motionerna </w:t>
      </w:r>
    </w:p>
    <w:p w:rsidR="00AA5D77" w:rsidRPr="006C40C1" w:rsidRDefault="00AA5D77">
      <w:r w:rsidRPr="006C40C1">
        <w:t xml:space="preserve">Förslagen i </w:t>
      </w:r>
      <w:r w:rsidRPr="006C40C1">
        <w:rPr>
          <w:i/>
        </w:rPr>
        <w:t xml:space="preserve">motion Fi230 </w:t>
      </w:r>
      <w:r w:rsidRPr="006C40C1">
        <w:t xml:space="preserve">från </w:t>
      </w:r>
      <w:r w:rsidRPr="006C40C1">
        <w:rPr>
          <w:i/>
        </w:rPr>
        <w:t>Socialdemokraterna</w:t>
      </w:r>
      <w:r w:rsidRPr="006C40C1">
        <w:t xml:space="preserve">, </w:t>
      </w:r>
      <w:r w:rsidRPr="006C40C1">
        <w:rPr>
          <w:i/>
        </w:rPr>
        <w:t>Vänsterpartiet</w:t>
      </w:r>
      <w:r w:rsidRPr="006C40C1">
        <w:t xml:space="preserve"> och </w:t>
      </w:r>
      <w:r w:rsidRPr="006C40C1">
        <w:rPr>
          <w:i/>
        </w:rPr>
        <w:t>Milj</w:t>
      </w:r>
      <w:r w:rsidRPr="006C40C1">
        <w:rPr>
          <w:i/>
        </w:rPr>
        <w:t>ö</w:t>
      </w:r>
      <w:r w:rsidRPr="006C40C1">
        <w:rPr>
          <w:i/>
        </w:rPr>
        <w:t xml:space="preserve">partiet de gröna </w:t>
      </w:r>
      <w:r w:rsidRPr="006C40C1">
        <w:t>berör inte u</w:t>
      </w:r>
      <w:r w:rsidRPr="006C40C1">
        <w:t>t</w:t>
      </w:r>
      <w:r w:rsidRPr="006C40C1">
        <w:t>giftsområde 3.</w:t>
      </w:r>
    </w:p>
    <w:p w:rsidR="00AA5D77" w:rsidRPr="006C40C1" w:rsidRDefault="00AA5D77">
      <w:pPr>
        <w:pStyle w:val="Normaltindrag"/>
      </w:pPr>
      <w:r w:rsidRPr="006C40C1">
        <w:rPr>
          <w:i/>
        </w:rPr>
        <w:t>Moderata samlingspartiet</w:t>
      </w:r>
      <w:r w:rsidRPr="006C40C1">
        <w:t xml:space="preserve"> framhåller i </w:t>
      </w:r>
      <w:r w:rsidRPr="006C40C1">
        <w:rPr>
          <w:i/>
        </w:rPr>
        <w:t>motion Fi231</w:t>
      </w:r>
      <w:r w:rsidRPr="006C40C1">
        <w:t xml:space="preserve"> att tullen med hänsyn till behovet av narkotikabekämpning bör få större resurser för ökad kontroll. Motionärerna anser att såväl skatteförvaltning som indrivning kan rationalis</w:t>
      </w:r>
      <w:r w:rsidRPr="006C40C1">
        <w:t>e</w:t>
      </w:r>
      <w:r w:rsidRPr="006C40C1">
        <w:t>ras till följd av deras skatteförslag varför anslagen till skatteförvaltningen och kronofogdemyndigheterna kan min</w:t>
      </w:r>
      <w:r w:rsidRPr="006C40C1">
        <w:t>s</w:t>
      </w:r>
      <w:r w:rsidRPr="006C40C1">
        <w:t>ka.</w:t>
      </w:r>
    </w:p>
    <w:p w:rsidR="00AA5D77" w:rsidRPr="006C40C1" w:rsidRDefault="00AA5D77">
      <w:pPr>
        <w:pStyle w:val="Normaltindrag"/>
      </w:pPr>
      <w:r w:rsidRPr="006C40C1">
        <w:rPr>
          <w:i/>
        </w:rPr>
        <w:t>Folkpartiet liberalerna</w:t>
      </w:r>
      <w:r w:rsidRPr="006C40C1">
        <w:t xml:space="preserve"> föreslår i </w:t>
      </w:r>
      <w:r w:rsidRPr="006C40C1">
        <w:rPr>
          <w:i/>
        </w:rPr>
        <w:t>motion Fi232</w:t>
      </w:r>
      <w:r w:rsidRPr="006C40C1">
        <w:t xml:space="preserve"> ökade resurser till skatt</w:t>
      </w:r>
      <w:r w:rsidRPr="006C40C1">
        <w:t>e</w:t>
      </w:r>
      <w:r w:rsidRPr="006C40C1">
        <w:t>myndigheterna. Även tullen bör få ökade resurser för insatser mot den illegala införseln av alkohol och narkot</w:t>
      </w:r>
      <w:r w:rsidRPr="006C40C1">
        <w:t>i</w:t>
      </w:r>
      <w:r w:rsidRPr="006C40C1">
        <w:t>ka.</w:t>
      </w:r>
    </w:p>
    <w:p w:rsidR="00AA5D77" w:rsidRPr="006C40C1" w:rsidRDefault="00AA5D77">
      <w:pPr>
        <w:pStyle w:val="Normaltindrag"/>
      </w:pPr>
      <w:r w:rsidRPr="006C40C1">
        <w:rPr>
          <w:i/>
        </w:rPr>
        <w:t>Kristdemokraterna</w:t>
      </w:r>
      <w:r w:rsidRPr="006C40C1">
        <w:t xml:space="preserve"> föreslår i </w:t>
      </w:r>
      <w:r w:rsidRPr="006C40C1">
        <w:rPr>
          <w:i/>
        </w:rPr>
        <w:t>motion Fi233</w:t>
      </w:r>
      <w:r w:rsidRPr="006C40C1">
        <w:t xml:space="preserve"> ökade medel för att effektivis</w:t>
      </w:r>
      <w:r w:rsidRPr="006C40C1">
        <w:t>e</w:t>
      </w:r>
      <w:r w:rsidRPr="006C40C1">
        <w:t>ra skattekontrollen i syfte att minska den svarta sektorns omfattning. Moti</w:t>
      </w:r>
      <w:r w:rsidRPr="006C40C1">
        <w:t>o</w:t>
      </w:r>
      <w:r w:rsidRPr="006C40C1">
        <w:t>närernas förslag om avskaffad fastighetsskatt och förmögenhetsskatt förvä</w:t>
      </w:r>
      <w:r w:rsidRPr="006C40C1">
        <w:t>n</w:t>
      </w:r>
      <w:r w:rsidRPr="006C40C1">
        <w:t>tas medföra besparingar i skatteadministrationen. Tullverket föreslås få ökade resurser för förstärkt kontroll och spaning kring illegal införsel av narkotika, vapen, alkohol, tobak och andra skatt</w:t>
      </w:r>
      <w:r w:rsidRPr="006C40C1">
        <w:t>e</w:t>
      </w:r>
      <w:r w:rsidRPr="006C40C1">
        <w:t xml:space="preserve">pliktiga varor. </w:t>
      </w:r>
    </w:p>
    <w:p w:rsidR="00AA5D77" w:rsidRPr="006C40C1" w:rsidRDefault="00AA5D77">
      <w:pPr>
        <w:pStyle w:val="Normaltindrag"/>
      </w:pPr>
      <w:r w:rsidRPr="006C40C1">
        <w:rPr>
          <w:i/>
        </w:rPr>
        <w:t>Centerpartiet</w:t>
      </w:r>
      <w:r w:rsidRPr="006C40C1">
        <w:t xml:space="preserve"> föreslår i </w:t>
      </w:r>
      <w:r w:rsidRPr="006C40C1">
        <w:rPr>
          <w:i/>
        </w:rPr>
        <w:t>motion Fi234</w:t>
      </w:r>
      <w:r w:rsidRPr="006C40C1">
        <w:t xml:space="preserve"> ökade resurser för tullverksamheten och en neddragning av skatteförvaltningens resurser.</w:t>
      </w:r>
    </w:p>
    <w:p w:rsidR="00AA5D77" w:rsidRPr="006C40C1" w:rsidRDefault="00AA5D77">
      <w:pPr>
        <w:pStyle w:val="R4"/>
        <w:outlineLvl w:val="0"/>
      </w:pPr>
      <w:r w:rsidRPr="006C40C1">
        <w:t>Skatteutskottets yttrande</w:t>
      </w:r>
    </w:p>
    <w:p w:rsidR="00AA5D77" w:rsidRPr="006C40C1" w:rsidRDefault="00AA5D77">
      <w:r w:rsidRPr="006C40C1">
        <w:t>Skatteutskottet tillstyrker i sitt yttrande (SkU1y) propositionens förslag och avstyrker samtliga motionsyrkanden i b</w:t>
      </w:r>
      <w:r w:rsidRPr="006C40C1">
        <w:t>e</w:t>
      </w:r>
      <w:r w:rsidRPr="006C40C1">
        <w:t>rörda delar.</w:t>
      </w:r>
    </w:p>
    <w:p w:rsidR="00AA5D77" w:rsidRPr="006C40C1" w:rsidRDefault="00AA5D77">
      <w:pPr>
        <w:pStyle w:val="Normaltindrag"/>
      </w:pPr>
      <w:r w:rsidRPr="006C40C1">
        <w:t>Till yttrandet har fogats avvikande meningar från företrädarna för Mod</w:t>
      </w:r>
      <w:r w:rsidRPr="006C40C1">
        <w:t>e</w:t>
      </w:r>
      <w:r w:rsidRPr="006C40C1">
        <w:t>rata samlingspartiet, Folkpartiet liberalerna, Kristdemokraterna samt Cente</w:t>
      </w:r>
      <w:r w:rsidRPr="006C40C1">
        <w:t>r</w:t>
      </w:r>
      <w:r w:rsidRPr="006C40C1">
        <w:t>pa</w:t>
      </w:r>
      <w:r w:rsidRPr="006C40C1">
        <w:t>r</w:t>
      </w:r>
      <w:r w:rsidRPr="006C40C1">
        <w:t xml:space="preserve">tiet. </w:t>
      </w:r>
    </w:p>
    <w:p w:rsidR="00AA5D77" w:rsidRPr="006C40C1" w:rsidRDefault="00AA5D77">
      <w:pPr>
        <w:pStyle w:val="R4"/>
      </w:pPr>
      <w:r w:rsidRPr="006C40C1">
        <w:t>Finansutskottets yttrande</w:t>
      </w:r>
    </w:p>
    <w:p w:rsidR="00AA5D77" w:rsidRPr="006C40C1" w:rsidRDefault="00AA5D77">
      <w:r w:rsidRPr="006C40C1">
        <w:t>Finansutskottet har tidigare i betänkandet (avsnitten 2.4.3 och 2.6) redovisat sin bedömning av fördelningen av utgifterna på utgiftsområden för budgetåret 2003. Skatteutskottet har för sin del inte haft något att invända mot regerin</w:t>
      </w:r>
      <w:r w:rsidRPr="006C40C1">
        <w:t>g</w:t>
      </w:r>
      <w:r w:rsidRPr="006C40C1">
        <w:t>ens förslag till ram för utgiftso</w:t>
      </w:r>
      <w:r w:rsidRPr="006C40C1">
        <w:t>m</w:t>
      </w:r>
      <w:r w:rsidRPr="006C40C1">
        <w:t>rådet.</w:t>
      </w:r>
    </w:p>
    <w:p w:rsidR="00AA5D77" w:rsidRPr="006C40C1" w:rsidRDefault="00AA5D77">
      <w:pPr>
        <w:pStyle w:val="Normaltindrag"/>
      </w:pPr>
      <w:r w:rsidRPr="006C40C1">
        <w:t>Finansutskottet föreslår mot denna bakgrund att ramen för utgiftsområde 3 år 2003 fastställs till 8 266 miljoner kronor. Därmed tillstyrker utskottet pr</w:t>
      </w:r>
      <w:r w:rsidRPr="006C40C1">
        <w:t>o</w:t>
      </w:r>
      <w:r w:rsidRPr="006C40C1">
        <w:t>positi</w:t>
      </w:r>
      <w:r w:rsidRPr="006C40C1">
        <w:t>o</w:t>
      </w:r>
      <w:r w:rsidRPr="006C40C1">
        <w:t>nens förslag och avstyrker motionernas förslag till alternativa ramar.</w:t>
      </w:r>
    </w:p>
    <w:p w:rsidR="00AA5D77" w:rsidRPr="006C40C1" w:rsidRDefault="00AA5D77">
      <w:pPr>
        <w:pStyle w:val="Rubrik3"/>
        <w:rPr>
          <w:noProof w:val="0"/>
        </w:rPr>
      </w:pPr>
      <w:bookmarkStart w:id="563" w:name="_Toc25397620"/>
      <w:bookmarkStart w:id="564" w:name="_Toc26191523"/>
      <w:r w:rsidRPr="006C40C1">
        <w:rPr>
          <w:noProof w:val="0"/>
        </w:rPr>
        <w:t>4.1.4 Utgiftsområde 4 Rättsväsendet</w:t>
      </w:r>
      <w:bookmarkEnd w:id="563"/>
      <w:bookmarkEnd w:id="564"/>
    </w:p>
    <w:p w:rsidR="00AA5D77" w:rsidRPr="006C40C1" w:rsidRDefault="00AA5D77">
      <w:r w:rsidRPr="006C40C1">
        <w:t>Utgiftsområdet omfattar polisen, åklagarväsendet, domstolsväsendet, rätt</w:t>
      </w:r>
      <w:r w:rsidRPr="006C40C1">
        <w:t>s</w:t>
      </w:r>
      <w:r w:rsidRPr="006C40C1">
        <w:t xml:space="preserve">hjälpen, kriminalvården, Brottsförebyggande rådet, Rättsmedicinalverket, Gentekniknämnden och Brottsoffermyndigheten. </w:t>
      </w:r>
    </w:p>
    <w:p w:rsidR="00AA5D77" w:rsidRPr="006C40C1" w:rsidRDefault="00AA5D77">
      <w:pPr>
        <w:pStyle w:val="Normaltindrag"/>
      </w:pPr>
      <w:r w:rsidRPr="006C40C1">
        <w:t>De totala utgifterna för utgiftsområdet 2002 beräknas uppgå till ca 23 966 miljoner kronor.</w:t>
      </w:r>
    </w:p>
    <w:p w:rsidR="00AA5D77" w:rsidRPr="006C40C1" w:rsidRDefault="00AA5D77">
      <w:pPr>
        <w:pStyle w:val="R4"/>
      </w:pPr>
      <w:r w:rsidRPr="006C40C1">
        <w:t>Budgetpropositionen</w:t>
      </w:r>
    </w:p>
    <w:p w:rsidR="00AA5D77" w:rsidRPr="006C40C1" w:rsidRDefault="00AA5D77">
      <w:r w:rsidRPr="006C40C1">
        <w:t>I budgetpropositionen (avsnitt 6.3) anförs att förändringen av utgiftsområde</w:t>
      </w:r>
      <w:r w:rsidRPr="006C40C1">
        <w:t>s</w:t>
      </w:r>
      <w:r w:rsidRPr="006C40C1">
        <w:t>ramen jämfört med beräkningen av utgifterna per utgiftsområde i 2002 års ekonomiska vårproposition förklaras i huvudsak av att regeringen föreslår en fortsatt satsning på rättsväsendet.</w:t>
      </w:r>
    </w:p>
    <w:p w:rsidR="00AA5D77" w:rsidRPr="006C40C1" w:rsidRDefault="00AA5D77">
      <w:pPr>
        <w:pStyle w:val="Normaltindrag"/>
      </w:pPr>
      <w:r w:rsidRPr="006C40C1">
        <w:t>Propositionens och riksdagspartiernas förslag till ramnivå för utgiftsomr</w:t>
      </w:r>
      <w:r w:rsidRPr="006C40C1">
        <w:t>å</w:t>
      </w:r>
      <w:r w:rsidRPr="006C40C1">
        <w:t>det u</w:t>
      </w:r>
      <w:r w:rsidRPr="006C40C1">
        <w:t>n</w:t>
      </w:r>
      <w:r w:rsidRPr="006C40C1">
        <w:t>der åren 2003 och 2004 redovisas i efterföljande tabell.</w:t>
      </w:r>
    </w:p>
    <w:p w:rsidR="00AA5D77" w:rsidRPr="006C40C1" w:rsidRDefault="00AA5D77">
      <w:pPr>
        <w:pStyle w:val="Normaltindrag"/>
      </w:pPr>
    </w:p>
    <w:p w:rsidR="00AA5D77" w:rsidRPr="006C40C1" w:rsidRDefault="00AA5D77">
      <w:pPr>
        <w:rPr>
          <w:b/>
          <w:sz w:val="16"/>
        </w:rPr>
      </w:pPr>
      <w:r w:rsidRPr="006C40C1">
        <w:rPr>
          <w:b/>
          <w:sz w:val="16"/>
        </w:rPr>
        <w:t>Förslag till ram för utgiftsområde 4 Rättsväsendet</w:t>
      </w:r>
    </w:p>
    <w:p w:rsidR="00AA5D77" w:rsidRPr="006C40C1" w:rsidRDefault="00AA5D77">
      <w:pPr>
        <w:pStyle w:val="Tabellfrklaring"/>
        <w:keepNext w:val="0"/>
        <w:keepLines w:val="0"/>
        <w:spacing w:before="62" w:after="0" w:line="250" w:lineRule="atLeast"/>
      </w:pPr>
      <w:r w:rsidRPr="006C40C1">
        <w:t>Belopp i miljoner kronor</w:t>
      </w:r>
    </w:p>
    <w:p w:rsidR="00AA5D77" w:rsidRPr="006C40C1" w:rsidRDefault="006C40C1">
      <w:r w:rsidRPr="006C40C1">
        <w:rPr>
          <w:noProof/>
        </w:rPr>
        <w:drawing>
          <wp:inline distT="0" distB="0" distL="0" distR="0">
            <wp:extent cx="4158615" cy="848995"/>
            <wp:effectExtent l="0" t="0" r="0" b="0"/>
            <wp:docPr id="59" name="Bild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158615" cy="848995"/>
                    </a:xfrm>
                    <a:prstGeom prst="rect">
                      <a:avLst/>
                    </a:prstGeom>
                    <a:noFill/>
                    <a:ln>
                      <a:noFill/>
                    </a:ln>
                  </pic:spPr>
                </pic:pic>
              </a:graphicData>
            </a:graphic>
          </wp:inline>
        </w:drawing>
      </w:r>
    </w:p>
    <w:p w:rsidR="00AA5D77" w:rsidRPr="006C40C1" w:rsidRDefault="00AA5D77">
      <w:pPr>
        <w:pStyle w:val="Normaltindrag"/>
      </w:pPr>
    </w:p>
    <w:p w:rsidR="00AA5D77" w:rsidRPr="006C40C1" w:rsidRDefault="00AA5D77">
      <w:pPr>
        <w:pStyle w:val="R4"/>
      </w:pPr>
      <w:r w:rsidRPr="006C40C1">
        <w:t>Motionerna</w:t>
      </w:r>
    </w:p>
    <w:p w:rsidR="00AA5D77" w:rsidRPr="006C40C1" w:rsidRDefault="00AA5D77">
      <w:r w:rsidRPr="006C40C1">
        <w:t xml:space="preserve">Förslagen i </w:t>
      </w:r>
      <w:r w:rsidRPr="006C40C1">
        <w:rPr>
          <w:i/>
        </w:rPr>
        <w:t>motion</w:t>
      </w:r>
      <w:r w:rsidRPr="006C40C1">
        <w:t xml:space="preserve"> </w:t>
      </w:r>
      <w:r w:rsidRPr="006C40C1">
        <w:rPr>
          <w:i/>
        </w:rPr>
        <w:t>Fi230</w:t>
      </w:r>
      <w:r w:rsidRPr="006C40C1">
        <w:t xml:space="preserve"> från </w:t>
      </w:r>
      <w:r w:rsidRPr="006C40C1">
        <w:rPr>
          <w:i/>
        </w:rPr>
        <w:t>Socialdemokraterna</w:t>
      </w:r>
      <w:r w:rsidRPr="006C40C1">
        <w:t xml:space="preserve">, </w:t>
      </w:r>
      <w:r w:rsidRPr="006C40C1">
        <w:rPr>
          <w:i/>
        </w:rPr>
        <w:t>Vänsterpartiet</w:t>
      </w:r>
      <w:r w:rsidRPr="006C40C1">
        <w:t xml:space="preserve"> och </w:t>
      </w:r>
      <w:r w:rsidRPr="006C40C1">
        <w:rPr>
          <w:i/>
        </w:rPr>
        <w:t>Milj</w:t>
      </w:r>
      <w:r w:rsidRPr="006C40C1">
        <w:rPr>
          <w:i/>
        </w:rPr>
        <w:t>ö</w:t>
      </w:r>
      <w:r w:rsidRPr="006C40C1">
        <w:rPr>
          <w:i/>
        </w:rPr>
        <w:t xml:space="preserve">partiet de gröna </w:t>
      </w:r>
      <w:r w:rsidRPr="006C40C1">
        <w:t>berör inte utgiftsområde 4.</w:t>
      </w:r>
    </w:p>
    <w:p w:rsidR="00AA5D77" w:rsidRPr="006C40C1" w:rsidRDefault="00AA5D77">
      <w:pPr>
        <w:pStyle w:val="Normaltindrag"/>
      </w:pPr>
      <w:r w:rsidRPr="006C40C1">
        <w:rPr>
          <w:i/>
        </w:rPr>
        <w:t>Moderata samlingspartiet</w:t>
      </w:r>
      <w:r w:rsidRPr="006C40C1">
        <w:t xml:space="preserve"> satsar i </w:t>
      </w:r>
      <w:r w:rsidRPr="006C40C1">
        <w:rPr>
          <w:i/>
        </w:rPr>
        <w:t xml:space="preserve">motion Fi231 </w:t>
      </w:r>
      <w:r w:rsidRPr="006C40C1">
        <w:t>mer än regeringen på rättsväsendet under den kommande tvåårsperioden. Motionärerna motsätter sig besparing på anslaget till säkerhetspolisen. Det internationella läget och de allvarliga anklagelser som riktats mot Sverige när det gäller extrema rörelser kan inte mötas med en nedprioritering av verksamheten. Motionärerna anser att åklagarväsendet och domstolsväsendet behöver ökade resurser. Mer resu</w:t>
      </w:r>
      <w:r w:rsidRPr="006C40C1">
        <w:t>r</w:t>
      </w:r>
      <w:r w:rsidRPr="006C40C1">
        <w:t>ser behövs för att kunna lagföra dem som kränker andra människors frihet och frid. Anta</w:t>
      </w:r>
      <w:r w:rsidRPr="006C40C1">
        <w:t>gningen till polishögskolorna måste öka och en ny skola behövs. Utbildningen behöver reformeras. Polisväsendet behöver också ökade resu</w:t>
      </w:r>
      <w:r w:rsidRPr="006C40C1">
        <w:t>r</w:t>
      </w:r>
      <w:r w:rsidRPr="006C40C1">
        <w:t>ser. Resurser behövs för att förbättra och utveckla det operativa arbetet. Kr</w:t>
      </w:r>
      <w:r w:rsidRPr="006C40C1">
        <w:t>i</w:t>
      </w:r>
      <w:r w:rsidRPr="006C40C1">
        <w:t>minalvården behöver också utvecklas.</w:t>
      </w:r>
    </w:p>
    <w:p w:rsidR="00AA5D77" w:rsidRPr="006C40C1" w:rsidRDefault="00AA5D77">
      <w:pPr>
        <w:pStyle w:val="Normaltindrag"/>
      </w:pPr>
      <w:r w:rsidRPr="006C40C1">
        <w:rPr>
          <w:i/>
        </w:rPr>
        <w:t xml:space="preserve">Folkpartiet liberalerna </w:t>
      </w:r>
      <w:r w:rsidRPr="006C40C1">
        <w:t xml:space="preserve">förordar i </w:t>
      </w:r>
      <w:r w:rsidRPr="006C40C1">
        <w:rPr>
          <w:i/>
        </w:rPr>
        <w:t>motion Fi232</w:t>
      </w:r>
      <w:r w:rsidRPr="006C40C1">
        <w:t xml:space="preserve"> en höjning av ramen. A</w:t>
      </w:r>
      <w:r w:rsidRPr="006C40C1">
        <w:t>n</w:t>
      </w:r>
      <w:r w:rsidRPr="006C40C1">
        <w:t>talet poliser måste öka och de ska vara synliga samt närvarande. Även åklag</w:t>
      </w:r>
      <w:r w:rsidRPr="006C40C1">
        <w:t>a</w:t>
      </w:r>
      <w:r w:rsidRPr="006C40C1">
        <w:t>re, domstolsväsendet och kriminalvården behöver förstärkas. Ekobrottsmy</w:t>
      </w:r>
      <w:r w:rsidRPr="006C40C1">
        <w:t>n</w:t>
      </w:r>
      <w:r w:rsidRPr="006C40C1">
        <w:t>di</w:t>
      </w:r>
      <w:r w:rsidRPr="006C40C1">
        <w:t>g</w:t>
      </w:r>
      <w:r w:rsidRPr="006C40C1">
        <w:t xml:space="preserve">heten bör avskaffas och inordnas i den ordinarie åklagarverksamheten. </w:t>
      </w:r>
    </w:p>
    <w:p w:rsidR="00AA5D77" w:rsidRPr="006C40C1" w:rsidRDefault="00AA5D77">
      <w:pPr>
        <w:pStyle w:val="Normaltindrag"/>
      </w:pPr>
      <w:r w:rsidRPr="006C40C1">
        <w:rPr>
          <w:i/>
        </w:rPr>
        <w:t xml:space="preserve">Kristdemokraterna </w:t>
      </w:r>
      <w:r w:rsidRPr="006C40C1">
        <w:t xml:space="preserve">förordar i sin </w:t>
      </w:r>
      <w:r w:rsidRPr="006C40C1">
        <w:rPr>
          <w:i/>
        </w:rPr>
        <w:t xml:space="preserve">motion Fi233 </w:t>
      </w:r>
      <w:r w:rsidRPr="006C40C1">
        <w:t>en höjning av ramen. M</w:t>
      </w:r>
      <w:r w:rsidRPr="006C40C1">
        <w:t>o</w:t>
      </w:r>
      <w:r w:rsidRPr="006C40C1">
        <w:t>tionärerna anser att särskilt polisens situation måste förbättras. Resurser b</w:t>
      </w:r>
      <w:r w:rsidRPr="006C40C1">
        <w:t>e</w:t>
      </w:r>
      <w:r w:rsidRPr="006C40C1">
        <w:t xml:space="preserve">hövs bl.a. för att förbättra närpolisverksamheten och anställa fler poliser med bl.a. specialuppgift </w:t>
      </w:r>
      <w:r w:rsidRPr="006C40C1">
        <w:rPr>
          <w:snapToGrid w:val="0"/>
        </w:rPr>
        <w:t>att bekämpa narkotikabrott för att på så sätt stoppa nark</w:t>
      </w:r>
      <w:r w:rsidRPr="006C40C1">
        <w:rPr>
          <w:snapToGrid w:val="0"/>
        </w:rPr>
        <w:t>o</w:t>
      </w:r>
      <w:r w:rsidRPr="006C40C1">
        <w:rPr>
          <w:snapToGrid w:val="0"/>
        </w:rPr>
        <w:t xml:space="preserve">tikamissbruket bland ungdomar. Vidare </w:t>
      </w:r>
      <w:r w:rsidRPr="006C40C1">
        <w:t>måste antalet utbildningsplatser u</w:t>
      </w:r>
      <w:r w:rsidRPr="006C40C1">
        <w:t>t</w:t>
      </w:r>
      <w:r w:rsidRPr="006C40C1">
        <w:t xml:space="preserve">ökas kraftigt. Åklagarväsendet behöver också förstärkas  bl.a. för att kunna anställa fler åklagare. De pågående nedskärningarna inom domstolsväsendet </w:t>
      </w:r>
      <w:r w:rsidRPr="006C40C1">
        <w:t>är ett hot mot rättssamhället. Motionärerna anser att för att skapa ett bättre underlag för de mindre tingsrätterna bör en process inledas med sammanläg</w:t>
      </w:r>
      <w:r w:rsidRPr="006C40C1">
        <w:t>g</w:t>
      </w:r>
      <w:r w:rsidRPr="006C40C1">
        <w:t xml:space="preserve">ning av tingsrätt och länsrätt. Även inom kriminalvården behövs det mer resurser. Antalet häktesplatser och platser för sluten ungdomsvård måste öka. </w:t>
      </w:r>
    </w:p>
    <w:p w:rsidR="00AA5D77" w:rsidRPr="006C40C1" w:rsidRDefault="00AA5D77">
      <w:pPr>
        <w:pStyle w:val="Normaltindrag"/>
      </w:pPr>
      <w:r w:rsidRPr="006C40C1">
        <w:rPr>
          <w:i/>
        </w:rPr>
        <w:t xml:space="preserve">Centerpartiet </w:t>
      </w:r>
      <w:r w:rsidRPr="006C40C1">
        <w:t>anser</w:t>
      </w:r>
      <w:r w:rsidRPr="006C40C1">
        <w:rPr>
          <w:i/>
        </w:rPr>
        <w:t xml:space="preserve"> </w:t>
      </w:r>
      <w:r w:rsidRPr="006C40C1">
        <w:t xml:space="preserve">i </w:t>
      </w:r>
      <w:r w:rsidRPr="006C40C1">
        <w:rPr>
          <w:i/>
        </w:rPr>
        <w:t>motion Fi234</w:t>
      </w:r>
      <w:r w:rsidRPr="006C40C1">
        <w:t xml:space="preserve"> att rättsväsendet måste förstärkas. R</w:t>
      </w:r>
      <w:r w:rsidRPr="006C40C1">
        <w:t>e</w:t>
      </w:r>
      <w:r w:rsidRPr="006C40C1">
        <w:t>sursförstärkningar behövs framför allt inom polisen, åklagarmyndigheten och kriminalvården. Motionärerna anser att en stärkt rättstrygghet hör till de vi</w:t>
      </w:r>
      <w:r w:rsidRPr="006C40C1">
        <w:t>k</w:t>
      </w:r>
      <w:r w:rsidRPr="006C40C1">
        <w:t>tigaste reformområdena under de kommande åren. Målet är att öka antalet poliser med 2 000 fram till år 2005.</w:t>
      </w:r>
      <w:r w:rsidRPr="006C40C1">
        <w:rPr>
          <w:snapToGrid w:val="0"/>
        </w:rPr>
        <w:t xml:space="preserve"> En nollvision sätts upp för våld mot kvi</w:t>
      </w:r>
      <w:r w:rsidRPr="006C40C1">
        <w:rPr>
          <w:snapToGrid w:val="0"/>
        </w:rPr>
        <w:t>n</w:t>
      </w:r>
      <w:r w:rsidRPr="006C40C1">
        <w:rPr>
          <w:snapToGrid w:val="0"/>
        </w:rPr>
        <w:t>nor och flickor.</w:t>
      </w:r>
    </w:p>
    <w:p w:rsidR="00AA5D77" w:rsidRPr="006C40C1" w:rsidRDefault="00AA5D77">
      <w:pPr>
        <w:pStyle w:val="Normaltindrag"/>
        <w:ind w:firstLine="0"/>
      </w:pPr>
    </w:p>
    <w:p w:rsidR="00AA5D77" w:rsidRPr="006C40C1" w:rsidRDefault="00AA5D77">
      <w:pPr>
        <w:pStyle w:val="R4"/>
        <w:spacing w:before="0" w:line="240" w:lineRule="auto"/>
      </w:pPr>
      <w:r w:rsidRPr="006C40C1">
        <w:t xml:space="preserve">Justitieutskottets yttrande </w:t>
      </w:r>
    </w:p>
    <w:p w:rsidR="00AA5D77" w:rsidRPr="006C40C1" w:rsidRDefault="00AA5D77">
      <w:r w:rsidRPr="006C40C1">
        <w:t>I ett protokollsutdrag från justitieutskottet tillstyrks regeringens förslag till ram för utgiftsområdet och motionerna avstyrks. Företrädarna för Moderata samlingspartiet, Folkpartiet liberalerna, Kristdemokraterna och Centerpartiet tillstyrker sina  partiers  respektive förslag.</w:t>
      </w:r>
    </w:p>
    <w:p w:rsidR="00AA5D77" w:rsidRPr="006C40C1" w:rsidRDefault="00AA5D77">
      <w:pPr>
        <w:pStyle w:val="R4"/>
        <w:spacing w:line="240" w:lineRule="auto"/>
      </w:pPr>
      <w:r w:rsidRPr="006C40C1">
        <w:t xml:space="preserve">Finansutskottets ställningstagande </w:t>
      </w:r>
    </w:p>
    <w:p w:rsidR="00AA5D77" w:rsidRPr="006C40C1" w:rsidRDefault="00AA5D77">
      <w:r w:rsidRPr="006C40C1">
        <w:t>Finansutskottet har tidigare i betänkandet (avsnitten 2.4.3 och 2.6) redovisat sin bedömning av fördelningen av utgifterna på utgiftsområden för budgetåret 2003. Justitieutskottet har för sin del inte haft något att invända mot regerin</w:t>
      </w:r>
      <w:r w:rsidRPr="006C40C1">
        <w:t>g</w:t>
      </w:r>
      <w:r w:rsidRPr="006C40C1">
        <w:t xml:space="preserve">ens förslag till ram för utgiftsområdet. </w:t>
      </w:r>
    </w:p>
    <w:p w:rsidR="00AA5D77" w:rsidRPr="006C40C1" w:rsidRDefault="00AA5D77">
      <w:pPr>
        <w:pStyle w:val="Normaltindrag"/>
      </w:pPr>
      <w:r w:rsidRPr="006C40C1">
        <w:t>Finansutskottet föreslår mot denna bakgrund att ramen för utgiftsområde 4 år 2003 fastställs till 24 585 miljoner kronor. Därmed tillstyrker utskottet propositionens förslag och avstyrker motionernas förslag till alternativa r</w:t>
      </w:r>
      <w:r w:rsidRPr="006C40C1">
        <w:t>a</w:t>
      </w:r>
      <w:r w:rsidRPr="006C40C1">
        <w:t>mar.</w:t>
      </w:r>
    </w:p>
    <w:p w:rsidR="00AA5D77" w:rsidRPr="006C40C1" w:rsidRDefault="00AA5D77">
      <w:pPr>
        <w:pStyle w:val="Rubrik3"/>
        <w:rPr>
          <w:noProof w:val="0"/>
        </w:rPr>
      </w:pPr>
      <w:bookmarkStart w:id="565" w:name="_Toc25397621"/>
      <w:bookmarkStart w:id="566" w:name="_Toc26191524"/>
      <w:r w:rsidRPr="006C40C1">
        <w:rPr>
          <w:noProof w:val="0"/>
        </w:rPr>
        <w:t>4.1.5 Utgiftsområde 5 Internationell samverkan</w:t>
      </w:r>
      <w:bookmarkEnd w:id="565"/>
      <w:bookmarkEnd w:id="566"/>
    </w:p>
    <w:p w:rsidR="00AA5D77" w:rsidRPr="006C40C1" w:rsidRDefault="00AA5D77">
      <w:r w:rsidRPr="006C40C1">
        <w:t>Utgiftsområdet omfattar bidrag till vissa internationella organisationer, fred</w:t>
      </w:r>
      <w:r w:rsidRPr="006C40C1">
        <w:t>s</w:t>
      </w:r>
      <w:r w:rsidRPr="006C40C1">
        <w:t>främjande verksamhet, information om Sverige i utlandet, nedrustnings- och säkerhetspolitiska frågor samt Europainformation.</w:t>
      </w:r>
    </w:p>
    <w:p w:rsidR="00AA5D77" w:rsidRPr="006C40C1" w:rsidRDefault="00AA5D77">
      <w:pPr>
        <w:pStyle w:val="Normaltindrag"/>
      </w:pPr>
      <w:r w:rsidRPr="006C40C1">
        <w:t>De totala utgifterna för utgiftsområdet 2002 beräknas uppgå till 1 348 miljoner kronor.</w:t>
      </w:r>
    </w:p>
    <w:p w:rsidR="00AA5D77" w:rsidRPr="006C40C1" w:rsidRDefault="00AA5D77">
      <w:pPr>
        <w:pStyle w:val="Rubrik4"/>
        <w:rPr>
          <w:noProof w:val="0"/>
        </w:rPr>
      </w:pPr>
      <w:bookmarkStart w:id="567" w:name="_Toc26191525"/>
      <w:r w:rsidRPr="006C40C1">
        <w:rPr>
          <w:noProof w:val="0"/>
        </w:rPr>
        <w:t>Budgetpropositionen</w:t>
      </w:r>
      <w:bookmarkEnd w:id="567"/>
    </w:p>
    <w:p w:rsidR="00AA5D77" w:rsidRPr="006C40C1" w:rsidRDefault="00AA5D77">
      <w:r w:rsidRPr="006C40C1">
        <w:t>I budgetpropositionen (avsnitt 6.3) redovisar regeringen att ramen för utgift</w:t>
      </w:r>
      <w:r w:rsidRPr="006C40C1">
        <w:t>s</w:t>
      </w:r>
      <w:r w:rsidRPr="006C40C1">
        <w:t>området ökar något jämfört med 2002 års ekonomiska vårproposition. Denna förändring förklaras i huvudsak med att anslagen för bidrag till internationella organisationer, främst fredsbevarande operationer inom FN, tillförs 120 mi</w:t>
      </w:r>
      <w:r w:rsidRPr="006C40C1">
        <w:t>l</w:t>
      </w:r>
      <w:r w:rsidRPr="006C40C1">
        <w:t>joner kronor.</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FiU1tabellrubrik2000"/>
        <w:keepNext/>
        <w:keepLines/>
        <w:outlineLvl w:val="0"/>
      </w:pPr>
      <w:r w:rsidRPr="006C40C1">
        <w:t xml:space="preserve">Förslag till ram för utgiftsområde 5 Internationell samverkan </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pPr>
        <w:keepNext/>
      </w:pPr>
      <w:r w:rsidRPr="006C40C1">
        <w:rPr>
          <w:noProof/>
        </w:rPr>
        <w:drawing>
          <wp:inline distT="0" distB="0" distL="0" distR="0">
            <wp:extent cx="3777615" cy="805815"/>
            <wp:effectExtent l="0" t="0" r="0" b="0"/>
            <wp:docPr id="60" name="Bild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Rubrik4"/>
        <w:rPr>
          <w:noProof w:val="0"/>
        </w:rPr>
      </w:pPr>
      <w:bookmarkStart w:id="568" w:name="_Toc26191526"/>
      <w:r w:rsidRPr="006C40C1">
        <w:rPr>
          <w:noProof w:val="0"/>
        </w:rPr>
        <w:t>Motionerna</w:t>
      </w:r>
      <w:bookmarkEnd w:id="568"/>
    </w:p>
    <w:p w:rsidR="00AA5D77" w:rsidRPr="006C40C1" w:rsidRDefault="00AA5D77">
      <w:r w:rsidRPr="006C40C1">
        <w:t xml:space="preserve">Förslagen i </w:t>
      </w:r>
      <w:r w:rsidRPr="006C40C1">
        <w:rPr>
          <w:i/>
        </w:rPr>
        <w:t xml:space="preserve">motion Fi230 </w:t>
      </w:r>
      <w:r w:rsidRPr="006C40C1">
        <w:t>från</w:t>
      </w:r>
      <w:r w:rsidRPr="006C40C1">
        <w:rPr>
          <w:i/>
        </w:rPr>
        <w:t xml:space="preserve"> Socialdemokraterna, Vänsterpartiet och Mi</w:t>
      </w:r>
      <w:r w:rsidRPr="006C40C1">
        <w:rPr>
          <w:i/>
        </w:rPr>
        <w:t>l</w:t>
      </w:r>
      <w:r w:rsidRPr="006C40C1">
        <w:rPr>
          <w:i/>
        </w:rPr>
        <w:t>jö</w:t>
      </w:r>
      <w:r w:rsidRPr="006C40C1">
        <w:rPr>
          <w:i/>
        </w:rPr>
        <w:softHyphen/>
        <w:t>partiet de gröna</w:t>
      </w:r>
      <w:r w:rsidRPr="006C40C1">
        <w:t xml:space="preserve"> berör inte utgiftsområde 5.</w:t>
      </w:r>
    </w:p>
    <w:p w:rsidR="00AA5D77" w:rsidRPr="006C40C1" w:rsidRDefault="00AA5D77">
      <w:pPr>
        <w:pStyle w:val="Normaltindrag"/>
      </w:pPr>
      <w:r w:rsidRPr="006C40C1">
        <w:rPr>
          <w:i/>
        </w:rPr>
        <w:t>Moderata samlingspartiet</w:t>
      </w:r>
      <w:r w:rsidRPr="006C40C1">
        <w:t xml:space="preserve"> avvisar i </w:t>
      </w:r>
      <w:r w:rsidRPr="006C40C1">
        <w:rPr>
          <w:i/>
        </w:rPr>
        <w:t>motion Fi231</w:t>
      </w:r>
      <w:r w:rsidRPr="006C40C1">
        <w:t xml:space="preserve"> minskningen av medlen för fredsfrämjande verksamhet. Motionärerna föreslår ökade anslag för No</w:t>
      </w:r>
      <w:r w:rsidRPr="006C40C1">
        <w:t>r</w:t>
      </w:r>
      <w:r w:rsidRPr="006C40C1">
        <w:t>diskt samarbete och Nordiska ministerrådet och anser att anslaget för info</w:t>
      </w:r>
      <w:r w:rsidRPr="006C40C1">
        <w:t>r</w:t>
      </w:r>
      <w:r w:rsidRPr="006C40C1">
        <w:t xml:space="preserve">mation och studier om säkerhetspolitik och fredsfrämjande utveckling bör avskaffas. </w:t>
      </w:r>
    </w:p>
    <w:p w:rsidR="00AA5D77" w:rsidRPr="006C40C1" w:rsidRDefault="00AA5D77">
      <w:pPr>
        <w:pStyle w:val="Normaltindrag"/>
      </w:pPr>
      <w:r w:rsidRPr="006C40C1">
        <w:rPr>
          <w:i/>
        </w:rPr>
        <w:t>Folkpartiet liberalerna (motion Fi232)</w:t>
      </w:r>
      <w:r w:rsidRPr="006C40C1">
        <w:t xml:space="preserve"> förordar en oförändrad ram för u</w:t>
      </w:r>
      <w:r w:rsidRPr="006C40C1">
        <w:t>t</w:t>
      </w:r>
      <w:r w:rsidRPr="006C40C1">
        <w:t>giftsomr</w:t>
      </w:r>
      <w:r w:rsidRPr="006C40C1">
        <w:t>å</w:t>
      </w:r>
      <w:r w:rsidRPr="006C40C1">
        <w:t>det jämfört med regeringens förslag.</w:t>
      </w:r>
    </w:p>
    <w:p w:rsidR="00AA5D77" w:rsidRPr="006C40C1" w:rsidRDefault="00AA5D77">
      <w:pPr>
        <w:pStyle w:val="Normaltindrag"/>
      </w:pPr>
      <w:r w:rsidRPr="006C40C1">
        <w:rPr>
          <w:i/>
        </w:rPr>
        <w:t>Kristdemokraterna</w:t>
      </w:r>
      <w:r w:rsidRPr="006C40C1">
        <w:t xml:space="preserve"> motsätter sig i </w:t>
      </w:r>
      <w:r w:rsidRPr="006C40C1">
        <w:rPr>
          <w:i/>
        </w:rPr>
        <w:t>motion Fi233</w:t>
      </w:r>
      <w:r w:rsidRPr="006C40C1">
        <w:t xml:space="preserve"> ökningen av medlen för bidrag till SIPRI. Vidare föreslås besparingar inom anslagsposterna 5:4 </w:t>
      </w:r>
      <w:r w:rsidRPr="006C40C1">
        <w:rPr>
          <w:i/>
        </w:rPr>
        <w:t>No</w:t>
      </w:r>
      <w:r w:rsidRPr="006C40C1">
        <w:rPr>
          <w:i/>
        </w:rPr>
        <w:t>r</w:t>
      </w:r>
      <w:r w:rsidRPr="006C40C1">
        <w:rPr>
          <w:i/>
        </w:rPr>
        <w:t>diska rådet</w:t>
      </w:r>
      <w:r w:rsidRPr="006C40C1">
        <w:t xml:space="preserve">, 5:7 </w:t>
      </w:r>
      <w:r w:rsidRPr="006C40C1">
        <w:rPr>
          <w:i/>
        </w:rPr>
        <w:t>Svenska institutet</w:t>
      </w:r>
      <w:r w:rsidRPr="006C40C1">
        <w:t xml:space="preserve">, 5:8 </w:t>
      </w:r>
      <w:r w:rsidRPr="006C40C1">
        <w:rPr>
          <w:i/>
        </w:rPr>
        <w:t>Övrig information om Sverige i utla</w:t>
      </w:r>
      <w:r w:rsidRPr="006C40C1">
        <w:rPr>
          <w:i/>
        </w:rPr>
        <w:t>n</w:t>
      </w:r>
      <w:r w:rsidRPr="006C40C1">
        <w:rPr>
          <w:i/>
        </w:rPr>
        <w:t>det</w:t>
      </w:r>
      <w:r w:rsidRPr="006C40C1">
        <w:t xml:space="preserve">, 5:11 </w:t>
      </w:r>
      <w:r w:rsidRPr="006C40C1">
        <w:rPr>
          <w:i/>
        </w:rPr>
        <w:t>Bidrag till Stockholms internationella fredsforskningsinstitut</w:t>
      </w:r>
      <w:r w:rsidRPr="006C40C1">
        <w:t xml:space="preserve"> samt 5:16 </w:t>
      </w:r>
      <w:r w:rsidRPr="006C40C1">
        <w:rPr>
          <w:i/>
        </w:rPr>
        <w:t>Eropainformation</w:t>
      </w:r>
      <w:r w:rsidRPr="006C40C1">
        <w:t>. Motionärerna vill dessutom avveckla anslaget för information och studier om säkerhetspolitik och fredsfrämjande utveckling samt öka stödet för Europarådets verksamhet.</w:t>
      </w:r>
    </w:p>
    <w:p w:rsidR="00AA5D77" w:rsidRPr="006C40C1" w:rsidRDefault="00AA5D77">
      <w:pPr>
        <w:pStyle w:val="Normaltindrag"/>
      </w:pPr>
      <w:r w:rsidRPr="006C40C1">
        <w:rPr>
          <w:i/>
        </w:rPr>
        <w:t>Centerpartiet</w:t>
      </w:r>
      <w:r w:rsidRPr="006C40C1">
        <w:t xml:space="preserve"> föreslår i </w:t>
      </w:r>
      <w:r w:rsidRPr="006C40C1">
        <w:rPr>
          <w:i/>
        </w:rPr>
        <w:t>motion Fi234</w:t>
      </w:r>
      <w:r w:rsidRPr="006C40C1">
        <w:t xml:space="preserve"> neddragningar inom anslagen 5:7 </w:t>
      </w:r>
      <w:r w:rsidRPr="006C40C1">
        <w:rPr>
          <w:i/>
        </w:rPr>
        <w:t>Svenska institutet</w:t>
      </w:r>
      <w:r w:rsidRPr="006C40C1">
        <w:t xml:space="preserve">, 5:12 </w:t>
      </w:r>
      <w:r w:rsidRPr="006C40C1">
        <w:rPr>
          <w:i/>
        </w:rPr>
        <w:t>Forskning till stöd för nedrustning och internationell säkerhet</w:t>
      </w:r>
      <w:r w:rsidRPr="006C40C1">
        <w:t xml:space="preserve">, 5:13 </w:t>
      </w:r>
      <w:r w:rsidRPr="006C40C1">
        <w:rPr>
          <w:i/>
        </w:rPr>
        <w:t>Utrikespolitiska institutet</w:t>
      </w:r>
      <w:r w:rsidRPr="006C40C1">
        <w:t xml:space="preserve"> samt 5:16 </w:t>
      </w:r>
      <w:r w:rsidRPr="006C40C1">
        <w:rPr>
          <w:i/>
        </w:rPr>
        <w:t>Europainformationen m.m.</w:t>
      </w:r>
    </w:p>
    <w:p w:rsidR="00AA5D77" w:rsidRPr="006C40C1" w:rsidRDefault="00AA5D77">
      <w:pPr>
        <w:pStyle w:val="Rubrik4"/>
        <w:rPr>
          <w:noProof w:val="0"/>
        </w:rPr>
      </w:pPr>
      <w:bookmarkStart w:id="569" w:name="_Toc26191527"/>
      <w:r w:rsidRPr="006C40C1">
        <w:rPr>
          <w:noProof w:val="0"/>
        </w:rPr>
        <w:t>Utrikesutskottets yttrande</w:t>
      </w:r>
      <w:bookmarkEnd w:id="569"/>
    </w:p>
    <w:p w:rsidR="00AA5D77" w:rsidRPr="006C40C1" w:rsidRDefault="00AA5D77">
      <w:r w:rsidRPr="006C40C1">
        <w:t>Utrikesutskottet anser i sitt yttrande (UU2y) att regeringens förslag rörande utgiftsområdet är väl avvägda vad avser såväl budgetåret 2003 som budge</w:t>
      </w:r>
      <w:r w:rsidRPr="006C40C1">
        <w:t>t</w:t>
      </w:r>
      <w:r w:rsidRPr="006C40C1">
        <w:t>året 2004. Regeringens förslag tillstyrks därmed och partimotionerna avstyrks i berörda delar.</w:t>
      </w:r>
    </w:p>
    <w:p w:rsidR="00AA5D77" w:rsidRPr="006C40C1" w:rsidRDefault="00AA5D77">
      <w:pPr>
        <w:pStyle w:val="Normaltindrag"/>
      </w:pPr>
      <w:r w:rsidRPr="006C40C1">
        <w:t>I var sin avvikande mening tillstyrker företrädarna för Moderata samling</w:t>
      </w:r>
      <w:r w:rsidRPr="006C40C1">
        <w:t>s</w:t>
      </w:r>
      <w:r w:rsidRPr="006C40C1">
        <w:t>partiet, Kristdemokraterna samt Centerpartiet förslagen i respektive motion.</w:t>
      </w:r>
    </w:p>
    <w:p w:rsidR="00AA5D77" w:rsidRPr="006C40C1" w:rsidRDefault="00AA5D77">
      <w:pPr>
        <w:pStyle w:val="Rubrik4"/>
        <w:rPr>
          <w:noProof w:val="0"/>
        </w:rPr>
      </w:pPr>
      <w:bookmarkStart w:id="570" w:name="_Toc26191528"/>
      <w:r w:rsidRPr="006C40C1">
        <w:rPr>
          <w:noProof w:val="0"/>
        </w:rPr>
        <w:t>Finansutskottets ställningstagande</w:t>
      </w:r>
      <w:bookmarkEnd w:id="570"/>
    </w:p>
    <w:p w:rsidR="00AA5D77" w:rsidRPr="006C40C1" w:rsidRDefault="00AA5D77">
      <w:r w:rsidRPr="006C40C1">
        <w:t>Finansutskottet har tidigare i betänkandet (avsnitten 2.4.3 och 2.6) redovisat sin bedömning av fördelningen av utgifterna på utgiftsområden för budgetåret 2003. Utrikesutskottet har för sin del inte haft något att invända mot regerin</w:t>
      </w:r>
      <w:r w:rsidRPr="006C40C1">
        <w:t>g</w:t>
      </w:r>
      <w:r w:rsidRPr="006C40C1">
        <w:t>ens förslag till ram för utgiftsområdet.</w:t>
      </w:r>
    </w:p>
    <w:p w:rsidR="00AA5D77" w:rsidRPr="006C40C1" w:rsidRDefault="00AA5D77">
      <w:pPr>
        <w:pStyle w:val="Normaltindrag"/>
      </w:pPr>
      <w:r w:rsidRPr="006C40C1">
        <w:t>Finansutskottet föreslår mot den bakgrunden att ramen för utgiftsområde 5 år 2003 fastställs till 1 285 miljoner kronor. Därmed tillstyrker utskottet pr</w:t>
      </w:r>
      <w:r w:rsidRPr="006C40C1">
        <w:t>o</w:t>
      </w:r>
      <w:r w:rsidRPr="006C40C1">
        <w:t>positionen och avstyrker motionärernas förslag till alternativa ramar.</w:t>
      </w:r>
    </w:p>
    <w:p w:rsidR="00AA5D77" w:rsidRPr="006C40C1" w:rsidRDefault="00AA5D77">
      <w:pPr>
        <w:pStyle w:val="Rubrik3"/>
        <w:rPr>
          <w:noProof w:val="0"/>
        </w:rPr>
      </w:pPr>
      <w:bookmarkStart w:id="571" w:name="_Toc25397622"/>
      <w:bookmarkStart w:id="572" w:name="_Toc26191529"/>
      <w:r w:rsidRPr="006C40C1">
        <w:rPr>
          <w:noProof w:val="0"/>
        </w:rPr>
        <w:t>4.1.6 Utgiftsområde 6 Försvar samt beredskap för sårbarhet</w:t>
      </w:r>
      <w:bookmarkEnd w:id="571"/>
      <w:bookmarkEnd w:id="572"/>
    </w:p>
    <w:p w:rsidR="00AA5D77" w:rsidRPr="006C40C1" w:rsidRDefault="00AA5D77">
      <w:r w:rsidRPr="006C40C1">
        <w:t>Utgiftsområdet omfattar verksamheter inom det militära och civila försvaret, Kustbevakningen, Statens räddningsverk, Sprängämnesinspektionen, näm</w:t>
      </w:r>
      <w:r w:rsidRPr="006C40C1">
        <w:t>n</w:t>
      </w:r>
      <w:r w:rsidRPr="006C40C1">
        <w:t>der samt stödverksamhet till det militära och det civila försvaret. I utgiftso</w:t>
      </w:r>
      <w:r w:rsidRPr="006C40C1">
        <w:t>m</w:t>
      </w:r>
      <w:r w:rsidRPr="006C40C1">
        <w:t>rådet ingår även internationell fredsfrämjande verksamhet med svensk militär trupp utomlands.</w:t>
      </w:r>
    </w:p>
    <w:p w:rsidR="00AA5D77" w:rsidRPr="006C40C1" w:rsidRDefault="00AA5D77">
      <w:pPr>
        <w:pStyle w:val="Normaltindrag"/>
      </w:pPr>
      <w:r w:rsidRPr="006C40C1">
        <w:t>De totala utgifterna för utgiftsområdet 2002 beräknas uppgå till 45 138 miljoner kronor.</w:t>
      </w:r>
    </w:p>
    <w:p w:rsidR="00AA5D77" w:rsidRPr="006C40C1" w:rsidRDefault="00AA5D77">
      <w:pPr>
        <w:pStyle w:val="Rubrik4"/>
        <w:rPr>
          <w:noProof w:val="0"/>
        </w:rPr>
      </w:pPr>
      <w:bookmarkStart w:id="573" w:name="_Toc26191530"/>
      <w:r w:rsidRPr="006C40C1">
        <w:rPr>
          <w:noProof w:val="0"/>
        </w:rPr>
        <w:t>Budgetpropositionen</w:t>
      </w:r>
      <w:bookmarkEnd w:id="573"/>
    </w:p>
    <w:p w:rsidR="00AA5D77" w:rsidRPr="006C40C1" w:rsidRDefault="00AA5D77">
      <w:r w:rsidRPr="006C40C1">
        <w:t>I budgetpropositionen (avsnitt 6.3) redovisar regeringen att ramen för utgift</w:t>
      </w:r>
      <w:r w:rsidRPr="006C40C1">
        <w:t>s</w:t>
      </w:r>
      <w:r w:rsidRPr="006C40C1">
        <w:t>området minskar med ca 560 miljoner kronor jämfört med 2002 års ekon</w:t>
      </w:r>
      <w:r w:rsidRPr="006C40C1">
        <w:t>o</w:t>
      </w:r>
      <w:r w:rsidRPr="006C40C1">
        <w:t>miska vårproposition. Denna förändring förklaras i huvudsak av en slutj</w:t>
      </w:r>
      <w:r w:rsidRPr="006C40C1">
        <w:t>u</w:t>
      </w:r>
      <w:r w:rsidRPr="006C40C1">
        <w:t>stering av statliga avtalsförsäkringar som gäller för verksamheter inom u</w:t>
      </w:r>
      <w:r w:rsidRPr="006C40C1">
        <w:t>t</w:t>
      </w:r>
      <w:r w:rsidRPr="006C40C1">
        <w:t>giftsområdet.</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FiU1tabellrubrik2000"/>
        <w:keepNext/>
        <w:keepLines/>
        <w:outlineLvl w:val="0"/>
      </w:pPr>
      <w:r w:rsidRPr="006C40C1">
        <w:t>Förslag till ram för utgiftsområde 6 Försvar samt beredskap mot sårbarhet</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pPr>
        <w:keepNext/>
      </w:pPr>
      <w:r w:rsidRPr="006C40C1">
        <w:rPr>
          <w:noProof/>
        </w:rPr>
        <w:drawing>
          <wp:inline distT="0" distB="0" distL="0" distR="0">
            <wp:extent cx="3777615" cy="805815"/>
            <wp:effectExtent l="0" t="0" r="0" b="0"/>
            <wp:docPr id="61" name="Bild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Rubrik4"/>
        <w:rPr>
          <w:noProof w:val="0"/>
        </w:rPr>
      </w:pPr>
      <w:bookmarkStart w:id="574" w:name="_Toc26191531"/>
      <w:r w:rsidRPr="006C40C1">
        <w:rPr>
          <w:noProof w:val="0"/>
        </w:rPr>
        <w:t>Motionerna</w:t>
      </w:r>
      <w:bookmarkEnd w:id="574"/>
    </w:p>
    <w:p w:rsidR="00AA5D77" w:rsidRPr="006C40C1" w:rsidRDefault="00AA5D77">
      <w:r w:rsidRPr="006C40C1">
        <w:t xml:space="preserve">Förslagen i </w:t>
      </w:r>
      <w:r w:rsidRPr="006C40C1">
        <w:rPr>
          <w:i/>
        </w:rPr>
        <w:t xml:space="preserve">motion Fi230 </w:t>
      </w:r>
      <w:r w:rsidRPr="006C40C1">
        <w:t>från</w:t>
      </w:r>
      <w:r w:rsidRPr="006C40C1">
        <w:rPr>
          <w:i/>
        </w:rPr>
        <w:t xml:space="preserve"> Socialdemokraterna, Vänsterpartiet och Mi</w:t>
      </w:r>
      <w:r w:rsidRPr="006C40C1">
        <w:rPr>
          <w:i/>
        </w:rPr>
        <w:t>l</w:t>
      </w:r>
      <w:r w:rsidRPr="006C40C1">
        <w:rPr>
          <w:i/>
        </w:rPr>
        <w:t>jö</w:t>
      </w:r>
      <w:r w:rsidRPr="006C40C1">
        <w:rPr>
          <w:i/>
        </w:rPr>
        <w:softHyphen/>
        <w:t>partiet de gröna</w:t>
      </w:r>
      <w:r w:rsidRPr="006C40C1">
        <w:t xml:space="preserve"> berör inte utgiftsområde 6.</w:t>
      </w:r>
    </w:p>
    <w:p w:rsidR="00AA5D77" w:rsidRPr="006C40C1" w:rsidRDefault="00AA5D77">
      <w:pPr>
        <w:pStyle w:val="Normaltindrag"/>
      </w:pPr>
      <w:r w:rsidRPr="006C40C1">
        <w:rPr>
          <w:i/>
        </w:rPr>
        <w:t>Moderata samlingspartiet</w:t>
      </w:r>
      <w:r w:rsidRPr="006C40C1">
        <w:t xml:space="preserve"> förordar i </w:t>
      </w:r>
      <w:r w:rsidRPr="006C40C1">
        <w:rPr>
          <w:i/>
        </w:rPr>
        <w:t>motion Fi231</w:t>
      </w:r>
      <w:r w:rsidRPr="006C40C1">
        <w:t xml:space="preserve"> att försvaret långsiktigt får utvecklas på samma ekonomiska nivå som under de senaste försvarsb</w:t>
      </w:r>
      <w:r w:rsidRPr="006C40C1">
        <w:t>e</w:t>
      </w:r>
      <w:r w:rsidRPr="006C40C1">
        <w:t>slutsperioderna. Motionärerna föreslår därmed ytterligare medel för mer omfattande förbandsverksamhet, fler aktiva förband, större andel anställda samt utvidgad materielanskaffning. Regeringens ökade satsningar inom den civila delen av försvaret avvisas, medan den funktionella indelningen av denna del av försvaret föreslås redovisas som anslagsposter inom anslaget 6:5 Civilt försvar. Ansl</w:t>
      </w:r>
      <w:r w:rsidRPr="006C40C1">
        <w:t>aget Fredsfrämjande truppinsatser bör därutöver utformas som beredskapsanslag.</w:t>
      </w:r>
    </w:p>
    <w:p w:rsidR="00AA5D77" w:rsidRPr="006C40C1" w:rsidRDefault="00AA5D77">
      <w:pPr>
        <w:pStyle w:val="Normaltindrag"/>
        <w:rPr>
          <w:i/>
        </w:rPr>
      </w:pPr>
      <w:r w:rsidRPr="006C40C1">
        <w:rPr>
          <w:i/>
        </w:rPr>
        <w:t>Folkpartiet liberalerna</w:t>
      </w:r>
      <w:r w:rsidRPr="006C40C1">
        <w:t xml:space="preserve"> förordar i </w:t>
      </w:r>
      <w:r w:rsidRPr="006C40C1">
        <w:rPr>
          <w:i/>
        </w:rPr>
        <w:t>motion Fi232</w:t>
      </w:r>
      <w:r w:rsidRPr="006C40C1">
        <w:t xml:space="preserve"> begränsningar i utbil</w:t>
      </w:r>
      <w:r w:rsidRPr="006C40C1">
        <w:t>d</w:t>
      </w:r>
      <w:r w:rsidRPr="006C40C1">
        <w:t>ningen av nya värnpliktiga. Materielanslaget föreslås dessutom minskas g</w:t>
      </w:r>
      <w:r w:rsidRPr="006C40C1">
        <w:t>e</w:t>
      </w:r>
      <w:r w:rsidRPr="006C40C1">
        <w:t>nom att förskjuta vissa materielanskaffningar i tiden. Redan påbörjade mat</w:t>
      </w:r>
      <w:r w:rsidRPr="006C40C1">
        <w:t>e</w:t>
      </w:r>
      <w:r w:rsidRPr="006C40C1">
        <w:t>rial- och anläggningsprojekt avses dock fullföljas. Därutöver ökas anslaget för Kustbevakningen i syfte att skärpa kontrollen av efterlevnaden av fiskekvoter och fångstmetoder vid fiske samt påbörja systemet med uppbyggnaden av milj</w:t>
      </w:r>
      <w:r w:rsidRPr="006C40C1">
        <w:t>ö</w:t>
      </w:r>
      <w:r w:rsidRPr="006C40C1">
        <w:t>lotsar.</w:t>
      </w:r>
      <w:r w:rsidRPr="006C40C1">
        <w:rPr>
          <w:i/>
        </w:rPr>
        <w:t xml:space="preserve"> </w:t>
      </w:r>
    </w:p>
    <w:p w:rsidR="00AA5D77" w:rsidRPr="006C40C1" w:rsidRDefault="00AA5D77">
      <w:pPr>
        <w:pStyle w:val="Normaltindrag"/>
        <w:rPr>
          <w:i/>
        </w:rPr>
      </w:pPr>
      <w:r w:rsidRPr="006C40C1">
        <w:rPr>
          <w:i/>
        </w:rPr>
        <w:t>Kristdemokraterna</w:t>
      </w:r>
      <w:r w:rsidRPr="006C40C1">
        <w:t xml:space="preserve"> anser i </w:t>
      </w:r>
      <w:r w:rsidRPr="006C40C1">
        <w:rPr>
          <w:i/>
        </w:rPr>
        <w:t>motion Fi233</w:t>
      </w:r>
      <w:r w:rsidRPr="006C40C1">
        <w:t xml:space="preserve"> att totalförsvarets resurser ska u</w:t>
      </w:r>
      <w:r w:rsidRPr="006C40C1">
        <w:t>t</w:t>
      </w:r>
      <w:r w:rsidRPr="006C40C1">
        <w:t>formas med hänsyn till en större bredd av hot och kunna användas vid olika internationella fredsfrämjande insatser. Därmed föreslås ökade satsningar på förbandsverksamheten. Samtidigt beräknas materielanslaget kunna minskas nästa år med hänsyn till ett stort uppvisat anslagssparande. Under de efterfö</w:t>
      </w:r>
      <w:r w:rsidRPr="006C40C1">
        <w:t>l</w:t>
      </w:r>
      <w:r w:rsidRPr="006C40C1">
        <w:t>jande två åren ska materialanslaget däremot öka. Motionärerna föreslår däru</w:t>
      </w:r>
      <w:r w:rsidRPr="006C40C1">
        <w:t>t</w:t>
      </w:r>
      <w:r w:rsidRPr="006C40C1">
        <w:t>över att Kustbevakningens resurser förstärks för att långsiktigt kunna möta u</w:t>
      </w:r>
      <w:r w:rsidRPr="006C40C1">
        <w:t>tökade krav på internationell verksamhet, gränskontroll, sjölägesinformation och miljöräddningstjänst till sjöss.</w:t>
      </w:r>
      <w:r w:rsidRPr="006C40C1">
        <w:rPr>
          <w:i/>
        </w:rPr>
        <w:t xml:space="preserve"> </w:t>
      </w:r>
    </w:p>
    <w:p w:rsidR="00AA5D77" w:rsidRPr="006C40C1" w:rsidRDefault="00AA5D77">
      <w:pPr>
        <w:pStyle w:val="Normaltindrag"/>
      </w:pPr>
      <w:r w:rsidRPr="006C40C1">
        <w:rPr>
          <w:i/>
        </w:rPr>
        <w:t>Centerpartiet (motion Fi234)</w:t>
      </w:r>
      <w:r w:rsidRPr="006C40C1">
        <w:t xml:space="preserve"> förordar en oförändrad ram för utgiftsomr</w:t>
      </w:r>
      <w:r w:rsidRPr="006C40C1">
        <w:t>å</w:t>
      </w:r>
      <w:r w:rsidRPr="006C40C1">
        <w:t>det jämfört med regeringens förslag.</w:t>
      </w:r>
    </w:p>
    <w:p w:rsidR="00AA5D77" w:rsidRPr="006C40C1" w:rsidRDefault="00AA5D77">
      <w:pPr>
        <w:pStyle w:val="Rubrik4"/>
        <w:rPr>
          <w:noProof w:val="0"/>
        </w:rPr>
      </w:pPr>
      <w:bookmarkStart w:id="575" w:name="_Toc26191532"/>
      <w:r w:rsidRPr="006C40C1">
        <w:rPr>
          <w:noProof w:val="0"/>
        </w:rPr>
        <w:t>Försvarsutskottets yttrande</w:t>
      </w:r>
      <w:bookmarkEnd w:id="575"/>
    </w:p>
    <w:p w:rsidR="00AA5D77" w:rsidRPr="006C40C1" w:rsidRDefault="00AA5D77">
      <w:r w:rsidRPr="006C40C1">
        <w:t>Försvarsutskottet konstaterar i sitt yttrande (FöU1y) att regeringens förslag ligger i linje med riksdagens tidigare beslut om försvarsutgifternas successiva reducering. Försvarsutskottet anser sålunda att regeringens förslag beträffande ram för utgiftsområde 6 för 2003 samt preliminär ram för 2004 bör bifallas av riksdagen. Motionerna bör därför avslås i berörda delar. I avvikande meningar tillstyrker Moderata samlingspartiet, Folkpartiet liberalerna samt Kristdem</w:t>
      </w:r>
      <w:r w:rsidRPr="006C40C1">
        <w:t>o</w:t>
      </w:r>
      <w:r w:rsidRPr="006C40C1">
        <w:t>krate</w:t>
      </w:r>
      <w:r w:rsidRPr="006C40C1">
        <w:t>r</w:t>
      </w:r>
      <w:r w:rsidRPr="006C40C1">
        <w:t>na förslagen i respektive motion.</w:t>
      </w:r>
    </w:p>
    <w:p w:rsidR="00AA5D77" w:rsidRPr="006C40C1" w:rsidRDefault="00AA5D77">
      <w:pPr>
        <w:pStyle w:val="Normaltindrag"/>
      </w:pPr>
      <w:r w:rsidRPr="006C40C1">
        <w:t>Försvarsutskottet tar även upp frågan om förändringen i styr- och uppföl</w:t>
      </w:r>
      <w:r w:rsidRPr="006C40C1">
        <w:t>j</w:t>
      </w:r>
      <w:r w:rsidRPr="006C40C1">
        <w:t>ningsprocessen till följd av regeringens intentioner att riksdagen bör godkä</w:t>
      </w:r>
      <w:r w:rsidRPr="006C40C1">
        <w:t>n</w:t>
      </w:r>
      <w:r w:rsidRPr="006C40C1">
        <w:t>na mål för verksamheten endast på politikområdesnivå. Förändringen ko</w:t>
      </w:r>
      <w:r w:rsidRPr="006C40C1">
        <w:t>m</w:t>
      </w:r>
      <w:r w:rsidRPr="006C40C1">
        <w:t>mer för försvarsutskottets del att innebära minskad insyn och minskade p</w:t>
      </w:r>
      <w:r w:rsidRPr="006C40C1">
        <w:t>å</w:t>
      </w:r>
      <w:r w:rsidRPr="006C40C1">
        <w:t>verkansmöjligheter jämfört med hittills gällande ordning.</w:t>
      </w:r>
      <w:r w:rsidRPr="006C40C1">
        <w:rPr>
          <w:snapToGrid w:val="0"/>
          <w:lang w:eastAsia="sv-SE"/>
        </w:rPr>
        <w:t xml:space="preserve"> Försvarsutskottet föreslår att finansutskottet – som ett led i arbetet med att utveckla statsbu</w:t>
      </w:r>
      <w:r w:rsidRPr="006C40C1">
        <w:rPr>
          <w:snapToGrid w:val="0"/>
          <w:lang w:eastAsia="sv-SE"/>
        </w:rPr>
        <w:t>d</w:t>
      </w:r>
      <w:r w:rsidRPr="006C40C1">
        <w:rPr>
          <w:snapToGrid w:val="0"/>
          <w:lang w:eastAsia="sv-SE"/>
        </w:rPr>
        <w:t>geten – följer upp och värderar erfarenheterna i utskotten av att godkänna verksamheten och medelsanvändningen på politikområdesnivå.</w:t>
      </w:r>
    </w:p>
    <w:p w:rsidR="00AA5D77" w:rsidRPr="006C40C1" w:rsidRDefault="00AA5D77">
      <w:pPr>
        <w:pStyle w:val="Rubrik4"/>
        <w:rPr>
          <w:noProof w:val="0"/>
        </w:rPr>
      </w:pPr>
      <w:bookmarkStart w:id="576" w:name="_Toc26191533"/>
      <w:r w:rsidRPr="006C40C1">
        <w:rPr>
          <w:noProof w:val="0"/>
        </w:rPr>
        <w:t>Fin</w:t>
      </w:r>
      <w:r w:rsidRPr="006C40C1">
        <w:rPr>
          <w:noProof w:val="0"/>
        </w:rPr>
        <w:t>ansutskottets ställningstagande</w:t>
      </w:r>
      <w:bookmarkEnd w:id="576"/>
    </w:p>
    <w:p w:rsidR="00AA5D77" w:rsidRPr="006C40C1" w:rsidRDefault="00AA5D77">
      <w:pPr>
        <w:rPr>
          <w:snapToGrid w:val="0"/>
          <w:lang w:eastAsia="sv-SE"/>
        </w:rPr>
      </w:pPr>
      <w:r w:rsidRPr="006C40C1">
        <w:t>Finansutskottet har tidigare i betänkandet (avsnitten 2.4.3 och 2.6) redovisat sin bedömning av fördelningen av utgifterna på utgiftsområden för budgetåret 2003. Försvarsutskottet har för sin del inte haft något att invända mot rege</w:t>
      </w:r>
      <w:r w:rsidRPr="006C40C1">
        <w:t>r</w:t>
      </w:r>
      <w:r w:rsidRPr="006C40C1">
        <w:t>ingens förslag till ram för utgiftsområdet.</w:t>
      </w:r>
      <w:r w:rsidRPr="006C40C1">
        <w:rPr>
          <w:snapToGrid w:val="0"/>
          <w:lang w:eastAsia="sv-SE"/>
        </w:rPr>
        <w:t xml:space="preserve"> </w:t>
      </w:r>
    </w:p>
    <w:p w:rsidR="00AA5D77" w:rsidRPr="006C40C1" w:rsidRDefault="00AA5D77">
      <w:pPr>
        <w:pStyle w:val="Normaltindrag"/>
      </w:pPr>
      <w:r w:rsidRPr="006C40C1">
        <w:rPr>
          <w:snapToGrid w:val="0"/>
          <w:lang w:eastAsia="sv-SE"/>
        </w:rPr>
        <w:t>Vidare vill finansutskottet erinra om försvarsutskottets förslag att finansu</w:t>
      </w:r>
      <w:r w:rsidRPr="006C40C1">
        <w:rPr>
          <w:snapToGrid w:val="0"/>
          <w:lang w:eastAsia="sv-SE"/>
        </w:rPr>
        <w:t>t</w:t>
      </w:r>
      <w:r w:rsidRPr="006C40C1">
        <w:rPr>
          <w:snapToGrid w:val="0"/>
          <w:lang w:eastAsia="sv-SE"/>
        </w:rPr>
        <w:t>skottet följer upp och värderar erfarenheterna i utskotten av att godkänna verksamheten och medelsanvändningen på politikområdesnivå. Regeringen tar upp utvecklingen av den ekonomiska styrningen under utgiftsområde 2 Samhällsekonomi och finansförvaltning. De detaljerade aspekterna på styr- och uppföljningsprocessen behandlas därmed utanför regeringens samlade förslag till statsbudget. Med hänsyn härtill avser finansutskottet att ta upp denna fråga i annat sammanhang.</w:t>
      </w:r>
    </w:p>
    <w:p w:rsidR="00AA5D77" w:rsidRPr="006C40C1" w:rsidRDefault="00AA5D77">
      <w:pPr>
        <w:pStyle w:val="Normaltindrag"/>
      </w:pPr>
      <w:r w:rsidRPr="006C40C1">
        <w:t>Finansutskottet föreslår mot den bakgru</w:t>
      </w:r>
      <w:r w:rsidRPr="006C40C1">
        <w:t>nden att ramen för utgiftsområde 6 år 2003 fastställs till 44 704 miljoner kronor. Därmed tillstyrker utskottet propositionen och avstyrker motionärernas förslag till alternativa ramar.</w:t>
      </w:r>
    </w:p>
    <w:p w:rsidR="00AA5D77" w:rsidRPr="006C40C1" w:rsidRDefault="00AA5D77">
      <w:pPr>
        <w:pStyle w:val="Rubrik3"/>
        <w:rPr>
          <w:noProof w:val="0"/>
        </w:rPr>
      </w:pPr>
      <w:bookmarkStart w:id="577" w:name="_Toc25397623"/>
      <w:bookmarkStart w:id="578" w:name="_Toc26191534"/>
      <w:r w:rsidRPr="006C40C1">
        <w:rPr>
          <w:noProof w:val="0"/>
        </w:rPr>
        <w:t>4.1.7 Utgiftsområde 7 Internationellt bistånd</w:t>
      </w:r>
      <w:bookmarkEnd w:id="577"/>
      <w:bookmarkEnd w:id="578"/>
    </w:p>
    <w:p w:rsidR="00AA5D77" w:rsidRPr="006C40C1" w:rsidRDefault="00AA5D77">
      <w:r w:rsidRPr="006C40C1">
        <w:t>Utgiftsområdet omfattar internationellt utvecklingssamarbete och samarbete med länder i Central- och Östeuropa.</w:t>
      </w:r>
    </w:p>
    <w:p w:rsidR="00AA5D77" w:rsidRPr="006C40C1" w:rsidRDefault="00AA5D77">
      <w:pPr>
        <w:pStyle w:val="Normaltindrag"/>
      </w:pPr>
      <w:r w:rsidRPr="006C40C1">
        <w:t>De totala utgifterna inom utgiftsområdet 2002 beräknas uppgå till 16 501 miljoner kronor.</w:t>
      </w:r>
    </w:p>
    <w:p w:rsidR="00AA5D77" w:rsidRPr="006C40C1" w:rsidRDefault="00AA5D77">
      <w:pPr>
        <w:pStyle w:val="Rubrik4"/>
        <w:rPr>
          <w:noProof w:val="0"/>
        </w:rPr>
      </w:pPr>
      <w:bookmarkStart w:id="579" w:name="_Toc26191535"/>
      <w:r w:rsidRPr="006C40C1">
        <w:rPr>
          <w:noProof w:val="0"/>
        </w:rPr>
        <w:t>Budgetpropositionen</w:t>
      </w:r>
      <w:bookmarkEnd w:id="579"/>
    </w:p>
    <w:p w:rsidR="00AA5D77" w:rsidRPr="006C40C1" w:rsidRDefault="00AA5D77">
      <w:r w:rsidRPr="006C40C1">
        <w:t>I budgetpropositionen (avsnitt 6.3) förklarar regeringen att ramen för utgift</w:t>
      </w:r>
      <w:r w:rsidRPr="006C40C1">
        <w:t>s</w:t>
      </w:r>
      <w:r w:rsidRPr="006C40C1">
        <w:t>området höjs i jämförelse med 2002 års ekonomiska vårproposition på grund av en högre BNI-prognos samt förändrade biståndsavräkningar. Biståndsr</w:t>
      </w:r>
      <w:r w:rsidRPr="006C40C1">
        <w:t>a</w:t>
      </w:r>
      <w:r w:rsidRPr="006C40C1">
        <w:t>men uppgår till 0,81 % av BNI för 2003 och ökas till 0,86 % av BNI för 2004. Därutöver tillförs biståndet 200 miljoner kronor.</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FiU1tabellrubrik2000"/>
        <w:keepNext/>
        <w:keepLines/>
        <w:outlineLvl w:val="0"/>
      </w:pPr>
      <w:r w:rsidRPr="006C40C1">
        <w:t>Förslag till ram för utgiftsområde 7 Internationellt bistånd</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pPr>
        <w:keepNext/>
      </w:pPr>
      <w:r w:rsidRPr="006C40C1">
        <w:rPr>
          <w:noProof/>
        </w:rPr>
        <w:drawing>
          <wp:inline distT="0" distB="0" distL="0" distR="0">
            <wp:extent cx="3777615" cy="805815"/>
            <wp:effectExtent l="0" t="0" r="0" b="0"/>
            <wp:docPr id="62" name="Bild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Rubrik4"/>
        <w:rPr>
          <w:noProof w:val="0"/>
        </w:rPr>
      </w:pPr>
      <w:bookmarkStart w:id="580" w:name="_Toc26191536"/>
      <w:r w:rsidRPr="006C40C1">
        <w:rPr>
          <w:noProof w:val="0"/>
        </w:rPr>
        <w:t>Motionerna</w:t>
      </w:r>
      <w:bookmarkEnd w:id="580"/>
    </w:p>
    <w:p w:rsidR="00AA5D77" w:rsidRPr="006C40C1" w:rsidRDefault="00AA5D77">
      <w:r w:rsidRPr="006C40C1">
        <w:t xml:space="preserve">Förslagen i </w:t>
      </w:r>
      <w:r w:rsidRPr="006C40C1">
        <w:rPr>
          <w:i/>
        </w:rPr>
        <w:t xml:space="preserve">motion Fi230 </w:t>
      </w:r>
      <w:r w:rsidRPr="006C40C1">
        <w:t>från</w:t>
      </w:r>
      <w:r w:rsidRPr="006C40C1">
        <w:rPr>
          <w:i/>
        </w:rPr>
        <w:t xml:space="preserve"> Socialdemokraterna, Vänsterpartiet och Mi</w:t>
      </w:r>
      <w:r w:rsidRPr="006C40C1">
        <w:rPr>
          <w:i/>
        </w:rPr>
        <w:t>l</w:t>
      </w:r>
      <w:r w:rsidRPr="006C40C1">
        <w:rPr>
          <w:i/>
        </w:rPr>
        <w:t>jö</w:t>
      </w:r>
      <w:r w:rsidRPr="006C40C1">
        <w:rPr>
          <w:i/>
        </w:rPr>
        <w:softHyphen/>
        <w:t>partiet de gröna</w:t>
      </w:r>
      <w:r w:rsidRPr="006C40C1">
        <w:t xml:space="preserve"> berör inte utgiftsområde 7.</w:t>
      </w:r>
    </w:p>
    <w:p w:rsidR="00AA5D77" w:rsidRPr="006C40C1" w:rsidRDefault="00AA5D77">
      <w:pPr>
        <w:pStyle w:val="Normaltindrag"/>
      </w:pPr>
      <w:r w:rsidRPr="006C40C1">
        <w:rPr>
          <w:i/>
        </w:rPr>
        <w:t>Moderata samlingspartiet</w:t>
      </w:r>
      <w:r w:rsidRPr="006C40C1">
        <w:t xml:space="preserve"> förespråkar i </w:t>
      </w:r>
      <w:r w:rsidRPr="006C40C1">
        <w:rPr>
          <w:i/>
        </w:rPr>
        <w:t>motion Fi231</w:t>
      </w:r>
      <w:r w:rsidRPr="006C40C1">
        <w:t xml:space="preserve"> en omformulering av målet för biståndet. Biståndsmålet bör relateras till vad man vill åstadkomma i stället för att via anknytningen till BNI lägga tyngdpunkt på hur mycket som spenderas. Enligt motionärerna kan man i och med detta minska biståndet under de närmaste åren.</w:t>
      </w:r>
    </w:p>
    <w:p w:rsidR="00AA5D77" w:rsidRPr="006C40C1" w:rsidRDefault="00AA5D77">
      <w:pPr>
        <w:pStyle w:val="Normaltindrag"/>
      </w:pPr>
      <w:r w:rsidRPr="006C40C1">
        <w:rPr>
          <w:i/>
        </w:rPr>
        <w:t>Folkpartiet liberalerna</w:t>
      </w:r>
      <w:r w:rsidRPr="006C40C1">
        <w:t xml:space="preserve"> anser i </w:t>
      </w:r>
      <w:r w:rsidRPr="006C40C1">
        <w:rPr>
          <w:i/>
        </w:rPr>
        <w:t>motion Fi232</w:t>
      </w:r>
      <w:r w:rsidRPr="006C40C1">
        <w:t xml:space="preserve"> att målet för biståndet bör återställas till 1 % av BNI senast år 2006. Ramen för utgiftsområdet föreslås därmed höjas utöver regeringens förslag för perioden 2003 och 2004.</w:t>
      </w:r>
    </w:p>
    <w:p w:rsidR="00AA5D77" w:rsidRPr="006C40C1" w:rsidRDefault="00AA5D77">
      <w:pPr>
        <w:pStyle w:val="Normaltindrag"/>
      </w:pPr>
      <w:r w:rsidRPr="006C40C1">
        <w:rPr>
          <w:i/>
        </w:rPr>
        <w:t>Kristdemokraterna</w:t>
      </w:r>
      <w:r w:rsidRPr="006C40C1">
        <w:t xml:space="preserve"> redovisar i </w:t>
      </w:r>
      <w:r w:rsidRPr="006C40C1">
        <w:rPr>
          <w:i/>
        </w:rPr>
        <w:t>motion Fi233</w:t>
      </w:r>
      <w:r w:rsidRPr="006C40C1">
        <w:t xml:space="preserve"> ökade ambitioner inom flera biståndsområden. Motionärerna anser att regeringens tillväxttakt mot 1 % av BNI i internationellt bistånd är för långsam och att det finns skäl och möjli</w:t>
      </w:r>
      <w:r w:rsidRPr="006C40C1">
        <w:t>g</w:t>
      </w:r>
      <w:r w:rsidRPr="006C40C1">
        <w:t>heter för att öka biståndet ytterligare under denna budgetperiod.</w:t>
      </w:r>
    </w:p>
    <w:p w:rsidR="00AA5D77" w:rsidRPr="006C40C1" w:rsidRDefault="00AA5D77">
      <w:pPr>
        <w:pStyle w:val="Normaltindrag"/>
      </w:pPr>
      <w:r w:rsidRPr="006C40C1">
        <w:rPr>
          <w:i/>
        </w:rPr>
        <w:t>Centerpartiet</w:t>
      </w:r>
      <w:r w:rsidRPr="006C40C1">
        <w:t xml:space="preserve">  föreslår i </w:t>
      </w:r>
      <w:r w:rsidRPr="006C40C1">
        <w:rPr>
          <w:i/>
        </w:rPr>
        <w:t>motion Fi234</w:t>
      </w:r>
      <w:r w:rsidRPr="006C40C1">
        <w:t xml:space="preserve">  en ökning av ramen för bistånd</w:t>
      </w:r>
      <w:r w:rsidRPr="006C40C1">
        <w:t>s</w:t>
      </w:r>
      <w:r w:rsidRPr="006C40C1">
        <w:t>verksamheten för att målet om biståndsnivån på 1% av BNI ska kunna nås i en snabb och jämn takt.</w:t>
      </w:r>
    </w:p>
    <w:p w:rsidR="00AA5D77" w:rsidRPr="006C40C1" w:rsidRDefault="00AA5D77">
      <w:pPr>
        <w:pStyle w:val="Rubrik4"/>
        <w:rPr>
          <w:noProof w:val="0"/>
        </w:rPr>
      </w:pPr>
      <w:bookmarkStart w:id="581" w:name="_Toc26191537"/>
      <w:r w:rsidRPr="006C40C1">
        <w:rPr>
          <w:noProof w:val="0"/>
        </w:rPr>
        <w:t>Utrikesutskottets yttrande</w:t>
      </w:r>
      <w:bookmarkEnd w:id="581"/>
    </w:p>
    <w:p w:rsidR="00AA5D77" w:rsidRPr="006C40C1" w:rsidRDefault="00AA5D77">
      <w:r w:rsidRPr="006C40C1">
        <w:t xml:space="preserve">Utrikesutskottet anser i sitt yttrande (UU2y) att regeringens förslag avseende utgiftsområde 7 är väl avvägt, varför det bör tillstyrkas. I konsekvens härmed avstyrks motionerna vad avser såväl budgetåret 2003 som budgetåret 2004. </w:t>
      </w:r>
    </w:p>
    <w:p w:rsidR="00AA5D77" w:rsidRPr="006C40C1" w:rsidRDefault="00AA5D77">
      <w:pPr>
        <w:pStyle w:val="Normaltindrag"/>
      </w:pPr>
      <w:r w:rsidRPr="006C40C1">
        <w:t>I avvikande meningar tillstyrker företrädarna för Moderata samlingspartiet, Folkpartiet liberalerna, Kristdemokraterna samt Centerpartiet förslagen i respektive m</w:t>
      </w:r>
      <w:r w:rsidRPr="006C40C1">
        <w:t>o</w:t>
      </w:r>
      <w:r w:rsidRPr="006C40C1">
        <w:t>tion.</w:t>
      </w:r>
    </w:p>
    <w:p w:rsidR="00AA5D77" w:rsidRPr="006C40C1" w:rsidRDefault="00AA5D77">
      <w:pPr>
        <w:pStyle w:val="Rubrik4"/>
        <w:rPr>
          <w:noProof w:val="0"/>
        </w:rPr>
      </w:pPr>
      <w:bookmarkStart w:id="582" w:name="_Toc26191538"/>
      <w:r w:rsidRPr="006C40C1">
        <w:rPr>
          <w:noProof w:val="0"/>
        </w:rPr>
        <w:t>Finansutskottets ställningstagande</w:t>
      </w:r>
      <w:bookmarkEnd w:id="582"/>
    </w:p>
    <w:p w:rsidR="00AA5D77" w:rsidRPr="006C40C1" w:rsidRDefault="00AA5D77">
      <w:r w:rsidRPr="006C40C1">
        <w:t>Finansutskottet har tidigare i betänkandet (avsnitten 2.4.3 och 2.6) redovisat sin bedömning av fördelningen av utgifterna på utgiftsområden för budgetåret 2003. Utrikesutskottet har för sin del inte haft något att invända mot regerin</w:t>
      </w:r>
      <w:r w:rsidRPr="006C40C1">
        <w:t>g</w:t>
      </w:r>
      <w:r w:rsidRPr="006C40C1">
        <w:t>ens fö</w:t>
      </w:r>
      <w:r w:rsidRPr="006C40C1">
        <w:t>r</w:t>
      </w:r>
      <w:r w:rsidRPr="006C40C1">
        <w:t>slag till ram för utgiftsområdet.</w:t>
      </w:r>
    </w:p>
    <w:p w:rsidR="00AA5D77" w:rsidRPr="006C40C1" w:rsidRDefault="00AA5D77">
      <w:pPr>
        <w:pStyle w:val="Normaltindrag"/>
      </w:pPr>
      <w:r w:rsidRPr="006C40C1">
        <w:t>Finansutskottet föreslår mot den bakgrunden att ramen för utgiftsområde 7 år 2003 fastställs till 17 140 miljoner kronor. Därmed tillstyrker utskottet prop</w:t>
      </w:r>
      <w:r w:rsidRPr="006C40C1">
        <w:t>o</w:t>
      </w:r>
      <w:r w:rsidRPr="006C40C1">
        <w:t>sitionen och avstyrker motionärernas förslag till alternativa ramar.</w:t>
      </w:r>
    </w:p>
    <w:p w:rsidR="00AA5D77" w:rsidRPr="006C40C1" w:rsidRDefault="00AA5D77">
      <w:pPr>
        <w:pStyle w:val="Rubrik3"/>
        <w:rPr>
          <w:noProof w:val="0"/>
        </w:rPr>
      </w:pPr>
      <w:bookmarkStart w:id="583" w:name="_Toc25397624"/>
      <w:bookmarkStart w:id="584" w:name="_Toc26191539"/>
      <w:r w:rsidRPr="006C40C1">
        <w:rPr>
          <w:noProof w:val="0"/>
        </w:rPr>
        <w:t>4.1.8 Utgiftsområde 8 Invandrare och flyktingar</w:t>
      </w:r>
      <w:bookmarkEnd w:id="583"/>
      <w:bookmarkEnd w:id="584"/>
    </w:p>
    <w:p w:rsidR="00AA5D77" w:rsidRPr="006C40C1" w:rsidRDefault="00AA5D77">
      <w:r w:rsidRPr="006C40C1">
        <w:t xml:space="preserve">Utgiftsområdet omfattar migrationspolitik med frågor rörande flyktingpolitik, invandringen till Sverige, mottagande av asylsökande och utlänningarnas rätt att vistas i Sverige samt internationellt samarbete på det migrationspolitiska området. </w:t>
      </w:r>
    </w:p>
    <w:p w:rsidR="00AA5D77" w:rsidRPr="006C40C1" w:rsidRDefault="00AA5D77">
      <w:pPr>
        <w:pStyle w:val="Normaltindrag"/>
      </w:pPr>
      <w:r w:rsidRPr="006C40C1">
        <w:t>Utgiftsområdet omfattar också integrationspolitik med frågor rörande i</w:t>
      </w:r>
      <w:r w:rsidRPr="006C40C1">
        <w:t>n</w:t>
      </w:r>
      <w:r w:rsidRPr="006C40C1">
        <w:t>vandrares introduktion i Sverige, ersättning till kommunerna för mottagande av flyktingar, åtgärder mot etnisk diskriminering, främlingsfientlighet och rasism, insatser för nationella minoriteter samt insatser för att främja utvec</w:t>
      </w:r>
      <w:r w:rsidRPr="006C40C1">
        <w:t>k</w:t>
      </w:r>
      <w:r w:rsidRPr="006C40C1">
        <w:t>lingen av utsatta bostadsområden.</w:t>
      </w:r>
    </w:p>
    <w:p w:rsidR="00AA5D77" w:rsidRPr="006C40C1" w:rsidRDefault="00AA5D77">
      <w:pPr>
        <w:pStyle w:val="Normaltindrag"/>
      </w:pPr>
      <w:r w:rsidRPr="006C40C1">
        <w:t>De totala utgifterna för utgiftsområdet 2002 beräknas uppgå till 6 706 miljoner kronor.</w:t>
      </w:r>
    </w:p>
    <w:p w:rsidR="00AA5D77" w:rsidRPr="006C40C1" w:rsidRDefault="00AA5D77">
      <w:pPr>
        <w:pStyle w:val="Rubrik4"/>
        <w:rPr>
          <w:noProof w:val="0"/>
        </w:rPr>
      </w:pPr>
      <w:bookmarkStart w:id="585" w:name="_Toc26191540"/>
      <w:r w:rsidRPr="006C40C1">
        <w:rPr>
          <w:noProof w:val="0"/>
        </w:rPr>
        <w:t>Budgetpropositionen</w:t>
      </w:r>
      <w:bookmarkEnd w:id="585"/>
    </w:p>
    <w:p w:rsidR="00AA5D77" w:rsidRPr="006C40C1" w:rsidRDefault="00AA5D77">
      <w:r w:rsidRPr="006C40C1">
        <w:t>I budgetpropositionen (avsnitt 6.3) redovisar regeringen att anslagen för mot</w:t>
      </w:r>
      <w:r w:rsidRPr="006C40C1">
        <w:t>t</w:t>
      </w:r>
      <w:r w:rsidRPr="006C40C1">
        <w:t>agande av asylsökande samt kommunersättningar vid flyktingmottagande ökar med drygt 1 680 miljoner kronor 2003 och knappt 2 170 miljoner kronor 2004 jämfört med 2002 års ekonomiska vårproposition. Förändringen förkl</w:t>
      </w:r>
      <w:r w:rsidRPr="006C40C1">
        <w:t>a</w:t>
      </w:r>
      <w:r w:rsidRPr="006C40C1">
        <w:t>ras huvudsakligen av volymförändringar till följd av förväntad ökning i ant</w:t>
      </w:r>
      <w:r w:rsidRPr="006C40C1">
        <w:t>a</w:t>
      </w:r>
      <w:r w:rsidRPr="006C40C1">
        <w:t>let asylsökande. Samtidigt ökas anslagen för Migrationsverket och Utlä</w:t>
      </w:r>
      <w:r w:rsidRPr="006C40C1">
        <w:t>n</w:t>
      </w:r>
      <w:r w:rsidRPr="006C40C1">
        <w:t>ningsnämnden med 155 miljoner kronor per år i syfte att minska handläg</w:t>
      </w:r>
      <w:r w:rsidRPr="006C40C1">
        <w:t>g</w:t>
      </w:r>
      <w:r w:rsidRPr="006C40C1">
        <w:t>ningst</w:t>
      </w:r>
      <w:r w:rsidRPr="006C40C1">
        <w:t>i</w:t>
      </w:r>
      <w:r w:rsidRPr="006C40C1">
        <w:t>der och därmed väntetider vid behandlingen av utlänningsärenden.</w:t>
      </w:r>
    </w:p>
    <w:p w:rsidR="00AA5D77" w:rsidRPr="006C40C1" w:rsidRDefault="00AA5D77">
      <w:pPr>
        <w:pStyle w:val="Normaltindrag"/>
      </w:pPr>
      <w:r w:rsidRPr="006C40C1">
        <w:t>Propo</w:t>
      </w:r>
      <w:r w:rsidRPr="006C40C1">
        <w:t>sitionens och riksdagspartiernas förslag till ramnivå för utgiftsomr</w:t>
      </w:r>
      <w:r w:rsidRPr="006C40C1">
        <w:t>å</w:t>
      </w:r>
      <w:r w:rsidRPr="006C40C1">
        <w:t>det under åren 2003 och 2004 redovisas i efterföljande tabell.</w:t>
      </w:r>
    </w:p>
    <w:p w:rsidR="00AA5D77" w:rsidRPr="006C40C1" w:rsidRDefault="00AA5D77">
      <w:pPr>
        <w:pStyle w:val="FiU1tabellrubrik2000"/>
        <w:keepLines/>
        <w:outlineLvl w:val="0"/>
      </w:pPr>
      <w:r w:rsidRPr="006C40C1">
        <w:t>Förslag till ram för utgiftsområde 8 Invandrare och flyktingar</w:t>
      </w:r>
    </w:p>
    <w:p w:rsidR="00AA5D77" w:rsidRPr="006C40C1" w:rsidRDefault="00AA5D77">
      <w:pPr>
        <w:pStyle w:val="Tabell"/>
        <w:keepLines/>
        <w:spacing w:after="40"/>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r w:rsidRPr="006C40C1">
        <w:rPr>
          <w:noProof/>
        </w:rPr>
        <w:drawing>
          <wp:inline distT="0" distB="0" distL="0" distR="0">
            <wp:extent cx="3771900" cy="800100"/>
            <wp:effectExtent l="0" t="0" r="0" b="0"/>
            <wp:docPr id="63" name="Bild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inline>
        </w:drawing>
      </w:r>
    </w:p>
    <w:p w:rsidR="00AA5D77" w:rsidRPr="006C40C1" w:rsidRDefault="00AA5D77">
      <w:pPr>
        <w:pStyle w:val="Rubrik4"/>
        <w:rPr>
          <w:i w:val="0"/>
          <w:noProof w:val="0"/>
          <w:sz w:val="14"/>
        </w:rPr>
      </w:pPr>
      <w:bookmarkStart w:id="586" w:name="_Toc26191541"/>
      <w:r w:rsidRPr="006C40C1">
        <w:rPr>
          <w:i w:val="0"/>
          <w:noProof w:val="0"/>
          <w:sz w:val="14"/>
          <w:vertAlign w:val="superscript"/>
        </w:rPr>
        <w:t>1</w:t>
      </w:r>
      <w:r w:rsidRPr="006C40C1">
        <w:rPr>
          <w:i w:val="0"/>
          <w:noProof w:val="0"/>
          <w:sz w:val="14"/>
        </w:rPr>
        <w:t>Anslaget 10:5 Ombudsmannen mot etnisk diskriminering tillförs 0,1 miljon kronor.</w:t>
      </w:r>
      <w:bookmarkEnd w:id="586"/>
    </w:p>
    <w:p w:rsidR="00AA5D77" w:rsidRPr="006C40C1" w:rsidRDefault="00AA5D77">
      <w:pPr>
        <w:pStyle w:val="Rubrik4"/>
        <w:rPr>
          <w:noProof w:val="0"/>
        </w:rPr>
      </w:pPr>
      <w:bookmarkStart w:id="587" w:name="_Toc26191542"/>
      <w:r w:rsidRPr="006C40C1">
        <w:rPr>
          <w:noProof w:val="0"/>
        </w:rPr>
        <w:t>Motionerna</w:t>
      </w:r>
      <w:bookmarkEnd w:id="587"/>
    </w:p>
    <w:p w:rsidR="00AA5D77" w:rsidRPr="006C40C1" w:rsidRDefault="00AA5D77">
      <w:r w:rsidRPr="006C40C1">
        <w:rPr>
          <w:i/>
        </w:rPr>
        <w:t>Socialdemokraterna, Vänsterpartiet och Miljö</w:t>
      </w:r>
      <w:r w:rsidRPr="006C40C1">
        <w:rPr>
          <w:i/>
        </w:rPr>
        <w:softHyphen/>
        <w:t>partiet de gröna</w:t>
      </w:r>
      <w:r w:rsidRPr="006C40C1">
        <w:t xml:space="preserve"> framhåller i </w:t>
      </w:r>
      <w:r w:rsidRPr="006C40C1">
        <w:rPr>
          <w:i/>
        </w:rPr>
        <w:t>motion Fi230</w:t>
      </w:r>
      <w:r w:rsidRPr="006C40C1">
        <w:t xml:space="preserve"> att den nya diskrimineringslagstiftningen som träder i kraft den 1 juni 2003 kommer att leda till att Diskrimineringsombudsmannen får utök</w:t>
      </w:r>
      <w:r w:rsidRPr="006C40C1">
        <w:t>a</w:t>
      </w:r>
      <w:r w:rsidRPr="006C40C1">
        <w:t>de arbetsuppgifter. Dessutom har Diskrimineringsombudsmannen fr.o.m. den 1 mars 2002 ansvar för tillsyn enligt lagen om likabehandling av studenter i högskolan. Motionärerna föreslår därför att anslaget 10:5 inom utgiftsområdet tillförs 0,1 miljon kr</w:t>
      </w:r>
      <w:r w:rsidRPr="006C40C1">
        <w:t>o</w:t>
      </w:r>
      <w:r w:rsidRPr="006C40C1">
        <w:t>nor 2003 utöver regeringens förslag.</w:t>
      </w:r>
    </w:p>
    <w:p w:rsidR="00AA5D77" w:rsidRPr="006C40C1" w:rsidRDefault="00AA5D77">
      <w:pPr>
        <w:pStyle w:val="Normaltindrag"/>
      </w:pPr>
      <w:r w:rsidRPr="006C40C1">
        <w:rPr>
          <w:i/>
        </w:rPr>
        <w:t>Moderata samlingspartiet</w:t>
      </w:r>
      <w:r w:rsidRPr="006C40C1">
        <w:t xml:space="preserve"> föreslår i </w:t>
      </w:r>
      <w:r w:rsidRPr="006C40C1">
        <w:rPr>
          <w:i/>
        </w:rPr>
        <w:t>motion Fi231</w:t>
      </w:r>
      <w:r w:rsidRPr="006C40C1">
        <w:t xml:space="preserve"> att Integrationsverket läggs ned, samtidigt som anslaget för integrationsåtgärder avvecklas. Den kraftiga ökningen av hemutrustningslån avvisas med hänvisning till partiets förslag till avreglering av den svenska arbetsmarknaden och bostadsmarkn</w:t>
      </w:r>
      <w:r w:rsidRPr="006C40C1">
        <w:t>a</w:t>
      </w:r>
      <w:r w:rsidRPr="006C40C1">
        <w:t>den som enligt motionärerna skulle öka den sociala och geografiska rörligh</w:t>
      </w:r>
      <w:r w:rsidRPr="006C40C1">
        <w:t>e</w:t>
      </w:r>
      <w:r w:rsidRPr="006C40C1">
        <w:t xml:space="preserve">ten i det svenska samhället och därmed bryta utanförskapet. Därutöver vill man pröva andra alternativ för att öka förutsättningarna för arbete, bättre utbildning och </w:t>
      </w:r>
      <w:r w:rsidRPr="006C40C1">
        <w:t>social rörlighet, varför anslaget för utvecklingsinsatser i sto</w:t>
      </w:r>
      <w:r w:rsidRPr="006C40C1">
        <w:t>r</w:t>
      </w:r>
      <w:r w:rsidRPr="006C40C1">
        <w:t>stadsregionerna kan avvecklas. Arbetsuppgifterna för ombudsmannen mot etnisk diskriminering föreslås samtidigt flyttas till en gemensam diskrimin</w:t>
      </w:r>
      <w:r w:rsidRPr="006C40C1">
        <w:t>e</w:t>
      </w:r>
      <w:r w:rsidRPr="006C40C1">
        <w:t>ringsmyndighet inom utgiftsområde 14 Arbetsliv.</w:t>
      </w:r>
    </w:p>
    <w:p w:rsidR="00AA5D77" w:rsidRPr="006C40C1" w:rsidRDefault="00AA5D77">
      <w:pPr>
        <w:pStyle w:val="Normaltindrag"/>
      </w:pPr>
      <w:r w:rsidRPr="006C40C1">
        <w:rPr>
          <w:i/>
        </w:rPr>
        <w:t>Folkpartiet liberalerna</w:t>
      </w:r>
      <w:r w:rsidRPr="006C40C1">
        <w:t xml:space="preserve"> anser i </w:t>
      </w:r>
      <w:r w:rsidRPr="006C40C1">
        <w:rPr>
          <w:i/>
        </w:rPr>
        <w:t>motion Fi232</w:t>
      </w:r>
      <w:r w:rsidRPr="006C40C1">
        <w:t xml:space="preserve"> att handlingstiderna kan fö</w:t>
      </w:r>
      <w:r w:rsidRPr="006C40C1">
        <w:t>r</w:t>
      </w:r>
      <w:r w:rsidRPr="006C40C1">
        <w:t>kortas och kostnaderna inom utgiftsområdet minskas genom ökade satsningar på behandling av asylärenden. Dessutom ska bristerna i mottagningssystemet för asylsökande åtgärdas genom förbättrade jobb- och utvecklingsmöjligheter samt bättre svenskundervisning enligt partiets program för ökad integration i Sverige. Vidare föreslås att anslaget Utvecklingsinsatser i storstadsregionerna kan upphöra snabbare än regeringen föreslagit samt att Integrationsverket kan m</w:t>
      </w:r>
      <w:r w:rsidRPr="006C40C1">
        <w:t>inska i omfattning.</w:t>
      </w:r>
    </w:p>
    <w:p w:rsidR="00AA5D77" w:rsidRPr="006C40C1" w:rsidRDefault="00AA5D77">
      <w:pPr>
        <w:pStyle w:val="Normaltindrag"/>
      </w:pPr>
      <w:r w:rsidRPr="006C40C1">
        <w:rPr>
          <w:i/>
        </w:rPr>
        <w:t>Kristdemokraterna</w:t>
      </w:r>
      <w:r w:rsidRPr="006C40C1">
        <w:t xml:space="preserve"> förespråkar i</w:t>
      </w:r>
      <w:r w:rsidRPr="006C40C1">
        <w:rPr>
          <w:i/>
        </w:rPr>
        <w:t xml:space="preserve"> motion Fi233</w:t>
      </w:r>
      <w:r w:rsidRPr="006C40C1">
        <w:t xml:space="preserve"> att anslaget Utvecklingsi</w:t>
      </w:r>
      <w:r w:rsidRPr="006C40C1">
        <w:t>n</w:t>
      </w:r>
      <w:r w:rsidRPr="006C40C1">
        <w:t>satser i storstadsregionerna samt försöket med lokala diskrimineringso</w:t>
      </w:r>
      <w:r w:rsidRPr="006C40C1">
        <w:t>m</w:t>
      </w:r>
      <w:r w:rsidRPr="006C40C1">
        <w:t xml:space="preserve">budsmän avvecklas. Motionärerna föreslår dessutom att Integrationsverket läggs ned från den 1 juni 2003, samtidigt som vissa av verkets uppgifter övertas av Migrationsverket och ombudsmannen för etnisk diskriminering. Ramen för utgiftsområdet beräknas minska också till följd av förslagen om individuell utvecklingspeng via utgiftsområde 10 Ekonomisk trygghet vid sjukdom och handikapp, </w:t>
      </w:r>
      <w:r w:rsidRPr="006C40C1">
        <w:t>i stället för dagens förhandlingar och avtal om ko</w:t>
      </w:r>
      <w:r w:rsidRPr="006C40C1">
        <w:t>m</w:t>
      </w:r>
      <w:r w:rsidRPr="006C40C1">
        <w:t>munplacering av flyktingar. Vidare föreslås att Migrationsverket ej ska pröva uppehållstillstånd för adopterade samt nyfödda till föräldrar med uppehåll</w:t>
      </w:r>
      <w:r w:rsidRPr="006C40C1">
        <w:t>s</w:t>
      </w:r>
      <w:r w:rsidRPr="006C40C1">
        <w:t>tillstånd i Sverige.</w:t>
      </w:r>
    </w:p>
    <w:p w:rsidR="00AA5D77" w:rsidRPr="006C40C1" w:rsidRDefault="00AA5D77">
      <w:pPr>
        <w:pStyle w:val="Normaltindrag"/>
      </w:pPr>
      <w:r w:rsidRPr="006C40C1">
        <w:rPr>
          <w:i/>
        </w:rPr>
        <w:t>Centerpartiet</w:t>
      </w:r>
      <w:r w:rsidRPr="006C40C1">
        <w:t xml:space="preserve"> förordar i </w:t>
      </w:r>
      <w:r w:rsidRPr="006C40C1">
        <w:rPr>
          <w:i/>
        </w:rPr>
        <w:t>motion Fi234</w:t>
      </w:r>
      <w:r w:rsidRPr="006C40C1">
        <w:t xml:space="preserve"> effektivisering av mottagandet av asylsökande. Motionärerna anser att anslaget till kommuners flyktingmott</w:t>
      </w:r>
      <w:r w:rsidRPr="006C40C1">
        <w:t>a</w:t>
      </w:r>
      <w:r w:rsidRPr="006C40C1">
        <w:t>gande kan minskas, medan anslaget Utvecklingsinsatser i storstadsregionerna bör avvecklas. Vidare föreslås att Utlänningsnämnden avvecklas vid halvår</w:t>
      </w:r>
      <w:r w:rsidRPr="006C40C1">
        <w:t>s</w:t>
      </w:r>
      <w:r w:rsidRPr="006C40C1">
        <w:t>skiftet 2003.</w:t>
      </w:r>
    </w:p>
    <w:p w:rsidR="00AA5D77" w:rsidRPr="006C40C1" w:rsidRDefault="00AA5D77">
      <w:pPr>
        <w:pStyle w:val="Rubrik4"/>
        <w:rPr>
          <w:noProof w:val="0"/>
        </w:rPr>
      </w:pPr>
      <w:bookmarkStart w:id="588" w:name="_Toc26191543"/>
      <w:r w:rsidRPr="006C40C1">
        <w:rPr>
          <w:noProof w:val="0"/>
        </w:rPr>
        <w:t>Socialförsäkringsutskottets yttrande</w:t>
      </w:r>
      <w:bookmarkEnd w:id="588"/>
    </w:p>
    <w:p w:rsidR="00AA5D77" w:rsidRPr="006C40C1" w:rsidRDefault="00AA5D77">
      <w:r w:rsidRPr="006C40C1">
        <w:t xml:space="preserve">Socialförsäkringsutskottet framhåller i sitt yttrande (SfU1y) att det finns skäl för att utöka anslag 10:5 </w:t>
      </w:r>
      <w:r w:rsidRPr="006C40C1">
        <w:rPr>
          <w:i/>
        </w:rPr>
        <w:t>Ombudsmannen mot etnisk diskriminering</w:t>
      </w:r>
      <w:r w:rsidRPr="006C40C1">
        <w:t xml:space="preserve"> i enlighet med motion Fi230 (yrkande 1). Motion Fi230 (yrkande 1) tillstyrks i berörda delar. </w:t>
      </w:r>
    </w:p>
    <w:p w:rsidR="00AA5D77" w:rsidRPr="006C40C1" w:rsidRDefault="00AA5D77">
      <w:pPr>
        <w:pStyle w:val="Normaltindrag"/>
      </w:pPr>
      <w:r w:rsidRPr="006C40C1">
        <w:t>I övrigt delar socialförsäkringsutskottet regeringens bedömning av utgi</w:t>
      </w:r>
      <w:r w:rsidRPr="006C40C1">
        <w:t>f</w:t>
      </w:r>
      <w:r w:rsidRPr="006C40C1">
        <w:t>ternas storlek. So</w:t>
      </w:r>
      <w:r w:rsidRPr="006C40C1">
        <w:softHyphen/>
        <w:t>cialförsäkringsutskottet godtar därmed regeringens förslag till preliminär fördelning av utgifterna för 2004 och avstyrker alternativa förslag i motionerna.</w:t>
      </w:r>
    </w:p>
    <w:p w:rsidR="00AA5D77" w:rsidRPr="006C40C1" w:rsidRDefault="00AA5D77">
      <w:pPr>
        <w:pStyle w:val="Normaltindrag"/>
      </w:pPr>
      <w:r w:rsidRPr="006C40C1">
        <w:t>Företrädarna för Moderata samlingspartiet, Folkpartiet liberalerna, Kris</w:t>
      </w:r>
      <w:r w:rsidRPr="006C40C1">
        <w:t>t</w:t>
      </w:r>
      <w:r w:rsidRPr="006C40C1">
        <w:t>demokraterna samt Centerpartiet biträder i var sin avvikande mening sina partiers respektive förslag till ramnivå för utgiftso</w:t>
      </w:r>
      <w:r w:rsidRPr="006C40C1">
        <w:t>m</w:t>
      </w:r>
      <w:r w:rsidRPr="006C40C1">
        <w:t>rådet.</w:t>
      </w:r>
    </w:p>
    <w:p w:rsidR="00AA5D77" w:rsidRPr="006C40C1" w:rsidRDefault="00AA5D77">
      <w:pPr>
        <w:pStyle w:val="Rubrik4"/>
        <w:rPr>
          <w:noProof w:val="0"/>
        </w:rPr>
      </w:pPr>
      <w:bookmarkStart w:id="589" w:name="_Toc26191544"/>
      <w:r w:rsidRPr="006C40C1">
        <w:rPr>
          <w:noProof w:val="0"/>
        </w:rPr>
        <w:t>Finansutskottets ställningstagande</w:t>
      </w:r>
      <w:bookmarkEnd w:id="589"/>
    </w:p>
    <w:p w:rsidR="00AA5D77" w:rsidRPr="006C40C1" w:rsidRDefault="00AA5D77">
      <w:r w:rsidRPr="006C40C1">
        <w:t>Finansutskottet har tidigare i betänkandet (avsnitten 2.4.3 och 2.6) redovisat sin bedömning av fördelningen av utgifterna på utgiftsområden för budgetåret 2003. Finansutskottet delar socialförsäkringsutskottets uppfattning att det finns skäl för att utöka ramen för utgiftsområdet 2003 med 0,1 miljon kronor med hänsyn till ökade arbetsuppgifter för Diskrimineringsombudsmannen. Därmed biträder utskottet Socialdemokraternas, Vänsterpartiets och Milj</w:t>
      </w:r>
      <w:r w:rsidRPr="006C40C1">
        <w:t>ö</w:t>
      </w:r>
      <w:r w:rsidRPr="006C40C1">
        <w:t>partiet de grönas förslag i motion Fi230.</w:t>
      </w:r>
    </w:p>
    <w:p w:rsidR="00AA5D77" w:rsidRPr="006C40C1" w:rsidRDefault="00AA5D77">
      <w:pPr>
        <w:pStyle w:val="Normaltindrag"/>
      </w:pPr>
      <w:r w:rsidRPr="006C40C1">
        <w:t>Finansutskottet föreslår mot den bakgrunden att ramen för utgiftsområde 8 år 2003 fastställs till 7 128 miljoner kronor. Propositionens förslag till prel</w:t>
      </w:r>
      <w:r w:rsidRPr="006C40C1">
        <w:t>i</w:t>
      </w:r>
      <w:r w:rsidRPr="006C40C1">
        <w:t xml:space="preserve">minär fördelning av utgifterna för 2004 tillstyrks och motionernas förslag till alternativa ramar avstyrks </w:t>
      </w:r>
    </w:p>
    <w:p w:rsidR="00AA5D77" w:rsidRPr="006C40C1" w:rsidRDefault="00AA5D77">
      <w:pPr>
        <w:pStyle w:val="Rubrik3"/>
        <w:rPr>
          <w:noProof w:val="0"/>
        </w:rPr>
      </w:pPr>
      <w:bookmarkStart w:id="590" w:name="_Toc529614327"/>
      <w:bookmarkStart w:id="591" w:name="_Toc530479508"/>
      <w:bookmarkStart w:id="592" w:name="_Toc25397625"/>
      <w:bookmarkStart w:id="593" w:name="_Toc26191545"/>
      <w:r w:rsidRPr="006C40C1">
        <w:rPr>
          <w:noProof w:val="0"/>
        </w:rPr>
        <w:t>4.1.9 Utgiftsområde 9 Hälsovård, sjukvård och social omsorg</w:t>
      </w:r>
      <w:bookmarkEnd w:id="590"/>
      <w:bookmarkEnd w:id="591"/>
      <w:bookmarkEnd w:id="592"/>
      <w:bookmarkEnd w:id="593"/>
    </w:p>
    <w:p w:rsidR="00AA5D77" w:rsidRPr="006C40C1" w:rsidRDefault="00AA5D77">
      <w:r w:rsidRPr="006C40C1">
        <w:t>Utgiftsområdet omfattar verksamheterna hälsovård, sjukvård och social o</w:t>
      </w:r>
      <w:r w:rsidRPr="006C40C1">
        <w:t>m</w:t>
      </w:r>
      <w:r w:rsidRPr="006C40C1">
        <w:t>sorg. Statens utgifter för utgiftsområdet utgör en mindre del av de samlade offentliga utgifterna för hälso- och sjukvård och social omsorg. Huvudansv</w:t>
      </w:r>
      <w:r w:rsidRPr="006C40C1">
        <w:t>a</w:t>
      </w:r>
      <w:r w:rsidRPr="006C40C1">
        <w:t>ret för dessa verksamheter ligger hos kommuner och landsting. Statens stöd till den kommunala sektorn utgår till största delen från utgiftsområde 25 Al</w:t>
      </w:r>
      <w:r w:rsidRPr="006C40C1">
        <w:t>l</w:t>
      </w:r>
      <w:r w:rsidRPr="006C40C1">
        <w:t xml:space="preserve">männa bidrag till kommuner. </w:t>
      </w:r>
    </w:p>
    <w:p w:rsidR="00AA5D77" w:rsidRPr="006C40C1" w:rsidRDefault="00AA5D77">
      <w:pPr>
        <w:pStyle w:val="Normaltindrag"/>
      </w:pPr>
      <w:r w:rsidRPr="006C40C1">
        <w:t>För 2002 beräknas de totala utgifterna för utgiftsområdet uppgå till ca 31 562 miljoner kronor.</w:t>
      </w:r>
    </w:p>
    <w:p w:rsidR="00AA5D77" w:rsidRPr="006C40C1" w:rsidRDefault="00AA5D77">
      <w:pPr>
        <w:pStyle w:val="R4"/>
      </w:pPr>
      <w:r w:rsidRPr="006C40C1">
        <w:t>Budgetpropositionen</w:t>
      </w:r>
    </w:p>
    <w:p w:rsidR="00AA5D77" w:rsidRPr="006C40C1" w:rsidRDefault="00AA5D77">
      <w:r w:rsidRPr="006C40C1">
        <w:t>I budgetpropositionen (avsnitt 6.3) redovisar regeringen att förändringen av utgiftsområdesramen jämfört med beräkningen i 2002 års ekonomiska vå</w:t>
      </w:r>
      <w:r w:rsidRPr="006C40C1">
        <w:t>r</w:t>
      </w:r>
      <w:r w:rsidRPr="006C40C1">
        <w:t xml:space="preserve">proposition förklaras bl.a. av ökade utgifter för svenskars sjukvård i andra EU-länder. </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FiU1tabellrubrik2000"/>
        <w:keepNext/>
        <w:keepLines/>
        <w:outlineLvl w:val="0"/>
      </w:pPr>
      <w:r w:rsidRPr="006C40C1">
        <w:t>Förslag till ram för utgiftsområde 9 Hälsovård, sjukvård och social omsorg</w:t>
      </w:r>
    </w:p>
    <w:p w:rsidR="00AA5D77" w:rsidRPr="006C40C1" w:rsidRDefault="00AA5D77">
      <w:pPr>
        <w:pStyle w:val="Tabell"/>
        <w:keepNext/>
        <w:keepLines/>
        <w:spacing w:after="40"/>
        <w:outlineLvl w:val="0"/>
        <w:rPr>
          <w:rFonts w:ascii="Times New Roman" w:hAnsi="Times New Roman"/>
          <w:spacing w:val="0"/>
          <w:sz w:val="14"/>
        </w:rPr>
      </w:pPr>
      <w:r w:rsidRPr="006C40C1">
        <w:rPr>
          <w:rFonts w:ascii="Times New Roman" w:hAnsi="Times New Roman"/>
          <w:spacing w:val="0"/>
          <w:sz w:val="14"/>
        </w:rPr>
        <w:t>Belopp i miljoner kronor</w:t>
      </w:r>
    </w:p>
    <w:p w:rsidR="00AA5D77" w:rsidRPr="006C40C1" w:rsidRDefault="006C40C1">
      <w:pPr>
        <w:spacing w:line="240" w:lineRule="auto"/>
      </w:pPr>
      <w:r w:rsidRPr="006C40C1">
        <w:rPr>
          <w:noProof/>
        </w:rPr>
        <w:drawing>
          <wp:inline distT="0" distB="0" distL="0" distR="0">
            <wp:extent cx="3739515" cy="800100"/>
            <wp:effectExtent l="0" t="0" r="0" b="0"/>
            <wp:docPr id="64" name="Bild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739515" cy="800100"/>
                    </a:xfrm>
                    <a:prstGeom prst="rect">
                      <a:avLst/>
                    </a:prstGeom>
                    <a:noFill/>
                    <a:ln>
                      <a:noFill/>
                    </a:ln>
                  </pic:spPr>
                </pic:pic>
              </a:graphicData>
            </a:graphic>
          </wp:inline>
        </w:drawing>
      </w:r>
    </w:p>
    <w:p w:rsidR="00AA5D77" w:rsidRPr="006C40C1" w:rsidRDefault="00AA5D77">
      <w:pPr>
        <w:pStyle w:val="R4"/>
      </w:pPr>
      <w:r w:rsidRPr="006C40C1">
        <w:t xml:space="preserve">Motionerna </w:t>
      </w:r>
    </w:p>
    <w:p w:rsidR="00AA5D77" w:rsidRPr="006C40C1" w:rsidRDefault="00AA5D77">
      <w:r w:rsidRPr="006C40C1">
        <w:t xml:space="preserve">I en </w:t>
      </w:r>
      <w:r w:rsidRPr="006C40C1">
        <w:rPr>
          <w:i/>
        </w:rPr>
        <w:t>motion</w:t>
      </w:r>
      <w:r w:rsidRPr="006C40C1">
        <w:t xml:space="preserve"> från </w:t>
      </w:r>
      <w:r w:rsidRPr="006C40C1">
        <w:rPr>
          <w:i/>
        </w:rPr>
        <w:t xml:space="preserve">Socialdemokraterna, Vänsterpartiet och Miljöpartiet de gröna (Fi230) </w:t>
      </w:r>
      <w:r w:rsidRPr="006C40C1">
        <w:t>yrkande 1 föreslås att ramen för utgiftsområde 9 år 2003 ökas med 186 miljoner kronor</w:t>
      </w:r>
      <w:r w:rsidRPr="006C40C1">
        <w:rPr>
          <w:i/>
        </w:rPr>
        <w:t xml:space="preserve">. </w:t>
      </w:r>
      <w:r w:rsidRPr="006C40C1">
        <w:t>Motionärerna anser att det är av stor vikt att insa</w:t>
      </w:r>
      <w:r w:rsidRPr="006C40C1">
        <w:t>t</w:t>
      </w:r>
      <w:r w:rsidRPr="006C40C1">
        <w:t>serna för att minska ohälsan i arbetslivet genomförs, men ställer sig tve</w:t>
      </w:r>
      <w:r w:rsidRPr="006C40C1">
        <w:t>k</w:t>
      </w:r>
      <w:r w:rsidRPr="006C40C1">
        <w:t xml:space="preserve">samma till den besparing som görs i propositionen på de s.k. Dagmarmedlen. De vill därför öka anslaget 13:3 med 186 miljoner kronor för 2003. </w:t>
      </w:r>
    </w:p>
    <w:p w:rsidR="00AA5D77" w:rsidRPr="006C40C1" w:rsidRDefault="00AA5D77">
      <w:pPr>
        <w:pStyle w:val="Normaltindrag"/>
      </w:pPr>
      <w:r w:rsidRPr="006C40C1">
        <w:rPr>
          <w:i/>
        </w:rPr>
        <w:t>Moderata samlingspartiet</w:t>
      </w:r>
      <w:r w:rsidRPr="006C40C1">
        <w:t xml:space="preserve"> föreslår i</w:t>
      </w:r>
      <w:r w:rsidRPr="006C40C1">
        <w:rPr>
          <w:i/>
        </w:rPr>
        <w:t xml:space="preserve"> motion Fi231 </w:t>
      </w:r>
      <w:r w:rsidRPr="006C40C1">
        <w:t>att en nationell vårdg</w:t>
      </w:r>
      <w:r w:rsidRPr="006C40C1">
        <w:t>a</w:t>
      </w:r>
      <w:r w:rsidRPr="006C40C1">
        <w:t>ranti införs och avsätter under de nästkommande två åren 3,5 miljarder kronor för att införa denna. Garantin skall vara fullt införd efter två år. Den innebär att alla har en uttalad rätt att få vård inom senast tre månader efter det att behovet fastslagits. Det statliga apoteksmonopolet bör avvecklas. Högkos</w:t>
      </w:r>
      <w:r w:rsidRPr="006C40C1">
        <w:t>t</w:t>
      </w:r>
      <w:r w:rsidRPr="006C40C1">
        <w:t>nadsskyddet i tandvården bör förbättras och omfatta alla grupper. Det saml</w:t>
      </w:r>
      <w:r w:rsidRPr="006C40C1">
        <w:t>a</w:t>
      </w:r>
      <w:r w:rsidRPr="006C40C1">
        <w:t>de stödet till funktionshindrade, bl.a. assistansstödet, föreslås öka. Hand</w:t>
      </w:r>
      <w:r w:rsidRPr="006C40C1">
        <w:t>i</w:t>
      </w:r>
      <w:r w:rsidRPr="006C40C1">
        <w:t>ka</w:t>
      </w:r>
      <w:r w:rsidRPr="006C40C1">
        <w:t>pporganisationerna bör tillföras ytterligare medel och en hjälpmedelsg</w:t>
      </w:r>
      <w:r w:rsidRPr="006C40C1">
        <w:t>a</w:t>
      </w:r>
      <w:r w:rsidRPr="006C40C1">
        <w:t>ranti införas.</w:t>
      </w:r>
    </w:p>
    <w:p w:rsidR="00AA5D77" w:rsidRPr="006C40C1" w:rsidRDefault="00AA5D77">
      <w:pPr>
        <w:pStyle w:val="Normaltindrag"/>
      </w:pPr>
      <w:r w:rsidRPr="006C40C1">
        <w:rPr>
          <w:i/>
        </w:rPr>
        <w:t>Folkpartiet liberalerna</w:t>
      </w:r>
      <w:r w:rsidRPr="006C40C1">
        <w:t xml:space="preserve"> förespråkar i</w:t>
      </w:r>
      <w:r w:rsidRPr="006C40C1">
        <w:rPr>
          <w:i/>
        </w:rPr>
        <w:t xml:space="preserve"> motion Fi232</w:t>
      </w:r>
      <w:r w:rsidRPr="006C40C1">
        <w:t xml:space="preserve"> en ökning av ramen för utgiftsomrrådet. Folkpartiet föreslår omfattande satsningar på att underlätta för funktionshindrade att delta i samhällslivet. En tillgänglighetsreform bör påbörjas nästa år i syfte att göra allmänna miljöer mer tillgängliga för fun</w:t>
      </w:r>
      <w:r w:rsidRPr="006C40C1">
        <w:t>k</w:t>
      </w:r>
      <w:r w:rsidRPr="006C40C1">
        <w:t>tionshindrade. Systemet med personlig assistans bör föras över från komm</w:t>
      </w:r>
      <w:r w:rsidRPr="006C40C1">
        <w:t>u</w:t>
      </w:r>
      <w:r w:rsidRPr="006C40C1">
        <w:t>nerna till staten, samtidigt bör de tidigare erhållna rättigheterna vad gäller tillgång till assistans återställas. Medel avsedda för kommuner med höga kos</w:t>
      </w:r>
      <w:r w:rsidRPr="006C40C1">
        <w:t>tnader för stöd och service till funktionshindrade samt medel avsatta för särskilt kostnadskrävande insatser bör överföras från utgiftsområde 25 till utgiftsområde 9. Partiet föreslår satsningar för att uppfylla vårdgarantin, på anhörigvården liksom på alkohol- och narkotikapolitiska åtgärder. Åtgärder bör sättas in för att minska läkemedelskostn</w:t>
      </w:r>
      <w:r w:rsidRPr="006C40C1">
        <w:t>a</w:t>
      </w:r>
      <w:r w:rsidRPr="006C40C1">
        <w:t xml:space="preserve">derna. </w:t>
      </w:r>
    </w:p>
    <w:p w:rsidR="00AA5D77" w:rsidRPr="006C40C1" w:rsidRDefault="00AA5D77">
      <w:pPr>
        <w:pStyle w:val="Normaltindrag"/>
      </w:pPr>
      <w:r w:rsidRPr="006C40C1">
        <w:rPr>
          <w:i/>
        </w:rPr>
        <w:t xml:space="preserve">Kristdemokraterna </w:t>
      </w:r>
      <w:r w:rsidRPr="006C40C1">
        <w:t xml:space="preserve">föreslår i </w:t>
      </w:r>
      <w:r w:rsidRPr="006C40C1">
        <w:rPr>
          <w:i/>
        </w:rPr>
        <w:t xml:space="preserve">motion Fi233 </w:t>
      </w:r>
      <w:r w:rsidRPr="006C40C1">
        <w:t>en satsning på kommunernas utvecklingsarbete med anhörigvårdare. Resurser avsätts för forskning kring palliativ medicin. Motionärerna vill också öka anslaget till bilstöd. Kristd</w:t>
      </w:r>
      <w:r w:rsidRPr="006C40C1">
        <w:t>e</w:t>
      </w:r>
      <w:r w:rsidRPr="006C40C1">
        <w:t>mokraterna avsätter 2 miljarder kronor 2003 och 1,5 miljarder kronor 2004 till en nationell vårdgaranti. Ett nytt anslag föreslås för landets kvinnojourer. Kristdemokraterna föreslår besparingar och effektiviseringar på flera my</w:t>
      </w:r>
      <w:r w:rsidRPr="006C40C1">
        <w:t>n</w:t>
      </w:r>
      <w:r w:rsidRPr="006C40C1">
        <w:t>digheters administration. Vidare föreslås anslaget till Forskningsrådet för arbe</w:t>
      </w:r>
      <w:r w:rsidRPr="006C40C1">
        <w:t>tsliv och socialvetenskap minskas eftersom partiets förslag till en rehab</w:t>
      </w:r>
      <w:r w:rsidRPr="006C40C1">
        <w:t>i</w:t>
      </w:r>
      <w:r w:rsidRPr="006C40C1">
        <w:t>literingsförsäkring under utgiftsområde 10 innehåller en betydande satsning på forskning kring arbetsliv och rehabilite</w:t>
      </w:r>
      <w:r w:rsidRPr="006C40C1">
        <w:t>r</w:t>
      </w:r>
      <w:r w:rsidRPr="006C40C1">
        <w:t xml:space="preserve">ing. </w:t>
      </w:r>
    </w:p>
    <w:p w:rsidR="00AA5D77" w:rsidRPr="006C40C1" w:rsidRDefault="00AA5D77">
      <w:pPr>
        <w:pStyle w:val="Normaltindrag"/>
      </w:pPr>
      <w:r w:rsidRPr="006C40C1">
        <w:rPr>
          <w:i/>
        </w:rPr>
        <w:t>Centerpartiet</w:t>
      </w:r>
      <w:r w:rsidRPr="006C40C1">
        <w:t xml:space="preserve"> föreslår i </w:t>
      </w:r>
      <w:r w:rsidRPr="006C40C1">
        <w:rPr>
          <w:i/>
        </w:rPr>
        <w:t xml:space="preserve">motion Fi234 </w:t>
      </w:r>
      <w:r w:rsidRPr="006C40C1">
        <w:t>att ytterligare 250 miljoner kronor anslås för genomförande av vårdgarantin och att 25 miljoner kronor avsätts till ett nationellt hälsonät. I övrigt föreslås besparingar på myndigh</w:t>
      </w:r>
      <w:r w:rsidRPr="006C40C1">
        <w:t>e</w:t>
      </w:r>
      <w:r w:rsidRPr="006C40C1">
        <w:t xml:space="preserve">ter. </w:t>
      </w:r>
    </w:p>
    <w:p w:rsidR="00AA5D77" w:rsidRPr="006C40C1" w:rsidRDefault="00AA5D77">
      <w:pPr>
        <w:pStyle w:val="R4"/>
      </w:pPr>
      <w:r w:rsidRPr="006C40C1">
        <w:t>Socialutskottets yttrande</w:t>
      </w:r>
    </w:p>
    <w:p w:rsidR="00AA5D77" w:rsidRPr="006C40C1" w:rsidRDefault="00AA5D77">
      <w:r w:rsidRPr="006C40C1">
        <w:t>Socialutskottet tillstyrker i sitt yttrande (SoU1y) regeringens förslag med den ändringen att utgiftsområdet tillförs 186 miljoner kronor i enlighet med m</w:t>
      </w:r>
      <w:r w:rsidRPr="006C40C1">
        <w:t>o</w:t>
      </w:r>
      <w:r w:rsidRPr="006C40C1">
        <w:t>tion Fi230 (s, v, mp) yrkande 1 i denna del och avstyrker moti</w:t>
      </w:r>
      <w:r w:rsidRPr="006C40C1">
        <w:t>o</w:t>
      </w:r>
      <w:r w:rsidRPr="006C40C1">
        <w:t>nerna i övrigt.</w:t>
      </w:r>
    </w:p>
    <w:p w:rsidR="00AA5D77" w:rsidRPr="006C40C1" w:rsidRDefault="00AA5D77">
      <w:pPr>
        <w:pStyle w:val="Normaltindrag"/>
      </w:pPr>
      <w:r w:rsidRPr="006C40C1">
        <w:t>Företrädarna för Moderata samlingspartiet, Kristdemokraterna, Centerpa</w:t>
      </w:r>
      <w:r w:rsidRPr="006C40C1">
        <w:t>r</w:t>
      </w:r>
      <w:r w:rsidRPr="006C40C1">
        <w:t>tiet och Folkpartiet liberalerna tillstyrker i avvikande meningar förslagen i respektive partimotion.</w:t>
      </w:r>
    </w:p>
    <w:p w:rsidR="00AA5D77" w:rsidRPr="006C40C1" w:rsidRDefault="00AA5D77">
      <w:pPr>
        <w:pStyle w:val="R4"/>
      </w:pPr>
      <w:r w:rsidRPr="006C40C1">
        <w:t xml:space="preserve">Finansutskottets ställningstagande </w:t>
      </w:r>
    </w:p>
    <w:p w:rsidR="00AA5D77" w:rsidRPr="006C40C1" w:rsidRDefault="00AA5D77">
      <w:r w:rsidRPr="006C40C1">
        <w:t>Finansutskottet har tidigare i betänkandet (avsnitten 2.4.3 och 2.6) redovisat sin bedömning av fördelningen av utgifterna på utgiftsområden för budgetåret 2003. Socialutskottet har för sin del tillstyrkt regeringens förslag till ram för utgiftsområdet med tillägg för m</w:t>
      </w:r>
      <w:r w:rsidRPr="006C40C1">
        <w:t>o</w:t>
      </w:r>
      <w:r w:rsidRPr="006C40C1">
        <w:t xml:space="preserve">tion Fi230 (s, v, mp) yrkande 1 i denna del. </w:t>
      </w:r>
    </w:p>
    <w:p w:rsidR="00AA5D77" w:rsidRPr="006C40C1" w:rsidRDefault="00AA5D77">
      <w:pPr>
        <w:pStyle w:val="Normaltindrag"/>
      </w:pPr>
      <w:r w:rsidRPr="006C40C1">
        <w:t>Finansutskottet föreslår därför att ramen för utgiftsområde 9 år 2003 fas</w:t>
      </w:r>
      <w:r w:rsidRPr="006C40C1">
        <w:t>t</w:t>
      </w:r>
      <w:r w:rsidRPr="006C40C1">
        <w:t>ställs till 33 357 miljoner kronor. Därmed tillstyrker utskottet propositionens förslag med den ändring som föreslås i motion Fi230 (s, v, mp) yrkande 1 i denna del och avstyrker övriga motioners förslag till alternativa ramar.</w:t>
      </w:r>
    </w:p>
    <w:p w:rsidR="00AA5D77" w:rsidRPr="006C40C1" w:rsidRDefault="00AA5D77">
      <w:pPr>
        <w:pStyle w:val="Rubrik3"/>
        <w:rPr>
          <w:noProof w:val="0"/>
        </w:rPr>
      </w:pPr>
      <w:bookmarkStart w:id="594" w:name="_Toc25397626"/>
      <w:bookmarkStart w:id="595" w:name="_Toc26191546"/>
      <w:r w:rsidRPr="006C40C1">
        <w:rPr>
          <w:noProof w:val="0"/>
        </w:rPr>
        <w:t>4.1.10 Utgiftsområde 10 Ekonomisk trygghet vid sjukdom och handikapp</w:t>
      </w:r>
      <w:bookmarkEnd w:id="594"/>
      <w:bookmarkEnd w:id="595"/>
    </w:p>
    <w:p w:rsidR="00AA5D77" w:rsidRPr="006C40C1" w:rsidRDefault="00AA5D77">
      <w:r w:rsidRPr="006C40C1">
        <w:t>Utgiftsområdet omfattar dels transfereringar med anknytning till sjukdom och handikapp, dels kostnaderna för socialförsäkringsadministration, dvs. Rik</w:t>
      </w:r>
      <w:r w:rsidRPr="006C40C1">
        <w:t>s</w:t>
      </w:r>
      <w:r w:rsidRPr="006C40C1">
        <w:t>försäkringsverket och de allmänna försäkringskassorna. Förmånerna ges i form av dagersättningar såsom sjukpenning, rehabiliteringspenning och nä</w:t>
      </w:r>
      <w:r w:rsidRPr="006C40C1">
        <w:t>r</w:t>
      </w:r>
      <w:r w:rsidRPr="006C40C1">
        <w:t>ståendepenning. Under utgiftsområdet redovisas även utgifterna för ATP i form av förtidspension, arbetsskadeersättningar m.m.</w:t>
      </w:r>
    </w:p>
    <w:p w:rsidR="00AA5D77" w:rsidRPr="006C40C1" w:rsidRDefault="00AA5D77">
      <w:pPr>
        <w:pStyle w:val="Normaltindrag"/>
      </w:pPr>
      <w:r w:rsidRPr="006C40C1">
        <w:t>De totala utgifterna för utgiftsområdet 2002 beräknas uppgå till 113 621 miljoner kronor.</w:t>
      </w:r>
    </w:p>
    <w:p w:rsidR="00AA5D77" w:rsidRPr="006C40C1" w:rsidRDefault="00AA5D77">
      <w:pPr>
        <w:pStyle w:val="Rubrik4"/>
        <w:rPr>
          <w:noProof w:val="0"/>
        </w:rPr>
      </w:pPr>
      <w:bookmarkStart w:id="596" w:name="_Toc26191547"/>
      <w:r w:rsidRPr="006C40C1">
        <w:rPr>
          <w:noProof w:val="0"/>
        </w:rPr>
        <w:t>Budgetpropositionen</w:t>
      </w:r>
      <w:bookmarkEnd w:id="596"/>
    </w:p>
    <w:p w:rsidR="00AA5D77" w:rsidRPr="006C40C1" w:rsidRDefault="00AA5D77">
      <w:r w:rsidRPr="006C40C1">
        <w:t>I budgetpropositionen (avsnitt 6.3) förklaras den höjda ramen för utgiftso</w:t>
      </w:r>
      <w:r w:rsidRPr="006C40C1">
        <w:t>m</w:t>
      </w:r>
      <w:r w:rsidRPr="006C40C1">
        <w:t>rådet jämfört med 2002 års ekonomiska vårproposition huvudsakligen av stigande utgifter för förtidspensioner, vilka fr.o.m. 2003 ersätts av aktivitet</w:t>
      </w:r>
      <w:r w:rsidRPr="006C40C1">
        <w:t>s</w:t>
      </w:r>
      <w:r w:rsidRPr="006C40C1">
        <w:t xml:space="preserve">ersättning och sjukersättning, samt sjukskrivningar. </w:t>
      </w:r>
    </w:p>
    <w:p w:rsidR="00AA5D77" w:rsidRPr="006C40C1" w:rsidRDefault="00AA5D77">
      <w:pPr>
        <w:pStyle w:val="Normaltindrag"/>
      </w:pPr>
      <w:r w:rsidRPr="006C40C1">
        <w:t>I den beräknade ramen ingår effekterna av en höjning av inkomsttaket i sjukförsäkringen från 7,5 till 10 prisbasbelopp som regeringen avser att för</w:t>
      </w:r>
      <w:r w:rsidRPr="006C40C1">
        <w:t>e</w:t>
      </w:r>
      <w:r w:rsidRPr="006C40C1">
        <w:t>slå om det statsfinansiella läget så medger. Utöver detta inräknar regeringen en höjning av sjukersättning och aktivitetsersättning som behövs för att ko</w:t>
      </w:r>
      <w:r w:rsidRPr="006C40C1">
        <w:t>m</w:t>
      </w:r>
      <w:r w:rsidRPr="006C40C1">
        <w:t>pensera att det särskilda grundavdraget för pensionärer slopas fr.o.m. 2003. Dessutom antas antalet personer som får förtidspe</w:t>
      </w:r>
      <w:r w:rsidRPr="006C40C1">
        <w:t>n</w:t>
      </w:r>
      <w:r w:rsidRPr="006C40C1">
        <w:t>sion öka.</w:t>
      </w:r>
    </w:p>
    <w:p w:rsidR="00AA5D77" w:rsidRPr="006C40C1" w:rsidRDefault="00AA5D77">
      <w:pPr>
        <w:pStyle w:val="Normaltindrag"/>
      </w:pPr>
      <w:r w:rsidRPr="006C40C1">
        <w:t>Regeringen aviserar också att den avser att  lägga förslag som bl.a. ökar arbetsgivarnas ekonomiska drivkrafter att arbeta för låg sjukfrånvaro och som tydliggör läkarnas roll vid sjukskrivningar. Åtgärderna antas medför</w:t>
      </w:r>
      <w:r w:rsidRPr="006C40C1">
        <w:t>a att antalet nettosjukdagar minskar med 10 % mellan 2002 och 2003 och med ytterligare 5 % under 2004.</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FiU1tabellrubrik2000"/>
        <w:keepLines/>
        <w:outlineLvl w:val="0"/>
      </w:pPr>
      <w:r w:rsidRPr="006C40C1">
        <w:t>Förslag till ram för utgiftsområde 10 Ekonomisk trygghet vid sjukdom</w:t>
      </w:r>
    </w:p>
    <w:p w:rsidR="00AA5D77" w:rsidRPr="006C40C1" w:rsidRDefault="00AA5D77">
      <w:pPr>
        <w:pStyle w:val="FiU1tabellrubrik2000"/>
        <w:keepLines/>
        <w:spacing w:before="0" w:line="240" w:lineRule="auto"/>
        <w:outlineLvl w:val="0"/>
      </w:pPr>
      <w:r w:rsidRPr="006C40C1">
        <w:t>och ha</w:t>
      </w:r>
      <w:r w:rsidRPr="006C40C1">
        <w:t>n</w:t>
      </w:r>
      <w:r w:rsidRPr="006C40C1">
        <w:t xml:space="preserve">dikapp </w:t>
      </w:r>
    </w:p>
    <w:p w:rsidR="00AA5D77" w:rsidRPr="006C40C1" w:rsidRDefault="00AA5D77">
      <w:pPr>
        <w:pStyle w:val="Tabell"/>
        <w:keepLines/>
        <w:spacing w:after="40"/>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r w:rsidRPr="006C40C1">
        <w:rPr>
          <w:noProof/>
        </w:rPr>
        <w:drawing>
          <wp:inline distT="0" distB="0" distL="0" distR="0">
            <wp:extent cx="3777615" cy="805815"/>
            <wp:effectExtent l="0" t="0" r="0" b="0"/>
            <wp:docPr id="65" name="Bild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Rubrik4"/>
        <w:rPr>
          <w:noProof w:val="0"/>
        </w:rPr>
      </w:pPr>
      <w:bookmarkStart w:id="597" w:name="_Toc26191548"/>
      <w:r w:rsidRPr="006C40C1">
        <w:rPr>
          <w:noProof w:val="0"/>
        </w:rPr>
        <w:t>Motionerna</w:t>
      </w:r>
      <w:bookmarkEnd w:id="597"/>
    </w:p>
    <w:p w:rsidR="00AA5D77" w:rsidRPr="006C40C1" w:rsidRDefault="00AA5D77">
      <w:r w:rsidRPr="006C40C1">
        <w:t xml:space="preserve">Förslagen i </w:t>
      </w:r>
      <w:r w:rsidRPr="006C40C1">
        <w:rPr>
          <w:i/>
        </w:rPr>
        <w:t xml:space="preserve">motion Fi230 </w:t>
      </w:r>
      <w:r w:rsidRPr="006C40C1">
        <w:t>från</w:t>
      </w:r>
      <w:r w:rsidRPr="006C40C1">
        <w:rPr>
          <w:i/>
        </w:rPr>
        <w:t xml:space="preserve"> Socialdemokraterna, Vänsterpartiet och Mi</w:t>
      </w:r>
      <w:r w:rsidRPr="006C40C1">
        <w:rPr>
          <w:i/>
        </w:rPr>
        <w:t>l</w:t>
      </w:r>
      <w:r w:rsidRPr="006C40C1">
        <w:rPr>
          <w:i/>
        </w:rPr>
        <w:t>jö</w:t>
      </w:r>
      <w:r w:rsidRPr="006C40C1">
        <w:rPr>
          <w:i/>
        </w:rPr>
        <w:softHyphen/>
        <w:t>partiet de gröna</w:t>
      </w:r>
      <w:r w:rsidRPr="006C40C1">
        <w:t xml:space="preserve"> berör inte utgiftsområde 10.</w:t>
      </w:r>
    </w:p>
    <w:p w:rsidR="00AA5D77" w:rsidRPr="006C40C1" w:rsidRDefault="00AA5D77">
      <w:pPr>
        <w:pStyle w:val="Normaltindrag"/>
      </w:pPr>
      <w:r w:rsidRPr="006C40C1">
        <w:rPr>
          <w:i/>
        </w:rPr>
        <w:t>Moderata samlingspartiet</w:t>
      </w:r>
      <w:r w:rsidRPr="006C40C1">
        <w:t xml:space="preserve"> föreslår i </w:t>
      </w:r>
      <w:r w:rsidRPr="006C40C1">
        <w:rPr>
          <w:i/>
        </w:rPr>
        <w:t>motion Fi231</w:t>
      </w:r>
      <w:r w:rsidRPr="006C40C1">
        <w:t xml:space="preserve"> att en andra karensdag införs den åttonde frånvarodagen och att den sjukpenninggrundande inkom</w:t>
      </w:r>
      <w:r w:rsidRPr="006C40C1">
        <w:t>s</w:t>
      </w:r>
      <w:r w:rsidRPr="006C40C1">
        <w:t>ten beräknas på ett genomsnitt av de två föregående årens inkomst. Den av regeringen aviserade höjningen av taket i sjukförsäkringen avvisas. Kostn</w:t>
      </w:r>
      <w:r w:rsidRPr="006C40C1">
        <w:t>a</w:t>
      </w:r>
      <w:r w:rsidRPr="006C40C1">
        <w:t>den för sjukskrivningarna anses vidare kunna minska med ökade satsningar på försäkringsmedicin och rehabiliteringsåtgärder, samtidigt som sjukskri</w:t>
      </w:r>
      <w:r w:rsidRPr="006C40C1">
        <w:t>v</w:t>
      </w:r>
      <w:r w:rsidRPr="006C40C1">
        <w:t>ningar som beror på trafikolyckor flyttas till den obligatoriska trafikskadefö</w:t>
      </w:r>
      <w:r w:rsidRPr="006C40C1">
        <w:t>r</w:t>
      </w:r>
      <w:r w:rsidRPr="006C40C1">
        <w:t xml:space="preserve">säkringen. Enligt </w:t>
      </w:r>
      <w:r w:rsidRPr="006C40C1">
        <w:t>motionärerna minskas antalet felaktiga förtidspensionerin</w:t>
      </w:r>
      <w:r w:rsidRPr="006C40C1">
        <w:t>g</w:t>
      </w:r>
      <w:r w:rsidRPr="006C40C1">
        <w:t>ar genom ökade kontrollinsatser, medan ett arbetsskadeobligatorium för a</w:t>
      </w:r>
      <w:r w:rsidRPr="006C40C1">
        <w:t>r</w:t>
      </w:r>
      <w:r w:rsidRPr="006C40C1">
        <w:t>betsgivare ger ökade incitament att förebygga arbet</w:t>
      </w:r>
      <w:r w:rsidRPr="006C40C1">
        <w:t>s</w:t>
      </w:r>
      <w:r w:rsidRPr="006C40C1">
        <w:t>skador.</w:t>
      </w:r>
    </w:p>
    <w:p w:rsidR="00AA5D77" w:rsidRPr="006C40C1" w:rsidRDefault="00AA5D77">
      <w:pPr>
        <w:pStyle w:val="Normaltindrag"/>
      </w:pPr>
      <w:r w:rsidRPr="006C40C1">
        <w:rPr>
          <w:i/>
        </w:rPr>
        <w:t>Folkpartiet liberalerna</w:t>
      </w:r>
      <w:r w:rsidRPr="006C40C1">
        <w:t xml:space="preserve"> anser i </w:t>
      </w:r>
      <w:r w:rsidRPr="006C40C1">
        <w:rPr>
          <w:i/>
        </w:rPr>
        <w:t>motion Fi232</w:t>
      </w:r>
      <w:r w:rsidRPr="006C40C1">
        <w:t xml:space="preserve"> att utgifterna för sjukfrånv</w:t>
      </w:r>
      <w:r w:rsidRPr="006C40C1">
        <w:t>a</w:t>
      </w:r>
      <w:r w:rsidRPr="006C40C1">
        <w:t>ron bör kunna minska kraftigt genom en betydande satsning på ökade rehab</w:t>
      </w:r>
      <w:r w:rsidRPr="006C40C1">
        <w:t>i</w:t>
      </w:r>
      <w:r w:rsidRPr="006C40C1">
        <w:t>literingsinsatser med finansiell samordning mellan sjukförsäkring och sju</w:t>
      </w:r>
      <w:r w:rsidRPr="006C40C1">
        <w:t>k</w:t>
      </w:r>
      <w:r w:rsidRPr="006C40C1">
        <w:t>vården (Finsam). Samtidigt föreslår motionärerna att den aviserade höjningen av taket i sjukförsäkringen förskjuts till den 1 januari 2004. Vidare föreslås att trafikförsäkringen tar över sjukpenningkostnader som förorsakas av traf</w:t>
      </w:r>
      <w:r w:rsidRPr="006C40C1">
        <w:t>i</w:t>
      </w:r>
      <w:r w:rsidRPr="006C40C1">
        <w:t>ken.</w:t>
      </w:r>
    </w:p>
    <w:p w:rsidR="00AA5D77" w:rsidRPr="006C40C1" w:rsidRDefault="00AA5D77">
      <w:pPr>
        <w:pStyle w:val="Normaltindrag"/>
      </w:pPr>
      <w:r w:rsidRPr="006C40C1">
        <w:rPr>
          <w:i/>
        </w:rPr>
        <w:t>Kristdemokraterna</w:t>
      </w:r>
      <w:r w:rsidRPr="006C40C1">
        <w:t xml:space="preserve"> förespråkar i </w:t>
      </w:r>
      <w:r w:rsidRPr="006C40C1">
        <w:rPr>
          <w:i/>
        </w:rPr>
        <w:t>motion 233</w:t>
      </w:r>
      <w:r w:rsidRPr="006C40C1">
        <w:t xml:space="preserve"> att en ny rehabiliteringsfö</w:t>
      </w:r>
      <w:r w:rsidRPr="006C40C1">
        <w:t>r</w:t>
      </w:r>
      <w:r w:rsidRPr="006C40C1">
        <w:t>säkring enligt förslaget från SOU 2000:78 organiseras från den 1 juli 2003. De ökade satsningarna på vård och omsorg bör enligt motionärerna finansi</w:t>
      </w:r>
      <w:r w:rsidRPr="006C40C1">
        <w:t>e</w:t>
      </w:r>
      <w:r w:rsidRPr="006C40C1">
        <w:t>ras genom två karensdagar i sjukförsäkringen, med ett högriskskydd på 10 dagar per år. Den ersättningsgrundande inkomsten ska samtidigt beräknas på snittinkomsten under de två senaste åren. Den av regeringen aviserade hö</w:t>
      </w:r>
      <w:r w:rsidRPr="006C40C1">
        <w:t>j</w:t>
      </w:r>
      <w:r w:rsidRPr="006C40C1">
        <w:t>ningen av taket i sjukförsäkringen avvisas, medan anslaget för Riksförsä</w:t>
      </w:r>
      <w:r w:rsidRPr="006C40C1">
        <w:t>k</w:t>
      </w:r>
      <w:r w:rsidRPr="006C40C1">
        <w:t>ringsverket utö</w:t>
      </w:r>
      <w:r w:rsidRPr="006C40C1">
        <w:t>kas med medel för en särskild utvecklingspeng för flyktingar. Vidare föreslår motionärerna en ny modell för trafikförsäkringen där samtliga personskadekostnader i samband med trafikolyckor förs över till trafikförsä</w:t>
      </w:r>
      <w:r w:rsidRPr="006C40C1">
        <w:t>k</w:t>
      </w:r>
      <w:r w:rsidRPr="006C40C1">
        <w:t>ringen.</w:t>
      </w:r>
    </w:p>
    <w:p w:rsidR="00AA5D77" w:rsidRPr="006C40C1" w:rsidRDefault="00AA5D77">
      <w:pPr>
        <w:pStyle w:val="Normaltindrag"/>
      </w:pPr>
      <w:r w:rsidRPr="006C40C1">
        <w:rPr>
          <w:i/>
        </w:rPr>
        <w:t>Centerpartiet</w:t>
      </w:r>
      <w:r w:rsidRPr="006C40C1">
        <w:t xml:space="preserve"> föreslår i </w:t>
      </w:r>
      <w:r w:rsidRPr="006C40C1">
        <w:rPr>
          <w:i/>
        </w:rPr>
        <w:t>motion Fi234</w:t>
      </w:r>
      <w:r w:rsidRPr="006C40C1">
        <w:t xml:space="preserve"> omfattande satsningar på rehabil</w:t>
      </w:r>
      <w:r w:rsidRPr="006C40C1">
        <w:t>i</w:t>
      </w:r>
      <w:r w:rsidRPr="006C40C1">
        <w:t>tering enligt förslaget från SOU 2000:78 med en rehabiliteringsgaranti, en nationell vårdgaranti samt ett nytt, differentierat arbetsgivaransvar för sjuke</w:t>
      </w:r>
      <w:r w:rsidRPr="006C40C1">
        <w:t>r</w:t>
      </w:r>
      <w:r w:rsidRPr="006C40C1">
        <w:t>sättningen. Dagens sjukförsäkring och arbetsskadeförsäkring ska samtidigt ersättas med en samordnad sjuk- och rehabiliteringsförsäkring där förmånst</w:t>
      </w:r>
      <w:r w:rsidRPr="006C40C1">
        <w:t>a</w:t>
      </w:r>
      <w:r w:rsidRPr="006C40C1">
        <w:t>garens rätt till och skyldighet att delta i rehabilitering jämställs med inkoms</w:t>
      </w:r>
      <w:r w:rsidRPr="006C40C1">
        <w:t>t</w:t>
      </w:r>
      <w:r w:rsidRPr="006C40C1">
        <w:t>trygghetsmålet.</w:t>
      </w:r>
    </w:p>
    <w:p w:rsidR="00AA5D77" w:rsidRPr="006C40C1" w:rsidRDefault="00AA5D77">
      <w:pPr>
        <w:pStyle w:val="Rubrik4"/>
        <w:rPr>
          <w:noProof w:val="0"/>
        </w:rPr>
      </w:pPr>
      <w:bookmarkStart w:id="598" w:name="_Toc26191549"/>
      <w:r w:rsidRPr="006C40C1">
        <w:rPr>
          <w:noProof w:val="0"/>
        </w:rPr>
        <w:t>Socialförsäkringsutskottets yttrande</w:t>
      </w:r>
      <w:bookmarkEnd w:id="598"/>
    </w:p>
    <w:p w:rsidR="00AA5D77" w:rsidRPr="006C40C1" w:rsidRDefault="00AA5D77">
      <w:r w:rsidRPr="006C40C1">
        <w:t>Socialförsäkringsutskottet anser i sitt yttrande (SfU1y) att utvecklingen av sjukfrånvaron är fortsatt alarmerade. Man inser svårigheten med att redan nu bedöma utvecklingen av sjukförsäkringsutgifterna 2003, särskilt då Riksfö</w:t>
      </w:r>
      <w:r w:rsidRPr="006C40C1">
        <w:t>r</w:t>
      </w:r>
      <w:r w:rsidRPr="006C40C1">
        <w:t>säkringsverket i sin senaste prognos för utgiftsutvecklingen för nästa år inte haft möjlighet att ta hänsyn till de av regeringen aviserade förslagen för att komma till rätta med problemet med den ökade sjukfrånvaron. Socialförsä</w:t>
      </w:r>
      <w:r w:rsidRPr="006C40C1">
        <w:t>k</w:t>
      </w:r>
      <w:r w:rsidRPr="006C40C1">
        <w:t>ringsutskottet konstaterar emellertid att regeringen i propositionen uppskattar att de aviserade förslagen medför att antalet sjukdagar minskar med 10 % och u</w:t>
      </w:r>
      <w:r w:rsidRPr="006C40C1">
        <w:t>t</w:t>
      </w:r>
      <w:r w:rsidRPr="006C40C1">
        <w:t xml:space="preserve">gifterna minskar med ca 5 miljarder kronor. </w:t>
      </w:r>
    </w:p>
    <w:p w:rsidR="00AA5D77" w:rsidRPr="006C40C1" w:rsidRDefault="00AA5D77">
      <w:pPr>
        <w:pStyle w:val="Normaltindrag"/>
      </w:pPr>
      <w:r w:rsidRPr="006C40C1">
        <w:t>Mot bakgrund härav godtar socialförsäkringsutskottet regeringens förslag till</w:t>
      </w:r>
      <w:r w:rsidRPr="006C40C1">
        <w:t xml:space="preserve"> utgiftsram för 2003 liksom förslaget till preliminär fördelning av utgifte</w:t>
      </w:r>
      <w:r w:rsidRPr="006C40C1">
        <w:t>r</w:t>
      </w:r>
      <w:r w:rsidRPr="006C40C1">
        <w:t>na för 2004. Företrädarna för Moderata samlingspartiet, Folkpartiet liberale</w:t>
      </w:r>
      <w:r w:rsidRPr="006C40C1">
        <w:t>r</w:t>
      </w:r>
      <w:r w:rsidRPr="006C40C1">
        <w:t>na, Kristdemokraterna samt Centerpartiet biträder i var sin avvikande mening sina partiers respektive förslag till ramnivå för utgiftsområdet.</w:t>
      </w:r>
    </w:p>
    <w:p w:rsidR="00AA5D77" w:rsidRPr="006C40C1" w:rsidRDefault="00AA5D77">
      <w:pPr>
        <w:pStyle w:val="Rubrik4"/>
        <w:rPr>
          <w:noProof w:val="0"/>
        </w:rPr>
      </w:pPr>
      <w:bookmarkStart w:id="599" w:name="_Toc26191550"/>
      <w:r w:rsidRPr="006C40C1">
        <w:rPr>
          <w:noProof w:val="0"/>
        </w:rPr>
        <w:t>Finansutskottets ställningstagande</w:t>
      </w:r>
      <w:bookmarkEnd w:id="599"/>
    </w:p>
    <w:p w:rsidR="00AA5D77" w:rsidRPr="006C40C1" w:rsidRDefault="00AA5D77">
      <w:r w:rsidRPr="006C40C1">
        <w:t>Finansutskottet har tidigare i betänkandet (avsnitten 2.4.3 och 2.6) redovisat sin bedömning av fördelningen av utgifterna på utgiftsområden för budgetåret 2003. Socialförsäkringsutskottet har för sin del inte haft något att invända mot regeringens fö</w:t>
      </w:r>
      <w:r w:rsidRPr="006C40C1">
        <w:t>r</w:t>
      </w:r>
      <w:r w:rsidRPr="006C40C1">
        <w:t>slag till ram för utgiftsområdet.</w:t>
      </w:r>
    </w:p>
    <w:p w:rsidR="00AA5D77" w:rsidRPr="006C40C1" w:rsidRDefault="00AA5D77">
      <w:pPr>
        <w:pStyle w:val="Normaltindrag"/>
      </w:pPr>
      <w:r w:rsidRPr="006C40C1">
        <w:t>Finansutskottet föreslår mot den bakgrunden att ramen för utgiftsområde 10 år 2003 fastställs till 119 399 miljoner kronor. Därmed tillstyrker utskottet propositi</w:t>
      </w:r>
      <w:r w:rsidRPr="006C40C1">
        <w:t>o</w:t>
      </w:r>
      <w:r w:rsidRPr="006C40C1">
        <w:t>nen och avstyrker motionärernas förslag till alternativa ramar.</w:t>
      </w:r>
    </w:p>
    <w:p w:rsidR="00AA5D77" w:rsidRPr="006C40C1" w:rsidRDefault="00AA5D77">
      <w:pPr>
        <w:pStyle w:val="Rubrik3"/>
        <w:rPr>
          <w:noProof w:val="0"/>
        </w:rPr>
      </w:pPr>
      <w:bookmarkStart w:id="600" w:name="_Toc25397627"/>
      <w:bookmarkStart w:id="601" w:name="_Toc26191551"/>
      <w:r w:rsidRPr="006C40C1">
        <w:rPr>
          <w:noProof w:val="0"/>
        </w:rPr>
        <w:t>4.1.11 Utgiftsområde 11 Ekonomisk trygghet vid ålderdom</w:t>
      </w:r>
      <w:bookmarkEnd w:id="600"/>
      <w:bookmarkEnd w:id="601"/>
    </w:p>
    <w:p w:rsidR="00AA5D77" w:rsidRPr="006C40C1" w:rsidRDefault="00AA5D77">
      <w:r w:rsidRPr="006C40C1">
        <w:t>Utgiftsområdet omfattar folkpension till ålderspensionärer som inte har rätt till tilläggspension (ATP), folkpension och ATP i form av efterlevandepe</w:t>
      </w:r>
      <w:r w:rsidRPr="006C40C1">
        <w:t>n</w:t>
      </w:r>
      <w:r w:rsidRPr="006C40C1">
        <w:t>sion, pensionstillskott såväl till ålderspension som till efterlevandepension, bostadstillägg till pensionärer (BTP) samt delpension.</w:t>
      </w:r>
    </w:p>
    <w:p w:rsidR="00AA5D77" w:rsidRPr="006C40C1" w:rsidRDefault="00AA5D77">
      <w:pPr>
        <w:pStyle w:val="Normaltindrag"/>
      </w:pPr>
      <w:r w:rsidRPr="006C40C1">
        <w:t>De totala utgifterna för utgiftsområdet 2002 beräknas uppgå till 33 766 miljoner kronor.</w:t>
      </w:r>
    </w:p>
    <w:p w:rsidR="00AA5D77" w:rsidRPr="006C40C1" w:rsidRDefault="00AA5D77">
      <w:pPr>
        <w:pStyle w:val="Rubrik4"/>
        <w:rPr>
          <w:noProof w:val="0"/>
        </w:rPr>
      </w:pPr>
      <w:bookmarkStart w:id="602" w:name="_Toc26191552"/>
      <w:r w:rsidRPr="006C40C1">
        <w:rPr>
          <w:noProof w:val="0"/>
        </w:rPr>
        <w:t>Budgetpropositionen</w:t>
      </w:r>
      <w:bookmarkEnd w:id="602"/>
    </w:p>
    <w:p w:rsidR="00AA5D77" w:rsidRPr="006C40C1" w:rsidRDefault="00AA5D77">
      <w:r w:rsidRPr="006C40C1">
        <w:t>I budgetpropositionen (avsnitt 6.3) förklaras att  ramen för utgiftsområdet ökar något jämfört med 2002 års ekonomiska vårproposition på grund av prognosj</w:t>
      </w:r>
      <w:r w:rsidRPr="006C40C1">
        <w:t>u</w:t>
      </w:r>
      <w:r w:rsidRPr="006C40C1">
        <w:t xml:space="preserve">steringar. </w:t>
      </w:r>
    </w:p>
    <w:p w:rsidR="00AA5D77" w:rsidRPr="006C40C1" w:rsidRDefault="00AA5D77">
      <w:pPr>
        <w:pStyle w:val="Normaltindrag"/>
      </w:pPr>
      <w:r w:rsidRPr="006C40C1">
        <w:t>Regeringen redovisar dessutom att utgiftsområdesramen beräknas öka med drygt 18,7 miljarder kronor mellan 2002 och 2003. Denna förändring förkl</w:t>
      </w:r>
      <w:r w:rsidRPr="006C40C1">
        <w:t>a</w:t>
      </w:r>
      <w:r w:rsidRPr="006C40C1">
        <w:t>ras av att utgifterna för den bosättningsbaserade delen av folkpensionen till pensionärer som även uppbär ATP förs över från ålderspensionssystemet vid sidan av statsbudgeten till utgiftsområde 11. Dessutom ersätts folkpension och pensionstillskott av en fullt beskattad garantipension, samtidigt som inkomstprövningen av folkpension från änkepension avskaffas och äldrefö</w:t>
      </w:r>
      <w:r w:rsidRPr="006C40C1">
        <w:t>r</w:t>
      </w:r>
      <w:r w:rsidRPr="006C40C1">
        <w:t>sörjningsstöd införs fr.o.m. den 1 januari 2003.</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FiU1tabellrubrik2000"/>
        <w:keepNext/>
        <w:keepLines/>
        <w:outlineLvl w:val="0"/>
      </w:pPr>
      <w:r w:rsidRPr="006C40C1">
        <w:t>Förslag till ram för utgiftsområde 11 Ekonomisk trygghet vid ålderdom</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pPr>
        <w:keepNext/>
      </w:pPr>
      <w:r w:rsidRPr="006C40C1">
        <w:rPr>
          <w:noProof/>
        </w:rPr>
        <w:drawing>
          <wp:inline distT="0" distB="0" distL="0" distR="0">
            <wp:extent cx="3777615" cy="805815"/>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Rubrik4"/>
        <w:rPr>
          <w:noProof w:val="0"/>
        </w:rPr>
      </w:pPr>
      <w:bookmarkStart w:id="603" w:name="_Toc26191553"/>
      <w:r w:rsidRPr="006C40C1">
        <w:rPr>
          <w:noProof w:val="0"/>
        </w:rPr>
        <w:t>Motionerna</w:t>
      </w:r>
      <w:bookmarkEnd w:id="603"/>
    </w:p>
    <w:p w:rsidR="00AA5D77" w:rsidRPr="006C40C1" w:rsidRDefault="00AA5D77">
      <w:r w:rsidRPr="006C40C1">
        <w:t xml:space="preserve">Förslagen i </w:t>
      </w:r>
      <w:r w:rsidRPr="006C40C1">
        <w:rPr>
          <w:i/>
        </w:rPr>
        <w:t xml:space="preserve">motion Fi230 </w:t>
      </w:r>
      <w:r w:rsidRPr="006C40C1">
        <w:t>från</w:t>
      </w:r>
      <w:r w:rsidRPr="006C40C1">
        <w:rPr>
          <w:i/>
        </w:rPr>
        <w:t xml:space="preserve"> Socialdemokraterna, Vänsterpartiet och Mi</w:t>
      </w:r>
      <w:r w:rsidRPr="006C40C1">
        <w:rPr>
          <w:i/>
        </w:rPr>
        <w:t>l</w:t>
      </w:r>
      <w:r w:rsidRPr="006C40C1">
        <w:rPr>
          <w:i/>
        </w:rPr>
        <w:t>jö</w:t>
      </w:r>
      <w:r w:rsidRPr="006C40C1">
        <w:rPr>
          <w:i/>
        </w:rPr>
        <w:softHyphen/>
        <w:t>partiet de gröna</w:t>
      </w:r>
      <w:r w:rsidRPr="006C40C1">
        <w:t xml:space="preserve"> berör inte utgiftsområde 11.</w:t>
      </w:r>
    </w:p>
    <w:p w:rsidR="00AA5D77" w:rsidRPr="006C40C1" w:rsidRDefault="00AA5D77">
      <w:pPr>
        <w:pStyle w:val="Normaltindrag"/>
      </w:pPr>
      <w:r w:rsidRPr="006C40C1">
        <w:rPr>
          <w:i/>
        </w:rPr>
        <w:t>Moderata samlingspartiet</w:t>
      </w:r>
      <w:r w:rsidRPr="006C40C1">
        <w:t xml:space="preserve"> anser i </w:t>
      </w:r>
      <w:r w:rsidRPr="006C40C1">
        <w:rPr>
          <w:i/>
        </w:rPr>
        <w:t>motion Fi231</w:t>
      </w:r>
      <w:r w:rsidRPr="006C40C1">
        <w:t xml:space="preserve"> att utformningen av b</w:t>
      </w:r>
      <w:r w:rsidRPr="006C40C1">
        <w:t>o</w:t>
      </w:r>
      <w:r w:rsidRPr="006C40C1">
        <w:t>stadstillägget till pensionärer har verkat kostnadsdrivande på framför allt kommunernas hyressättning. Därför föreslås att ett golv införs i bostadstillä</w:t>
      </w:r>
      <w:r w:rsidRPr="006C40C1">
        <w:t>g</w:t>
      </w:r>
      <w:r w:rsidRPr="006C40C1">
        <w:t xml:space="preserve">get, samtidigt som ersättningsnivån återställs till 90 % från nuvarande 91 %. </w:t>
      </w:r>
    </w:p>
    <w:p w:rsidR="00AA5D77" w:rsidRPr="006C40C1" w:rsidRDefault="00AA5D77">
      <w:pPr>
        <w:pStyle w:val="Normaltindrag"/>
      </w:pPr>
      <w:r w:rsidRPr="006C40C1">
        <w:rPr>
          <w:i/>
        </w:rPr>
        <w:t>Folkpartiet liberalerna</w:t>
      </w:r>
      <w:r w:rsidRPr="006C40C1">
        <w:t xml:space="preserve"> förespråkar i </w:t>
      </w:r>
      <w:r w:rsidRPr="006C40C1">
        <w:rPr>
          <w:i/>
        </w:rPr>
        <w:t>motion Fi232</w:t>
      </w:r>
      <w:r w:rsidRPr="006C40C1">
        <w:t xml:space="preserve"> att omställningspensi</w:t>
      </w:r>
      <w:r w:rsidRPr="006C40C1">
        <w:t>o</w:t>
      </w:r>
      <w:r w:rsidRPr="006C40C1">
        <w:t>nen utsträcks i tiden till att gälla i 12 månader. Vidare ska innehav av fritid</w:t>
      </w:r>
      <w:r w:rsidRPr="006C40C1">
        <w:t>s</w:t>
      </w:r>
      <w:r w:rsidRPr="006C40C1">
        <w:t>hus inte påverka bostadstillägg för pensionärer.</w:t>
      </w:r>
    </w:p>
    <w:p w:rsidR="00AA5D77" w:rsidRPr="006C40C1" w:rsidRDefault="00AA5D77">
      <w:pPr>
        <w:pStyle w:val="Normaltindrag"/>
      </w:pPr>
      <w:r w:rsidRPr="006C40C1">
        <w:rPr>
          <w:i/>
        </w:rPr>
        <w:t>Kristdemokraterna</w:t>
      </w:r>
      <w:r w:rsidRPr="006C40C1">
        <w:t xml:space="preserve"> förordar i </w:t>
      </w:r>
      <w:r w:rsidRPr="006C40C1">
        <w:rPr>
          <w:i/>
        </w:rPr>
        <w:t>motion Fi233</w:t>
      </w:r>
      <w:r w:rsidRPr="006C40C1">
        <w:t xml:space="preserve"> att omställningspensionen ska återställas till 12 månader i ett steg redan från den 1 juli 2003. Motionärerna anser vidare att fritidsfastighet inte ska ingå i inkomstprövningen för bostad</w:t>
      </w:r>
      <w:r w:rsidRPr="006C40C1">
        <w:t>s</w:t>
      </w:r>
      <w:r w:rsidRPr="006C40C1">
        <w:t>tillägg. Dessutom avsätts ett budgetutrymme för att under 2004 kunna uppnå en förbättring av garantipensionen med totalt 1 000 kr före skatt.</w:t>
      </w:r>
    </w:p>
    <w:p w:rsidR="00AA5D77" w:rsidRPr="006C40C1" w:rsidRDefault="00AA5D77">
      <w:pPr>
        <w:pStyle w:val="Normaltindrag"/>
      </w:pPr>
      <w:r w:rsidRPr="006C40C1">
        <w:rPr>
          <w:i/>
        </w:rPr>
        <w:t>Centerpartiet</w:t>
      </w:r>
      <w:r w:rsidRPr="006C40C1">
        <w:t xml:space="preserve"> redovisar i </w:t>
      </w:r>
      <w:r w:rsidRPr="006C40C1">
        <w:rPr>
          <w:i/>
        </w:rPr>
        <w:t>motion Fi234</w:t>
      </w:r>
      <w:r w:rsidRPr="006C40C1">
        <w:t xml:space="preserve"> att ramen för utgiftsområdet kan minskas till följd av partiets skatteförslag, vilka enligt motionärerna leder till höjda ålderspensioner och minskade utgifter för bostadstillägg för pension</w:t>
      </w:r>
      <w:r w:rsidRPr="006C40C1">
        <w:t>ä</w:t>
      </w:r>
      <w:r w:rsidRPr="006C40C1">
        <w:t>rer.</w:t>
      </w:r>
    </w:p>
    <w:p w:rsidR="00AA5D77" w:rsidRPr="006C40C1" w:rsidRDefault="00AA5D77">
      <w:pPr>
        <w:pStyle w:val="Rubrik4"/>
        <w:rPr>
          <w:noProof w:val="0"/>
        </w:rPr>
      </w:pPr>
      <w:bookmarkStart w:id="604" w:name="_Toc26191554"/>
      <w:r w:rsidRPr="006C40C1">
        <w:rPr>
          <w:noProof w:val="0"/>
        </w:rPr>
        <w:t>Socialförsäkringsutskottets yttrande</w:t>
      </w:r>
      <w:bookmarkEnd w:id="604"/>
    </w:p>
    <w:p w:rsidR="00AA5D77" w:rsidRPr="006C40C1" w:rsidRDefault="00AA5D77">
      <w:r w:rsidRPr="006C40C1">
        <w:t>Socialförsäkringsutskottet anför i sitt yttrande (SfU1y) att man tillstyrker den av regeringen föreslagna utgiftsramen för 2003 samt den preliminära förde</w:t>
      </w:r>
      <w:r w:rsidRPr="006C40C1">
        <w:t>l</w:t>
      </w:r>
      <w:r w:rsidRPr="006C40C1">
        <w:t>ningen av utgifterna för 2004. Motionerna avstyrks i berörda delar.</w:t>
      </w:r>
    </w:p>
    <w:p w:rsidR="00AA5D77" w:rsidRPr="006C40C1" w:rsidRDefault="00AA5D77">
      <w:pPr>
        <w:pStyle w:val="Normaltindrag"/>
      </w:pPr>
      <w:r w:rsidRPr="006C40C1">
        <w:t>Företrädarna för Moderata samlingspartiet, Folkpartiet liberalerna, Kris</w:t>
      </w:r>
      <w:r w:rsidRPr="006C40C1">
        <w:t>t</w:t>
      </w:r>
      <w:r w:rsidRPr="006C40C1">
        <w:t>demokraterna samt Centerpartiet biträder i var sin avvikande mening sina partiers respektive förslag till ramnivå för utgiftsområdet.</w:t>
      </w:r>
    </w:p>
    <w:p w:rsidR="00AA5D77" w:rsidRPr="006C40C1" w:rsidRDefault="00AA5D77">
      <w:pPr>
        <w:pStyle w:val="Rubrik4"/>
        <w:rPr>
          <w:noProof w:val="0"/>
        </w:rPr>
      </w:pPr>
      <w:bookmarkStart w:id="605" w:name="_Toc26191555"/>
      <w:r w:rsidRPr="006C40C1">
        <w:rPr>
          <w:noProof w:val="0"/>
        </w:rPr>
        <w:t>Finansutskottets ställningstagande</w:t>
      </w:r>
      <w:bookmarkEnd w:id="605"/>
    </w:p>
    <w:p w:rsidR="00AA5D77" w:rsidRPr="006C40C1" w:rsidRDefault="00AA5D77">
      <w:r w:rsidRPr="006C40C1">
        <w:t>Finansutskottet har tidigare i betänkandet (avsnitten 2.4.3 och 2.6) redovisat sin bedömning av fördelningen av utgifterna på utgiftsområden för budgetåret 2003. Socialförsäkringsutskottet har för sin del inte haft något att invända mot regeringens fö</w:t>
      </w:r>
      <w:r w:rsidRPr="006C40C1">
        <w:t>r</w:t>
      </w:r>
      <w:r w:rsidRPr="006C40C1">
        <w:t>slag till ram för utgiftsområdet.</w:t>
      </w:r>
    </w:p>
    <w:p w:rsidR="00AA5D77" w:rsidRPr="006C40C1" w:rsidRDefault="00AA5D77">
      <w:pPr>
        <w:pStyle w:val="Normaltindrag"/>
      </w:pPr>
      <w:r w:rsidRPr="006C40C1">
        <w:t>Finansutskottet föreslår mot den bakgrunden att ramen för utgiftsområde 11 år 2003 fastställs till 52 547 miljoner kronor. Därmed tillstyrker utskottet propositi</w:t>
      </w:r>
      <w:r w:rsidRPr="006C40C1">
        <w:t>o</w:t>
      </w:r>
      <w:r w:rsidRPr="006C40C1">
        <w:t>nen och avstyrker motionärernas förslag till alternativa ramar.</w:t>
      </w:r>
    </w:p>
    <w:p w:rsidR="00AA5D77" w:rsidRPr="006C40C1" w:rsidRDefault="00AA5D77">
      <w:pPr>
        <w:pStyle w:val="Rubrik3"/>
        <w:rPr>
          <w:noProof w:val="0"/>
        </w:rPr>
      </w:pPr>
      <w:bookmarkStart w:id="606" w:name="_Toc25397628"/>
      <w:bookmarkStart w:id="607" w:name="_Toc26191556"/>
      <w:r w:rsidRPr="006C40C1">
        <w:rPr>
          <w:noProof w:val="0"/>
        </w:rPr>
        <w:t>4.1.12 Utgiftsområde 12 Ekonomisk trygghet för familjer och barn</w:t>
      </w:r>
      <w:bookmarkEnd w:id="606"/>
      <w:bookmarkEnd w:id="607"/>
    </w:p>
    <w:p w:rsidR="00AA5D77" w:rsidRPr="006C40C1" w:rsidRDefault="00AA5D77">
      <w:r w:rsidRPr="006C40C1">
        <w:t>Utgiftsområdet omfattar statens ekonomiska stöd till barnfamiljer (förutom bostadsbidraget som återfinns under utgiftsområde 18 och studiebidragen som återfinns under utgiftsområde 15). Stödet utgörs av allmänna barnbidrag, föräldraförsäkringen inklusive havandeskapspenning, underhållsstöd, bidrag till kostnader för internationella adoptioner, folkpension och ATP i form av barnpension samt vårdbidrag till familjer med handikappade barn.</w:t>
      </w:r>
    </w:p>
    <w:p w:rsidR="00AA5D77" w:rsidRPr="006C40C1" w:rsidRDefault="00AA5D77">
      <w:pPr>
        <w:pStyle w:val="Normaltindrag"/>
      </w:pPr>
      <w:r w:rsidRPr="006C40C1">
        <w:t>De totala utgifterna för utgiftsområdet 2002 beräknas uppgå till 49 945 miljoner kronor.</w:t>
      </w:r>
    </w:p>
    <w:p w:rsidR="00AA5D77" w:rsidRPr="006C40C1" w:rsidRDefault="00AA5D77">
      <w:pPr>
        <w:pStyle w:val="Rubrik4"/>
        <w:rPr>
          <w:noProof w:val="0"/>
        </w:rPr>
      </w:pPr>
      <w:bookmarkStart w:id="608" w:name="_Toc26191557"/>
      <w:r w:rsidRPr="006C40C1">
        <w:rPr>
          <w:noProof w:val="0"/>
        </w:rPr>
        <w:t>Budgetpropositionen</w:t>
      </w:r>
      <w:bookmarkEnd w:id="608"/>
    </w:p>
    <w:p w:rsidR="00AA5D77" w:rsidRPr="006C40C1" w:rsidRDefault="00AA5D77">
      <w:r w:rsidRPr="006C40C1">
        <w:t>I budgetpropositionen (avsnitt 6.3) redovisas att ramen för utgiftsområdet ökar jämfört med beräkningar från 2002 års ekonomiska vårproposition till följd av en ny befolkningsprognos samt ett metodfel i den tidigare prognosen.</w:t>
      </w:r>
    </w:p>
    <w:p w:rsidR="00AA5D77" w:rsidRPr="006C40C1" w:rsidRDefault="00AA5D77">
      <w:pPr>
        <w:pStyle w:val="Normaltindrag"/>
      </w:pPr>
      <w:r w:rsidRPr="006C40C1">
        <w:t>I utgiftsområdesramen för 2003 och 2004 ingår effekterna av en höjning av inkomsttaket i föräldraförsäkringen från 7,5 till 10 prisbasbelopp som rege</w:t>
      </w:r>
      <w:r w:rsidRPr="006C40C1">
        <w:t>r</w:t>
      </w:r>
      <w:r w:rsidRPr="006C40C1">
        <w:t>ingen avser att föreslå om det statsfinansiella läget så medger. Utöver detta inräknar regeringen en höjning av grundnivån i föräldraförsäkringen från 120 kr till 150 kr per dag fr.o.m. 2003 och, om det statsfinansiella läget så me</w:t>
      </w:r>
      <w:r w:rsidRPr="006C40C1">
        <w:t>d</w:t>
      </w:r>
      <w:r w:rsidRPr="006C40C1">
        <w:t>ger, från 150 kr till 180 kr per dag fr.o.m. 2004. Även tidigare reformer inom föräldraförsäkringen och den föreslagna höjningen av åldersgränserna för vårdbidrag för funktionshindrade barn ger ökade utgifter.</w:t>
      </w:r>
    </w:p>
    <w:p w:rsidR="00AA5D77" w:rsidRPr="006C40C1" w:rsidRDefault="00AA5D77">
      <w:pPr>
        <w:pStyle w:val="Normaltindrag"/>
      </w:pPr>
      <w:r w:rsidRPr="006C40C1">
        <w:t>Propositionens och riksdagspartiernas förslag till ramnivå för utgift</w:t>
      </w:r>
      <w:r w:rsidRPr="006C40C1">
        <w:t>somr</w:t>
      </w:r>
      <w:r w:rsidRPr="006C40C1">
        <w:t>å</w:t>
      </w:r>
      <w:r w:rsidRPr="006C40C1">
        <w:t>det under åren 2003 och 2004 redovisas i efterföljande tabell.</w:t>
      </w:r>
    </w:p>
    <w:p w:rsidR="00AA5D77" w:rsidRPr="006C40C1" w:rsidRDefault="00AA5D77">
      <w:pPr>
        <w:pStyle w:val="FiU1tabellrubrik2000"/>
        <w:keepLines/>
        <w:outlineLvl w:val="0"/>
      </w:pPr>
      <w:r w:rsidRPr="006C40C1">
        <w:br w:type="page"/>
        <w:t>Förslag till ram för utgiftsområde 12 Ekonomisk trygghet för familjer och barn</w:t>
      </w:r>
    </w:p>
    <w:p w:rsidR="00AA5D77" w:rsidRPr="006C40C1" w:rsidRDefault="00AA5D77">
      <w:pPr>
        <w:pStyle w:val="Tabell"/>
        <w:keepLines/>
        <w:spacing w:after="40"/>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r w:rsidRPr="006C40C1">
        <w:rPr>
          <w:noProof/>
        </w:rPr>
        <w:drawing>
          <wp:inline distT="0" distB="0" distL="0" distR="0">
            <wp:extent cx="3777615" cy="805815"/>
            <wp:effectExtent l="0" t="0" r="0" b="0"/>
            <wp:docPr id="67" name="Bild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Rubrik4"/>
        <w:rPr>
          <w:noProof w:val="0"/>
        </w:rPr>
      </w:pPr>
      <w:bookmarkStart w:id="609" w:name="_Toc26191558"/>
      <w:r w:rsidRPr="006C40C1">
        <w:rPr>
          <w:noProof w:val="0"/>
        </w:rPr>
        <w:t>Motionerna</w:t>
      </w:r>
      <w:bookmarkEnd w:id="609"/>
    </w:p>
    <w:p w:rsidR="00AA5D77" w:rsidRPr="006C40C1" w:rsidRDefault="00AA5D77">
      <w:r w:rsidRPr="006C40C1">
        <w:t xml:space="preserve">Förslagen i </w:t>
      </w:r>
      <w:r w:rsidRPr="006C40C1">
        <w:rPr>
          <w:i/>
        </w:rPr>
        <w:t xml:space="preserve">motion Fi230 </w:t>
      </w:r>
      <w:r w:rsidRPr="006C40C1">
        <w:t>från</w:t>
      </w:r>
      <w:r w:rsidRPr="006C40C1">
        <w:rPr>
          <w:i/>
        </w:rPr>
        <w:t xml:space="preserve"> Socialdemokraterna, Vänsterpartiet och Mi</w:t>
      </w:r>
      <w:r w:rsidRPr="006C40C1">
        <w:rPr>
          <w:i/>
        </w:rPr>
        <w:t>l</w:t>
      </w:r>
      <w:r w:rsidRPr="006C40C1">
        <w:rPr>
          <w:i/>
        </w:rPr>
        <w:t>jö</w:t>
      </w:r>
      <w:r w:rsidRPr="006C40C1">
        <w:rPr>
          <w:i/>
        </w:rPr>
        <w:softHyphen/>
        <w:t>partiet de gröna</w:t>
      </w:r>
      <w:r w:rsidRPr="006C40C1">
        <w:t xml:space="preserve"> berör inte utgiftsområde 12.</w:t>
      </w:r>
    </w:p>
    <w:p w:rsidR="00AA5D77" w:rsidRPr="006C40C1" w:rsidRDefault="00AA5D77">
      <w:pPr>
        <w:pStyle w:val="Normaltindrag"/>
      </w:pPr>
      <w:r w:rsidRPr="006C40C1">
        <w:rPr>
          <w:i/>
        </w:rPr>
        <w:t>Moderata samlingspartiet</w:t>
      </w:r>
      <w:r w:rsidRPr="006C40C1">
        <w:t xml:space="preserve"> motsätter sig i </w:t>
      </w:r>
      <w:r w:rsidRPr="006C40C1">
        <w:rPr>
          <w:i/>
        </w:rPr>
        <w:t>motion Fi231</w:t>
      </w:r>
      <w:r w:rsidRPr="006C40C1">
        <w:t xml:space="preserve"> regeringens förslag att införa en extra ”pappamånad” samt höja taket i föräldraförsäkringen. M</w:t>
      </w:r>
      <w:r w:rsidRPr="006C40C1">
        <w:t>o</w:t>
      </w:r>
      <w:r w:rsidRPr="006C40C1">
        <w:t>tionärerna föreslår en skattefri barnomsorgspeng för familjer som inte utnyt</w:t>
      </w:r>
      <w:r w:rsidRPr="006C40C1">
        <w:t>t</w:t>
      </w:r>
      <w:r w:rsidRPr="006C40C1">
        <w:t>jar kommunalt finansierad barnomsorg, vilken ska utgå med 3 000 kr per månad för barn mellan 1 och 3 år. De extra garantimånaderna i föräldrafö</w:t>
      </w:r>
      <w:r w:rsidRPr="006C40C1">
        <w:t>r</w:t>
      </w:r>
      <w:r w:rsidRPr="006C40C1">
        <w:t>säkringen ska därmed avskaffas fr.o.m. 2004. Den sjukpenninggrundande inkomsten i föräldraförsäkringen bör enligt motionärerna baseras på de två föregående årens inko</w:t>
      </w:r>
      <w:r w:rsidRPr="006C40C1">
        <w:t>mst. Vidare avsätts medel för höjt bidrag till internati</w:t>
      </w:r>
      <w:r w:rsidRPr="006C40C1">
        <w:t>o</w:t>
      </w:r>
      <w:r w:rsidRPr="006C40C1">
        <w:t>nella adoptioner på högst 55 000 kr samt en månads retroaktivitet i samband med ansökan om vårdbidrag för funktionshindrade barn. En översyn av u</w:t>
      </w:r>
      <w:r w:rsidRPr="006C40C1">
        <w:t>n</w:t>
      </w:r>
      <w:r w:rsidRPr="006C40C1">
        <w:t>derhållstödet beräknas dessutom leda till besparingar inom utgiftsområdet.</w:t>
      </w:r>
    </w:p>
    <w:p w:rsidR="00AA5D77" w:rsidRPr="006C40C1" w:rsidRDefault="00AA5D77">
      <w:pPr>
        <w:pStyle w:val="Normaltindrag"/>
      </w:pPr>
      <w:r w:rsidRPr="006C40C1">
        <w:rPr>
          <w:i/>
        </w:rPr>
        <w:t>Folkpartiet liberalerna</w:t>
      </w:r>
      <w:r w:rsidRPr="006C40C1">
        <w:t xml:space="preserve"> föreslår i </w:t>
      </w:r>
      <w:r w:rsidRPr="006C40C1">
        <w:rPr>
          <w:i/>
        </w:rPr>
        <w:t>motion Fi232</w:t>
      </w:r>
      <w:r w:rsidRPr="006C40C1">
        <w:t xml:space="preserve"> en jämställdhetsbonus som i princip innebär att en högre ersättning på 90 % utgår när båda föräldrarna utnyttjar föräldraförsäkringen. Enligt motionärerna ska ett särskilt barnkonto fr.o.m. 2004 ge föräldrarna större frihet jämfört med dagens föräldraförsä</w:t>
      </w:r>
      <w:r w:rsidRPr="006C40C1">
        <w:t>k</w:t>
      </w:r>
      <w:r w:rsidRPr="006C40C1">
        <w:t>ring. Garantidagarna föreslås samtidigt avskaffas. En markering av det g</w:t>
      </w:r>
      <w:r w:rsidRPr="006C40C1">
        <w:t>e</w:t>
      </w:r>
      <w:r w:rsidRPr="006C40C1">
        <w:t>mensamma föräldraansvaret inom underhållstödet anses kunna hålla tillbaka utgifterna.</w:t>
      </w:r>
    </w:p>
    <w:p w:rsidR="00AA5D77" w:rsidRPr="006C40C1" w:rsidRDefault="00AA5D77">
      <w:pPr>
        <w:pStyle w:val="Normaltindrag"/>
      </w:pPr>
      <w:r w:rsidRPr="006C40C1">
        <w:rPr>
          <w:i/>
        </w:rPr>
        <w:t>Kristdemokraterna</w:t>
      </w:r>
      <w:r w:rsidRPr="006C40C1">
        <w:t xml:space="preserve"> förespråkar i </w:t>
      </w:r>
      <w:r w:rsidRPr="006C40C1">
        <w:rPr>
          <w:i/>
        </w:rPr>
        <w:t>motion Fi233</w:t>
      </w:r>
      <w:r w:rsidRPr="006C40C1">
        <w:t xml:space="preserve"> ett särskilt barnomsorg</w:t>
      </w:r>
      <w:r w:rsidRPr="006C40C1">
        <w:t>s</w:t>
      </w:r>
      <w:r w:rsidRPr="006C40C1">
        <w:t>konto på maximalt 80 000 kr för barn t.o.m. 2-årsåldern från den 1 juli 2003. Uttaget av medel på barnomsorgskontot ska dock begränsas till maximalt 40 000 kr per år samt trappas av med hänsyn till barnets vistelse i kommunalt finansierad barnomsorg. Motionärerna anser att taket i föräldraförsäkringen samtidigt bör höjas till 11 prisbasbelopp, medan ersättningsnivån justeras upp till 90 % av inkomsten. Ökningen av utgifterna kan dock begränsas genom att de</w:t>
      </w:r>
      <w:r w:rsidRPr="006C40C1">
        <w:t>n sjukpenninggrundande inkomsten i föräldraförsäkringen beräknas på genomsnittlig inkomst under de två föregående åren. Vidare föreslås att g</w:t>
      </w:r>
      <w:r w:rsidRPr="006C40C1">
        <w:t>a</w:t>
      </w:r>
      <w:r w:rsidRPr="006C40C1">
        <w:t>rantinivån i föräldraförsäkringen höjs till 180 kr per dag 2003 och 200 kr per dag 2004 samt att barnbidraget för barn mellan 13 och 16 år höjs till 1 050 kr per månad.</w:t>
      </w:r>
    </w:p>
    <w:p w:rsidR="00AA5D77" w:rsidRPr="006C40C1" w:rsidRDefault="00AA5D77">
      <w:pPr>
        <w:pStyle w:val="Normaltindrag"/>
      </w:pPr>
      <w:r w:rsidRPr="006C40C1">
        <w:rPr>
          <w:i/>
        </w:rPr>
        <w:t>Centerpartiet</w:t>
      </w:r>
      <w:r w:rsidRPr="006C40C1">
        <w:t xml:space="preserve"> anser i </w:t>
      </w:r>
      <w:r w:rsidRPr="006C40C1">
        <w:rPr>
          <w:i/>
        </w:rPr>
        <w:t>motion Fi234</w:t>
      </w:r>
      <w:r w:rsidRPr="006C40C1">
        <w:t xml:space="preserve"> att barnbidraget bör höjas med 200 kr 2003 och med ytterligare 250 kr 2004. Vidare förespråkas att garantinivån i föräldraförsäkringen höjs till 200 kr per dag, medan taket höjs till 11 prisba</w:t>
      </w:r>
      <w:r w:rsidRPr="006C40C1">
        <w:t>s</w:t>
      </w:r>
      <w:r w:rsidRPr="006C40C1">
        <w:t>belopp. Motionärerna förslår vidare att den sjukpenninggrundande inkomsten i föräldraförsäkringen ska beräknas på de två föregående årens inkomst.</w:t>
      </w:r>
    </w:p>
    <w:p w:rsidR="00AA5D77" w:rsidRPr="006C40C1" w:rsidRDefault="00AA5D77">
      <w:pPr>
        <w:pStyle w:val="Rubrik4"/>
        <w:rPr>
          <w:noProof w:val="0"/>
        </w:rPr>
      </w:pPr>
      <w:bookmarkStart w:id="610" w:name="_Toc26191559"/>
      <w:r w:rsidRPr="006C40C1">
        <w:rPr>
          <w:noProof w:val="0"/>
        </w:rPr>
        <w:t>Socialförsäkringsutskottets yttrande</w:t>
      </w:r>
      <w:bookmarkEnd w:id="610"/>
    </w:p>
    <w:p w:rsidR="00AA5D77" w:rsidRPr="006C40C1" w:rsidRDefault="00AA5D77">
      <w:r w:rsidRPr="006C40C1">
        <w:t>Socialförsäkringsutskottet tillstyrker i sitt yttrande (SfU1y) regeringens fö</w:t>
      </w:r>
      <w:r w:rsidRPr="006C40C1">
        <w:t>r</w:t>
      </w:r>
      <w:r w:rsidRPr="006C40C1">
        <w:t>slag till utgiftsramen för 2003 samt den preliminära fördelningen av utgifterna för 2004. Motsvarande förslag i motionerna avstyrks.</w:t>
      </w:r>
    </w:p>
    <w:p w:rsidR="00AA5D77" w:rsidRPr="006C40C1" w:rsidRDefault="00AA5D77">
      <w:pPr>
        <w:pStyle w:val="Normaltindrag"/>
      </w:pPr>
      <w:r w:rsidRPr="006C40C1">
        <w:t>Företrädarna för Moderata samlingspartiet, Folkpartiet liberalerna, Kris</w:t>
      </w:r>
      <w:r w:rsidRPr="006C40C1">
        <w:t>t</w:t>
      </w:r>
      <w:r w:rsidRPr="006C40C1">
        <w:t>demokraterna samt Centerpartiet biträder i var sin avvikande mening sina partiers respektive förslag till ramnivå för utgiftsområdet.</w:t>
      </w:r>
    </w:p>
    <w:p w:rsidR="00AA5D77" w:rsidRPr="006C40C1" w:rsidRDefault="00AA5D77">
      <w:pPr>
        <w:pStyle w:val="Rubrik4"/>
        <w:rPr>
          <w:noProof w:val="0"/>
        </w:rPr>
      </w:pPr>
      <w:bookmarkStart w:id="611" w:name="_Toc26191560"/>
      <w:r w:rsidRPr="006C40C1">
        <w:rPr>
          <w:noProof w:val="0"/>
        </w:rPr>
        <w:t>Finansutskottets ställningstagande</w:t>
      </w:r>
      <w:bookmarkEnd w:id="611"/>
    </w:p>
    <w:p w:rsidR="00AA5D77" w:rsidRPr="006C40C1" w:rsidRDefault="00AA5D77">
      <w:r w:rsidRPr="006C40C1">
        <w:t>Finansutskottet har tidigare i betänkandet (avsnitten 2.4.3 och 2.6) redovisat sin bedömning av fördelningen av utgifterna på utgiftsområden för budgetåret 2003. Socialförsäkringsutskottet har för sin del inte haft något att invända mot regeringens fö</w:t>
      </w:r>
      <w:r w:rsidRPr="006C40C1">
        <w:t>r</w:t>
      </w:r>
      <w:r w:rsidRPr="006C40C1">
        <w:t>slag till ram för utgiftsområdet.</w:t>
      </w:r>
    </w:p>
    <w:p w:rsidR="00AA5D77" w:rsidRPr="006C40C1" w:rsidRDefault="00AA5D77">
      <w:pPr>
        <w:pStyle w:val="Normaltindrag"/>
      </w:pPr>
      <w:r w:rsidRPr="006C40C1">
        <w:t>Finansutskottet föreslår mot den bakgrunden att ramen för utgiftsområde 12 år 2003 fastställs till 52 889 miljoner kronor. Därmed tillstyrker utskottet propositi</w:t>
      </w:r>
      <w:r w:rsidRPr="006C40C1">
        <w:t>o</w:t>
      </w:r>
      <w:r w:rsidRPr="006C40C1">
        <w:t>nen och avstyrker motionärernas förslag till alternativa ramar.</w:t>
      </w:r>
    </w:p>
    <w:p w:rsidR="00AA5D77" w:rsidRPr="006C40C1" w:rsidRDefault="00AA5D77">
      <w:pPr>
        <w:pStyle w:val="Rubrik3"/>
        <w:rPr>
          <w:noProof w:val="0"/>
        </w:rPr>
      </w:pPr>
      <w:bookmarkStart w:id="612" w:name="_Toc25397629"/>
      <w:bookmarkStart w:id="613" w:name="_Toc26191561"/>
      <w:r w:rsidRPr="006C40C1">
        <w:rPr>
          <w:noProof w:val="0"/>
        </w:rPr>
        <w:t xml:space="preserve">4.1.13 Utgiftsområde 13 </w:t>
      </w:r>
      <w:bookmarkEnd w:id="612"/>
      <w:r w:rsidRPr="006C40C1">
        <w:rPr>
          <w:noProof w:val="0"/>
        </w:rPr>
        <w:t>Arbetsmarknad</w:t>
      </w:r>
      <w:bookmarkEnd w:id="613"/>
    </w:p>
    <w:p w:rsidR="00AA5D77" w:rsidRPr="006C40C1" w:rsidRDefault="00AA5D77">
      <w:r w:rsidRPr="006C40C1">
        <w:t>Utgiftsområdet omfattar arbetsmarknadspolitiska program, bidrag till arbet</w:t>
      </w:r>
      <w:r w:rsidRPr="006C40C1">
        <w:t>s</w:t>
      </w:r>
      <w:r w:rsidRPr="006C40C1">
        <w:t>löshetsersättning, lönegarantiersättning, särskilda insatser för arbetshandika</w:t>
      </w:r>
      <w:r w:rsidRPr="006C40C1">
        <w:t>p</w:t>
      </w:r>
      <w:r w:rsidRPr="006C40C1">
        <w:t>pade och platsförmedling. Utgiftsområdet omfattar vidare bl.a. Samhall AB:s ver</w:t>
      </w:r>
      <w:r w:rsidRPr="006C40C1">
        <w:t>k</w:t>
      </w:r>
      <w:r w:rsidRPr="006C40C1">
        <w:t>samhet och Arbetsmarknadsverket.</w:t>
      </w:r>
    </w:p>
    <w:p w:rsidR="00AA5D77" w:rsidRPr="006C40C1" w:rsidRDefault="00AA5D77">
      <w:pPr>
        <w:pStyle w:val="Normaltindrag"/>
      </w:pPr>
      <w:r w:rsidRPr="006C40C1">
        <w:t>De totala utgifterna för utgiftsområdet 2002 beräknas uppgå till ca 61 141 miljoner kronor.</w:t>
      </w:r>
    </w:p>
    <w:p w:rsidR="00AA5D77" w:rsidRPr="006C40C1" w:rsidRDefault="00AA5D77">
      <w:pPr>
        <w:pStyle w:val="R4"/>
      </w:pPr>
      <w:r w:rsidRPr="006C40C1">
        <w:t>Budgetpropositionen</w:t>
      </w:r>
    </w:p>
    <w:p w:rsidR="00AA5D77" w:rsidRPr="006C40C1" w:rsidRDefault="00AA5D77">
      <w:r w:rsidRPr="006C40C1">
        <w:t>I budgetpropositionen (avsnitt 6.3) redovisar regeringen att förändringen av utgiftsområdesramen jämfört med beräkningen av utgifterna per utgiftsomr</w:t>
      </w:r>
      <w:r w:rsidRPr="006C40C1">
        <w:t>å</w:t>
      </w:r>
      <w:r w:rsidRPr="006C40C1">
        <w:t>de i 2002 års ekonomiska vårproposition förklaras i huvudsak av att ersät</w:t>
      </w:r>
      <w:r w:rsidRPr="006C40C1">
        <w:t>t</w:t>
      </w:r>
      <w:r w:rsidRPr="006C40C1">
        <w:t>ningsnivåerna inom arbetslöshetsförsäkringen höjts från den 1 juli 2002 och av att resursbehovet för lönegarantiersättning ökar. Dessa ökningar motverkas dock av att arbetslösheten beräknas minska.</w:t>
      </w:r>
    </w:p>
    <w:p w:rsidR="00AA5D77" w:rsidRPr="006C40C1" w:rsidRDefault="00AA5D77">
      <w:pPr>
        <w:pStyle w:val="Normaltindrag"/>
      </w:pPr>
      <w:r w:rsidRPr="006C40C1">
        <w:t>Propositionens och riksdagspartiernas förslag till ramnivå för utgiftsomr</w:t>
      </w:r>
      <w:r w:rsidRPr="006C40C1">
        <w:t>å</w:t>
      </w:r>
      <w:r w:rsidRPr="006C40C1">
        <w:t>det u</w:t>
      </w:r>
      <w:r w:rsidRPr="006C40C1">
        <w:t>n</w:t>
      </w:r>
      <w:r w:rsidRPr="006C40C1">
        <w:t>der åren 2003 och 2004 redovisas i efterföljande tabell.</w:t>
      </w:r>
    </w:p>
    <w:p w:rsidR="00AA5D77" w:rsidRPr="006C40C1" w:rsidRDefault="00AA5D77"/>
    <w:p w:rsidR="00AA5D77" w:rsidRPr="006C40C1" w:rsidRDefault="00AA5D77">
      <w:pPr>
        <w:rPr>
          <w:b/>
          <w:sz w:val="16"/>
        </w:rPr>
      </w:pPr>
      <w:r w:rsidRPr="006C40C1">
        <w:rPr>
          <w:b/>
          <w:sz w:val="16"/>
        </w:rPr>
        <w:br w:type="page"/>
        <w:t>Förslag till ram för utgiftsområde 13 Arbetsmarknad</w:t>
      </w:r>
    </w:p>
    <w:p w:rsidR="00AA5D77" w:rsidRPr="006C40C1" w:rsidRDefault="00AA5D77">
      <w:pPr>
        <w:pStyle w:val="Tabellfrklaring"/>
        <w:keepNext w:val="0"/>
        <w:keepLines w:val="0"/>
        <w:spacing w:before="62" w:after="0" w:line="250" w:lineRule="atLeast"/>
      </w:pPr>
      <w:r w:rsidRPr="006C40C1">
        <w:t>Belopp i miljoner kronor</w:t>
      </w:r>
    </w:p>
    <w:p w:rsidR="00AA5D77" w:rsidRPr="006C40C1" w:rsidRDefault="006C40C1">
      <w:pPr>
        <w:pBdr>
          <w:bottom w:val="single" w:sz="4" w:space="1" w:color="auto"/>
        </w:pBdr>
      </w:pPr>
      <w:r w:rsidRPr="006C40C1">
        <w:rPr>
          <w:noProof/>
        </w:rPr>
        <w:drawing>
          <wp:inline distT="0" distB="0" distL="0" distR="0">
            <wp:extent cx="3777615" cy="778510"/>
            <wp:effectExtent l="0" t="0" r="0" b="0"/>
            <wp:docPr id="68" name="Bild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777615" cy="778510"/>
                    </a:xfrm>
                    <a:prstGeom prst="rect">
                      <a:avLst/>
                    </a:prstGeom>
                    <a:noFill/>
                    <a:ln>
                      <a:noFill/>
                    </a:ln>
                  </pic:spPr>
                </pic:pic>
              </a:graphicData>
            </a:graphic>
          </wp:inline>
        </w:drawing>
      </w:r>
    </w:p>
    <w:p w:rsidR="00AA5D77" w:rsidRPr="006C40C1" w:rsidRDefault="00AA5D77">
      <w:pPr>
        <w:pStyle w:val="R4"/>
      </w:pPr>
      <w:r w:rsidRPr="006C40C1">
        <w:t>Motionerna</w:t>
      </w:r>
    </w:p>
    <w:p w:rsidR="00AA5D77" w:rsidRPr="006C40C1" w:rsidRDefault="00AA5D77">
      <w:r w:rsidRPr="006C40C1">
        <w:t xml:space="preserve">Förslagen i </w:t>
      </w:r>
      <w:r w:rsidRPr="006C40C1">
        <w:rPr>
          <w:i/>
        </w:rPr>
        <w:t>motion</w:t>
      </w:r>
      <w:r w:rsidRPr="006C40C1">
        <w:t xml:space="preserve"> </w:t>
      </w:r>
      <w:r w:rsidRPr="006C40C1">
        <w:rPr>
          <w:i/>
        </w:rPr>
        <w:t>Fi230</w:t>
      </w:r>
      <w:r w:rsidRPr="006C40C1">
        <w:t xml:space="preserve"> från </w:t>
      </w:r>
      <w:r w:rsidRPr="006C40C1">
        <w:rPr>
          <w:i/>
        </w:rPr>
        <w:t>Socialdemokraterna</w:t>
      </w:r>
      <w:r w:rsidRPr="006C40C1">
        <w:t xml:space="preserve">, </w:t>
      </w:r>
      <w:r w:rsidRPr="006C40C1">
        <w:rPr>
          <w:i/>
        </w:rPr>
        <w:t>Vänsterpartiet</w:t>
      </w:r>
      <w:r w:rsidRPr="006C40C1">
        <w:t xml:space="preserve"> och </w:t>
      </w:r>
      <w:r w:rsidRPr="006C40C1">
        <w:rPr>
          <w:i/>
        </w:rPr>
        <w:t>Milj</w:t>
      </w:r>
      <w:r w:rsidRPr="006C40C1">
        <w:rPr>
          <w:i/>
        </w:rPr>
        <w:t>ö</w:t>
      </w:r>
      <w:r w:rsidRPr="006C40C1">
        <w:rPr>
          <w:i/>
        </w:rPr>
        <w:t xml:space="preserve">partiet de gröna </w:t>
      </w:r>
      <w:r w:rsidRPr="006C40C1">
        <w:t>berör inte utgiftsområde 13.</w:t>
      </w:r>
    </w:p>
    <w:p w:rsidR="00AA5D77" w:rsidRPr="006C40C1" w:rsidRDefault="00AA5D77">
      <w:pPr>
        <w:pStyle w:val="Normaltindrag"/>
      </w:pPr>
      <w:r w:rsidRPr="006C40C1">
        <w:rPr>
          <w:i/>
        </w:rPr>
        <w:t>Moderata samlingspartiet</w:t>
      </w:r>
      <w:r w:rsidRPr="006C40C1">
        <w:t xml:space="preserve"> föreslår i </w:t>
      </w:r>
      <w:r w:rsidRPr="006C40C1">
        <w:rPr>
          <w:i/>
        </w:rPr>
        <w:t>motion Fi231</w:t>
      </w:r>
      <w:r w:rsidRPr="006C40C1">
        <w:t xml:space="preserve"> en minskning av ramen. Motionärerna föreslår att arbetslöshetsförsäkringen ska vara allmän och obl</w:t>
      </w:r>
      <w:r w:rsidRPr="006C40C1">
        <w:t>i</w:t>
      </w:r>
      <w:r w:rsidRPr="006C40C1">
        <w:t>gatorisk med en högre grad av egenfinansiering som balanseras av skatt</w:t>
      </w:r>
      <w:r w:rsidRPr="006C40C1">
        <w:t>e</w:t>
      </w:r>
      <w:r w:rsidRPr="006C40C1">
        <w:t>sänkningar. Den ska administreras av staten. Försäkringen ska fungera som en omställningsförsäkring. Motionärerna vill vidare införa en individuell och effektiv arbetsförmedling. Förmedling av arbeten som kan skötas bättre eller lika bra av andra aktörer än staten ska ges möjlighet att i fri konkurrens göra det. Fle</w:t>
      </w:r>
      <w:r w:rsidRPr="006C40C1">
        <w:t>ra av de arbetsmarknadspolitiska åtgärderna bör avskaffas till förmån för mer individuellt inriktade insatser. En ny myndighet bör inrättas som ersätter Arbetsmarknadsstyrelsen eftersom myndigheten är ine</w:t>
      </w:r>
      <w:r w:rsidRPr="006C40C1">
        <w:t>f</w:t>
      </w:r>
      <w:r w:rsidRPr="006C40C1">
        <w:t xml:space="preserve">fektiv. </w:t>
      </w:r>
    </w:p>
    <w:p w:rsidR="00AA5D77" w:rsidRPr="006C40C1" w:rsidRDefault="00AA5D77">
      <w:pPr>
        <w:pStyle w:val="Normaltindrag"/>
      </w:pPr>
      <w:r w:rsidRPr="006C40C1">
        <w:rPr>
          <w:i/>
        </w:rPr>
        <w:t xml:space="preserve">Folkpartiet </w:t>
      </w:r>
      <w:r w:rsidRPr="006C40C1">
        <w:t>förordar i</w:t>
      </w:r>
      <w:r w:rsidRPr="006C40C1">
        <w:rPr>
          <w:i/>
        </w:rPr>
        <w:t xml:space="preserve"> motion Fi232</w:t>
      </w:r>
      <w:r w:rsidRPr="006C40C1">
        <w:t xml:space="preserve"> en radikal omläggning av arbetsmar</w:t>
      </w:r>
      <w:r w:rsidRPr="006C40C1">
        <w:t>k</w:t>
      </w:r>
      <w:r w:rsidRPr="006C40C1">
        <w:t>nadspolitiken och att ramen därför ska minskas. Arbetsmarknadsstyrelsen bör läggas ner och ersättas med platsförmedlingar som drivs av olika huvudmän. En statlig myndighet ska dock hantera arbetslöshetskassan. Arbetslöshetsfö</w:t>
      </w:r>
      <w:r w:rsidRPr="006C40C1">
        <w:t>r</w:t>
      </w:r>
      <w:r w:rsidRPr="006C40C1">
        <w:t>säkringen bör reformeras. Motionärerna vill införa en jobb- och utveckling</w:t>
      </w:r>
      <w:r w:rsidRPr="006C40C1">
        <w:t>s</w:t>
      </w:r>
      <w:r w:rsidRPr="006C40C1">
        <w:t>garanti för alla långtid</w:t>
      </w:r>
      <w:r w:rsidRPr="006C40C1">
        <w:t>s</w:t>
      </w:r>
      <w:r w:rsidRPr="006C40C1">
        <w:t xml:space="preserve">arbetslösa. </w:t>
      </w:r>
    </w:p>
    <w:p w:rsidR="00AA5D77" w:rsidRPr="006C40C1" w:rsidRDefault="00AA5D77">
      <w:pPr>
        <w:pStyle w:val="Normaltindrag"/>
      </w:pPr>
      <w:r w:rsidRPr="006C40C1">
        <w:rPr>
          <w:i/>
        </w:rPr>
        <w:t>Kristdemokraterna</w:t>
      </w:r>
      <w:r w:rsidRPr="006C40C1">
        <w:t xml:space="preserve"> anser i </w:t>
      </w:r>
      <w:r w:rsidRPr="006C40C1">
        <w:rPr>
          <w:i/>
        </w:rPr>
        <w:t>motion</w:t>
      </w:r>
      <w:r w:rsidRPr="006C40C1">
        <w:t xml:space="preserve"> </w:t>
      </w:r>
      <w:r w:rsidRPr="006C40C1">
        <w:rPr>
          <w:i/>
        </w:rPr>
        <w:t xml:space="preserve">Fi233 </w:t>
      </w:r>
      <w:r w:rsidRPr="006C40C1">
        <w:t>att ramen för utgiftsområdet kra</w:t>
      </w:r>
      <w:r w:rsidRPr="006C40C1">
        <w:t>f</w:t>
      </w:r>
      <w:r w:rsidRPr="006C40C1">
        <w:t>tigt kan minska. Motionärerna anser att det bör införas en allmän och oblig</w:t>
      </w:r>
      <w:r w:rsidRPr="006C40C1">
        <w:t>a</w:t>
      </w:r>
      <w:r w:rsidRPr="006C40C1">
        <w:t>torisk arbetslöshetsförsäkring i vilken självfinansieringsgraden höjs till 33 %. Arbetslöshetens kostnader ska synliggöras genom en högre avgift till arbet</w:t>
      </w:r>
      <w:r w:rsidRPr="006C40C1">
        <w:t>s</w:t>
      </w:r>
      <w:r w:rsidRPr="006C40C1">
        <w:t>löshetskassan. Den enskilde ska kompenseras för höjning genom en sänkt inkomstskatt. Regelverket för arbetslöshetsförsäkringen måste förändras så att hinder för att ta ett arbete undanröjs. De avvisar särskilda medel till för</w:t>
      </w:r>
      <w:r w:rsidRPr="006C40C1">
        <w:t>sök med friår. Försöket kan genomföras inom befintliga ramar.</w:t>
      </w:r>
    </w:p>
    <w:p w:rsidR="00AA5D77" w:rsidRPr="006C40C1" w:rsidRDefault="00AA5D77">
      <w:pPr>
        <w:pStyle w:val="Normaltindrag"/>
      </w:pPr>
      <w:r w:rsidRPr="006C40C1">
        <w:rPr>
          <w:i/>
        </w:rPr>
        <w:t>Centerpartiet</w:t>
      </w:r>
      <w:r w:rsidRPr="006C40C1">
        <w:t xml:space="preserve"> föreslår i </w:t>
      </w:r>
      <w:r w:rsidRPr="006C40C1">
        <w:rPr>
          <w:i/>
        </w:rPr>
        <w:t xml:space="preserve">motion Fi234 </w:t>
      </w:r>
      <w:r w:rsidRPr="006C40C1">
        <w:t>en minskning av ramen. Motionäre</w:t>
      </w:r>
      <w:r w:rsidRPr="006C40C1">
        <w:t>r</w:t>
      </w:r>
      <w:r w:rsidRPr="006C40C1">
        <w:t xml:space="preserve">na anser att arbetsmarknadsutbildningar som inte ger någon bevisad effekt ska avskaffas. Taket i arbetslöshetskassan ska återställas och egenavgiften ska höjas. </w:t>
      </w:r>
    </w:p>
    <w:p w:rsidR="00AA5D77" w:rsidRPr="006C40C1" w:rsidRDefault="00AA5D77">
      <w:pPr>
        <w:pStyle w:val="R4"/>
      </w:pPr>
      <w:r w:rsidRPr="006C40C1">
        <w:t>Arbetsmarknadsutskottets yttrande</w:t>
      </w:r>
    </w:p>
    <w:p w:rsidR="00AA5D77" w:rsidRPr="006C40C1" w:rsidRDefault="00AA5D77">
      <w:pPr>
        <w:rPr>
          <w:i/>
        </w:rPr>
      </w:pPr>
      <w:r w:rsidRPr="006C40C1">
        <w:t>Arbetsmarknadsutskottet tillstyrker i sitt yttrande (AU1y) regeringens förslag  till ram för utgiftsområdet och motionerna  avstyrks. Företrädarna för Mod</w:t>
      </w:r>
      <w:r w:rsidRPr="006C40C1">
        <w:t>e</w:t>
      </w:r>
      <w:r w:rsidRPr="006C40C1">
        <w:t>rata samlingspartiet, Folkpartiet liberalerna, Kristdemokraterna och Cente</w:t>
      </w:r>
      <w:r w:rsidRPr="006C40C1">
        <w:t>r</w:t>
      </w:r>
      <w:r w:rsidRPr="006C40C1">
        <w:t>partiet är i en gemensam avvikande mening mycket oroade för utvecklingen på den svenska marknaden. Företrädarna för Moderata samlingspartiet, Fol</w:t>
      </w:r>
      <w:r w:rsidRPr="006C40C1">
        <w:t>k</w:t>
      </w:r>
      <w:r w:rsidRPr="006C40C1">
        <w:t xml:space="preserve">partiet liberalerna, Kristdemokraterna och Centerpartiet biträder också i var sin avvikande mening sina  partiers  respektive förslag. </w:t>
      </w:r>
    </w:p>
    <w:p w:rsidR="00AA5D77" w:rsidRPr="006C40C1" w:rsidRDefault="00AA5D77">
      <w:pPr>
        <w:rPr>
          <w:i/>
        </w:rPr>
      </w:pPr>
    </w:p>
    <w:p w:rsidR="00AA5D77" w:rsidRPr="006C40C1" w:rsidRDefault="00AA5D77">
      <w:pPr>
        <w:rPr>
          <w:i/>
        </w:rPr>
      </w:pPr>
      <w:r w:rsidRPr="006C40C1">
        <w:rPr>
          <w:i/>
        </w:rPr>
        <w:t>Finansutskottets ställningstagande</w:t>
      </w:r>
    </w:p>
    <w:p w:rsidR="00AA5D77" w:rsidRPr="006C40C1" w:rsidRDefault="00AA5D77">
      <w:r w:rsidRPr="006C40C1">
        <w:t>Finansutskottet har tidigare i betänkandet (avsnitten 2.4.3 och 2.6) redovisat sin bedömning av fördelningen av utgifterna på utgiftsområden för budgetåret 2003. Arbetsmarknadsutskottet har för sin del inte haft något att invända mot rege</w:t>
      </w:r>
      <w:r w:rsidRPr="006C40C1">
        <w:t>r</w:t>
      </w:r>
      <w:r w:rsidRPr="006C40C1">
        <w:t xml:space="preserve">ingens förslag till ram för utgiftsområdet. </w:t>
      </w:r>
    </w:p>
    <w:p w:rsidR="00AA5D77" w:rsidRPr="006C40C1" w:rsidRDefault="00AA5D77">
      <w:pPr>
        <w:pStyle w:val="Normaltindrag"/>
      </w:pPr>
      <w:r w:rsidRPr="006C40C1">
        <w:t>Finansutskottet föreslår mot denna bakgrund att ramen för utgiftsområde 13 år 2003 fastställs till 60 307 miljoner kronor. Därmed tillstyrker utskottet propositionens förslag och avstyrker motionernas förslag till alternativa r</w:t>
      </w:r>
      <w:r w:rsidRPr="006C40C1">
        <w:t>a</w:t>
      </w:r>
      <w:r w:rsidRPr="006C40C1">
        <w:t>mar.</w:t>
      </w:r>
    </w:p>
    <w:p w:rsidR="00AA5D77" w:rsidRPr="006C40C1" w:rsidRDefault="00AA5D77">
      <w:pPr>
        <w:pStyle w:val="Rubrik3"/>
        <w:rPr>
          <w:noProof w:val="0"/>
        </w:rPr>
      </w:pPr>
      <w:bookmarkStart w:id="614" w:name="_Toc25397630"/>
      <w:bookmarkStart w:id="615" w:name="_Toc26191562"/>
      <w:r w:rsidRPr="006C40C1">
        <w:rPr>
          <w:noProof w:val="0"/>
        </w:rPr>
        <w:t>4.1.14 Utgiftsområde 14 Arbetsliv</w:t>
      </w:r>
      <w:bookmarkEnd w:id="614"/>
      <w:bookmarkEnd w:id="615"/>
      <w:r w:rsidRPr="006C40C1">
        <w:rPr>
          <w:noProof w:val="0"/>
        </w:rPr>
        <w:t xml:space="preserve"> </w:t>
      </w:r>
    </w:p>
    <w:p w:rsidR="00AA5D77" w:rsidRPr="006C40C1" w:rsidRDefault="00AA5D77">
      <w:r w:rsidRPr="006C40C1">
        <w:t>Utgiftsområdet omfattar frågor inom arbetsmiljö, arbetsrätt, arbetsorganis</w:t>
      </w:r>
      <w:r w:rsidRPr="006C40C1">
        <w:t>a</w:t>
      </w:r>
      <w:r w:rsidRPr="006C40C1">
        <w:t>tion, arbetstid, lönebildning, jämställdhet och diskriminering samt relationen mellan arbetstagaren och arbetsgivaren. Utgiftsområdet omfattar ett antal myndigheter, bl.a. Arbetsmiljöverket, Arbetslivsinstitutet och Medlingsinst</w:t>
      </w:r>
      <w:r w:rsidRPr="006C40C1">
        <w:t>i</w:t>
      </w:r>
      <w:r w:rsidRPr="006C40C1">
        <w:t>tutet.</w:t>
      </w:r>
    </w:p>
    <w:p w:rsidR="00AA5D77" w:rsidRPr="006C40C1" w:rsidRDefault="00AA5D77">
      <w:pPr>
        <w:pStyle w:val="Normaltindrag"/>
      </w:pPr>
      <w:r w:rsidRPr="006C40C1">
        <w:t>De totala utgifterna för utgiftsområdet 2002 beräknas uppgå till ca 1 067 miljoner kronor.</w:t>
      </w:r>
    </w:p>
    <w:p w:rsidR="00AA5D77" w:rsidRPr="006C40C1" w:rsidRDefault="00AA5D77">
      <w:pPr>
        <w:pStyle w:val="R4"/>
      </w:pPr>
      <w:r w:rsidRPr="006C40C1">
        <w:t>Budgetpropositionen</w:t>
      </w:r>
    </w:p>
    <w:p w:rsidR="00AA5D77" w:rsidRPr="006C40C1" w:rsidRDefault="00AA5D77">
      <w:r w:rsidRPr="006C40C1">
        <w:t>I budgetpropositionen (avsnitt 6.3) redovisar regeringen att förändringen av utgiftsområdesramen jämfört med beräkningen av utgifterna per utgiftsomr</w:t>
      </w:r>
      <w:r w:rsidRPr="006C40C1">
        <w:t>å</w:t>
      </w:r>
      <w:r w:rsidRPr="006C40C1">
        <w:t>de i 2002 års ekonomiska vårproposition förklaras i huvudsak av att Arbet</w:t>
      </w:r>
      <w:r w:rsidRPr="006C40C1">
        <w:t>s</w:t>
      </w:r>
      <w:r w:rsidRPr="006C40C1">
        <w:t>miljöverkets anslag ökas år 2003 för regionala skyddsombud, tillsyn och informationssatsning. Arbetslivsinstitutets anslag ökas för företagshäls</w:t>
      </w:r>
      <w:r w:rsidRPr="006C40C1">
        <w:t>o</w:t>
      </w:r>
      <w:r w:rsidRPr="006C40C1">
        <w:t>vårdsutbildning medan anslag för forskning bl.a. rörande belastningsskador, överförs till utgiftsområde 16.</w:t>
      </w:r>
    </w:p>
    <w:p w:rsidR="00AA5D77" w:rsidRPr="006C40C1" w:rsidRDefault="00AA5D77">
      <w:pPr>
        <w:pStyle w:val="Normaltindrag"/>
      </w:pPr>
      <w:r w:rsidRPr="006C40C1">
        <w:t>Propositionens och riksdagspartiernas förslag till ramnivå för utgiftsomr</w:t>
      </w:r>
      <w:r w:rsidRPr="006C40C1">
        <w:t>å</w:t>
      </w:r>
      <w:r w:rsidRPr="006C40C1">
        <w:t>det u</w:t>
      </w:r>
      <w:r w:rsidRPr="006C40C1">
        <w:t>n</w:t>
      </w:r>
      <w:r w:rsidRPr="006C40C1">
        <w:t>der åren 2003 och 2004 redovisas i efterföljande tabell.</w:t>
      </w:r>
    </w:p>
    <w:p w:rsidR="00AA5D77" w:rsidRPr="006C40C1" w:rsidRDefault="00AA5D77"/>
    <w:p w:rsidR="00AA5D77" w:rsidRPr="006C40C1" w:rsidRDefault="00AA5D77">
      <w:pPr>
        <w:rPr>
          <w:b/>
          <w:sz w:val="16"/>
        </w:rPr>
      </w:pPr>
      <w:r w:rsidRPr="006C40C1">
        <w:rPr>
          <w:b/>
          <w:sz w:val="16"/>
        </w:rPr>
        <w:t>Förslag till ram för utgiftsområde 14 Arbetsliv</w:t>
      </w:r>
    </w:p>
    <w:p w:rsidR="00AA5D77" w:rsidRPr="006C40C1" w:rsidRDefault="00AA5D77">
      <w:pPr>
        <w:pStyle w:val="Tabellfrklaring"/>
        <w:keepNext w:val="0"/>
        <w:keepLines w:val="0"/>
        <w:spacing w:before="62" w:line="250" w:lineRule="atLeast"/>
      </w:pPr>
      <w:r w:rsidRPr="006C40C1">
        <w:t>Miljoner kronor</w:t>
      </w:r>
    </w:p>
    <w:p w:rsidR="00AA5D77" w:rsidRPr="006C40C1" w:rsidRDefault="006C40C1">
      <w:pPr>
        <w:pStyle w:val="Normaltindrag"/>
        <w:pBdr>
          <w:bottom w:val="single" w:sz="4" w:space="1" w:color="auto"/>
        </w:pBdr>
        <w:ind w:firstLine="0"/>
      </w:pPr>
      <w:r w:rsidRPr="006C40C1">
        <w:rPr>
          <w:noProof/>
        </w:rPr>
        <w:drawing>
          <wp:inline distT="0" distB="0" distL="0" distR="0">
            <wp:extent cx="3777615" cy="778510"/>
            <wp:effectExtent l="0" t="0" r="0" b="0"/>
            <wp:docPr id="69" name="Bild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777615" cy="778510"/>
                    </a:xfrm>
                    <a:prstGeom prst="rect">
                      <a:avLst/>
                    </a:prstGeom>
                    <a:noFill/>
                    <a:ln>
                      <a:noFill/>
                    </a:ln>
                  </pic:spPr>
                </pic:pic>
              </a:graphicData>
            </a:graphic>
          </wp:inline>
        </w:drawing>
      </w:r>
    </w:p>
    <w:p w:rsidR="00AA5D77" w:rsidRPr="006C40C1" w:rsidRDefault="00AA5D77">
      <w:pPr>
        <w:pStyle w:val="Normaltindrag"/>
      </w:pPr>
    </w:p>
    <w:p w:rsidR="00AA5D77" w:rsidRPr="006C40C1" w:rsidRDefault="00AA5D77">
      <w:pPr>
        <w:pStyle w:val="Rubrik4"/>
        <w:rPr>
          <w:noProof w:val="0"/>
        </w:rPr>
      </w:pPr>
      <w:bookmarkStart w:id="616" w:name="_Toc26191563"/>
      <w:r w:rsidRPr="006C40C1">
        <w:rPr>
          <w:noProof w:val="0"/>
        </w:rPr>
        <w:t>Motionerna</w:t>
      </w:r>
      <w:bookmarkEnd w:id="616"/>
    </w:p>
    <w:p w:rsidR="00AA5D77" w:rsidRPr="006C40C1" w:rsidRDefault="00AA5D77">
      <w:r w:rsidRPr="006C40C1">
        <w:rPr>
          <w:i/>
        </w:rPr>
        <w:t>I motion</w:t>
      </w:r>
      <w:r w:rsidRPr="006C40C1">
        <w:t xml:space="preserve"> </w:t>
      </w:r>
      <w:r w:rsidRPr="006C40C1">
        <w:rPr>
          <w:i/>
        </w:rPr>
        <w:t>Fi230</w:t>
      </w:r>
      <w:r w:rsidRPr="006C40C1">
        <w:t xml:space="preserve"> från </w:t>
      </w:r>
      <w:r w:rsidRPr="006C40C1">
        <w:rPr>
          <w:i/>
        </w:rPr>
        <w:t>Socialdemokraterna</w:t>
      </w:r>
      <w:r w:rsidRPr="006C40C1">
        <w:t xml:space="preserve">, </w:t>
      </w:r>
      <w:r w:rsidRPr="006C40C1">
        <w:rPr>
          <w:i/>
        </w:rPr>
        <w:t>Vänsterpartiet</w:t>
      </w:r>
      <w:r w:rsidRPr="006C40C1">
        <w:t xml:space="preserve"> och </w:t>
      </w:r>
      <w:r w:rsidRPr="006C40C1">
        <w:rPr>
          <w:i/>
        </w:rPr>
        <w:t xml:space="preserve">Miljöpartiet de gröna  </w:t>
      </w:r>
      <w:r w:rsidRPr="006C40C1">
        <w:t xml:space="preserve">yrkande 4 föreslås att anslaget 23:7 </w:t>
      </w:r>
      <w:r w:rsidRPr="006C40C1">
        <w:rPr>
          <w:i/>
        </w:rPr>
        <w:t>Ombudsmannen mot diskrimin</w:t>
      </w:r>
      <w:r w:rsidRPr="006C40C1">
        <w:rPr>
          <w:i/>
        </w:rPr>
        <w:t>e</w:t>
      </w:r>
      <w:r w:rsidRPr="006C40C1">
        <w:rPr>
          <w:i/>
        </w:rPr>
        <w:t>ring på grund av sexuell läggning (HomO)</w:t>
      </w:r>
      <w:r w:rsidRPr="006C40C1">
        <w:t xml:space="preserve"> inom utgiftsområdet tillförs 2  miljoner kronor utöver regeringens förslag. Motionärerna påpekar att O</w:t>
      </w:r>
      <w:r w:rsidRPr="006C40C1">
        <w:t>m</w:t>
      </w:r>
      <w:r w:rsidRPr="006C40C1">
        <w:t>budsmannen mot diskriminering på grund av sexuell läggning har fått ökade uppgifter och permanent högre kostnader för sin verksamhet. De vill möjli</w:t>
      </w:r>
      <w:r w:rsidRPr="006C40C1">
        <w:t>g</w:t>
      </w:r>
      <w:r w:rsidRPr="006C40C1">
        <w:t>göra att ombudsmannen får myndighetsansvaret för homofobi. Motionärerna anser därf</w:t>
      </w:r>
      <w:r w:rsidRPr="006C40C1">
        <w:t>ör att anslaget ska öka med 2 miljoner kronor 2003.</w:t>
      </w:r>
    </w:p>
    <w:p w:rsidR="00AA5D77" w:rsidRPr="006C40C1" w:rsidRDefault="00AA5D77">
      <w:pPr>
        <w:pStyle w:val="Normaltindrag"/>
      </w:pPr>
      <w:r w:rsidRPr="006C40C1">
        <w:rPr>
          <w:i/>
        </w:rPr>
        <w:t>Moderata samlingspartiet</w:t>
      </w:r>
      <w:r w:rsidRPr="006C40C1">
        <w:t xml:space="preserve"> föreslår i </w:t>
      </w:r>
      <w:r w:rsidRPr="006C40C1">
        <w:rPr>
          <w:i/>
        </w:rPr>
        <w:t>motion Fi231</w:t>
      </w:r>
      <w:r w:rsidRPr="006C40C1">
        <w:t xml:space="preserve"> en minskning av ramen och föreslår en delvis annan myndighetsstruktur under utgiftsområdet. Alla ombudsmän mot diskriminering bör samlas i en myndighet. Medlingsinstit</w:t>
      </w:r>
      <w:r w:rsidRPr="006C40C1">
        <w:t>u</w:t>
      </w:r>
      <w:r w:rsidRPr="006C40C1">
        <w:t>tets uppgifter bör begränsas. Vidare bör arbetsmarknadsmyndigheternas fö</w:t>
      </w:r>
      <w:r w:rsidRPr="006C40C1">
        <w:t>r</w:t>
      </w:r>
      <w:r w:rsidRPr="006C40C1">
        <w:t>valtningskos</w:t>
      </w:r>
      <w:r w:rsidRPr="006C40C1">
        <w:t>t</w:t>
      </w:r>
      <w:r w:rsidRPr="006C40C1">
        <w:t>nader reduceras successivt.</w:t>
      </w:r>
    </w:p>
    <w:p w:rsidR="00AA5D77" w:rsidRPr="006C40C1" w:rsidRDefault="00AA5D77">
      <w:pPr>
        <w:pStyle w:val="Normaltindrag"/>
      </w:pPr>
      <w:r w:rsidRPr="006C40C1">
        <w:rPr>
          <w:i/>
        </w:rPr>
        <w:t xml:space="preserve">Folkpartiet </w:t>
      </w:r>
      <w:r w:rsidRPr="006C40C1">
        <w:t>föreslår i</w:t>
      </w:r>
      <w:r w:rsidRPr="006C40C1">
        <w:rPr>
          <w:i/>
        </w:rPr>
        <w:t xml:space="preserve"> motion Fi232</w:t>
      </w:r>
      <w:r w:rsidRPr="006C40C1">
        <w:t xml:space="preserve"> att anslaget ska minskas för Arbet</w:t>
      </w:r>
      <w:r w:rsidRPr="006C40C1">
        <w:t>s</w:t>
      </w:r>
      <w:r w:rsidRPr="006C40C1">
        <w:t>miljöverket och Arbetslivsinstitutet samt att anslaget till särskilda utbil</w:t>
      </w:r>
      <w:r w:rsidRPr="006C40C1">
        <w:t>d</w:t>
      </w:r>
      <w:r w:rsidRPr="006C40C1">
        <w:t xml:space="preserve">ningsinsatser ska reduceras. </w:t>
      </w:r>
    </w:p>
    <w:p w:rsidR="00AA5D77" w:rsidRPr="006C40C1" w:rsidRDefault="00AA5D77">
      <w:pPr>
        <w:pStyle w:val="Normaltindrag"/>
      </w:pPr>
      <w:r w:rsidRPr="006C40C1">
        <w:rPr>
          <w:i/>
        </w:rPr>
        <w:t>Kristdemokraterna</w:t>
      </w:r>
      <w:r w:rsidRPr="006C40C1">
        <w:t xml:space="preserve"> förordar i </w:t>
      </w:r>
      <w:r w:rsidRPr="006C40C1">
        <w:rPr>
          <w:i/>
        </w:rPr>
        <w:t xml:space="preserve">motion Fi233 </w:t>
      </w:r>
      <w:r w:rsidRPr="006C40C1">
        <w:t>en minskning av ramen. B</w:t>
      </w:r>
      <w:r w:rsidRPr="006C40C1">
        <w:t>e</w:t>
      </w:r>
      <w:r w:rsidRPr="006C40C1">
        <w:t xml:space="preserve">sparingar kan göras på Arbetsmiljöverket. Vidare bör Arbetslivsinstitutet ses över och avvecklas på tre års sikt. </w:t>
      </w:r>
    </w:p>
    <w:p w:rsidR="00AA5D77" w:rsidRPr="006C40C1" w:rsidRDefault="00AA5D77">
      <w:pPr>
        <w:pStyle w:val="Normaltindrag"/>
      </w:pPr>
      <w:r w:rsidRPr="006C40C1">
        <w:rPr>
          <w:i/>
        </w:rPr>
        <w:t>Centerpartiet</w:t>
      </w:r>
      <w:r w:rsidRPr="006C40C1">
        <w:t xml:space="preserve"> föreslår i </w:t>
      </w:r>
      <w:r w:rsidRPr="006C40C1">
        <w:rPr>
          <w:i/>
        </w:rPr>
        <w:t>motion Fi234</w:t>
      </w:r>
      <w:r w:rsidRPr="006C40C1">
        <w:t xml:space="preserve"> en minskning av ramen. Motionäre</w:t>
      </w:r>
      <w:r w:rsidRPr="006C40C1">
        <w:t>r</w:t>
      </w:r>
      <w:r w:rsidRPr="006C40C1">
        <w:t>na anser att anslaget till Arbetsmiljöverket inte ska höjas och att Arbetslivsi</w:t>
      </w:r>
      <w:r w:rsidRPr="006C40C1">
        <w:t>n</w:t>
      </w:r>
      <w:r w:rsidRPr="006C40C1">
        <w:t>stit</w:t>
      </w:r>
      <w:r w:rsidRPr="006C40C1">
        <w:t>u</w:t>
      </w:r>
      <w:r w:rsidRPr="006C40C1">
        <w:t xml:space="preserve">tet ska avvecklas. </w:t>
      </w:r>
    </w:p>
    <w:p w:rsidR="00AA5D77" w:rsidRPr="006C40C1" w:rsidRDefault="00AA5D77">
      <w:pPr>
        <w:pStyle w:val="R4"/>
      </w:pPr>
      <w:r w:rsidRPr="006C40C1">
        <w:t>Arbetsmarknadsutskottets yttrande</w:t>
      </w:r>
    </w:p>
    <w:p w:rsidR="00AA5D77" w:rsidRPr="006C40C1" w:rsidRDefault="00AA5D77">
      <w:r w:rsidRPr="006C40C1">
        <w:t>Arbetsmarknadsutskottet tillstyrker i sitt yttrande (AU1y) regeringens förslag  till ram för utgiftsområdet och motion Fi230 (yrkande 4) tillstyrks i berörda delar. Företrädarna för Moderata samlingspartiet, Folkpartiet liberalerna, Kristdemokraterna och Centerpartiet är i en gemensam avvikande mening mycket oroade för utvecklingen på den svenska arbetsmarknaden. Företräda</w:t>
      </w:r>
      <w:r w:rsidRPr="006C40C1">
        <w:t>r</w:t>
      </w:r>
      <w:r w:rsidRPr="006C40C1">
        <w:t>na för Moderata samlingspartiet, Folkpartiet liberalerna, Kristdemokraterna och Centerpartiet biträder också i var sin avvikande mening sina  partiers  respe</w:t>
      </w:r>
      <w:r w:rsidRPr="006C40C1">
        <w:t>k</w:t>
      </w:r>
      <w:r w:rsidRPr="006C40C1">
        <w:t>tive förslag.</w:t>
      </w:r>
    </w:p>
    <w:p w:rsidR="00AA5D77" w:rsidRPr="006C40C1" w:rsidRDefault="00AA5D77">
      <w:pPr>
        <w:rPr>
          <w:i/>
        </w:rPr>
      </w:pPr>
    </w:p>
    <w:p w:rsidR="00AA5D77" w:rsidRPr="006C40C1" w:rsidRDefault="00AA5D77">
      <w:pPr>
        <w:rPr>
          <w:i/>
          <w:sz w:val="21"/>
        </w:rPr>
      </w:pPr>
      <w:r w:rsidRPr="006C40C1">
        <w:rPr>
          <w:i/>
          <w:sz w:val="21"/>
        </w:rPr>
        <w:t>Finansutskottets ställningstagande</w:t>
      </w:r>
    </w:p>
    <w:p w:rsidR="00AA5D77" w:rsidRPr="006C40C1" w:rsidRDefault="00AA5D77">
      <w:r w:rsidRPr="006C40C1">
        <w:t>Finansutskottet har tidigare i betänkandet (avsnitten 2.4.3 och 2.6) redovisat sin bedömning av fördelningen av utgifterna på utgiftsområden för budgetåret 2003. Finansutskottet delar arbetsmarknadsutskottets uppfattning att det finns skäl att utöka ramen för utgiftsområdet 2003 med 2 miljoner kronor med hänsyn till att Ombudsmannen mot diskriminering på grund av sexuell läg</w:t>
      </w:r>
      <w:r w:rsidRPr="006C40C1">
        <w:t>g</w:t>
      </w:r>
      <w:r w:rsidRPr="006C40C1">
        <w:t>ning fått ökade arbetsuppgifter. Därmed biträder utskottet Socialdemokrate</w:t>
      </w:r>
      <w:r w:rsidRPr="006C40C1">
        <w:t>r</w:t>
      </w:r>
      <w:r w:rsidRPr="006C40C1">
        <w:t>na, Vänsterpartiet och Miljöpartiet de grönas förslag i motion</w:t>
      </w:r>
      <w:r w:rsidRPr="006C40C1">
        <w:rPr>
          <w:i/>
        </w:rPr>
        <w:t xml:space="preserve"> </w:t>
      </w:r>
      <w:r w:rsidRPr="006C40C1">
        <w:t>Fi230</w:t>
      </w:r>
      <w:r w:rsidRPr="006C40C1">
        <w:rPr>
          <w:i/>
        </w:rPr>
        <w:t>.</w:t>
      </w:r>
      <w:r w:rsidRPr="006C40C1">
        <w:t xml:space="preserve"> </w:t>
      </w:r>
    </w:p>
    <w:p w:rsidR="00AA5D77" w:rsidRPr="006C40C1" w:rsidRDefault="00AA5D77">
      <w:pPr>
        <w:pStyle w:val="Normaltindrag"/>
      </w:pPr>
      <w:r w:rsidRPr="006C40C1">
        <w:t>Finansutskottet föreslår mot denna bakgrund att ramen för utgiftsområde 14 år 2003 fastställs till 1 150 miljoner kronor. Därmed tillstyrker utskottet propositionen med den uppjustering på 2 miljoner kronor som föreslås i m</w:t>
      </w:r>
      <w:r w:rsidRPr="006C40C1">
        <w:t>o</w:t>
      </w:r>
      <w:r w:rsidRPr="006C40C1">
        <w:t>tion Fi230 (s, v, mp) samt avstyrker övriga motioners förslag till alternativa ramar.</w:t>
      </w:r>
    </w:p>
    <w:p w:rsidR="00AA5D77" w:rsidRPr="006C40C1" w:rsidRDefault="00AA5D77">
      <w:pPr>
        <w:pStyle w:val="Rubrik3"/>
        <w:rPr>
          <w:noProof w:val="0"/>
        </w:rPr>
      </w:pPr>
      <w:bookmarkStart w:id="617" w:name="_Toc25397631"/>
      <w:bookmarkStart w:id="618" w:name="_Toc26191564"/>
      <w:r w:rsidRPr="006C40C1">
        <w:rPr>
          <w:noProof w:val="0"/>
        </w:rPr>
        <w:t>4.1.15 Utgiftsområde 15 Studiestöd</w:t>
      </w:r>
      <w:bookmarkEnd w:id="617"/>
      <w:bookmarkEnd w:id="618"/>
    </w:p>
    <w:p w:rsidR="00AA5D77" w:rsidRPr="006C40C1" w:rsidRDefault="00AA5D77">
      <w:r w:rsidRPr="006C40C1">
        <w:t>Utgiftsområdet omfattar statens utgifter för finansiering av studier på gymn</w:t>
      </w:r>
      <w:r w:rsidRPr="006C40C1">
        <w:t>a</w:t>
      </w:r>
      <w:r w:rsidRPr="006C40C1">
        <w:t>sienivå, vuxenstudier samt högskola.</w:t>
      </w:r>
    </w:p>
    <w:p w:rsidR="00AA5D77" w:rsidRPr="006C40C1" w:rsidRDefault="00AA5D77">
      <w:pPr>
        <w:pStyle w:val="Normaltindrag"/>
      </w:pPr>
      <w:r w:rsidRPr="006C40C1">
        <w:t>För 2002 beräknas de totala utgifterna för utgiftsområdet uppgå till ca 21 137 miljoner kronor.</w:t>
      </w:r>
    </w:p>
    <w:p w:rsidR="00AA5D77" w:rsidRPr="006C40C1" w:rsidRDefault="00AA5D77">
      <w:pPr>
        <w:pStyle w:val="R4"/>
      </w:pPr>
      <w:r w:rsidRPr="006C40C1">
        <w:t>Budgetpropositionen</w:t>
      </w:r>
    </w:p>
    <w:p w:rsidR="00AA5D77" w:rsidRPr="006C40C1" w:rsidRDefault="00AA5D77">
      <w:r w:rsidRPr="006C40C1">
        <w:t>I budgetpropositionen (avsnitt 6.3) förklaras förändringen av utgiftsområde</w:t>
      </w:r>
      <w:r w:rsidRPr="006C40C1">
        <w:t>s</w:t>
      </w:r>
      <w:r w:rsidRPr="006C40C1">
        <w:t>ramen 2002 jämfört med beräkningen i vårpropositionen i huvudsak med korrigeringar för revideringar av prisbasbeloppet, men även med en lägre prognos för antalet studerande med studiestöd. Utgiftsområdesramen höjs med 243 miljoner kronor 2003 och ytterligare 1 227 miljoner 2004. Skilln</w:t>
      </w:r>
      <w:r w:rsidRPr="006C40C1">
        <w:t>a</w:t>
      </w:r>
      <w:r w:rsidRPr="006C40C1">
        <w:t>den i jämförelse med 2002 förklaras till stor del av den neddragning som gjordes 2002 för att finansiera ökade lönegarantikostnader. Andra förklarin</w:t>
      </w:r>
      <w:r w:rsidRPr="006C40C1">
        <w:t>g</w:t>
      </w:r>
      <w:r w:rsidRPr="006C40C1">
        <w:t>ar till den föreslagna höjningen är ökade kostnader för studiehjälp, stigan</w:t>
      </w:r>
      <w:r w:rsidRPr="006C40C1">
        <w:t>de räntekostnader och höjningen av prisbasbeloppet. Ett nytt rekryteringsbidrag för vuxenstud</w:t>
      </w:r>
      <w:r w:rsidRPr="006C40C1">
        <w:t>e</w:t>
      </w:r>
      <w:r w:rsidRPr="006C40C1">
        <w:t>rande införs 2003, medan andra vuxenstöd fasas ut.</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Tabelltext"/>
      </w:pPr>
    </w:p>
    <w:p w:rsidR="00AA5D77" w:rsidRPr="006C40C1" w:rsidRDefault="00AA5D77">
      <w:pPr>
        <w:pStyle w:val="Tabelltext"/>
        <w:rPr>
          <w:b/>
        </w:rPr>
      </w:pPr>
      <w:r w:rsidRPr="006C40C1">
        <w:rPr>
          <w:b/>
        </w:rPr>
        <w:t>Förslag till ram för utgiftsområde 15 Studiestöd</w:t>
      </w:r>
    </w:p>
    <w:p w:rsidR="00AA5D77" w:rsidRPr="006C40C1" w:rsidRDefault="00AA5D77">
      <w:pPr>
        <w:pStyle w:val="Tabellrubrik"/>
        <w:spacing w:before="0"/>
      </w:pPr>
      <w:r w:rsidRPr="006C40C1">
        <w:rPr>
          <w:caps w:val="0"/>
        </w:rPr>
        <w:t>Belopp i miljoner kronor</w:t>
      </w:r>
    </w:p>
    <w:p w:rsidR="00AA5D77" w:rsidRPr="006C40C1" w:rsidRDefault="006C40C1">
      <w:r w:rsidRPr="006C40C1">
        <w:rPr>
          <w:noProof/>
        </w:rPr>
        <w:drawing>
          <wp:inline distT="0" distB="0" distL="0" distR="0">
            <wp:extent cx="3777615" cy="805815"/>
            <wp:effectExtent l="0" t="0" r="0" b="0"/>
            <wp:docPr id="70"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R4"/>
      </w:pPr>
      <w:r w:rsidRPr="006C40C1">
        <w:t>Motionerna</w:t>
      </w:r>
    </w:p>
    <w:p w:rsidR="00AA5D77" w:rsidRPr="006C40C1" w:rsidRDefault="00AA5D77">
      <w:r w:rsidRPr="006C40C1">
        <w:rPr>
          <w:i/>
        </w:rPr>
        <w:t xml:space="preserve">Socialdemokraterna, Vänsterpartiet </w:t>
      </w:r>
      <w:r w:rsidRPr="006C40C1">
        <w:t>och</w:t>
      </w:r>
      <w:r w:rsidRPr="006C40C1">
        <w:rPr>
          <w:i/>
        </w:rPr>
        <w:t xml:space="preserve"> Miljöpartiet de gröna</w:t>
      </w:r>
      <w:r w:rsidRPr="006C40C1">
        <w:t xml:space="preserve"> föreslår i </w:t>
      </w:r>
      <w:r w:rsidRPr="006C40C1">
        <w:rPr>
          <w:i/>
        </w:rPr>
        <w:t>m</w:t>
      </w:r>
      <w:r w:rsidRPr="006C40C1">
        <w:rPr>
          <w:i/>
        </w:rPr>
        <w:t>o</w:t>
      </w:r>
      <w:r w:rsidRPr="006C40C1">
        <w:rPr>
          <w:i/>
        </w:rPr>
        <w:t xml:space="preserve">tion Fi230 </w:t>
      </w:r>
      <w:r w:rsidRPr="006C40C1">
        <w:t>en sänkning av ramen. Pengarna tas från anslaget till det rekryt</w:t>
      </w:r>
      <w:r w:rsidRPr="006C40C1">
        <w:t>e</w:t>
      </w:r>
      <w:r w:rsidRPr="006C40C1">
        <w:t>ringsbidrag som införs 2003, men bedöms inte påverka verksamheten, då användandet av medlen väntas bli lägre än vad som ansl</w:t>
      </w:r>
      <w:r w:rsidRPr="006C40C1">
        <w:t>a</w:t>
      </w:r>
      <w:r w:rsidRPr="006C40C1">
        <w:t>gits.</w:t>
      </w:r>
    </w:p>
    <w:p w:rsidR="00AA5D77" w:rsidRPr="006C40C1" w:rsidRDefault="00AA5D77">
      <w:pPr>
        <w:pStyle w:val="Normaltindrag"/>
      </w:pPr>
      <w:r w:rsidRPr="006C40C1">
        <w:rPr>
          <w:i/>
        </w:rPr>
        <w:t>Moderata samlingspartiet</w:t>
      </w:r>
      <w:r w:rsidRPr="006C40C1">
        <w:t xml:space="preserve"> avvisar i </w:t>
      </w:r>
      <w:r w:rsidRPr="006C40C1">
        <w:rPr>
          <w:i/>
        </w:rPr>
        <w:t>motion Fi231</w:t>
      </w:r>
      <w:r w:rsidRPr="006C40C1">
        <w:t xml:space="preserve"> det av regeringen för</w:t>
      </w:r>
      <w:r w:rsidRPr="006C40C1">
        <w:t>e</w:t>
      </w:r>
      <w:r w:rsidRPr="006C40C1">
        <w:t>slagna rekryteringsstödet, liksom anslaget till korttidsstudier fördelade av vissa organisationer.</w:t>
      </w:r>
      <w:r w:rsidRPr="006C40C1">
        <w:rPr>
          <w:i/>
        </w:rPr>
        <w:t xml:space="preserve"> </w:t>
      </w:r>
      <w:r w:rsidRPr="006C40C1">
        <w:t>Medel för vuxenutbildningsstöd, liksom stödet vid kor</w:t>
      </w:r>
      <w:r w:rsidRPr="006C40C1">
        <w:t>t</w:t>
      </w:r>
      <w:r w:rsidRPr="006C40C1">
        <w:t>tidsstudier, förs i stället in under ett höjt studiemedelsansl</w:t>
      </w:r>
      <w:r w:rsidRPr="006C40C1">
        <w:t>a</w:t>
      </w:r>
      <w:r w:rsidRPr="006C40C1">
        <w:t xml:space="preserve">g. </w:t>
      </w:r>
    </w:p>
    <w:p w:rsidR="00AA5D77" w:rsidRPr="006C40C1" w:rsidRDefault="00AA5D77">
      <w:pPr>
        <w:pStyle w:val="Normaltindrag"/>
      </w:pPr>
      <w:r w:rsidRPr="006C40C1">
        <w:rPr>
          <w:i/>
        </w:rPr>
        <w:t>Folkpartiet liberalerna</w:t>
      </w:r>
      <w:r w:rsidRPr="006C40C1">
        <w:t xml:space="preserve"> föreslår i </w:t>
      </w:r>
      <w:r w:rsidRPr="006C40C1">
        <w:rPr>
          <w:i/>
        </w:rPr>
        <w:t>motion Fi232</w:t>
      </w:r>
      <w:r w:rsidRPr="006C40C1">
        <w:t xml:space="preserve"> att rekryteringsstödet inte införs. I stället kan de vuxenstuderande utnyttja studiemedelssystemet med de gynnsammare regler för vuxenstuderande över en viss ålder som föreslås i partiets kommittémotion. Partiets lägre nivå på studiemedelsanslagen förkl</w:t>
      </w:r>
      <w:r w:rsidRPr="006C40C1">
        <w:t>a</w:t>
      </w:r>
      <w:r w:rsidRPr="006C40C1">
        <w:t>ras av ett antagande om lägre antal vuxenstuderande än regerin</w:t>
      </w:r>
      <w:r w:rsidRPr="006C40C1">
        <w:t>g</w:t>
      </w:r>
      <w:r w:rsidRPr="006C40C1">
        <w:t>en.</w:t>
      </w:r>
    </w:p>
    <w:p w:rsidR="00AA5D77" w:rsidRPr="006C40C1" w:rsidRDefault="00AA5D77">
      <w:pPr>
        <w:pStyle w:val="Normaltindrag"/>
      </w:pPr>
      <w:r w:rsidRPr="006C40C1">
        <w:rPr>
          <w:i/>
        </w:rPr>
        <w:t>Kristdemokraterna</w:t>
      </w:r>
      <w:r w:rsidRPr="006C40C1">
        <w:t xml:space="preserve"> räknar i </w:t>
      </w:r>
      <w:r w:rsidRPr="006C40C1">
        <w:rPr>
          <w:i/>
        </w:rPr>
        <w:t>motion Fi233</w:t>
      </w:r>
      <w:r w:rsidRPr="006C40C1">
        <w:t xml:space="preserve"> med något lägre kostnader för studiemedelsutvecklingen än regeringen som ett resultat av en lägre utbyg</w:t>
      </w:r>
      <w:r w:rsidRPr="006C40C1">
        <w:t>g</w:t>
      </w:r>
      <w:r w:rsidRPr="006C40C1">
        <w:t>nadstakt av högskoleutbildningen. Partiet vill också minska korttidsstudiest</w:t>
      </w:r>
      <w:r w:rsidRPr="006C40C1">
        <w:t>ö</w:t>
      </w:r>
      <w:r w:rsidRPr="006C40C1">
        <w:t>det. För 2004 aviseras en större reform då regeringens rekryteringsstöd byts mot full bidragsandel i studiestödet till äldre vuxenstudera</w:t>
      </w:r>
      <w:r w:rsidRPr="006C40C1">
        <w:t>n</w:t>
      </w:r>
      <w:r w:rsidRPr="006C40C1">
        <w:t xml:space="preserve">de. </w:t>
      </w:r>
    </w:p>
    <w:p w:rsidR="00AA5D77" w:rsidRPr="006C40C1" w:rsidRDefault="00AA5D77">
      <w:pPr>
        <w:pStyle w:val="Normaltindrag"/>
      </w:pPr>
      <w:r w:rsidRPr="006C40C1">
        <w:rPr>
          <w:i/>
        </w:rPr>
        <w:t>Centerpartiet</w:t>
      </w:r>
      <w:r w:rsidRPr="006C40C1">
        <w:t xml:space="preserve"> föreslår i </w:t>
      </w:r>
      <w:r w:rsidRPr="006C40C1">
        <w:rPr>
          <w:i/>
        </w:rPr>
        <w:t>motion Fi234</w:t>
      </w:r>
      <w:r w:rsidRPr="006C40C1">
        <w:t xml:space="preserve"> en sänkning av ramen genom att a</w:t>
      </w:r>
      <w:r w:rsidRPr="006C40C1">
        <w:t>v</w:t>
      </w:r>
      <w:r w:rsidRPr="006C40C1">
        <w:t>visa regeringens förslag att utbetala studiebidrag till gymnasiestudenter tio i stället för nio månader om året. Från 2004 genomförs en studiemedelsreform med syftet att göra bidrags- och lånedelarna lika stora.</w:t>
      </w:r>
    </w:p>
    <w:p w:rsidR="00AA5D77" w:rsidRPr="006C40C1" w:rsidRDefault="00AA5D77">
      <w:pPr>
        <w:pStyle w:val="R4"/>
      </w:pPr>
      <w:r w:rsidRPr="006C40C1">
        <w:t xml:space="preserve">Utbildningsutskottet </w:t>
      </w:r>
      <w:r w:rsidRPr="006C40C1">
        <w:rPr>
          <w:i w:val="0"/>
          <w:sz w:val="19"/>
        </w:rPr>
        <w:t>har avstått från att yttra sig.</w:t>
      </w:r>
    </w:p>
    <w:p w:rsidR="00AA5D77" w:rsidRPr="006C40C1" w:rsidRDefault="00AA5D77">
      <w:pPr>
        <w:pStyle w:val="R4"/>
      </w:pPr>
      <w:r w:rsidRPr="006C40C1">
        <w:t>Finansutskottets ställningstagande</w:t>
      </w:r>
    </w:p>
    <w:p w:rsidR="00AA5D77" w:rsidRPr="006C40C1" w:rsidRDefault="00AA5D77">
      <w:r w:rsidRPr="006C40C1">
        <w:t xml:space="preserve">Finansutskottet har tidigare i betänkandet (avsnitten 2.4.3 och 2.6) redovisat sin bedömning av fördelningen av utgifterna på utgiftsområden för budgetåret 2003. </w:t>
      </w:r>
    </w:p>
    <w:p w:rsidR="00AA5D77" w:rsidRPr="006C40C1" w:rsidRDefault="00AA5D77">
      <w:pPr>
        <w:pStyle w:val="Normaltindrag"/>
      </w:pPr>
      <w:r w:rsidRPr="006C40C1">
        <w:t>Finansutskottet föreslår mot den bakgrunden att ramen för utgiftsomr</w:t>
      </w:r>
      <w:r w:rsidRPr="006C40C1">
        <w:t>å</w:t>
      </w:r>
      <w:r w:rsidRPr="006C40C1">
        <w:t>de 15 år 2003 fastställs till 21 600 miljoner kronor. Därmed tillstyrker u</w:t>
      </w:r>
      <w:r w:rsidRPr="006C40C1">
        <w:t>t</w:t>
      </w:r>
      <w:r w:rsidRPr="006C40C1">
        <w:t>skottet propositionen med den nedjustering på 250 miljoner kronor som för</w:t>
      </w:r>
      <w:r w:rsidRPr="006C40C1">
        <w:t>e</w:t>
      </w:r>
      <w:r w:rsidRPr="006C40C1">
        <w:t>slås i motion Fi230 (s, v, mp) samt avstyrker övriga motioners förslag till alternat</w:t>
      </w:r>
      <w:r w:rsidRPr="006C40C1">
        <w:t>i</w:t>
      </w:r>
      <w:r w:rsidRPr="006C40C1">
        <w:t>va ramar.</w:t>
      </w:r>
    </w:p>
    <w:p w:rsidR="00AA5D77" w:rsidRPr="006C40C1" w:rsidRDefault="00AA5D77">
      <w:pPr>
        <w:pStyle w:val="Rubrik3"/>
        <w:rPr>
          <w:noProof w:val="0"/>
        </w:rPr>
      </w:pPr>
      <w:bookmarkStart w:id="619" w:name="_Toc25397632"/>
      <w:bookmarkStart w:id="620" w:name="_Toc26191565"/>
      <w:r w:rsidRPr="006C40C1">
        <w:rPr>
          <w:noProof w:val="0"/>
        </w:rPr>
        <w:t>4.1.16 Utgiftsområde 16 Utbildning och universitetsforskning</w:t>
      </w:r>
      <w:bookmarkEnd w:id="619"/>
      <w:bookmarkEnd w:id="620"/>
    </w:p>
    <w:p w:rsidR="00AA5D77" w:rsidRPr="006C40C1" w:rsidRDefault="00AA5D77">
      <w:r w:rsidRPr="006C40C1">
        <w:t xml:space="preserve">Utgiftsområdet omfattar skola och barnomsorg, vuxenutbildning, kvalificerad yrkesutbildning, högskoleutbildning och forskning samt centrala myndigheter inom Utbildningsdepartementets ansvarsområde. </w:t>
      </w:r>
    </w:p>
    <w:p w:rsidR="00AA5D77" w:rsidRPr="006C40C1" w:rsidRDefault="00AA5D77">
      <w:pPr>
        <w:pStyle w:val="Normaltindrag"/>
      </w:pPr>
      <w:r w:rsidRPr="006C40C1">
        <w:t xml:space="preserve"> För 2002 beräknas de totala utgifterna för utgiftsområdet uppgå till ca 40 733 miljoner kronor.</w:t>
      </w:r>
    </w:p>
    <w:p w:rsidR="00AA5D77" w:rsidRPr="006C40C1" w:rsidRDefault="00AA5D77">
      <w:pPr>
        <w:pStyle w:val="R4"/>
      </w:pPr>
      <w:r w:rsidRPr="006C40C1">
        <w:t>Budgetpropositionen</w:t>
      </w:r>
    </w:p>
    <w:p w:rsidR="00AA5D77" w:rsidRPr="006C40C1" w:rsidRDefault="00AA5D77">
      <w:r w:rsidRPr="006C40C1">
        <w:t>I budgetpropositionen (avsnitt 6.3) förklaras förändringen av utgiftsområde</w:t>
      </w:r>
      <w:r w:rsidRPr="006C40C1">
        <w:t>s</w:t>
      </w:r>
      <w:r w:rsidRPr="006C40C1">
        <w:t xml:space="preserve">ramen i förhållande till beräkningen i vårpropositionen huvudsakligen av överföringar till och från andra utgiftsområden. Bland annat har anslag för forskningsverksamhet om belastningsskador överförts från utgiftsområde 14, medan medel för premier för statliga avtalsförsäkringar har överförts till andra utgiftsområden. Höjningen av utgiftsområdesramen 2003 förklaras huvudsakligen av de 1 000 miljoner kronor som tillförs anslag 25:10 </w:t>
      </w:r>
      <w:r w:rsidRPr="006C40C1">
        <w:rPr>
          <w:i/>
        </w:rPr>
        <w:t>Bidraget till personalförstärkningar i skola och fritidshem</w:t>
      </w:r>
      <w:r w:rsidRPr="006C40C1">
        <w:t>, med ett beräk</w:t>
      </w:r>
      <w:r w:rsidRPr="006C40C1">
        <w:t>nat tillskott på ytterligare 1 000 miljoner kronor för 2004. Enligt tidigare beslut tillförs des</w:t>
      </w:r>
      <w:r w:rsidRPr="006C40C1">
        <w:t>s</w:t>
      </w:r>
      <w:r w:rsidRPr="006C40C1">
        <w:t>utom ca 700 miljoner kronor från och med 2003 för utbyggnad av utbildning och forskning vid universitet och högskolor. Ytterligare 100 miljoner för kvalitetsfrämjande åtgärder inom högskoleutbildningen tillförs också från och med 2003, enligt tidigare b</w:t>
      </w:r>
      <w:r w:rsidRPr="006C40C1">
        <w:t>e</w:t>
      </w:r>
      <w:r w:rsidRPr="006C40C1">
        <w:t>slut.</w:t>
      </w:r>
    </w:p>
    <w:p w:rsidR="00AA5D77" w:rsidRPr="006C40C1" w:rsidRDefault="00AA5D77">
      <w:pPr>
        <w:pStyle w:val="Normaltindrag"/>
        <w:rPr>
          <w:b/>
        </w:rPr>
      </w:pPr>
      <w:r w:rsidRPr="006C40C1">
        <w:t>Propositionens och riksdagspartiernas förslag till ramnivå för utgiftsomr</w:t>
      </w:r>
      <w:r w:rsidRPr="006C40C1">
        <w:t>å</w:t>
      </w:r>
      <w:r w:rsidRPr="006C40C1">
        <w:t>det under åren 2003 och 2004 redovisas i efterföljande tabell.</w:t>
      </w:r>
      <w:r w:rsidRPr="006C40C1">
        <w:rPr>
          <w:b/>
        </w:rPr>
        <w:t xml:space="preserve"> </w:t>
      </w:r>
    </w:p>
    <w:p w:rsidR="00AA5D77" w:rsidRPr="006C40C1" w:rsidRDefault="00AA5D77">
      <w:pPr>
        <w:pStyle w:val="Tabelltext"/>
        <w:rPr>
          <w:b/>
        </w:rPr>
      </w:pPr>
    </w:p>
    <w:p w:rsidR="00AA5D77" w:rsidRPr="006C40C1" w:rsidRDefault="00AA5D77">
      <w:pPr>
        <w:pStyle w:val="Tabelltext"/>
        <w:rPr>
          <w:b/>
        </w:rPr>
      </w:pPr>
      <w:r w:rsidRPr="006C40C1">
        <w:rPr>
          <w:b/>
        </w:rPr>
        <w:t>Förslag till ram för utgiftsområde 16 Utbildning och universitetsforskning</w:t>
      </w:r>
    </w:p>
    <w:p w:rsidR="00AA5D77" w:rsidRPr="006C40C1" w:rsidRDefault="00AA5D77">
      <w:pPr>
        <w:pStyle w:val="Tabellrubrik"/>
        <w:spacing w:before="0"/>
      </w:pPr>
      <w:r w:rsidRPr="006C40C1">
        <w:rPr>
          <w:caps w:val="0"/>
        </w:rPr>
        <w:t>Belopp i miljoner kronor</w:t>
      </w:r>
    </w:p>
    <w:p w:rsidR="00AA5D77" w:rsidRPr="006C40C1" w:rsidRDefault="006C40C1">
      <w:r w:rsidRPr="006C40C1">
        <w:rPr>
          <w:noProof/>
        </w:rPr>
        <w:drawing>
          <wp:inline distT="0" distB="0" distL="0" distR="0">
            <wp:extent cx="3777615" cy="805815"/>
            <wp:effectExtent l="0" t="0" r="0" b="0"/>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R4"/>
      </w:pPr>
      <w:r w:rsidRPr="006C40C1">
        <w:t>Motionerna</w:t>
      </w:r>
    </w:p>
    <w:p w:rsidR="00AA5D77" w:rsidRPr="006C40C1" w:rsidRDefault="00AA5D77">
      <w:r w:rsidRPr="006C40C1">
        <w:t xml:space="preserve">Förslagen i </w:t>
      </w:r>
      <w:r w:rsidRPr="006C40C1">
        <w:rPr>
          <w:i/>
        </w:rPr>
        <w:t>motion Fi230</w:t>
      </w:r>
      <w:r w:rsidRPr="006C40C1">
        <w:t xml:space="preserve"> från </w:t>
      </w:r>
      <w:r w:rsidRPr="006C40C1">
        <w:rPr>
          <w:i/>
        </w:rPr>
        <w:t>Socialdemokraterna, Vänsterpartiet</w:t>
      </w:r>
      <w:r w:rsidRPr="006C40C1">
        <w:t xml:space="preserve"> och</w:t>
      </w:r>
      <w:r w:rsidRPr="006C40C1">
        <w:rPr>
          <w:i/>
        </w:rPr>
        <w:t xml:space="preserve"> Milj</w:t>
      </w:r>
      <w:r w:rsidRPr="006C40C1">
        <w:rPr>
          <w:i/>
        </w:rPr>
        <w:t>ö</w:t>
      </w:r>
      <w:r w:rsidRPr="006C40C1">
        <w:rPr>
          <w:i/>
        </w:rPr>
        <w:t>partiet de gröna</w:t>
      </w:r>
      <w:r w:rsidRPr="006C40C1">
        <w:t xml:space="preserve"> berör inte utgiftsområde 16.</w:t>
      </w:r>
    </w:p>
    <w:p w:rsidR="00AA5D77" w:rsidRPr="006C40C1" w:rsidRDefault="00AA5D77">
      <w:pPr>
        <w:pStyle w:val="Normaltindrag"/>
      </w:pPr>
      <w:r w:rsidRPr="006C40C1">
        <w:rPr>
          <w:i/>
        </w:rPr>
        <w:t>Moderata samlingspartiet</w:t>
      </w:r>
      <w:r w:rsidRPr="006C40C1">
        <w:t xml:space="preserve"> föreslår i </w:t>
      </w:r>
      <w:r w:rsidRPr="006C40C1">
        <w:rPr>
          <w:i/>
        </w:rPr>
        <w:t>motion Fi231</w:t>
      </w:r>
      <w:r w:rsidRPr="006C40C1">
        <w:t xml:space="preserve"> en tydlig kvalitetssat</w:t>
      </w:r>
      <w:r w:rsidRPr="006C40C1">
        <w:t>s</w:t>
      </w:r>
      <w:r w:rsidRPr="006C40C1">
        <w:t>ning på skolan. Den största reformen i detta avseende är införandet av en nationell skolpeng som belastar utgiftsområdet med 70 000 miljoner kronor utöver propositionen för 2004. För 2003 skapas ett särskilt anslag för den kvalificerade yrkesutbildningen, medan Kunskapslyftsprojektet fasas ut. Anslag till grund- och forskarutbil</w:t>
      </w:r>
      <w:r w:rsidRPr="006C40C1">
        <w:t>d</w:t>
      </w:r>
      <w:r w:rsidRPr="006C40C1">
        <w:t>ning, samt forskning höjs.</w:t>
      </w:r>
    </w:p>
    <w:p w:rsidR="00AA5D77" w:rsidRPr="006C40C1" w:rsidRDefault="00AA5D77">
      <w:pPr>
        <w:pStyle w:val="Normaltindrag"/>
      </w:pPr>
      <w:r w:rsidRPr="006C40C1">
        <w:rPr>
          <w:i/>
        </w:rPr>
        <w:t>Folkpartiet liberalerna</w:t>
      </w:r>
      <w:r w:rsidRPr="006C40C1">
        <w:t xml:space="preserve"> förordar i </w:t>
      </w:r>
      <w:r w:rsidRPr="006C40C1">
        <w:rPr>
          <w:i/>
        </w:rPr>
        <w:t>motion Fi232</w:t>
      </w:r>
      <w:r w:rsidRPr="006C40C1">
        <w:t xml:space="preserve"> en särskild satsning på de universitet och högskolor som har högt studerandetryck. Forskning och for</w:t>
      </w:r>
      <w:r w:rsidRPr="006C40C1">
        <w:t>s</w:t>
      </w:r>
      <w:r w:rsidRPr="006C40C1">
        <w:t>karutbildning stärks genom höjda fakultetsanslag, samtidigt som vuxenutbil</w:t>
      </w:r>
      <w:r w:rsidRPr="006C40C1">
        <w:t>d</w:t>
      </w:r>
      <w:r w:rsidRPr="006C40C1">
        <w:t>nin</w:t>
      </w:r>
      <w:r w:rsidRPr="006C40C1">
        <w:t>g</w:t>
      </w:r>
      <w:r w:rsidRPr="006C40C1">
        <w:t>ens och Vetenskapsrådets anslag minskas.</w:t>
      </w:r>
    </w:p>
    <w:p w:rsidR="00AA5D77" w:rsidRPr="006C40C1" w:rsidRDefault="00AA5D77">
      <w:pPr>
        <w:pStyle w:val="Normaltindrag"/>
      </w:pPr>
      <w:r w:rsidRPr="006C40C1">
        <w:t xml:space="preserve">  </w:t>
      </w:r>
      <w:r w:rsidRPr="006C40C1">
        <w:rPr>
          <w:i/>
        </w:rPr>
        <w:t>Kristdemokraterna</w:t>
      </w:r>
      <w:r w:rsidRPr="006C40C1">
        <w:t xml:space="preserve"> avvisar i </w:t>
      </w:r>
      <w:r w:rsidRPr="006C40C1">
        <w:rPr>
          <w:i/>
        </w:rPr>
        <w:t>motion Fi233</w:t>
      </w:r>
      <w:r w:rsidRPr="006C40C1">
        <w:t xml:space="preserve"> regeringens centralstyrda sko</w:t>
      </w:r>
      <w:r w:rsidRPr="006C40C1">
        <w:t>l</w:t>
      </w:r>
      <w:r w:rsidRPr="006C40C1">
        <w:t>satsning genom att växla propositionens föreslagna bidrag till personalfö</w:t>
      </w:r>
      <w:r w:rsidRPr="006C40C1">
        <w:t>r</w:t>
      </w:r>
      <w:r w:rsidRPr="006C40C1">
        <w:t>tärkningar i skola och fritidshem mot en höjning av det generella statsbidraget till kommunerna under utgiftsområde 25.</w:t>
      </w:r>
    </w:p>
    <w:p w:rsidR="00AA5D77" w:rsidRPr="006C40C1" w:rsidRDefault="00AA5D77">
      <w:pPr>
        <w:pStyle w:val="Normaltindrag"/>
      </w:pPr>
      <w:r w:rsidRPr="006C40C1">
        <w:rPr>
          <w:i/>
        </w:rPr>
        <w:t>Centerpartiet</w:t>
      </w:r>
      <w:r w:rsidRPr="006C40C1">
        <w:t xml:space="preserve"> framhåller i </w:t>
      </w:r>
      <w:r w:rsidRPr="006C40C1">
        <w:rPr>
          <w:i/>
        </w:rPr>
        <w:t>motion Fi234</w:t>
      </w:r>
      <w:r w:rsidRPr="006C40C1">
        <w:t xml:space="preserve"> att utbyggnaden av den högre u</w:t>
      </w:r>
      <w:r w:rsidRPr="006C40C1">
        <w:t>t</w:t>
      </w:r>
      <w:r w:rsidRPr="006C40C1">
        <w:t>bildningen i hela landet måste följas upp med en ytterligare satsning om totalt 386 miljoner kronor för att säkra kvaliteten och stärka forskningen. Medel från regeringens särskilda skolsatsning förs över till utgiftsområde 25.</w:t>
      </w:r>
    </w:p>
    <w:p w:rsidR="00AA5D77" w:rsidRPr="006C40C1" w:rsidRDefault="00AA5D77">
      <w:pPr>
        <w:pStyle w:val="R4"/>
      </w:pPr>
      <w:r w:rsidRPr="006C40C1">
        <w:t xml:space="preserve">Utbildningsutskottet </w:t>
      </w:r>
      <w:r w:rsidRPr="006C40C1">
        <w:rPr>
          <w:i w:val="0"/>
          <w:sz w:val="19"/>
        </w:rPr>
        <w:t>har avstått från att yttra sig.</w:t>
      </w:r>
    </w:p>
    <w:p w:rsidR="00AA5D77" w:rsidRPr="006C40C1" w:rsidRDefault="00AA5D77">
      <w:pPr>
        <w:pStyle w:val="R4"/>
      </w:pPr>
      <w:r w:rsidRPr="006C40C1">
        <w:t>Finansutskottets ställningstagande</w:t>
      </w:r>
    </w:p>
    <w:p w:rsidR="00AA5D77" w:rsidRPr="006C40C1" w:rsidRDefault="00AA5D77">
      <w:r w:rsidRPr="006C40C1">
        <w:t xml:space="preserve">Finansutskottet har tidigare i betänkandet (avsnitten 2.4.3 och 2.6) redovisat sin bedömning av fördelningen av utgifterna på utgiftsområden för budgetåret 2003. </w:t>
      </w:r>
    </w:p>
    <w:p w:rsidR="00AA5D77" w:rsidRPr="006C40C1" w:rsidRDefault="00AA5D77">
      <w:pPr>
        <w:pStyle w:val="Normaltindrag"/>
      </w:pPr>
      <w:r w:rsidRPr="006C40C1">
        <w:t>Finansutskottet föreslår mot den bakgrunden att ramen för utgiftsomr</w:t>
      </w:r>
      <w:r w:rsidRPr="006C40C1">
        <w:t>å</w:t>
      </w:r>
      <w:r w:rsidRPr="006C40C1">
        <w:t>de 16 år 2003 fastställs till 42 387 miljoner kronor. Därmed tillstyrker u</w:t>
      </w:r>
      <w:r w:rsidRPr="006C40C1">
        <w:t>t</w:t>
      </w:r>
      <w:r w:rsidRPr="006C40C1">
        <w:t>skottet propositi</w:t>
      </w:r>
      <w:r w:rsidRPr="006C40C1">
        <w:t>o</w:t>
      </w:r>
      <w:r w:rsidRPr="006C40C1">
        <w:t>nen och avstyrker motionernas förslag till alternativa ramar.</w:t>
      </w:r>
    </w:p>
    <w:p w:rsidR="00AA5D77" w:rsidRPr="006C40C1" w:rsidRDefault="00AA5D77">
      <w:pPr>
        <w:pStyle w:val="Rubrik3"/>
        <w:rPr>
          <w:noProof w:val="0"/>
        </w:rPr>
      </w:pPr>
      <w:bookmarkStart w:id="621" w:name="_Toc25397633"/>
      <w:bookmarkStart w:id="622" w:name="_Toc26191566"/>
      <w:r w:rsidRPr="006C40C1">
        <w:rPr>
          <w:noProof w:val="0"/>
        </w:rPr>
        <w:t>4.1.17 Utgiftsområde 17 Kultur, medier, trossamfund och fritid</w:t>
      </w:r>
      <w:bookmarkEnd w:id="621"/>
      <w:bookmarkEnd w:id="622"/>
    </w:p>
    <w:p w:rsidR="00AA5D77" w:rsidRPr="006C40C1" w:rsidRDefault="00AA5D77">
      <w:r w:rsidRPr="006C40C1">
        <w:t>Utgiftsområdet omfattar stöd till allmän kulturverksamhet, dans-, teater- och musikverksamhet, musei-, biblioteks- och arkivverksamhet, film-, litteratur- och konstnärlig verksamhet, forsknings- och utvecklingsinsatser inom kultu</w:t>
      </w:r>
      <w:r w:rsidRPr="006C40C1">
        <w:t>r</w:t>
      </w:r>
      <w:r w:rsidRPr="006C40C1">
        <w:t>området m.m. Utgiftsområdet omfattar även stöd till folkbildnings-, idrotts-, frilufts- och ungdom</w:t>
      </w:r>
      <w:r w:rsidRPr="006C40C1">
        <w:t>s</w:t>
      </w:r>
      <w:r w:rsidRPr="006C40C1">
        <w:t>verksamhet samt stöd till trossamfund.</w:t>
      </w:r>
    </w:p>
    <w:p w:rsidR="00AA5D77" w:rsidRPr="006C40C1" w:rsidRDefault="00AA5D77">
      <w:pPr>
        <w:pStyle w:val="Normaltindrag"/>
      </w:pPr>
      <w:r w:rsidRPr="006C40C1">
        <w:t>För 2002 beräknas de totala utgifterna för utgiftsområdet uppgå till ca 8 112 miljoner kronor.</w:t>
      </w:r>
    </w:p>
    <w:p w:rsidR="00AA5D77" w:rsidRPr="006C40C1" w:rsidRDefault="00AA5D77">
      <w:pPr>
        <w:pStyle w:val="R4"/>
      </w:pPr>
      <w:r w:rsidRPr="006C40C1">
        <w:t>Budgetpropositionen</w:t>
      </w:r>
    </w:p>
    <w:p w:rsidR="00AA5D77" w:rsidRPr="006C40C1" w:rsidRDefault="00AA5D77">
      <w:r w:rsidRPr="006C40C1">
        <w:t>I budgetpropositionen (avsnitt 6.3) förklaras förändringen av utgiftsområde</w:t>
      </w:r>
      <w:r w:rsidRPr="006C40C1">
        <w:t>s</w:t>
      </w:r>
      <w:r w:rsidRPr="006C40C1">
        <w:t>ramen i förhållande till beräkningen i vårpropositionen bl.a. av ökade sat</w:t>
      </w:r>
      <w:r w:rsidRPr="006C40C1">
        <w:t>s</w:t>
      </w:r>
      <w:r w:rsidRPr="006C40C1">
        <w:t>ningar på filmstödet, dansen samt instiftande av ett litteraturpris till Astrid Lindgrens minne. Under 2003 görs en satsning på höjd kyrkoantikvarisk ersättning med 50 miljoner och ytterligare 50 miljoner för 2004. Ramhöjnin</w:t>
      </w:r>
      <w:r w:rsidRPr="006C40C1">
        <w:t>g</w:t>
      </w:r>
      <w:r w:rsidRPr="006C40C1">
        <w:t>en för 2004 beror också på de ökade anslagen till de centrala museerna för införande av fri entré.</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Tabelltext"/>
      </w:pPr>
    </w:p>
    <w:p w:rsidR="00AA5D77" w:rsidRPr="006C40C1" w:rsidRDefault="00AA5D77">
      <w:pPr>
        <w:pStyle w:val="Tabelltext"/>
        <w:rPr>
          <w:b/>
        </w:rPr>
      </w:pPr>
      <w:r w:rsidRPr="006C40C1">
        <w:rPr>
          <w:b/>
        </w:rPr>
        <w:t>Förslag till ram för utgiftsområde 17 Kultur, medier, trossamfund och fritid</w:t>
      </w:r>
    </w:p>
    <w:p w:rsidR="00AA5D77" w:rsidRPr="006C40C1" w:rsidRDefault="00AA5D77">
      <w:pPr>
        <w:pStyle w:val="Tabellrubrik"/>
        <w:spacing w:before="0"/>
      </w:pPr>
      <w:r w:rsidRPr="006C40C1">
        <w:rPr>
          <w:caps w:val="0"/>
        </w:rPr>
        <w:t>Belopp i miljoner kronor</w:t>
      </w:r>
    </w:p>
    <w:p w:rsidR="00AA5D77" w:rsidRPr="006C40C1" w:rsidRDefault="006C40C1">
      <w:r w:rsidRPr="006C40C1">
        <w:rPr>
          <w:noProof/>
        </w:rPr>
        <w:drawing>
          <wp:inline distT="0" distB="0" distL="0" distR="0">
            <wp:extent cx="3777615" cy="805815"/>
            <wp:effectExtent l="0" t="0" r="0" b="0"/>
            <wp:docPr id="72" name="Bild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R4"/>
      </w:pPr>
      <w:r w:rsidRPr="006C40C1">
        <w:t>Motionerna</w:t>
      </w:r>
    </w:p>
    <w:p w:rsidR="00AA5D77" w:rsidRPr="006C40C1" w:rsidRDefault="00AA5D77">
      <w:r w:rsidRPr="006C40C1">
        <w:rPr>
          <w:i/>
        </w:rPr>
        <w:t xml:space="preserve">Socialdemokraterna, Vänsterpartiet </w:t>
      </w:r>
      <w:r w:rsidRPr="006C40C1">
        <w:t>och</w:t>
      </w:r>
      <w:r w:rsidRPr="006C40C1">
        <w:rPr>
          <w:i/>
        </w:rPr>
        <w:t xml:space="preserve"> Miljöpartiet de gröna</w:t>
      </w:r>
      <w:r w:rsidRPr="006C40C1">
        <w:t xml:space="preserve"> föreslår i </w:t>
      </w:r>
      <w:r w:rsidRPr="006C40C1">
        <w:rPr>
          <w:i/>
        </w:rPr>
        <w:t>m</w:t>
      </w:r>
      <w:r w:rsidRPr="006C40C1">
        <w:rPr>
          <w:i/>
        </w:rPr>
        <w:t>o</w:t>
      </w:r>
      <w:r w:rsidRPr="006C40C1">
        <w:rPr>
          <w:i/>
        </w:rPr>
        <w:t xml:space="preserve">tion Fi230 </w:t>
      </w:r>
      <w:r w:rsidRPr="006C40C1">
        <w:t xml:space="preserve">att den del av anslag 28:9 </w:t>
      </w:r>
      <w:r w:rsidRPr="006C40C1">
        <w:rPr>
          <w:i/>
        </w:rPr>
        <w:t>Litteraturstöd</w:t>
      </w:r>
      <w:r w:rsidRPr="006C40C1">
        <w:t xml:space="preserve"> som går till bokhandlar ska riktas mot små och medelstora bokhandlar som kompensation för att det statliga stödet till Bokbranschens finansieringsinstitut AB avvecklas. Vidare avvisar motionärerna regeringens förslag om att flytta 2,5 miljoner kronor från ansl</w:t>
      </w:r>
      <w:r w:rsidRPr="006C40C1">
        <w:t>a</w:t>
      </w:r>
      <w:r w:rsidRPr="006C40C1">
        <w:t xml:space="preserve">get till allmänna samlingslokaler till anslaget för ungdomspolitik. </w:t>
      </w:r>
    </w:p>
    <w:p w:rsidR="00AA5D77" w:rsidRPr="006C40C1" w:rsidRDefault="00AA5D77">
      <w:pPr>
        <w:pStyle w:val="Normaltindrag"/>
      </w:pPr>
      <w:r w:rsidRPr="006C40C1">
        <w:rPr>
          <w:i/>
        </w:rPr>
        <w:t>Moderata samlingspartiet</w:t>
      </w:r>
      <w:r w:rsidRPr="006C40C1">
        <w:t xml:space="preserve"> framför i motion </w:t>
      </w:r>
      <w:r w:rsidRPr="006C40C1">
        <w:rPr>
          <w:i/>
        </w:rPr>
        <w:t>Fi231</w:t>
      </w:r>
      <w:r w:rsidRPr="006C40C1">
        <w:t xml:space="preserve"> att statens insatser bör koncentreras till områden som är av allmänt intresse och som är beroende av statliga medel för att komma till stånd. En kulturfond bör inrättas och de fria teater- och dansgrupperna få extra stöd. Besparingar görs på folkbildnings- och ungdomspolitiken, samt delar av kulturpolitiken.</w:t>
      </w:r>
    </w:p>
    <w:p w:rsidR="00AA5D77" w:rsidRPr="006C40C1" w:rsidRDefault="00AA5D77">
      <w:pPr>
        <w:pStyle w:val="Normaltindrag"/>
      </w:pPr>
      <w:r w:rsidRPr="006C40C1">
        <w:rPr>
          <w:i/>
        </w:rPr>
        <w:t xml:space="preserve">Folkpartiet liberalerna </w:t>
      </w:r>
      <w:r w:rsidRPr="006C40C1">
        <w:t xml:space="preserve">föreslår i </w:t>
      </w:r>
      <w:r w:rsidRPr="006C40C1">
        <w:rPr>
          <w:i/>
        </w:rPr>
        <w:t xml:space="preserve">motion Fi232 </w:t>
      </w:r>
      <w:r w:rsidRPr="006C40C1">
        <w:t>en ökad satsning på kult</w:t>
      </w:r>
      <w:r w:rsidRPr="006C40C1">
        <w:t>u</w:t>
      </w:r>
      <w:r w:rsidRPr="006C40C1">
        <w:t>ren. Ökat stöd tillkommer centrala och regionala museer, regional musikver</w:t>
      </w:r>
      <w:r w:rsidRPr="006C40C1">
        <w:t>k</w:t>
      </w:r>
      <w:r w:rsidRPr="006C40C1">
        <w:t>samhet, samt stöd till trossamfund och idrottens antidopningverksamhet. Anslagen till nationalscenerna och Statens kulturråd sänks.</w:t>
      </w:r>
    </w:p>
    <w:p w:rsidR="00AA5D77" w:rsidRPr="006C40C1" w:rsidRDefault="00AA5D77">
      <w:pPr>
        <w:pStyle w:val="Normaltindrag"/>
      </w:pPr>
      <w:r w:rsidRPr="006C40C1">
        <w:rPr>
          <w:i/>
        </w:rPr>
        <w:t>Kristdemokraterna</w:t>
      </w:r>
      <w:r w:rsidRPr="006C40C1">
        <w:t xml:space="preserve"> aviserar i </w:t>
      </w:r>
      <w:r w:rsidRPr="006C40C1">
        <w:rPr>
          <w:i/>
        </w:rPr>
        <w:t>motion Fi233</w:t>
      </w:r>
      <w:r w:rsidRPr="006C40C1">
        <w:t xml:space="preserve"> flera satsningar inom utgift</w:t>
      </w:r>
      <w:r w:rsidRPr="006C40C1">
        <w:t>s</w:t>
      </w:r>
      <w:r w:rsidRPr="006C40C1">
        <w:t>området, framför allt på regional kultur, kulturmiljövård samt kulturella m</w:t>
      </w:r>
      <w:r w:rsidRPr="006C40C1">
        <w:t>ö</w:t>
      </w:r>
      <w:r w:rsidRPr="006C40C1">
        <w:t>tesplatser. Neddragningar görs bl.a. på stöd till utgivning av vuxenlitteratur.</w:t>
      </w:r>
    </w:p>
    <w:p w:rsidR="00AA5D77" w:rsidRPr="006C40C1" w:rsidRDefault="00AA5D77">
      <w:pPr>
        <w:pStyle w:val="Normaltindrag"/>
      </w:pPr>
      <w:r w:rsidRPr="006C40C1">
        <w:rPr>
          <w:i/>
        </w:rPr>
        <w:t>Centerpartiet</w:t>
      </w:r>
      <w:r w:rsidRPr="006C40C1">
        <w:t xml:space="preserve"> framhåller i </w:t>
      </w:r>
      <w:r w:rsidRPr="006C40C1">
        <w:rPr>
          <w:i/>
        </w:rPr>
        <w:t>motion Fi234</w:t>
      </w:r>
      <w:r w:rsidRPr="006C40C1">
        <w:t xml:space="preserve"> att ungdomars möjlighet att skapa och ta del av kulturupplevelser även utanför de större städerna måste öka och föreslår därför i ett första steg 100 miljoner kronor för detta ändamål.</w:t>
      </w:r>
    </w:p>
    <w:p w:rsidR="00AA5D77" w:rsidRPr="006C40C1" w:rsidRDefault="00AA5D77">
      <w:pPr>
        <w:pStyle w:val="R4"/>
      </w:pPr>
      <w:r w:rsidRPr="006C40C1">
        <w:t>Kulturutskottets yttrande</w:t>
      </w:r>
    </w:p>
    <w:p w:rsidR="00AA5D77" w:rsidRPr="006C40C1" w:rsidRDefault="00AA5D77">
      <w:r w:rsidRPr="006C40C1">
        <w:t xml:space="preserve"> I ett protokollsutdrag från kulturutskottet tillstyrks regeringens förslag till ram för utgiftsområdet. Denna ram överensstämmer med den som föreslås i motion Fi230 (s, v, mp). Representanterna för Moderata samlingspartiet, Folkpartiet liberalerna, Kristdemokraterna och Centerpartiet reserverar sig till förmån för respe</w:t>
      </w:r>
      <w:r w:rsidRPr="006C40C1">
        <w:t>k</w:t>
      </w:r>
      <w:r w:rsidRPr="006C40C1">
        <w:t>tive partis förslag.</w:t>
      </w:r>
    </w:p>
    <w:p w:rsidR="00AA5D77" w:rsidRPr="006C40C1" w:rsidRDefault="00AA5D77">
      <w:pPr>
        <w:pStyle w:val="R4"/>
      </w:pPr>
      <w:r w:rsidRPr="006C40C1">
        <w:t>Finansutskottets ställningstagande</w:t>
      </w:r>
    </w:p>
    <w:p w:rsidR="00AA5D77" w:rsidRPr="006C40C1" w:rsidRDefault="00AA5D77">
      <w:r w:rsidRPr="006C40C1">
        <w:t>Finansutskottet har tidigare i betänkandet (avsnitten 2.4.3 och 2.6) redovisat sin bedömning av fördelningen av utgifterna på utgiftsområden för budgetåret 2003. Kulturutskottet har för sin del inte haft något att invända mot regerin</w:t>
      </w:r>
      <w:r w:rsidRPr="006C40C1">
        <w:t>g</w:t>
      </w:r>
      <w:r w:rsidRPr="006C40C1">
        <w:t>ens förslag till ram för utgiftsområdet.</w:t>
      </w:r>
    </w:p>
    <w:p w:rsidR="00AA5D77" w:rsidRPr="006C40C1" w:rsidRDefault="00AA5D77">
      <w:pPr>
        <w:pStyle w:val="Normaltindrag"/>
      </w:pPr>
      <w:r w:rsidRPr="006C40C1">
        <w:t>Finansutskottet föreslår mot den bakgrunden att ramen för utgiftsomr</w:t>
      </w:r>
      <w:r w:rsidRPr="006C40C1">
        <w:t>å</w:t>
      </w:r>
      <w:r w:rsidRPr="006C40C1">
        <w:t>de 17 år 2003 fastställs till 8 358 miljoner kronor. Därmed tillstyrker utskottet den ram som föreslås i propositionen och motion Fi230 (s, v, mp) samt a</w:t>
      </w:r>
      <w:r w:rsidRPr="006C40C1">
        <w:t>v</w:t>
      </w:r>
      <w:r w:rsidRPr="006C40C1">
        <w:t>styrker övriga motioners förslag till alternativa ramar.</w:t>
      </w:r>
    </w:p>
    <w:p w:rsidR="00AA5D77" w:rsidRPr="006C40C1" w:rsidRDefault="00AA5D77">
      <w:pPr>
        <w:pStyle w:val="Rubrik3"/>
        <w:rPr>
          <w:noProof w:val="0"/>
        </w:rPr>
      </w:pPr>
      <w:bookmarkStart w:id="623" w:name="_Toc529614337"/>
      <w:bookmarkStart w:id="624" w:name="_Toc530479518"/>
      <w:bookmarkStart w:id="625" w:name="_Toc529614336"/>
      <w:bookmarkStart w:id="626" w:name="_Toc530479517"/>
      <w:bookmarkStart w:id="627" w:name="_Toc25397634"/>
      <w:bookmarkStart w:id="628" w:name="_Toc26191567"/>
      <w:r w:rsidRPr="006C40C1">
        <w:rPr>
          <w:noProof w:val="0"/>
        </w:rPr>
        <w:t>4.1.18 Utgiftsområde 18 Samhällsplanering, bostadsförsörjning och byggande</w:t>
      </w:r>
      <w:bookmarkEnd w:id="625"/>
      <w:bookmarkEnd w:id="626"/>
      <w:bookmarkEnd w:id="627"/>
      <w:bookmarkEnd w:id="628"/>
    </w:p>
    <w:p w:rsidR="00AA5D77" w:rsidRPr="006C40C1" w:rsidRDefault="00AA5D77">
      <w:r w:rsidRPr="006C40C1">
        <w:t>Utgiftsområdet omfattar plan-, bygg- och bostadsväsendet, geotekniska fr</w:t>
      </w:r>
      <w:r w:rsidRPr="006C40C1">
        <w:t>å</w:t>
      </w:r>
      <w:r w:rsidRPr="006C40C1">
        <w:t>gor, länsstyrelserna, lantmäteriverksamhet samt stöd till ekologisk omstäl</w:t>
      </w:r>
      <w:r w:rsidRPr="006C40C1">
        <w:t>l</w:t>
      </w:r>
      <w:r w:rsidRPr="006C40C1">
        <w:t xml:space="preserve">ning och utveckling. </w:t>
      </w:r>
    </w:p>
    <w:p w:rsidR="00AA5D77" w:rsidRPr="006C40C1" w:rsidRDefault="00AA5D77">
      <w:pPr>
        <w:pStyle w:val="Normaltindrag"/>
      </w:pPr>
      <w:r w:rsidRPr="006C40C1">
        <w:t>De totala utgifterna för utgiftsområdet 2002 beräknas uppgå till ca 9 349 miljoner kronor.</w:t>
      </w:r>
    </w:p>
    <w:p w:rsidR="00AA5D77" w:rsidRPr="006C40C1" w:rsidRDefault="00AA5D77">
      <w:pPr>
        <w:pStyle w:val="R4"/>
      </w:pPr>
      <w:r w:rsidRPr="006C40C1">
        <w:t>Budgetpropositionen</w:t>
      </w:r>
    </w:p>
    <w:p w:rsidR="00AA5D77" w:rsidRPr="006C40C1" w:rsidRDefault="00AA5D77">
      <w:r w:rsidRPr="006C40C1">
        <w:t>I budgetpropositionen (avsnitt 6.3) anförs att förändringen av utgiftsområde</w:t>
      </w:r>
      <w:r w:rsidRPr="006C40C1">
        <w:t>s</w:t>
      </w:r>
      <w:r w:rsidRPr="006C40C1">
        <w:t xml:space="preserve">ramen jämfört med beräkningen av utgifterna per utgiftsområde i 2002 års ekonomiska vårproposition förklaras i huvudsak av förändrade prognoser och anslagsramar för anslag 21:1 </w:t>
      </w:r>
      <w:r w:rsidRPr="006C40C1">
        <w:rPr>
          <w:i/>
        </w:rPr>
        <w:t xml:space="preserve">Bostadsbidrag </w:t>
      </w:r>
      <w:r w:rsidRPr="006C40C1">
        <w:t xml:space="preserve"> samt av att 46 miljoner kronor årligen tillförs anslag 32:1 </w:t>
      </w:r>
      <w:r w:rsidRPr="006C40C1">
        <w:rPr>
          <w:i/>
        </w:rPr>
        <w:t xml:space="preserve">Länsstyrelserna m.m. </w:t>
      </w:r>
      <w:r w:rsidRPr="006C40C1">
        <w:t>för införandet av äldreo</w:t>
      </w:r>
      <w:r w:rsidRPr="006C40C1">
        <w:t>m</w:t>
      </w:r>
      <w:r w:rsidRPr="006C40C1">
        <w:t>bud</w:t>
      </w:r>
      <w:r w:rsidRPr="006C40C1">
        <w:t>s</w:t>
      </w:r>
      <w:r w:rsidRPr="006C40C1">
        <w:t>män med tillsynsansvar inom äldreomsorgen.</w:t>
      </w:r>
    </w:p>
    <w:p w:rsidR="00AA5D77" w:rsidRPr="006C40C1" w:rsidRDefault="00AA5D77">
      <w:pPr>
        <w:pStyle w:val="Normaltindrag"/>
      </w:pPr>
      <w:r w:rsidRPr="006C40C1">
        <w:t>Propositionens och riksdagspartiernas förslag till ramnivå för utgiftsomr</w:t>
      </w:r>
      <w:r w:rsidRPr="006C40C1">
        <w:t>å</w:t>
      </w:r>
      <w:r w:rsidRPr="006C40C1">
        <w:t>det u</w:t>
      </w:r>
      <w:r w:rsidRPr="006C40C1">
        <w:t>n</w:t>
      </w:r>
      <w:r w:rsidRPr="006C40C1">
        <w:t>der åren 2003 och 2004 redovisas i efterföljande tabell.</w:t>
      </w:r>
    </w:p>
    <w:p w:rsidR="00AA5D77" w:rsidRPr="006C40C1" w:rsidRDefault="00AA5D77">
      <w:pPr>
        <w:rPr>
          <w:b/>
          <w:sz w:val="16"/>
        </w:rPr>
      </w:pPr>
      <w:r w:rsidRPr="006C40C1">
        <w:br w:type="page"/>
      </w:r>
      <w:r w:rsidRPr="006C40C1">
        <w:rPr>
          <w:b/>
          <w:sz w:val="16"/>
        </w:rPr>
        <w:t>Förslag till ram för utgiftsområde 18 Samhällsplanering, bostadsförsörjning och by</w:t>
      </w:r>
      <w:r w:rsidRPr="006C40C1">
        <w:rPr>
          <w:b/>
          <w:sz w:val="16"/>
        </w:rPr>
        <w:t>g</w:t>
      </w:r>
      <w:r w:rsidRPr="006C40C1">
        <w:rPr>
          <w:b/>
          <w:sz w:val="16"/>
        </w:rPr>
        <w:t>gande</w:t>
      </w:r>
    </w:p>
    <w:p w:rsidR="00AA5D77" w:rsidRPr="006C40C1" w:rsidRDefault="00AA5D77">
      <w:pPr>
        <w:pStyle w:val="Tabellfrklaring"/>
        <w:keepNext w:val="0"/>
        <w:keepLines w:val="0"/>
        <w:spacing w:before="62" w:after="0" w:line="250" w:lineRule="atLeast"/>
      </w:pPr>
      <w:r w:rsidRPr="006C40C1">
        <w:t>Miljoner kronor</w:t>
      </w:r>
    </w:p>
    <w:p w:rsidR="00AA5D77" w:rsidRPr="006C40C1" w:rsidRDefault="006C40C1">
      <w:pPr>
        <w:pBdr>
          <w:bottom w:val="single" w:sz="4" w:space="1" w:color="auto"/>
        </w:pBdr>
      </w:pPr>
      <w:r w:rsidRPr="006C40C1">
        <w:rPr>
          <w:noProof/>
        </w:rPr>
        <w:drawing>
          <wp:inline distT="0" distB="0" distL="0" distR="0">
            <wp:extent cx="3777615" cy="778510"/>
            <wp:effectExtent l="0" t="0" r="0" b="0"/>
            <wp:docPr id="73" name="Bild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777615" cy="778510"/>
                    </a:xfrm>
                    <a:prstGeom prst="rect">
                      <a:avLst/>
                    </a:prstGeom>
                    <a:noFill/>
                    <a:ln>
                      <a:noFill/>
                    </a:ln>
                  </pic:spPr>
                </pic:pic>
              </a:graphicData>
            </a:graphic>
          </wp:inline>
        </w:drawing>
      </w:r>
    </w:p>
    <w:p w:rsidR="00AA5D77" w:rsidRPr="006C40C1" w:rsidRDefault="00AA5D77">
      <w:pPr>
        <w:pStyle w:val="R4"/>
      </w:pPr>
      <w:r w:rsidRPr="006C40C1">
        <w:t>Motionerna</w:t>
      </w:r>
    </w:p>
    <w:p w:rsidR="00AA5D77" w:rsidRPr="006C40C1" w:rsidRDefault="00AA5D77">
      <w:r w:rsidRPr="006C40C1">
        <w:t xml:space="preserve">Förslagen i </w:t>
      </w:r>
      <w:r w:rsidRPr="006C40C1">
        <w:rPr>
          <w:i/>
        </w:rPr>
        <w:t>motion</w:t>
      </w:r>
      <w:r w:rsidRPr="006C40C1">
        <w:t xml:space="preserve"> </w:t>
      </w:r>
      <w:r w:rsidRPr="006C40C1">
        <w:rPr>
          <w:i/>
        </w:rPr>
        <w:t>Fi230</w:t>
      </w:r>
      <w:r w:rsidRPr="006C40C1">
        <w:t xml:space="preserve"> från </w:t>
      </w:r>
      <w:r w:rsidRPr="006C40C1">
        <w:rPr>
          <w:i/>
        </w:rPr>
        <w:t>Socialdemokraterna</w:t>
      </w:r>
      <w:r w:rsidRPr="006C40C1">
        <w:t xml:space="preserve">, </w:t>
      </w:r>
      <w:r w:rsidRPr="006C40C1">
        <w:rPr>
          <w:i/>
        </w:rPr>
        <w:t>Vänsterpartiet</w:t>
      </w:r>
      <w:r w:rsidRPr="006C40C1">
        <w:t xml:space="preserve"> och </w:t>
      </w:r>
      <w:r w:rsidRPr="006C40C1">
        <w:rPr>
          <w:i/>
        </w:rPr>
        <w:t>Milj</w:t>
      </w:r>
      <w:r w:rsidRPr="006C40C1">
        <w:rPr>
          <w:i/>
        </w:rPr>
        <w:t>ö</w:t>
      </w:r>
      <w:r w:rsidRPr="006C40C1">
        <w:rPr>
          <w:i/>
        </w:rPr>
        <w:t xml:space="preserve">partiet de gröna </w:t>
      </w:r>
      <w:r w:rsidRPr="006C40C1">
        <w:t>berör inte utgiftsområde 18.</w:t>
      </w:r>
    </w:p>
    <w:p w:rsidR="00AA5D77" w:rsidRPr="006C40C1" w:rsidRDefault="00AA5D77">
      <w:pPr>
        <w:pStyle w:val="Normaltindrag"/>
      </w:pPr>
      <w:r w:rsidRPr="006C40C1">
        <w:rPr>
          <w:i/>
        </w:rPr>
        <w:t>Moderata samlingspartiet</w:t>
      </w:r>
      <w:r w:rsidRPr="006C40C1">
        <w:t xml:space="preserve"> anser i </w:t>
      </w:r>
      <w:r w:rsidRPr="006C40C1">
        <w:rPr>
          <w:i/>
        </w:rPr>
        <w:t>motion Fi231</w:t>
      </w:r>
      <w:r w:rsidRPr="006C40C1">
        <w:t xml:space="preserve"> att ramen för utgiftsomr</w:t>
      </w:r>
      <w:r w:rsidRPr="006C40C1">
        <w:t>å</w:t>
      </w:r>
      <w:r w:rsidRPr="006C40C1">
        <w:t>de 18 ska minskas. Besparingarna kan uppnås genom nedskärningar på ett flertal områden. Det gäller främst avveckling av investeringsbidragen för studentbostäder, bostadsinvesteringar som främjar ekologisk hållbarhet r</w:t>
      </w:r>
      <w:r w:rsidRPr="006C40C1">
        <w:t>e</w:t>
      </w:r>
      <w:r w:rsidRPr="006C40C1">
        <w:t>spektive hyresbostäder. Besparingar görs på bostadsbidragen genom att b</w:t>
      </w:r>
      <w:r w:rsidRPr="006C40C1">
        <w:t>i</w:t>
      </w:r>
      <w:r w:rsidRPr="006C40C1">
        <w:t>dragen till ungdomar avvecklas. Bidragen ska bara utgå till barnfamiljer. Anslaget för stöd till lokala investeringsprogram för ekologisk hållbarhet ska avskaffas. Vidare före</w:t>
      </w:r>
      <w:r w:rsidRPr="006C40C1">
        <w:t>slås nedskärningar på flera andra anslag inom utgift</w:t>
      </w:r>
      <w:r w:rsidRPr="006C40C1">
        <w:t>s</w:t>
      </w:r>
      <w:r w:rsidRPr="006C40C1">
        <w:t>omr</w:t>
      </w:r>
      <w:r w:rsidRPr="006C40C1">
        <w:t>å</w:t>
      </w:r>
      <w:r w:rsidRPr="006C40C1">
        <w:t xml:space="preserve">det. </w:t>
      </w:r>
    </w:p>
    <w:p w:rsidR="00AA5D77" w:rsidRPr="006C40C1" w:rsidRDefault="00AA5D77">
      <w:pPr>
        <w:pStyle w:val="Normaltindrag"/>
      </w:pPr>
      <w:r w:rsidRPr="006C40C1">
        <w:t xml:space="preserve">I </w:t>
      </w:r>
      <w:r w:rsidRPr="006C40C1">
        <w:rPr>
          <w:i/>
        </w:rPr>
        <w:t xml:space="preserve">Folkpartiets motion Fi232 </w:t>
      </w:r>
      <w:r w:rsidRPr="006C40C1">
        <w:t>föreslås att ramen ska minskas. Besparingar kan göras bl.a. genom lägre utgifter för bostadsbidrag och  räntebidrag. Vid</w:t>
      </w:r>
      <w:r w:rsidRPr="006C40C1">
        <w:t>a</w:t>
      </w:r>
      <w:r w:rsidRPr="006C40C1">
        <w:t>re görs besparingar inom Boverket och Lantmäteriverket. Motionärerna för</w:t>
      </w:r>
      <w:r w:rsidRPr="006C40C1">
        <w:t>e</w:t>
      </w:r>
      <w:r w:rsidRPr="006C40C1">
        <w:t>slår att investeringsbidragen till studentbostäder, hyresbostäder respektive till bostadsinvesteringar som främjar ekologisk hållbarhet avvec</w:t>
      </w:r>
      <w:r w:rsidRPr="006C40C1">
        <w:t>k</w:t>
      </w:r>
      <w:r w:rsidRPr="006C40C1">
        <w:t xml:space="preserve">las. </w:t>
      </w:r>
    </w:p>
    <w:p w:rsidR="00AA5D77" w:rsidRPr="006C40C1" w:rsidRDefault="00AA5D77">
      <w:pPr>
        <w:pStyle w:val="Normaltindrag"/>
      </w:pPr>
      <w:r w:rsidRPr="006C40C1">
        <w:rPr>
          <w:i/>
        </w:rPr>
        <w:t>Kristdemokraterna</w:t>
      </w:r>
      <w:r w:rsidRPr="006C40C1">
        <w:t xml:space="preserve"> föreslår i </w:t>
      </w:r>
      <w:r w:rsidRPr="006C40C1">
        <w:rPr>
          <w:i/>
        </w:rPr>
        <w:t>motion</w:t>
      </w:r>
      <w:r w:rsidRPr="006C40C1">
        <w:t xml:space="preserve"> </w:t>
      </w:r>
      <w:r w:rsidRPr="006C40C1">
        <w:rPr>
          <w:i/>
        </w:rPr>
        <w:t>Fi233</w:t>
      </w:r>
      <w:r w:rsidRPr="006C40C1">
        <w:t xml:space="preserve"> en ökning av ramen. Ett ökat anslag föreslås till bostadsbidrag. Barnfamiljer ska få högre bidrag. Motion</w:t>
      </w:r>
      <w:r w:rsidRPr="006C40C1">
        <w:t>ä</w:t>
      </w:r>
      <w:r w:rsidRPr="006C40C1">
        <w:t>rerna föreslår en skattereduktion på nyproduktion av flerbostadshus. Besp</w:t>
      </w:r>
      <w:r w:rsidRPr="006C40C1">
        <w:t>a</w:t>
      </w:r>
      <w:r w:rsidRPr="006C40C1">
        <w:t>ringar åstadkoms bl.a. genom avveckling av investeringsbidragen till hyre</w:t>
      </w:r>
      <w:r w:rsidRPr="006C40C1">
        <w:t>s</w:t>
      </w:r>
      <w:r w:rsidRPr="006C40C1">
        <w:t>bostäder respektive till bostadsinvesteringar som främjar ekologisk hållbarhet. Även anslaget till räntebidrag föreslås minskas genom att nya räntebidrag inte b</w:t>
      </w:r>
      <w:r w:rsidRPr="006C40C1">
        <w:t>e</w:t>
      </w:r>
      <w:r w:rsidRPr="006C40C1">
        <w:t>viljas.</w:t>
      </w:r>
    </w:p>
    <w:p w:rsidR="00AA5D77" w:rsidRPr="006C40C1" w:rsidRDefault="00AA5D77">
      <w:pPr>
        <w:pStyle w:val="Normaltindrag"/>
      </w:pPr>
      <w:r w:rsidRPr="006C40C1">
        <w:rPr>
          <w:i/>
        </w:rPr>
        <w:t>Centerpartiet</w:t>
      </w:r>
      <w:r w:rsidRPr="006C40C1">
        <w:t xml:space="preserve"> förordar i </w:t>
      </w:r>
      <w:r w:rsidRPr="006C40C1">
        <w:rPr>
          <w:i/>
        </w:rPr>
        <w:t>motion Fi234</w:t>
      </w:r>
      <w:r w:rsidRPr="006C40C1">
        <w:t xml:space="preserve"> en minskning av utgiftsramen. B</w:t>
      </w:r>
      <w:r w:rsidRPr="006C40C1">
        <w:t>e</w:t>
      </w:r>
      <w:r w:rsidRPr="006C40C1">
        <w:t>sparingar föreslås på bostadsbidragen och en avveckling av investeringsb</w:t>
      </w:r>
      <w:r w:rsidRPr="006C40C1">
        <w:t>i</w:t>
      </w:r>
      <w:r w:rsidRPr="006C40C1">
        <w:t>draget till hyresbostäder. Vidare föreslås sänkta anslag till myndigheter.</w:t>
      </w:r>
    </w:p>
    <w:p w:rsidR="00AA5D77" w:rsidRPr="006C40C1" w:rsidRDefault="00AA5D77">
      <w:pPr>
        <w:pStyle w:val="R4"/>
      </w:pPr>
      <w:r w:rsidRPr="006C40C1">
        <w:t>Bostadsutskottets yttrande</w:t>
      </w:r>
    </w:p>
    <w:p w:rsidR="00AA5D77" w:rsidRPr="006C40C1" w:rsidRDefault="00AA5D77">
      <w:r w:rsidRPr="006C40C1">
        <w:t>Bostadsutskottet tillstyrker i sitt yttrande (BoU1y) regeringens förslag till ram för utgiftsområdet för 2003 samt preliminära ram för 2004 och motionerna  avstyrks. Företrädarna för Moderata samlingspartiet, Folkpartiet liberalerna, Kristdemokraterna och Centerpartiet tillstyrker sina partiers respektive fö</w:t>
      </w:r>
      <w:r w:rsidRPr="006C40C1">
        <w:t>r</w:t>
      </w:r>
      <w:r w:rsidRPr="006C40C1">
        <w:t>slag.</w:t>
      </w:r>
    </w:p>
    <w:p w:rsidR="00AA5D77" w:rsidRPr="006C40C1" w:rsidRDefault="00AA5D77">
      <w:pPr>
        <w:rPr>
          <w:i/>
        </w:rPr>
      </w:pPr>
    </w:p>
    <w:p w:rsidR="00AA5D77" w:rsidRPr="006C40C1" w:rsidRDefault="00AA5D77">
      <w:pPr>
        <w:rPr>
          <w:i/>
        </w:rPr>
      </w:pPr>
      <w:r w:rsidRPr="006C40C1">
        <w:rPr>
          <w:i/>
        </w:rPr>
        <w:br w:type="page"/>
        <w:t>Finansutskottets ställningstagande</w:t>
      </w:r>
    </w:p>
    <w:p w:rsidR="00AA5D77" w:rsidRPr="006C40C1" w:rsidRDefault="00AA5D77">
      <w:r w:rsidRPr="006C40C1">
        <w:t>Finansutskottet har tidigare i betänkandet (avsnitten 2.4.3 och 2.6) redovisat sin bedömning av fördelningen av utgifterna på utgiftsområden för budgetåret 2003. Bostadsutskottet har för sin del inte haft något att invända mot rege</w:t>
      </w:r>
      <w:r w:rsidRPr="006C40C1">
        <w:t>r</w:t>
      </w:r>
      <w:r w:rsidRPr="006C40C1">
        <w:t xml:space="preserve">ingens förslag till ram för utgiftsområdet. </w:t>
      </w:r>
    </w:p>
    <w:p w:rsidR="00AA5D77" w:rsidRPr="006C40C1" w:rsidRDefault="00AA5D77">
      <w:pPr>
        <w:pStyle w:val="Normaltindrag"/>
      </w:pPr>
      <w:r w:rsidRPr="006C40C1">
        <w:t>Finansutskottet föreslår mot denna bakgrund att ramen för utgiftsområde 18 år 2003 fastställs till 9 482 miljoner kronor. Därmed tillstyrker utskottet propositionens förslag och avstyrker motionernas förslag till alternativa r</w:t>
      </w:r>
      <w:r w:rsidRPr="006C40C1">
        <w:t>a</w:t>
      </w:r>
      <w:r w:rsidRPr="006C40C1">
        <w:t>mar.</w:t>
      </w:r>
    </w:p>
    <w:p w:rsidR="00AA5D77" w:rsidRPr="006C40C1" w:rsidRDefault="00AA5D77">
      <w:pPr>
        <w:pStyle w:val="Rubrik3"/>
        <w:rPr>
          <w:noProof w:val="0"/>
        </w:rPr>
      </w:pPr>
      <w:bookmarkStart w:id="629" w:name="_Toc25397635"/>
      <w:bookmarkStart w:id="630" w:name="_Toc26191568"/>
      <w:r w:rsidRPr="006C40C1">
        <w:rPr>
          <w:noProof w:val="0"/>
        </w:rPr>
        <w:t>4.1.19 Utgiftsområde 19 Regional utjämning och utveckling</w:t>
      </w:r>
      <w:bookmarkEnd w:id="623"/>
      <w:bookmarkEnd w:id="624"/>
      <w:bookmarkEnd w:id="629"/>
      <w:bookmarkEnd w:id="630"/>
    </w:p>
    <w:p w:rsidR="00AA5D77" w:rsidRPr="006C40C1" w:rsidRDefault="00AA5D77">
      <w:r w:rsidRPr="006C40C1">
        <w:t>Utgiftsområdet omfattar bl.a. olika former av regionalpolitiska företagsstöd och medel som länsstyrelserna och självstyrelseorganen samt Närings- och teknikutvecklingsverket förfogar över för regional projektverksamhet samt en del av medfinansieringen av EG:s strukturfondsprogram. Vidare ingår även medel för utbetalningar från EG:s regionalfond samt medel för Glesbygd</w:t>
      </w:r>
      <w:r w:rsidRPr="006C40C1">
        <w:t>s</w:t>
      </w:r>
      <w:r w:rsidRPr="006C40C1">
        <w:t>verket och Statens institut för regiona</w:t>
      </w:r>
      <w:r w:rsidRPr="006C40C1">
        <w:t>l</w:t>
      </w:r>
      <w:r w:rsidRPr="006C40C1">
        <w:t>forskning.</w:t>
      </w:r>
    </w:p>
    <w:p w:rsidR="00AA5D77" w:rsidRPr="006C40C1" w:rsidRDefault="00AA5D77">
      <w:pPr>
        <w:pStyle w:val="Normaltindrag"/>
      </w:pPr>
      <w:r w:rsidRPr="006C40C1">
        <w:t>För 2002 beräknas de totala utgifterna för utgiftsområdet uppgå till ca 3 261 miljoner kronor.</w:t>
      </w:r>
    </w:p>
    <w:p w:rsidR="00AA5D77" w:rsidRPr="006C40C1" w:rsidRDefault="00AA5D77">
      <w:pPr>
        <w:pStyle w:val="R4"/>
        <w:outlineLvl w:val="0"/>
      </w:pPr>
      <w:r w:rsidRPr="006C40C1">
        <w:t>Budgetpropositionen</w:t>
      </w:r>
    </w:p>
    <w:p w:rsidR="00AA5D77" w:rsidRPr="006C40C1" w:rsidRDefault="00AA5D77">
      <w:r w:rsidRPr="006C40C1">
        <w:t xml:space="preserve">I budgetpropositionen (avsnitt 6.3) redovisar regeringen att förändringar av utgiftsområdesramen jämfört med 2002 års ekonomiska vårproposition i huvudsak förklaras av att anslag 33:6 </w:t>
      </w:r>
      <w:r w:rsidRPr="006C40C1">
        <w:rPr>
          <w:i/>
        </w:rPr>
        <w:t>Europeiska regionala utvecklingsfonden</w:t>
      </w:r>
      <w:r w:rsidRPr="006C40C1">
        <w:t xml:space="preserve"> perioden 2000–2006 har ökats. </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FiU1tabellrubrik2000"/>
        <w:keepNext/>
        <w:keepLines/>
        <w:outlineLvl w:val="0"/>
      </w:pPr>
      <w:r w:rsidRPr="006C40C1">
        <w:t>Förslag till ram för utgiftsområde 19 Regional utjämning och utveckling</w:t>
      </w:r>
    </w:p>
    <w:p w:rsidR="00AA5D77" w:rsidRPr="006C40C1" w:rsidRDefault="00AA5D77">
      <w:pPr>
        <w:pStyle w:val="Tabell"/>
        <w:keepNext/>
        <w:keepLines/>
        <w:spacing w:after="40"/>
        <w:outlineLvl w:val="0"/>
        <w:rPr>
          <w:rFonts w:ascii="Times New Roman" w:hAnsi="Times New Roman"/>
          <w:spacing w:val="0"/>
          <w:sz w:val="14"/>
        </w:rPr>
      </w:pPr>
      <w:r w:rsidRPr="006C40C1">
        <w:rPr>
          <w:rFonts w:ascii="Times New Roman" w:hAnsi="Times New Roman"/>
          <w:spacing w:val="0"/>
          <w:sz w:val="14"/>
        </w:rPr>
        <w:t>Belopp i miljoner kronor</w:t>
      </w:r>
    </w:p>
    <w:p w:rsidR="00AA5D77" w:rsidRPr="006C40C1" w:rsidRDefault="006C40C1">
      <w:pPr>
        <w:keepLines/>
        <w:spacing w:line="240" w:lineRule="auto"/>
      </w:pPr>
      <w:r w:rsidRPr="006C40C1">
        <w:rPr>
          <w:noProof/>
        </w:rPr>
        <w:drawing>
          <wp:inline distT="0" distB="0" distL="0" distR="0">
            <wp:extent cx="3739515" cy="800100"/>
            <wp:effectExtent l="0" t="0" r="0" b="0"/>
            <wp:docPr id="74" name="Bild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739515" cy="800100"/>
                    </a:xfrm>
                    <a:prstGeom prst="rect">
                      <a:avLst/>
                    </a:prstGeom>
                    <a:noFill/>
                    <a:ln>
                      <a:noFill/>
                    </a:ln>
                  </pic:spPr>
                </pic:pic>
              </a:graphicData>
            </a:graphic>
          </wp:inline>
        </w:drawing>
      </w:r>
    </w:p>
    <w:p w:rsidR="00AA5D77" w:rsidRPr="006C40C1" w:rsidRDefault="00AA5D77">
      <w:pPr>
        <w:pStyle w:val="R4"/>
        <w:outlineLvl w:val="0"/>
      </w:pPr>
      <w:r w:rsidRPr="006C40C1">
        <w:t xml:space="preserve">Motionerna </w:t>
      </w:r>
    </w:p>
    <w:p w:rsidR="00AA5D77" w:rsidRPr="006C40C1" w:rsidRDefault="00AA5D77">
      <w:r w:rsidRPr="006C40C1">
        <w:t xml:space="preserve">Förslagen i </w:t>
      </w:r>
      <w:r w:rsidRPr="006C40C1">
        <w:rPr>
          <w:i/>
        </w:rPr>
        <w:t>motion Fi230</w:t>
      </w:r>
      <w:r w:rsidRPr="006C40C1">
        <w:t xml:space="preserve"> från </w:t>
      </w:r>
      <w:r w:rsidRPr="006C40C1">
        <w:rPr>
          <w:i/>
        </w:rPr>
        <w:t>Socialdemokraterna, Vänsterpartiet</w:t>
      </w:r>
      <w:r w:rsidRPr="006C40C1">
        <w:t xml:space="preserve"> och</w:t>
      </w:r>
      <w:r w:rsidRPr="006C40C1">
        <w:rPr>
          <w:i/>
        </w:rPr>
        <w:t xml:space="preserve"> Milj</w:t>
      </w:r>
      <w:r w:rsidRPr="006C40C1">
        <w:rPr>
          <w:i/>
        </w:rPr>
        <w:t>ö</w:t>
      </w:r>
      <w:r w:rsidRPr="006C40C1">
        <w:rPr>
          <w:i/>
        </w:rPr>
        <w:t>partiet de gröna</w:t>
      </w:r>
      <w:r w:rsidRPr="006C40C1">
        <w:t xml:space="preserve"> berör inte utgiftsområde 19.</w:t>
      </w:r>
    </w:p>
    <w:p w:rsidR="00AA5D77" w:rsidRPr="006C40C1" w:rsidRDefault="00AA5D77">
      <w:pPr>
        <w:pStyle w:val="Normaltindrag"/>
        <w:rPr>
          <w:i/>
        </w:rPr>
      </w:pPr>
      <w:r w:rsidRPr="006C40C1">
        <w:rPr>
          <w:i/>
        </w:rPr>
        <w:t>Moderata samlingspartiet</w:t>
      </w:r>
      <w:r w:rsidRPr="006C40C1">
        <w:t xml:space="preserve"> förordar i </w:t>
      </w:r>
      <w:r w:rsidRPr="006C40C1">
        <w:rPr>
          <w:i/>
        </w:rPr>
        <w:t>motion Fi231</w:t>
      </w:r>
      <w:r w:rsidRPr="006C40C1">
        <w:t xml:space="preserve"> en minskning av ramen. Motionärerna anför att den regionalpolitiska propositionens förslag inte kommer att leda till ett konkurrenskraftigare Sverige. Motionärerna anser att målet för regionalpolitiken bör vara att skapa förutsättningar för olika regi</w:t>
      </w:r>
      <w:r w:rsidRPr="006C40C1">
        <w:t>o</w:t>
      </w:r>
      <w:r w:rsidRPr="006C40C1">
        <w:t>ners och människors möjligheter till utveckling, vilket förverkligas bl.a. g</w:t>
      </w:r>
      <w:r w:rsidRPr="006C40C1">
        <w:t>e</w:t>
      </w:r>
      <w:r w:rsidRPr="006C40C1">
        <w:t>nom att infrastrukturen byggs ut och genom att villkoren för företagande förbättras. Anslagen för regionalpolitiska åtgärder min</w:t>
      </w:r>
      <w:r w:rsidRPr="006C40C1">
        <w:t>s</w:t>
      </w:r>
      <w:r w:rsidRPr="006C40C1">
        <w:t>kas.</w:t>
      </w:r>
    </w:p>
    <w:p w:rsidR="00AA5D77" w:rsidRPr="006C40C1" w:rsidRDefault="00AA5D77">
      <w:pPr>
        <w:pStyle w:val="Normaltindrag"/>
      </w:pPr>
      <w:r w:rsidRPr="006C40C1">
        <w:rPr>
          <w:i/>
        </w:rPr>
        <w:t>Folkpartiet liberalerna</w:t>
      </w:r>
      <w:r w:rsidRPr="006C40C1">
        <w:t xml:space="preserve"> förespråkar i </w:t>
      </w:r>
      <w:r w:rsidRPr="006C40C1">
        <w:rPr>
          <w:i/>
        </w:rPr>
        <w:t>motion Fi232</w:t>
      </w:r>
      <w:r w:rsidRPr="006C40C1">
        <w:t xml:space="preserve"> att regionalpolitiken får en mer generell inriktning. Motionärerna vill därför minska de selektiva st</w:t>
      </w:r>
      <w:r w:rsidRPr="006C40C1">
        <w:t>ö</w:t>
      </w:r>
      <w:r w:rsidRPr="006C40C1">
        <w:t>den. Motionärerna anser vidare att kostnaden för de regionala transportnäten inte bör belasta staten.</w:t>
      </w:r>
    </w:p>
    <w:p w:rsidR="00AA5D77" w:rsidRPr="006C40C1" w:rsidRDefault="00AA5D77">
      <w:pPr>
        <w:pStyle w:val="Normaltindrag"/>
      </w:pPr>
      <w:r w:rsidRPr="006C40C1">
        <w:rPr>
          <w:i/>
        </w:rPr>
        <w:t>Kristdemokraterna</w:t>
      </w:r>
      <w:r w:rsidRPr="006C40C1">
        <w:t xml:space="preserve"> redovisar i </w:t>
      </w:r>
      <w:r w:rsidRPr="006C40C1">
        <w:rPr>
          <w:i/>
        </w:rPr>
        <w:t>motion Fi233</w:t>
      </w:r>
      <w:r w:rsidRPr="006C40C1">
        <w:t xml:space="preserve"> att ett centralt mål för partiets regionalpolitik är att skapa förutsättningar för en livskraftig utveckling i hela landet för människor i alla åldrar och med arbetsmöjligheter, god service, bra miljö och rik kultur. Regionalpolitiken kan inte ses isolerad och därför måste den statliga sektorspolitiken ta regionalpolitiska hänsyn. Motionärerna avvisar vissa delar av regeringens IT-satsningar. De föreslår också en minskning av anslaget för allmänna regionalpolitiska åtgärder. Partie</w:t>
      </w:r>
      <w:r w:rsidRPr="006C40C1">
        <w:t>ts förslag leder till minskat resur</w:t>
      </w:r>
      <w:r w:rsidRPr="006C40C1">
        <w:t>s</w:t>
      </w:r>
      <w:r w:rsidRPr="006C40C1">
        <w:t>behov.</w:t>
      </w:r>
    </w:p>
    <w:p w:rsidR="00AA5D77" w:rsidRPr="006C40C1" w:rsidRDefault="00AA5D77">
      <w:pPr>
        <w:pStyle w:val="Normaltindrag"/>
      </w:pPr>
      <w:r w:rsidRPr="006C40C1">
        <w:rPr>
          <w:i/>
        </w:rPr>
        <w:t>Centerpartiet</w:t>
      </w:r>
      <w:r w:rsidRPr="006C40C1">
        <w:t xml:space="preserve"> anser i </w:t>
      </w:r>
      <w:r w:rsidRPr="006C40C1">
        <w:rPr>
          <w:i/>
        </w:rPr>
        <w:t>motion Fi234</w:t>
      </w:r>
      <w:r w:rsidRPr="006C40C1">
        <w:t xml:space="preserve"> att utgiftsramen bör höjas. Motionäre</w:t>
      </w:r>
      <w:r w:rsidRPr="006C40C1">
        <w:t>r</w:t>
      </w:r>
      <w:r w:rsidRPr="006C40C1">
        <w:t>na avvisar regeringens IT-satsning och anser att staten har ett ansvar för att bygga en heltäckande digital infr</w:t>
      </w:r>
      <w:r w:rsidRPr="006C40C1">
        <w:t>a</w:t>
      </w:r>
      <w:r w:rsidRPr="006C40C1">
        <w:t xml:space="preserve">struktur. </w:t>
      </w:r>
    </w:p>
    <w:p w:rsidR="00AA5D77" w:rsidRPr="006C40C1" w:rsidRDefault="00AA5D77">
      <w:pPr>
        <w:pStyle w:val="R4"/>
      </w:pPr>
      <w:r w:rsidRPr="006C40C1">
        <w:t xml:space="preserve">Näringsutskottets yttrande </w:t>
      </w:r>
    </w:p>
    <w:p w:rsidR="00AA5D77" w:rsidRPr="006C40C1" w:rsidRDefault="00AA5D77">
      <w:r w:rsidRPr="006C40C1">
        <w:t>Näringsutskottet, som har yttrat sig i form av ett protokollsutdrag, tillstyrker regeringens förslag. Företrädarna för Moderata samlingspartiet, Folkpartiet liberalerna och Kristdem</w:t>
      </w:r>
      <w:r w:rsidRPr="006C40C1">
        <w:t>o</w:t>
      </w:r>
      <w:r w:rsidRPr="006C40C1">
        <w:t>kraterna tillstyrker sina partiers respektive förslag.</w:t>
      </w:r>
    </w:p>
    <w:p w:rsidR="00AA5D77" w:rsidRPr="006C40C1" w:rsidRDefault="00AA5D77">
      <w:pPr>
        <w:pStyle w:val="R4"/>
      </w:pPr>
      <w:r w:rsidRPr="006C40C1">
        <w:t xml:space="preserve">Finansutskottets ställningstagande </w:t>
      </w:r>
    </w:p>
    <w:p w:rsidR="00AA5D77" w:rsidRPr="006C40C1" w:rsidRDefault="00AA5D77">
      <w:r w:rsidRPr="006C40C1">
        <w:t>Finansutskottet har tidigare i betänkandet (avsnitten 2.4.3 och 2.6) redovisat sin bedömning av fördelningen av utgifterna på utgiftsområden för budgetåret 2003. Näringsutskottet har för sin del inte haft något att invända mot rege</w:t>
      </w:r>
      <w:r w:rsidRPr="006C40C1">
        <w:t>r</w:t>
      </w:r>
      <w:r w:rsidRPr="006C40C1">
        <w:t xml:space="preserve">ingens förslag till ram för utgiftsområdet. </w:t>
      </w:r>
    </w:p>
    <w:p w:rsidR="00AA5D77" w:rsidRPr="006C40C1" w:rsidRDefault="00AA5D77">
      <w:pPr>
        <w:pStyle w:val="Normaltindrag"/>
      </w:pPr>
      <w:r w:rsidRPr="006C40C1">
        <w:t>Finansutskottet föreslår mot denna bakgrund att ramen för utgiftsområde 19 år 2003 fastställs till 3 608 miljoner kronor. Därmed tillstyrker utskottet propositionens förslag och avstyrker motionernas förslag till alternativa r</w:t>
      </w:r>
      <w:r w:rsidRPr="006C40C1">
        <w:t>a</w:t>
      </w:r>
      <w:r w:rsidRPr="006C40C1">
        <w:t>mar.</w:t>
      </w:r>
    </w:p>
    <w:p w:rsidR="00AA5D77" w:rsidRPr="006C40C1" w:rsidRDefault="00AA5D77">
      <w:pPr>
        <w:pStyle w:val="Rubrik3"/>
        <w:rPr>
          <w:noProof w:val="0"/>
        </w:rPr>
      </w:pPr>
      <w:bookmarkStart w:id="631" w:name="_Toc25397636"/>
      <w:bookmarkStart w:id="632" w:name="_Toc26191569"/>
      <w:r w:rsidRPr="006C40C1">
        <w:rPr>
          <w:noProof w:val="0"/>
        </w:rPr>
        <w:t>4.1.20 Utgiftsområde 20 Allmän miljö- och naturvård</w:t>
      </w:r>
      <w:bookmarkEnd w:id="631"/>
      <w:bookmarkEnd w:id="632"/>
    </w:p>
    <w:p w:rsidR="00AA5D77" w:rsidRPr="006C40C1" w:rsidRDefault="00AA5D77">
      <w:r w:rsidRPr="006C40C1">
        <w:t>Utgiftsområdet omfattar miljöövervakning, åtgärder för biologisk mångfald, sanering och återställning av förorenade områden, kemikaliekontrollsfrågor, kärnkraftssäkerhets- och strålningsfrågor, väder- och klimatfrågor, samt forskning om miljö, areella näringar och samhällsbyggande.</w:t>
      </w:r>
    </w:p>
    <w:p w:rsidR="00AA5D77" w:rsidRPr="006C40C1" w:rsidRDefault="00AA5D77">
      <w:pPr>
        <w:pStyle w:val="Normaltindrag"/>
      </w:pPr>
      <w:r w:rsidRPr="006C40C1">
        <w:t>För 2002 beräknas de totala utgifterna för utgiftsområdet uppgå till ca 2 811 miljoner kronor.</w:t>
      </w:r>
    </w:p>
    <w:p w:rsidR="00AA5D77" w:rsidRPr="006C40C1" w:rsidRDefault="00AA5D77">
      <w:pPr>
        <w:pStyle w:val="R4"/>
      </w:pPr>
      <w:r w:rsidRPr="006C40C1">
        <w:t>Budgetpropositionen</w:t>
      </w:r>
    </w:p>
    <w:p w:rsidR="00AA5D77" w:rsidRPr="006C40C1" w:rsidRDefault="00AA5D77">
      <w:r w:rsidRPr="006C40C1">
        <w:t>I budgetpropositionen (avsnitt 6.3) förklaras förändringen av utgiftsområde</w:t>
      </w:r>
      <w:r w:rsidRPr="006C40C1">
        <w:t>s</w:t>
      </w:r>
      <w:r w:rsidRPr="006C40C1">
        <w:t>ramen i förhållande till beräkningen i vårpropositionen i huvudsak av att 21 miljoner kronor överförs till utgiftsområde 4 Rättsväsendet år 2002. Me</w:t>
      </w:r>
      <w:r w:rsidRPr="006C40C1">
        <w:t>d</w:t>
      </w:r>
      <w:r w:rsidRPr="006C40C1">
        <w:t>len tillförs domstolsväsendet för arbetet med miljödomstolar.</w:t>
      </w:r>
    </w:p>
    <w:p w:rsidR="00AA5D77" w:rsidRPr="006C40C1" w:rsidRDefault="00AA5D77">
      <w:pPr>
        <w:pStyle w:val="Normaltindrag"/>
      </w:pPr>
      <w:r w:rsidRPr="006C40C1">
        <w:t>För 2003 föreslås ökade anslag till bl.a. internationellt miljösamarbete och stöd till klimatinvesteringar. Den beräknade utgiftsområdesramen för 2004 är 1 041 miljoner kronor högre än anslaget för 2002 (inklusive tilläggsbudget i den ekonomiska vårpropositionen och budgetpropositionen). Detta förkl</w:t>
      </w:r>
      <w:r w:rsidRPr="006C40C1">
        <w:t xml:space="preserve">aras i huvudsak av de satsningar som följer av regeringens proposition Svenska miljömål – delmål och åtgärdsstrategier (prop. 2002/2003:130). </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Tabelltext"/>
      </w:pPr>
    </w:p>
    <w:p w:rsidR="00AA5D77" w:rsidRPr="006C40C1" w:rsidRDefault="00AA5D77">
      <w:pPr>
        <w:pStyle w:val="Tabelltext"/>
        <w:rPr>
          <w:b/>
        </w:rPr>
      </w:pPr>
      <w:r w:rsidRPr="006C40C1">
        <w:rPr>
          <w:b/>
        </w:rPr>
        <w:t>Förslag till ram för utgiftsområde 20 Allmän miljö- och naturvård</w:t>
      </w:r>
    </w:p>
    <w:p w:rsidR="00AA5D77" w:rsidRPr="006C40C1" w:rsidRDefault="00AA5D77">
      <w:pPr>
        <w:pStyle w:val="Tabellrubrik"/>
        <w:spacing w:before="0"/>
      </w:pPr>
      <w:r w:rsidRPr="006C40C1">
        <w:rPr>
          <w:caps w:val="0"/>
        </w:rPr>
        <w:t>Belopp i miljoner kronor</w:t>
      </w:r>
    </w:p>
    <w:p w:rsidR="00AA5D77" w:rsidRPr="006C40C1" w:rsidRDefault="006C40C1">
      <w:r w:rsidRPr="006C40C1">
        <w:rPr>
          <w:noProof/>
        </w:rPr>
        <w:drawing>
          <wp:inline distT="0" distB="0" distL="0" distR="0">
            <wp:extent cx="3777615" cy="805815"/>
            <wp:effectExtent l="0" t="0" r="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R4"/>
      </w:pPr>
      <w:r w:rsidRPr="006C40C1">
        <w:t>Motionerna</w:t>
      </w:r>
    </w:p>
    <w:p w:rsidR="00AA5D77" w:rsidRPr="006C40C1" w:rsidRDefault="00AA5D77">
      <w:r w:rsidRPr="006C40C1">
        <w:rPr>
          <w:i/>
        </w:rPr>
        <w:t>Socialdemokraterna</w:t>
      </w:r>
      <w:r w:rsidRPr="006C40C1">
        <w:t xml:space="preserve">, </w:t>
      </w:r>
      <w:r w:rsidRPr="006C40C1">
        <w:rPr>
          <w:i/>
        </w:rPr>
        <w:t>Vänsterpartiet</w:t>
      </w:r>
      <w:r w:rsidRPr="006C40C1">
        <w:t xml:space="preserve"> och </w:t>
      </w:r>
      <w:r w:rsidRPr="006C40C1">
        <w:rPr>
          <w:i/>
        </w:rPr>
        <w:t>Miljöpartiet de gröna</w:t>
      </w:r>
      <w:r w:rsidRPr="006C40C1">
        <w:t xml:space="preserve"> motsätter sig i </w:t>
      </w:r>
      <w:r w:rsidRPr="006C40C1">
        <w:rPr>
          <w:i/>
        </w:rPr>
        <w:t>motion Fi230</w:t>
      </w:r>
      <w:r w:rsidRPr="006C40C1">
        <w:t xml:space="preserve"> regeringens föreslagna minskningar av resurser till insatser för den biologiska mångfalden och för sanering och återställning av förorenade områden. De föreslår därför höjningar av dessa två anslag med 7 respektive 21 miljoner kronor för 2003.</w:t>
      </w:r>
    </w:p>
    <w:p w:rsidR="00AA5D77" w:rsidRPr="006C40C1" w:rsidRDefault="00AA5D77">
      <w:pPr>
        <w:pStyle w:val="Normaltindrag"/>
      </w:pPr>
      <w:r w:rsidRPr="006C40C1">
        <w:rPr>
          <w:i/>
        </w:rPr>
        <w:t>Moderata samlingspartiet</w:t>
      </w:r>
      <w:r w:rsidRPr="006C40C1">
        <w:t xml:space="preserve"> förordar i </w:t>
      </w:r>
      <w:r w:rsidRPr="006C40C1">
        <w:rPr>
          <w:i/>
        </w:rPr>
        <w:t xml:space="preserve">motion Fi231 </w:t>
      </w:r>
      <w:r w:rsidRPr="006C40C1">
        <w:t>inrättande av s.k. skö</w:t>
      </w:r>
      <w:r w:rsidRPr="006C40C1">
        <w:t>t</w:t>
      </w:r>
      <w:r w:rsidRPr="006C40C1">
        <w:t>selkontrakt för att minska behovet av att köpa in skyddsvärd mark och samt</w:t>
      </w:r>
      <w:r w:rsidRPr="006C40C1">
        <w:t>i</w:t>
      </w:r>
      <w:r w:rsidRPr="006C40C1">
        <w:t>digt göra bevarandearbetet mer effektivt. Miljö- och hälsofarliga områden bör prioriteras vid sanering av förorenade områden, vilket medger en besparing på detta anslag. Stimulansåtgärder för utveckling av miljövänlig teknik bör ges ökade resurser, medan anslaget för stöd till klimatinvesteringar kan sä</w:t>
      </w:r>
      <w:r w:rsidRPr="006C40C1">
        <w:t>n</w:t>
      </w:r>
      <w:r w:rsidRPr="006C40C1">
        <w:t>kas.</w:t>
      </w:r>
    </w:p>
    <w:p w:rsidR="00AA5D77" w:rsidRPr="006C40C1" w:rsidRDefault="00AA5D77">
      <w:pPr>
        <w:pStyle w:val="Normaltindrag"/>
      </w:pPr>
      <w:r w:rsidRPr="006C40C1">
        <w:rPr>
          <w:i/>
        </w:rPr>
        <w:t>Folkpartiet liberalerna</w:t>
      </w:r>
      <w:r w:rsidRPr="006C40C1">
        <w:t xml:space="preserve"> framför i </w:t>
      </w:r>
      <w:r w:rsidRPr="006C40C1">
        <w:rPr>
          <w:i/>
        </w:rPr>
        <w:t>motion Fi232</w:t>
      </w:r>
      <w:r w:rsidRPr="006C40C1">
        <w:t xml:space="preserve"> att riktade stödåtgärder, e</w:t>
      </w:r>
      <w:r w:rsidRPr="006C40C1">
        <w:t>x</w:t>
      </w:r>
      <w:r w:rsidRPr="006C40C1">
        <w:t>empelvis regeringens föreslagna stöd till klimatinvesteringar, bör undvikas, eftersom de ofta leder till byråkratiska regler och felaktiga beslut. I stället föreslås ökade satsningar på åtgärder för biologisk mångfald, på internati</w:t>
      </w:r>
      <w:r w:rsidRPr="006C40C1">
        <w:t>o</w:t>
      </w:r>
      <w:r w:rsidRPr="006C40C1">
        <w:t xml:space="preserve">nellt miljösamarbete och på miljöforskning.    </w:t>
      </w:r>
    </w:p>
    <w:p w:rsidR="00AA5D77" w:rsidRPr="006C40C1" w:rsidRDefault="00AA5D77">
      <w:pPr>
        <w:pStyle w:val="Normaltindrag"/>
      </w:pPr>
      <w:r w:rsidRPr="006C40C1">
        <w:rPr>
          <w:i/>
        </w:rPr>
        <w:t>Kristdemokraterna</w:t>
      </w:r>
      <w:r w:rsidRPr="006C40C1">
        <w:t xml:space="preserve"> pekar i </w:t>
      </w:r>
      <w:r w:rsidRPr="006C40C1">
        <w:rPr>
          <w:i/>
        </w:rPr>
        <w:t>motion Fi233</w:t>
      </w:r>
      <w:r w:rsidRPr="006C40C1">
        <w:t xml:space="preserve"> ut klimatförändringarna som det största och mest svåråtgärdade miljöproblemet. Utsläpp från trafik och ene</w:t>
      </w:r>
      <w:r w:rsidRPr="006C40C1">
        <w:t>r</w:t>
      </w:r>
      <w:r w:rsidRPr="006C40C1">
        <w:t>giproduktion måste minska drastiskt, varför en höjning av stödet till klimati</w:t>
      </w:r>
      <w:r w:rsidRPr="006C40C1">
        <w:t>n</w:t>
      </w:r>
      <w:r w:rsidRPr="006C40C1">
        <w:t>vesteringar föreslås. Genom bl.a. effektivisering av förvaltningen föreslås besparingar på Naturvårdsverket och åtgärderna för biologisk mån</w:t>
      </w:r>
      <w:r w:rsidRPr="006C40C1">
        <w:t>g</w:t>
      </w:r>
      <w:r w:rsidRPr="006C40C1">
        <w:t>fald.</w:t>
      </w:r>
    </w:p>
    <w:p w:rsidR="00AA5D77" w:rsidRPr="006C40C1" w:rsidRDefault="00AA5D77">
      <w:pPr>
        <w:pStyle w:val="Normaltindrag"/>
      </w:pPr>
      <w:r w:rsidRPr="006C40C1">
        <w:rPr>
          <w:i/>
        </w:rPr>
        <w:t>Centerpartiet</w:t>
      </w:r>
      <w:r w:rsidRPr="006C40C1">
        <w:t xml:space="preserve"> föreslår i </w:t>
      </w:r>
      <w:r w:rsidRPr="006C40C1">
        <w:rPr>
          <w:i/>
        </w:rPr>
        <w:t xml:space="preserve">motion Fi234 </w:t>
      </w:r>
      <w:r w:rsidRPr="006C40C1">
        <w:t>omfördelningar inom utgiftsområdet med sänkta anslag till inköp av skog och ökade anslag till ideella organisati</w:t>
      </w:r>
      <w:r w:rsidRPr="006C40C1">
        <w:t>o</w:t>
      </w:r>
      <w:r w:rsidRPr="006C40C1">
        <w:t>ner, kalkning, miljöforskning och en fond för kostnadseffektiva investeringar. Dessutom föreslås ett nytt anslag till miljöbistånd på ca 350 miljoner kr</w:t>
      </w:r>
      <w:r w:rsidRPr="006C40C1">
        <w:t>o</w:t>
      </w:r>
      <w:r w:rsidRPr="006C40C1">
        <w:t xml:space="preserve">nor. </w:t>
      </w:r>
    </w:p>
    <w:p w:rsidR="00AA5D77" w:rsidRPr="006C40C1" w:rsidRDefault="00AA5D77">
      <w:pPr>
        <w:pStyle w:val="R4"/>
      </w:pPr>
      <w:r w:rsidRPr="006C40C1">
        <w:t>Miljö- och jordbruksutskottets yttrande</w:t>
      </w:r>
    </w:p>
    <w:p w:rsidR="00AA5D77" w:rsidRPr="006C40C1" w:rsidRDefault="00AA5D77">
      <w:r w:rsidRPr="006C40C1">
        <w:t>Miljö- och jordbruksutskottet anser i sitt yttrande (MJU1y) att det förslag till ram för utgiftsområdet som föreslås i motion Fi230 (s, v, mp) bör tillstyrkas, samt att övriga moti</w:t>
      </w:r>
      <w:r w:rsidRPr="006C40C1">
        <w:t>o</w:t>
      </w:r>
      <w:r w:rsidRPr="006C40C1">
        <w:t xml:space="preserve">ner bör avstyrkas i denna del. </w:t>
      </w:r>
    </w:p>
    <w:p w:rsidR="00AA5D77" w:rsidRPr="006C40C1" w:rsidRDefault="00AA5D77">
      <w:pPr>
        <w:pStyle w:val="Normaltindrag"/>
      </w:pPr>
      <w:r w:rsidRPr="006C40C1">
        <w:t>I avvikande meningar tillstyrker Moderata samlingspartiet, Folkpartiet l</w:t>
      </w:r>
      <w:r w:rsidRPr="006C40C1">
        <w:t>i</w:t>
      </w:r>
      <w:r w:rsidRPr="006C40C1">
        <w:t>beralerna, Kristdemokraterna och Centerpartiet förslagen i respektive motion.</w:t>
      </w:r>
    </w:p>
    <w:p w:rsidR="00AA5D77" w:rsidRPr="006C40C1" w:rsidRDefault="00AA5D77">
      <w:pPr>
        <w:pStyle w:val="R4"/>
      </w:pPr>
      <w:r w:rsidRPr="006C40C1">
        <w:t>Finansutskottets ställningstagande</w:t>
      </w:r>
    </w:p>
    <w:p w:rsidR="00AA5D77" w:rsidRPr="006C40C1" w:rsidRDefault="00AA5D77">
      <w:r w:rsidRPr="006C40C1">
        <w:t>Finansutskottet har tidigare i betänkandet (avsnitten 2.4.3 och 2.6) redovisat sin bedömning av fördelningen av utgifterna på utgiftsområden för budgetåret 2003. Miljö- och jordbruksutskottet ställer sig i sitt yttrande bakom den hö</w:t>
      </w:r>
      <w:r w:rsidRPr="006C40C1">
        <w:t>j</w:t>
      </w:r>
      <w:r w:rsidRPr="006C40C1">
        <w:t>ning av utgiftsområdesramen som föreslås i motion Fi230 (s, v, mp).</w:t>
      </w:r>
    </w:p>
    <w:p w:rsidR="00AA5D77" w:rsidRPr="006C40C1" w:rsidRDefault="00AA5D77">
      <w:pPr>
        <w:pStyle w:val="Normaltindrag"/>
      </w:pPr>
      <w:r w:rsidRPr="006C40C1">
        <w:t>Finansutskottet föreslår mot den bakgrunden att ramen för utgiftsomr</w:t>
      </w:r>
      <w:r w:rsidRPr="006C40C1">
        <w:t>å</w:t>
      </w:r>
      <w:r w:rsidRPr="006C40C1">
        <w:t>de 20 år 2003 fastställs till 3 363 miljoner kronor. Därmed tillstyrker utskottet propositionen med den uppjustering på 28 miljoner kronor som föreslås i motion Fi230 (s, v, mp) samt avstyrker övriga motioners förslag till alternat</w:t>
      </w:r>
      <w:r w:rsidRPr="006C40C1">
        <w:t>i</w:t>
      </w:r>
      <w:r w:rsidRPr="006C40C1">
        <w:t>va ramar.</w:t>
      </w:r>
    </w:p>
    <w:p w:rsidR="00AA5D77" w:rsidRPr="006C40C1" w:rsidRDefault="00AA5D77">
      <w:pPr>
        <w:pStyle w:val="Rubrik3"/>
        <w:rPr>
          <w:noProof w:val="0"/>
        </w:rPr>
      </w:pPr>
      <w:bookmarkStart w:id="633" w:name="_Toc529614339"/>
      <w:bookmarkStart w:id="634" w:name="_Toc530479520"/>
      <w:bookmarkStart w:id="635" w:name="_Toc25397637"/>
      <w:bookmarkStart w:id="636" w:name="_Toc26191570"/>
      <w:r w:rsidRPr="006C40C1">
        <w:rPr>
          <w:noProof w:val="0"/>
        </w:rPr>
        <w:t>4.1.21 Utgiftsområde 21 Energi</w:t>
      </w:r>
      <w:bookmarkEnd w:id="633"/>
      <w:bookmarkEnd w:id="634"/>
      <w:bookmarkEnd w:id="635"/>
      <w:bookmarkEnd w:id="636"/>
    </w:p>
    <w:p w:rsidR="00AA5D77" w:rsidRPr="006C40C1" w:rsidRDefault="00AA5D77">
      <w:r w:rsidRPr="006C40C1">
        <w:t>Utgiftsområdet omfattar insatser för omställning och utveckling av energis</w:t>
      </w:r>
      <w:r w:rsidRPr="006C40C1">
        <w:t>y</w:t>
      </w:r>
      <w:r w:rsidRPr="006C40C1">
        <w:t>stemet samt insatser för att främja utvecklingen av effektiva energimarkn</w:t>
      </w:r>
      <w:r w:rsidRPr="006C40C1">
        <w:t>a</w:t>
      </w:r>
      <w:r w:rsidRPr="006C40C1">
        <w:t xml:space="preserve">der. </w:t>
      </w:r>
    </w:p>
    <w:p w:rsidR="00AA5D77" w:rsidRPr="006C40C1" w:rsidRDefault="00AA5D77">
      <w:pPr>
        <w:pStyle w:val="Normaltindrag"/>
      </w:pPr>
      <w:r w:rsidRPr="006C40C1">
        <w:t>För 2002 beräknas de totala utgifterna för utgiftsområdet uppgå till ca 2 048 miljoner kronor.</w:t>
      </w:r>
    </w:p>
    <w:p w:rsidR="00AA5D77" w:rsidRPr="006C40C1" w:rsidRDefault="00AA5D77">
      <w:pPr>
        <w:pStyle w:val="R4"/>
      </w:pPr>
      <w:r w:rsidRPr="006C40C1">
        <w:t>Budgetpropositionen</w:t>
      </w:r>
    </w:p>
    <w:p w:rsidR="00AA5D77" w:rsidRPr="006C40C1" w:rsidRDefault="00AA5D77">
      <w:r w:rsidRPr="006C40C1">
        <w:t>I budgetpropositionen (avsnitt 6.3) redovisar regeringen att förändringar av utgiftsområdesramen jämfört med 2002 års ekonomiska vårproposition i huvudsak förklaras av åtgärder som följer av regeringens förslag i propositi</w:t>
      </w:r>
      <w:r w:rsidRPr="006C40C1">
        <w:t>o</w:t>
      </w:r>
      <w:r w:rsidRPr="006C40C1">
        <w:t>nen Samverkan för en trygg, effektiv och miljövänlig energiförsörjning (prop. 2001/02:143). Utgifterna inom utgiftsområdet ökar därmed med 366 miljoner kronor.</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FiU1tabellrubrik2000"/>
        <w:keepNext/>
        <w:keepLines/>
        <w:outlineLvl w:val="0"/>
      </w:pPr>
      <w:r w:rsidRPr="006C40C1">
        <w:t>Förslag till ram för utgiftsområde 21 Energi</w:t>
      </w:r>
    </w:p>
    <w:p w:rsidR="00AA5D77" w:rsidRPr="006C40C1" w:rsidRDefault="00AA5D77">
      <w:pPr>
        <w:pStyle w:val="Tabell"/>
        <w:keepNext/>
        <w:keepLines/>
        <w:spacing w:after="40"/>
        <w:outlineLvl w:val="0"/>
        <w:rPr>
          <w:rFonts w:ascii="Times New Roman" w:hAnsi="Times New Roman"/>
          <w:spacing w:val="0"/>
          <w:sz w:val="14"/>
        </w:rPr>
      </w:pPr>
      <w:r w:rsidRPr="006C40C1">
        <w:rPr>
          <w:rFonts w:ascii="Times New Roman" w:hAnsi="Times New Roman"/>
          <w:spacing w:val="0"/>
          <w:sz w:val="14"/>
        </w:rPr>
        <w:t>Belopp i miljoner kronor</w:t>
      </w:r>
    </w:p>
    <w:p w:rsidR="00AA5D77" w:rsidRPr="006C40C1" w:rsidRDefault="006C40C1">
      <w:pPr>
        <w:pStyle w:val="Tabell"/>
        <w:keepLines/>
        <w:spacing w:line="240" w:lineRule="auto"/>
        <w:outlineLvl w:val="0"/>
        <w:rPr>
          <w:rFonts w:ascii="Times New Roman" w:hAnsi="Times New Roman"/>
          <w:spacing w:val="0"/>
          <w:sz w:val="14"/>
        </w:rPr>
      </w:pPr>
      <w:r w:rsidRPr="006C40C1">
        <w:rPr>
          <w:noProof/>
          <w:sz w:val="14"/>
        </w:rPr>
        <w:drawing>
          <wp:inline distT="0" distB="0" distL="0" distR="0">
            <wp:extent cx="3739515" cy="800100"/>
            <wp:effectExtent l="0" t="0" r="0" b="0"/>
            <wp:docPr id="76" name="Bild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739515" cy="800100"/>
                    </a:xfrm>
                    <a:prstGeom prst="rect">
                      <a:avLst/>
                    </a:prstGeom>
                    <a:noFill/>
                    <a:ln>
                      <a:noFill/>
                    </a:ln>
                  </pic:spPr>
                </pic:pic>
              </a:graphicData>
            </a:graphic>
          </wp:inline>
        </w:drawing>
      </w:r>
    </w:p>
    <w:p w:rsidR="00AA5D77" w:rsidRPr="006C40C1" w:rsidRDefault="00AA5D77">
      <w:pPr>
        <w:pStyle w:val="R4"/>
      </w:pPr>
      <w:r w:rsidRPr="006C40C1">
        <w:t xml:space="preserve"> Motionerna</w:t>
      </w:r>
    </w:p>
    <w:p w:rsidR="00AA5D77" w:rsidRPr="006C40C1" w:rsidRDefault="00AA5D77">
      <w:r w:rsidRPr="006C40C1">
        <w:t xml:space="preserve">Förslagen i </w:t>
      </w:r>
      <w:r w:rsidRPr="006C40C1">
        <w:rPr>
          <w:i/>
        </w:rPr>
        <w:t>motion Fi230</w:t>
      </w:r>
      <w:r w:rsidRPr="006C40C1">
        <w:t xml:space="preserve"> från </w:t>
      </w:r>
      <w:r w:rsidRPr="006C40C1">
        <w:rPr>
          <w:i/>
        </w:rPr>
        <w:t>Socialdemokraterna, Vänsterpartiet</w:t>
      </w:r>
      <w:r w:rsidRPr="006C40C1">
        <w:t xml:space="preserve"> och</w:t>
      </w:r>
      <w:r w:rsidRPr="006C40C1">
        <w:rPr>
          <w:i/>
        </w:rPr>
        <w:t xml:space="preserve"> Milj</w:t>
      </w:r>
      <w:r w:rsidRPr="006C40C1">
        <w:rPr>
          <w:i/>
        </w:rPr>
        <w:t>ö</w:t>
      </w:r>
      <w:r w:rsidRPr="006C40C1">
        <w:rPr>
          <w:i/>
        </w:rPr>
        <w:t>partiet de gröna</w:t>
      </w:r>
      <w:r w:rsidRPr="006C40C1">
        <w:t xml:space="preserve"> berör inte utgiftsområde 21.</w:t>
      </w:r>
    </w:p>
    <w:p w:rsidR="00AA5D77" w:rsidRPr="006C40C1" w:rsidRDefault="00AA5D77">
      <w:pPr>
        <w:pStyle w:val="Normaltindrag"/>
      </w:pPr>
      <w:r w:rsidRPr="006C40C1">
        <w:rPr>
          <w:i/>
        </w:rPr>
        <w:t>Moderata samlingspartiet</w:t>
      </w:r>
      <w:r w:rsidRPr="006C40C1">
        <w:t xml:space="preserve"> anför i </w:t>
      </w:r>
      <w:r w:rsidRPr="006C40C1">
        <w:rPr>
          <w:i/>
        </w:rPr>
        <w:t>motion Fi231</w:t>
      </w:r>
      <w:r w:rsidRPr="006C40C1">
        <w:t xml:space="preserve"> att energipolitikens mål ska vara att främja en säker och konkurrenskraftig energiförsörjning i hela Sverige. All energiproduktion ska klara högt ställda säkerhets- och miljökrav. Motionärerna avvisar den förtida kärnkraftsavvecklingen. Besparingar görs bl.a. på anslaget för bidrag för att minska elanvändningen och på bidrag till investeringar i elproduktion från fö</w:t>
      </w:r>
      <w:r w:rsidRPr="006C40C1">
        <w:t>r</w:t>
      </w:r>
      <w:r w:rsidRPr="006C40C1">
        <w:t>nybara energikällor.</w:t>
      </w:r>
      <w:r w:rsidRPr="006C40C1">
        <w:rPr>
          <w:i/>
        </w:rPr>
        <w:t xml:space="preserve"> </w:t>
      </w:r>
    </w:p>
    <w:p w:rsidR="00AA5D77" w:rsidRPr="006C40C1" w:rsidRDefault="00AA5D77">
      <w:pPr>
        <w:pStyle w:val="Normaltindrag"/>
      </w:pPr>
      <w:r w:rsidRPr="006C40C1">
        <w:rPr>
          <w:i/>
        </w:rPr>
        <w:t>Folkpartiet liberalerna</w:t>
      </w:r>
      <w:r w:rsidRPr="006C40C1">
        <w:t xml:space="preserve"> förespråkar i </w:t>
      </w:r>
      <w:r w:rsidRPr="006C40C1">
        <w:rPr>
          <w:i/>
        </w:rPr>
        <w:t>motion Fi232</w:t>
      </w:r>
      <w:r w:rsidRPr="006C40C1">
        <w:t xml:space="preserve"> en fri produktion av energi och motsätter sig en förtida avveckling av kärnkraften. Konkurrensen på elmarknaden bör ökas. Motionärerna avvisar regeringens förslag till ene</w:t>
      </w:r>
      <w:r w:rsidRPr="006C40C1">
        <w:t>r</w:t>
      </w:r>
      <w:r w:rsidRPr="006C40C1">
        <w:t>giprogram. Motionärerna anser vidare att medel bör avsättas för stöd till åtgärder som höjer kärnsäkerheten i Öste</w:t>
      </w:r>
      <w:r w:rsidRPr="006C40C1">
        <w:t>u</w:t>
      </w:r>
      <w:r w:rsidRPr="006C40C1">
        <w:t>ropa.</w:t>
      </w:r>
    </w:p>
    <w:p w:rsidR="00AA5D77" w:rsidRPr="006C40C1" w:rsidRDefault="00AA5D77">
      <w:pPr>
        <w:pStyle w:val="Normaltindrag"/>
      </w:pPr>
      <w:r w:rsidRPr="006C40C1">
        <w:rPr>
          <w:i/>
        </w:rPr>
        <w:t>Kristdemokraterna</w:t>
      </w:r>
      <w:r w:rsidRPr="006C40C1">
        <w:t xml:space="preserve"> anser i </w:t>
      </w:r>
      <w:r w:rsidRPr="006C40C1">
        <w:rPr>
          <w:i/>
        </w:rPr>
        <w:t>motion Fi233</w:t>
      </w:r>
      <w:r w:rsidRPr="006C40C1">
        <w:t xml:space="preserve"> att kärnkraften ska avvecklas i takt med att förnybara energislag kan fasas in. Satsningar på forskning och utveckling av alternativa energislag är mycket angelägna. Delar av omstäl</w:t>
      </w:r>
      <w:r w:rsidRPr="006C40C1">
        <w:t>l</w:t>
      </w:r>
      <w:r w:rsidRPr="006C40C1">
        <w:t>ningsprogrammet har inte gett avsett resultat varför motionärerna anser att medlen i stället ska satsas på energieffektivisering och på att finna metoder att öka el- och värmeproduktion baserad på förnybara energislag. Besparingar görs bl.a. på anslagen till Energimyndigheten och introduktion av ny energ</w:t>
      </w:r>
      <w:r w:rsidRPr="006C40C1">
        <w:t>i</w:t>
      </w:r>
      <w:r w:rsidRPr="006C40C1">
        <w:t>te</w:t>
      </w:r>
      <w:r w:rsidRPr="006C40C1">
        <w:t>knik.</w:t>
      </w:r>
    </w:p>
    <w:p w:rsidR="00AA5D77" w:rsidRPr="006C40C1" w:rsidRDefault="00AA5D77">
      <w:pPr>
        <w:pStyle w:val="Normaltindrag"/>
      </w:pPr>
      <w:r w:rsidRPr="006C40C1">
        <w:rPr>
          <w:i/>
        </w:rPr>
        <w:t>Centerpartiets</w:t>
      </w:r>
      <w:r w:rsidRPr="006C40C1">
        <w:t xml:space="preserve"> förslag i </w:t>
      </w:r>
      <w:r w:rsidRPr="006C40C1">
        <w:rPr>
          <w:i/>
        </w:rPr>
        <w:t>motion Fi234</w:t>
      </w:r>
      <w:r w:rsidRPr="006C40C1">
        <w:t xml:space="preserve"> överensstämmer med regeringens med hänvisning till att området omfattas av energiöverenskommelsen med regeringen.</w:t>
      </w:r>
    </w:p>
    <w:p w:rsidR="00AA5D77" w:rsidRPr="006C40C1" w:rsidRDefault="00AA5D77">
      <w:pPr>
        <w:pStyle w:val="R4"/>
      </w:pPr>
      <w:r w:rsidRPr="006C40C1">
        <w:t xml:space="preserve">Näringsutskottets yttrande </w:t>
      </w:r>
    </w:p>
    <w:p w:rsidR="00AA5D77" w:rsidRPr="006C40C1" w:rsidRDefault="00AA5D77">
      <w:r w:rsidRPr="006C40C1">
        <w:t>Näringsutskottet, som har yttrat sig i form av ett protokollsutdrag, tillstyrker regeringens förslag. Företrädarna för Moderata samlingspartiet, Folkpartiet liberalerna och Kristdem</w:t>
      </w:r>
      <w:r w:rsidRPr="006C40C1">
        <w:t>o</w:t>
      </w:r>
      <w:r w:rsidRPr="006C40C1">
        <w:t>kraterna tillstyrker sina partiers respektive förslag.</w:t>
      </w:r>
    </w:p>
    <w:p w:rsidR="00AA5D77" w:rsidRPr="006C40C1" w:rsidRDefault="00AA5D77">
      <w:pPr>
        <w:pStyle w:val="R4"/>
      </w:pPr>
      <w:r w:rsidRPr="006C40C1">
        <w:t xml:space="preserve">Finansutskottets ställningstagande </w:t>
      </w:r>
    </w:p>
    <w:p w:rsidR="00AA5D77" w:rsidRPr="006C40C1" w:rsidRDefault="00AA5D77">
      <w:r w:rsidRPr="006C40C1">
        <w:t>Finansutskottet har tidigare i betänkandet (avsnitten 2.4.3 och 2.6) redovisat sin bedömning av fördelningen av utgifterna på utgiftsområden för budgetåret 2003. Näringsutskottet har för sin del inte haft något att invända mot rege</w:t>
      </w:r>
      <w:r w:rsidRPr="006C40C1">
        <w:t>r</w:t>
      </w:r>
      <w:r w:rsidRPr="006C40C1">
        <w:t xml:space="preserve">ingens förslag till ram för utgiftsområdet. </w:t>
      </w:r>
    </w:p>
    <w:p w:rsidR="00AA5D77" w:rsidRPr="006C40C1" w:rsidRDefault="00AA5D77">
      <w:pPr>
        <w:pStyle w:val="Normaltindrag"/>
      </w:pPr>
      <w:r w:rsidRPr="006C40C1">
        <w:t>Finansutskottet föreslår mot denna bakgrund att ramen för utgiftsområde 21 år 2003 fastställs till 1 687 miljoner kronor. Därmed tillstyrker utskottet propositionens förslag och avstyrker motionernas förslag till alternativa r</w:t>
      </w:r>
      <w:r w:rsidRPr="006C40C1">
        <w:t>a</w:t>
      </w:r>
      <w:r w:rsidRPr="006C40C1">
        <w:t>mar.</w:t>
      </w:r>
    </w:p>
    <w:p w:rsidR="00AA5D77" w:rsidRPr="006C40C1" w:rsidRDefault="00AA5D77">
      <w:pPr>
        <w:pStyle w:val="Rubrik3"/>
        <w:rPr>
          <w:noProof w:val="0"/>
        </w:rPr>
      </w:pPr>
      <w:bookmarkStart w:id="637" w:name="_Toc25397638"/>
      <w:bookmarkStart w:id="638" w:name="_Toc26191571"/>
      <w:r w:rsidRPr="006C40C1">
        <w:rPr>
          <w:noProof w:val="0"/>
        </w:rPr>
        <w:t>4.1.22 Utgiftsområde 22 Kommunikationer</w:t>
      </w:r>
      <w:bookmarkEnd w:id="637"/>
      <w:bookmarkEnd w:id="638"/>
    </w:p>
    <w:p w:rsidR="00AA5D77" w:rsidRPr="006C40C1" w:rsidRDefault="00AA5D77">
      <w:r w:rsidRPr="006C40C1">
        <w:t>Utgiftsområdet omfattar investeringar i samt drift och underhåll av vägar och järnvägar. Utgifter för sjöfart, luftfart, post, informationsteknik samt fors</w:t>
      </w:r>
      <w:r w:rsidRPr="006C40C1">
        <w:t>k</w:t>
      </w:r>
      <w:r w:rsidRPr="006C40C1">
        <w:t>ning inom ovan nämnda verksamheter ingår också i utgiftsområdet.</w:t>
      </w:r>
    </w:p>
    <w:p w:rsidR="00AA5D77" w:rsidRPr="006C40C1" w:rsidRDefault="00AA5D77">
      <w:pPr>
        <w:pStyle w:val="Normaltindrag"/>
      </w:pPr>
      <w:r w:rsidRPr="006C40C1">
        <w:t>För 2002 beräknas de totala utgifterna för utgiftsområdet uppgå till ca 24 616 miljoner kronor.</w:t>
      </w:r>
    </w:p>
    <w:p w:rsidR="00AA5D77" w:rsidRPr="006C40C1" w:rsidRDefault="00AA5D77">
      <w:pPr>
        <w:pStyle w:val="R4"/>
      </w:pPr>
      <w:r w:rsidRPr="006C40C1">
        <w:t>Budgetpropositionen</w:t>
      </w:r>
    </w:p>
    <w:p w:rsidR="00AA5D77" w:rsidRPr="006C40C1" w:rsidRDefault="00AA5D77">
      <w:r w:rsidRPr="006C40C1">
        <w:t>I budgetpropositionen (avsnitt 6.3) förklaras förändringen av utgiftsområde</w:t>
      </w:r>
      <w:r w:rsidRPr="006C40C1">
        <w:t>s</w:t>
      </w:r>
      <w:r w:rsidRPr="006C40C1">
        <w:t>ramen i förhållande till beräkningen i vårpropositionen i huvudsak av omfö</w:t>
      </w:r>
      <w:r w:rsidRPr="006C40C1">
        <w:t>r</w:t>
      </w:r>
      <w:r w:rsidRPr="006C40C1">
        <w:t>delningar mellan utgiftsområden samt ny pris- och löneomräkning. Att den beräknade utgiftsområdesramen för 2004 är 4 441 miljoner kronor högre än anslaget för 2002 (inklusive tilläggsbudget i den ekonomiska vårpropositi</w:t>
      </w:r>
      <w:r w:rsidRPr="006C40C1">
        <w:t>o</w:t>
      </w:r>
      <w:r w:rsidRPr="006C40C1">
        <w:t>nen och budgetpropositionen) förklaras bl.a. av att utgiftsområdet enligt tid</w:t>
      </w:r>
      <w:r w:rsidRPr="006C40C1">
        <w:t>i</w:t>
      </w:r>
      <w:r w:rsidRPr="006C40C1">
        <w:t>gare beslut tillförs 500 miljoner kronor för 2003 samt 2 800 miljoner kronor för 2004. Medlen för 2004 ska i enlighet med regeringens prop</w:t>
      </w:r>
      <w:r w:rsidRPr="006C40C1">
        <w:t xml:space="preserve">osition om Infrastruktur för ett långsiktigt hållbart transportsystem (prop. 2001/02:20, bet. 2001/02:TU2, rskr. 2001/02:126) användas till höjd ambitionsnivå i infrastruktursatsningarna. </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Tabelltext"/>
      </w:pPr>
    </w:p>
    <w:p w:rsidR="00AA5D77" w:rsidRPr="006C40C1" w:rsidRDefault="00AA5D77">
      <w:pPr>
        <w:pStyle w:val="Tabelltext"/>
        <w:rPr>
          <w:b/>
        </w:rPr>
      </w:pPr>
      <w:r w:rsidRPr="006C40C1">
        <w:rPr>
          <w:b/>
        </w:rPr>
        <w:t>Förslag till ram för utgiftsområde 22 Kommunikationer</w:t>
      </w:r>
    </w:p>
    <w:p w:rsidR="00AA5D77" w:rsidRPr="006C40C1" w:rsidRDefault="00AA5D77">
      <w:pPr>
        <w:pStyle w:val="Tabellrubrik"/>
        <w:spacing w:before="0"/>
      </w:pPr>
      <w:r w:rsidRPr="006C40C1">
        <w:rPr>
          <w:caps w:val="0"/>
        </w:rPr>
        <w:t>Belopp i miljoner kronor</w:t>
      </w:r>
    </w:p>
    <w:p w:rsidR="00AA5D77" w:rsidRPr="006C40C1" w:rsidRDefault="006C40C1">
      <w:r w:rsidRPr="006C40C1">
        <w:rPr>
          <w:noProof/>
        </w:rPr>
        <w:drawing>
          <wp:inline distT="0" distB="0" distL="0" distR="0">
            <wp:extent cx="3777615" cy="805815"/>
            <wp:effectExtent l="0" t="0" r="0" b="0"/>
            <wp:docPr id="77" name="Bild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R4"/>
      </w:pPr>
      <w:r w:rsidRPr="006C40C1">
        <w:t>Motionerna</w:t>
      </w:r>
    </w:p>
    <w:p w:rsidR="00AA5D77" w:rsidRPr="006C40C1" w:rsidRDefault="00AA5D77">
      <w:r w:rsidRPr="006C40C1">
        <w:t xml:space="preserve">Förslagen i </w:t>
      </w:r>
      <w:r w:rsidRPr="006C40C1">
        <w:rPr>
          <w:i/>
        </w:rPr>
        <w:t>motion Fi230</w:t>
      </w:r>
      <w:r w:rsidRPr="006C40C1">
        <w:t xml:space="preserve"> från </w:t>
      </w:r>
      <w:r w:rsidRPr="006C40C1">
        <w:rPr>
          <w:i/>
        </w:rPr>
        <w:t>Socialdemokraterna, Vänsterpartiet</w:t>
      </w:r>
      <w:r w:rsidRPr="006C40C1">
        <w:t xml:space="preserve"> och</w:t>
      </w:r>
      <w:r w:rsidRPr="006C40C1">
        <w:rPr>
          <w:i/>
        </w:rPr>
        <w:t xml:space="preserve"> Milj</w:t>
      </w:r>
      <w:r w:rsidRPr="006C40C1">
        <w:rPr>
          <w:i/>
        </w:rPr>
        <w:t>ö</w:t>
      </w:r>
      <w:r w:rsidRPr="006C40C1">
        <w:rPr>
          <w:i/>
        </w:rPr>
        <w:t>partiet de gröna</w:t>
      </w:r>
      <w:r w:rsidRPr="006C40C1">
        <w:t xml:space="preserve"> berör inte utgiftsområde 22.</w:t>
      </w:r>
    </w:p>
    <w:p w:rsidR="00AA5D77" w:rsidRPr="006C40C1" w:rsidRDefault="00AA5D77">
      <w:pPr>
        <w:pStyle w:val="Normaltindrag"/>
      </w:pPr>
      <w:r w:rsidRPr="006C40C1">
        <w:rPr>
          <w:i/>
        </w:rPr>
        <w:t>Moderata samlingspartiet</w:t>
      </w:r>
      <w:r w:rsidRPr="006C40C1">
        <w:t xml:space="preserve"> framför i </w:t>
      </w:r>
      <w:r w:rsidRPr="006C40C1">
        <w:rPr>
          <w:i/>
        </w:rPr>
        <w:t>motion Fi231</w:t>
      </w:r>
      <w:r w:rsidRPr="006C40C1">
        <w:t xml:space="preserve"> att Sveriges underd</w:t>
      </w:r>
      <w:r w:rsidRPr="006C40C1">
        <w:t>i</w:t>
      </w:r>
      <w:r w:rsidRPr="006C40C1">
        <w:t>mensionerade infrastruktur utgör ett hinder för medborgarnas rörlighet och medför konkurrensnackdelar för företagen. En höjning av anslagen till vä</w:t>
      </w:r>
      <w:r w:rsidRPr="006C40C1">
        <w:t>g</w:t>
      </w:r>
      <w:r w:rsidRPr="006C40C1">
        <w:t>hållning med 2 000 miljoner föreslås därför för 2003. En ökad privat finansi</w:t>
      </w:r>
      <w:r w:rsidRPr="006C40C1">
        <w:t>e</w:t>
      </w:r>
      <w:r w:rsidRPr="006C40C1">
        <w:t>ring av postverksamhet och underhåll av järnvägar föreslås minska utgifterna på statsbudgeten.</w:t>
      </w:r>
    </w:p>
    <w:p w:rsidR="00AA5D77" w:rsidRPr="006C40C1" w:rsidRDefault="00AA5D77">
      <w:pPr>
        <w:pStyle w:val="Normaltindrag"/>
      </w:pPr>
      <w:r w:rsidRPr="006C40C1">
        <w:rPr>
          <w:i/>
        </w:rPr>
        <w:t>Folkpartiet liberalerna</w:t>
      </w:r>
      <w:r w:rsidRPr="006C40C1">
        <w:t xml:space="preserve"> framhåller i </w:t>
      </w:r>
      <w:r w:rsidRPr="006C40C1">
        <w:rPr>
          <w:i/>
        </w:rPr>
        <w:t>motion Fi232</w:t>
      </w:r>
      <w:r w:rsidRPr="006C40C1">
        <w:t xml:space="preserve"> att fungerande komm</w:t>
      </w:r>
      <w:r w:rsidRPr="006C40C1">
        <w:t>u</w:t>
      </w:r>
      <w:r w:rsidRPr="006C40C1">
        <w:t>nikationer är en förutsättning för att tillväxt ska skapas. Högre investeringar i vägnätet, men en långsammare takt i genomförandet av järnvägsinvesteringar föreslås, samtidigt som stödet till de regionala flygplatse</w:t>
      </w:r>
      <w:r w:rsidRPr="006C40C1">
        <w:t>r</w:t>
      </w:r>
      <w:r w:rsidRPr="006C40C1">
        <w:t>na avvisas.</w:t>
      </w:r>
    </w:p>
    <w:p w:rsidR="00AA5D77" w:rsidRPr="006C40C1" w:rsidRDefault="00AA5D77">
      <w:pPr>
        <w:pStyle w:val="Normaltindrag"/>
      </w:pPr>
      <w:r w:rsidRPr="006C40C1">
        <w:rPr>
          <w:i/>
        </w:rPr>
        <w:t>Kristdemokraterna</w:t>
      </w:r>
      <w:r w:rsidRPr="006C40C1">
        <w:t xml:space="preserve"> framför i </w:t>
      </w:r>
      <w:r w:rsidRPr="006C40C1">
        <w:rPr>
          <w:i/>
        </w:rPr>
        <w:t>motion Fi233</w:t>
      </w:r>
      <w:r w:rsidRPr="006C40C1">
        <w:t xml:space="preserve"> att regeringens transportpolitik inneburit att eftersläpningarna i de uppställda investeringsplanerna har accel</w:t>
      </w:r>
      <w:r w:rsidRPr="006C40C1">
        <w:t>e</w:t>
      </w:r>
      <w:r w:rsidRPr="006C40C1">
        <w:t>rerat ytterligare och att vägunderhållet är eftersatt på ett oacceptabelt sätt. Höjningar föreslås därför av anslag till Vägverket och Banverket på 1 590 respektive 1 710 miljoner kronor jämfört med regeringens förslag.</w:t>
      </w:r>
    </w:p>
    <w:p w:rsidR="00AA5D77" w:rsidRPr="006C40C1" w:rsidRDefault="00AA5D77">
      <w:pPr>
        <w:pStyle w:val="Normaltindrag"/>
      </w:pPr>
      <w:r w:rsidRPr="006C40C1">
        <w:rPr>
          <w:i/>
        </w:rPr>
        <w:t>Centerpartiet</w:t>
      </w:r>
      <w:r w:rsidRPr="006C40C1">
        <w:t xml:space="preserve"> förordar i </w:t>
      </w:r>
      <w:r w:rsidRPr="006C40C1">
        <w:rPr>
          <w:i/>
        </w:rPr>
        <w:t>motion Fi234</w:t>
      </w:r>
      <w:r w:rsidRPr="006C40C1">
        <w:t xml:space="preserve"> en höjning av utgiftsområdesramen jämfört med regeringen på 1 710 miljoner kronor för 2003. Satsningen, som måste omfatta hela landet, inriktas primärt på att ta igen det eftersatta unde</w:t>
      </w:r>
      <w:r w:rsidRPr="006C40C1">
        <w:t>r</w:t>
      </w:r>
      <w:r w:rsidRPr="006C40C1">
        <w:t>hållet av vägnätet och på upphandling av kollektivtrafik i glesbygd. Neddra</w:t>
      </w:r>
      <w:r w:rsidRPr="006C40C1">
        <w:t>g</w:t>
      </w:r>
      <w:r w:rsidRPr="006C40C1">
        <w:t>ningar görs på myndighetsansl</w:t>
      </w:r>
      <w:r w:rsidRPr="006C40C1">
        <w:t>a</w:t>
      </w:r>
      <w:r w:rsidRPr="006C40C1">
        <w:t xml:space="preserve">gen. </w:t>
      </w:r>
    </w:p>
    <w:p w:rsidR="00AA5D77" w:rsidRPr="006C40C1" w:rsidRDefault="00AA5D77">
      <w:pPr>
        <w:pStyle w:val="R4"/>
      </w:pPr>
      <w:r w:rsidRPr="006C40C1">
        <w:t>Trafikutskottets yttrande</w:t>
      </w:r>
    </w:p>
    <w:p w:rsidR="00AA5D77" w:rsidRPr="006C40C1" w:rsidRDefault="00AA5D77">
      <w:r w:rsidRPr="006C40C1">
        <w:t>I ett protokollsutdrag från trafikutskottet tillstyrks regeringens förslag till ram för utgiftsområdet. Representanterna för Moderata samlingspartiet, Folkpart</w:t>
      </w:r>
      <w:r w:rsidRPr="006C40C1">
        <w:t>i</w:t>
      </w:r>
      <w:r w:rsidRPr="006C40C1">
        <w:t>et liberalerna, Kristdemokraterna och Centerpartiet anser i var sin skiljaktig m</w:t>
      </w:r>
      <w:r w:rsidRPr="006C40C1">
        <w:t>e</w:t>
      </w:r>
      <w:r w:rsidRPr="006C40C1">
        <w:t>ning att respektive partis förslag bör tillstyrkas.</w:t>
      </w:r>
    </w:p>
    <w:p w:rsidR="00AA5D77" w:rsidRPr="006C40C1" w:rsidRDefault="00AA5D77">
      <w:pPr>
        <w:pStyle w:val="R4"/>
      </w:pPr>
      <w:r w:rsidRPr="006C40C1">
        <w:t>Finansutskottets ställningstagande</w:t>
      </w:r>
    </w:p>
    <w:p w:rsidR="00AA5D77" w:rsidRPr="006C40C1" w:rsidRDefault="00AA5D77">
      <w:r w:rsidRPr="006C40C1">
        <w:t>Finansutskottet har tidigare i betänkandet (avsnitten 2.4.3 och 2.6) redovisat sin bedömning av fördelningen av utgifterna på utgiftsområden för budgetåret 2003. Trafikutskottet har för sin del inte haft något att invända mot regerin</w:t>
      </w:r>
      <w:r w:rsidRPr="006C40C1">
        <w:t>g</w:t>
      </w:r>
      <w:r w:rsidRPr="006C40C1">
        <w:t xml:space="preserve">ens förslag till ram på utgiftsområdet. </w:t>
      </w:r>
    </w:p>
    <w:p w:rsidR="00AA5D77" w:rsidRPr="006C40C1" w:rsidRDefault="00AA5D77">
      <w:pPr>
        <w:pStyle w:val="Normaltindrag"/>
      </w:pPr>
      <w:r w:rsidRPr="006C40C1">
        <w:t>Finansutskottet föreslår mot den bakgrunden att ramen för utgiftsomr</w:t>
      </w:r>
      <w:r w:rsidRPr="006C40C1">
        <w:t>å</w:t>
      </w:r>
      <w:r w:rsidRPr="006C40C1">
        <w:t>de 22 år 2003 fastställs till 25 858 miljoner kronor. Därmed tillstyrker u</w:t>
      </w:r>
      <w:r w:rsidRPr="006C40C1">
        <w:t>t</w:t>
      </w:r>
      <w:r w:rsidRPr="006C40C1">
        <w:t>skottet propositi</w:t>
      </w:r>
      <w:r w:rsidRPr="006C40C1">
        <w:t>o</w:t>
      </w:r>
      <w:r w:rsidRPr="006C40C1">
        <w:t>nen och avstyrker motionernas förslag till alternativa ramar.</w:t>
      </w:r>
    </w:p>
    <w:p w:rsidR="00AA5D77" w:rsidRPr="006C40C1" w:rsidRDefault="00AA5D77">
      <w:pPr>
        <w:pStyle w:val="Rubrik3"/>
        <w:rPr>
          <w:noProof w:val="0"/>
        </w:rPr>
      </w:pPr>
      <w:bookmarkStart w:id="639" w:name="_Toc25397639"/>
      <w:bookmarkStart w:id="640" w:name="_Toc26191572"/>
      <w:r w:rsidRPr="006C40C1">
        <w:rPr>
          <w:noProof w:val="0"/>
        </w:rPr>
        <w:t>4.1.23 Utgiftsområde 23 Jord- och skogsbruk, fiske med anslutande näringar</w:t>
      </w:r>
      <w:bookmarkEnd w:id="639"/>
      <w:bookmarkEnd w:id="640"/>
    </w:p>
    <w:p w:rsidR="00AA5D77" w:rsidRPr="006C40C1" w:rsidRDefault="00AA5D77">
      <w:r w:rsidRPr="006C40C1">
        <w:t>Utgiftsområdet omfattar jordbruk och trädgårdsnäring, skogsnäring, fisk</w:t>
      </w:r>
      <w:r w:rsidRPr="006C40C1">
        <w:t>e</w:t>
      </w:r>
      <w:r w:rsidRPr="006C40C1">
        <w:t>näring, rennäring, djurskydd och djurhälsovård, livsmedelskontroll, Sveriges lantbruksunive</w:t>
      </w:r>
      <w:r w:rsidRPr="006C40C1">
        <w:t>r</w:t>
      </w:r>
      <w:r w:rsidRPr="006C40C1">
        <w:t>sitet, samt viss forskning.</w:t>
      </w:r>
    </w:p>
    <w:p w:rsidR="00AA5D77" w:rsidRPr="006C40C1" w:rsidRDefault="00AA5D77">
      <w:pPr>
        <w:pStyle w:val="Normaltindrag"/>
      </w:pPr>
      <w:r w:rsidRPr="006C40C1">
        <w:t xml:space="preserve"> För 2002 beräknas de totala utgifterna för utgiftsområdet uppgå till ca 14 118 miljoner kronor.</w:t>
      </w:r>
    </w:p>
    <w:p w:rsidR="00AA5D77" w:rsidRPr="006C40C1" w:rsidRDefault="00AA5D77">
      <w:pPr>
        <w:pStyle w:val="R4"/>
      </w:pPr>
      <w:r w:rsidRPr="006C40C1">
        <w:t>Budgetpropositionen</w:t>
      </w:r>
    </w:p>
    <w:p w:rsidR="00AA5D77" w:rsidRPr="006C40C1" w:rsidRDefault="00AA5D77">
      <w:r w:rsidRPr="006C40C1">
        <w:t>I budgetpropositionen (avsnitt 6.3) beräknas en sänkning av utgiftsområde</w:t>
      </w:r>
      <w:r w:rsidRPr="006C40C1">
        <w:t>s</w:t>
      </w:r>
      <w:r w:rsidRPr="006C40C1">
        <w:t>ramen för 2004 med 306 miljoner kronor jämfört med ramnivån för 2002 (inklusive tilläggsbudget i den ekonomiska vårpropositionen och budgetpr</w:t>
      </w:r>
      <w:r w:rsidRPr="006C40C1">
        <w:t>o</w:t>
      </w:r>
      <w:r w:rsidRPr="006C40C1">
        <w:t>positionen). Den lägre ramen för 2003 är ett resultat av att utbetalningar av arealstödsersättning motsvarande ca 4 000 miljoner kronor tidigareläggs. Åtgärden förklaras av att regeringen gör bedömningen att det finns en risk att utgiftstaket är hotat för 2003.</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Tabelltext"/>
      </w:pPr>
    </w:p>
    <w:p w:rsidR="00AA5D77" w:rsidRPr="006C40C1" w:rsidRDefault="00AA5D77">
      <w:pPr>
        <w:pStyle w:val="Tabelltext"/>
        <w:rPr>
          <w:b/>
        </w:rPr>
      </w:pPr>
      <w:r w:rsidRPr="006C40C1">
        <w:rPr>
          <w:b/>
        </w:rPr>
        <w:br w:type="page"/>
        <w:t>Förslag till ram för utgiftsområde 23 Jord- och skogsbruk, fiske med anslutande nä</w:t>
      </w:r>
      <w:r w:rsidRPr="006C40C1">
        <w:rPr>
          <w:b/>
        </w:rPr>
        <w:t>r</w:t>
      </w:r>
      <w:r w:rsidRPr="006C40C1">
        <w:rPr>
          <w:b/>
        </w:rPr>
        <w:t>ingar</w:t>
      </w:r>
    </w:p>
    <w:p w:rsidR="00AA5D77" w:rsidRPr="006C40C1" w:rsidRDefault="00AA5D77">
      <w:pPr>
        <w:pStyle w:val="Tabellrubrik"/>
        <w:spacing w:before="0"/>
      </w:pPr>
      <w:r w:rsidRPr="006C40C1">
        <w:rPr>
          <w:caps w:val="0"/>
        </w:rPr>
        <w:t>Belopp i miljoner kronor</w:t>
      </w:r>
    </w:p>
    <w:p w:rsidR="00AA5D77" w:rsidRPr="006C40C1" w:rsidRDefault="006C40C1">
      <w:r w:rsidRPr="006C40C1">
        <w:rPr>
          <w:noProof/>
        </w:rPr>
        <w:drawing>
          <wp:inline distT="0" distB="0" distL="0" distR="0">
            <wp:extent cx="3777615" cy="805815"/>
            <wp:effectExtent l="0" t="0" r="0" b="0"/>
            <wp:docPr id="78" name="Bild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R4"/>
      </w:pPr>
      <w:r w:rsidRPr="006C40C1">
        <w:t>Motionerna</w:t>
      </w:r>
    </w:p>
    <w:p w:rsidR="00AA5D77" w:rsidRPr="006C40C1" w:rsidRDefault="00AA5D77">
      <w:r w:rsidRPr="006C40C1">
        <w:rPr>
          <w:i/>
        </w:rPr>
        <w:t>Socialdemokraterna</w:t>
      </w:r>
      <w:r w:rsidRPr="006C40C1">
        <w:t xml:space="preserve">, </w:t>
      </w:r>
      <w:r w:rsidRPr="006C40C1">
        <w:rPr>
          <w:i/>
        </w:rPr>
        <w:t>Vänsterpartiet</w:t>
      </w:r>
      <w:r w:rsidRPr="006C40C1">
        <w:t xml:space="preserve"> och </w:t>
      </w:r>
      <w:r w:rsidRPr="006C40C1">
        <w:rPr>
          <w:i/>
        </w:rPr>
        <w:t>Miljöpartiet de gröna</w:t>
      </w:r>
      <w:r w:rsidRPr="006C40C1">
        <w:t xml:space="preserve"> föreslår i </w:t>
      </w:r>
      <w:r w:rsidRPr="006C40C1">
        <w:rPr>
          <w:i/>
        </w:rPr>
        <w:t>m</w:t>
      </w:r>
      <w:r w:rsidRPr="006C40C1">
        <w:rPr>
          <w:i/>
        </w:rPr>
        <w:t>o</w:t>
      </w:r>
      <w:r w:rsidRPr="006C40C1">
        <w:rPr>
          <w:i/>
        </w:rPr>
        <w:t>tion Fi230</w:t>
      </w:r>
      <w:r w:rsidRPr="006C40C1">
        <w:t xml:space="preserve"> att ramen höjs i jämförelse med propositionen. Den ökade ersät</w:t>
      </w:r>
      <w:r w:rsidRPr="006C40C1">
        <w:t>t</w:t>
      </w:r>
      <w:r w:rsidRPr="006C40C1">
        <w:t>ningen för viltskador för 2002 ska behållas även 2003 och anslaget ökas därför med 3,5 miljoner kronor. Sveriges lantbruksuniversitets arbete med fältförsöksverksamhet för ekologisk odling föreslås få ytterligare 7 miljoner kronor. Livsmedelsverkets anslag ökas också med 10 miljoner kronor.</w:t>
      </w:r>
    </w:p>
    <w:p w:rsidR="00AA5D77" w:rsidRPr="006C40C1" w:rsidRDefault="00AA5D77">
      <w:pPr>
        <w:pStyle w:val="Normaltindrag"/>
      </w:pPr>
      <w:r w:rsidRPr="006C40C1">
        <w:rPr>
          <w:i/>
        </w:rPr>
        <w:t>Moderata samlingspartiet</w:t>
      </w:r>
      <w:r w:rsidRPr="006C40C1">
        <w:t xml:space="preserve"> framhåller i </w:t>
      </w:r>
      <w:r w:rsidRPr="006C40C1">
        <w:rPr>
          <w:i/>
        </w:rPr>
        <w:t>motion Fi231</w:t>
      </w:r>
      <w:r w:rsidRPr="006C40C1">
        <w:t xml:space="preserve"> att den svenska liv</w:t>
      </w:r>
      <w:r w:rsidRPr="006C40C1">
        <w:t>s</w:t>
      </w:r>
      <w:r w:rsidRPr="006C40C1">
        <w:t xml:space="preserve">medelsproduktionen belastas med produktionsskatter som ligger avsevärt högre än omvärldens. Därför bör skatten på diesel för arbetsmaskiner sänkas medan skatten på växtnäring tas bort. Återföring av skatt på handelsgödsel och bekämpningsmedel reduceras därmed väsentligt. </w:t>
      </w:r>
    </w:p>
    <w:p w:rsidR="00AA5D77" w:rsidRPr="006C40C1" w:rsidRDefault="00AA5D77">
      <w:pPr>
        <w:pStyle w:val="Normaltindrag"/>
      </w:pPr>
      <w:r w:rsidRPr="006C40C1">
        <w:rPr>
          <w:i/>
        </w:rPr>
        <w:t>Folkpartiet liberalerna</w:t>
      </w:r>
      <w:r w:rsidRPr="006C40C1">
        <w:t xml:space="preserve"> föreslår i </w:t>
      </w:r>
      <w:r w:rsidRPr="006C40C1">
        <w:rPr>
          <w:i/>
        </w:rPr>
        <w:t>motion Fi232</w:t>
      </w:r>
      <w:r w:rsidRPr="006C40C1">
        <w:t xml:space="preserve"> större satsningar på åtgä</w:t>
      </w:r>
      <w:r w:rsidRPr="006C40C1">
        <w:t>r</w:t>
      </w:r>
      <w:r w:rsidRPr="006C40C1">
        <w:t>der inom djurskydd och djurhälsovård, konsumentpolitiska åtgärder i livsm</w:t>
      </w:r>
      <w:r w:rsidRPr="006C40C1">
        <w:t>e</w:t>
      </w:r>
      <w:r w:rsidRPr="006C40C1">
        <w:t>delshanteringen, Sveriges lantbruksuniversitet och forskning inom området. Besparingar görs på Jordbruksverket och Fiskeriverket. Återföringen av skatt på handelsgödsel och bekämpningsmedel sänks.</w:t>
      </w:r>
    </w:p>
    <w:p w:rsidR="00AA5D77" w:rsidRPr="006C40C1" w:rsidRDefault="00AA5D77">
      <w:pPr>
        <w:pStyle w:val="Normaltindrag"/>
      </w:pPr>
      <w:r w:rsidRPr="006C40C1">
        <w:rPr>
          <w:i/>
        </w:rPr>
        <w:t>Kristdemokraterna</w:t>
      </w:r>
      <w:r w:rsidRPr="006C40C1">
        <w:t xml:space="preserve"> förordar i </w:t>
      </w:r>
      <w:r w:rsidRPr="006C40C1">
        <w:rPr>
          <w:i/>
        </w:rPr>
        <w:t>motion Fi233</w:t>
      </w:r>
      <w:r w:rsidRPr="006C40C1">
        <w:t xml:space="preserve"> en inriktning för jordbruket som syftar till fortsatt användning av marken för livsmedelsproduktion. Ett flertal skattesänkningar aviseras, bl.a. på diesel, för att stärka jordbrukets konkurrenskraft. Ett omfattande åtgärdsprogram för landsbygdens miljö och struktur föreslås också. </w:t>
      </w:r>
    </w:p>
    <w:p w:rsidR="00AA5D77" w:rsidRPr="006C40C1" w:rsidRDefault="00AA5D77">
      <w:pPr>
        <w:pStyle w:val="Normaltindrag"/>
      </w:pPr>
      <w:r w:rsidRPr="006C40C1">
        <w:rPr>
          <w:i/>
        </w:rPr>
        <w:t>Centerpartiet</w:t>
      </w:r>
      <w:r w:rsidRPr="006C40C1">
        <w:t xml:space="preserve"> föreslår i </w:t>
      </w:r>
      <w:r w:rsidRPr="006C40C1">
        <w:rPr>
          <w:i/>
        </w:rPr>
        <w:t>motion Fi234</w:t>
      </w:r>
      <w:r w:rsidRPr="006C40C1">
        <w:t xml:space="preserve"> ökade satsningar på forskning och utveckling av jordbruksnäringen. Vidare föreslås höjda anslag för kontroll av livsmedel och ersättning för viltskador. Besparingar görs på anslaget för återföring av skatt på handelsgödsel och bekämpningsmedel.    </w:t>
      </w:r>
    </w:p>
    <w:p w:rsidR="00AA5D77" w:rsidRPr="006C40C1" w:rsidRDefault="00AA5D77">
      <w:pPr>
        <w:pStyle w:val="R4"/>
      </w:pPr>
      <w:r w:rsidRPr="006C40C1">
        <w:t>Miljö- och jordbruksutskottets yttrande</w:t>
      </w:r>
    </w:p>
    <w:p w:rsidR="00AA5D77" w:rsidRPr="006C40C1" w:rsidRDefault="00AA5D77">
      <w:r w:rsidRPr="006C40C1">
        <w:t>Miljö- och jordbruksutskottet anser i sitt yttrande (MJU1y) att det förslag till ram för utgiftsområdet som föreslås i motion Fi230 (s, v, mp) bör tillstyrkas, samt att övriga moti</w:t>
      </w:r>
      <w:r w:rsidRPr="006C40C1">
        <w:t>o</w:t>
      </w:r>
      <w:r w:rsidRPr="006C40C1">
        <w:t>ner bör avstyrkas i denna del.</w:t>
      </w:r>
    </w:p>
    <w:p w:rsidR="00AA5D77" w:rsidRPr="006C40C1" w:rsidRDefault="00AA5D77">
      <w:pPr>
        <w:pStyle w:val="Normaltindrag"/>
      </w:pPr>
      <w:r w:rsidRPr="006C40C1">
        <w:t>I avvikande meningar tillstyrker Moderata samlingspartiet, Folkpartiet l</w:t>
      </w:r>
      <w:r w:rsidRPr="006C40C1">
        <w:t>i</w:t>
      </w:r>
      <w:r w:rsidRPr="006C40C1">
        <w:t>beralerna, Kristdemokraterna och Centerpartiet förslagen i respektive motion.</w:t>
      </w:r>
    </w:p>
    <w:p w:rsidR="00AA5D77" w:rsidRPr="006C40C1" w:rsidRDefault="00AA5D77">
      <w:pPr>
        <w:pStyle w:val="R4"/>
      </w:pPr>
      <w:r w:rsidRPr="006C40C1">
        <w:t>Finansutskottets ställningstagande</w:t>
      </w:r>
    </w:p>
    <w:p w:rsidR="00AA5D77" w:rsidRPr="006C40C1" w:rsidRDefault="00AA5D77">
      <w:r w:rsidRPr="006C40C1">
        <w:t>Finansutskottet har tidigare i betänkandet (avsnitten 2.4.3 och 2.6) redovisat sin bedömning av fördelningen av utgifterna på utgiftsområden för budgetåret 2003. Miljö- och jordbruksutskottet ställer sig i sitt yttrande bakom den hö</w:t>
      </w:r>
      <w:r w:rsidRPr="006C40C1">
        <w:t>j</w:t>
      </w:r>
      <w:r w:rsidRPr="006C40C1">
        <w:t>ning av utgiftsområdesramen som föreslås i motion Fi230 (s, v, mp).</w:t>
      </w:r>
    </w:p>
    <w:p w:rsidR="00AA5D77" w:rsidRPr="006C40C1" w:rsidRDefault="00AA5D77">
      <w:pPr>
        <w:pStyle w:val="Normaltindrag"/>
      </w:pPr>
      <w:r w:rsidRPr="006C40C1">
        <w:t>Finansutskottet föreslår mot den bakgrunden att ramen för utgiftsomr</w:t>
      </w:r>
      <w:r w:rsidRPr="006C40C1">
        <w:t>å</w:t>
      </w:r>
      <w:r w:rsidRPr="006C40C1">
        <w:t>de 23 år 2003 fastställs till 10 481 miljoner kronor. Därmed tillstyrker u</w:t>
      </w:r>
      <w:r w:rsidRPr="006C40C1">
        <w:t>t</w:t>
      </w:r>
      <w:r w:rsidRPr="006C40C1">
        <w:t>skottet propositionen med den uppjustering på 21 miljoner kronor som för</w:t>
      </w:r>
      <w:r w:rsidRPr="006C40C1">
        <w:t>e</w:t>
      </w:r>
      <w:r w:rsidRPr="006C40C1">
        <w:t>slås i motion Fi230 (s, v, mp) samt avstyrker övriga motioners förslag till alternat</w:t>
      </w:r>
      <w:r w:rsidRPr="006C40C1">
        <w:t>i</w:t>
      </w:r>
      <w:r w:rsidRPr="006C40C1">
        <w:t>va ramar.</w:t>
      </w:r>
    </w:p>
    <w:p w:rsidR="00AA5D77" w:rsidRPr="006C40C1" w:rsidRDefault="00AA5D77">
      <w:pPr>
        <w:pStyle w:val="Rubrik3"/>
        <w:spacing w:before="235"/>
        <w:rPr>
          <w:noProof w:val="0"/>
        </w:rPr>
      </w:pPr>
      <w:bookmarkStart w:id="641" w:name="_Toc529614342"/>
      <w:bookmarkStart w:id="642" w:name="_Toc530479523"/>
      <w:bookmarkStart w:id="643" w:name="_Toc25397640"/>
      <w:bookmarkStart w:id="644" w:name="_Toc26191573"/>
      <w:r w:rsidRPr="006C40C1">
        <w:rPr>
          <w:noProof w:val="0"/>
        </w:rPr>
        <w:t>4.1.24 Utgiftsområde 24 Näringsliv</w:t>
      </w:r>
      <w:bookmarkEnd w:id="641"/>
      <w:bookmarkEnd w:id="642"/>
      <w:bookmarkEnd w:id="643"/>
      <w:bookmarkEnd w:id="644"/>
    </w:p>
    <w:p w:rsidR="00AA5D77" w:rsidRPr="006C40C1" w:rsidRDefault="00AA5D77">
      <w:r w:rsidRPr="006C40C1">
        <w:t>Utgiftsområdet omfattar verksamheterna näringspolitik, teknologisk infr</w:t>
      </w:r>
      <w:r w:rsidRPr="006C40C1">
        <w:t>a</w:t>
      </w:r>
      <w:r w:rsidRPr="006C40C1">
        <w:t>struktur, konkurrensfrågor, teknisk forskning och utveckling, utrikeshandel, export och investeringsfrämjande, konsumentfrågor och övriga åtaga</w:t>
      </w:r>
      <w:r w:rsidRPr="006C40C1">
        <w:t>n</w:t>
      </w:r>
      <w:r w:rsidRPr="006C40C1">
        <w:t>den.</w:t>
      </w:r>
    </w:p>
    <w:p w:rsidR="00AA5D77" w:rsidRPr="006C40C1" w:rsidRDefault="00AA5D77">
      <w:pPr>
        <w:pStyle w:val="Normaltindrag"/>
      </w:pPr>
      <w:r w:rsidRPr="006C40C1">
        <w:t>För 2002 beräknas de totala utgifterna för utgiftsområdet uppgå till ca 3 548 miljoner kronor.</w:t>
      </w:r>
    </w:p>
    <w:p w:rsidR="00AA5D77" w:rsidRPr="006C40C1" w:rsidRDefault="00AA5D77">
      <w:pPr>
        <w:pStyle w:val="R4"/>
      </w:pPr>
      <w:r w:rsidRPr="006C40C1">
        <w:t>Budgetpropositionen</w:t>
      </w:r>
    </w:p>
    <w:p w:rsidR="00AA5D77" w:rsidRPr="006C40C1" w:rsidRDefault="00AA5D77">
      <w:r w:rsidRPr="006C40C1">
        <w:t>I budgetpropositionen (avsnitt 6.3) redovisar regeringen att förändringar av utgiftsområdesramen jämfört med 2002 års ekonomiska vårproposition i huvudsak förklaras av satsningar med 50 miljoner kronor på ”Attraktiva Sverige” och med 50 miljoner kronor på ”Ett företagsammare Sverige”. U</w:t>
      </w:r>
      <w:r w:rsidRPr="006C40C1">
        <w:t>t</w:t>
      </w:r>
      <w:r w:rsidRPr="006C40C1">
        <w:t>gifterna inom utgiftsområdet ökar därmed med 121 miljoner kronor.</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FiU1tabellrubrik2000"/>
        <w:keepNext/>
        <w:keepLines/>
        <w:outlineLvl w:val="0"/>
      </w:pPr>
      <w:r w:rsidRPr="006C40C1">
        <w:t>Förslag till ram för utgiftsområde 24 Näringsliv</w:t>
      </w:r>
    </w:p>
    <w:p w:rsidR="00AA5D77" w:rsidRPr="006C40C1" w:rsidRDefault="00AA5D77">
      <w:pPr>
        <w:pStyle w:val="Tabell"/>
        <w:keepNext/>
        <w:keepLines/>
        <w:spacing w:after="40"/>
        <w:outlineLvl w:val="0"/>
        <w:rPr>
          <w:rFonts w:ascii="Times New Roman" w:hAnsi="Times New Roman"/>
          <w:spacing w:val="0"/>
          <w:sz w:val="14"/>
        </w:rPr>
      </w:pPr>
      <w:r w:rsidRPr="006C40C1">
        <w:rPr>
          <w:rFonts w:ascii="Times New Roman" w:hAnsi="Times New Roman"/>
          <w:spacing w:val="0"/>
          <w:sz w:val="14"/>
        </w:rPr>
        <w:t>Belopp i miljoner kronor</w:t>
      </w:r>
    </w:p>
    <w:p w:rsidR="00AA5D77" w:rsidRPr="006C40C1" w:rsidRDefault="006C40C1">
      <w:pPr>
        <w:keepLines/>
        <w:spacing w:line="240" w:lineRule="auto"/>
      </w:pPr>
      <w:r w:rsidRPr="006C40C1">
        <w:rPr>
          <w:noProof/>
        </w:rPr>
        <w:drawing>
          <wp:inline distT="0" distB="0" distL="0" distR="0">
            <wp:extent cx="3739515" cy="800100"/>
            <wp:effectExtent l="0" t="0" r="0" b="0"/>
            <wp:docPr id="79" name="Bild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739515" cy="800100"/>
                    </a:xfrm>
                    <a:prstGeom prst="rect">
                      <a:avLst/>
                    </a:prstGeom>
                    <a:noFill/>
                    <a:ln>
                      <a:noFill/>
                    </a:ln>
                  </pic:spPr>
                </pic:pic>
              </a:graphicData>
            </a:graphic>
          </wp:inline>
        </w:drawing>
      </w:r>
    </w:p>
    <w:p w:rsidR="00AA5D77" w:rsidRPr="006C40C1" w:rsidRDefault="00AA5D77">
      <w:pPr>
        <w:pStyle w:val="R4"/>
      </w:pPr>
      <w:r w:rsidRPr="006C40C1">
        <w:t>Motionerna</w:t>
      </w:r>
    </w:p>
    <w:p w:rsidR="00AA5D77" w:rsidRPr="006C40C1" w:rsidRDefault="00AA5D77">
      <w:r w:rsidRPr="006C40C1">
        <w:t xml:space="preserve">Förslagen i </w:t>
      </w:r>
      <w:r w:rsidRPr="006C40C1">
        <w:rPr>
          <w:i/>
        </w:rPr>
        <w:t>motion Fi230</w:t>
      </w:r>
      <w:r w:rsidRPr="006C40C1">
        <w:t xml:space="preserve"> från </w:t>
      </w:r>
      <w:r w:rsidRPr="006C40C1">
        <w:rPr>
          <w:i/>
        </w:rPr>
        <w:t>Socialdemokraterna, Vänsterpartiet</w:t>
      </w:r>
      <w:r w:rsidRPr="006C40C1">
        <w:t xml:space="preserve"> och</w:t>
      </w:r>
      <w:r w:rsidRPr="006C40C1">
        <w:rPr>
          <w:i/>
        </w:rPr>
        <w:t xml:space="preserve"> Milj</w:t>
      </w:r>
      <w:r w:rsidRPr="006C40C1">
        <w:rPr>
          <w:i/>
        </w:rPr>
        <w:t>ö</w:t>
      </w:r>
      <w:r w:rsidRPr="006C40C1">
        <w:rPr>
          <w:i/>
        </w:rPr>
        <w:t>partiet de gröna</w:t>
      </w:r>
      <w:r w:rsidRPr="006C40C1">
        <w:t xml:space="preserve"> berör inte utgiftsområde 24.</w:t>
      </w:r>
    </w:p>
    <w:p w:rsidR="00AA5D77" w:rsidRPr="006C40C1" w:rsidRDefault="00AA5D77">
      <w:pPr>
        <w:pStyle w:val="Normaltindrag"/>
      </w:pPr>
      <w:r w:rsidRPr="006C40C1">
        <w:rPr>
          <w:i/>
        </w:rPr>
        <w:t>Moderata samlingspartiet</w:t>
      </w:r>
      <w:r w:rsidRPr="006C40C1">
        <w:t xml:space="preserve"> anför i </w:t>
      </w:r>
      <w:r w:rsidRPr="006C40C1">
        <w:rPr>
          <w:i/>
        </w:rPr>
        <w:t>motion Fi231</w:t>
      </w:r>
      <w:r w:rsidRPr="006C40C1">
        <w:t xml:space="preserve"> att staten, kommunerna och landstingen ska koncentrera sig på sin kärnverksamhet och i större u</w:t>
      </w:r>
      <w:r w:rsidRPr="006C40C1">
        <w:t>t</w:t>
      </w:r>
      <w:r w:rsidRPr="006C40C1">
        <w:t>sträckning konkurrensutsätta och knoppa av verksamheter. Motionärerna anser att utgiftsramen kan sänkas. Besparingar görs bl.a. på den s.k. Öste</w:t>
      </w:r>
      <w:r w:rsidRPr="006C40C1">
        <w:t>r</w:t>
      </w:r>
      <w:r w:rsidRPr="006C40C1">
        <w:t>sjömiljarden och Konsumentverket. Konkurrensverkets arbete är viktigt och verket tillförs därför ytterligare m</w:t>
      </w:r>
      <w:r w:rsidRPr="006C40C1">
        <w:t>e</w:t>
      </w:r>
      <w:r w:rsidRPr="006C40C1">
        <w:t>del.</w:t>
      </w:r>
    </w:p>
    <w:p w:rsidR="00AA5D77" w:rsidRPr="006C40C1" w:rsidRDefault="00AA5D77">
      <w:pPr>
        <w:pStyle w:val="Normaltindrag"/>
        <w:rPr>
          <w:i/>
        </w:rPr>
      </w:pPr>
      <w:r w:rsidRPr="006C40C1">
        <w:rPr>
          <w:i/>
        </w:rPr>
        <w:t>Folkpartiet liberalerna</w:t>
      </w:r>
      <w:r w:rsidRPr="006C40C1">
        <w:t xml:space="preserve"> anser i </w:t>
      </w:r>
      <w:r w:rsidRPr="006C40C1">
        <w:rPr>
          <w:i/>
        </w:rPr>
        <w:t>motion Fi232</w:t>
      </w:r>
      <w:r w:rsidRPr="006C40C1">
        <w:t xml:space="preserve"> att utgiftsramen bör minskas. Konkurrensverket och konkurrensforskningen bör dock tilldelas ökade resu</w:t>
      </w:r>
      <w:r w:rsidRPr="006C40C1">
        <w:t>r</w:t>
      </w:r>
      <w:r w:rsidRPr="006C40C1">
        <w:t>ser. Anslaget till näringslivsutvecklingen i Östersjöområdet bör återkallas. Neddragningar görs på anslagen till rymdverksamhet och Verket för innov</w:t>
      </w:r>
      <w:r w:rsidRPr="006C40C1">
        <w:t>a</w:t>
      </w:r>
      <w:r w:rsidRPr="006C40C1">
        <w:t>tionssystem.</w:t>
      </w:r>
    </w:p>
    <w:p w:rsidR="00AA5D77" w:rsidRPr="006C40C1" w:rsidRDefault="00AA5D77">
      <w:pPr>
        <w:pStyle w:val="Normaltindrag"/>
      </w:pPr>
      <w:r w:rsidRPr="006C40C1">
        <w:rPr>
          <w:i/>
        </w:rPr>
        <w:t>Kristdemokraterna</w:t>
      </w:r>
      <w:r w:rsidRPr="006C40C1">
        <w:t xml:space="preserve"> förordar i </w:t>
      </w:r>
      <w:r w:rsidRPr="006C40C1">
        <w:rPr>
          <w:i/>
        </w:rPr>
        <w:t>motion Fi233</w:t>
      </w:r>
      <w:r w:rsidRPr="006C40C1">
        <w:t xml:space="preserve"> generella åtgärder för att fö</w:t>
      </w:r>
      <w:r w:rsidRPr="006C40C1">
        <w:t>r</w:t>
      </w:r>
      <w:r w:rsidRPr="006C40C1">
        <w:t>bättra företagsklimatet i landet i stället för riktade stödåtgärder till vissa för</w:t>
      </w:r>
      <w:r w:rsidRPr="006C40C1">
        <w:t>e</w:t>
      </w:r>
      <w:r w:rsidRPr="006C40C1">
        <w:t>tag och regioner. Motionärerna föreslår att vissa åtgärder bör vidtas för att identifiera och undanröja existerande hinder för startande och utvecklande av företag. Den s.k. Östersjömiljarden avvisas. Besparingar på vissa myndigheter under utgiftsområdet föreslås varför utgiftsramen sänks. Konkurrensverket bör dock tillföras ökade resu</w:t>
      </w:r>
      <w:r w:rsidRPr="006C40C1">
        <w:t>r</w:t>
      </w:r>
      <w:r w:rsidRPr="006C40C1">
        <w:t xml:space="preserve">ser. </w:t>
      </w:r>
    </w:p>
    <w:p w:rsidR="00AA5D77" w:rsidRPr="006C40C1" w:rsidRDefault="00AA5D77">
      <w:pPr>
        <w:pStyle w:val="Normaltindrag"/>
      </w:pPr>
      <w:r w:rsidRPr="006C40C1">
        <w:rPr>
          <w:i/>
        </w:rPr>
        <w:t>Centerpartiet</w:t>
      </w:r>
      <w:r w:rsidRPr="006C40C1">
        <w:t xml:space="preserve"> förespråkar i </w:t>
      </w:r>
      <w:r w:rsidRPr="006C40C1">
        <w:rPr>
          <w:i/>
        </w:rPr>
        <w:t>motion Fi234</w:t>
      </w:r>
      <w:r w:rsidRPr="006C40C1">
        <w:t xml:space="preserve"> att möjligheterna att starta och driva företag bör förbättras. Företagande kräver en god infrastruktur, både digital och fysisk. Motionärerna föreslår neddragning på myndigheter och den s.k. Östersjömiljarden. </w:t>
      </w:r>
    </w:p>
    <w:p w:rsidR="00AA5D77" w:rsidRPr="006C40C1" w:rsidRDefault="00AA5D77">
      <w:pPr>
        <w:pStyle w:val="R4"/>
      </w:pPr>
      <w:r w:rsidRPr="006C40C1">
        <w:t xml:space="preserve">Näringsutskottets yttrande </w:t>
      </w:r>
    </w:p>
    <w:p w:rsidR="00AA5D77" w:rsidRPr="006C40C1" w:rsidRDefault="00AA5D77">
      <w:r w:rsidRPr="006C40C1">
        <w:t>Näringsutskottet, som har yttrat sig i form av ett protokollsutdrag, tillstyrker regeringens förslag. Företrädarna för Moderata samlingspartiet, Folkpartiet liberalerna och Kristdem</w:t>
      </w:r>
      <w:r w:rsidRPr="006C40C1">
        <w:t>o</w:t>
      </w:r>
      <w:r w:rsidRPr="006C40C1">
        <w:t>kraterna tillstyrker sina partiers respektive förslag.</w:t>
      </w:r>
    </w:p>
    <w:p w:rsidR="00AA5D77" w:rsidRPr="006C40C1" w:rsidRDefault="00AA5D77">
      <w:pPr>
        <w:pStyle w:val="R4"/>
      </w:pPr>
      <w:r w:rsidRPr="006C40C1">
        <w:t xml:space="preserve">Finansutskottets ställningstagande </w:t>
      </w:r>
    </w:p>
    <w:p w:rsidR="00AA5D77" w:rsidRPr="006C40C1" w:rsidRDefault="00AA5D77">
      <w:r w:rsidRPr="006C40C1">
        <w:t>Finansutskottet har tidigare i betänkandet (avsnitten 2.4.3 och 2.6) redovisat sin bedömning av fördelningen av utgifterna på utgiftsområden för budgetåret 2003. Näringsutskottet har för sin del inte haft något att invända mot rege</w:t>
      </w:r>
      <w:r w:rsidRPr="006C40C1">
        <w:t>r</w:t>
      </w:r>
      <w:r w:rsidRPr="006C40C1">
        <w:t xml:space="preserve">ingens förslag till ram för utgiftsområdet. </w:t>
      </w:r>
    </w:p>
    <w:p w:rsidR="00AA5D77" w:rsidRPr="006C40C1" w:rsidRDefault="00AA5D77">
      <w:pPr>
        <w:pStyle w:val="Normaltindrag"/>
      </w:pPr>
      <w:r w:rsidRPr="006C40C1">
        <w:t>Finansutskottet föreslår mot denna bakgrund att ramen för utgiftsområde 24 år 2003 fastställs till 3 410 miljoner kronor. Därmed tillstyrker utskottet propositionens förslag och avstyrker motionernas förslag till alternativa r</w:t>
      </w:r>
      <w:r w:rsidRPr="006C40C1">
        <w:t>a</w:t>
      </w:r>
      <w:r w:rsidRPr="006C40C1">
        <w:t>mar.</w:t>
      </w:r>
    </w:p>
    <w:p w:rsidR="00AA5D77" w:rsidRPr="006C40C1" w:rsidRDefault="00AA5D77">
      <w:pPr>
        <w:pStyle w:val="Rubrik3"/>
        <w:rPr>
          <w:noProof w:val="0"/>
        </w:rPr>
      </w:pPr>
      <w:bookmarkStart w:id="645" w:name="_Toc529614343"/>
      <w:bookmarkStart w:id="646" w:name="_Toc530479524"/>
      <w:bookmarkStart w:id="647" w:name="_Toc25397641"/>
      <w:bookmarkStart w:id="648" w:name="_Toc26191574"/>
      <w:r w:rsidRPr="006C40C1">
        <w:rPr>
          <w:noProof w:val="0"/>
        </w:rPr>
        <w:t>4.1.25 Utgiftsområde 25 Allmänna bidrag till komm</w:t>
      </w:r>
      <w:r w:rsidRPr="006C40C1">
        <w:rPr>
          <w:noProof w:val="0"/>
        </w:rPr>
        <w:t>u</w:t>
      </w:r>
      <w:r w:rsidRPr="006C40C1">
        <w:rPr>
          <w:noProof w:val="0"/>
        </w:rPr>
        <w:t>ner</w:t>
      </w:r>
      <w:bookmarkEnd w:id="645"/>
      <w:bookmarkEnd w:id="646"/>
      <w:bookmarkEnd w:id="647"/>
      <w:bookmarkEnd w:id="648"/>
      <w:r w:rsidRPr="006C40C1">
        <w:rPr>
          <w:noProof w:val="0"/>
        </w:rPr>
        <w:t xml:space="preserve"> </w:t>
      </w:r>
    </w:p>
    <w:p w:rsidR="00AA5D77" w:rsidRPr="006C40C1" w:rsidRDefault="00AA5D77">
      <w:r w:rsidRPr="006C40C1">
        <w:t>Utgiftsområdet omfattar huvuddelen av statens bidrag till kommuner och landsting. Bidragen lämnas dels i form av ett allmänt finansiellt stöd till kommuner och landsting, dels i form av ett bidrag för att åstadkomma likvä</w:t>
      </w:r>
      <w:r w:rsidRPr="006C40C1">
        <w:t>r</w:t>
      </w:r>
      <w:r w:rsidRPr="006C40C1">
        <w:t>diga ekonomiska förutsättningar mellan kommuner respektive landsting. Utgiftsområdet omfattar bl.a. även ett bidrag för särskilda insatser i vissa kommuner och landsting, liksom sedan 2002 ett anslag för ökad tillgänglighet i hälso- och sjukvå</w:t>
      </w:r>
      <w:r w:rsidRPr="006C40C1">
        <w:t>r</w:t>
      </w:r>
      <w:r w:rsidRPr="006C40C1">
        <w:t>den.</w:t>
      </w:r>
    </w:p>
    <w:p w:rsidR="00AA5D77" w:rsidRPr="006C40C1" w:rsidRDefault="00AA5D77">
      <w:pPr>
        <w:pStyle w:val="Normaltindrag"/>
      </w:pPr>
      <w:r w:rsidRPr="006C40C1">
        <w:t xml:space="preserve">De totala utgifterna för utgiftsområdet 2002 beräknas uppgå till 101 616 miljoner kronor. </w:t>
      </w:r>
    </w:p>
    <w:p w:rsidR="00AA5D77" w:rsidRPr="006C40C1" w:rsidRDefault="00AA5D77">
      <w:pPr>
        <w:pStyle w:val="R4"/>
      </w:pPr>
      <w:r w:rsidRPr="006C40C1">
        <w:t xml:space="preserve">Budgetpropositionen </w:t>
      </w:r>
    </w:p>
    <w:p w:rsidR="00AA5D77" w:rsidRPr="006C40C1" w:rsidRDefault="00AA5D77">
      <w:r w:rsidRPr="006C40C1">
        <w:t>I budgetpropositionen (avsnitt 6.3) redovisas att målet för utgiftsområdet är att skapa goda och likvärdiga ekonomiska förutsättningar för kommuner respektive landsting att uppnå de nationella målen inom olika verksamheter. Förändringen av utgiftsområdesramen jämfört med regeringens vårpropos</w:t>
      </w:r>
      <w:r w:rsidRPr="006C40C1">
        <w:t>i</w:t>
      </w:r>
      <w:r w:rsidRPr="006C40C1">
        <w:t>tion förklaras i huvudsak av de förändringar i kommunkontosystemet som genomförs den 1 januari 2003. Avgiften till kommunkontosystemet tas bort. Samtidigt minskas det generella statsbidraget med motsvarande belopp, pr</w:t>
      </w:r>
      <w:r w:rsidRPr="006C40C1">
        <w:t>e</w:t>
      </w:r>
      <w:r w:rsidRPr="006C40C1">
        <w:t>liminärt 31,4 miljarder kronor. Förändringen av utgiftsområdesramen är också en konsekvens av förslag som påverkar kommunernas och landstingens ska</w:t>
      </w:r>
      <w:r w:rsidRPr="006C40C1">
        <w:t>t</w:t>
      </w:r>
      <w:r w:rsidRPr="006C40C1">
        <w:t>teintäkter. Förslaget om skattereduktion för allmän pensionsavgift leder till en ökning av kommunsektorns skatteintäkter med ca 5,8 miljarder kro</w:t>
      </w:r>
      <w:r w:rsidRPr="006C40C1">
        <w:t>nor. Hö</w:t>
      </w:r>
      <w:r w:rsidRPr="006C40C1">
        <w:t>j</w:t>
      </w:r>
      <w:r w:rsidRPr="006C40C1">
        <w:t>ningen av grundavdraget leder till ca 2,6 miljarder kronor i minskade skatt</w:t>
      </w:r>
      <w:r w:rsidRPr="006C40C1">
        <w:t>e</w:t>
      </w:r>
      <w:r w:rsidRPr="006C40C1">
        <w:t>intäkter för kommunsektorn. För att förstärka hälso- och sjukvården tillförs utgiftsområdet 2,0 miljarder kronor och för införandet av en allmän förskola för 4- och 5-åringar tillförs 1,2 miljarder kronor.</w:t>
      </w:r>
    </w:p>
    <w:p w:rsidR="00AA5D77" w:rsidRPr="006C40C1" w:rsidRDefault="00AA5D77">
      <w:pPr>
        <w:pStyle w:val="Normaltindrag"/>
      </w:pPr>
      <w:r w:rsidRPr="006C40C1">
        <w:t>Propositionens och riksdagspartiernas förslag till ram för utgiftsområdet under åren 2003 och 2004 redovisas i efterföljande tabell.</w:t>
      </w:r>
    </w:p>
    <w:p w:rsidR="00AA5D77" w:rsidRPr="006C40C1" w:rsidRDefault="00AA5D77">
      <w:pPr>
        <w:pStyle w:val="FiU1tabellrubrik2000"/>
        <w:keepNext/>
        <w:outlineLvl w:val="0"/>
      </w:pPr>
      <w:r w:rsidRPr="006C40C1">
        <w:t xml:space="preserve">Förslag till ram för utgiftsområde 25 Allmänna bidrag till kommuner </w:t>
      </w:r>
    </w:p>
    <w:p w:rsidR="00AA5D77" w:rsidRPr="006C40C1" w:rsidRDefault="00AA5D77">
      <w:pPr>
        <w:pStyle w:val="Tabell"/>
        <w:keepNext/>
        <w:outlineLvl w:val="0"/>
        <w:rPr>
          <w:rFonts w:ascii="Times New Roman" w:hAnsi="Times New Roman"/>
          <w:spacing w:val="0"/>
          <w:sz w:val="14"/>
        </w:rPr>
      </w:pPr>
      <w:r w:rsidRPr="006C40C1">
        <w:rPr>
          <w:rFonts w:ascii="Times New Roman" w:hAnsi="Times New Roman"/>
          <w:spacing w:val="0"/>
          <w:sz w:val="14"/>
        </w:rPr>
        <w:t xml:space="preserve">Belopp i miljoner kronor </w:t>
      </w:r>
    </w:p>
    <w:p w:rsidR="00AA5D77" w:rsidRPr="006C40C1" w:rsidRDefault="006C40C1">
      <w:pPr>
        <w:spacing w:line="240" w:lineRule="auto"/>
      </w:pPr>
      <w:r w:rsidRPr="006C40C1">
        <w:rPr>
          <w:noProof/>
        </w:rPr>
        <w:drawing>
          <wp:inline distT="0" distB="0" distL="0" distR="0">
            <wp:extent cx="3739515" cy="800100"/>
            <wp:effectExtent l="0" t="0" r="0" b="0"/>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739515" cy="800100"/>
                    </a:xfrm>
                    <a:prstGeom prst="rect">
                      <a:avLst/>
                    </a:prstGeom>
                    <a:noFill/>
                    <a:ln>
                      <a:noFill/>
                    </a:ln>
                  </pic:spPr>
                </pic:pic>
              </a:graphicData>
            </a:graphic>
          </wp:inline>
        </w:drawing>
      </w:r>
    </w:p>
    <w:p w:rsidR="00AA5D77" w:rsidRPr="006C40C1" w:rsidRDefault="00AA5D77">
      <w:pPr>
        <w:pStyle w:val="R4"/>
      </w:pPr>
      <w:r w:rsidRPr="006C40C1">
        <w:t xml:space="preserve">Motionerna </w:t>
      </w:r>
    </w:p>
    <w:p w:rsidR="00AA5D77" w:rsidRPr="006C40C1" w:rsidRDefault="00AA5D77">
      <w:r w:rsidRPr="006C40C1">
        <w:rPr>
          <w:i/>
        </w:rPr>
        <w:t>Moderata samlingspartiet</w:t>
      </w:r>
      <w:r w:rsidRPr="006C40C1">
        <w:t xml:space="preserve"> framhåller i sin </w:t>
      </w:r>
      <w:r w:rsidRPr="006C40C1">
        <w:rPr>
          <w:i/>
        </w:rPr>
        <w:t>motion Fi262</w:t>
      </w:r>
      <w:r w:rsidRPr="006C40C1">
        <w:t xml:space="preserve"> att kommunerna bör koncentrera sig på de viktigaste uppgifterna. Det finns ett behov av avregl</w:t>
      </w:r>
      <w:r w:rsidRPr="006C40C1">
        <w:t>e</w:t>
      </w:r>
      <w:r w:rsidRPr="006C40C1">
        <w:t>ringar och ändrade ansvarsförhållanden mellan stat och kommun. Avreglering skapar förutsättningar för effektivisering av den kommunala verksamheten. Ökade skatteintäkter till kommunerna medger en sänkning av det generella statsbidraget. Verksamhetsanpassning till exempelvis befolkningsförändrin</w:t>
      </w:r>
      <w:r w:rsidRPr="006C40C1">
        <w:t>g</w:t>
      </w:r>
      <w:r w:rsidRPr="006C40C1">
        <w:t>ar är en del av det kommunala ansvaret. Därför avvisas förslaget om det sä</w:t>
      </w:r>
      <w:r w:rsidRPr="006C40C1">
        <w:t>r</w:t>
      </w:r>
      <w:r w:rsidRPr="006C40C1">
        <w:t>skilda bidraget</w:t>
      </w:r>
      <w:r w:rsidRPr="006C40C1">
        <w:t xml:space="preserve"> till kommuner med befolkningsförändringar.  Moderaterna säger nej till regeringens satsning för ökad tillgänglighet i vården men för</w:t>
      </w:r>
      <w:r w:rsidRPr="006C40C1">
        <w:t>e</w:t>
      </w:r>
      <w:r w:rsidRPr="006C40C1">
        <w:t>slår i stället satsningar under utgiftsområde 9. Kommunerna kompenseras via utgiftsområde 25 för minskat skatteunderlag till följd av partiets skatteförslag, vilket förklarar varför ramen för utgiftsområdet väsentligt överstiger rege</w:t>
      </w:r>
      <w:r w:rsidRPr="006C40C1">
        <w:t>r</w:t>
      </w:r>
      <w:r w:rsidRPr="006C40C1">
        <w:t xml:space="preserve">ingens. Av Moderaternas </w:t>
      </w:r>
      <w:r w:rsidRPr="006C40C1">
        <w:rPr>
          <w:i/>
        </w:rPr>
        <w:t>motion Fi287</w:t>
      </w:r>
      <w:r w:rsidRPr="006C40C1">
        <w:t xml:space="preserve"> framgår att det tillfälliga sysselsät</w:t>
      </w:r>
      <w:r w:rsidRPr="006C40C1">
        <w:t>t</w:t>
      </w:r>
      <w:r w:rsidRPr="006C40C1">
        <w:t>ningsstödet bör avskaffas vilket minskar kommunernas resurser jämfört</w:t>
      </w:r>
      <w:r w:rsidRPr="006C40C1">
        <w:t xml:space="preserve"> med propositi</w:t>
      </w:r>
      <w:r w:rsidRPr="006C40C1">
        <w:t>o</w:t>
      </w:r>
      <w:r w:rsidRPr="006C40C1">
        <w:t>nen.</w:t>
      </w:r>
    </w:p>
    <w:p w:rsidR="00AA5D77" w:rsidRPr="006C40C1" w:rsidRDefault="00AA5D77">
      <w:pPr>
        <w:pStyle w:val="Normaltindrag"/>
        <w:rPr>
          <w:i/>
        </w:rPr>
      </w:pPr>
      <w:r w:rsidRPr="006C40C1">
        <w:rPr>
          <w:i/>
        </w:rPr>
        <w:t>Folkpartiet liberalerna</w:t>
      </w:r>
      <w:r w:rsidRPr="006C40C1">
        <w:t xml:space="preserve"> anför i </w:t>
      </w:r>
      <w:r w:rsidRPr="006C40C1">
        <w:rPr>
          <w:i/>
        </w:rPr>
        <w:t>motion Fi269</w:t>
      </w:r>
      <w:r w:rsidRPr="006C40C1">
        <w:t xml:space="preserve"> att en politik för hög sysse</w:t>
      </w:r>
      <w:r w:rsidRPr="006C40C1">
        <w:t>l</w:t>
      </w:r>
      <w:r w:rsidRPr="006C40C1">
        <w:t>sättning och god tillväxt är den bästa metoden att ge kommunerna förutsät</w:t>
      </w:r>
      <w:r w:rsidRPr="006C40C1">
        <w:t>t</w:t>
      </w:r>
      <w:r w:rsidRPr="006C40C1">
        <w:t>ningar att klara sina uppgifter och sin ek</w:t>
      </w:r>
      <w:r w:rsidRPr="006C40C1">
        <w:t>o</w:t>
      </w:r>
      <w:r w:rsidRPr="006C40C1">
        <w:t>nomi.</w:t>
      </w:r>
    </w:p>
    <w:p w:rsidR="00AA5D77" w:rsidRPr="006C40C1" w:rsidRDefault="00AA5D77">
      <w:pPr>
        <w:pStyle w:val="Normaltindrag"/>
      </w:pPr>
      <w:r w:rsidRPr="006C40C1">
        <w:t>Motionärerna är kritiska mot att regeringen alltmer öronmärker bidragen till kommunerna. Kommunerna ska koncentrera sig på sina kärnverksamheter och dessa ska bedrivas i förvaltningsform. Motionärerna anser också att stat</w:t>
      </w:r>
      <w:r w:rsidRPr="006C40C1">
        <w:t>s</w:t>
      </w:r>
      <w:r w:rsidRPr="006C40C1">
        <w:t>bidraget bör sänkas med 2,4 miljarder kronor för att uppväga det skattebor</w:t>
      </w:r>
      <w:r w:rsidRPr="006C40C1">
        <w:t>t</w:t>
      </w:r>
      <w:r w:rsidRPr="006C40C1">
        <w:t>fall som kommunala koncernbildningar leder till.</w:t>
      </w:r>
    </w:p>
    <w:p w:rsidR="00AA5D77" w:rsidRPr="006C40C1" w:rsidRDefault="00AA5D77">
      <w:pPr>
        <w:pStyle w:val="Normaltindrag"/>
      </w:pPr>
      <w:r w:rsidRPr="006C40C1">
        <w:t>Statsbidraget sänks vidare med 2,3 miljarder kronor motsvarande kostn</w:t>
      </w:r>
      <w:r w:rsidRPr="006C40C1">
        <w:t>a</w:t>
      </w:r>
      <w:r w:rsidRPr="006C40C1">
        <w:t>derna för assistansersättningen vilka förs till utgiftsområde 9. Till utgiftso</w:t>
      </w:r>
      <w:r w:rsidRPr="006C40C1">
        <w:t>m</w:t>
      </w:r>
      <w:r w:rsidRPr="006C40C1">
        <w:t>råde 9 förs också 257 miljoner kronor från anslaget 48:2 för kostnader för kommuner som har höga verksamhetskostnader enligt lagen om stöd och service till vissa funktionshindrade.</w:t>
      </w:r>
    </w:p>
    <w:p w:rsidR="00AA5D77" w:rsidRPr="006C40C1" w:rsidRDefault="00AA5D77">
      <w:pPr>
        <w:pStyle w:val="Normaltindrag"/>
      </w:pPr>
      <w:r w:rsidRPr="006C40C1">
        <w:t>Folkpartiet vill permanenta den del av anslaget för särskilda insatser till kommunerna som avser hivpreventiv verksamhet i storstadsregionerna. Kommunernas inkomstbortfall till följd av Folkpartiets skatteförslag kompe</w:t>
      </w:r>
      <w:r w:rsidRPr="006C40C1">
        <w:t>n</w:t>
      </w:r>
      <w:r w:rsidRPr="006C40C1">
        <w:t>seras genom höjt generellt statsbidrag.</w:t>
      </w:r>
    </w:p>
    <w:p w:rsidR="00AA5D77" w:rsidRPr="006C40C1" w:rsidRDefault="00AA5D77">
      <w:pPr>
        <w:pStyle w:val="Normaltindrag"/>
      </w:pPr>
      <w:r w:rsidRPr="006C40C1">
        <w:rPr>
          <w:i/>
        </w:rPr>
        <w:t>Kristdemokraterna</w:t>
      </w:r>
      <w:r w:rsidRPr="006C40C1">
        <w:t xml:space="preserve"> föreslår i </w:t>
      </w:r>
      <w:r w:rsidRPr="006C40C1">
        <w:rPr>
          <w:i/>
        </w:rPr>
        <w:t>motion Fi292</w:t>
      </w:r>
      <w:r w:rsidRPr="006C40C1">
        <w:t xml:space="preserve"> att kommunsektorn utöver de medel regeringen anslår får ett ytterligare tillskott för att möjliggöra en ö</w:t>
      </w:r>
      <w:r w:rsidRPr="006C40C1">
        <w:t>k</w:t>
      </w:r>
      <w:r w:rsidRPr="006C40C1">
        <w:t>ning av antalet vårdplatser och för att möta de växande behoven i äldreo</w:t>
      </w:r>
      <w:r w:rsidRPr="006C40C1">
        <w:t>m</w:t>
      </w:r>
      <w:r w:rsidRPr="006C40C1">
        <w:t>sorgen. Därtill satsas ytterligare pengar på den nationella vårdgarantin. Kommunerna bör fritt få använda pengarna för den skolsatsning som rege</w:t>
      </w:r>
      <w:r w:rsidRPr="006C40C1">
        <w:t>r</w:t>
      </w:r>
      <w:r w:rsidRPr="006C40C1">
        <w:t>ingen vill genomföra. Även de föreslagna pengarna för ökad tillgänglighet i vården bör få användas fritt av landstingen. Kommunsektorn påverkas också indirekt av e</w:t>
      </w:r>
      <w:r w:rsidRPr="006C40C1">
        <w:t>n rad förändringar, främst på skattesidan, som motionärerna föreslår. En del av dessa effekter föreslås regleras via utgiftsområde 25. M</w:t>
      </w:r>
      <w:r w:rsidRPr="006C40C1">
        <w:t>o</w:t>
      </w:r>
      <w:r w:rsidRPr="006C40C1">
        <w:t xml:space="preserve">tionärerna föreslår att ramen för utgiftsområdet sammantaget bör vara högre än i regeringens förslag. </w:t>
      </w:r>
    </w:p>
    <w:p w:rsidR="00AA5D77" w:rsidRPr="006C40C1" w:rsidRDefault="00AA5D77">
      <w:pPr>
        <w:pStyle w:val="Normaltindrag"/>
      </w:pPr>
      <w:r w:rsidRPr="006C40C1">
        <w:rPr>
          <w:i/>
        </w:rPr>
        <w:t>Centerpartiet</w:t>
      </w:r>
      <w:r w:rsidRPr="006C40C1">
        <w:t xml:space="preserve"> anför i </w:t>
      </w:r>
      <w:r w:rsidRPr="006C40C1">
        <w:rPr>
          <w:i/>
        </w:rPr>
        <w:t>motion Fi259</w:t>
      </w:r>
      <w:r w:rsidRPr="006C40C1">
        <w:t xml:space="preserve"> att regeringen nu i stigande grad återgår till detaljreglerade specialdestineringar i statsbidragssystemet. Motionärerna motsätter sig denna typ av statlig styrning av verksamheten i kommuner och landsting både av demokratiska och ekonomiska skäl och värnar om det kommunala självstyret. Statens viktigaste medel för att minska de regionala och sociala klyftorna är att ge likvärdiga grundförutsättningar för basservic</w:t>
      </w:r>
      <w:r w:rsidRPr="006C40C1">
        <w:t>e</w:t>
      </w:r>
      <w:r w:rsidRPr="006C40C1">
        <w:t>utbud, inte speciella stöd till utsatta kommuner. Centerpartiet avvisar</w:t>
      </w:r>
      <w:r w:rsidRPr="006C40C1">
        <w:t xml:space="preserve"> rege</w:t>
      </w:r>
      <w:r w:rsidRPr="006C40C1">
        <w:t>r</w:t>
      </w:r>
      <w:r w:rsidRPr="006C40C1">
        <w:t>ingens skolsatsning. I stället föreslår motionärerna en satsning på skolan genom höjt generellt statsbidrag. Resurser för satsningen på särskilda insatser i kommuner föreslår motionärerna ska användas i den allmänna regionalpol</w:t>
      </w:r>
      <w:r w:rsidRPr="006C40C1">
        <w:t>i</w:t>
      </w:r>
      <w:r w:rsidRPr="006C40C1">
        <w:t>tiken med ett starkt lokalt inflytande över medlens användning. Förslaget till minskad ram orsakas i huvudsak av förslagen till reformer och skattesän</w:t>
      </w:r>
      <w:r w:rsidRPr="006C40C1">
        <w:t>k</w:t>
      </w:r>
      <w:r w:rsidRPr="006C40C1">
        <w:t>ningar som påverkar kommunernas inkomster och som regleras genom fina</w:t>
      </w:r>
      <w:r w:rsidRPr="006C40C1">
        <w:t>n</w:t>
      </w:r>
      <w:r w:rsidRPr="006C40C1">
        <w:t xml:space="preserve">sieringsprincipen. Av Centerpartiets </w:t>
      </w:r>
      <w:r w:rsidRPr="006C40C1">
        <w:rPr>
          <w:i/>
        </w:rPr>
        <w:t>motion Fi234</w:t>
      </w:r>
      <w:r w:rsidRPr="006C40C1">
        <w:t xml:space="preserve"> framgår</w:t>
      </w:r>
      <w:r w:rsidRPr="006C40C1">
        <w:t xml:space="preserve"> att det tillfälliga sysselsättningsstödet bör avskaffas vilket minskar kommunernas resurser jämfört med propositionen.</w:t>
      </w:r>
    </w:p>
    <w:p w:rsidR="00AA5D77" w:rsidRPr="006C40C1" w:rsidRDefault="00AA5D77">
      <w:pPr>
        <w:pStyle w:val="R4"/>
      </w:pPr>
      <w:r w:rsidRPr="006C40C1">
        <w:t>Finansutskottets ställningstagande</w:t>
      </w:r>
    </w:p>
    <w:p w:rsidR="00AA5D77" w:rsidRPr="006C40C1" w:rsidRDefault="00AA5D77">
      <w:r w:rsidRPr="006C40C1">
        <w:t>Utskottet konstaterar att nivån på statsbidraget till kommuner och landsting har höjts med 24 miljarder kronor sedan 1996. Även framgent tillförs utgift</w:t>
      </w:r>
      <w:r w:rsidRPr="006C40C1">
        <w:t>s</w:t>
      </w:r>
      <w:r w:rsidRPr="006C40C1">
        <w:t>området ytterligare medel, bl.a. genom den satsning på vård och omsorg som gjordes i samband med minskningarna av försvaret. Utgiftsområdet tillförs därigenom 2 miljarder kronor 2003 och ytterligare 1 miljard kronor 2004.</w:t>
      </w:r>
    </w:p>
    <w:p w:rsidR="00AA5D77" w:rsidRPr="006C40C1" w:rsidRDefault="00AA5D77">
      <w:pPr>
        <w:pStyle w:val="Normaltindrag"/>
      </w:pPr>
      <w:r w:rsidRPr="006C40C1">
        <w:t>Oppositionspartierna har i sina motioner presenterat alternativa förslag till ramar för utgiftsområdet. De olika förslagen till ramar varierar mycket kra</w:t>
      </w:r>
      <w:r w:rsidRPr="006C40C1">
        <w:t>f</w:t>
      </w:r>
      <w:r w:rsidRPr="006C40C1">
        <w:t>tigt mellan partierna. Detta är emellertid till allra största delen ett resultat av partiernas skatteförslag som för samtliga oppositionspartier utom Centerpart</w:t>
      </w:r>
      <w:r w:rsidRPr="006C40C1">
        <w:t>i</w:t>
      </w:r>
      <w:r w:rsidRPr="006C40C1">
        <w:t xml:space="preserve">et leder till att kommunernas inkomster minskar, vilket kompenseras på olika sätt. </w:t>
      </w:r>
    </w:p>
    <w:p w:rsidR="00AA5D77" w:rsidRPr="006C40C1" w:rsidRDefault="00AA5D77">
      <w:pPr>
        <w:pStyle w:val="Normaltindrag"/>
      </w:pPr>
      <w:r w:rsidRPr="006C40C1">
        <w:t xml:space="preserve">Så t.ex. föreslår Moderata samlingspartiet att ramen för utgiftsområde 25 Allmänna bidrag till kommuner ska räknas upp med 62,8 miljarder kronor främst beroende på att kommunsektorn föreslås få kompensation för det skattebortfall som det moderata budgetalternativet </w:t>
      </w:r>
      <w:r w:rsidRPr="006C40C1">
        <w:t>ger upphov till. Eftersom partiets förslag till kompensation uppgår till sammanlagt 68,9 miljarder kr</w:t>
      </w:r>
      <w:r w:rsidRPr="006C40C1">
        <w:t>o</w:t>
      </w:r>
      <w:r w:rsidRPr="006C40C1">
        <w:t>nor föreslår Moderata samlingspartiet i realiteten en neddragning av överf</w:t>
      </w:r>
      <w:r w:rsidRPr="006C40C1">
        <w:t>ö</w:t>
      </w:r>
      <w:r w:rsidRPr="006C40C1">
        <w:t>ringarna till kommunerna med 6,1 miljarder kronor.</w:t>
      </w:r>
    </w:p>
    <w:p w:rsidR="00AA5D77" w:rsidRPr="006C40C1" w:rsidRDefault="00AA5D77">
      <w:pPr>
        <w:pStyle w:val="Normaltindrag"/>
      </w:pPr>
      <w:r w:rsidRPr="006C40C1">
        <w:t>Folkpartiet liberalerna redovisar i sitt budgetalternativ att ramen för u</w:t>
      </w:r>
      <w:r w:rsidRPr="006C40C1">
        <w:t>t</w:t>
      </w:r>
      <w:r w:rsidRPr="006C40C1">
        <w:t>giftsområde 25 räknas upp med 8,2 miljarder kronor. Partiet beräknar samt</w:t>
      </w:r>
      <w:r w:rsidRPr="006C40C1">
        <w:t>i</w:t>
      </w:r>
      <w:r w:rsidRPr="006C40C1">
        <w:t>digt att kommunerna ska kompenseras för effekterna av partiets förslag till vissa förändringar av inkomstskatter samt ersättningar från socialförsäkring</w:t>
      </w:r>
      <w:r w:rsidRPr="006C40C1">
        <w:t>s</w:t>
      </w:r>
      <w:r w:rsidRPr="006C40C1">
        <w:t>systemet med sammanlagt 8,6 miljarder kronor. Detta innebär att Folkpartiet i realiteten minskar överföringarna till kommunerna med 2,7 miljarder kronor, varav 2,4 miljarder kronor avser sänkta statsbidrag för att uppväga det skatt</w:t>
      </w:r>
      <w:r w:rsidRPr="006C40C1">
        <w:t>e</w:t>
      </w:r>
      <w:r w:rsidRPr="006C40C1">
        <w:t>bortfall som kommunala koncernbildningar enligt moti</w:t>
      </w:r>
      <w:r w:rsidRPr="006C40C1">
        <w:t>onärerna leder till. Dessutom vill partiet flytta 0,3 miljarder kronor från  anslaget till särskilda insatser i vissa kommuner till utgiftsområde 9 Hälsovård, sjukvård och soc</w:t>
      </w:r>
      <w:r w:rsidRPr="006C40C1">
        <w:t>i</w:t>
      </w:r>
      <w:r w:rsidRPr="006C40C1">
        <w:t>alomsorg.</w:t>
      </w:r>
    </w:p>
    <w:p w:rsidR="00AA5D77" w:rsidRPr="006C40C1" w:rsidRDefault="00AA5D77">
      <w:pPr>
        <w:pStyle w:val="Normaltindrag"/>
      </w:pPr>
      <w:r w:rsidRPr="006C40C1">
        <w:t xml:space="preserve">I motsats till de övriga oppositionspartierna föreslår Kristdemokraterna att effekten på kommunsektorn av deras inkomstskatteförslag ska neutraliseras dels genom regleringar på utgiftsområde 25, dels genom en avräkning mot inkomsttitel. Såsom utskottet tidigare har framhållit kan det ifrågasättas om ett sådant förfarande är </w:t>
      </w:r>
      <w:r w:rsidRPr="006C40C1">
        <w:t xml:space="preserve">förenligt med budgetlagens krav på att alla inkomster och utgifter på statsbudgeten ska bruttoredovisas. Om – för jämförbarhetens skull – all reglering i stället görs på utgiftsområde 25 kommer utgifterna på detta utgiftsområde att öka i Kristdemokraternas budgetalternativ med 40,4 miljarder kronor. En motsvarande reglering bör då också göras för partiets förslag till utgiftstak för staten 2003. </w:t>
      </w:r>
    </w:p>
    <w:p w:rsidR="00AA5D77" w:rsidRPr="006C40C1" w:rsidRDefault="00AA5D77">
      <w:pPr>
        <w:pStyle w:val="Normaltindrag"/>
      </w:pPr>
      <w:r w:rsidRPr="006C40C1">
        <w:t>I Centerpartiets budgetalternativ räknas ramen för utgiftsområde 25 ned med 19,5 miljarder kronor. Denna nedjust</w:t>
      </w:r>
      <w:r w:rsidRPr="006C40C1">
        <w:t>ering föranleds av att kommunse</w:t>
      </w:r>
      <w:r w:rsidRPr="006C40C1">
        <w:t>k</w:t>
      </w:r>
      <w:r w:rsidRPr="006C40C1">
        <w:t>torns inkomster justeras för de av partiets förslag som påverkar det komm</w:t>
      </w:r>
      <w:r w:rsidRPr="006C40C1">
        <w:t>u</w:t>
      </w:r>
      <w:r w:rsidRPr="006C40C1">
        <w:t>nala skatteunderlaget. Dessa förslag till neutraliseringar uppgår sammantaget till 21,3 miljarder kronor, vilket innebär att nettoöverföringarna till komm</w:t>
      </w:r>
      <w:r w:rsidRPr="006C40C1">
        <w:t>u</w:t>
      </w:r>
      <w:r w:rsidRPr="006C40C1">
        <w:t>nerna inom utgiftsområde 25 i Centerpartiets budgetalternativ utökas med 1,8 miljarder kronor. Partiet avvisar emellertid regeringens skolsatsning på 2 miljarder kronor 2003, vilken redovisas under utgiftsområde 16 Utbildning och universitetsforskning</w:t>
      </w:r>
      <w:r w:rsidRPr="006C40C1">
        <w:t>, och föreslår i stället en satsning på skolan genom höjt generellt statsbidrag via utgiftsomr</w:t>
      </w:r>
      <w:r w:rsidRPr="006C40C1">
        <w:t>å</w:t>
      </w:r>
      <w:r w:rsidRPr="006C40C1">
        <w:t xml:space="preserve">de 25. </w:t>
      </w:r>
    </w:p>
    <w:p w:rsidR="00AA5D77" w:rsidRPr="006C40C1" w:rsidRDefault="00AA5D77">
      <w:pPr>
        <w:pStyle w:val="Normaltindrag"/>
      </w:pPr>
      <w:r w:rsidRPr="006C40C1">
        <w:t>Utskottet vill vidare erinra om att både Moderata samlingspartiet och Centerpartiet vill avskaffa tillfälligt sysselsättningsstöd till kommuner på 2,3 miljarder kronor, vilket i enlighet med regeringens förslag regleras på stat</w:t>
      </w:r>
      <w:r w:rsidRPr="006C40C1">
        <w:t>s</w:t>
      </w:r>
      <w:r w:rsidRPr="006C40C1">
        <w:t>budgetens inkomstsida.</w:t>
      </w:r>
    </w:p>
    <w:p w:rsidR="00AA5D77" w:rsidRPr="006C40C1" w:rsidRDefault="00AA5D77">
      <w:pPr>
        <w:pStyle w:val="Normaltindrag"/>
      </w:pPr>
      <w:r w:rsidRPr="006C40C1">
        <w:t>Utskottet återkommer inom kort till partiernas kommunalekonomiska a</w:t>
      </w:r>
      <w:r w:rsidRPr="006C40C1">
        <w:t>l</w:t>
      </w:r>
      <w:r w:rsidRPr="006C40C1">
        <w:t>ternativ i sitt betänkande om anslagen inom utgiftsområde 25 (bet. 2002/03: FiU3).</w:t>
      </w:r>
    </w:p>
    <w:p w:rsidR="00AA5D77" w:rsidRPr="006C40C1" w:rsidRDefault="00AA5D77">
      <w:pPr>
        <w:pStyle w:val="Normaltindrag"/>
      </w:pPr>
      <w:r w:rsidRPr="006C40C1">
        <w:t>Finansutskottet har tidigare i betänkandet (avsnitten 2.4.3 och 2.6) redov</w:t>
      </w:r>
      <w:r w:rsidRPr="006C40C1">
        <w:t>i</w:t>
      </w:r>
      <w:r w:rsidRPr="006C40C1">
        <w:t>sat sin bedömning av fördelningen av utgifterna på utgiftsområden för bu</w:t>
      </w:r>
      <w:r w:rsidRPr="006C40C1">
        <w:t>d</w:t>
      </w:r>
      <w:r w:rsidRPr="006C40C1">
        <w:t>getåret 2003 och därvid tillstyrkt regeringens förslag i denna del. Dock med tillägg för en ökad kompensation över det generella statsbidraget till komm</w:t>
      </w:r>
      <w:r w:rsidRPr="006C40C1">
        <w:t>u</w:t>
      </w:r>
      <w:r w:rsidRPr="006C40C1">
        <w:t xml:space="preserve">nerna till följd av förslaget om en ytterligare höjning av grundavdraget i </w:t>
      </w:r>
      <w:r w:rsidRPr="006C40C1">
        <w:rPr>
          <w:i/>
        </w:rPr>
        <w:t>m</w:t>
      </w:r>
      <w:r w:rsidRPr="006C40C1">
        <w:rPr>
          <w:i/>
        </w:rPr>
        <w:t>o</w:t>
      </w:r>
      <w:r w:rsidRPr="006C40C1">
        <w:rPr>
          <w:i/>
        </w:rPr>
        <w:t>tion Fi230</w:t>
      </w:r>
      <w:r w:rsidRPr="006C40C1">
        <w:t xml:space="preserve"> (s, v, mp) yrkande 12. Höjs grundavdraget leder det till minskade skatteinkomster för komm</w:t>
      </w:r>
      <w:r w:rsidRPr="006C40C1">
        <w:t>u</w:t>
      </w:r>
      <w:r w:rsidRPr="006C40C1">
        <w:t xml:space="preserve">nerna. </w:t>
      </w:r>
    </w:p>
    <w:p w:rsidR="00AA5D77" w:rsidRPr="006C40C1" w:rsidRDefault="00AA5D77">
      <w:r w:rsidRPr="006C40C1">
        <w:t>Finansutskottet föreslår således att ramen för utgiftsområde 25 år 2003 fas</w:t>
      </w:r>
      <w:r w:rsidRPr="006C40C1">
        <w:t>t</w:t>
      </w:r>
      <w:r w:rsidRPr="006C40C1">
        <w:t>ställs till 68 487 miljoner kronor vilket är 456 miljoner kronor mer än prop</w:t>
      </w:r>
      <w:r w:rsidRPr="006C40C1">
        <w:t>o</w:t>
      </w:r>
      <w:r w:rsidRPr="006C40C1">
        <w:t>sitionens förslag. Utskottet avstyrker därmed motionernas förslag till altern</w:t>
      </w:r>
      <w:r w:rsidRPr="006C40C1">
        <w:t>a</w:t>
      </w:r>
      <w:r w:rsidRPr="006C40C1">
        <w:t>tiva r</w:t>
      </w:r>
      <w:r w:rsidRPr="006C40C1">
        <w:t>a</w:t>
      </w:r>
      <w:r w:rsidRPr="006C40C1">
        <w:t>mar.</w:t>
      </w:r>
    </w:p>
    <w:p w:rsidR="00AA5D77" w:rsidRPr="006C40C1" w:rsidRDefault="00AA5D77">
      <w:pPr>
        <w:pStyle w:val="Rubrik3"/>
        <w:rPr>
          <w:noProof w:val="0"/>
        </w:rPr>
      </w:pPr>
      <w:bookmarkStart w:id="649" w:name="_Toc25397642"/>
      <w:bookmarkStart w:id="650" w:name="_Toc26191575"/>
      <w:r w:rsidRPr="006C40C1">
        <w:rPr>
          <w:noProof w:val="0"/>
        </w:rPr>
        <w:t>4.1.26 Utgiftsområde 26 Statsskuldsräntor m. m.</w:t>
      </w:r>
      <w:bookmarkEnd w:id="649"/>
      <w:bookmarkEnd w:id="650"/>
    </w:p>
    <w:p w:rsidR="00AA5D77" w:rsidRPr="006C40C1" w:rsidRDefault="00AA5D77">
      <w:r w:rsidRPr="006C40C1">
        <w:t>Utgiftsområdet omfattar utgifter för räntor på statsskulden, oförutsedda u</w:t>
      </w:r>
      <w:r w:rsidRPr="006C40C1">
        <w:t>t</w:t>
      </w:r>
      <w:r w:rsidRPr="006C40C1">
        <w:t>gifter samt Riksgäldskontorets provisionskostnader i samband med upplåning och skuldförvaltning. Utgiftsområdet ingår inte under utgiftstaket för staten.</w:t>
      </w:r>
    </w:p>
    <w:p w:rsidR="00AA5D77" w:rsidRPr="006C40C1" w:rsidRDefault="00AA5D77">
      <w:pPr>
        <w:pStyle w:val="Normaltindrag"/>
      </w:pPr>
      <w:r w:rsidRPr="006C40C1">
        <w:t>De totala utgifterna för utgiftsområdet 2002 beräknas uppgå till 66 575 miljoner kronor.</w:t>
      </w:r>
    </w:p>
    <w:p w:rsidR="00AA5D77" w:rsidRPr="006C40C1" w:rsidRDefault="00AA5D77">
      <w:pPr>
        <w:pStyle w:val="Rubrik4"/>
        <w:rPr>
          <w:noProof w:val="0"/>
        </w:rPr>
      </w:pPr>
      <w:bookmarkStart w:id="651" w:name="_Toc26191576"/>
      <w:r w:rsidRPr="006C40C1">
        <w:rPr>
          <w:noProof w:val="0"/>
        </w:rPr>
        <w:t>Budgetpropositionen</w:t>
      </w:r>
      <w:bookmarkEnd w:id="651"/>
    </w:p>
    <w:p w:rsidR="00AA5D77" w:rsidRPr="006C40C1" w:rsidRDefault="00AA5D77">
      <w:r w:rsidRPr="006C40C1">
        <w:t>I budgetpropositionen (avsnitt 6.3) redovisar regeringen att ramen för utgift</w:t>
      </w:r>
      <w:r w:rsidRPr="006C40C1">
        <w:t>s</w:t>
      </w:r>
      <w:r w:rsidRPr="006C40C1">
        <w:t>området minskar med drygt 3,4 miljarder kronor 2003 och 1,8 miljarder kr</w:t>
      </w:r>
      <w:r w:rsidRPr="006C40C1">
        <w:t>o</w:t>
      </w:r>
      <w:r w:rsidRPr="006C40C1">
        <w:t>nor jämfört med 2002 års ekonomiska vårproposition. Förändringarna förkl</w:t>
      </w:r>
      <w:r w:rsidRPr="006C40C1">
        <w:t>a</w:t>
      </w:r>
      <w:r w:rsidRPr="006C40C1">
        <w:t>ras huvudsakligen av ändrade låneplaner, förtida uppköp av nollkupongobl</w:t>
      </w:r>
      <w:r w:rsidRPr="006C40C1">
        <w:t>i</w:t>
      </w:r>
      <w:r w:rsidRPr="006C40C1">
        <w:t>gationer samt en omvärderingspost som beror dels på att vissa myndigheter har omvandlat kontoplacering i Riksgäldskontoret till statsobligationer, dels på en svagare kronkurs.</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FiU1tabellrubrik2000"/>
        <w:keepLines/>
        <w:outlineLvl w:val="0"/>
      </w:pPr>
      <w:r w:rsidRPr="006C40C1">
        <w:br w:type="page"/>
        <w:t xml:space="preserve">Förslag till ram för utgiftsområde 26 Statsskuldsräntor m.m. </w:t>
      </w:r>
    </w:p>
    <w:p w:rsidR="00AA5D77" w:rsidRPr="006C40C1" w:rsidRDefault="00AA5D77">
      <w:pPr>
        <w:pStyle w:val="Tabell"/>
        <w:keepLines/>
        <w:spacing w:after="40"/>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r w:rsidRPr="006C40C1">
        <w:rPr>
          <w:noProof/>
        </w:rPr>
        <w:drawing>
          <wp:inline distT="0" distB="0" distL="0" distR="0">
            <wp:extent cx="3777615" cy="805815"/>
            <wp:effectExtent l="0" t="0" r="0" b="0"/>
            <wp:docPr id="81" name="Bild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Pr>
        <w:pStyle w:val="Rubrik4"/>
        <w:rPr>
          <w:noProof w:val="0"/>
        </w:rPr>
      </w:pPr>
      <w:bookmarkStart w:id="652" w:name="_Toc26191577"/>
      <w:r w:rsidRPr="006C40C1">
        <w:rPr>
          <w:noProof w:val="0"/>
        </w:rPr>
        <w:t>Motionerna</w:t>
      </w:r>
      <w:bookmarkEnd w:id="652"/>
    </w:p>
    <w:p w:rsidR="00AA5D77" w:rsidRPr="006C40C1" w:rsidRDefault="00AA5D77">
      <w:r w:rsidRPr="006C40C1">
        <w:t xml:space="preserve">Förslagen i </w:t>
      </w:r>
      <w:r w:rsidRPr="006C40C1">
        <w:rPr>
          <w:i/>
        </w:rPr>
        <w:t xml:space="preserve">motion Fi230 </w:t>
      </w:r>
      <w:r w:rsidRPr="006C40C1">
        <w:t>från</w:t>
      </w:r>
      <w:r w:rsidRPr="006C40C1">
        <w:rPr>
          <w:i/>
        </w:rPr>
        <w:t xml:space="preserve"> Socialdemokraterna, Vänsterpartiet och Mi</w:t>
      </w:r>
      <w:r w:rsidRPr="006C40C1">
        <w:rPr>
          <w:i/>
        </w:rPr>
        <w:t>l</w:t>
      </w:r>
      <w:r w:rsidRPr="006C40C1">
        <w:rPr>
          <w:i/>
        </w:rPr>
        <w:t>jö</w:t>
      </w:r>
      <w:r w:rsidRPr="006C40C1">
        <w:rPr>
          <w:i/>
        </w:rPr>
        <w:softHyphen/>
        <w:t>partiet de gröna</w:t>
      </w:r>
      <w:r w:rsidRPr="006C40C1">
        <w:t xml:space="preserve"> berör inte utgiftsområde 26.</w:t>
      </w:r>
    </w:p>
    <w:p w:rsidR="00AA5D77" w:rsidRPr="006C40C1" w:rsidRDefault="00AA5D77">
      <w:pPr>
        <w:pStyle w:val="Normaltindrag"/>
      </w:pPr>
      <w:r w:rsidRPr="006C40C1">
        <w:rPr>
          <w:i/>
        </w:rPr>
        <w:t>Moderata samlingspartiet</w:t>
      </w:r>
      <w:r w:rsidRPr="006C40C1">
        <w:t xml:space="preserve"> anser i </w:t>
      </w:r>
      <w:r w:rsidRPr="006C40C1">
        <w:rPr>
          <w:i/>
        </w:rPr>
        <w:t>motion Fi231</w:t>
      </w:r>
      <w:r w:rsidRPr="006C40C1">
        <w:t xml:space="preserve"> att det är angeläget att minska statsskulden. Partiets samlade förslag innebär ett större överskott i de offentliga finanserna samt mer omfattande privatiseringar av statliga företag jämfört med vad regeringen föreslagit. Överskottet och intäkterna från priv</w:t>
      </w:r>
      <w:r w:rsidRPr="006C40C1">
        <w:t>a</w:t>
      </w:r>
      <w:r w:rsidRPr="006C40C1">
        <w:t>tiseringar ska användas till att minska statsskulden, vilket medför att stat</w:t>
      </w:r>
      <w:r w:rsidRPr="006C40C1">
        <w:t>s</w:t>
      </w:r>
      <w:r w:rsidRPr="006C40C1">
        <w:t>skuldsräntorna blir lägre.</w:t>
      </w:r>
    </w:p>
    <w:p w:rsidR="00AA5D77" w:rsidRPr="006C40C1" w:rsidRDefault="00AA5D77">
      <w:pPr>
        <w:pStyle w:val="Normaltindrag"/>
      </w:pPr>
      <w:r w:rsidRPr="006C40C1">
        <w:rPr>
          <w:i/>
        </w:rPr>
        <w:t>Folkpartiet liberalerna</w:t>
      </w:r>
      <w:r w:rsidRPr="006C40C1">
        <w:t xml:space="preserve"> redovisar i </w:t>
      </w:r>
      <w:r w:rsidRPr="006C40C1">
        <w:rPr>
          <w:i/>
        </w:rPr>
        <w:t>motion Fi232</w:t>
      </w:r>
      <w:r w:rsidRPr="006C40C1">
        <w:t xml:space="preserve"> mer omfattande företag</w:t>
      </w:r>
      <w:r w:rsidRPr="006C40C1">
        <w:t>s</w:t>
      </w:r>
      <w:r w:rsidRPr="006C40C1">
        <w:t>försäljningar än regeringen. Intäkterna från dessa försäljningar ska användas för att amortera på statsskulden, vilket ger lägre statsskuldsräntor.</w:t>
      </w:r>
    </w:p>
    <w:p w:rsidR="00AA5D77" w:rsidRPr="006C40C1" w:rsidRDefault="00AA5D77">
      <w:pPr>
        <w:pStyle w:val="Normaltindrag"/>
      </w:pPr>
      <w:r w:rsidRPr="006C40C1">
        <w:rPr>
          <w:i/>
        </w:rPr>
        <w:t>Kristdemokraterna</w:t>
      </w:r>
      <w:r w:rsidRPr="006C40C1">
        <w:t xml:space="preserve"> föreslår i </w:t>
      </w:r>
      <w:r w:rsidRPr="006C40C1">
        <w:rPr>
          <w:i/>
        </w:rPr>
        <w:t>motion Fi233</w:t>
      </w:r>
      <w:r w:rsidRPr="006C40C1">
        <w:t xml:space="preserve"> en ökad försäljning av statliga företag, vilket i kombination med de övriga sammantagna budgetförstär</w:t>
      </w:r>
      <w:r w:rsidRPr="006C40C1">
        <w:t>k</w:t>
      </w:r>
      <w:r w:rsidRPr="006C40C1">
        <w:t>ningarna minskar upplåningsbehovet. Statsskulden kan därmed minskas och statsskuldsräntorna blir lägre.</w:t>
      </w:r>
    </w:p>
    <w:p w:rsidR="00AA5D77" w:rsidRPr="006C40C1" w:rsidRDefault="00AA5D77">
      <w:pPr>
        <w:pStyle w:val="Normaltindrag"/>
      </w:pPr>
      <w:r w:rsidRPr="006C40C1">
        <w:rPr>
          <w:i/>
        </w:rPr>
        <w:t>Centerpartiet</w:t>
      </w:r>
      <w:r w:rsidRPr="006C40C1">
        <w:t xml:space="preserve"> förordar i </w:t>
      </w:r>
      <w:r w:rsidRPr="006C40C1">
        <w:rPr>
          <w:i/>
        </w:rPr>
        <w:t>motion Fi234</w:t>
      </w:r>
      <w:r w:rsidRPr="006C40C1">
        <w:t xml:space="preserve"> ökad takt i försäljningen av statlig egendom samt större statligt sparande jämfört med regeringen. Motionärernas förslag medför ett minskat lånebehov och därmed lägre räntor på statssku</w:t>
      </w:r>
      <w:r w:rsidRPr="006C40C1">
        <w:t>l</w:t>
      </w:r>
      <w:r w:rsidRPr="006C40C1">
        <w:t>den.</w:t>
      </w:r>
    </w:p>
    <w:p w:rsidR="00AA5D77" w:rsidRPr="006C40C1" w:rsidRDefault="00AA5D77">
      <w:pPr>
        <w:pStyle w:val="Rubrik4"/>
        <w:rPr>
          <w:noProof w:val="0"/>
        </w:rPr>
      </w:pPr>
      <w:bookmarkStart w:id="653" w:name="_Toc26191578"/>
      <w:r w:rsidRPr="006C40C1">
        <w:rPr>
          <w:noProof w:val="0"/>
        </w:rPr>
        <w:t>Finansutskottets ställningstagande</w:t>
      </w:r>
      <w:bookmarkEnd w:id="653"/>
    </w:p>
    <w:p w:rsidR="00AA5D77" w:rsidRPr="006C40C1" w:rsidRDefault="00AA5D77">
      <w:r w:rsidRPr="006C40C1">
        <w:t xml:space="preserve">Finansutskottet har tidigare i betänkandet (avsnitten 2.4.3 och 2.6) redovisat sin bedömning av fördelningen av utgifterna på utgiftsområden för budgetåret 2003. </w:t>
      </w:r>
    </w:p>
    <w:p w:rsidR="00AA5D77" w:rsidRPr="006C40C1" w:rsidRDefault="00AA5D77">
      <w:pPr>
        <w:pStyle w:val="Normaltindrag"/>
      </w:pPr>
      <w:r w:rsidRPr="006C40C1">
        <w:t>Finansutskottet föreslår således att ramen för utgiftsområde 26 år 2003 fastställs till 54 450 miljoner kronor. Därmed tillstyrker utskottet propositi</w:t>
      </w:r>
      <w:r w:rsidRPr="006C40C1">
        <w:t>o</w:t>
      </w:r>
      <w:r w:rsidRPr="006C40C1">
        <w:t>nen och avstyrker motionärernas förslag till alternativa ramar.</w:t>
      </w:r>
    </w:p>
    <w:p w:rsidR="00AA5D77" w:rsidRPr="006C40C1" w:rsidRDefault="00AA5D77">
      <w:pPr>
        <w:pStyle w:val="Rubrik3"/>
        <w:rPr>
          <w:noProof w:val="0"/>
        </w:rPr>
      </w:pPr>
      <w:bookmarkStart w:id="654" w:name="_Toc25397643"/>
      <w:bookmarkStart w:id="655" w:name="_Toc26191579"/>
      <w:r w:rsidRPr="006C40C1">
        <w:rPr>
          <w:noProof w:val="0"/>
        </w:rPr>
        <w:t>4.1.27 Utgiftsområde 27 Avgiften till Europeiska gemenskapen</w:t>
      </w:r>
      <w:bookmarkEnd w:id="654"/>
      <w:bookmarkEnd w:id="655"/>
    </w:p>
    <w:p w:rsidR="00AA5D77" w:rsidRPr="006C40C1" w:rsidRDefault="00AA5D77">
      <w:r w:rsidRPr="006C40C1">
        <w:t>Utgiftsområdet avser Sveriges avgift till Europeiska gemenskapens allmänna budget (EU-budgeten).</w:t>
      </w:r>
    </w:p>
    <w:p w:rsidR="00AA5D77" w:rsidRPr="006C40C1" w:rsidRDefault="00AA5D77">
      <w:pPr>
        <w:pStyle w:val="Normaltindrag"/>
      </w:pPr>
      <w:r w:rsidRPr="006C40C1">
        <w:t>De totala utgifterna för utgiftsområdet 2002 beräknas uppgå till ca 17 351 miljoner kronor.</w:t>
      </w:r>
    </w:p>
    <w:p w:rsidR="00AA5D77" w:rsidRPr="006C40C1" w:rsidRDefault="00AA5D77">
      <w:pPr>
        <w:pStyle w:val="R4"/>
      </w:pPr>
      <w:r w:rsidRPr="006C40C1">
        <w:t>Budgetpropositionen</w:t>
      </w:r>
    </w:p>
    <w:p w:rsidR="00AA5D77" w:rsidRPr="006C40C1" w:rsidRDefault="00AA5D77">
      <w:r w:rsidRPr="006C40C1">
        <w:t>I budgetpropositionen (avsnitt 6.3) anför regeringen att förändringen av u</w:t>
      </w:r>
      <w:r w:rsidRPr="006C40C1">
        <w:t>t</w:t>
      </w:r>
      <w:r w:rsidRPr="006C40C1">
        <w:t>giftsområdesramen jämfört med beräkningen i 2002 års ekonomiska vårpr</w:t>
      </w:r>
      <w:r w:rsidRPr="006C40C1">
        <w:t>o</w:t>
      </w:r>
      <w:r w:rsidRPr="006C40C1">
        <w:t>position i huvudsak förklaras av nya underlag för avgiftens beräkning. I vå</w:t>
      </w:r>
      <w:r w:rsidRPr="006C40C1">
        <w:t>r</w:t>
      </w:r>
      <w:r w:rsidRPr="006C40C1">
        <w:t>pr</w:t>
      </w:r>
      <w:r w:rsidRPr="006C40C1">
        <w:t>o</w:t>
      </w:r>
      <w:r w:rsidRPr="006C40C1">
        <w:t xml:space="preserve">positionen var det inte möjligt att basera beräkningarna på EU-budgetdokument för 2003, vilka nu finns tillgängliga. </w:t>
      </w:r>
    </w:p>
    <w:p w:rsidR="00AA5D77" w:rsidRPr="006C40C1" w:rsidRDefault="00AA5D77">
      <w:pPr>
        <w:pStyle w:val="Normaltindrag"/>
      </w:pPr>
      <w:r w:rsidRPr="006C40C1">
        <w:t>Propositionens och regeringspartiernas förslag till ramnivå för utgiftso</w:t>
      </w:r>
      <w:r w:rsidRPr="006C40C1">
        <w:t>m</w:t>
      </w:r>
      <w:r w:rsidRPr="006C40C1">
        <w:t xml:space="preserve">rådet under åren 2003 och 2004 redovisas i efterföljande tabell. </w:t>
      </w:r>
    </w:p>
    <w:p w:rsidR="00AA5D77" w:rsidRPr="006C40C1" w:rsidRDefault="00AA5D77">
      <w:pPr>
        <w:pStyle w:val="Normaltindrag"/>
      </w:pPr>
    </w:p>
    <w:p w:rsidR="00AA5D77" w:rsidRPr="006C40C1" w:rsidRDefault="00AA5D77">
      <w:pPr>
        <w:rPr>
          <w:b/>
          <w:sz w:val="17"/>
        </w:rPr>
      </w:pPr>
      <w:r w:rsidRPr="006C40C1">
        <w:rPr>
          <w:b/>
          <w:sz w:val="17"/>
        </w:rPr>
        <w:t>Förslag till ram för utgiftsområde 27 Avgiften till Europeiska gemensk</w:t>
      </w:r>
      <w:r w:rsidRPr="006C40C1">
        <w:rPr>
          <w:b/>
          <w:sz w:val="17"/>
        </w:rPr>
        <w:t>a</w:t>
      </w:r>
      <w:r w:rsidRPr="006C40C1">
        <w:rPr>
          <w:b/>
          <w:sz w:val="17"/>
        </w:rPr>
        <w:t>pen</w:t>
      </w:r>
    </w:p>
    <w:p w:rsidR="00AA5D77" w:rsidRPr="006C40C1" w:rsidRDefault="00AA5D77">
      <w:pPr>
        <w:pStyle w:val="Tabellfrklaring"/>
        <w:keepNext w:val="0"/>
        <w:keepLines w:val="0"/>
        <w:spacing w:before="0" w:after="0" w:line="250" w:lineRule="atLeast"/>
      </w:pPr>
      <w:r w:rsidRPr="006C40C1">
        <w:t>Belopp i miljoner kronor</w:t>
      </w:r>
    </w:p>
    <w:p w:rsidR="00AA5D77" w:rsidRPr="006C40C1" w:rsidRDefault="006C40C1">
      <w:pPr>
        <w:pStyle w:val="Normaltindrag"/>
        <w:ind w:left="-227"/>
      </w:pPr>
      <w:r w:rsidRPr="006C40C1">
        <w:rPr>
          <w:noProof/>
        </w:rPr>
        <w:drawing>
          <wp:inline distT="0" distB="0" distL="0" distR="0">
            <wp:extent cx="3777615" cy="810895"/>
            <wp:effectExtent l="0" t="0" r="0" b="0"/>
            <wp:docPr id="82" name="Bild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777615" cy="810895"/>
                    </a:xfrm>
                    <a:prstGeom prst="rect">
                      <a:avLst/>
                    </a:prstGeom>
                    <a:noFill/>
                    <a:ln>
                      <a:noFill/>
                    </a:ln>
                  </pic:spPr>
                </pic:pic>
              </a:graphicData>
            </a:graphic>
          </wp:inline>
        </w:drawing>
      </w:r>
    </w:p>
    <w:p w:rsidR="00AA5D77" w:rsidRPr="006C40C1" w:rsidRDefault="00AA5D77">
      <w:r w:rsidRPr="006C40C1">
        <w:t>Som framgår av tabellen har inget av riksdagspartierna föreslagit någon fö</w:t>
      </w:r>
      <w:r w:rsidRPr="006C40C1">
        <w:t>r</w:t>
      </w:r>
      <w:r w:rsidRPr="006C40C1">
        <w:t>ändring av regeringens utgiftsram.</w:t>
      </w:r>
    </w:p>
    <w:p w:rsidR="00AA5D77" w:rsidRPr="006C40C1" w:rsidRDefault="00AA5D77">
      <w:pPr>
        <w:pStyle w:val="R4"/>
      </w:pPr>
      <w:r w:rsidRPr="006C40C1">
        <w:t>Finansutskottets ställningstagande</w:t>
      </w:r>
    </w:p>
    <w:p w:rsidR="00AA5D77" w:rsidRPr="006C40C1" w:rsidRDefault="00AA5D77">
      <w:r w:rsidRPr="006C40C1">
        <w:t>Finansutskottet har tidigare i betänkandet (avsnitten 2.4.3 och 2.6) redovisat sin bedömning av fördelningen av utgifterna på utgiftsområden för budgetåret 2003.</w:t>
      </w:r>
    </w:p>
    <w:p w:rsidR="00AA5D77" w:rsidRPr="006C40C1" w:rsidRDefault="00AA5D77">
      <w:pPr>
        <w:pStyle w:val="Normaltindrag"/>
      </w:pPr>
      <w:r w:rsidRPr="006C40C1">
        <w:t>Finansutskottet föreslår att ramen för utgiftsområde 27 år 2003 fastställs till 23 695 miljoner kronor. Därmed tillstyrker utskottet propositionens fö</w:t>
      </w:r>
      <w:r w:rsidRPr="006C40C1">
        <w:t>r</w:t>
      </w:r>
      <w:r w:rsidRPr="006C40C1">
        <w:t>slag.</w:t>
      </w:r>
    </w:p>
    <w:p w:rsidR="00AA5D77" w:rsidRPr="006C40C1" w:rsidRDefault="00AA5D77">
      <w:pPr>
        <w:pStyle w:val="Rubrik3"/>
        <w:rPr>
          <w:noProof w:val="0"/>
        </w:rPr>
      </w:pPr>
      <w:bookmarkStart w:id="656" w:name="_Toc25397644"/>
      <w:bookmarkStart w:id="657" w:name="_Toc26191580"/>
      <w:r w:rsidRPr="006C40C1">
        <w:rPr>
          <w:noProof w:val="0"/>
        </w:rPr>
        <w:t>4.1.28 Ålderspensionssystemet vid sidan av statsbudgeten</w:t>
      </w:r>
      <w:bookmarkEnd w:id="656"/>
      <w:bookmarkEnd w:id="657"/>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till beräkningen av utgifte</w:t>
      </w:r>
      <w:r w:rsidRPr="006C40C1">
        <w:t>r</w:t>
      </w:r>
      <w:r w:rsidRPr="006C40C1">
        <w:t>na för ålderspensionssystemet vid sidan av statsbudgeten för 2003.</w:t>
      </w:r>
    </w:p>
    <w:p w:rsidR="00AA5D77" w:rsidRPr="006C40C1" w:rsidRDefault="00AA5D77">
      <w:r w:rsidRPr="006C40C1">
        <w:t>Utgifterna omfattar ålderspension i form av allmän tilläggspension (ATP) och ålderspension i form av folkpension till pensionärer som även uppbär ATP. Vidare ingår reformerad tilläggspension, inkomstpension och premiepension samt kostnaderna för administrationen av dessa system.</w:t>
      </w:r>
    </w:p>
    <w:p w:rsidR="00AA5D77" w:rsidRPr="006C40C1" w:rsidRDefault="00AA5D77">
      <w:pPr>
        <w:pStyle w:val="Normaltindrag"/>
      </w:pPr>
      <w:r w:rsidRPr="006C40C1">
        <w:t>De totala utgifterna för utgiftsområdet 2002 beräknas uppgå till 153 486 miljoner kronor.</w:t>
      </w:r>
    </w:p>
    <w:p w:rsidR="00AA5D77" w:rsidRPr="006C40C1" w:rsidRDefault="00AA5D77">
      <w:pPr>
        <w:pStyle w:val="Rubrik4"/>
        <w:rPr>
          <w:noProof w:val="0"/>
        </w:rPr>
      </w:pPr>
      <w:bookmarkStart w:id="658" w:name="_Toc26191581"/>
      <w:r w:rsidRPr="006C40C1">
        <w:rPr>
          <w:noProof w:val="0"/>
        </w:rPr>
        <w:t>Budgetpropositionen</w:t>
      </w:r>
      <w:bookmarkEnd w:id="658"/>
    </w:p>
    <w:p w:rsidR="00AA5D77" w:rsidRPr="006C40C1" w:rsidRDefault="00AA5D77">
      <w:r w:rsidRPr="006C40C1">
        <w:t>I budgetpropositionen (avsnitt 6.3) förklarar regeringen att ramen för utgift</w:t>
      </w:r>
      <w:r w:rsidRPr="006C40C1">
        <w:t>s</w:t>
      </w:r>
      <w:r w:rsidRPr="006C40C1">
        <w:t>området höjs i jämförelse med 2002 års ekonomiska vårproposition på grund av högre antaganden dels om inkomstindex, dels om kostnaderna för adm</w:t>
      </w:r>
      <w:r w:rsidRPr="006C40C1">
        <w:t>i</w:t>
      </w:r>
      <w:r w:rsidRPr="006C40C1">
        <w:t>nistration av AP-fonderna. År 2003 kommer dessutom utgifterna för den bosättningsbaserade delen av folkpensionen till pensionärer som också uppbär ATP att föras över från ålderspensionssystemet vid sidan av statsbudgeten till utgiftsområde 11 Ekonomisk trygghet vid ålderdom.</w:t>
      </w:r>
    </w:p>
    <w:p w:rsidR="00AA5D77" w:rsidRPr="006C40C1" w:rsidRDefault="00AA5D77">
      <w:pPr>
        <w:pStyle w:val="Normaltindrag"/>
      </w:pPr>
      <w:r w:rsidRPr="006C40C1">
        <w:t>Regeringen föreslår att riksdagen godkänner beräkningen av utgifterna för ålderspensionssys</w:t>
      </w:r>
      <w:r w:rsidRPr="006C40C1">
        <w:t>temet vid sidan av statsbudgeten för 2003 (yrkande 11).</w:t>
      </w:r>
    </w:p>
    <w:p w:rsidR="00AA5D77" w:rsidRPr="006C40C1" w:rsidRDefault="00AA5D77">
      <w:pPr>
        <w:pStyle w:val="Normaltindrag"/>
      </w:pPr>
      <w:r w:rsidRPr="006C40C1">
        <w:t>Propositionens och riksdagspartiernas förslag till ramnivå för utgiftsomr</w:t>
      </w:r>
      <w:r w:rsidRPr="006C40C1">
        <w:t>å</w:t>
      </w:r>
      <w:r w:rsidRPr="006C40C1">
        <w:t>det under åren 2003 och 2004 redovisas i efterföljande tabell.</w:t>
      </w:r>
    </w:p>
    <w:p w:rsidR="00AA5D77" w:rsidRPr="006C40C1" w:rsidRDefault="00AA5D77">
      <w:pPr>
        <w:pStyle w:val="FiU1tabellrubrik2000"/>
        <w:keepLines/>
        <w:outlineLvl w:val="0"/>
      </w:pPr>
      <w:r w:rsidRPr="006C40C1">
        <w:t>Förslag till ram för ålderspensionssystemet vid sidan av statsbudgeten</w:t>
      </w:r>
    </w:p>
    <w:p w:rsidR="00AA5D77" w:rsidRPr="006C40C1" w:rsidRDefault="00AA5D77">
      <w:pPr>
        <w:pStyle w:val="Tabell"/>
        <w:keepLines/>
        <w:spacing w:after="40"/>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r w:rsidRPr="006C40C1">
        <w:rPr>
          <w:noProof/>
        </w:rPr>
        <w:drawing>
          <wp:inline distT="0" distB="0" distL="0" distR="0">
            <wp:extent cx="3777615" cy="805815"/>
            <wp:effectExtent l="0" t="0" r="0" b="0"/>
            <wp:docPr id="83" name="Bild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3777615" cy="805815"/>
                    </a:xfrm>
                    <a:prstGeom prst="rect">
                      <a:avLst/>
                    </a:prstGeom>
                    <a:noFill/>
                    <a:ln>
                      <a:noFill/>
                    </a:ln>
                  </pic:spPr>
                </pic:pic>
              </a:graphicData>
            </a:graphic>
          </wp:inline>
        </w:drawing>
      </w:r>
    </w:p>
    <w:p w:rsidR="00AA5D77" w:rsidRPr="006C40C1" w:rsidRDefault="00AA5D77"/>
    <w:p w:rsidR="00AA5D77" w:rsidRPr="006C40C1" w:rsidRDefault="00AA5D77">
      <w:r w:rsidRPr="006C40C1">
        <w:t>Som framgår av tabellen har inget av riksdagspartierna föreslagit någon annan ram än vad regeringen anger som förslag i budgetpropositionen.</w:t>
      </w:r>
    </w:p>
    <w:p w:rsidR="00AA5D77" w:rsidRPr="006C40C1" w:rsidRDefault="00AA5D77">
      <w:pPr>
        <w:pStyle w:val="Rubrik4"/>
        <w:rPr>
          <w:noProof w:val="0"/>
        </w:rPr>
      </w:pPr>
      <w:bookmarkStart w:id="659" w:name="_Toc26191582"/>
      <w:r w:rsidRPr="006C40C1">
        <w:rPr>
          <w:noProof w:val="0"/>
        </w:rPr>
        <w:t>Socialförsäkringsutskottets yttrande</w:t>
      </w:r>
      <w:bookmarkEnd w:id="659"/>
    </w:p>
    <w:p w:rsidR="00AA5D77" w:rsidRPr="006C40C1" w:rsidRDefault="00AA5D77">
      <w:r w:rsidRPr="006C40C1">
        <w:t>Socialförsäkringsutskottet påpekar i sitt yttrande (SfU1y) att regeringen i årets budgetproposition har ett specifikt yrkande avseende ålderspensionss</w:t>
      </w:r>
      <w:r w:rsidRPr="006C40C1">
        <w:t>y</w:t>
      </w:r>
      <w:r w:rsidRPr="006C40C1">
        <w:t>stemet vid sidan av statsbudgeten. Av propositionen framgår emellertid inte om riksdagens godkännande av beräkningen avses få någon förändrad inn</w:t>
      </w:r>
      <w:r w:rsidRPr="006C40C1">
        <w:t>e</w:t>
      </w:r>
      <w:r w:rsidRPr="006C40C1">
        <w:t>börd jämfört med tidigare behandling av utgiftsberäkningen för ålderspe</w:t>
      </w:r>
      <w:r w:rsidRPr="006C40C1">
        <w:t>n</w:t>
      </w:r>
      <w:r w:rsidRPr="006C40C1">
        <w:t>sionss</w:t>
      </w:r>
      <w:r w:rsidRPr="006C40C1">
        <w:t>y</w:t>
      </w:r>
      <w:r w:rsidRPr="006C40C1">
        <w:t xml:space="preserve">stemet. </w:t>
      </w:r>
    </w:p>
    <w:p w:rsidR="00AA5D77" w:rsidRPr="006C40C1" w:rsidRDefault="00AA5D77">
      <w:pPr>
        <w:pStyle w:val="Normaltindrag"/>
      </w:pPr>
      <w:r w:rsidRPr="006C40C1">
        <w:t>Socialförsäkringsutskottet har inget att erinra mot regeringens beräkningar.</w:t>
      </w:r>
    </w:p>
    <w:p w:rsidR="00AA5D77" w:rsidRPr="006C40C1" w:rsidRDefault="00AA5D77">
      <w:pPr>
        <w:pStyle w:val="Rubrik4"/>
        <w:rPr>
          <w:noProof w:val="0"/>
        </w:rPr>
      </w:pPr>
      <w:bookmarkStart w:id="660" w:name="_Toc26191583"/>
      <w:r w:rsidRPr="006C40C1">
        <w:rPr>
          <w:noProof w:val="0"/>
        </w:rPr>
        <w:t>Finansutskottets ställnigstagande</w:t>
      </w:r>
      <w:bookmarkEnd w:id="660"/>
    </w:p>
    <w:p w:rsidR="00AA5D77" w:rsidRPr="006C40C1" w:rsidRDefault="00AA5D77">
      <w:r w:rsidRPr="006C40C1">
        <w:t xml:space="preserve">Finansutskottet har tidigare i betänkandet (avsnitten 2.4.3 och 2.6) redovisat sin bedömning av fördelningen av utgifterna på utgiftsområden för budgetåret 2003. </w:t>
      </w:r>
    </w:p>
    <w:p w:rsidR="00AA5D77" w:rsidRPr="006C40C1" w:rsidRDefault="00AA5D77">
      <w:pPr>
        <w:pStyle w:val="Normaltindrag"/>
      </w:pPr>
      <w:r w:rsidRPr="006C40C1">
        <w:t>Finansutskottet finner för sin del att innebörden i riksdagens godkännande av utgiftsberäkningen inte förändras i och med regeringens särskilda yrkande avseende ålderspensionssystemet. Utskottet föreslår således att ramen för ålderspensionssystemet vid sidan av statsbudgeten år 2003 fastställs till 155 953 miljoner kronor. Därmed biträder utskottet regeringens förslag och tillstyrker yrkande 11 i propositi</w:t>
      </w:r>
      <w:r w:rsidRPr="006C40C1">
        <w:t>o</w:t>
      </w:r>
      <w:r w:rsidRPr="006C40C1">
        <w:t>nen.</w:t>
      </w:r>
    </w:p>
    <w:p w:rsidR="00AA5D77" w:rsidRPr="006C40C1" w:rsidRDefault="00AA5D77">
      <w:pPr>
        <w:pStyle w:val="Rubrik2"/>
      </w:pPr>
      <w:bookmarkStart w:id="661" w:name="_Toc25397645"/>
      <w:bookmarkStart w:id="662" w:name="_Toc26191584"/>
      <w:r w:rsidRPr="006C40C1">
        <w:t>4.2 Preliminär fördelning av utgifterna på utgiftsområden för 2004</w:t>
      </w:r>
      <w:bookmarkEnd w:id="661"/>
      <w:bookmarkEnd w:id="662"/>
    </w:p>
    <w:p w:rsidR="00AA5D77" w:rsidRPr="006C40C1" w:rsidRDefault="00AA5D77">
      <w:pPr>
        <w:pStyle w:val="Utskottsfrslagikorthet-Rubrik"/>
        <w:rPr>
          <w:noProof w:val="0"/>
        </w:rPr>
      </w:pPr>
      <w:r w:rsidRPr="006C40C1">
        <w:rPr>
          <w:noProof w:val="0"/>
        </w:rPr>
        <w:t>Utskottets delförslag i korthet</w:t>
      </w:r>
    </w:p>
    <w:p w:rsidR="00AA5D77" w:rsidRPr="006C40C1" w:rsidRDefault="00AA5D77">
      <w:pPr>
        <w:pStyle w:val="Utskottsfrslagikorthet-Text"/>
      </w:pPr>
      <w:r w:rsidRPr="006C40C1">
        <w:t>Utskottet tillstyrker regeringens förslag till fördelning av statsbu</w:t>
      </w:r>
      <w:r w:rsidRPr="006C40C1">
        <w:t>d</w:t>
      </w:r>
      <w:r w:rsidRPr="006C40C1">
        <w:t>getens utgifter på utgiftsområden för 2004 med den ändringen att ramen för utgiftsområde 25 Allmänna bidrag till kommuner höjs med 456 miljoner kronor jämfört med regerin</w:t>
      </w:r>
      <w:r w:rsidRPr="006C40C1">
        <w:t>g</w:t>
      </w:r>
      <w:r w:rsidRPr="006C40C1">
        <w:t>ens förslag.</w:t>
      </w:r>
    </w:p>
    <w:p w:rsidR="00AA5D77" w:rsidRPr="006C40C1" w:rsidRDefault="00AA5D77">
      <w:pPr>
        <w:pStyle w:val="Utskottsfrslagikorthet-Text"/>
      </w:pPr>
      <w:r w:rsidRPr="006C40C1">
        <w:t>Utskottet avstyrker därmed de alternativa yrkanden som framförs av Moderata samlingspartiet, Folkpartiet liberalerna, Kristdem</w:t>
      </w:r>
      <w:r w:rsidRPr="006C40C1">
        <w:t>o</w:t>
      </w:r>
      <w:r w:rsidRPr="006C40C1">
        <w:t>kraterna och Cente</w:t>
      </w:r>
      <w:r w:rsidRPr="006C40C1">
        <w:t>r</w:t>
      </w:r>
      <w:r w:rsidRPr="006C40C1">
        <w:t>partiet.</w:t>
      </w:r>
    </w:p>
    <w:p w:rsidR="00AA5D77" w:rsidRPr="006C40C1" w:rsidRDefault="00AA5D77">
      <w:pPr>
        <w:pStyle w:val="Utskottsfrslagikorthet-Text"/>
      </w:pPr>
      <w:r w:rsidRPr="006C40C1">
        <w:t>Jämför reservationerna 13 (m), 14 (fp), 15 (kd) och 16 (c).</w:t>
      </w:r>
    </w:p>
    <w:p w:rsidR="00AA5D77" w:rsidRPr="006C40C1" w:rsidRDefault="00AA5D77">
      <w:pPr>
        <w:pStyle w:val="Rubrik4"/>
        <w:rPr>
          <w:noProof w:val="0"/>
        </w:rPr>
      </w:pPr>
      <w:bookmarkStart w:id="663" w:name="_Toc26191585"/>
      <w:r w:rsidRPr="006C40C1">
        <w:rPr>
          <w:noProof w:val="0"/>
        </w:rPr>
        <w:t>Budgetpropositionen</w:t>
      </w:r>
      <w:bookmarkEnd w:id="663"/>
    </w:p>
    <w:p w:rsidR="00AA5D77" w:rsidRPr="006C40C1" w:rsidRDefault="00AA5D77">
      <w:r w:rsidRPr="006C40C1">
        <w:t>Regeringen föreslår att riksdagen ska godkänna den preliminära fördelningen av utgifter på utgiftsområden för 2004 som finns återgiven i propositionen (yrkande 10).</w:t>
      </w:r>
    </w:p>
    <w:p w:rsidR="00AA5D77" w:rsidRPr="006C40C1" w:rsidRDefault="00AA5D77">
      <w:pPr>
        <w:pStyle w:val="Rubrik4"/>
        <w:rPr>
          <w:noProof w:val="0"/>
        </w:rPr>
      </w:pPr>
      <w:bookmarkStart w:id="664" w:name="_Toc26191586"/>
      <w:r w:rsidRPr="006C40C1">
        <w:rPr>
          <w:noProof w:val="0"/>
        </w:rPr>
        <w:t>Motionerna</w:t>
      </w:r>
      <w:bookmarkEnd w:id="664"/>
    </w:p>
    <w:p w:rsidR="00AA5D77" w:rsidRPr="006C40C1" w:rsidRDefault="00AA5D77">
      <w:r w:rsidRPr="006C40C1">
        <w:t>Förslag till alternativ fördelning på utgiftsområdena för 2004 framförs i fö</w:t>
      </w:r>
      <w:r w:rsidRPr="006C40C1">
        <w:t>l</w:t>
      </w:r>
      <w:r w:rsidRPr="006C40C1">
        <w:t xml:space="preserve">jande motioner: </w:t>
      </w:r>
    </w:p>
    <w:p w:rsidR="00AA5D77" w:rsidRPr="006C40C1" w:rsidRDefault="00AA5D77">
      <w:pPr>
        <w:pStyle w:val="Normaltindrag"/>
        <w:tabs>
          <w:tab w:val="num" w:pos="284"/>
          <w:tab w:val="num" w:pos="700"/>
        </w:tabs>
        <w:ind w:left="700" w:hanging="360"/>
      </w:pPr>
      <w:r w:rsidRPr="006C40C1">
        <w:rPr>
          <w:i/>
        </w:rPr>
        <w:t>Moderata samlingspartiet</w:t>
      </w:r>
      <w:r w:rsidRPr="006C40C1">
        <w:t xml:space="preserve"> i </w:t>
      </w:r>
      <w:r w:rsidRPr="006C40C1">
        <w:rPr>
          <w:i/>
        </w:rPr>
        <w:t>motion Fi231</w:t>
      </w:r>
      <w:r w:rsidRPr="006C40C1">
        <w:t xml:space="preserve"> (yrkande 6)</w:t>
      </w:r>
    </w:p>
    <w:p w:rsidR="00AA5D77" w:rsidRPr="006C40C1" w:rsidRDefault="00AA5D77">
      <w:pPr>
        <w:pStyle w:val="Normaltindrag"/>
        <w:tabs>
          <w:tab w:val="num" w:pos="284"/>
          <w:tab w:val="num" w:pos="700"/>
        </w:tabs>
        <w:ind w:left="700" w:hanging="360"/>
      </w:pPr>
      <w:r w:rsidRPr="006C40C1">
        <w:rPr>
          <w:i/>
        </w:rPr>
        <w:t>Folkpartiet liberalerna</w:t>
      </w:r>
      <w:r w:rsidRPr="006C40C1">
        <w:t xml:space="preserve"> i </w:t>
      </w:r>
      <w:r w:rsidRPr="006C40C1">
        <w:rPr>
          <w:i/>
        </w:rPr>
        <w:t>motion Fi232</w:t>
      </w:r>
      <w:r w:rsidRPr="006C40C1">
        <w:t xml:space="preserve"> (yrkande 7)</w:t>
      </w:r>
    </w:p>
    <w:p w:rsidR="00AA5D77" w:rsidRPr="006C40C1" w:rsidRDefault="00AA5D77">
      <w:pPr>
        <w:pStyle w:val="Normaltindrag"/>
        <w:tabs>
          <w:tab w:val="num" w:pos="284"/>
          <w:tab w:val="num" w:pos="700"/>
        </w:tabs>
        <w:ind w:left="700" w:hanging="360"/>
      </w:pPr>
      <w:r w:rsidRPr="006C40C1">
        <w:rPr>
          <w:i/>
        </w:rPr>
        <w:t>Kristdemokraterna</w:t>
      </w:r>
      <w:r w:rsidRPr="006C40C1">
        <w:t xml:space="preserve"> i </w:t>
      </w:r>
      <w:r w:rsidRPr="006C40C1">
        <w:rPr>
          <w:i/>
        </w:rPr>
        <w:t>motion Fi233</w:t>
      </w:r>
      <w:r w:rsidRPr="006C40C1">
        <w:t xml:space="preserve"> (yrkande 9)</w:t>
      </w:r>
    </w:p>
    <w:p w:rsidR="00AA5D77" w:rsidRPr="006C40C1" w:rsidRDefault="00AA5D77">
      <w:pPr>
        <w:pStyle w:val="Normaltindrag"/>
        <w:tabs>
          <w:tab w:val="num" w:pos="284"/>
          <w:tab w:val="num" w:pos="700"/>
        </w:tabs>
        <w:ind w:left="700" w:hanging="360"/>
      </w:pPr>
      <w:r w:rsidRPr="006C40C1">
        <w:rPr>
          <w:i/>
        </w:rPr>
        <w:t xml:space="preserve">Centerpartiet </w:t>
      </w:r>
      <w:r w:rsidRPr="006C40C1">
        <w:t xml:space="preserve">i </w:t>
      </w:r>
      <w:r w:rsidRPr="006C40C1">
        <w:rPr>
          <w:i/>
        </w:rPr>
        <w:t>motion Fi234</w:t>
      </w:r>
      <w:r w:rsidRPr="006C40C1">
        <w:t xml:space="preserve"> (yrkande 7).</w:t>
      </w:r>
    </w:p>
    <w:p w:rsidR="00AA5D77" w:rsidRPr="006C40C1" w:rsidRDefault="00AA5D77">
      <w:r w:rsidRPr="006C40C1">
        <w:rPr>
          <w:i/>
        </w:rPr>
        <w:t>Socialdemokraterna, Vänsterpartiet och Miljöpartiet de gröna (motion Fi230)</w:t>
      </w:r>
      <w:r w:rsidRPr="006C40C1">
        <w:t xml:space="preserve"> förordar en oförändrad fördelning på utgiftsområdena för 2004 jämfört med rege</w:t>
      </w:r>
      <w:r w:rsidRPr="006C40C1">
        <w:t>r</w:t>
      </w:r>
      <w:r w:rsidRPr="006C40C1">
        <w:t>ingens förslag.</w:t>
      </w:r>
    </w:p>
    <w:p w:rsidR="00AA5D77" w:rsidRPr="006C40C1" w:rsidRDefault="00AA5D77">
      <w:pPr>
        <w:pStyle w:val="Normaltindrag"/>
      </w:pPr>
      <w:r w:rsidRPr="006C40C1">
        <w:t>Partiernas alternativ för 2004 har redovisats i tabellerna under respektive utgiftsområde i föregående avsnitt.</w:t>
      </w:r>
    </w:p>
    <w:p w:rsidR="00AA5D77" w:rsidRPr="006C40C1" w:rsidRDefault="00AA5D77">
      <w:r w:rsidRPr="006C40C1">
        <w:t>Utöver de föreslagna alternativen till fördelning av utgifter på utgiftsområden för 2004 framför två partier även förslag till allmän inriktning av budgeta</w:t>
      </w:r>
      <w:r w:rsidRPr="006C40C1">
        <w:t>r</w:t>
      </w:r>
      <w:r w:rsidRPr="006C40C1">
        <w:t>betet avsee</w:t>
      </w:r>
      <w:r w:rsidRPr="006C40C1">
        <w:t>n</w:t>
      </w:r>
      <w:r w:rsidRPr="006C40C1">
        <w:t>de utgiftsfördelningen för 2005.</w:t>
      </w:r>
    </w:p>
    <w:p w:rsidR="00AA5D77" w:rsidRPr="006C40C1" w:rsidRDefault="00AA5D77">
      <w:pPr>
        <w:pStyle w:val="Normaltindrag"/>
      </w:pPr>
      <w:r w:rsidRPr="006C40C1">
        <w:rPr>
          <w:i/>
        </w:rPr>
        <w:t>Kristdemokraterna</w:t>
      </w:r>
      <w:r w:rsidRPr="006C40C1">
        <w:t xml:space="preserve"> föreslår i </w:t>
      </w:r>
      <w:r w:rsidRPr="006C40C1">
        <w:rPr>
          <w:i/>
        </w:rPr>
        <w:t>motion Fi233</w:t>
      </w:r>
      <w:r w:rsidRPr="006C40C1">
        <w:t xml:space="preserve"> att riksdagen ska godkänna de av motionärerna angivna prioriterade budgetområdena för budgetpolitiken som riktlinje för regeringens kommande budgetarbete (yrkande 7).</w:t>
      </w:r>
    </w:p>
    <w:p w:rsidR="00AA5D77" w:rsidRPr="006C40C1" w:rsidRDefault="00AA5D77">
      <w:pPr>
        <w:pStyle w:val="Normaltindrag"/>
      </w:pPr>
      <w:r w:rsidRPr="006C40C1">
        <w:rPr>
          <w:i/>
        </w:rPr>
        <w:t>Centerpartiet</w:t>
      </w:r>
      <w:r w:rsidRPr="006C40C1">
        <w:t xml:space="preserve"> förordar i </w:t>
      </w:r>
      <w:r w:rsidRPr="006C40C1">
        <w:rPr>
          <w:i/>
        </w:rPr>
        <w:t>motion Fi234</w:t>
      </w:r>
      <w:r w:rsidRPr="006C40C1">
        <w:t xml:space="preserve"> att ett särskilt budgetutrymme sk</w:t>
      </w:r>
      <w:r w:rsidRPr="006C40C1">
        <w:t>a</w:t>
      </w:r>
      <w:r w:rsidRPr="006C40C1">
        <w:t>pas för ett antal viktiga reformer under de kommande åren. Dessa reformer ska enligt motionärerna ingå i regeringens planeringsförutsättningar för 2003 års ekonomiska vå</w:t>
      </w:r>
      <w:r w:rsidRPr="006C40C1">
        <w:t>r</w:t>
      </w:r>
      <w:r w:rsidRPr="006C40C1">
        <w:t>proposition (yrkande 8).</w:t>
      </w:r>
    </w:p>
    <w:p w:rsidR="00AA5D77" w:rsidRPr="006C40C1" w:rsidRDefault="00AA5D77">
      <w:pPr>
        <w:pStyle w:val="Rubrik4"/>
        <w:rPr>
          <w:noProof w:val="0"/>
        </w:rPr>
      </w:pPr>
      <w:bookmarkStart w:id="665" w:name="_Toc26191587"/>
      <w:r w:rsidRPr="006C40C1">
        <w:rPr>
          <w:noProof w:val="0"/>
        </w:rPr>
        <w:t>Finansutskottets ställningstagande</w:t>
      </w:r>
      <w:bookmarkEnd w:id="665"/>
    </w:p>
    <w:p w:rsidR="00AA5D77" w:rsidRPr="006C40C1" w:rsidRDefault="00AA5D77">
      <w:r w:rsidRPr="006C40C1">
        <w:t>Utskottet har i det föregående ställt sig bakom regeringens förslag till förde</w:t>
      </w:r>
      <w:r w:rsidRPr="006C40C1">
        <w:t>l</w:t>
      </w:r>
      <w:r w:rsidRPr="006C40C1">
        <w:t>ning av utgifterna på utgiftsområden för 2003, med undantag för ramar för utgiftsområdena 8 Invandrare och flyktingar, 9 Hälsovård, sjukvård och social omsorg, 14 Arbetsliv, 15 Studiestöd, 20 Allmän miljö- och naturvård, 23 Jord- och skogsbruk, fiske med anslutande näringar och 25 Allmänna bidrag till kommuner. De av utskottet föreslagna förändringarna av ramar för u</w:t>
      </w:r>
      <w:r w:rsidRPr="006C40C1">
        <w:t>t</w:t>
      </w:r>
      <w:r w:rsidRPr="006C40C1">
        <w:t>giftsområdena 8, 9, 14, 15, 20 och 23 följer Socialdemokraternas, Vänste</w:t>
      </w:r>
      <w:r w:rsidRPr="006C40C1">
        <w:t>r</w:t>
      </w:r>
      <w:r w:rsidRPr="006C40C1">
        <w:t>partiets och Miljöpartiet de grönas förslag från motion Fi230. De bö</w:t>
      </w:r>
      <w:r w:rsidRPr="006C40C1">
        <w:t>r enligt utskottet inte få några återverkningar på respektive utgiftsområdesramar för 2004.</w:t>
      </w:r>
    </w:p>
    <w:p w:rsidR="00AA5D77" w:rsidRPr="006C40C1" w:rsidRDefault="00AA5D77">
      <w:pPr>
        <w:pStyle w:val="Normaltindrag"/>
      </w:pPr>
      <w:r w:rsidRPr="006C40C1">
        <w:t>Den av utskottet tidigare föreslagna förändringen av ramen för utgiftso</w:t>
      </w:r>
      <w:r w:rsidRPr="006C40C1">
        <w:t>m</w:t>
      </w:r>
      <w:r w:rsidRPr="006C40C1">
        <w:t>råde 25 föranleds däremot av Socialdemokraternas, Vänsterpartiets och Mi</w:t>
      </w:r>
      <w:r w:rsidRPr="006C40C1">
        <w:t>l</w:t>
      </w:r>
      <w:r w:rsidRPr="006C40C1">
        <w:t>jöpartiet de grönas förslag till att utvidga den gröna skatteväxlingen fr.o.m. 2003. Med hänsyn till att den utvidgade skatteväxlingen inte ska vara tidsb</w:t>
      </w:r>
      <w:r w:rsidRPr="006C40C1">
        <w:t>e</w:t>
      </w:r>
      <w:r w:rsidRPr="006C40C1">
        <w:t>stämd anser utskottet att en motsvarande justering av ramen bör ske även för 2004. Det innebär att riksdagen bör justera upp ramen med 456 miljoner kronor jämfört med vad regeringen föreslagit. Finansutskottet föreslår således att ramen för utgiftsområde 25 för budgetåret 2004 preli</w:t>
      </w:r>
      <w:r w:rsidRPr="006C40C1">
        <w:t xml:space="preserve">minärt beräknas till 70 590 miljoner kronor. </w:t>
      </w:r>
    </w:p>
    <w:p w:rsidR="00AA5D77" w:rsidRPr="006C40C1" w:rsidRDefault="00AA5D77">
      <w:pPr>
        <w:pStyle w:val="Normaltindrag"/>
      </w:pPr>
      <w:r w:rsidRPr="006C40C1">
        <w:t>Vidare vill utskottet påpeka att regeringen i kommande 2003 års ekon</w:t>
      </w:r>
      <w:r w:rsidRPr="006C40C1">
        <w:t>o</w:t>
      </w:r>
      <w:r w:rsidRPr="006C40C1">
        <w:t>miska vårproposition avser att lämna ett förslag till preliminär fördelning av statsbudgetens utgifter på utgiftsområden för åren 2005 och 2006, inklusive en utförlig motivering av de aktuella budgetpolitiska prioriteringarna. U</w:t>
      </w:r>
      <w:r w:rsidRPr="006C40C1">
        <w:t>t</w:t>
      </w:r>
      <w:r w:rsidRPr="006C40C1">
        <w:t>skottet finner därför inte skäl till något tillkännagivande från riksdagens sida avseende den preliminära utgiftsfördelningen för 2005.</w:t>
      </w:r>
    </w:p>
    <w:p w:rsidR="00AA5D77" w:rsidRPr="006C40C1" w:rsidRDefault="00AA5D77">
      <w:pPr>
        <w:pStyle w:val="Normaltindrag"/>
      </w:pPr>
      <w:r w:rsidRPr="006C40C1">
        <w:t>Med hänsyn härtill biträder utskottet delvis regeringens förslag till prel</w:t>
      </w:r>
      <w:r w:rsidRPr="006C40C1">
        <w:t>i</w:t>
      </w:r>
      <w:r w:rsidRPr="006C40C1">
        <w:t>minär fördelning av utgifterna för 2004 och tillstyrker därmed delvis yrkande 10 i propositionen.</w:t>
      </w:r>
    </w:p>
    <w:p w:rsidR="00AA5D77" w:rsidRPr="006C40C1" w:rsidRDefault="00AA5D77">
      <w:pPr>
        <w:pStyle w:val="Normaltindrag"/>
      </w:pPr>
      <w:r w:rsidRPr="006C40C1">
        <w:t>Samtidigt avstryker utskottet motionerna Fi231 (m) yrkande 6, Fi232 (fp) yrkande 7, Fi233 (kd) yrkandena 7 i denna del och 9 samt Fi234 (c) yrkand</w:t>
      </w:r>
      <w:r w:rsidRPr="006C40C1">
        <w:t>e</w:t>
      </w:r>
      <w:r w:rsidRPr="006C40C1">
        <w:t>na 7 och 8.</w:t>
      </w:r>
    </w:p>
    <w:p w:rsidR="00AA5D77" w:rsidRPr="006C40C1" w:rsidRDefault="00AA5D77">
      <w:pPr>
        <w:pStyle w:val="FiU1tabellrubrik2000"/>
        <w:keepLines/>
        <w:spacing w:before="0" w:line="240" w:lineRule="auto"/>
        <w:outlineLvl w:val="0"/>
      </w:pPr>
      <w:r w:rsidRPr="006C40C1">
        <w:br w:type="page"/>
        <w:t>Utskottets förslag till utgiftsramar för 2004 – nivå samt jämförelse med regerin</w:t>
      </w:r>
      <w:r w:rsidRPr="006C40C1">
        <w:t>g</w:t>
      </w:r>
      <w:r w:rsidRPr="006C40C1">
        <w:t>ens förslag</w:t>
      </w:r>
    </w:p>
    <w:p w:rsidR="00AA5D77" w:rsidRPr="006C40C1" w:rsidRDefault="00AA5D77">
      <w:pPr>
        <w:pStyle w:val="Tabell"/>
        <w:keepLines/>
        <w:spacing w:after="40"/>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r w:rsidRPr="006C40C1">
        <w:rPr>
          <w:noProof/>
        </w:rPr>
        <w:drawing>
          <wp:inline distT="0" distB="0" distL="0" distR="0">
            <wp:extent cx="3777615" cy="5410200"/>
            <wp:effectExtent l="0" t="0" r="0" b="0"/>
            <wp:docPr id="84" name="Bild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777615" cy="5410200"/>
                    </a:xfrm>
                    <a:prstGeom prst="rect">
                      <a:avLst/>
                    </a:prstGeom>
                    <a:noFill/>
                    <a:ln>
                      <a:noFill/>
                    </a:ln>
                  </pic:spPr>
                </pic:pic>
              </a:graphicData>
            </a:graphic>
          </wp:inline>
        </w:drawing>
      </w:r>
    </w:p>
    <w:p w:rsidR="00AA5D77" w:rsidRPr="006C40C1" w:rsidRDefault="00AA5D77">
      <w:pPr>
        <w:pStyle w:val="Rubrik2"/>
      </w:pPr>
      <w:bookmarkStart w:id="666" w:name="_Toc530479529"/>
      <w:r w:rsidRPr="006C40C1">
        <w:br w:type="page"/>
      </w:r>
      <w:bookmarkStart w:id="667" w:name="_Toc25397646"/>
      <w:bookmarkStart w:id="668" w:name="_Toc26191588"/>
      <w:r w:rsidRPr="006C40C1">
        <w:t>4.3 Bemyndigande om upplåning</w:t>
      </w:r>
      <w:bookmarkEnd w:id="666"/>
      <w:bookmarkEnd w:id="667"/>
      <w:bookmarkEnd w:id="668"/>
    </w:p>
    <w:p w:rsidR="00AA5D77" w:rsidRPr="006C40C1" w:rsidRDefault="00AA5D77">
      <w:pPr>
        <w:pStyle w:val="Utskottsfrslagikorthet-Rubrik"/>
        <w:outlineLvl w:val="0"/>
        <w:rPr>
          <w:noProof w:val="0"/>
        </w:rPr>
      </w:pPr>
      <w:r w:rsidRPr="006C40C1">
        <w:rPr>
          <w:noProof w:val="0"/>
        </w:rPr>
        <w:t>Utskottets förslag i korthet</w:t>
      </w:r>
    </w:p>
    <w:p w:rsidR="00AA5D77" w:rsidRPr="006C40C1" w:rsidRDefault="00AA5D77">
      <w:pPr>
        <w:pStyle w:val="Utskottsfrslagikorthet-Text"/>
      </w:pPr>
      <w:r w:rsidRPr="006C40C1">
        <w:t>Regeringen bemyndigas att under budgetåret 2003 ta upp lån enligt lagen (1998:1387) om statens upplåning och skuldförvaltning.</w:t>
      </w:r>
    </w:p>
    <w:p w:rsidR="00AA5D77" w:rsidRPr="006C40C1" w:rsidRDefault="00AA5D77">
      <w:pPr>
        <w:pStyle w:val="R4"/>
      </w:pPr>
      <w:r w:rsidRPr="006C40C1">
        <w:t>Budgetpropositionen</w:t>
      </w:r>
    </w:p>
    <w:p w:rsidR="00AA5D77" w:rsidRPr="006C40C1" w:rsidRDefault="00AA5D77">
      <w:r w:rsidRPr="006C40C1">
        <w:t>Statsbudgetens saldo är sedan 1997 identiskt med statens lånebehov. För att statsbudgetens saldo skall överensstämma med statens lånebehov redovisas Riksgäldskontorets nettoutlåning och en post för kassamässig korrigering över statsbudgeten på utgiftssidan vid sidan av de utgifter som är grupperade på 27 utgiftsomr</w:t>
      </w:r>
      <w:r w:rsidRPr="006C40C1">
        <w:t>å</w:t>
      </w:r>
      <w:r w:rsidRPr="006C40C1">
        <w:t>den. Tidigare redovisades en post för överföring från AP-fonden till staten vilken föranleddes av pensionsreformen. Några överföringar från AP-fonden beräknas inte göras efter 2001, men lånebehovet påverkas ändå i viss mån av överföringarna. En del av överföringarna bestod av b</w:t>
      </w:r>
      <w:r w:rsidRPr="006C40C1">
        <w:t>o</w:t>
      </w:r>
      <w:r w:rsidRPr="006C40C1">
        <w:t>stadsobligationer som påverkar lånebehovet dels genom att de ger ränta, dels när de förfaller till betalning. Effekten på lånebehovet uppgår till ca 9 milja</w:t>
      </w:r>
      <w:r w:rsidRPr="006C40C1">
        <w:t>r</w:t>
      </w:r>
      <w:r w:rsidRPr="006C40C1">
        <w:t>der kronor 2002 och ca 14 respektive 4 miljarder kronor åren 2003 och 2004.</w:t>
      </w:r>
      <w:r w:rsidRPr="006C40C1">
        <w:t xml:space="preserve"> Denna effekt utgör posten Kassamässig korrigering dessa år. Enligt pension</w:t>
      </w:r>
      <w:r w:rsidRPr="006C40C1">
        <w:t>s</w:t>
      </w:r>
      <w:r w:rsidRPr="006C40C1">
        <w:t>överenskommelsen skall det slutliga överföringsbeloppet fastställas vid en kontrollstation 2004 och öve</w:t>
      </w:r>
      <w:r w:rsidRPr="006C40C1">
        <w:t>r</w:t>
      </w:r>
      <w:r w:rsidRPr="006C40C1">
        <w:t xml:space="preserve">föringen äga rum 2005. </w:t>
      </w:r>
    </w:p>
    <w:p w:rsidR="00AA5D77" w:rsidRPr="006C40C1" w:rsidRDefault="00AA5D77">
      <w:pPr>
        <w:pStyle w:val="Normaltindrag"/>
      </w:pPr>
      <w:r w:rsidRPr="006C40C1">
        <w:t>Under perioden 1999–2004 beräknas det ackumulerade budgetöverskottet enligt redovisningen i budgetpropositionen uppgå till ca 196 miljarder kronor efter det att den s.k. beräkningstekniska överföringen till hushållen dragits av. En väsentlig del av detta överskott härrör från överföringen av medel från AP-f</w:t>
      </w:r>
      <w:r w:rsidRPr="006C40C1">
        <w:t>onden som görs med anledning av pensionsreformen.</w:t>
      </w:r>
    </w:p>
    <w:p w:rsidR="00AA5D77" w:rsidRPr="006C40C1" w:rsidRDefault="00AA5D77">
      <w:pPr>
        <w:pStyle w:val="Normaltindrag"/>
      </w:pPr>
      <w:r w:rsidRPr="006C40C1">
        <w:t>Budgetåret 2003 beräknas statsbudgeten uppvisa ett underskott på ca 13,5 miljarder kronor och för budgetåret 2004 beräknas underskottet öka ytterlig</w:t>
      </w:r>
      <w:r w:rsidRPr="006C40C1">
        <w:t>a</w:t>
      </w:r>
      <w:r w:rsidRPr="006C40C1">
        <w:t>re till ca 22 miljarder kronor.</w:t>
      </w:r>
    </w:p>
    <w:p w:rsidR="00AA5D77" w:rsidRPr="006C40C1" w:rsidRDefault="00AA5D77">
      <w:pPr>
        <w:pStyle w:val="Normaltindrag"/>
      </w:pPr>
      <w:r w:rsidRPr="006C40C1">
        <w:t xml:space="preserve"> Regeringen föreslår att riksdagen bemyndigar regeringen att under bu</w:t>
      </w:r>
      <w:r w:rsidRPr="006C40C1">
        <w:t>d</w:t>
      </w:r>
      <w:r w:rsidRPr="006C40C1">
        <w:t>getåret 2003 ta upp lån enligt lagen (1988:1387) om statens upplåning och skuldförval</w:t>
      </w:r>
      <w:r w:rsidRPr="006C40C1">
        <w:t>t</w:t>
      </w:r>
      <w:r w:rsidRPr="006C40C1">
        <w:t>ning (yrkande 4).</w:t>
      </w:r>
    </w:p>
    <w:p w:rsidR="00AA5D77" w:rsidRPr="006C40C1" w:rsidRDefault="00AA5D77">
      <w:pPr>
        <w:pStyle w:val="R4"/>
      </w:pPr>
      <w:bookmarkStart w:id="669" w:name="_Toc498763666"/>
      <w:bookmarkStart w:id="670" w:name="_Toc498910835"/>
      <w:bookmarkStart w:id="671" w:name="_Toc530281653"/>
      <w:bookmarkStart w:id="672" w:name="_Toc530479530"/>
      <w:r w:rsidRPr="006C40C1">
        <w:t>Finansutskottets ställningstagande</w:t>
      </w:r>
      <w:bookmarkEnd w:id="669"/>
      <w:bookmarkEnd w:id="670"/>
      <w:bookmarkEnd w:id="671"/>
      <w:bookmarkEnd w:id="672"/>
    </w:p>
    <w:p w:rsidR="00AA5D77" w:rsidRPr="006C40C1" w:rsidRDefault="00AA5D77">
      <w:r w:rsidRPr="006C40C1">
        <w:t>Finansutskottet tillstyrker att regeringen ges det i finansplanen begärda b</w:t>
      </w:r>
      <w:r w:rsidRPr="006C40C1">
        <w:t>e</w:t>
      </w:r>
      <w:r w:rsidRPr="006C40C1">
        <w:t>mynd</w:t>
      </w:r>
      <w:r w:rsidRPr="006C40C1">
        <w:t>i</w:t>
      </w:r>
      <w:r w:rsidRPr="006C40C1">
        <w:t>gandet (yrkande 4).</w:t>
      </w:r>
    </w:p>
    <w:p w:rsidR="00AA5D77" w:rsidRPr="006C40C1" w:rsidRDefault="00AA5D77">
      <w:pPr>
        <w:pStyle w:val="Rubrik2"/>
      </w:pPr>
      <w:bookmarkStart w:id="673" w:name="_Toc498157151"/>
      <w:bookmarkStart w:id="674" w:name="_Toc498910838"/>
      <w:bookmarkStart w:id="675" w:name="_Toc529614349"/>
      <w:bookmarkStart w:id="676" w:name="_Toc530479531"/>
      <w:bookmarkStart w:id="677" w:name="_Toc25397647"/>
      <w:bookmarkStart w:id="678" w:name="_Toc26191589"/>
      <w:r w:rsidRPr="006C40C1">
        <w:t>4.4 Finansiering av investeringar och rörelsekapital</w:t>
      </w:r>
      <w:bookmarkEnd w:id="675"/>
      <w:bookmarkEnd w:id="676"/>
      <w:bookmarkEnd w:id="677"/>
      <w:bookmarkEnd w:id="678"/>
    </w:p>
    <w:p w:rsidR="00AA5D77" w:rsidRPr="006C40C1" w:rsidRDefault="00AA5D77">
      <w:pPr>
        <w:pStyle w:val="Rubrik3"/>
        <w:spacing w:before="250"/>
        <w:rPr>
          <w:noProof w:val="0"/>
        </w:rPr>
      </w:pPr>
      <w:bookmarkStart w:id="679" w:name="_Toc529614350"/>
      <w:bookmarkStart w:id="680" w:name="_Toc530479532"/>
      <w:bookmarkStart w:id="681" w:name="_Toc25397648"/>
      <w:bookmarkStart w:id="682" w:name="_Toc26191590"/>
      <w:r w:rsidRPr="006C40C1">
        <w:rPr>
          <w:noProof w:val="0"/>
        </w:rPr>
        <w:t>4.4.1 Lån för myndigheternas investeringar i anläggningstillgångar för förvaltningsändamål</w:t>
      </w:r>
      <w:bookmarkEnd w:id="673"/>
      <w:bookmarkEnd w:id="674"/>
      <w:bookmarkEnd w:id="679"/>
      <w:bookmarkEnd w:id="680"/>
      <w:bookmarkEnd w:id="681"/>
      <w:bookmarkEnd w:id="682"/>
    </w:p>
    <w:p w:rsidR="00AA5D77" w:rsidRPr="006C40C1" w:rsidRDefault="00AA5D77">
      <w:pPr>
        <w:pStyle w:val="Utskottsfrslagikorthet-Rubrik"/>
        <w:outlineLvl w:val="0"/>
        <w:rPr>
          <w:noProof w:val="0"/>
        </w:rPr>
      </w:pPr>
      <w:r w:rsidRPr="006C40C1">
        <w:rPr>
          <w:noProof w:val="0"/>
        </w:rPr>
        <w:t>Utskottets förslag i korthet</w:t>
      </w:r>
    </w:p>
    <w:p w:rsidR="00AA5D77" w:rsidRPr="006C40C1" w:rsidRDefault="00AA5D77">
      <w:pPr>
        <w:pStyle w:val="Utskottsfrslagikorthet-Text"/>
      </w:pPr>
      <w:r w:rsidRPr="006C40C1">
        <w:t>Riksdagen bemyndigar regeringen att för budgetåret 2003 besluta om lån i Riksgäldskontoret för investeringar i anläggningstillgångar som används i statens verksamhet intill ett belopp av 23 500 miljoner kronor. Därmed tillstyrker utskottet regeringens förslag (yrkande 12).</w:t>
      </w:r>
    </w:p>
    <w:p w:rsidR="00AA5D77" w:rsidRPr="006C40C1" w:rsidRDefault="00AA5D77">
      <w:pPr>
        <w:pStyle w:val="R4"/>
      </w:pPr>
      <w:bookmarkStart w:id="683" w:name="_Toc498763670"/>
      <w:bookmarkStart w:id="684" w:name="_Toc498910839"/>
      <w:bookmarkStart w:id="685" w:name="_Toc530281656"/>
      <w:bookmarkStart w:id="686" w:name="_Toc530479533"/>
      <w:r w:rsidRPr="006C40C1">
        <w:t>Budgetpropositionen</w:t>
      </w:r>
      <w:bookmarkEnd w:id="683"/>
      <w:bookmarkEnd w:id="684"/>
      <w:bookmarkEnd w:id="685"/>
      <w:bookmarkEnd w:id="686"/>
    </w:p>
    <w:p w:rsidR="00AA5D77" w:rsidRPr="006C40C1" w:rsidRDefault="00AA5D77">
      <w:r w:rsidRPr="006C40C1">
        <w:t>I budgetpropositionen redovisas för varje utgiftsområde det beräknade sa</w:t>
      </w:r>
      <w:r w:rsidRPr="006C40C1">
        <w:t>m</w:t>
      </w:r>
      <w:r w:rsidRPr="006C40C1">
        <w:t>manlagda behovet av låneramar för investeringar i anläggningstillgångar för budgetåret 2003. Den totala låneramen avser summan av de lån som regerin</w:t>
      </w:r>
      <w:r w:rsidRPr="006C40C1">
        <w:t>g</w:t>
      </w:r>
      <w:r w:rsidRPr="006C40C1">
        <w:t>en via myndigheterna högst får ha i Riksgäldskontoret under 2003 och inn</w:t>
      </w:r>
      <w:r w:rsidRPr="006C40C1">
        <w:t>e</w:t>
      </w:r>
      <w:r w:rsidRPr="006C40C1">
        <w:t>fattar också tidigare tagna lån. Regeringen beräknar att det behövs en sa</w:t>
      </w:r>
      <w:r w:rsidRPr="006C40C1">
        <w:t>m</w:t>
      </w:r>
      <w:r w:rsidRPr="006C40C1">
        <w:t>mantagen låneram på 23 500 miljoner kronor för budgetåret 2003. För att möta oförutsedda behov kommer preliminärt 335 miljoner kronor att inte fördelas till myndigheterna utan disponeras av regeringen.</w:t>
      </w:r>
    </w:p>
    <w:p w:rsidR="00AA5D77" w:rsidRPr="006C40C1" w:rsidRDefault="00AA5D77">
      <w:pPr>
        <w:pStyle w:val="Normaltindrag"/>
      </w:pPr>
      <w:r w:rsidRPr="006C40C1">
        <w:t>Jämfört med a</w:t>
      </w:r>
      <w:r w:rsidRPr="006C40C1">
        <w:t>ktuella låneramar för 2002 innebär regeringens förslag till låneramar för 2003 en ökning med 1,0 miljard kronor. Myndigheternas totala skuld avseende investeringar i anläggningstillgångar uppgick till 14,8 milja</w:t>
      </w:r>
      <w:r w:rsidRPr="006C40C1">
        <w:t>r</w:t>
      </w:r>
      <w:r w:rsidRPr="006C40C1">
        <w:t>der kronor vid halvårsskiftet 2002, vilket var 0,7 miljarder mer än vid samma tidpunkt ett år tidigare. Av den totala ramen innevarande år utnyttjades sål</w:t>
      </w:r>
      <w:r w:rsidRPr="006C40C1">
        <w:t>e</w:t>
      </w:r>
      <w:r w:rsidRPr="006C40C1">
        <w:t>des ca 66 %.</w:t>
      </w:r>
    </w:p>
    <w:p w:rsidR="00AA5D77" w:rsidRPr="006C40C1" w:rsidRDefault="00AA5D77">
      <w:pPr>
        <w:pStyle w:val="R4"/>
      </w:pPr>
      <w:bookmarkStart w:id="687" w:name="_Toc498763671"/>
      <w:bookmarkStart w:id="688" w:name="_Toc498910840"/>
      <w:bookmarkStart w:id="689" w:name="_Toc530281657"/>
      <w:bookmarkStart w:id="690" w:name="_Toc530479534"/>
      <w:r w:rsidRPr="006C40C1">
        <w:t>Finansutskottets ställningstagande</w:t>
      </w:r>
      <w:bookmarkEnd w:id="687"/>
      <w:bookmarkEnd w:id="688"/>
      <w:bookmarkEnd w:id="689"/>
      <w:bookmarkEnd w:id="690"/>
    </w:p>
    <w:p w:rsidR="00AA5D77" w:rsidRPr="006C40C1" w:rsidRDefault="00AA5D77">
      <w:r w:rsidRPr="006C40C1">
        <w:t xml:space="preserve">Utskottet har inget att erinra mot regeringens förslag till investeringsramar vad avser myndigheterna för 2003. </w:t>
      </w:r>
    </w:p>
    <w:p w:rsidR="00AA5D77" w:rsidRPr="006C40C1" w:rsidRDefault="00AA5D77">
      <w:pPr>
        <w:pStyle w:val="Normaltindrag"/>
      </w:pPr>
      <w:r w:rsidRPr="006C40C1">
        <w:t xml:space="preserve">Utskottet tillstyrker således att regeringen för budgetåret 2003 får besluta om lån i Riksgäldskontoret för investeringar i anläggningstillgångar som används i statens verksamhet intill ett belopp av 23 500 000 000 kr (yrkande 12). </w:t>
      </w:r>
    </w:p>
    <w:p w:rsidR="00AA5D77" w:rsidRPr="006C40C1" w:rsidRDefault="00AA5D77">
      <w:pPr>
        <w:pStyle w:val="Rubrik3"/>
        <w:rPr>
          <w:noProof w:val="0"/>
        </w:rPr>
      </w:pPr>
      <w:bookmarkStart w:id="691" w:name="_Toc498157152"/>
      <w:bookmarkStart w:id="692" w:name="_Toc498910841"/>
      <w:bookmarkStart w:id="693" w:name="_Toc529614351"/>
      <w:bookmarkStart w:id="694" w:name="_Toc530479535"/>
      <w:r w:rsidRPr="006C40C1">
        <w:rPr>
          <w:noProof w:val="0"/>
        </w:rPr>
        <w:br w:type="page"/>
      </w:r>
      <w:bookmarkStart w:id="695" w:name="_Toc25397649"/>
      <w:bookmarkStart w:id="696" w:name="_Toc26191591"/>
      <w:r w:rsidRPr="006C40C1">
        <w:rPr>
          <w:noProof w:val="0"/>
        </w:rPr>
        <w:t>4.4.2 Myndigheternas räntekontokrediter</w:t>
      </w:r>
      <w:bookmarkEnd w:id="691"/>
      <w:bookmarkEnd w:id="692"/>
      <w:bookmarkEnd w:id="693"/>
      <w:bookmarkEnd w:id="694"/>
      <w:bookmarkEnd w:id="695"/>
      <w:bookmarkEnd w:id="696"/>
    </w:p>
    <w:p w:rsidR="00AA5D77" w:rsidRPr="006C40C1" w:rsidRDefault="00AA5D77">
      <w:pPr>
        <w:pStyle w:val="Utskottsfrslagikorthet-Rubrik"/>
        <w:outlineLvl w:val="0"/>
        <w:rPr>
          <w:noProof w:val="0"/>
        </w:rPr>
      </w:pPr>
      <w:r w:rsidRPr="006C40C1">
        <w:rPr>
          <w:noProof w:val="0"/>
        </w:rPr>
        <w:t>Utskottets förslag i korthet</w:t>
      </w:r>
    </w:p>
    <w:p w:rsidR="00AA5D77" w:rsidRPr="006C40C1" w:rsidRDefault="00AA5D77">
      <w:pPr>
        <w:pStyle w:val="Utskottsfrslagikorthet-Text"/>
      </w:pPr>
      <w:r w:rsidRPr="006C40C1">
        <w:t>Regeringen får för budgetåret 2003 besluta om krediter för my</w:t>
      </w:r>
      <w:r w:rsidRPr="006C40C1">
        <w:t>n</w:t>
      </w:r>
      <w:r w:rsidRPr="006C40C1">
        <w:t>digheternas räntekonton i Riksgäldskontoret intill ett belopp av 17 500 miljoner kronor. Därmed tillstyrker utskottet regeringens förslag (yrkande 13).</w:t>
      </w:r>
    </w:p>
    <w:p w:rsidR="00AA5D77" w:rsidRPr="006C40C1" w:rsidRDefault="00AA5D77">
      <w:pPr>
        <w:pStyle w:val="R4"/>
      </w:pPr>
      <w:bookmarkStart w:id="697" w:name="_Toc498763673"/>
      <w:bookmarkStart w:id="698" w:name="_Toc498910842"/>
      <w:bookmarkStart w:id="699" w:name="_Toc530281659"/>
      <w:bookmarkStart w:id="700" w:name="_Toc530479536"/>
      <w:r w:rsidRPr="006C40C1">
        <w:t>Budgetpropositionen</w:t>
      </w:r>
      <w:bookmarkEnd w:id="697"/>
      <w:bookmarkEnd w:id="698"/>
      <w:bookmarkEnd w:id="699"/>
      <w:bookmarkEnd w:id="700"/>
    </w:p>
    <w:p w:rsidR="00AA5D77" w:rsidRPr="006C40C1" w:rsidRDefault="00AA5D77">
      <w:r w:rsidRPr="006C40C1">
        <w:t>Regeringen kan besluta att rörelsekapital i statens verksamhet skall finansi</w:t>
      </w:r>
      <w:r w:rsidRPr="006C40C1">
        <w:t>e</w:t>
      </w:r>
      <w:r w:rsidRPr="006C40C1">
        <w:t>ras med krediter i Riksgäldskontoret inom en kreditram som riksdagen fas</w:t>
      </w:r>
      <w:r w:rsidRPr="006C40C1">
        <w:t>t</w:t>
      </w:r>
      <w:r w:rsidRPr="006C40C1">
        <w:t>ställer. Detta regleras i lagen (1996:1059) om statsbudgeten (21 §). Myndi</w:t>
      </w:r>
      <w:r w:rsidRPr="006C40C1">
        <w:t>g</w:t>
      </w:r>
      <w:r w:rsidRPr="006C40C1">
        <w:t>heterna placerar överskottslikviditet och finansierar tillfälliga likviditetsu</w:t>
      </w:r>
      <w:r w:rsidRPr="006C40C1">
        <w:t>n</w:t>
      </w:r>
      <w:r w:rsidRPr="006C40C1">
        <w:t>derskott i Riksgäldskontoret. Myndigheterna har för detta ändamål ett ränt</w:t>
      </w:r>
      <w:r w:rsidRPr="006C40C1">
        <w:t>e</w:t>
      </w:r>
      <w:r w:rsidRPr="006C40C1">
        <w:t>konto med kredit. Ramen för räntekontokrediten varierar men ligger normalt inom intervallet 5–10 % av respektive myndighets omslutning.</w:t>
      </w:r>
    </w:p>
    <w:p w:rsidR="00AA5D77" w:rsidRPr="006C40C1" w:rsidRDefault="00AA5D77">
      <w:pPr>
        <w:pStyle w:val="Normaltindrag"/>
      </w:pPr>
      <w:r w:rsidRPr="006C40C1">
        <w:t>I budgetpropositionens volym 1 (avsnitt 7.1.2) föreslår regeringen att su</w:t>
      </w:r>
      <w:r w:rsidRPr="006C40C1">
        <w:t>mman av kreditramarna för myndigheternas räntekonton får uppgå till högst 17,5 miljarder kronor för budgetåret 2003 (yrkande 13).</w:t>
      </w:r>
    </w:p>
    <w:p w:rsidR="00AA5D77" w:rsidRPr="006C40C1" w:rsidRDefault="00AA5D77">
      <w:pPr>
        <w:pStyle w:val="R4"/>
      </w:pPr>
      <w:bookmarkStart w:id="701" w:name="_Toc498763674"/>
      <w:bookmarkStart w:id="702" w:name="_Toc498910843"/>
      <w:bookmarkStart w:id="703" w:name="_Toc530281660"/>
      <w:bookmarkStart w:id="704" w:name="_Toc530479537"/>
      <w:r w:rsidRPr="006C40C1">
        <w:t>Finansutskottets ställningstagande</w:t>
      </w:r>
      <w:bookmarkEnd w:id="701"/>
      <w:bookmarkEnd w:id="702"/>
      <w:bookmarkEnd w:id="703"/>
      <w:bookmarkEnd w:id="704"/>
    </w:p>
    <w:p w:rsidR="00AA5D77" w:rsidRPr="006C40C1" w:rsidRDefault="00AA5D77">
      <w:r w:rsidRPr="006C40C1">
        <w:t>Utskottet tillstyrker regeringens förslag om myndigheternas räntekontokred</w:t>
      </w:r>
      <w:r w:rsidRPr="006C40C1">
        <w:t>i</w:t>
      </w:r>
      <w:r w:rsidRPr="006C40C1">
        <w:t>ter i Riksgäldskontoret (yrkande 13).</w:t>
      </w:r>
    </w:p>
    <w:p w:rsidR="00AA5D77" w:rsidRPr="006C40C1" w:rsidRDefault="00AA5D77">
      <w:pPr>
        <w:pStyle w:val="Rubrik3"/>
        <w:rPr>
          <w:noProof w:val="0"/>
        </w:rPr>
      </w:pPr>
      <w:bookmarkStart w:id="705" w:name="_Toc498157153"/>
      <w:bookmarkStart w:id="706" w:name="_Toc498910844"/>
      <w:bookmarkStart w:id="707" w:name="_Toc529614352"/>
      <w:bookmarkStart w:id="708" w:name="_Toc530479538"/>
      <w:bookmarkStart w:id="709" w:name="_Toc25397650"/>
      <w:bookmarkStart w:id="710" w:name="_Toc26191592"/>
      <w:r w:rsidRPr="006C40C1">
        <w:rPr>
          <w:noProof w:val="0"/>
        </w:rPr>
        <w:t>4.4.3 Sjunde AP-fondsstyrelsens lån och räntekontokredit i Riksgäldskontoret</w:t>
      </w:r>
      <w:bookmarkEnd w:id="705"/>
      <w:bookmarkEnd w:id="706"/>
      <w:bookmarkEnd w:id="707"/>
      <w:bookmarkEnd w:id="708"/>
      <w:bookmarkEnd w:id="709"/>
      <w:bookmarkEnd w:id="710"/>
    </w:p>
    <w:p w:rsidR="00AA5D77" w:rsidRPr="006C40C1" w:rsidRDefault="00AA5D77">
      <w:pPr>
        <w:pStyle w:val="Utskottsfrslagikorthet-Rubrik"/>
        <w:outlineLvl w:val="0"/>
        <w:rPr>
          <w:noProof w:val="0"/>
        </w:rPr>
      </w:pPr>
      <w:r w:rsidRPr="006C40C1">
        <w:rPr>
          <w:noProof w:val="0"/>
        </w:rPr>
        <w:t>Utskottets förslag i korthet</w:t>
      </w:r>
    </w:p>
    <w:p w:rsidR="00AA5D77" w:rsidRPr="006C40C1" w:rsidRDefault="00AA5D77">
      <w:pPr>
        <w:pStyle w:val="Utskottsfrslagikorthet-Text"/>
      </w:pPr>
      <w:r w:rsidRPr="006C40C1">
        <w:t>För Sjunde AP-fondens verksamhet får regeringen för budgetåret 2003 besluta om lån i Riksgäldskontoret för investeringar för högst 15 miljoner kronor och för kredit på räntekonto för högst 150 mi</w:t>
      </w:r>
      <w:r w:rsidRPr="006C40C1">
        <w:t>l</w:t>
      </w:r>
      <w:r w:rsidRPr="006C40C1">
        <w:t>joner kronor. Därmed tillstyrker utskottet regeringens förslag (y</w:t>
      </w:r>
      <w:r w:rsidRPr="006C40C1">
        <w:t>r</w:t>
      </w:r>
      <w:r w:rsidRPr="006C40C1">
        <w:t>kande 14).</w:t>
      </w:r>
    </w:p>
    <w:p w:rsidR="00AA5D77" w:rsidRPr="006C40C1" w:rsidRDefault="00AA5D77">
      <w:pPr>
        <w:pStyle w:val="R4"/>
      </w:pPr>
      <w:bookmarkStart w:id="711" w:name="_Toc498763676"/>
      <w:bookmarkStart w:id="712" w:name="_Toc498910845"/>
      <w:bookmarkStart w:id="713" w:name="_Toc530281662"/>
      <w:bookmarkStart w:id="714" w:name="_Toc530479539"/>
      <w:r w:rsidRPr="006C40C1">
        <w:t>Budgetpropositionen</w:t>
      </w:r>
      <w:bookmarkEnd w:id="711"/>
      <w:bookmarkEnd w:id="712"/>
      <w:bookmarkEnd w:id="713"/>
      <w:bookmarkEnd w:id="714"/>
    </w:p>
    <w:p w:rsidR="00AA5D77" w:rsidRPr="006C40C1" w:rsidRDefault="00AA5D77">
      <w:r w:rsidRPr="006C40C1">
        <w:t>Inom ramen för det reformerade systemet för inkomstgrundad ålderspension har en fondstyrelse med namnet Sjunde AP-fonden inrättats. Sjunde AP-fonden skall initialt förvalta två värdepappersfonder, Premiesparfonden och Premievalsfonden. Premiesparfonden skall förvalta premiepensionsmedel för dem som inte gör ett aktivt val av fondförvaltare. Premievalsfonden skall vara en av de fonder som kan väljas aktivt.</w:t>
      </w:r>
    </w:p>
    <w:p w:rsidR="00AA5D77" w:rsidRPr="006C40C1" w:rsidRDefault="00AA5D77">
      <w:pPr>
        <w:pStyle w:val="Normaltindrag"/>
      </w:pPr>
      <w:r w:rsidRPr="006C40C1">
        <w:t>Kostnaderna för Sjunde AP-fondens förvaltning av de båda fonderna skall tas ur de förvaltade medlen i respektive fond. För att finansiera verksamheten under uppbyggnadsskedet disponerar Sjunde AP-fonden krediter i Riksgäld</w:t>
      </w:r>
      <w:r w:rsidRPr="006C40C1">
        <w:t>s</w:t>
      </w:r>
      <w:r w:rsidRPr="006C40C1">
        <w:t xml:space="preserve">kontoret. Starka skäl talar för att kostnaderna under uppbyggnadsskedet bör spridas över minst en tioårsperiod för att inte oproportionerligt belasta någon enstaka årgång premiepensionssparare. </w:t>
      </w:r>
    </w:p>
    <w:p w:rsidR="00AA5D77" w:rsidRPr="006C40C1" w:rsidRDefault="00AA5D77">
      <w:pPr>
        <w:pStyle w:val="Normaltindrag"/>
      </w:pPr>
      <w:r w:rsidRPr="006C40C1">
        <w:t>Premiesparfondens marknadsvärde uppgick vid halvårsskiftet till 21,2 miljarder kronor och är den helt dominerande delen av Sjunde AP-fondens förvaltade kapital. Förvaltningsavgiften uppgår, efter beaktande av PPM:s rabattsystem, till 0,17 % varav 0,09 % beräknas avgå för att täcka rörliga förvaltningskostnader. Åte</w:t>
      </w:r>
      <w:r w:rsidRPr="006C40C1">
        <w:t>rstående 0,08 % skall täcka fasta kostnader. Berä</w:t>
      </w:r>
      <w:r w:rsidRPr="006C40C1">
        <w:t>k</w:t>
      </w:r>
      <w:r w:rsidRPr="006C40C1">
        <w:t>ningar som beaktar fjolårets börsnedgång och antaganden om in- och utflöden i Premiesparfonden, förväntad avkastning samt kostnadsutveckling visar att Sjunde AP-fonden kommer att redovisa successivt förbättrade resultat. Årsr</w:t>
      </w:r>
      <w:r w:rsidRPr="006C40C1">
        <w:t>e</w:t>
      </w:r>
      <w:r w:rsidRPr="006C40C1">
        <w:t>sultaten förväntas dock förbli negativa fram till och med år 2009. Det bala</w:t>
      </w:r>
      <w:r w:rsidRPr="006C40C1">
        <w:t>n</w:t>
      </w:r>
      <w:r w:rsidRPr="006C40C1">
        <w:t>serade underskottet beräknas vara eliminerat efter ytterligare cirka sju år.</w:t>
      </w:r>
    </w:p>
    <w:p w:rsidR="00AA5D77" w:rsidRPr="006C40C1" w:rsidRDefault="00AA5D77">
      <w:pPr>
        <w:pStyle w:val="Normaltindrag"/>
      </w:pPr>
      <w:r w:rsidRPr="006C40C1">
        <w:t>För 2002 disponerar Sjunde AP-fonden dels ett räntekonto med kredit på högst 90 mil</w:t>
      </w:r>
      <w:r w:rsidRPr="006C40C1">
        <w:t>joner kronor, dels ett lån på högst 15 miljoner kronor för finans</w:t>
      </w:r>
      <w:r w:rsidRPr="006C40C1">
        <w:t>i</w:t>
      </w:r>
      <w:r w:rsidRPr="006C40C1">
        <w:t>ering av anläggningstillgångar. Vid utgången av 2003 beräknas det balanser</w:t>
      </w:r>
      <w:r w:rsidRPr="006C40C1">
        <w:t>a</w:t>
      </w:r>
      <w:r w:rsidRPr="006C40C1">
        <w:t>de underskottet uppgå till ca 135 miljoner. Mot denna bakgrund föreslår regeringen att kreditramen 2003 uppgår till 150 miljoner kronor och att lån</w:t>
      </w:r>
      <w:r w:rsidRPr="006C40C1">
        <w:t>e</w:t>
      </w:r>
      <w:r w:rsidRPr="006C40C1">
        <w:t>ramen även fortsatt uppgår till 15 miljoner kronor.</w:t>
      </w:r>
    </w:p>
    <w:p w:rsidR="00AA5D77" w:rsidRPr="006C40C1" w:rsidRDefault="00AA5D77">
      <w:pPr>
        <w:pStyle w:val="R4"/>
      </w:pPr>
      <w:bookmarkStart w:id="715" w:name="_Toc498763677"/>
      <w:bookmarkStart w:id="716" w:name="_Toc498910846"/>
      <w:bookmarkStart w:id="717" w:name="_Toc530281663"/>
      <w:bookmarkStart w:id="718" w:name="_Toc530479540"/>
      <w:r w:rsidRPr="006C40C1">
        <w:t>Finansutskottets ställningstagande</w:t>
      </w:r>
      <w:bookmarkEnd w:id="715"/>
      <w:bookmarkEnd w:id="716"/>
      <w:bookmarkEnd w:id="717"/>
      <w:bookmarkEnd w:id="718"/>
    </w:p>
    <w:p w:rsidR="00AA5D77" w:rsidRPr="006C40C1" w:rsidRDefault="00AA5D77">
      <w:r w:rsidRPr="006C40C1">
        <w:t>Utskottet tillstyrker regeringens förslag (yrkande 14).</w:t>
      </w:r>
    </w:p>
    <w:p w:rsidR="00AA5D77" w:rsidRPr="006C40C1" w:rsidRDefault="00AA5D77">
      <w:pPr>
        <w:pStyle w:val="Rubrik2"/>
      </w:pPr>
      <w:bookmarkStart w:id="719" w:name="_Toc498157154"/>
      <w:bookmarkStart w:id="720" w:name="_Toc498910847"/>
      <w:bookmarkStart w:id="721" w:name="_Toc529614353"/>
      <w:bookmarkStart w:id="722" w:name="_Toc530479541"/>
      <w:bookmarkStart w:id="723" w:name="_Toc25397651"/>
      <w:bookmarkStart w:id="724" w:name="_Toc26191593"/>
      <w:r w:rsidRPr="006C40C1">
        <w:t>4.5 Bemyndigande för ramanslag</w:t>
      </w:r>
      <w:bookmarkEnd w:id="719"/>
      <w:bookmarkEnd w:id="720"/>
      <w:bookmarkEnd w:id="721"/>
      <w:bookmarkEnd w:id="722"/>
      <w:bookmarkEnd w:id="723"/>
      <w:bookmarkEnd w:id="724"/>
    </w:p>
    <w:p w:rsidR="00AA5D77" w:rsidRPr="006C40C1" w:rsidRDefault="00AA5D77">
      <w:pPr>
        <w:pStyle w:val="Utskottsfrslagikorthet-Rubrik"/>
        <w:outlineLvl w:val="0"/>
        <w:rPr>
          <w:noProof w:val="0"/>
        </w:rPr>
      </w:pPr>
      <w:r w:rsidRPr="006C40C1">
        <w:rPr>
          <w:noProof w:val="0"/>
        </w:rPr>
        <w:t>Utskottets förslag i korthet</w:t>
      </w:r>
    </w:p>
    <w:p w:rsidR="00AA5D77" w:rsidRPr="006C40C1" w:rsidRDefault="00AA5D77">
      <w:pPr>
        <w:pStyle w:val="Utskottsfrslagikorthet-Text"/>
      </w:pPr>
      <w:r w:rsidRPr="006C40C1">
        <w:t>Regeringen får ett bemyndigande att under budgetåret 2003 besluta att ett ramanslag som inte avser förvaltningsändamål får överskr</w:t>
      </w:r>
      <w:r w:rsidRPr="006C40C1">
        <w:t>i</w:t>
      </w:r>
      <w:r w:rsidRPr="006C40C1">
        <w:t>das om vissa villkor är uppfyllda. Utskottet tillstyrker därmed r</w:t>
      </w:r>
      <w:r w:rsidRPr="006C40C1">
        <w:t>e</w:t>
      </w:r>
      <w:r w:rsidRPr="006C40C1">
        <w:t>geringens förslag (yrkande 15).</w:t>
      </w:r>
    </w:p>
    <w:p w:rsidR="00AA5D77" w:rsidRPr="006C40C1" w:rsidRDefault="00AA5D77">
      <w:pPr>
        <w:pStyle w:val="R4"/>
      </w:pPr>
      <w:bookmarkStart w:id="725" w:name="_Toc498763679"/>
      <w:bookmarkStart w:id="726" w:name="_Toc498910848"/>
      <w:bookmarkStart w:id="727" w:name="_Toc530281665"/>
      <w:bookmarkStart w:id="728" w:name="_Toc530479542"/>
      <w:r w:rsidRPr="006C40C1">
        <w:t>Budgetpropositionen</w:t>
      </w:r>
      <w:bookmarkEnd w:id="725"/>
      <w:bookmarkEnd w:id="726"/>
      <w:bookmarkEnd w:id="727"/>
      <w:bookmarkEnd w:id="728"/>
    </w:p>
    <w:p w:rsidR="00AA5D77" w:rsidRPr="006C40C1" w:rsidRDefault="00AA5D77">
      <w:r w:rsidRPr="006C40C1">
        <w:t>Enligt 6 § andra stycket lagen (1996:1059) om statsbudgeten får regeringen med riksdagens bemyndigande besluta att ett ramanslag får överskridas, om detta är nödvändigt för att i en verksamhet täcka särskilda utgifter som inte var kända då anslaget anvisades eller för att ett av riksdagen beslutat ändamål med anslaget skall kunna up</w:t>
      </w:r>
      <w:r w:rsidRPr="006C40C1">
        <w:t>p</w:t>
      </w:r>
      <w:r w:rsidRPr="006C40C1">
        <w:t>fyllas.</w:t>
      </w:r>
    </w:p>
    <w:p w:rsidR="00AA5D77" w:rsidRPr="006C40C1" w:rsidRDefault="00AA5D77">
      <w:pPr>
        <w:pStyle w:val="Normaltindrag"/>
      </w:pPr>
      <w:r w:rsidRPr="006C40C1">
        <w:t>Regeringen begär i budgetpropositionens volym 1 (avsnitt 7.4) att den b</w:t>
      </w:r>
      <w:r w:rsidRPr="006C40C1">
        <w:t>e</w:t>
      </w:r>
      <w:r w:rsidRPr="006C40C1">
        <w:t>myndigas att under budgetåret 2003 få besluta att ett ramanslag som inte avser förvaltningsänd</w:t>
      </w:r>
      <w:r w:rsidRPr="006C40C1">
        <w:t>a</w:t>
      </w:r>
      <w:r w:rsidRPr="006C40C1">
        <w:t>mål får överskridas om:</w:t>
      </w:r>
    </w:p>
    <w:p w:rsidR="00AA5D77" w:rsidRPr="006C40C1" w:rsidRDefault="00AA5D77">
      <w:pPr>
        <w:pStyle w:val="Normaltindrag"/>
        <w:ind w:firstLine="0"/>
      </w:pPr>
      <w:r w:rsidRPr="006C40C1">
        <w:t>1. ett riksdagsbeslut om anslag på tilläggsbudget inte hinner invä</w:t>
      </w:r>
      <w:r w:rsidRPr="006C40C1">
        <w:t>n</w:t>
      </w:r>
      <w:r w:rsidRPr="006C40C1">
        <w:t>tas, samt</w:t>
      </w:r>
    </w:p>
    <w:p w:rsidR="00AA5D77" w:rsidRPr="006C40C1" w:rsidRDefault="00AA5D77">
      <w:pPr>
        <w:pStyle w:val="Normaltindrag"/>
        <w:ind w:firstLine="0"/>
      </w:pPr>
      <w:r w:rsidRPr="006C40C1">
        <w:t>2. överskridandet ryms inom det fastställda utgiftstaket för staten.</w:t>
      </w:r>
    </w:p>
    <w:p w:rsidR="00AA5D77" w:rsidRPr="006C40C1" w:rsidRDefault="00AA5D77">
      <w:pPr>
        <w:pStyle w:val="Deltagare"/>
        <w:keepLines w:val="0"/>
        <w:spacing w:before="62" w:line="250" w:lineRule="atLeast"/>
        <w:rPr>
          <w:noProof w:val="0"/>
        </w:rPr>
      </w:pPr>
    </w:p>
    <w:p w:rsidR="00AA5D77" w:rsidRPr="006C40C1" w:rsidRDefault="00AA5D77">
      <w:r w:rsidRPr="006C40C1">
        <w:t>Enligt regeringens bedömning kan oundvikliga utgiftsökningar i förhållande till anvisade medel för de flesta ramanslag rymmas inom den högsta tillåtna anslagskrediten på 10 %. Något särskilt bemyndigande som ger regeringen befogenhet att besluta om överskridande av ramanslag som anvisats för fö</w:t>
      </w:r>
      <w:r w:rsidRPr="006C40C1">
        <w:t>r</w:t>
      </w:r>
      <w:r w:rsidRPr="006C40C1">
        <w:t>valtningsändamål anser regeringen inte behöver inhämtas. Vid behov kommer ytterligare medel att begäras på tilläggsbudget.</w:t>
      </w:r>
    </w:p>
    <w:p w:rsidR="00AA5D77" w:rsidRPr="006C40C1" w:rsidRDefault="00AA5D77">
      <w:pPr>
        <w:pStyle w:val="Normaltindrag"/>
      </w:pPr>
      <w:r w:rsidRPr="006C40C1">
        <w:t>När det gäller ramanslag som anvisats för regelstyrd verksamhet, icke p</w:t>
      </w:r>
      <w:r w:rsidRPr="006C40C1">
        <w:t>å</w:t>
      </w:r>
      <w:r w:rsidRPr="006C40C1">
        <w:t>verkbara EU-relaterade utgifter, infriande av garantier samt oförutsedda u</w:t>
      </w:r>
      <w:r w:rsidRPr="006C40C1">
        <w:t>t</w:t>
      </w:r>
      <w:r w:rsidRPr="006C40C1">
        <w:t>gifter kan så stora förändringar inträffa att utgifterna inte ryms inom den högsta tillåtna anslagskrediten. Regeringen avser i sådana fall att i första hand återkomma till riksdagen med förslag om anslag på tilläggsbudget. Förän</w:t>
      </w:r>
      <w:r w:rsidRPr="006C40C1">
        <w:t>d</w:t>
      </w:r>
      <w:r w:rsidRPr="006C40C1">
        <w:t>ringarna kan dock inträffa snabbt och betalningarna kan behöva göras utan dröjsmål. Om anslag på tilläggsbudget inte hinner anvisas bör regeringen bemyndigas att besluta om överskridande när de förutsättnin</w:t>
      </w:r>
      <w:r w:rsidRPr="006C40C1">
        <w:t>gar som anges i 6 § andra stycket är uppfyllda. Överskridandet får inte vara större än att det ryms inom det fastställda utgiftst</w:t>
      </w:r>
      <w:r w:rsidRPr="006C40C1">
        <w:t>a</w:t>
      </w:r>
      <w:r w:rsidRPr="006C40C1">
        <w:t xml:space="preserve">ket för staten. </w:t>
      </w:r>
    </w:p>
    <w:p w:rsidR="00AA5D77" w:rsidRPr="006C40C1" w:rsidRDefault="00AA5D77">
      <w:pPr>
        <w:pStyle w:val="Normaltindrag"/>
      </w:pPr>
      <w:r w:rsidRPr="006C40C1">
        <w:t>Regeringen understryker att bemyndigandet begärs för ett budgetår i sä</w:t>
      </w:r>
      <w:r w:rsidRPr="006C40C1">
        <w:t>n</w:t>
      </w:r>
      <w:r w:rsidRPr="006C40C1">
        <w:t>der och att avsikten även fortsättningsvis är att på tilläggsbudget föreslå fö</w:t>
      </w:r>
      <w:r w:rsidRPr="006C40C1">
        <w:t>r</w:t>
      </w:r>
      <w:r w:rsidRPr="006C40C1">
        <w:t xml:space="preserve">ändringar av berörda anslag som ersätter det medgivna överskridandet. I Årsredovisning för staten 2001 (skr. 2001/02:101, s. 67 och 68) lämnades en redovisning för vilka anslag som regeringen medgivit överskridande under 2001. Innevarande år har regeringen medgivit överskridanden av följande anslag: Utgiftsområde 8, 12:2 </w:t>
      </w:r>
      <w:r w:rsidRPr="006C40C1">
        <w:rPr>
          <w:i/>
        </w:rPr>
        <w:t>Mottagande av asylsökande</w:t>
      </w:r>
      <w:r w:rsidRPr="006C40C1">
        <w:t xml:space="preserve"> och 12:5 </w:t>
      </w:r>
      <w:r w:rsidRPr="006C40C1">
        <w:rPr>
          <w:i/>
        </w:rPr>
        <w:t>Offentligt biträde i utlänningsärenden</w:t>
      </w:r>
      <w:r w:rsidRPr="006C40C1">
        <w:t>. Ett eventuellt utnyttjande av bemy</w:t>
      </w:r>
      <w:r w:rsidRPr="006C40C1">
        <w:t>ndigandet senare i år kommer att redovisas i Årsredovisning för staten 2002 som inn</w:t>
      </w:r>
      <w:r w:rsidRPr="006C40C1">
        <w:t>e</w:t>
      </w:r>
      <w:r w:rsidRPr="006C40C1">
        <w:t>håller en samlad redog</w:t>
      </w:r>
      <w:r w:rsidRPr="006C40C1">
        <w:t>ö</w:t>
      </w:r>
      <w:r w:rsidRPr="006C40C1">
        <w:t>relse för hela året.</w:t>
      </w:r>
    </w:p>
    <w:p w:rsidR="00AA5D77" w:rsidRPr="006C40C1" w:rsidRDefault="00AA5D77">
      <w:pPr>
        <w:pStyle w:val="R4"/>
      </w:pPr>
      <w:bookmarkStart w:id="729" w:name="_Toc498763680"/>
      <w:bookmarkStart w:id="730" w:name="_Toc498910849"/>
      <w:bookmarkStart w:id="731" w:name="_Toc530281666"/>
      <w:bookmarkStart w:id="732" w:name="_Toc530479543"/>
      <w:r w:rsidRPr="006C40C1">
        <w:t>Finansutskottets ställningstagande</w:t>
      </w:r>
      <w:bookmarkEnd w:id="729"/>
      <w:bookmarkEnd w:id="730"/>
      <w:bookmarkEnd w:id="731"/>
      <w:bookmarkEnd w:id="732"/>
    </w:p>
    <w:p w:rsidR="00AA5D77" w:rsidRPr="006C40C1" w:rsidRDefault="00AA5D77">
      <w:r w:rsidRPr="006C40C1">
        <w:t>Utskottet utgår från att eventuellt ytterligare utnyttjande av bemyndigandet senare i år endast sker i begränsad omfattning och att regeringen även for</w:t>
      </w:r>
      <w:r w:rsidRPr="006C40C1">
        <w:t>t</w:t>
      </w:r>
      <w:r w:rsidRPr="006C40C1">
        <w:t>sättningsvis för riksdagen redovisar hur bemyndigandet utnyttjats samt hur detta har f</w:t>
      </w:r>
      <w:r w:rsidRPr="006C40C1">
        <w:t>i</w:t>
      </w:r>
      <w:r w:rsidRPr="006C40C1">
        <w:t>nansierats.</w:t>
      </w:r>
    </w:p>
    <w:p w:rsidR="00AA5D77" w:rsidRPr="006C40C1" w:rsidRDefault="00AA5D77">
      <w:pPr>
        <w:pStyle w:val="Normaltindrag"/>
      </w:pPr>
      <w:r w:rsidRPr="006C40C1">
        <w:t>Med detta tillstyrker utskottet regeringens förslag i finansplanen till b</w:t>
      </w:r>
      <w:r w:rsidRPr="006C40C1">
        <w:t>e</w:t>
      </w:r>
      <w:r w:rsidRPr="006C40C1">
        <w:t>mynd</w:t>
      </w:r>
      <w:r w:rsidRPr="006C40C1">
        <w:t>i</w:t>
      </w:r>
      <w:r w:rsidRPr="006C40C1">
        <w:t>gande för ramanslag (yrkande15).</w:t>
      </w:r>
    </w:p>
    <w:p w:rsidR="00AA5D77" w:rsidRPr="006C40C1" w:rsidRDefault="00AA5D77">
      <w:pPr>
        <w:pStyle w:val="Rubrik2"/>
        <w:spacing w:before="375"/>
      </w:pPr>
      <w:bookmarkStart w:id="733" w:name="_Toc25397652"/>
      <w:bookmarkStart w:id="734" w:name="_Toc26191594"/>
      <w:r w:rsidRPr="006C40C1">
        <w:t>4.6 Statliga myndigheters hantering av mervärdesskatt</w:t>
      </w:r>
      <w:bookmarkEnd w:id="733"/>
      <w:bookmarkEnd w:id="734"/>
    </w:p>
    <w:p w:rsidR="00AA5D77" w:rsidRPr="006C40C1" w:rsidRDefault="00AA5D77">
      <w:pPr>
        <w:pStyle w:val="R4"/>
        <w:spacing w:before="125"/>
      </w:pPr>
      <w:r w:rsidRPr="006C40C1">
        <w:t>Budgetpropositionen</w:t>
      </w:r>
    </w:p>
    <w:p w:rsidR="00AA5D77" w:rsidRPr="006C40C1" w:rsidRDefault="00AA5D77">
      <w:r w:rsidRPr="006C40C1">
        <w:t>Regeringen gör i propositionen (avsnitt 7.5) bedömningen att reglerna för myndigheternas hantering av ingående mervärdesskatt bör förtydligas genom att tillämpningsområdet och kompensationsrätten preciseras. De förändringar som red</w:t>
      </w:r>
      <w:r w:rsidRPr="006C40C1">
        <w:t>o</w:t>
      </w:r>
      <w:r w:rsidRPr="006C40C1">
        <w:t>visas förutsätter inget beslut av riksdagen.</w:t>
      </w:r>
    </w:p>
    <w:p w:rsidR="00AA5D77" w:rsidRPr="006C40C1" w:rsidRDefault="00AA5D77">
      <w:pPr>
        <w:pStyle w:val="Normaltindrag"/>
      </w:pPr>
      <w:r w:rsidRPr="006C40C1">
        <w:t>Budgetåret 1991/92 infördes ett kompensationssystem för de statliga my</w:t>
      </w:r>
      <w:r w:rsidRPr="006C40C1">
        <w:t>n</w:t>
      </w:r>
      <w:r w:rsidRPr="006C40C1">
        <w:t>digheternas ingående mervärdesskatt. Syftet var främst att uppnå konkurren</w:t>
      </w:r>
      <w:r w:rsidRPr="006C40C1">
        <w:t>s</w:t>
      </w:r>
      <w:r w:rsidRPr="006C40C1">
        <w:t>n</w:t>
      </w:r>
      <w:r w:rsidRPr="006C40C1">
        <w:t>e</w:t>
      </w:r>
      <w:r w:rsidRPr="006C40C1">
        <w:t>utralitet mellan verksamhet i egen regi och upphandling utanför staten.</w:t>
      </w:r>
    </w:p>
    <w:p w:rsidR="00AA5D77" w:rsidRPr="006C40C1" w:rsidRDefault="00AA5D77">
      <w:pPr>
        <w:pStyle w:val="Normaltindrag"/>
      </w:pPr>
      <w:r w:rsidRPr="006C40C1">
        <w:t>Kompensationssystemet innebär att myndigheternas anslag och avgifter beräknas utan att eventuella utgifter för ingående mervärdesskatt beaktas. Myndigheterna rekvirerar i stället medel från Riksskatteverket motsvarande det belopp som bokförts som ingående mervärdesskatt. Ersättningen, som avräknas mot statsbudgetens inkomstsida, erhålls för all ingående mervär</w:t>
      </w:r>
      <w:r w:rsidRPr="006C40C1">
        <w:t>de</w:t>
      </w:r>
      <w:r w:rsidRPr="006C40C1">
        <w:t>s</w:t>
      </w:r>
      <w:r w:rsidRPr="006C40C1">
        <w:t>skatt som myndi</w:t>
      </w:r>
      <w:r w:rsidRPr="006C40C1">
        <w:t>g</w:t>
      </w:r>
      <w:r w:rsidRPr="006C40C1">
        <w:t xml:space="preserve">heterna redovisar oavsett finansieringskälla. </w:t>
      </w:r>
    </w:p>
    <w:p w:rsidR="00AA5D77" w:rsidRPr="006C40C1" w:rsidRDefault="00AA5D77">
      <w:pPr>
        <w:pStyle w:val="Normaltindrag"/>
      </w:pPr>
      <w:r w:rsidRPr="006C40C1">
        <w:t>Undantag finns för vissa myndigheter med omfattande finansiering genom externa bidrag inom universitets- och högskoleområdet liksom vissa kulturi</w:t>
      </w:r>
      <w:r w:rsidRPr="006C40C1">
        <w:t>n</w:t>
      </w:r>
      <w:r w:rsidRPr="006C40C1">
        <w:t>stitutioner. Dessa ska för att inte bli överkompenserade i systemet, leverera in 8 % av de inkomster de får från externa bidragsgivare.</w:t>
      </w:r>
    </w:p>
    <w:p w:rsidR="00AA5D77" w:rsidRPr="006C40C1" w:rsidRDefault="00AA5D77">
      <w:pPr>
        <w:pStyle w:val="Normaltindrag"/>
      </w:pPr>
      <w:r w:rsidRPr="006C40C1">
        <w:t xml:space="preserve">Ekonomistyrningsverket har på regeringens uppdrag gjort en översyn av systemet för hantering av myndigheters ingående mervärdesskatt. Uppdraget har också remissbehandlats. </w:t>
      </w:r>
    </w:p>
    <w:p w:rsidR="00AA5D77" w:rsidRPr="006C40C1" w:rsidRDefault="00AA5D77">
      <w:pPr>
        <w:pStyle w:val="Normaltindrag"/>
      </w:pPr>
      <w:r w:rsidRPr="006C40C1">
        <w:t>De förändringar regeringen nu avser genomföra fr.o.m. den 1 januari 2003 syftar till att förtydliga reglerna om myndigheters hantering av ingående mervärdesskatt på flera punkter, bl.a. kommer förordningens tillämpningso</w:t>
      </w:r>
      <w:r w:rsidRPr="006C40C1">
        <w:t>m</w:t>
      </w:r>
      <w:r w:rsidRPr="006C40C1">
        <w:t>råde att preciseras. Myndigheter som inte ska omfattas av kompensationsrä</w:t>
      </w:r>
      <w:r w:rsidRPr="006C40C1">
        <w:t>t</w:t>
      </w:r>
      <w:r w:rsidRPr="006C40C1">
        <w:t>ten för ingående mervärdesskatt är sådana som bedriver verksamhet i konku</w:t>
      </w:r>
      <w:r w:rsidRPr="006C40C1">
        <w:t>r</w:t>
      </w:r>
      <w:r w:rsidRPr="006C40C1">
        <w:t>rens med privata företag vars verksamhet inte ger rätt till avdrag eller återb</w:t>
      </w:r>
      <w:r w:rsidRPr="006C40C1">
        <w:t>e</w:t>
      </w:r>
      <w:r w:rsidRPr="006C40C1">
        <w:t>talning av mervärdesskatt enligt mervärdesskattelagen (1994:200). Vidare förtydligas att förordningen inte heller ger rätt till kompensation för bara en del av en myndighets verksamhet. För att skapa incitament att återbetala felaktigt utbetald kompensation för ingående mervärdesskat</w:t>
      </w:r>
      <w:r w:rsidRPr="006C40C1">
        <w:t>t så snabbt som möjligt införs en bestämmelse om att återbetalning ska göras inklus</w:t>
      </w:r>
      <w:r w:rsidRPr="006C40C1">
        <w:t>i</w:t>
      </w:r>
      <w:r w:rsidRPr="006C40C1">
        <w:t>ve ränta.</w:t>
      </w:r>
    </w:p>
    <w:p w:rsidR="00AA5D77" w:rsidRPr="006C40C1" w:rsidRDefault="00AA5D77">
      <w:pPr>
        <w:pStyle w:val="Normaltindrag"/>
      </w:pPr>
      <w:r w:rsidRPr="006C40C1">
        <w:t xml:space="preserve">Den skyldighet som nu finns för vissa myndigheter att inbetala 8 % av ett externt bidrag kommer att utvidgas till att omfatta samtliga myndigheter. För att undvika en för omfattande administration fastställs en miniminivå för när </w:t>
      </w:r>
      <w:r w:rsidRPr="006C40C1">
        <w:rPr>
          <w:spacing w:val="-2"/>
        </w:rPr>
        <w:t>bestämmelsen ska tillämpas. I normalfallet bör endast myndigheter som årligen mottar mer än 5 miljoner kronor i externa bidrag omfattas av bestämme</w:t>
      </w:r>
      <w:r w:rsidRPr="006C40C1">
        <w:rPr>
          <w:spacing w:val="-2"/>
        </w:rPr>
        <w:t>l</w:t>
      </w:r>
      <w:r w:rsidRPr="006C40C1">
        <w:rPr>
          <w:spacing w:val="-2"/>
        </w:rPr>
        <w:t>sen.</w:t>
      </w:r>
      <w:r w:rsidRPr="006C40C1">
        <w:t xml:space="preserve"> </w:t>
      </w:r>
    </w:p>
    <w:p w:rsidR="00AA5D77" w:rsidRPr="006C40C1" w:rsidRDefault="00AA5D77">
      <w:pPr>
        <w:pStyle w:val="Normaltindrag"/>
      </w:pPr>
      <w:r w:rsidRPr="006C40C1">
        <w:t xml:space="preserve">Resultatet av förändringarna väntas bl.a. bli att färre myndigheter än nu omfattas av kravet på inbetalning. Regeringen bedömer också att den kostnad som överkompensationen i det nuvarande regelsystemet orsakar om ca 90 miljoner kronor om året kan minskas betydligt. </w:t>
      </w:r>
    </w:p>
    <w:p w:rsidR="00AA5D77" w:rsidRPr="006C40C1" w:rsidRDefault="00AA5D77">
      <w:pPr>
        <w:pStyle w:val="R4"/>
      </w:pPr>
      <w:r w:rsidRPr="006C40C1">
        <w:t>Finansutskottets ställningstagande</w:t>
      </w:r>
    </w:p>
    <w:p w:rsidR="00AA5D77" w:rsidRPr="006C40C1" w:rsidRDefault="00AA5D77">
      <w:r w:rsidRPr="006C40C1">
        <w:t>Utskottet anser att de planerade förändringarna medför flera fördelar jämfört med nuvarande system för kompensation för ingående mervärdesskatt. U</w:t>
      </w:r>
      <w:r w:rsidRPr="006C40C1">
        <w:t>t</w:t>
      </w:r>
      <w:r w:rsidRPr="006C40C1">
        <w:t>skottet bedömer att den förändrade ordning som regeringen redovisar är bättre anpassad till en situation där alltfler myndigheter får en allt större del av sina inkomster i form av externa bidrag. Samtidigt undviks, genom miniminivån för när regelverket ska tillämpas, en alltför omfattande administration. U</w:t>
      </w:r>
      <w:r w:rsidRPr="006C40C1">
        <w:t>t</w:t>
      </w:r>
      <w:r w:rsidRPr="006C40C1">
        <w:t>skottet bedömer också att det är en rimlig ordning att återbetalning av fela</w:t>
      </w:r>
      <w:r w:rsidRPr="006C40C1">
        <w:t>k</w:t>
      </w:r>
      <w:r w:rsidRPr="006C40C1">
        <w:t>tigt utbetald kompensation ska göras inklusive ränta.</w:t>
      </w:r>
    </w:p>
    <w:p w:rsidR="00AA5D77" w:rsidRPr="006C40C1" w:rsidRDefault="00AA5D77">
      <w:bookmarkStart w:id="735" w:name="_Toc25397653"/>
    </w:p>
    <w:p w:rsidR="00AA5D77" w:rsidRPr="006C40C1" w:rsidRDefault="00AA5D77">
      <w:pPr>
        <w:pStyle w:val="Rubrik1"/>
        <w:spacing w:after="0"/>
        <w:rPr>
          <w:noProof w:val="0"/>
        </w:rPr>
        <w:sectPr w:rsidR="00000000" w:rsidRPr="006C40C1">
          <w:headerReference w:type="even" r:id="rId145"/>
          <w:headerReference w:type="default" r:id="rId146"/>
          <w:footerReference w:type="even" r:id="rId147"/>
          <w:footerReference w:type="default" r:id="rId148"/>
          <w:headerReference w:type="first" r:id="rId149"/>
          <w:footerReference w:type="first" r:id="rId150"/>
          <w:pgSz w:w="11906" w:h="16838" w:code="9"/>
          <w:pgMar w:top="850" w:right="4649" w:bottom="4507" w:left="1304" w:header="340" w:footer="227" w:gutter="0"/>
          <w:cols w:space="720"/>
          <w:titlePg/>
        </w:sectPr>
      </w:pPr>
    </w:p>
    <w:p w:rsidR="00AA5D77" w:rsidRPr="006C40C1" w:rsidRDefault="00AA5D77">
      <w:pPr>
        <w:pStyle w:val="Rubrik1"/>
        <w:spacing w:after="0"/>
        <w:rPr>
          <w:noProof w:val="0"/>
        </w:rPr>
      </w:pPr>
      <w:bookmarkStart w:id="736" w:name="_Toc26191595"/>
      <w:r w:rsidRPr="006C40C1">
        <w:rPr>
          <w:noProof w:val="0"/>
        </w:rPr>
        <w:t>5 Övriga frågor</w:t>
      </w:r>
      <w:bookmarkEnd w:id="735"/>
      <w:bookmarkEnd w:id="736"/>
    </w:p>
    <w:p w:rsidR="00AA5D77" w:rsidRPr="006C40C1" w:rsidRDefault="00AA5D77">
      <w:pPr>
        <w:pStyle w:val="Rubrik2"/>
        <w:spacing w:before="250"/>
      </w:pPr>
      <w:bookmarkStart w:id="737" w:name="_Toc25397654"/>
      <w:bookmarkStart w:id="738" w:name="_Toc26191596"/>
      <w:r w:rsidRPr="006C40C1">
        <w:t>5.1 Försäljning av statliga tillgångar</w:t>
      </w:r>
      <w:bookmarkEnd w:id="737"/>
      <w:bookmarkEnd w:id="738"/>
      <w:r w:rsidRPr="006C40C1">
        <w:t xml:space="preserve"> </w:t>
      </w:r>
    </w:p>
    <w:p w:rsidR="00AA5D77" w:rsidRPr="006C40C1" w:rsidRDefault="00AA5D77">
      <w:pPr>
        <w:pStyle w:val="Utskottsfrslagikorthet-Rubrik"/>
        <w:rPr>
          <w:noProof w:val="0"/>
        </w:rPr>
      </w:pPr>
      <w:r w:rsidRPr="006C40C1">
        <w:rPr>
          <w:noProof w:val="0"/>
        </w:rPr>
        <w:t>Utskottets förslag i korthet</w:t>
      </w:r>
    </w:p>
    <w:p w:rsidR="00AA5D77" w:rsidRPr="006C40C1" w:rsidRDefault="00AA5D77">
      <w:pPr>
        <w:pStyle w:val="Utskottsfrslagikorthet-Text"/>
      </w:pPr>
      <w:r w:rsidRPr="006C40C1">
        <w:t>Utskottet föreslår att riksdagen avslår motioner om att sälja dels SBAB och Vasakronan AB, dels statliga företag i allmänhet.</w:t>
      </w:r>
    </w:p>
    <w:p w:rsidR="00AA5D77" w:rsidRPr="006C40C1" w:rsidRDefault="00AA5D77">
      <w:pPr>
        <w:pStyle w:val="Utskottsfrslagikorthet-Text"/>
      </w:pPr>
      <w:r w:rsidRPr="006C40C1">
        <w:t>Jämför reservation 16 (m, fp, kd, c).</w:t>
      </w:r>
    </w:p>
    <w:p w:rsidR="00AA5D77" w:rsidRPr="006C40C1" w:rsidRDefault="00AA5D77">
      <w:pPr>
        <w:pStyle w:val="R4"/>
      </w:pPr>
      <w:r w:rsidRPr="006C40C1">
        <w:t>Motionen</w:t>
      </w:r>
    </w:p>
    <w:p w:rsidR="00AA5D77" w:rsidRPr="006C40C1" w:rsidRDefault="00AA5D77">
      <w:r w:rsidRPr="006C40C1">
        <w:t xml:space="preserve">I </w:t>
      </w:r>
      <w:r w:rsidRPr="006C40C1">
        <w:rPr>
          <w:i/>
        </w:rPr>
        <w:t>motion Fi210</w:t>
      </w:r>
      <w:r w:rsidRPr="006C40C1">
        <w:t xml:space="preserve"> av Fredrik Reinfeldt m.fl. (m) föreslås att staten ska avyttra sitt aktieinnehav i bolagen SBAB och Vasakronan AB. Motionärerna anser att staten inte ska vara ägare av företag som bedriver affärsmässig verksamhet, särskilt inte på konkurrensutsatta marknader. Båda bolagen har lämnat sina tidigare huvudsakliga verksamheter och agerar nu i konkurrens med privata aktörer. Därtill kan försäljningsintäkten användas för att exempelvis minska statsskulden.</w:t>
      </w:r>
    </w:p>
    <w:p w:rsidR="00AA5D77" w:rsidRPr="006C40C1" w:rsidRDefault="00AA5D77">
      <w:pPr>
        <w:pStyle w:val="Normaltindrag"/>
      </w:pPr>
      <w:r w:rsidRPr="006C40C1">
        <w:t>I</w:t>
      </w:r>
      <w:r w:rsidRPr="006C40C1">
        <w:rPr>
          <w:i/>
        </w:rPr>
        <w:t xml:space="preserve"> motion Fi232</w:t>
      </w:r>
      <w:r w:rsidRPr="006C40C1">
        <w:t xml:space="preserve"> av Lars Leijonborg m.fl. (fp), yrkande 24, föreslås att h</w:t>
      </w:r>
      <w:r w:rsidRPr="006C40C1">
        <w:t>u</w:t>
      </w:r>
      <w:r w:rsidRPr="006C40C1">
        <w:t xml:space="preserve">vuddelen av de statliga bolagen ska säljas ut. Motiven är de samma som för de moderata motionärerna. De bolag som i motionen nämns som aktuella att sälja är AB Vin och Sprit, Nordea, Vasakronan och Vattenfall. </w:t>
      </w:r>
    </w:p>
    <w:p w:rsidR="00AA5D77" w:rsidRPr="006C40C1" w:rsidRDefault="00AA5D77">
      <w:pPr>
        <w:pStyle w:val="Normaltindrag"/>
      </w:pPr>
      <w:r w:rsidRPr="006C40C1">
        <w:t xml:space="preserve">I </w:t>
      </w:r>
      <w:r w:rsidRPr="006C40C1">
        <w:rPr>
          <w:i/>
        </w:rPr>
        <w:t>motion Fi234</w:t>
      </w:r>
      <w:r w:rsidRPr="006C40C1">
        <w:t xml:space="preserve"> av Maud Olofsson m.fl. (c), yrkande 13, föreslås att statens ägande i börsföretag bör avvecklas. De bolag som i motionen nämns som aktuella att sälja är Telia och AB Vin och Sprit.</w:t>
      </w:r>
    </w:p>
    <w:p w:rsidR="00AA5D77" w:rsidRPr="006C40C1" w:rsidRDefault="00AA5D77">
      <w:pPr>
        <w:pStyle w:val="R4"/>
      </w:pPr>
      <w:r w:rsidRPr="006C40C1">
        <w:t>Utskottets ställningstagande</w:t>
      </w:r>
    </w:p>
    <w:p w:rsidR="00AA5D77" w:rsidRPr="006C40C1" w:rsidRDefault="00AA5D77">
      <w:r w:rsidRPr="006C40C1">
        <w:t>Såväl finansutskottet som näringsutskottet har återkommande behandlat fr</w:t>
      </w:r>
      <w:r w:rsidRPr="006C40C1">
        <w:t>å</w:t>
      </w:r>
      <w:r w:rsidRPr="006C40C1">
        <w:t xml:space="preserve">gan om utförsäljning av statliga företag. Frågan har behandlats i såväl mer generella, principiella termer som specifikt för olika bolag, däribland SBAB och Vasakronan AB. </w:t>
      </w:r>
    </w:p>
    <w:p w:rsidR="00AA5D77" w:rsidRPr="006C40C1" w:rsidRDefault="00AA5D77">
      <w:pPr>
        <w:pStyle w:val="Normaltindrag"/>
      </w:pPr>
      <w:r w:rsidRPr="006C40C1">
        <w:t>Näringsutskottet anför i betänkandet 2001/02:NU13 att det i vissa fall kan vara motiverat med försäljning av del av eller hela det statliga ägandet i ett bolag. I betänkandet framhålls också att näringsutskottet intar en pragmatisk hållning i frågan om huruvida staten skall äga vissa företag eller inte. Nä</w:t>
      </w:r>
      <w:r w:rsidRPr="006C40C1">
        <w:t>r</w:t>
      </w:r>
      <w:r w:rsidRPr="006C40C1">
        <w:t xml:space="preserve">ingsutskottet avstyrkte de då aktuella motionerna. </w:t>
      </w:r>
    </w:p>
    <w:p w:rsidR="00AA5D77" w:rsidRPr="006C40C1" w:rsidRDefault="00AA5D77">
      <w:pPr>
        <w:pStyle w:val="Normaltindrag"/>
      </w:pPr>
      <w:r w:rsidRPr="006C40C1">
        <w:t xml:space="preserve">Finansutskottet konstaterar att regeringen i propositionen budgeterar för en försäljning av statlig egendom som uppgår till 15 miljarder kronor åren 2003 och 2004. </w:t>
      </w:r>
    </w:p>
    <w:p w:rsidR="00AA5D77" w:rsidRPr="006C40C1" w:rsidRDefault="00AA5D77">
      <w:pPr>
        <w:pStyle w:val="Normaltindrag"/>
      </w:pPr>
      <w:r w:rsidRPr="006C40C1">
        <w:t>Finansutskottet, som vid ett flertal tillfällen avstyrkt motsvarande yrkanden om försäljning såväl av SBAB och Vasakronan AB som av statliga företag i allmänhet (senast bet. 2001/02:FiU1 s. 304), vidhåller sin tidigare åsikt och avstyrker därmed motionerna Fi210 (m), Fi232 yrkande 24 (fp) och Fi234 (c) yrkande 13.</w:t>
      </w:r>
    </w:p>
    <w:p w:rsidR="00AA5D77" w:rsidRPr="006C40C1" w:rsidRDefault="00AA5D77">
      <w:pPr>
        <w:sectPr w:rsidR="00000000" w:rsidRPr="006C40C1">
          <w:headerReference w:type="even" r:id="rId151"/>
          <w:headerReference w:type="default" r:id="rId152"/>
          <w:footerReference w:type="even" r:id="rId153"/>
          <w:footerReference w:type="default" r:id="rId154"/>
          <w:headerReference w:type="first" r:id="rId155"/>
          <w:footerReference w:type="first" r:id="rId156"/>
          <w:pgSz w:w="11906" w:h="16838" w:code="9"/>
          <w:pgMar w:top="850" w:right="4649" w:bottom="4507" w:left="1304" w:header="340" w:footer="227" w:gutter="0"/>
          <w:cols w:space="720"/>
          <w:titlePg/>
        </w:sectPr>
      </w:pPr>
    </w:p>
    <w:p w:rsidR="00AA5D77" w:rsidRPr="006C40C1" w:rsidRDefault="00AA5D77">
      <w:pPr>
        <w:pStyle w:val="Rubrik1"/>
        <w:spacing w:after="240"/>
        <w:rPr>
          <w:noProof w:val="0"/>
        </w:rPr>
      </w:pPr>
      <w:bookmarkStart w:id="739" w:name="_Toc10877642"/>
      <w:bookmarkStart w:id="740" w:name="_Toc26191597"/>
      <w:r w:rsidRPr="006C40C1">
        <w:rPr>
          <w:noProof w:val="0"/>
        </w:rPr>
        <w:t>Reservationer</w:t>
      </w:r>
      <w:bookmarkEnd w:id="739"/>
      <w:bookmarkEnd w:id="740"/>
    </w:p>
    <w:p w:rsidR="00AA5D77" w:rsidRPr="006C40C1" w:rsidRDefault="00AA5D77">
      <w:r w:rsidRPr="006C40C1">
        <w:t>Utskottets förslag till riksdagsbeslut och ställningstaganden har föranlett följande reservationer. I rubriken anges vilken punkt i utskottets förslag till riksdagsbeslut som behandlas i avsnittet.</w:t>
      </w:r>
    </w:p>
    <w:p w:rsidR="00AA5D77" w:rsidRPr="006C40C1" w:rsidRDefault="00AA5D77">
      <w:pPr>
        <w:pStyle w:val="Reservationspunkt"/>
        <w:spacing w:before="110"/>
        <w:rPr>
          <w:noProof w:val="0"/>
        </w:rPr>
      </w:pPr>
    </w:p>
    <w:p w:rsidR="00AA5D77" w:rsidRPr="006C40C1" w:rsidRDefault="00AA5D77">
      <w:pPr>
        <w:pStyle w:val="Reservationspunkt"/>
        <w:spacing w:before="110"/>
        <w:rPr>
          <w:noProof w:val="0"/>
        </w:rPr>
      </w:pPr>
      <w:bookmarkStart w:id="741" w:name="_Toc10877643"/>
      <w:bookmarkStart w:id="742" w:name="_Toc26191598"/>
      <w:r w:rsidRPr="006C40C1">
        <w:rPr>
          <w:noProof w:val="0"/>
        </w:rPr>
        <w:t>1. Allmänna riktlinjer för den ekonomiska politiken – avsnitt 1.3, punkt 1 (m, fp, kd, c)</w:t>
      </w:r>
      <w:bookmarkEnd w:id="741"/>
      <w:bookmarkEnd w:id="742"/>
    </w:p>
    <w:p w:rsidR="00AA5D77" w:rsidRPr="006C40C1" w:rsidRDefault="00AA5D77">
      <w:pPr>
        <w:pStyle w:val="Reservanter"/>
      </w:pPr>
      <w:r w:rsidRPr="006C40C1">
        <w:t xml:space="preserve">av Fredrik Reinfeldt (m), Karin Pilsäter (fp), Mats Odell (kd), Gunnar Axén (m), Christer Nylander (fp), Lena Ek (c) och Tomas Högström (m). </w:t>
      </w:r>
    </w:p>
    <w:p w:rsidR="00AA5D77" w:rsidRPr="006C40C1" w:rsidRDefault="00AA5D77">
      <w:pPr>
        <w:pStyle w:val="R4"/>
      </w:pPr>
      <w:r w:rsidRPr="006C40C1">
        <w:t>Förslag till riksdagsbeslut</w:t>
      </w:r>
    </w:p>
    <w:p w:rsidR="00AA5D77" w:rsidRPr="006C40C1" w:rsidRDefault="00AA5D77">
      <w:r w:rsidRPr="006C40C1">
        <w:t>Vi anser att utskottets förslag under punkt 1 borde ha följande lydelse:</w:t>
      </w:r>
    </w:p>
    <w:p w:rsidR="00AA5D77" w:rsidRPr="006C40C1" w:rsidRDefault="00AA5D77">
      <w:pPr>
        <w:pStyle w:val="Reservantfrslag"/>
      </w:pPr>
      <w:r w:rsidRPr="006C40C1">
        <w:t>Riksdagen godkänner de i reservation 1 föreslagna riktlinjerna för den ek</w:t>
      </w:r>
      <w:r w:rsidRPr="006C40C1">
        <w:t>o</w:t>
      </w:r>
      <w:r w:rsidRPr="006C40C1">
        <w:t xml:space="preserve">nomiska politiken och tillkännager detta för regeringen som sin mening. Därmed bifaller riksdagen delvis motionerna </w:t>
      </w:r>
    </w:p>
    <w:p w:rsidR="00AA5D77" w:rsidRPr="006C40C1" w:rsidRDefault="00AA5D77">
      <w:pPr>
        <w:pStyle w:val="Reservantfrslag"/>
      </w:pPr>
      <w:r w:rsidRPr="006C40C1">
        <w:t>2002/03:Fi231 av Bo Lundgren m.fl. (m) yrkandena 1 och 12,</w:t>
      </w:r>
    </w:p>
    <w:p w:rsidR="00AA5D77" w:rsidRPr="006C40C1" w:rsidRDefault="00AA5D77">
      <w:pPr>
        <w:pStyle w:val="Reservantfrslag"/>
      </w:pPr>
      <w:r w:rsidRPr="006C40C1">
        <w:t xml:space="preserve">2002/03:Fi232 av Lars Leijonborg m.fl. (fp) yrkande 1, </w:t>
      </w:r>
    </w:p>
    <w:p w:rsidR="00AA5D77" w:rsidRPr="006C40C1" w:rsidRDefault="00AA5D77">
      <w:pPr>
        <w:pStyle w:val="Reservantfrslag"/>
      </w:pPr>
      <w:r w:rsidRPr="006C40C1">
        <w:t xml:space="preserve">2002/03:Fi233 av Alf Svensson m.fl. (kd) yrkandena 1–3, </w:t>
      </w:r>
    </w:p>
    <w:p w:rsidR="00AA5D77" w:rsidRPr="006C40C1" w:rsidRDefault="00AA5D77">
      <w:pPr>
        <w:pStyle w:val="Reservantfrslag"/>
      </w:pPr>
      <w:r w:rsidRPr="006C40C1">
        <w:t>2002/03:Fi234 av Maud Olofsson m.fl. (c) yrkandena 1–2 samt</w:t>
      </w:r>
    </w:p>
    <w:p w:rsidR="00AA5D77" w:rsidRPr="006C40C1" w:rsidRDefault="00AA5D77">
      <w:pPr>
        <w:pStyle w:val="Reservantfrslag"/>
      </w:pPr>
      <w:r w:rsidRPr="006C40C1">
        <w:t>2002/03:MJ420 av Per Westerberg m.fl. (m) yrkande 2 och avslår</w:t>
      </w:r>
    </w:p>
    <w:p w:rsidR="00AA5D77" w:rsidRPr="006C40C1" w:rsidRDefault="00AA5D77">
      <w:pPr>
        <w:pStyle w:val="Reservantfrslag"/>
      </w:pPr>
      <w:r w:rsidRPr="006C40C1">
        <w:t>proposition 2002/03:1 punkt 1.</w:t>
      </w:r>
    </w:p>
    <w:p w:rsidR="00AA5D77" w:rsidRPr="006C40C1" w:rsidRDefault="00AA5D77">
      <w:pPr>
        <w:pStyle w:val="R4"/>
        <w:spacing w:before="480"/>
      </w:pPr>
      <w:r w:rsidRPr="006C40C1">
        <w:t>Ställningstagande</w:t>
      </w:r>
    </w:p>
    <w:p w:rsidR="00AA5D77" w:rsidRPr="006C40C1" w:rsidRDefault="00AA5D77">
      <w:pPr>
        <w:pStyle w:val="Rubrik2"/>
        <w:spacing w:before="240"/>
      </w:pPr>
      <w:bookmarkStart w:id="743" w:name="_Toc25581307"/>
      <w:bookmarkStart w:id="744" w:name="_Toc26191599"/>
      <w:r w:rsidRPr="006C40C1">
        <w:t>Inledning</w:t>
      </w:r>
      <w:bookmarkEnd w:id="743"/>
      <w:bookmarkEnd w:id="744"/>
    </w:p>
    <w:p w:rsidR="00AA5D77" w:rsidRPr="006C40C1" w:rsidRDefault="00AA5D77">
      <w:r w:rsidRPr="006C40C1">
        <w:t>Vi anger här riktlinjerna för en ekonomisk politik som kan höja och bättre utnyttja Sveriges potential. Vi vill gemensamt, med en ny politik, lägga gru</w:t>
      </w:r>
      <w:r w:rsidRPr="006C40C1">
        <w:t>n</w:t>
      </w:r>
      <w:r w:rsidRPr="006C40C1">
        <w:t>den för att långsiktigt höja tillväxten till åtminstone 3 % per år och därmed skapa ett ökande välstånd för alla. Vår politik syftar till att frigöra människor, att ge utrymme för nya idéer och initiativ, att ge kvinnor och män lika möjli</w:t>
      </w:r>
      <w:r w:rsidRPr="006C40C1">
        <w:t>g</w:t>
      </w:r>
      <w:r w:rsidRPr="006C40C1">
        <w:t xml:space="preserve">heter och att ge utrymme för mångfald. Tillväxten måste vara uthållig och förenlig med en långsiktigt hållbar ekologisk och social utveckling. </w:t>
      </w:r>
    </w:p>
    <w:p w:rsidR="00AA5D77" w:rsidRPr="006C40C1" w:rsidRDefault="00AA5D77">
      <w:pPr>
        <w:pStyle w:val="Normaltindrag"/>
      </w:pPr>
      <w:r w:rsidRPr="006C40C1">
        <w:t xml:space="preserve">Vi konstaterar för det första att Sveriges ekonomi i varje fall under nästa år kommer att se betydligt sämre ut än vad som sägs </w:t>
      </w:r>
      <w:r w:rsidRPr="006C40C1">
        <w:t>i budgetpropositionen. Det ger väsentligt annorlunda förutsättningar än regeringen  räknat med. För det andra är den viktigaste svagheten i regeringens politik inte främst att ko</w:t>
      </w:r>
      <w:r w:rsidRPr="006C40C1">
        <w:t>n</w:t>
      </w:r>
      <w:r w:rsidRPr="006C40C1">
        <w:t xml:space="preserve">junkturen försämras, det gör den med jämna mellanrum, utan i att inget görs för att höja den svaga underliggande tillväxtkraften i ekonomin. Det finns ingenting som tyder på att regeringen kommer att föra en politik som höjer den möjliga tillväxten för Sveriges del. </w:t>
      </w:r>
    </w:p>
    <w:p w:rsidR="00AA5D77" w:rsidRPr="006C40C1" w:rsidRDefault="00AA5D77">
      <w:pPr>
        <w:pStyle w:val="Normaltindrag"/>
      </w:pPr>
      <w:r w:rsidRPr="006C40C1">
        <w:t>Våra fyra partier gick till val med egna program men med ett anta</w:t>
      </w:r>
      <w:r w:rsidRPr="006C40C1">
        <w:t>l geme</w:t>
      </w:r>
      <w:r w:rsidRPr="006C40C1">
        <w:t>n</w:t>
      </w:r>
      <w:r w:rsidRPr="006C40C1">
        <w:t>samma ståndpunkter och gemensamt utarbetade riktlinjer på en rad områden. Vi var redo att ta regeringsansvar och bilda en majoritetsregering om valu</w:t>
      </w:r>
      <w:r w:rsidRPr="006C40C1">
        <w:t>t</w:t>
      </w:r>
      <w:r w:rsidRPr="006C40C1">
        <w:t>slaget skulle ge förutsättningarna. Det blev inte så. Men vi är självfallet for</w:t>
      </w:r>
      <w:r w:rsidRPr="006C40C1">
        <w:t>t</w:t>
      </w:r>
      <w:r w:rsidRPr="006C40C1">
        <w:t>satt beredda att ta regeringsansvar, senast efter nästa val. Vi kommer att u</w:t>
      </w:r>
      <w:r w:rsidRPr="006C40C1">
        <w:t>t</w:t>
      </w:r>
      <w:r w:rsidRPr="006C40C1">
        <w:t>veckla en politik med gemensam inriktning för de kommande åren.</w:t>
      </w:r>
    </w:p>
    <w:p w:rsidR="00AA5D77" w:rsidRPr="006C40C1" w:rsidRDefault="00AA5D77">
      <w:pPr>
        <w:pStyle w:val="Normaltindrag"/>
      </w:pPr>
      <w:r w:rsidRPr="006C40C1">
        <w:t>Den analys vi gjort och de riktlinjer vi kommit fram till gäller även efter valet, men naturligtvis måste den ekonomiska politiken hela</w:t>
      </w:r>
      <w:r w:rsidRPr="006C40C1">
        <w:t xml:space="preserve"> tiden formas med utgångspunkt från en verklighet som förändras. </w:t>
      </w:r>
    </w:p>
    <w:p w:rsidR="00AA5D77" w:rsidRPr="006C40C1" w:rsidRDefault="00AA5D77">
      <w:pPr>
        <w:pStyle w:val="Normaltindrag"/>
      </w:pPr>
      <w:r w:rsidRPr="006C40C1">
        <w:t>I allt väsentligt gäller de riktlinjer för den ekonomiska politiken som vi a</w:t>
      </w:r>
      <w:r w:rsidRPr="006C40C1">
        <w:t>n</w:t>
      </w:r>
      <w:r w:rsidRPr="006C40C1">
        <w:t>gav i den gemensamma reservationen i våras. Politiken måste utformas med ett långsiktigt perspektiv för ögonen. Den måste se bortom det rådande ko</w:t>
      </w:r>
      <w:r w:rsidRPr="006C40C1">
        <w:t>n</w:t>
      </w:r>
      <w:r w:rsidRPr="006C40C1">
        <w:t>junkturläget. Vilken ekonomisk politik det nuvarande regeringsunderlaget vill föra framgår inte av budgetpropositionen. Vi konstaterade i vårens reservation att regeringen inför valet inte gav några egentliga besked om vilken politik man ville föra under den kommande mandatperioden. I ett antal frågor skulle regeringen ”återkomma i höst”. Nu är det höst, men reg</w:t>
      </w:r>
      <w:r w:rsidRPr="006C40C1">
        <w:t>eringen har fortfara</w:t>
      </w:r>
      <w:r w:rsidRPr="006C40C1">
        <w:t>n</w:t>
      </w:r>
      <w:r w:rsidRPr="006C40C1">
        <w:t>de inte givit några besked. Vi vill skapa förutsättningar för en högre tillväxt genom en rad åtgärder.</w:t>
      </w:r>
    </w:p>
    <w:p w:rsidR="00AA5D77" w:rsidRPr="006C40C1" w:rsidRDefault="00AA5D77">
      <w:pPr>
        <w:ind w:left="357" w:hanging="357"/>
      </w:pPr>
      <w:r w:rsidRPr="006C40C1">
        <w:rPr>
          <w:b/>
          <w:sz w:val="16"/>
        </w:rPr>
        <w:sym w:font="Symbol" w:char="F0B7"/>
      </w:r>
      <w:r w:rsidRPr="006C40C1">
        <w:rPr>
          <w:b/>
        </w:rPr>
        <w:tab/>
        <w:t>Tillväxt genom företagande</w:t>
      </w:r>
      <w:r w:rsidRPr="006C40C1">
        <w:t>. Ökad tillväxt är bara möjlig att uppnå om det blir fart på företagandet i landet. Tillväxten måste i allt väsentligt komma genom expanderande nya och gamla företag. Utan en ordentlig förbättring av företagsklimatet i vid mening går det inte att uppnå den tillväxt vi strävar efter. Den nödvändiga förbättringen spänner över allt från skatter, krångelregler, arbetsmarknadspolitik och lönebildning till utbil</w:t>
      </w:r>
      <w:r w:rsidRPr="006C40C1">
        <w:t>d</w:t>
      </w:r>
      <w:r w:rsidRPr="006C40C1">
        <w:t xml:space="preserve">ning och skolsystem. </w:t>
      </w:r>
    </w:p>
    <w:p w:rsidR="00AA5D77" w:rsidRPr="006C40C1" w:rsidRDefault="00AA5D77">
      <w:pPr>
        <w:ind w:left="357" w:hanging="357"/>
      </w:pPr>
      <w:r w:rsidRPr="006C40C1">
        <w:rPr>
          <w:b/>
          <w:sz w:val="16"/>
        </w:rPr>
        <w:sym w:font="Symbol" w:char="F0B7"/>
      </w:r>
      <w:r w:rsidRPr="006C40C1">
        <w:rPr>
          <w:b/>
        </w:rPr>
        <w:tab/>
        <w:t>Företagande i internationell konkurrens.</w:t>
      </w:r>
      <w:r w:rsidRPr="006C40C1">
        <w:t xml:space="preserve"> Förutsättningarna för en kraftigt ökad tillväxt på företagssidan avgörs av Sveriges förmåga att möta de förutsättningar som internationaliseringen ger. Ökad rörlighet, tuff konkurrens och ökade krav på kvalitet och kunnande i produkter och tjänster kommer under alla omständigheter att prägla den omgivning svenska företag och anställda kommer att verka i. Samarbetet inom ett så småningom utvidgat EU är en avgörande del av den svenska politiken. Stäl</w:t>
      </w:r>
      <w:r w:rsidRPr="006C40C1">
        <w:t>l</w:t>
      </w:r>
      <w:r w:rsidRPr="006C40C1">
        <w:t>ningstagandet til</w:t>
      </w:r>
      <w:r w:rsidRPr="006C40C1">
        <w:t>l euron ska ske i en folkomröstning.</w:t>
      </w:r>
    </w:p>
    <w:p w:rsidR="00AA5D77" w:rsidRPr="006C40C1" w:rsidRDefault="00AA5D77">
      <w:pPr>
        <w:ind w:left="357" w:hanging="357"/>
      </w:pPr>
      <w:r w:rsidRPr="006C40C1">
        <w:rPr>
          <w:b/>
          <w:sz w:val="16"/>
        </w:rPr>
        <w:sym w:font="Symbol" w:char="F0B7"/>
      </w:r>
      <w:r w:rsidRPr="006C40C1">
        <w:rPr>
          <w:b/>
        </w:rPr>
        <w:tab/>
        <w:t xml:space="preserve">Minskad frånvaro. </w:t>
      </w:r>
      <w:r w:rsidRPr="006C40C1">
        <w:t>Det akuta problemet, som genast måste åtgärdas, är att få ner sjukfrånvaron och minska inflödet i förtidspensionering. Det går inte att som regeringen gör stirra sig blind på en enda faktor, arbet</w:t>
      </w:r>
      <w:r w:rsidRPr="006C40C1">
        <w:t>s</w:t>
      </w:r>
      <w:r w:rsidRPr="006C40C1">
        <w:t>miljön, och tro att lite ökade kostnader på företagen löser allting. Det krävs ett brett band av åtgärder som omspänner allt från arbetsplatsfr</w:t>
      </w:r>
      <w:r w:rsidRPr="006C40C1">
        <w:t>å</w:t>
      </w:r>
      <w:r w:rsidRPr="006C40C1">
        <w:t>gor, förändringar av sjukförsäkringens villkor, samverkan mellan olika system och myndigheter till ökade resurser för rehabilitering och förbät</w:t>
      </w:r>
      <w:r w:rsidRPr="006C40C1">
        <w:t>t</w:t>
      </w:r>
      <w:r w:rsidRPr="006C40C1">
        <w:t>ringar f</w:t>
      </w:r>
      <w:r w:rsidRPr="006C40C1">
        <w:t xml:space="preserve">ör barnfamiljerna. </w:t>
      </w:r>
    </w:p>
    <w:p w:rsidR="00AA5D77" w:rsidRPr="006C40C1" w:rsidRDefault="00AA5D77">
      <w:pPr>
        <w:ind w:left="357" w:hanging="357"/>
      </w:pPr>
      <w:r w:rsidRPr="006C40C1">
        <w:rPr>
          <w:b/>
          <w:sz w:val="16"/>
        </w:rPr>
        <w:sym w:font="Symbol" w:char="F0B7"/>
      </w:r>
      <w:r w:rsidRPr="006C40C1">
        <w:rPr>
          <w:b/>
        </w:rPr>
        <w:tab/>
        <w:t>Lägre skatter och lägre offentliga utgifter</w:t>
      </w:r>
      <w:r w:rsidRPr="006C40C1">
        <w:t>. Om Sverige ska kunna utnyttja sin tillväxtpotential måste skatter och offentliga utgifter sjunka som andel av landets ekonomi. Skattereformer som både sänker skatt</w:t>
      </w:r>
      <w:r w:rsidRPr="006C40C1">
        <w:t>e</w:t>
      </w:r>
      <w:r w:rsidRPr="006C40C1">
        <w:t>trycket totalt sett och som minskar marginalskatterna i alla inkomstlägen är nödvändiga. Det ökar också människors valfrihet och självbestä</w:t>
      </w:r>
      <w:r w:rsidRPr="006C40C1">
        <w:t>m</w:t>
      </w:r>
      <w:r w:rsidRPr="006C40C1">
        <w:t>mande. Om det ska bli fart på företagandet måste skatterna på företagen och inte minst på företagarna lätta. I allt högre grad måste vi ta hänsyn till hur skatter</w:t>
      </w:r>
      <w:r w:rsidRPr="006C40C1">
        <w:t xml:space="preserve">na i vår närmaste omgivning utvecklas. </w:t>
      </w:r>
    </w:p>
    <w:p w:rsidR="00AA5D77" w:rsidRPr="006C40C1" w:rsidRDefault="00AA5D77">
      <w:pPr>
        <w:ind w:left="357" w:hanging="357"/>
      </w:pPr>
      <w:r w:rsidRPr="006C40C1">
        <w:rPr>
          <w:b/>
          <w:sz w:val="16"/>
        </w:rPr>
        <w:sym w:font="Symbol" w:char="F0B7"/>
      </w:r>
      <w:r w:rsidRPr="006C40C1">
        <w:rPr>
          <w:b/>
        </w:rPr>
        <w:tab/>
        <w:t xml:space="preserve">Reformer av de offentliga systemen. </w:t>
      </w:r>
      <w:r w:rsidRPr="006C40C1">
        <w:t>De offentliga utgifterna och s</w:t>
      </w:r>
      <w:r w:rsidRPr="006C40C1">
        <w:t>y</w:t>
      </w:r>
      <w:r w:rsidRPr="006C40C1">
        <w:t>stemen måste reformeras. Det är nödvändigt för att människorna ska få ut den service som systemen är avsedda att ge. Allt för många vittnesmål strömmar in som visar att de offentliga systemen inte ger en tillfred</w:t>
      </w:r>
      <w:r w:rsidRPr="006C40C1">
        <w:t>s</w:t>
      </w:r>
      <w:r w:rsidRPr="006C40C1">
        <w:t>ställande service. Inom ramen för den offentliga finansieringen kan man bryta upp de offentliga monopolen för att få konkurrens och bättre tjän</w:t>
      </w:r>
      <w:r w:rsidRPr="006C40C1">
        <w:t>s</w:t>
      </w:r>
      <w:r w:rsidRPr="006C40C1">
        <w:t>ter. Erfarenheten visar att då får också de anställda nya möjligheter och bättre arbets</w:t>
      </w:r>
      <w:r w:rsidRPr="006C40C1">
        <w:t>tillfredsställelse. Det är vidare ett viktigt inslag i jämställ</w:t>
      </w:r>
      <w:r w:rsidRPr="006C40C1">
        <w:t>d</w:t>
      </w:r>
      <w:r w:rsidRPr="006C40C1">
        <w:t>hetssträvandena eftersom det skulle ge i dag offentliganställda kvinnor helt nya möjligheter till rimligare löneutveckling och arbetstillfredsstä</w:t>
      </w:r>
      <w:r w:rsidRPr="006C40C1">
        <w:t>l</w:t>
      </w:r>
      <w:r w:rsidRPr="006C40C1">
        <w:t>lelse. Reformering av de offentliga utgifterna och koncentration på det offentligas kärnuppgifter är också nödvändigt för att skatterna ska kunna sänkas. Socialförsäkringssystemen behöver reformeras för att bl.a. min</w:t>
      </w:r>
      <w:r w:rsidRPr="006C40C1">
        <w:t>s</w:t>
      </w:r>
      <w:r w:rsidRPr="006C40C1">
        <w:t>ka marginaleffekterna.</w:t>
      </w:r>
    </w:p>
    <w:p w:rsidR="00AA5D77" w:rsidRPr="006C40C1" w:rsidRDefault="00AA5D77">
      <w:pPr>
        <w:ind w:left="357" w:hanging="357"/>
      </w:pPr>
      <w:r w:rsidRPr="006C40C1">
        <w:rPr>
          <w:b/>
          <w:sz w:val="16"/>
        </w:rPr>
        <w:sym w:font="Symbol" w:char="F0B7"/>
      </w:r>
      <w:r w:rsidRPr="006C40C1">
        <w:rPr>
          <w:b/>
        </w:rPr>
        <w:tab/>
        <w:t xml:space="preserve">En bättre fungerande arbetsmarknad. </w:t>
      </w:r>
      <w:r w:rsidRPr="006C40C1">
        <w:t>Arbetsmarknad och lönebil</w:t>
      </w:r>
      <w:r w:rsidRPr="006C40C1">
        <w:t>d</w:t>
      </w:r>
      <w:r w:rsidRPr="006C40C1">
        <w:t>ning kan fungera avsevärt bättre än i dag. Frånvaron ökar, alldeles för många står utanför den reguljära arbetsmarknaden. Det är stora svåri</w:t>
      </w:r>
      <w:r w:rsidRPr="006C40C1">
        <w:t>g</w:t>
      </w:r>
      <w:r w:rsidRPr="006C40C1">
        <w:t>heter för invandrare att få jobb. Vi behöver det tillskott till arbetskraften som nya och här redan befintliga invandrare utgör. Det är både ett mänskligt och ekonomiskt slöseri att de inte kommer in på arbetsmar</w:t>
      </w:r>
      <w:r w:rsidRPr="006C40C1">
        <w:t>k</w:t>
      </w:r>
      <w:r w:rsidRPr="006C40C1">
        <w:t>naden. Vi har ett helt batteri av åtgärder med reformer av institutioner och regler på arbetsma</w:t>
      </w:r>
      <w:r w:rsidRPr="006C40C1">
        <w:t>rknaden. Om de genomfördes skulle både regi</w:t>
      </w:r>
      <w:r w:rsidRPr="006C40C1">
        <w:t>o</w:t>
      </w:r>
      <w:r w:rsidRPr="006C40C1">
        <w:t xml:space="preserve">nala och sociala skillnader minska. </w:t>
      </w:r>
    </w:p>
    <w:p w:rsidR="00AA5D77" w:rsidRPr="006C40C1" w:rsidRDefault="00AA5D77">
      <w:pPr>
        <w:ind w:left="357" w:hanging="357"/>
      </w:pPr>
      <w:r w:rsidRPr="006C40C1">
        <w:rPr>
          <w:b/>
          <w:sz w:val="16"/>
        </w:rPr>
        <w:sym w:font="Symbol" w:char="F0B7"/>
      </w:r>
      <w:r w:rsidRPr="006C40C1">
        <w:rPr>
          <w:b/>
        </w:rPr>
        <w:tab/>
        <w:t>Jämställda villkor</w:t>
      </w:r>
      <w:r w:rsidRPr="006C40C1">
        <w:t>. Villkoren på arbetsmarknaden och samhällslivet i stort behöver förändras för att uppnå jämställda villkor för kvinnor och män. Reformbehovet spänner över en rad områden som reglerna på a</w:t>
      </w:r>
      <w:r w:rsidRPr="006C40C1">
        <w:t>r</w:t>
      </w:r>
      <w:r w:rsidRPr="006C40C1">
        <w:t>betsmarknaden, skatter och organisationen av den offentliga verksamh</w:t>
      </w:r>
      <w:r w:rsidRPr="006C40C1">
        <w:t>e</w:t>
      </w:r>
      <w:r w:rsidRPr="006C40C1">
        <w:t>ten, lönebildning och familjepolitik.</w:t>
      </w:r>
    </w:p>
    <w:p w:rsidR="00AA5D77" w:rsidRPr="006C40C1" w:rsidRDefault="00AA5D77">
      <w:pPr>
        <w:ind w:left="357" w:hanging="357"/>
      </w:pPr>
      <w:r w:rsidRPr="006C40C1">
        <w:rPr>
          <w:b/>
          <w:sz w:val="16"/>
        </w:rPr>
        <w:sym w:font="Symbol" w:char="F0B7"/>
      </w:r>
      <w:r w:rsidRPr="006C40C1">
        <w:rPr>
          <w:b/>
        </w:rPr>
        <w:tab/>
        <w:t xml:space="preserve">Ökad integration. </w:t>
      </w:r>
      <w:r w:rsidRPr="006C40C1">
        <w:t>Den svenska politiken har i hög grad misslyckats med att integrera invandrare i samhällslivet och arbetsmarknaden. Det är inte minst arbetsmarknadspolitiken som måste förändras eftersom detta att ha ett arbete är avgörande för en lyckad integration.</w:t>
      </w:r>
    </w:p>
    <w:p w:rsidR="00AA5D77" w:rsidRPr="006C40C1" w:rsidRDefault="00AA5D77">
      <w:pPr>
        <w:ind w:left="357" w:hanging="357"/>
      </w:pPr>
      <w:r w:rsidRPr="006C40C1">
        <w:rPr>
          <w:b/>
          <w:sz w:val="16"/>
        </w:rPr>
        <w:sym w:font="Symbol" w:char="F0B7"/>
      </w:r>
      <w:r w:rsidRPr="006C40C1">
        <w:rPr>
          <w:b/>
        </w:rPr>
        <w:tab/>
        <w:t xml:space="preserve">Lättare att arbeta längre. </w:t>
      </w:r>
      <w:r w:rsidRPr="006C40C1">
        <w:t>Arbetsmarknad och offentliga system måste reformeras för att möta de demografiska förändringarna under komma</w:t>
      </w:r>
      <w:r w:rsidRPr="006C40C1">
        <w:t>n</w:t>
      </w:r>
      <w:r w:rsidRPr="006C40C1">
        <w:t>de år. Med ett ökande antal äldre och en sjunkande andel förvärvsarb</w:t>
      </w:r>
      <w:r w:rsidRPr="006C40C1">
        <w:t>e</w:t>
      </w:r>
      <w:r w:rsidRPr="006C40C1">
        <w:t>tande riskerar både välfärdssystem och arbetsmarknad att utsättas för st</w:t>
      </w:r>
      <w:r w:rsidRPr="006C40C1">
        <w:t>o</w:t>
      </w:r>
      <w:r w:rsidRPr="006C40C1">
        <w:t>ra påfrestningar. Allt färre ska försörja alltfler. Lösningen måste ligga i att öka arbetskraftsutbudet, vända utvecklingen mot en allt lägre faktisk pensionsålder och koncentrera välfärdssystemen på de verkligt viktiga uppgifte</w:t>
      </w:r>
      <w:r w:rsidRPr="006C40C1">
        <w:t>r</w:t>
      </w:r>
      <w:r w:rsidRPr="006C40C1">
        <w:t>na.</w:t>
      </w:r>
    </w:p>
    <w:p w:rsidR="00AA5D77" w:rsidRPr="006C40C1" w:rsidRDefault="00AA5D77">
      <w:pPr>
        <w:ind w:left="357" w:hanging="357"/>
      </w:pPr>
      <w:r w:rsidRPr="006C40C1">
        <w:rPr>
          <w:b/>
          <w:sz w:val="16"/>
        </w:rPr>
        <w:sym w:font="Symbol" w:char="F0B7"/>
      </w:r>
      <w:r w:rsidRPr="006C40C1">
        <w:rPr>
          <w:b/>
        </w:rPr>
        <w:tab/>
        <w:t>Bättre utbildning</w:t>
      </w:r>
      <w:r w:rsidRPr="006C40C1">
        <w:t>. Det är alltmer tydligt att utbildningen, alltifrån grundskolan upp till universitetsnivån, behöver en rad genomgripande r</w:t>
      </w:r>
      <w:r w:rsidRPr="006C40C1">
        <w:t>e</w:t>
      </w:r>
      <w:r w:rsidRPr="006C40C1">
        <w:t>former om vårt lands goda föru</w:t>
      </w:r>
      <w:r w:rsidRPr="006C40C1">
        <w:t>t</w:t>
      </w:r>
      <w:r w:rsidRPr="006C40C1">
        <w:t>sättningar ska kunna tas till vara.</w:t>
      </w:r>
    </w:p>
    <w:p w:rsidR="00AA5D77" w:rsidRPr="006C40C1" w:rsidRDefault="00AA5D77">
      <w:pPr>
        <w:ind w:left="357" w:hanging="357"/>
      </w:pPr>
      <w:r w:rsidRPr="006C40C1">
        <w:rPr>
          <w:b/>
          <w:sz w:val="16"/>
        </w:rPr>
        <w:sym w:font="Symbol" w:char="F0B7"/>
      </w:r>
      <w:r w:rsidRPr="006C40C1">
        <w:rPr>
          <w:b/>
        </w:rPr>
        <w:tab/>
        <w:t xml:space="preserve">Bättre infrastruktur. </w:t>
      </w:r>
      <w:r w:rsidRPr="006C40C1">
        <w:t>Att höja Sveriges långsiktiga tillväxtmöjligheter kräver en förbättring av infrastrukturen, både i form av nya investeringar och ett ökat underhåll.</w:t>
      </w:r>
    </w:p>
    <w:p w:rsidR="00AA5D77" w:rsidRPr="006C40C1" w:rsidRDefault="00AA5D77">
      <w:pPr>
        <w:pStyle w:val="Rubrik2"/>
      </w:pPr>
      <w:bookmarkStart w:id="745" w:name="_Toc24974892"/>
      <w:bookmarkStart w:id="746" w:name="_Toc24976841"/>
      <w:bookmarkStart w:id="747" w:name="_Toc25581308"/>
      <w:bookmarkStart w:id="748" w:name="_Toc26191600"/>
      <w:r w:rsidRPr="006C40C1">
        <w:t>Sverige och omvärlden</w:t>
      </w:r>
      <w:bookmarkEnd w:id="745"/>
      <w:bookmarkEnd w:id="746"/>
      <w:bookmarkEnd w:id="747"/>
      <w:bookmarkEnd w:id="748"/>
    </w:p>
    <w:p w:rsidR="00AA5D77" w:rsidRPr="006C40C1" w:rsidRDefault="00AA5D77">
      <w:pPr>
        <w:pStyle w:val="Rubrik3"/>
        <w:spacing w:before="110"/>
        <w:rPr>
          <w:noProof w:val="0"/>
        </w:rPr>
      </w:pPr>
      <w:bookmarkStart w:id="749" w:name="_Toc24974893"/>
      <w:bookmarkStart w:id="750" w:name="_Toc24976842"/>
      <w:bookmarkStart w:id="751" w:name="_Toc25581309"/>
      <w:bookmarkStart w:id="752" w:name="_Toc26191601"/>
      <w:r w:rsidRPr="006C40C1">
        <w:rPr>
          <w:noProof w:val="0"/>
        </w:rPr>
        <w:t>Utvecklingen under 90-talet</w:t>
      </w:r>
      <w:bookmarkEnd w:id="749"/>
      <w:bookmarkEnd w:id="750"/>
      <w:r w:rsidRPr="006C40C1">
        <w:rPr>
          <w:noProof w:val="0"/>
        </w:rPr>
        <w:t xml:space="preserve"> och de nya förutsättningarna</w:t>
      </w:r>
      <w:bookmarkEnd w:id="751"/>
      <w:bookmarkEnd w:id="752"/>
    </w:p>
    <w:p w:rsidR="00AA5D77" w:rsidRPr="006C40C1" w:rsidRDefault="00AA5D77">
      <w:r w:rsidRPr="006C40C1">
        <w:t>1990-talet var ett decennium med stora förändringar både på det politiska och det ekonomiska planet. Kommunismens sammanbrott fick ett tydligt geno</w:t>
      </w:r>
      <w:r w:rsidRPr="006C40C1">
        <w:t>m</w:t>
      </w:r>
      <w:r w:rsidRPr="006C40C1">
        <w:t>slag i den internationella ekonomin. Detta gick hand i hand med effekterna av liberaliseringar på ett antal områden. Även i länder som inte formellt förän</w:t>
      </w:r>
      <w:r w:rsidRPr="006C40C1">
        <w:t>d</w:t>
      </w:r>
      <w:r w:rsidRPr="006C40C1">
        <w:t>rats har i praktiken omfattande reella förändringar i marknadsekonomisk riktning skett. Kina utgör det kanske viktigaste exemplet på detta.</w:t>
      </w:r>
    </w:p>
    <w:p w:rsidR="00AA5D77" w:rsidRPr="006C40C1" w:rsidRDefault="00AA5D77">
      <w:pPr>
        <w:pStyle w:val="Normaltindrag"/>
      </w:pPr>
      <w:r w:rsidRPr="006C40C1">
        <w:t>Tillväxten var god om än inte unik  internationellt sett under det förra d</w:t>
      </w:r>
      <w:r w:rsidRPr="006C40C1">
        <w:t>e</w:t>
      </w:r>
      <w:r w:rsidRPr="006C40C1">
        <w:t>cenniet. Detta var främst märkbart i USA, i delar av Sydostasien och i en del forna kommunistländer. Trots akuta kriser i t.ex. Asien och Latinamerika har tillväxttakten internationellt sett egentligen inte påverkats. Spridningseffe</w:t>
      </w:r>
      <w:r w:rsidRPr="006C40C1">
        <w:t>k</w:t>
      </w:r>
      <w:r w:rsidRPr="006C40C1">
        <w:t xml:space="preserve">terna har varit små. Det internationella finansiella systemet har i allt väsentligt inte drabbats. </w:t>
      </w:r>
    </w:p>
    <w:p w:rsidR="00AA5D77" w:rsidRPr="006C40C1" w:rsidRDefault="00AA5D77">
      <w:pPr>
        <w:pStyle w:val="Normaltindrag"/>
      </w:pPr>
      <w:r w:rsidRPr="006C40C1">
        <w:t xml:space="preserve">Produktionsökningarna i de mogna industriländerna har i allmänhet inte åstadkommits genom stora ökningar i insatserna av arbetskraft eller kapital. Det är i stället förmågan att </w:t>
      </w:r>
      <w:r w:rsidRPr="006C40C1">
        <w:t>organisera insatserna, att utnyttja ny teknik och ny kunskap som förklarar större delen av produktionsökningen. USA har tidigare inte uppnått sin relativt höga tillväxt genom hög produktivitetstillväxt utan i högre grad genom ökad sysselsättning, en ökad mobiliseringsgrad. Sysselsättningsgraden ligger ca 10 procentenheter högre än i EU. Under sen</w:t>
      </w:r>
      <w:r w:rsidRPr="006C40C1">
        <w:t>a</w:t>
      </w:r>
      <w:r w:rsidRPr="006C40C1">
        <w:t>re delen av 90-talet har dock USA haft både en hög sysselsättningstillväxt och en hög ökning av produktiviteten.</w:t>
      </w:r>
    </w:p>
    <w:p w:rsidR="00AA5D77" w:rsidRPr="006C40C1" w:rsidRDefault="00AA5D77">
      <w:pPr>
        <w:pStyle w:val="Normaltindrag"/>
      </w:pPr>
      <w:r w:rsidRPr="006C40C1">
        <w:t xml:space="preserve">Under de senaste tio åren har genombrottet för IT </w:t>
      </w:r>
      <w:r w:rsidRPr="006C40C1">
        <w:t>och ett antal avregl</w:t>
      </w:r>
      <w:r w:rsidRPr="006C40C1">
        <w:t>e</w:t>
      </w:r>
      <w:r w:rsidRPr="006C40C1">
        <w:t>ringar blivit mera märkbart. Det handlar om framväxt av teknologibaserade företag med stark IT-inriktning och där den internationella rörligheten spelar stor roll. Konkurrenstrycket är högre än tidigare. Ny teknologi och avregl</w:t>
      </w:r>
      <w:r w:rsidRPr="006C40C1">
        <w:t>e</w:t>
      </w:r>
      <w:r w:rsidRPr="006C40C1">
        <w:t>ringar har ökat främst kapitalets rörlighet. I samband med detta har kraven på företag</w:t>
      </w:r>
      <w:r w:rsidRPr="006C40C1">
        <w:t>s</w:t>
      </w:r>
      <w:r w:rsidRPr="006C40C1">
        <w:t xml:space="preserve">ledandet förändrats och internationaliserats. </w:t>
      </w:r>
    </w:p>
    <w:p w:rsidR="00AA5D77" w:rsidRPr="006C40C1" w:rsidRDefault="00AA5D77">
      <w:pPr>
        <w:pStyle w:val="Normaltindrag"/>
      </w:pPr>
      <w:r w:rsidRPr="006C40C1">
        <w:t>Det har visat sig vara möjligt att kombinera låg inflation, hög och stigande sysselsättning. Efterhand har också mätbara effekter</w:t>
      </w:r>
      <w:r w:rsidRPr="006C40C1">
        <w:t xml:space="preserve"> på produktiviteten visat sig.</w:t>
      </w:r>
    </w:p>
    <w:p w:rsidR="00AA5D77" w:rsidRPr="006C40C1" w:rsidRDefault="00AA5D77">
      <w:pPr>
        <w:pStyle w:val="Normaltindrag"/>
      </w:pPr>
      <w:r w:rsidRPr="006C40C1">
        <w:t>En viktig förändring är den ökade betydelsen av produkter och aktiviteter som är kunskapsintensiva. I någon mening har expanderande verksamheter oftast varit mera kunskapsintensiva än de verksamheter de ersatt. Med den ökande andelen tjänsteproduktion i de flesta ekonomier blir kunskapsintens</w:t>
      </w:r>
      <w:r w:rsidRPr="006C40C1">
        <w:t>i</w:t>
      </w:r>
      <w:r w:rsidRPr="006C40C1">
        <w:t>va verksamheter också av det skälet allt viktigare. Svårigheten för ett utvec</w:t>
      </w:r>
      <w:r w:rsidRPr="006C40C1">
        <w:t>k</w:t>
      </w:r>
      <w:r w:rsidRPr="006C40C1">
        <w:t xml:space="preserve">lat industriland att bygga välstånd på standardiserade produkter och låga kostnader blir allt större. </w:t>
      </w:r>
    </w:p>
    <w:p w:rsidR="00AA5D77" w:rsidRPr="006C40C1" w:rsidRDefault="00AA5D77">
      <w:pPr>
        <w:pStyle w:val="Normaltindrag"/>
      </w:pPr>
      <w:r w:rsidRPr="006C40C1">
        <w:t>Det blir också viktigt att inte bara företagen utan samhällena i stort kan ta till vara och få resultat av investeringar i kunskap. Ett samhälle som är starkt i utnyttjandet av kunskapsinvesteringar måste ha mycket mindre av hierarkier och central styrning än det tidigare industrisamhället. Ett kunskapsorienterat tjänstesamhälle</w:t>
      </w:r>
      <w:r w:rsidRPr="006C40C1">
        <w:t xml:space="preserve"> blir mera decentraliserat och mer präglat av mångfald. Beh</w:t>
      </w:r>
      <w:r w:rsidRPr="006C40C1">
        <w:t>o</w:t>
      </w:r>
      <w:r w:rsidRPr="006C40C1">
        <w:t xml:space="preserve">vet av mindre detaljreglering, mera av generella system och ökad flexibilitet blir större. Utrymmet för politisk detaljstyrning minskar. Utvecklingen av nya produkter kräver ofta att olika vetenskapliga områden kan kopplas samman. Det kräver kombinationer och lösningar som är svåra att åstadkomma med centrala beslut. </w:t>
      </w:r>
    </w:p>
    <w:p w:rsidR="00AA5D77" w:rsidRPr="006C40C1" w:rsidRDefault="00AA5D77">
      <w:pPr>
        <w:pStyle w:val="Normaltindrag"/>
      </w:pPr>
      <w:r w:rsidRPr="006C40C1">
        <w:t>Det är med dessa förutsättningar som svensk ekonomisk politik måste formas: en ökad internationalisering, ett ökat beroende av kunsk</w:t>
      </w:r>
      <w:r w:rsidRPr="006C40C1">
        <w:t>ap och fö</w:t>
      </w:r>
      <w:r w:rsidRPr="006C40C1">
        <w:t>r</w:t>
      </w:r>
      <w:r w:rsidRPr="006C40C1">
        <w:t xml:space="preserve">måga att utnyttja den. </w:t>
      </w:r>
    </w:p>
    <w:p w:rsidR="00AA5D77" w:rsidRPr="006C40C1" w:rsidRDefault="00AA5D77">
      <w:pPr>
        <w:pStyle w:val="Rubrik3"/>
        <w:rPr>
          <w:noProof w:val="0"/>
        </w:rPr>
      </w:pPr>
      <w:bookmarkStart w:id="753" w:name="_Toc24974895"/>
      <w:bookmarkStart w:id="754" w:name="_Toc24976844"/>
      <w:bookmarkStart w:id="755" w:name="_Toc25581310"/>
      <w:bookmarkStart w:id="756" w:name="_Toc26191602"/>
      <w:r w:rsidRPr="006C40C1">
        <w:rPr>
          <w:noProof w:val="0"/>
        </w:rPr>
        <w:t>Den svenska paradoxen</w:t>
      </w:r>
      <w:bookmarkEnd w:id="753"/>
      <w:bookmarkEnd w:id="754"/>
      <w:bookmarkEnd w:id="755"/>
      <w:bookmarkEnd w:id="756"/>
    </w:p>
    <w:p w:rsidR="00AA5D77" w:rsidRPr="006C40C1" w:rsidRDefault="00AA5D77">
      <w:r w:rsidRPr="006C40C1">
        <w:t xml:space="preserve">Det är ett  ovedersägligt faktum att Sveriges relativa position i välfärdsligan inte förbättrats ens under uppgången i slutet av 90-talet. Vi tycks förbli på en 17:e plats bland OECD-länderna och ligger kvar som ett medelmåttigt EU-land. </w:t>
      </w:r>
    </w:p>
    <w:p w:rsidR="00AA5D77" w:rsidRPr="006C40C1" w:rsidRDefault="00AA5D77">
      <w:pPr>
        <w:pStyle w:val="Normaltindrag"/>
      </w:pPr>
      <w:r w:rsidRPr="006C40C1">
        <w:t>Det handlar inte om någon enkel ”tävling”. Att ligga på 15:e–20:e plats har en högst reell innebörd. Det medför att vår privata levnadsstandard är lägre än i jämförbara länder. Enkla lönejämförelser med samma yrkeskategorier bara i våra nordiska grannländer talar sitt tydliga språk. Allt fler yrkesverksamma kan konstatera detta. Men det innebär också att den offentliga välfärden fö</w:t>
      </w:r>
      <w:r w:rsidRPr="006C40C1">
        <w:t>r</w:t>
      </w:r>
      <w:r w:rsidRPr="006C40C1">
        <w:t>sämrats relativt sett. Trots ett rekordhögt skattetryck har vi inte de bästa vä</w:t>
      </w:r>
      <w:r w:rsidRPr="006C40C1">
        <w:t>l</w:t>
      </w:r>
      <w:r w:rsidRPr="006C40C1">
        <w:t>färdssystemen. Internationella jämförelser visar även här att Sverige är rel</w:t>
      </w:r>
      <w:r w:rsidRPr="006C40C1">
        <w:t>a</w:t>
      </w:r>
      <w:r w:rsidRPr="006C40C1">
        <w:t>tivt medelmåttigt.</w:t>
      </w:r>
    </w:p>
    <w:p w:rsidR="00AA5D77" w:rsidRPr="006C40C1" w:rsidRDefault="00AA5D77">
      <w:pPr>
        <w:pStyle w:val="Normaltindrag"/>
      </w:pPr>
      <w:r w:rsidRPr="006C40C1">
        <w:t>BNP per person ligger drygt 40 % högre i USA och Norge, Norge själ</w:t>
      </w:r>
      <w:r w:rsidRPr="006C40C1">
        <w:t>v</w:t>
      </w:r>
      <w:r w:rsidRPr="006C40C1">
        <w:t>fallet i hög grad på grund av sina oljetillgångar. Danmark ligger 17–18 % över Sverige och Finland 3 % över. Vissa länder har haft en osedvanligt gynnsam utveckling. Irland låg 1994 13 % under Sverige i BNP per person och ligger nu 18 % över. Finland som drabbades hårt av sovjethandelns bor</w:t>
      </w:r>
      <w:r w:rsidRPr="006C40C1">
        <w:t>t</w:t>
      </w:r>
      <w:r w:rsidRPr="006C40C1">
        <w:t xml:space="preserve">fall i början av 90-talet låg 1994 9 % under Sverige men ligger nu 3 % över. Även Danmark som redan vid jämförelsens början låg ca 15 % högre än Sverige har något förbättrat sin situation relativt Sverige.  </w:t>
      </w:r>
    </w:p>
    <w:p w:rsidR="00AA5D77" w:rsidRPr="006C40C1" w:rsidRDefault="00AA5D77">
      <w:pPr>
        <w:pStyle w:val="Reservationstabell"/>
        <w:keepNext/>
        <w:outlineLvl w:val="0"/>
      </w:pPr>
      <w:r w:rsidRPr="006C40C1">
        <w:t>Tabell. Köp</w:t>
      </w:r>
      <w:r w:rsidRPr="006C40C1">
        <w:t>kraftskorrig</w:t>
      </w:r>
      <w:r w:rsidRPr="006C40C1">
        <w:t>e</w:t>
      </w:r>
      <w:r w:rsidRPr="006C40C1">
        <w:t>rad BNP per person</w:t>
      </w:r>
    </w:p>
    <w:p w:rsidR="00AA5D77" w:rsidRPr="006C40C1" w:rsidRDefault="00AA5D77">
      <w:pPr>
        <w:keepNext/>
        <w:spacing w:before="0" w:after="40"/>
        <w:outlineLvl w:val="0"/>
        <w:rPr>
          <w:sz w:val="14"/>
        </w:rPr>
      </w:pPr>
      <w:r w:rsidRPr="006C40C1">
        <w:rPr>
          <w:sz w:val="14"/>
        </w:rPr>
        <w:t>Index Sverige = 100</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850"/>
        <w:gridCol w:w="851"/>
        <w:gridCol w:w="2835"/>
      </w:tblGrid>
      <w:tr w:rsidR="00000000" w:rsidRPr="006C40C1">
        <w:tblPrEx>
          <w:tblCellMar>
            <w:top w:w="0" w:type="dxa"/>
            <w:bottom w:w="0" w:type="dxa"/>
          </w:tblCellMar>
        </w:tblPrEx>
        <w:tc>
          <w:tcPr>
            <w:tcW w:w="1488" w:type="dxa"/>
            <w:tcBorders>
              <w:top w:val="single" w:sz="4" w:space="0" w:color="auto"/>
              <w:left w:val="nil"/>
              <w:bottom w:val="single" w:sz="4" w:space="0" w:color="auto"/>
              <w:right w:val="nil"/>
            </w:tcBorders>
          </w:tcPr>
          <w:p w:rsidR="00AA5D77" w:rsidRPr="006C40C1" w:rsidRDefault="00AA5D77">
            <w:pPr>
              <w:pStyle w:val="Tabelltext"/>
              <w:keepNext/>
            </w:pPr>
          </w:p>
        </w:tc>
        <w:tc>
          <w:tcPr>
            <w:tcW w:w="850" w:type="dxa"/>
            <w:tcBorders>
              <w:top w:val="single" w:sz="4" w:space="0" w:color="auto"/>
              <w:left w:val="nil"/>
              <w:bottom w:val="single" w:sz="4" w:space="0" w:color="auto"/>
              <w:right w:val="nil"/>
            </w:tcBorders>
          </w:tcPr>
          <w:p w:rsidR="00AA5D77" w:rsidRPr="006C40C1" w:rsidRDefault="00AA5D77">
            <w:pPr>
              <w:pStyle w:val="Tabelltext"/>
              <w:keepNext/>
              <w:jc w:val="center"/>
              <w:rPr>
                <w:b/>
              </w:rPr>
            </w:pPr>
            <w:r w:rsidRPr="006C40C1">
              <w:rPr>
                <w:b/>
              </w:rPr>
              <w:t>1994</w:t>
            </w:r>
          </w:p>
        </w:tc>
        <w:tc>
          <w:tcPr>
            <w:tcW w:w="851" w:type="dxa"/>
            <w:tcBorders>
              <w:top w:val="single" w:sz="4" w:space="0" w:color="auto"/>
              <w:left w:val="nil"/>
              <w:bottom w:val="single" w:sz="4" w:space="0" w:color="auto"/>
              <w:right w:val="nil"/>
            </w:tcBorders>
          </w:tcPr>
          <w:p w:rsidR="00AA5D77" w:rsidRPr="006C40C1" w:rsidRDefault="00AA5D77">
            <w:pPr>
              <w:pStyle w:val="Tabelltext"/>
              <w:keepNext/>
              <w:jc w:val="center"/>
              <w:rPr>
                <w:b/>
              </w:rPr>
            </w:pPr>
            <w:r w:rsidRPr="006C40C1">
              <w:rPr>
                <w:b/>
              </w:rPr>
              <w:t>2001</w:t>
            </w:r>
          </w:p>
        </w:tc>
        <w:tc>
          <w:tcPr>
            <w:tcW w:w="2835" w:type="dxa"/>
            <w:tcBorders>
              <w:top w:val="single" w:sz="4" w:space="0" w:color="auto"/>
              <w:left w:val="nil"/>
              <w:bottom w:val="single" w:sz="4" w:space="0" w:color="auto"/>
              <w:right w:val="nil"/>
            </w:tcBorders>
          </w:tcPr>
          <w:p w:rsidR="00AA5D77" w:rsidRPr="006C40C1" w:rsidRDefault="00AA5D77">
            <w:pPr>
              <w:pStyle w:val="Tabelltext"/>
              <w:keepNext/>
              <w:jc w:val="center"/>
              <w:rPr>
                <w:b/>
              </w:rPr>
            </w:pPr>
            <w:r w:rsidRPr="006C40C1">
              <w:rPr>
                <w:b/>
              </w:rPr>
              <w:t>Nivå i svenska kronor per person (köpkraftskorrigerat) 2001</w:t>
            </w:r>
          </w:p>
        </w:tc>
      </w:tr>
      <w:tr w:rsidR="00000000" w:rsidRPr="006C40C1">
        <w:tblPrEx>
          <w:tblCellMar>
            <w:top w:w="0" w:type="dxa"/>
            <w:bottom w:w="0" w:type="dxa"/>
          </w:tblCellMar>
        </w:tblPrEx>
        <w:tc>
          <w:tcPr>
            <w:tcW w:w="1488" w:type="dxa"/>
            <w:tcBorders>
              <w:top w:val="single" w:sz="4" w:space="0" w:color="auto"/>
              <w:left w:val="nil"/>
              <w:bottom w:val="nil"/>
              <w:right w:val="nil"/>
            </w:tcBorders>
          </w:tcPr>
          <w:p w:rsidR="00AA5D77" w:rsidRPr="006C40C1" w:rsidRDefault="00AA5D77">
            <w:pPr>
              <w:pStyle w:val="Tabelltext"/>
              <w:keepNext/>
              <w:spacing w:before="40"/>
            </w:pPr>
            <w:r w:rsidRPr="006C40C1">
              <w:t>Danmark</w:t>
            </w:r>
          </w:p>
        </w:tc>
        <w:tc>
          <w:tcPr>
            <w:tcW w:w="850" w:type="dxa"/>
            <w:tcBorders>
              <w:top w:val="single" w:sz="4" w:space="0" w:color="auto"/>
              <w:left w:val="nil"/>
              <w:bottom w:val="nil"/>
              <w:right w:val="nil"/>
            </w:tcBorders>
          </w:tcPr>
          <w:p w:rsidR="00AA5D77" w:rsidRPr="006C40C1" w:rsidRDefault="00AA5D77">
            <w:pPr>
              <w:pStyle w:val="Tabelltext"/>
              <w:keepNext/>
              <w:spacing w:before="40"/>
              <w:jc w:val="center"/>
            </w:pPr>
            <w:r w:rsidRPr="006C40C1">
              <w:t>116</w:t>
            </w:r>
          </w:p>
        </w:tc>
        <w:tc>
          <w:tcPr>
            <w:tcW w:w="851" w:type="dxa"/>
            <w:tcBorders>
              <w:top w:val="single" w:sz="4" w:space="0" w:color="auto"/>
              <w:left w:val="nil"/>
              <w:bottom w:val="nil"/>
              <w:right w:val="nil"/>
            </w:tcBorders>
          </w:tcPr>
          <w:p w:rsidR="00AA5D77" w:rsidRPr="006C40C1" w:rsidRDefault="00AA5D77">
            <w:pPr>
              <w:pStyle w:val="Tabelltext"/>
              <w:keepNext/>
              <w:spacing w:before="40"/>
              <w:jc w:val="center"/>
            </w:pPr>
            <w:r w:rsidRPr="006C40C1">
              <w:t>117</w:t>
            </w:r>
          </w:p>
        </w:tc>
        <w:tc>
          <w:tcPr>
            <w:tcW w:w="2835" w:type="dxa"/>
            <w:tcBorders>
              <w:top w:val="single" w:sz="4" w:space="0" w:color="auto"/>
              <w:left w:val="nil"/>
              <w:bottom w:val="nil"/>
              <w:right w:val="nil"/>
            </w:tcBorders>
          </w:tcPr>
          <w:p w:rsidR="00AA5D77" w:rsidRPr="006C40C1" w:rsidRDefault="00AA5D77">
            <w:pPr>
              <w:pStyle w:val="Tabelltext"/>
              <w:keepNext/>
              <w:spacing w:before="40"/>
              <w:jc w:val="center"/>
            </w:pPr>
            <w:r w:rsidRPr="006C40C1">
              <w:t>284 500</w:t>
            </w:r>
          </w:p>
        </w:tc>
      </w:tr>
      <w:tr w:rsidR="00000000" w:rsidRPr="006C40C1">
        <w:tblPrEx>
          <w:tblCellMar>
            <w:top w:w="0" w:type="dxa"/>
            <w:bottom w:w="0" w:type="dxa"/>
          </w:tblCellMar>
        </w:tblPrEx>
        <w:tc>
          <w:tcPr>
            <w:tcW w:w="1488" w:type="dxa"/>
            <w:tcBorders>
              <w:top w:val="nil"/>
              <w:left w:val="nil"/>
              <w:bottom w:val="nil"/>
              <w:right w:val="nil"/>
            </w:tcBorders>
          </w:tcPr>
          <w:p w:rsidR="00AA5D77" w:rsidRPr="006C40C1" w:rsidRDefault="00AA5D77">
            <w:pPr>
              <w:pStyle w:val="Tabelltext"/>
              <w:keepNext/>
            </w:pPr>
            <w:r w:rsidRPr="006C40C1">
              <w:t>Finland</w:t>
            </w:r>
          </w:p>
        </w:tc>
        <w:tc>
          <w:tcPr>
            <w:tcW w:w="850" w:type="dxa"/>
            <w:tcBorders>
              <w:top w:val="nil"/>
              <w:left w:val="nil"/>
              <w:bottom w:val="nil"/>
              <w:right w:val="nil"/>
            </w:tcBorders>
          </w:tcPr>
          <w:p w:rsidR="00AA5D77" w:rsidRPr="006C40C1" w:rsidRDefault="00AA5D77">
            <w:pPr>
              <w:pStyle w:val="Tabelltext"/>
              <w:keepNext/>
              <w:jc w:val="center"/>
            </w:pPr>
            <w:r w:rsidRPr="006C40C1">
              <w:t>91</w:t>
            </w:r>
          </w:p>
        </w:tc>
        <w:tc>
          <w:tcPr>
            <w:tcW w:w="851" w:type="dxa"/>
            <w:tcBorders>
              <w:top w:val="nil"/>
              <w:left w:val="nil"/>
              <w:bottom w:val="nil"/>
              <w:right w:val="nil"/>
            </w:tcBorders>
          </w:tcPr>
          <w:p w:rsidR="00AA5D77" w:rsidRPr="006C40C1" w:rsidRDefault="00AA5D77">
            <w:pPr>
              <w:pStyle w:val="Tabelltext"/>
              <w:keepNext/>
              <w:jc w:val="center"/>
            </w:pPr>
            <w:r w:rsidRPr="006C40C1">
              <w:t>103</w:t>
            </w:r>
          </w:p>
        </w:tc>
        <w:tc>
          <w:tcPr>
            <w:tcW w:w="2835" w:type="dxa"/>
            <w:tcBorders>
              <w:top w:val="nil"/>
              <w:left w:val="nil"/>
              <w:bottom w:val="nil"/>
              <w:right w:val="nil"/>
            </w:tcBorders>
          </w:tcPr>
          <w:p w:rsidR="00AA5D77" w:rsidRPr="006C40C1" w:rsidRDefault="00AA5D77">
            <w:pPr>
              <w:pStyle w:val="Tabelltext"/>
              <w:keepNext/>
              <w:jc w:val="center"/>
            </w:pPr>
            <w:r w:rsidRPr="006C40C1">
              <w:t>250 500</w:t>
            </w:r>
          </w:p>
        </w:tc>
      </w:tr>
      <w:tr w:rsidR="00000000" w:rsidRPr="006C40C1">
        <w:tblPrEx>
          <w:tblCellMar>
            <w:top w:w="0" w:type="dxa"/>
            <w:bottom w:w="0" w:type="dxa"/>
          </w:tblCellMar>
        </w:tblPrEx>
        <w:tc>
          <w:tcPr>
            <w:tcW w:w="1488" w:type="dxa"/>
            <w:tcBorders>
              <w:top w:val="nil"/>
              <w:left w:val="nil"/>
              <w:bottom w:val="nil"/>
              <w:right w:val="nil"/>
            </w:tcBorders>
          </w:tcPr>
          <w:p w:rsidR="00AA5D77" w:rsidRPr="006C40C1" w:rsidRDefault="00AA5D77">
            <w:pPr>
              <w:pStyle w:val="Tabelltext"/>
              <w:keepNext/>
            </w:pPr>
            <w:r w:rsidRPr="006C40C1">
              <w:t>Norge</w:t>
            </w:r>
          </w:p>
        </w:tc>
        <w:tc>
          <w:tcPr>
            <w:tcW w:w="850" w:type="dxa"/>
            <w:tcBorders>
              <w:top w:val="nil"/>
              <w:left w:val="nil"/>
              <w:bottom w:val="nil"/>
              <w:right w:val="nil"/>
            </w:tcBorders>
          </w:tcPr>
          <w:p w:rsidR="00AA5D77" w:rsidRPr="006C40C1" w:rsidRDefault="00AA5D77">
            <w:pPr>
              <w:pStyle w:val="Tabelltext"/>
              <w:keepNext/>
              <w:jc w:val="center"/>
            </w:pPr>
            <w:r w:rsidRPr="006C40C1">
              <w:t>119</w:t>
            </w:r>
          </w:p>
        </w:tc>
        <w:tc>
          <w:tcPr>
            <w:tcW w:w="851" w:type="dxa"/>
            <w:tcBorders>
              <w:top w:val="nil"/>
              <w:left w:val="nil"/>
              <w:bottom w:val="nil"/>
              <w:right w:val="nil"/>
            </w:tcBorders>
          </w:tcPr>
          <w:p w:rsidR="00AA5D77" w:rsidRPr="006C40C1" w:rsidRDefault="00AA5D77">
            <w:pPr>
              <w:pStyle w:val="Tabelltext"/>
              <w:keepNext/>
              <w:jc w:val="center"/>
            </w:pPr>
            <w:r w:rsidRPr="006C40C1">
              <w:t>140</w:t>
            </w:r>
          </w:p>
        </w:tc>
        <w:tc>
          <w:tcPr>
            <w:tcW w:w="2835" w:type="dxa"/>
            <w:tcBorders>
              <w:top w:val="nil"/>
              <w:left w:val="nil"/>
              <w:bottom w:val="nil"/>
              <w:right w:val="nil"/>
            </w:tcBorders>
          </w:tcPr>
          <w:p w:rsidR="00AA5D77" w:rsidRPr="006C40C1" w:rsidRDefault="00AA5D77">
            <w:pPr>
              <w:pStyle w:val="Tabelltext"/>
              <w:keepNext/>
              <w:jc w:val="center"/>
            </w:pPr>
            <w:r w:rsidRPr="006C40C1">
              <w:t>340 500</w:t>
            </w:r>
          </w:p>
        </w:tc>
      </w:tr>
      <w:tr w:rsidR="00000000" w:rsidRPr="006C40C1">
        <w:tblPrEx>
          <w:tblCellMar>
            <w:top w:w="0" w:type="dxa"/>
            <w:bottom w:w="0" w:type="dxa"/>
          </w:tblCellMar>
        </w:tblPrEx>
        <w:tc>
          <w:tcPr>
            <w:tcW w:w="1488" w:type="dxa"/>
            <w:tcBorders>
              <w:top w:val="nil"/>
              <w:left w:val="nil"/>
              <w:bottom w:val="nil"/>
              <w:right w:val="nil"/>
            </w:tcBorders>
          </w:tcPr>
          <w:p w:rsidR="00AA5D77" w:rsidRPr="006C40C1" w:rsidRDefault="00AA5D77">
            <w:pPr>
              <w:pStyle w:val="Tabelltext"/>
              <w:keepNext/>
            </w:pPr>
            <w:r w:rsidRPr="006C40C1">
              <w:rPr>
                <w:b/>
              </w:rPr>
              <w:t>Sverige</w:t>
            </w:r>
          </w:p>
        </w:tc>
        <w:tc>
          <w:tcPr>
            <w:tcW w:w="850" w:type="dxa"/>
            <w:tcBorders>
              <w:top w:val="nil"/>
              <w:left w:val="nil"/>
              <w:bottom w:val="nil"/>
              <w:right w:val="nil"/>
            </w:tcBorders>
          </w:tcPr>
          <w:p w:rsidR="00AA5D77" w:rsidRPr="006C40C1" w:rsidRDefault="00AA5D77">
            <w:pPr>
              <w:pStyle w:val="Tabelltext"/>
              <w:keepNext/>
              <w:jc w:val="center"/>
            </w:pPr>
            <w:r w:rsidRPr="006C40C1">
              <w:t>100</w:t>
            </w:r>
          </w:p>
        </w:tc>
        <w:tc>
          <w:tcPr>
            <w:tcW w:w="851" w:type="dxa"/>
            <w:tcBorders>
              <w:top w:val="nil"/>
              <w:left w:val="nil"/>
              <w:bottom w:val="nil"/>
              <w:right w:val="nil"/>
            </w:tcBorders>
          </w:tcPr>
          <w:p w:rsidR="00AA5D77" w:rsidRPr="006C40C1" w:rsidRDefault="00AA5D77">
            <w:pPr>
              <w:pStyle w:val="Tabelltext"/>
              <w:keepNext/>
              <w:jc w:val="center"/>
            </w:pPr>
            <w:r w:rsidRPr="006C40C1">
              <w:t>100</w:t>
            </w:r>
          </w:p>
        </w:tc>
        <w:tc>
          <w:tcPr>
            <w:tcW w:w="2835" w:type="dxa"/>
            <w:tcBorders>
              <w:top w:val="nil"/>
              <w:left w:val="nil"/>
              <w:bottom w:val="nil"/>
              <w:right w:val="nil"/>
            </w:tcBorders>
          </w:tcPr>
          <w:p w:rsidR="00AA5D77" w:rsidRPr="006C40C1" w:rsidRDefault="00AA5D77">
            <w:pPr>
              <w:pStyle w:val="Tabelltext"/>
              <w:keepNext/>
              <w:jc w:val="center"/>
            </w:pPr>
            <w:r w:rsidRPr="006C40C1">
              <w:t>243 200</w:t>
            </w:r>
          </w:p>
        </w:tc>
      </w:tr>
      <w:tr w:rsidR="00000000" w:rsidRPr="006C40C1">
        <w:tblPrEx>
          <w:tblCellMar>
            <w:top w:w="0" w:type="dxa"/>
            <w:bottom w:w="0" w:type="dxa"/>
          </w:tblCellMar>
        </w:tblPrEx>
        <w:tc>
          <w:tcPr>
            <w:tcW w:w="1488" w:type="dxa"/>
            <w:tcBorders>
              <w:top w:val="nil"/>
              <w:left w:val="nil"/>
              <w:bottom w:val="single" w:sz="4" w:space="0" w:color="auto"/>
              <w:right w:val="nil"/>
            </w:tcBorders>
          </w:tcPr>
          <w:p w:rsidR="00AA5D77" w:rsidRPr="006C40C1" w:rsidRDefault="00AA5D77">
            <w:pPr>
              <w:pStyle w:val="Tabelltext"/>
              <w:keepNext/>
              <w:spacing w:after="40"/>
            </w:pPr>
            <w:r w:rsidRPr="006C40C1">
              <w:t>USA</w:t>
            </w:r>
          </w:p>
        </w:tc>
        <w:tc>
          <w:tcPr>
            <w:tcW w:w="850" w:type="dxa"/>
            <w:tcBorders>
              <w:top w:val="nil"/>
              <w:left w:val="nil"/>
              <w:bottom w:val="single" w:sz="4" w:space="0" w:color="auto"/>
              <w:right w:val="nil"/>
            </w:tcBorders>
          </w:tcPr>
          <w:p w:rsidR="00AA5D77" w:rsidRPr="006C40C1" w:rsidRDefault="00AA5D77">
            <w:pPr>
              <w:pStyle w:val="Tabelltext"/>
              <w:keepNext/>
              <w:spacing w:after="40"/>
              <w:jc w:val="center"/>
            </w:pPr>
            <w:r w:rsidRPr="006C40C1">
              <w:t>146</w:t>
            </w:r>
          </w:p>
        </w:tc>
        <w:tc>
          <w:tcPr>
            <w:tcW w:w="851" w:type="dxa"/>
            <w:tcBorders>
              <w:top w:val="nil"/>
              <w:left w:val="nil"/>
              <w:bottom w:val="single" w:sz="4" w:space="0" w:color="auto"/>
              <w:right w:val="nil"/>
            </w:tcBorders>
          </w:tcPr>
          <w:p w:rsidR="00AA5D77" w:rsidRPr="006C40C1" w:rsidRDefault="00AA5D77">
            <w:pPr>
              <w:pStyle w:val="Tabelltext"/>
              <w:keepNext/>
              <w:spacing w:after="40"/>
              <w:jc w:val="center"/>
            </w:pPr>
            <w:r w:rsidRPr="006C40C1">
              <w:t>142</w:t>
            </w:r>
          </w:p>
        </w:tc>
        <w:tc>
          <w:tcPr>
            <w:tcW w:w="2835" w:type="dxa"/>
            <w:tcBorders>
              <w:top w:val="nil"/>
              <w:left w:val="nil"/>
              <w:bottom w:val="single" w:sz="4" w:space="0" w:color="auto"/>
              <w:right w:val="nil"/>
            </w:tcBorders>
          </w:tcPr>
          <w:p w:rsidR="00AA5D77" w:rsidRPr="006C40C1" w:rsidRDefault="00AA5D77">
            <w:pPr>
              <w:pStyle w:val="Tabelltext"/>
              <w:keepNext/>
              <w:spacing w:after="40"/>
              <w:jc w:val="center"/>
            </w:pPr>
            <w:r w:rsidRPr="006C40C1">
              <w:t>345 400</w:t>
            </w:r>
          </w:p>
        </w:tc>
      </w:tr>
    </w:tbl>
    <w:p w:rsidR="00AA5D77" w:rsidRPr="006C40C1" w:rsidRDefault="00AA5D77">
      <w:pPr>
        <w:pStyle w:val="Fotnotstext"/>
        <w:keepNext/>
        <w:spacing w:before="40"/>
        <w:rPr>
          <w:sz w:val="14"/>
        </w:rPr>
      </w:pPr>
      <w:r w:rsidRPr="006C40C1">
        <w:rPr>
          <w:sz w:val="14"/>
        </w:rPr>
        <w:t>Källa: OECD</w:t>
      </w:r>
    </w:p>
    <w:p w:rsidR="00AA5D77" w:rsidRPr="006C40C1" w:rsidRDefault="00AA5D77">
      <w:r w:rsidRPr="006C40C1">
        <w:t>Att Sverige inte kunnat förbättra sin position ens under de gynnsamma yttre förhållanden som en god internationell tillväxt och en svag växelkurs utgör är oroande. Den av en bred majoritet omfattade målsättningen att Sverige inte ska konkurrera med låga löner och enkla produkter utan med avancerade produkter som kan bära goda löner är inte förenligt med att ligga på 17:e plats bland de utvecklade OECD-länderna och med en inkomstnivå ungefär på EU:s genomsnitt. Om vi ligger kvar där får vi också svårare att</w:t>
      </w:r>
      <w:r w:rsidRPr="006C40C1">
        <w:t xml:space="preserve"> ta till oss avancerat kunnande och metodutveckling inom de offentligt finansierade områdena som t.ex. medicin. Att förbli på en låg inkomstnivå innebär således ett hot mot inte bara den privata standarden utan även den offentliga. Som sådana återspeglingar kan man räkna vad vi upplevt av ökad förtidspension</w:t>
      </w:r>
      <w:r w:rsidRPr="006C40C1">
        <w:t>e</w:t>
      </w:r>
      <w:r w:rsidRPr="006C40C1">
        <w:t xml:space="preserve">ring, kvaliteten och tillgången på sjukvårdstjänster, bostäder etc. </w:t>
      </w:r>
    </w:p>
    <w:p w:rsidR="00AA5D77" w:rsidRPr="006C40C1" w:rsidRDefault="00AA5D77">
      <w:pPr>
        <w:pStyle w:val="Normaltindrag"/>
      </w:pPr>
      <w:r w:rsidRPr="006C40C1">
        <w:t>Att Sverige inte lyckats bättre trots gynnsamma yttre förutsättningar är en del av den svenska paradoxen. Trots omfattande satsningar</w:t>
      </w:r>
      <w:r w:rsidRPr="006C40C1">
        <w:t xml:space="preserve"> har resultatet blivit magert. I det internationella kunskapssamhället har Sverige bland de högsta satsningarna på forskning och utveckling, även om det finns en avt</w:t>
      </w:r>
      <w:r w:rsidRPr="006C40C1">
        <w:t>a</w:t>
      </w:r>
      <w:r w:rsidRPr="006C40C1">
        <w:t>gande tendens i det offentliga stödet till forskningen. Om man räknar in nä</w:t>
      </w:r>
      <w:r w:rsidRPr="006C40C1">
        <w:t>r</w:t>
      </w:r>
      <w:r w:rsidRPr="006C40C1">
        <w:t xml:space="preserve">ingslivets satsningar leder Sverige både när det gäller den andel av BNP som satsas på FOU och när det gäller satsning på kunskap i vidare mening. </w:t>
      </w:r>
    </w:p>
    <w:p w:rsidR="00AA5D77" w:rsidRPr="006C40C1" w:rsidRDefault="00AA5D77">
      <w:pPr>
        <w:pStyle w:val="Normaltindrag"/>
      </w:pPr>
      <w:r w:rsidRPr="006C40C1">
        <w:t xml:space="preserve">Att Sveriges position förbättrats i det nyligen publicerade </w:t>
      </w:r>
      <w:r w:rsidRPr="006C40C1">
        <w:rPr>
          <w:i/>
        </w:rPr>
        <w:t xml:space="preserve">World Economic Forums Growth Competitive Index </w:t>
      </w:r>
      <w:r w:rsidRPr="006C40C1">
        <w:t xml:space="preserve">beror just av att förutsättningarna på den teknologiska sidan förbättrats. Men olika utredningar har således visat att dessa satsningar inte lett till motsvarande resultat när det gäller produktion, handel och marknadsandelar. </w:t>
      </w:r>
    </w:p>
    <w:p w:rsidR="00AA5D77" w:rsidRPr="006C40C1" w:rsidRDefault="00AA5D77">
      <w:pPr>
        <w:pStyle w:val="Rubrik3"/>
        <w:rPr>
          <w:noProof w:val="0"/>
        </w:rPr>
      </w:pPr>
      <w:bookmarkStart w:id="757" w:name="_Toc24974896"/>
      <w:bookmarkStart w:id="758" w:name="_Toc24976845"/>
      <w:bookmarkStart w:id="759" w:name="_Toc25581311"/>
      <w:bookmarkStart w:id="760" w:name="_Toc26191603"/>
      <w:r w:rsidRPr="006C40C1">
        <w:rPr>
          <w:noProof w:val="0"/>
        </w:rPr>
        <w:t>Svenska svagheter</w:t>
      </w:r>
      <w:bookmarkEnd w:id="757"/>
      <w:bookmarkEnd w:id="758"/>
      <w:bookmarkEnd w:id="759"/>
      <w:bookmarkEnd w:id="760"/>
    </w:p>
    <w:p w:rsidR="00AA5D77" w:rsidRPr="006C40C1" w:rsidRDefault="00AA5D77">
      <w:pPr>
        <w:pStyle w:val="Rubrik4"/>
        <w:spacing w:before="125"/>
        <w:rPr>
          <w:noProof w:val="0"/>
        </w:rPr>
      </w:pPr>
      <w:bookmarkStart w:id="761" w:name="_Toc25581312"/>
      <w:bookmarkStart w:id="762" w:name="_Toc26191604"/>
      <w:r w:rsidRPr="006C40C1">
        <w:rPr>
          <w:noProof w:val="0"/>
        </w:rPr>
        <w:t>Forskning utan riktig effekt</w:t>
      </w:r>
      <w:bookmarkEnd w:id="761"/>
      <w:bookmarkEnd w:id="762"/>
    </w:p>
    <w:p w:rsidR="00AA5D77" w:rsidRPr="006C40C1" w:rsidRDefault="00AA5D77">
      <w:r w:rsidRPr="006C40C1">
        <w:t xml:space="preserve">Det finns en vitt utbredd uppfattning från vår tid som ett höginkomstland att vi konkurrerar med kvalitetsprodukter. Nutek har dock pekat på att Sverige utvecklats mer mot att konkurrera med pris snarare än kvalitet. I underlaget till den senaste Långtidsutredningen konstaterades att exportens innehåll av humankapital under 80- och 90-talen försvagades relativt till importen. </w:t>
      </w:r>
    </w:p>
    <w:p w:rsidR="00AA5D77" w:rsidRPr="006C40C1" w:rsidRDefault="00AA5D77">
      <w:pPr>
        <w:pStyle w:val="Rubrik4"/>
        <w:rPr>
          <w:noProof w:val="0"/>
        </w:rPr>
      </w:pPr>
      <w:bookmarkStart w:id="763" w:name="_Toc25581313"/>
      <w:bookmarkStart w:id="764" w:name="_Toc26191605"/>
      <w:r w:rsidRPr="006C40C1">
        <w:rPr>
          <w:noProof w:val="0"/>
        </w:rPr>
        <w:t>Ensidigt storföretagsberoende</w:t>
      </w:r>
      <w:bookmarkEnd w:id="763"/>
      <w:bookmarkEnd w:id="764"/>
    </w:p>
    <w:p w:rsidR="00AA5D77" w:rsidRPr="006C40C1" w:rsidRDefault="00AA5D77">
      <w:r w:rsidRPr="006C40C1">
        <w:t>Att en så stor del av forskningen och utvecklingen ligger i stora företag inn</w:t>
      </w:r>
      <w:r w:rsidRPr="006C40C1">
        <w:t>e</w:t>
      </w:r>
      <w:r w:rsidRPr="006C40C1">
        <w:t>bär att den lätt kan komma att flyttas till andra länder i takt med att de stora företagen blir alltmer internationellt rörliga. Pharmacia-Upjohns flyttning från Sverige till USA är ett exempel. Kontrollen av de svenskbaserade storföret</w:t>
      </w:r>
      <w:r w:rsidRPr="006C40C1">
        <w:t>a</w:t>
      </w:r>
      <w:r w:rsidRPr="006C40C1">
        <w:t>gen har under några år snabbt förflyttats utomlands. Det svenska skattesyst</w:t>
      </w:r>
      <w:r w:rsidRPr="006C40C1">
        <w:t>e</w:t>
      </w:r>
      <w:r w:rsidRPr="006C40C1">
        <w:t>met har ensidigt gynnat uppkomsten av ett omfattande utländskt ägande. En relativt låg bolagsskattesats motverkas av att den totala beskattningen av ägande är högst bland jämförbara länder. Alltfler</w:t>
      </w:r>
      <w:r w:rsidRPr="006C40C1">
        <w:t xml:space="preserve"> stora företags huvudkontor kommer efterhand att ligga i utlandet. Med dem följer att viktiga funktioner som är knutna till huvudkontoren också successivt förflyttas ut ur Sverige. Flödet av forskning och ägande ut ur landet vore ett mindre problem om det funnes en stark ström i motsatt riktning. Men så är inte fallet.  </w:t>
      </w:r>
    </w:p>
    <w:p w:rsidR="00AA5D77" w:rsidRPr="006C40C1" w:rsidRDefault="00AA5D77">
      <w:pPr>
        <w:pStyle w:val="Rubrik4"/>
        <w:rPr>
          <w:noProof w:val="0"/>
        </w:rPr>
      </w:pPr>
      <w:bookmarkStart w:id="765" w:name="_Toc25581314"/>
      <w:bookmarkStart w:id="766" w:name="_Toc26191606"/>
      <w:r w:rsidRPr="006C40C1">
        <w:rPr>
          <w:noProof w:val="0"/>
        </w:rPr>
        <w:t>Liten tjänstesektor</w:t>
      </w:r>
      <w:bookmarkEnd w:id="765"/>
      <w:bookmarkEnd w:id="766"/>
    </w:p>
    <w:p w:rsidR="00AA5D77" w:rsidRPr="006C40C1" w:rsidRDefault="00AA5D77">
      <w:r w:rsidRPr="006C40C1">
        <w:t xml:space="preserve">Sverige har en i internationell jämförelse liten tjänstesektor. Det hänger bl.a. samman med den starka monopoliseringen av offentligt finansierade tjänster. Som framgår av SNS Ekonomirådsrapport 2002 sker bara 32 % av hushållens tjänstekonsumtion på  konkurrensutsatta marknader mot 45 % inom EU i genomsnitt. </w:t>
      </w:r>
    </w:p>
    <w:p w:rsidR="00AA5D77" w:rsidRPr="006C40C1" w:rsidRDefault="00AA5D77">
      <w:pPr>
        <w:pStyle w:val="Rubrik4"/>
        <w:rPr>
          <w:noProof w:val="0"/>
        </w:rPr>
      </w:pPr>
      <w:bookmarkStart w:id="767" w:name="_Toc25581315"/>
      <w:bookmarkStart w:id="768" w:name="_Toc26191607"/>
      <w:r w:rsidRPr="006C40C1">
        <w:rPr>
          <w:noProof w:val="0"/>
        </w:rPr>
        <w:t>Låg avkastning på utbildning</w:t>
      </w:r>
      <w:bookmarkEnd w:id="767"/>
      <w:bookmarkEnd w:id="768"/>
    </w:p>
    <w:p w:rsidR="00AA5D77" w:rsidRPr="006C40C1" w:rsidRDefault="00AA5D77">
      <w:r w:rsidRPr="006C40C1">
        <w:t>Om vi ska kunna dra nytta av de omfattande utbildnings- och forskningsinsa</w:t>
      </w:r>
      <w:r w:rsidRPr="006C40C1">
        <w:t>t</w:t>
      </w:r>
      <w:r w:rsidRPr="006C40C1">
        <w:t xml:space="preserve">ser som görs måste det ske en omorientering från intresse och uppmärksamhet på volym till frågan om innehållet. </w:t>
      </w:r>
    </w:p>
    <w:p w:rsidR="00AA5D77" w:rsidRPr="006C40C1" w:rsidRDefault="00AA5D77">
      <w:pPr>
        <w:pStyle w:val="Normaltindrag"/>
      </w:pPr>
      <w:r w:rsidRPr="006C40C1">
        <w:t xml:space="preserve">Incitamenten att studera och forska måste vara tydliga. Avkastningen på utbildningen har stor effekt på benägenheten att studera. Den avkastningen är låg i Sverige. Teknik och naturvetenskap uppfattas som svårt och krävande i relation till den avkastning som sådana studier ger. Ålderslöneprofilerna är flacka vilket innebär att vidareutbildning och det livslånga lärandet ger för låg avkastning. </w:t>
      </w:r>
    </w:p>
    <w:p w:rsidR="00AA5D77" w:rsidRPr="006C40C1" w:rsidRDefault="00AA5D77">
      <w:pPr>
        <w:pStyle w:val="Normaltindrag"/>
      </w:pPr>
      <w:r w:rsidRPr="006C40C1">
        <w:t>Det har konstaterats att i Sverige har de som genomgått lång utbildning ofta kort årsarbetstid jämfört med i andra länder.  Avkastningen på utbil</w:t>
      </w:r>
      <w:r w:rsidRPr="006C40C1">
        <w:t>d</w:t>
      </w:r>
      <w:r w:rsidRPr="006C40C1">
        <w:t>ningen blir därmed låg från ett samhälleligt perspektiv. Höga skatter och små löneskillnader ger dessa grupper dålig lönsamhet av att öka arbetstiden. A</w:t>
      </w:r>
      <w:r w:rsidRPr="006C40C1">
        <w:t>n</w:t>
      </w:r>
      <w:r w:rsidRPr="006C40C1">
        <w:t>delen högskoleutbildade i en årskull är vikande, dvs. de yngre har kortare utbildningar än sin föräldrageneration. Detta skiljer oss från OECD-länderna i genomsnitt där andelen stiger kraftigt.</w:t>
      </w:r>
    </w:p>
    <w:p w:rsidR="00AA5D77" w:rsidRPr="006C40C1" w:rsidRDefault="00AA5D77">
      <w:pPr>
        <w:pStyle w:val="Rubrik4"/>
        <w:rPr>
          <w:noProof w:val="0"/>
        </w:rPr>
      </w:pPr>
      <w:bookmarkStart w:id="769" w:name="_Toc25581316"/>
      <w:bookmarkStart w:id="770" w:name="_Toc26191608"/>
      <w:r w:rsidRPr="006C40C1">
        <w:rPr>
          <w:noProof w:val="0"/>
        </w:rPr>
        <w:t>För få invandrare får jobb</w:t>
      </w:r>
      <w:bookmarkEnd w:id="769"/>
      <w:bookmarkEnd w:id="770"/>
    </w:p>
    <w:p w:rsidR="00AA5D77" w:rsidRPr="006C40C1" w:rsidRDefault="00AA5D77">
      <w:r w:rsidRPr="006C40C1">
        <w:t>Sverige har i högre grad än i många andra EU-länder haft svårt att få in i</w:t>
      </w:r>
      <w:r w:rsidRPr="006C40C1">
        <w:t>n</w:t>
      </w:r>
      <w:r w:rsidRPr="006C40C1">
        <w:t>vandrare på arbetsmarknaden. Detta utgör ett slöseri med resurser och orsakar stort lidande. Det är en viktig uppgift att ändra de förutsättningar som givit upphov till detta utanförskap. Det kräver åtgärder över ett brett spektrum, där förändring av  arbetsmarknadslagar och lönebildning sannolikt är vikt</w:t>
      </w:r>
      <w:r w:rsidRPr="006C40C1">
        <w:t>i</w:t>
      </w:r>
      <w:r w:rsidRPr="006C40C1">
        <w:t xml:space="preserve">gast. </w:t>
      </w:r>
    </w:p>
    <w:p w:rsidR="00AA5D77" w:rsidRPr="006C40C1" w:rsidRDefault="00AA5D77">
      <w:pPr>
        <w:pStyle w:val="Rubrik4"/>
        <w:rPr>
          <w:noProof w:val="0"/>
        </w:rPr>
      </w:pPr>
      <w:bookmarkStart w:id="771" w:name="_Toc25581317"/>
      <w:bookmarkStart w:id="772" w:name="_Toc26191609"/>
      <w:r w:rsidRPr="006C40C1">
        <w:rPr>
          <w:noProof w:val="0"/>
        </w:rPr>
        <w:t>Sämre möjligheter för kvinnor</w:t>
      </w:r>
      <w:bookmarkEnd w:id="771"/>
      <w:bookmarkEnd w:id="772"/>
    </w:p>
    <w:p w:rsidR="00AA5D77" w:rsidRPr="006C40C1" w:rsidRDefault="00AA5D77">
      <w:r w:rsidRPr="006C40C1">
        <w:t>Ett hinder för en förbättrad standard är vidare att många kvinnor inte får mö</w:t>
      </w:r>
      <w:r w:rsidRPr="006C40C1">
        <w:t>j</w:t>
      </w:r>
      <w:r w:rsidRPr="006C40C1">
        <w:t>lighet att utnyttja sin kapacitet till fullo genom monopoliseringen på de trad</w:t>
      </w:r>
      <w:r w:rsidRPr="006C40C1">
        <w:t>i</w:t>
      </w:r>
      <w:r w:rsidRPr="006C40C1">
        <w:t xml:space="preserve">tionella offentliga arbetsmarknaderna och genom den spärr som traditionella attityder kan utgöra. I Sverige når kvinnor chefspositioner i förhållandevis låg grad. </w:t>
      </w:r>
    </w:p>
    <w:p w:rsidR="00AA5D77" w:rsidRPr="006C40C1" w:rsidRDefault="00AA5D77">
      <w:pPr>
        <w:pStyle w:val="Rubrik4"/>
        <w:rPr>
          <w:noProof w:val="0"/>
        </w:rPr>
      </w:pPr>
      <w:bookmarkStart w:id="773" w:name="_Toc25581318"/>
      <w:bookmarkStart w:id="774" w:name="_Toc26191610"/>
      <w:r w:rsidRPr="006C40C1">
        <w:rPr>
          <w:noProof w:val="0"/>
        </w:rPr>
        <w:t>Sysselsatta men frånvarande</w:t>
      </w:r>
      <w:bookmarkEnd w:id="773"/>
      <w:bookmarkEnd w:id="774"/>
    </w:p>
    <w:p w:rsidR="00AA5D77" w:rsidRPr="006C40C1" w:rsidRDefault="00AA5D77">
      <w:r w:rsidRPr="006C40C1">
        <w:t>Även om den svenska sysselsättningsandelen är hög är frånvaron hög och stiger på ett mycket oroande sätt. Större delen av sysselsättningsökningen under senare år har gått till att ersätta frånvarande.</w:t>
      </w:r>
    </w:p>
    <w:p w:rsidR="00AA5D77" w:rsidRPr="006C40C1" w:rsidRDefault="00AA5D77">
      <w:pPr>
        <w:pStyle w:val="Rubrik4"/>
        <w:rPr>
          <w:noProof w:val="0"/>
        </w:rPr>
      </w:pPr>
      <w:bookmarkStart w:id="775" w:name="_Toc25581319"/>
      <w:bookmarkStart w:id="776" w:name="_Toc26191611"/>
      <w:r w:rsidRPr="006C40C1">
        <w:rPr>
          <w:noProof w:val="0"/>
        </w:rPr>
        <w:t>Svagheter i företagandet</w:t>
      </w:r>
      <w:bookmarkEnd w:id="775"/>
      <w:bookmarkEnd w:id="776"/>
    </w:p>
    <w:p w:rsidR="00AA5D77" w:rsidRPr="006C40C1" w:rsidRDefault="00AA5D77">
      <w:r w:rsidRPr="006C40C1">
        <w:t>Sverige kan inte få fart på en uthållig tillväxt och förbättra sin ställning mot omvärlden utan att det blir fart på företagandet. De stora svenska multinati</w:t>
      </w:r>
      <w:r w:rsidRPr="006C40C1">
        <w:t>o</w:t>
      </w:r>
      <w:r w:rsidRPr="006C40C1">
        <w:t xml:space="preserve">nella företagen har starkt bidragit till den svenska välfärden. Men i och med att de blir mer internationaliserade, och rörligare, måste vi ha en bas av nya uppväxande företag. </w:t>
      </w:r>
    </w:p>
    <w:p w:rsidR="00AA5D77" w:rsidRPr="006C40C1" w:rsidRDefault="00AA5D77">
      <w:pPr>
        <w:pStyle w:val="Normaltindrag"/>
      </w:pPr>
      <w:r w:rsidRPr="006C40C1">
        <w:t>Små företag som snabbt växer till att bli medelstora och så småningom st</w:t>
      </w:r>
      <w:r w:rsidRPr="006C40C1">
        <w:t>o</w:t>
      </w:r>
      <w:r w:rsidRPr="006C40C1">
        <w:t xml:space="preserve">ra kallas ”gaseller”. Dessa har i många länder svarat för en betydande del av sysselsättningsökningen. Sverige har relativt sett få gaseller. Villkoren för att växa och expandera är inte tillräckligt gynnsamma. </w:t>
      </w:r>
    </w:p>
    <w:p w:rsidR="00AA5D77" w:rsidRPr="006C40C1" w:rsidRDefault="00AA5D77">
      <w:r w:rsidRPr="006C40C1">
        <w:t xml:space="preserve">Nutek uttrycker i en ny rapport stark oro över denna situation: </w:t>
      </w:r>
    </w:p>
    <w:p w:rsidR="00AA5D77" w:rsidRPr="006C40C1" w:rsidRDefault="00AA5D77">
      <w:pPr>
        <w:pStyle w:val="Citat"/>
        <w:spacing w:before="120"/>
      </w:pPr>
      <w:r w:rsidRPr="006C40C1">
        <w:t>Nutek anser att det finns allvarliga strukturella problem i det svenska f</w:t>
      </w:r>
      <w:r w:rsidRPr="006C40C1">
        <w:t>ö</w:t>
      </w:r>
      <w:r w:rsidRPr="006C40C1">
        <w:t>retagsklimatet som kommer att påverka den framtida ekonomiska u</w:t>
      </w:r>
      <w:r w:rsidRPr="006C40C1">
        <w:t>t</w:t>
      </w:r>
      <w:r w:rsidRPr="006C40C1">
        <w:t>vecklingen. En stark strukturomvandling bland svenska storföretag ko</w:t>
      </w:r>
      <w:r w:rsidRPr="006C40C1">
        <w:t>m</w:t>
      </w:r>
      <w:r w:rsidRPr="006C40C1">
        <w:t>binerat med en låg entreprenöriell aktivitet i form av nya och svag til</w:t>
      </w:r>
      <w:r w:rsidRPr="006C40C1">
        <w:t>l</w:t>
      </w:r>
      <w:r w:rsidRPr="006C40C1">
        <w:t>växt bland befintliga småföretag kommer att inverka negativt på svensk ekonomis u</w:t>
      </w:r>
      <w:r w:rsidRPr="006C40C1">
        <w:t>t</w:t>
      </w:r>
      <w:r w:rsidRPr="006C40C1">
        <w:t>veckling.</w:t>
      </w:r>
    </w:p>
    <w:p w:rsidR="00AA5D77" w:rsidRPr="006C40C1" w:rsidRDefault="00AA5D77">
      <w:r w:rsidRPr="006C40C1">
        <w:t>Nutek visar att andelen nystartade företag i Sverige är låg:</w:t>
      </w:r>
    </w:p>
    <w:p w:rsidR="00AA5D77" w:rsidRPr="006C40C1" w:rsidRDefault="00AA5D77">
      <w:pPr>
        <w:pStyle w:val="Reservationstabell"/>
        <w:keepNext/>
        <w:spacing w:after="40"/>
        <w:outlineLvl w:val="0"/>
      </w:pPr>
      <w:r w:rsidRPr="006C40C1">
        <w:t>Tabell. Andelen nystartade företag</w:t>
      </w:r>
    </w:p>
    <w:tbl>
      <w:tblPr>
        <w:tblW w:w="0" w:type="auto"/>
        <w:tblInd w:w="-113" w:type="dxa"/>
        <w:tblBorders>
          <w:top w:val="single" w:sz="4" w:space="0" w:color="000000"/>
          <w:bottom w:val="single" w:sz="4" w:space="0" w:color="000000"/>
          <w:insideH w:val="single" w:sz="4" w:space="0" w:color="00FFFF"/>
        </w:tblBorders>
        <w:tblLayout w:type="fixed"/>
        <w:tblCellMar>
          <w:left w:w="113" w:type="dxa"/>
          <w:right w:w="113" w:type="dxa"/>
        </w:tblCellMar>
        <w:tblLook w:val="0000" w:firstRow="0" w:lastRow="0" w:firstColumn="0" w:lastColumn="0" w:noHBand="0" w:noVBand="0"/>
      </w:tblPr>
      <w:tblGrid>
        <w:gridCol w:w="2523"/>
        <w:gridCol w:w="1701"/>
      </w:tblGrid>
      <w:tr w:rsidR="00000000" w:rsidRPr="006C40C1">
        <w:tblPrEx>
          <w:tblCellMar>
            <w:top w:w="0" w:type="dxa"/>
            <w:bottom w:w="0" w:type="dxa"/>
          </w:tblCellMar>
        </w:tblPrEx>
        <w:trPr>
          <w:trHeight w:val="120"/>
        </w:trPr>
        <w:tc>
          <w:tcPr>
            <w:tcW w:w="2523" w:type="dxa"/>
            <w:tcBorders>
              <w:top w:val="single" w:sz="4" w:space="0" w:color="000000"/>
              <w:bottom w:val="single" w:sz="4" w:space="0" w:color="000000"/>
            </w:tcBorders>
          </w:tcPr>
          <w:p w:rsidR="00AA5D77" w:rsidRPr="006C40C1" w:rsidRDefault="00AA5D77">
            <w:pPr>
              <w:pStyle w:val="Tabelltext"/>
              <w:keepNext/>
            </w:pPr>
            <w:r w:rsidRPr="006C40C1">
              <w:t>Land</w:t>
            </w:r>
          </w:p>
        </w:tc>
        <w:tc>
          <w:tcPr>
            <w:tcW w:w="1701" w:type="dxa"/>
            <w:tcBorders>
              <w:top w:val="single" w:sz="4" w:space="0" w:color="000000"/>
              <w:bottom w:val="single" w:sz="4" w:space="0" w:color="000000"/>
            </w:tcBorders>
          </w:tcPr>
          <w:p w:rsidR="00AA5D77" w:rsidRPr="006C40C1" w:rsidRDefault="00AA5D77">
            <w:pPr>
              <w:pStyle w:val="Tabelltext"/>
              <w:keepNext/>
              <w:jc w:val="center"/>
            </w:pPr>
            <w:r w:rsidRPr="006C40C1">
              <w:t>Nya företag i % av befintliga</w:t>
            </w:r>
          </w:p>
        </w:tc>
      </w:tr>
      <w:tr w:rsidR="00000000" w:rsidRPr="006C40C1">
        <w:tblPrEx>
          <w:tblCellMar>
            <w:top w:w="0" w:type="dxa"/>
            <w:bottom w:w="0" w:type="dxa"/>
          </w:tblCellMar>
        </w:tblPrEx>
        <w:trPr>
          <w:trHeight w:val="120"/>
        </w:trPr>
        <w:tc>
          <w:tcPr>
            <w:tcW w:w="2523" w:type="dxa"/>
            <w:tcBorders>
              <w:top w:val="single" w:sz="4" w:space="0" w:color="000000"/>
            </w:tcBorders>
          </w:tcPr>
          <w:p w:rsidR="00AA5D77" w:rsidRPr="006C40C1" w:rsidRDefault="00AA5D77">
            <w:pPr>
              <w:pStyle w:val="Tabelltext"/>
              <w:keepNext/>
            </w:pPr>
            <w:r w:rsidRPr="006C40C1">
              <w:t>Tyskland</w:t>
            </w:r>
          </w:p>
        </w:tc>
        <w:tc>
          <w:tcPr>
            <w:tcW w:w="1701" w:type="dxa"/>
            <w:tcBorders>
              <w:top w:val="single" w:sz="4" w:space="0" w:color="000000"/>
            </w:tcBorders>
          </w:tcPr>
          <w:p w:rsidR="00AA5D77" w:rsidRPr="006C40C1" w:rsidRDefault="00AA5D77">
            <w:pPr>
              <w:pStyle w:val="Tabelltext"/>
              <w:keepNext/>
              <w:jc w:val="center"/>
            </w:pPr>
            <w:r w:rsidRPr="006C40C1">
              <w:t>15,7</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Irland</w:t>
            </w:r>
          </w:p>
        </w:tc>
        <w:tc>
          <w:tcPr>
            <w:tcW w:w="1701" w:type="dxa"/>
          </w:tcPr>
          <w:p w:rsidR="00AA5D77" w:rsidRPr="006C40C1" w:rsidRDefault="00AA5D77">
            <w:pPr>
              <w:pStyle w:val="Tabelltext"/>
              <w:keepNext/>
              <w:jc w:val="center"/>
            </w:pPr>
            <w:r w:rsidRPr="006C40C1">
              <w:t>14,2</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Spanien</w:t>
            </w:r>
          </w:p>
        </w:tc>
        <w:tc>
          <w:tcPr>
            <w:tcW w:w="1701" w:type="dxa"/>
          </w:tcPr>
          <w:p w:rsidR="00AA5D77" w:rsidRPr="006C40C1" w:rsidRDefault="00AA5D77">
            <w:pPr>
              <w:pStyle w:val="Tabelltext"/>
              <w:keepNext/>
              <w:jc w:val="center"/>
            </w:pPr>
            <w:r w:rsidRPr="006C40C1">
              <w:t>13,3</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Portugal </w:t>
            </w:r>
          </w:p>
        </w:tc>
        <w:tc>
          <w:tcPr>
            <w:tcW w:w="1701" w:type="dxa"/>
          </w:tcPr>
          <w:p w:rsidR="00AA5D77" w:rsidRPr="006C40C1" w:rsidRDefault="00AA5D77">
            <w:pPr>
              <w:pStyle w:val="Tabelltext"/>
              <w:keepNext/>
              <w:jc w:val="center"/>
            </w:pPr>
            <w:r w:rsidRPr="006C40C1">
              <w:t>13,2</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Finland</w:t>
            </w:r>
          </w:p>
        </w:tc>
        <w:tc>
          <w:tcPr>
            <w:tcW w:w="1701" w:type="dxa"/>
          </w:tcPr>
          <w:p w:rsidR="00AA5D77" w:rsidRPr="006C40C1" w:rsidRDefault="00AA5D77">
            <w:pPr>
              <w:pStyle w:val="Tabelltext"/>
              <w:keepNext/>
              <w:jc w:val="center"/>
            </w:pPr>
            <w:r w:rsidRPr="006C40C1">
              <w:t>12,3</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Frankrike</w:t>
            </w:r>
          </w:p>
        </w:tc>
        <w:tc>
          <w:tcPr>
            <w:tcW w:w="1701" w:type="dxa"/>
          </w:tcPr>
          <w:p w:rsidR="00AA5D77" w:rsidRPr="006C40C1" w:rsidRDefault="00AA5D77">
            <w:pPr>
              <w:pStyle w:val="Tabelltext"/>
              <w:keepNext/>
              <w:jc w:val="center"/>
            </w:pPr>
            <w:r w:rsidRPr="006C40C1">
              <w:t>11,6</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Grekland</w:t>
            </w:r>
          </w:p>
        </w:tc>
        <w:tc>
          <w:tcPr>
            <w:tcW w:w="1701" w:type="dxa"/>
          </w:tcPr>
          <w:p w:rsidR="00AA5D77" w:rsidRPr="006C40C1" w:rsidRDefault="00AA5D77">
            <w:pPr>
              <w:pStyle w:val="Tabelltext"/>
              <w:keepNext/>
              <w:jc w:val="center"/>
            </w:pPr>
            <w:r w:rsidRPr="006C40C1">
              <w:t>11,0</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Storbritannien</w:t>
            </w:r>
          </w:p>
        </w:tc>
        <w:tc>
          <w:tcPr>
            <w:tcW w:w="1701" w:type="dxa"/>
          </w:tcPr>
          <w:p w:rsidR="00AA5D77" w:rsidRPr="006C40C1" w:rsidRDefault="00AA5D77">
            <w:pPr>
              <w:pStyle w:val="Tabelltext"/>
              <w:keepNext/>
              <w:jc w:val="center"/>
            </w:pPr>
            <w:r w:rsidRPr="006C40C1">
              <w:t>10,9</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Nederländerna</w:t>
            </w:r>
          </w:p>
        </w:tc>
        <w:tc>
          <w:tcPr>
            <w:tcW w:w="1701" w:type="dxa"/>
          </w:tcPr>
          <w:p w:rsidR="00AA5D77" w:rsidRPr="006C40C1" w:rsidRDefault="00AA5D77">
            <w:pPr>
              <w:pStyle w:val="Tabelltext"/>
              <w:keepNext/>
              <w:jc w:val="center"/>
            </w:pPr>
            <w:r w:rsidRPr="006C40C1">
              <w:t>10,2</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Belgien</w:t>
            </w:r>
          </w:p>
        </w:tc>
        <w:tc>
          <w:tcPr>
            <w:tcW w:w="1701" w:type="dxa"/>
          </w:tcPr>
          <w:p w:rsidR="00AA5D77" w:rsidRPr="006C40C1" w:rsidRDefault="00AA5D77">
            <w:pPr>
              <w:pStyle w:val="Tabelltext"/>
              <w:keepNext/>
              <w:jc w:val="center"/>
            </w:pPr>
            <w:r w:rsidRPr="006C40C1">
              <w:t>8,4</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Island</w:t>
            </w:r>
          </w:p>
        </w:tc>
        <w:tc>
          <w:tcPr>
            <w:tcW w:w="1701" w:type="dxa"/>
          </w:tcPr>
          <w:p w:rsidR="00AA5D77" w:rsidRPr="006C40C1" w:rsidRDefault="00AA5D77">
            <w:pPr>
              <w:pStyle w:val="Tabelltext"/>
              <w:keepNext/>
              <w:jc w:val="center"/>
            </w:pPr>
            <w:r w:rsidRPr="006C40C1">
              <w:t>8,2</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Sverige</w:t>
            </w:r>
          </w:p>
        </w:tc>
        <w:tc>
          <w:tcPr>
            <w:tcW w:w="1701" w:type="dxa"/>
          </w:tcPr>
          <w:p w:rsidR="00AA5D77" w:rsidRPr="006C40C1" w:rsidRDefault="00AA5D77">
            <w:pPr>
              <w:pStyle w:val="Tabelltext"/>
              <w:keepNext/>
              <w:jc w:val="center"/>
            </w:pPr>
            <w:r w:rsidRPr="006C40C1">
              <w:t>8,2</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Italien</w:t>
            </w:r>
          </w:p>
        </w:tc>
        <w:tc>
          <w:tcPr>
            <w:tcW w:w="1701" w:type="dxa"/>
          </w:tcPr>
          <w:p w:rsidR="00AA5D77" w:rsidRPr="006C40C1" w:rsidRDefault="00AA5D77">
            <w:pPr>
              <w:pStyle w:val="Tabelltext"/>
              <w:keepNext/>
              <w:jc w:val="center"/>
            </w:pPr>
            <w:r w:rsidRPr="006C40C1">
              <w:t>8,1</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Schweiz</w:t>
            </w:r>
          </w:p>
        </w:tc>
        <w:tc>
          <w:tcPr>
            <w:tcW w:w="1701" w:type="dxa"/>
          </w:tcPr>
          <w:p w:rsidR="00AA5D77" w:rsidRPr="006C40C1" w:rsidRDefault="00AA5D77">
            <w:pPr>
              <w:pStyle w:val="Tabelltext"/>
              <w:keepNext/>
              <w:jc w:val="center"/>
            </w:pPr>
            <w:r w:rsidRPr="006C40C1">
              <w:t>7,5</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Österrike</w:t>
            </w:r>
          </w:p>
        </w:tc>
        <w:tc>
          <w:tcPr>
            <w:tcW w:w="1701" w:type="dxa"/>
          </w:tcPr>
          <w:p w:rsidR="00AA5D77" w:rsidRPr="006C40C1" w:rsidRDefault="00AA5D77">
            <w:pPr>
              <w:pStyle w:val="Tabelltext"/>
              <w:keepNext/>
              <w:jc w:val="center"/>
            </w:pPr>
            <w:r w:rsidRPr="006C40C1">
              <w:t>7,4</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Liechtenstein</w:t>
            </w:r>
          </w:p>
        </w:tc>
        <w:tc>
          <w:tcPr>
            <w:tcW w:w="1701" w:type="dxa"/>
          </w:tcPr>
          <w:p w:rsidR="00AA5D77" w:rsidRPr="006C40C1" w:rsidRDefault="00AA5D77">
            <w:pPr>
              <w:pStyle w:val="Tabelltext"/>
              <w:keepNext/>
              <w:jc w:val="center"/>
            </w:pPr>
            <w:r w:rsidRPr="006C40C1">
              <w:t>7,4</w:t>
            </w:r>
          </w:p>
        </w:tc>
      </w:tr>
      <w:tr w:rsidR="00000000" w:rsidRPr="006C40C1">
        <w:tblPrEx>
          <w:tblCellMar>
            <w:top w:w="0" w:type="dxa"/>
            <w:bottom w:w="0" w:type="dxa"/>
          </w:tblCellMar>
        </w:tblPrEx>
        <w:trPr>
          <w:trHeight w:val="120"/>
        </w:trPr>
        <w:tc>
          <w:tcPr>
            <w:tcW w:w="2523" w:type="dxa"/>
          </w:tcPr>
          <w:p w:rsidR="00AA5D77" w:rsidRPr="006C40C1" w:rsidRDefault="00AA5D77">
            <w:pPr>
              <w:pStyle w:val="Tabelltext"/>
              <w:keepNext/>
            </w:pPr>
            <w:r w:rsidRPr="006C40C1">
              <w:t xml:space="preserve"> Danmark</w:t>
            </w:r>
          </w:p>
        </w:tc>
        <w:tc>
          <w:tcPr>
            <w:tcW w:w="1701" w:type="dxa"/>
          </w:tcPr>
          <w:p w:rsidR="00AA5D77" w:rsidRPr="006C40C1" w:rsidRDefault="00AA5D77">
            <w:pPr>
              <w:pStyle w:val="Tabelltext"/>
              <w:keepNext/>
              <w:jc w:val="center"/>
            </w:pPr>
            <w:r w:rsidRPr="006C40C1">
              <w:t>6,5</w:t>
            </w:r>
          </w:p>
        </w:tc>
      </w:tr>
    </w:tbl>
    <w:p w:rsidR="00AA5D77" w:rsidRPr="006C40C1" w:rsidRDefault="00AA5D77">
      <w:pPr>
        <w:pStyle w:val="Fotnotstext"/>
        <w:spacing w:before="40"/>
        <w:rPr>
          <w:sz w:val="14"/>
        </w:rPr>
      </w:pPr>
      <w:r w:rsidRPr="006C40C1">
        <w:rPr>
          <w:sz w:val="14"/>
        </w:rPr>
        <w:t>Källor: Nutek och European Observatory Study 2002</w:t>
      </w:r>
    </w:p>
    <w:p w:rsidR="00AA5D77" w:rsidRPr="006C40C1" w:rsidRDefault="00AA5D77">
      <w:r w:rsidRPr="006C40C1">
        <w:t>Skilda regler och lagar i olika länder kan påverka företagsbildandet, men med tanke på behovet av att motväga en alltmer rörlig storföretagssektor borde nybildandet vara högre i Sverige. OECD:s undersökningar visar att barriären av regler m.m. som hindrar företagandet är förhållandevis hög i Sverige.</w:t>
      </w:r>
    </w:p>
    <w:p w:rsidR="00AA5D77" w:rsidRPr="006C40C1" w:rsidRDefault="00AA5D77">
      <w:pPr>
        <w:pStyle w:val="Normaltindrag"/>
      </w:pPr>
      <w:r w:rsidRPr="006C40C1">
        <w:t>Det europeiska patentkontoret redovisar att svenskarna finns i toppen när man mäter antalet ansökningar om nya patent i relation till befolkningsstorl</w:t>
      </w:r>
      <w:r w:rsidRPr="006C40C1">
        <w:t>e</w:t>
      </w:r>
      <w:r w:rsidRPr="006C40C1">
        <w:t>ken. Upp</w:t>
      </w:r>
      <w:r w:rsidRPr="006C40C1">
        <w:softHyphen/>
        <w:t>fin</w:t>
      </w:r>
      <w:r w:rsidRPr="006C40C1">
        <w:softHyphen/>
        <w:t>ningar</w:t>
      </w:r>
      <w:r w:rsidRPr="006C40C1">
        <w:softHyphen/>
        <w:t xml:space="preserve">na och idémakarna stöter dock på för många hinder för att idéerna ska leda till den nyföretagarboom som skulle kunna bli följden av dessa patent. </w:t>
      </w:r>
    </w:p>
    <w:p w:rsidR="00AA5D77" w:rsidRPr="006C40C1" w:rsidRDefault="00AA5D77">
      <w:pPr>
        <w:pStyle w:val="Normaltindrag"/>
      </w:pPr>
      <w:r w:rsidRPr="006C40C1">
        <w:t>Enligt Nuteks kalkyler kan skillnaden mellan ett högt och ett lågt nyföret</w:t>
      </w:r>
      <w:r w:rsidRPr="006C40C1">
        <w:t>a</w:t>
      </w:r>
      <w:r w:rsidRPr="006C40C1">
        <w:t>gande innebära en skillnad i tillskott till BNP om ca 15 miljarder kronor över en sjuårsperiod. Den direkta ekonomiska effekten är således viktig även om den största långsiktiga effekten uppkommer genom de tillväxtprocesser som sätts i gång.</w:t>
      </w:r>
    </w:p>
    <w:p w:rsidR="00AA5D77" w:rsidRPr="006C40C1" w:rsidRDefault="00AA5D77">
      <w:pPr>
        <w:pStyle w:val="Rubrik4"/>
        <w:rPr>
          <w:noProof w:val="0"/>
        </w:rPr>
      </w:pPr>
      <w:bookmarkStart w:id="777" w:name="_Toc25581320"/>
      <w:bookmarkStart w:id="778" w:name="_Toc26191612"/>
      <w:r w:rsidRPr="006C40C1">
        <w:rPr>
          <w:noProof w:val="0"/>
        </w:rPr>
        <w:t>Innovationspolitiska expertgruppens slutsatser</w:t>
      </w:r>
      <w:bookmarkEnd w:id="777"/>
      <w:bookmarkEnd w:id="778"/>
    </w:p>
    <w:p w:rsidR="00AA5D77" w:rsidRPr="006C40C1" w:rsidRDefault="00AA5D77">
      <w:r w:rsidRPr="006C40C1">
        <w:t>Den av Näringsdepartementet och Utbildningsdepartementet tillsatta Innov</w:t>
      </w:r>
      <w:r w:rsidRPr="006C40C1">
        <w:t>a</w:t>
      </w:r>
      <w:r w:rsidRPr="006C40C1">
        <w:t>tionspolitiska expertgruppen sammanfattar Sveriges ställning:</w:t>
      </w:r>
    </w:p>
    <w:p w:rsidR="00AA5D77" w:rsidRPr="006C40C1" w:rsidRDefault="00AA5D77">
      <w:pPr>
        <w:pStyle w:val="Normaltindrag"/>
      </w:pPr>
    </w:p>
    <w:p w:rsidR="00AA5D77" w:rsidRPr="006C40C1" w:rsidRDefault="00AA5D77">
      <w:pPr>
        <w:pStyle w:val="Citat"/>
      </w:pPr>
      <w:r w:rsidRPr="006C40C1">
        <w:t>Sverige tillhör de länder som investerar mest i den kunskapsbaserade ekonomin men inte dem som får ut de största vinsterna. Tvärtom har Sv</w:t>
      </w:r>
      <w:r w:rsidRPr="006C40C1">
        <w:t>e</w:t>
      </w:r>
      <w:r w:rsidRPr="006C40C1">
        <w:t>rige förlorat kraftigt i ekonomiskt välstånd under de senaste decennierna, även om en viss återhämtning ägde rum i slutet av 1990-talet. Att åtgärda denna ”svenska paradox” är av stor betydelse för våra förutsättningar att stärka tillväxten och välfärden. (Betydelsen av Innovationssystem. U</w:t>
      </w:r>
      <w:r w:rsidRPr="006C40C1">
        <w:t>t</w:t>
      </w:r>
      <w:r w:rsidRPr="006C40C1">
        <w:t>maningar för samhället och för politiken, s. 25)</w:t>
      </w:r>
    </w:p>
    <w:p w:rsidR="00AA5D77" w:rsidRPr="006C40C1" w:rsidRDefault="00AA5D77">
      <w:r w:rsidRPr="006C40C1">
        <w:t>För att verkligen åstadkomma en reell förändring måste den ekonomiska politiken inriktas på frågeställningar som verkligen angriper de rätta frågorna. Som den ovan nämnda</w:t>
      </w:r>
      <w:r w:rsidRPr="006C40C1">
        <w:t xml:space="preserve"> Innovationspolitiska exper</w:t>
      </w:r>
      <w:r w:rsidRPr="006C40C1">
        <w:t>t</w:t>
      </w:r>
      <w:r w:rsidRPr="006C40C1">
        <w:t>gruppen uttrycker det:</w:t>
      </w:r>
    </w:p>
    <w:p w:rsidR="00AA5D77" w:rsidRPr="006C40C1" w:rsidRDefault="00AA5D77">
      <w:pPr>
        <w:pStyle w:val="Normaltindrag"/>
      </w:pPr>
    </w:p>
    <w:p w:rsidR="00AA5D77" w:rsidRPr="006C40C1" w:rsidRDefault="00AA5D77">
      <w:pPr>
        <w:pStyle w:val="Citat"/>
      </w:pPr>
      <w:r w:rsidRPr="006C40C1">
        <w:t>Trots en hel del tidig forskning på området (...) har diskussionen i Sver</w:t>
      </w:r>
      <w:r w:rsidRPr="006C40C1">
        <w:t>i</w:t>
      </w:r>
      <w:r w:rsidRPr="006C40C1">
        <w:t>ge hittills handlat mer om teknologi än innovationer, makroekonomi sn</w:t>
      </w:r>
      <w:r w:rsidRPr="006C40C1">
        <w:t>a</w:t>
      </w:r>
      <w:r w:rsidRPr="006C40C1">
        <w:t>rare än strukturfrågor, företag snarare än företagande, utbildning snarare än lärande, fördelning snarare än tillväxt.</w:t>
      </w:r>
    </w:p>
    <w:p w:rsidR="00AA5D77" w:rsidRPr="006C40C1" w:rsidRDefault="00AA5D77">
      <w:pPr>
        <w:pStyle w:val="Rubrik2"/>
      </w:pPr>
      <w:bookmarkStart w:id="779" w:name="_Toc24964667"/>
      <w:bookmarkStart w:id="780" w:name="_Toc25581321"/>
      <w:bookmarkStart w:id="781" w:name="_Toc26191613"/>
      <w:r w:rsidRPr="006C40C1">
        <w:t>Det ekonomiska läget</w:t>
      </w:r>
      <w:bookmarkEnd w:id="779"/>
      <w:bookmarkEnd w:id="780"/>
      <w:bookmarkEnd w:id="781"/>
    </w:p>
    <w:p w:rsidR="00AA5D77" w:rsidRPr="006C40C1" w:rsidRDefault="00AA5D77">
      <w:pPr>
        <w:pStyle w:val="Rubrik3"/>
        <w:spacing w:before="110"/>
        <w:rPr>
          <w:noProof w:val="0"/>
        </w:rPr>
      </w:pPr>
      <w:bookmarkStart w:id="782" w:name="_Toc24964668"/>
      <w:bookmarkStart w:id="783" w:name="_Toc25581322"/>
      <w:bookmarkStart w:id="784" w:name="_Toc26191614"/>
      <w:r w:rsidRPr="006C40C1">
        <w:rPr>
          <w:noProof w:val="0"/>
        </w:rPr>
        <w:t>Den globala konjunkturutvecklingen</w:t>
      </w:r>
      <w:bookmarkEnd w:id="782"/>
      <w:bookmarkEnd w:id="783"/>
      <w:bookmarkEnd w:id="784"/>
    </w:p>
    <w:p w:rsidR="00AA5D77" w:rsidRPr="006C40C1" w:rsidRDefault="00AA5D77">
      <w:r w:rsidRPr="006C40C1">
        <w:t>Sedan årsskiftet har det pågått en försiktig återhämtning i den globala ekon</w:t>
      </w:r>
      <w:r w:rsidRPr="006C40C1">
        <w:t>o</w:t>
      </w:r>
      <w:r w:rsidRPr="006C40C1">
        <w:t xml:space="preserve">min. År 2001 ser nu ut att markera botten i en konjunkturcykel som visat vissa tecken på att vända uppåt. Dock ser tillväxtprognoserna inte fullt så positiva ut för år 2003 som de gjorde så sent som våren 2002. Enligt IMF:s </w:t>
      </w:r>
      <w:r w:rsidRPr="006C40C1">
        <w:rPr>
          <w:i/>
        </w:rPr>
        <w:t xml:space="preserve">World Economic Outlook </w:t>
      </w:r>
      <w:r w:rsidRPr="006C40C1">
        <w:t>från september 2002 kommer den globala ekon</w:t>
      </w:r>
      <w:r w:rsidRPr="006C40C1">
        <w:t>o</w:t>
      </w:r>
      <w:r w:rsidRPr="006C40C1">
        <w:t>min att växa med 3,7 % nästa år. I april var IMF:s prognos 4,0 % för 2003. Bland industriländerna råder den lägsta inflationsnivån på mycket länge. Enligt IMF:s prognoser blir inflationen 1,4 % i år och förväntas bli 1,7</w:t>
      </w:r>
      <w:r w:rsidRPr="006C40C1">
        <w:t xml:space="preserve"> % 2003. Osäkerheten efter terrordåden den 11 september 2001 har delvis fö</w:t>
      </w:r>
      <w:r w:rsidRPr="006C40C1">
        <w:t>r</w:t>
      </w:r>
      <w:r w:rsidRPr="006C40C1">
        <w:t>bytts i osäkerhet inför risken för krig mellan USA och Irak.</w:t>
      </w:r>
    </w:p>
    <w:p w:rsidR="00AA5D77" w:rsidRPr="006C40C1" w:rsidRDefault="00AA5D77">
      <w:pPr>
        <w:pStyle w:val="Rubrik4"/>
        <w:rPr>
          <w:noProof w:val="0"/>
        </w:rPr>
      </w:pPr>
      <w:bookmarkStart w:id="785" w:name="_Toc23145728"/>
      <w:bookmarkStart w:id="786" w:name="_Toc24898802"/>
      <w:bookmarkStart w:id="787" w:name="_Toc24964669"/>
      <w:bookmarkStart w:id="788" w:name="_Toc25581323"/>
      <w:bookmarkStart w:id="789" w:name="_Toc26191615"/>
      <w:r w:rsidRPr="006C40C1">
        <w:rPr>
          <w:noProof w:val="0"/>
        </w:rPr>
        <w:t xml:space="preserve">Osäkerhet om den amerikanska </w:t>
      </w:r>
      <w:bookmarkEnd w:id="785"/>
      <w:bookmarkEnd w:id="786"/>
      <w:r w:rsidRPr="006C40C1">
        <w:rPr>
          <w:noProof w:val="0"/>
        </w:rPr>
        <w:t>utvecklingen</w:t>
      </w:r>
      <w:bookmarkEnd w:id="787"/>
      <w:bookmarkEnd w:id="788"/>
      <w:bookmarkEnd w:id="789"/>
    </w:p>
    <w:p w:rsidR="00AA5D77" w:rsidRPr="006C40C1" w:rsidRDefault="00AA5D77">
      <w:r w:rsidRPr="006C40C1">
        <w:t>Förhoppningarna om en relativt snabb återhämtning av den amerikanska ekonomin har inte infriats. Sjunkande aktiekurser har minskat hushållens tillgångar och därmed konsumtionsbenägenheten. Osäkerheten inför ett eventuellt krig mot Irak präglar den amerikanska ekonomin. Många bedömare tror att arbetslösheten i USA kommer att öka på kort sikt.</w:t>
      </w:r>
    </w:p>
    <w:p w:rsidR="00AA5D77" w:rsidRPr="006C40C1" w:rsidRDefault="00AA5D77">
      <w:pPr>
        <w:pStyle w:val="Normaltindrag"/>
      </w:pPr>
      <w:r w:rsidRPr="006C40C1">
        <w:t>Den expansiva amerikanska finanspolitiken börjar slå igenom i budgeten och en ytterligare stimulans i form av Federal Reserves sänkning av styrrä</w:t>
      </w:r>
      <w:r w:rsidRPr="006C40C1">
        <w:t>n</w:t>
      </w:r>
      <w:r w:rsidRPr="006C40C1">
        <w:t xml:space="preserve">tan den 6 november bidrar bland de positiva faktorerna. </w:t>
      </w:r>
    </w:p>
    <w:p w:rsidR="00AA5D77" w:rsidRPr="006C40C1" w:rsidRDefault="00AA5D77">
      <w:pPr>
        <w:pStyle w:val="Normaltindrag"/>
      </w:pPr>
      <w:r w:rsidRPr="006C40C1">
        <w:t xml:space="preserve">BNP-tillväxten i USA förväntas bli strax över 2 % 2002 och mellan 2,5 och 3,0 % 2003. </w:t>
      </w:r>
    </w:p>
    <w:p w:rsidR="00AA5D77" w:rsidRPr="006C40C1" w:rsidRDefault="00AA5D77">
      <w:pPr>
        <w:pStyle w:val="Rubrik4"/>
        <w:rPr>
          <w:noProof w:val="0"/>
        </w:rPr>
      </w:pPr>
      <w:bookmarkStart w:id="790" w:name="_Toc8026960"/>
      <w:bookmarkStart w:id="791" w:name="_Toc23145729"/>
      <w:bookmarkStart w:id="792" w:name="_Toc24898803"/>
      <w:bookmarkStart w:id="793" w:name="_Toc24964670"/>
      <w:bookmarkStart w:id="794" w:name="_Toc25581324"/>
      <w:bookmarkStart w:id="795" w:name="_Toc26191616"/>
      <w:r w:rsidRPr="006C40C1">
        <w:rPr>
          <w:noProof w:val="0"/>
        </w:rPr>
        <w:t>Euroområdet når inte upp till USA</w:t>
      </w:r>
      <w:bookmarkEnd w:id="790"/>
      <w:bookmarkEnd w:id="791"/>
      <w:bookmarkEnd w:id="792"/>
      <w:r w:rsidRPr="006C40C1">
        <w:rPr>
          <w:noProof w:val="0"/>
        </w:rPr>
        <w:t>:s tillväxtnivåer</w:t>
      </w:r>
      <w:bookmarkEnd w:id="793"/>
      <w:bookmarkEnd w:id="794"/>
      <w:bookmarkEnd w:id="795"/>
    </w:p>
    <w:p w:rsidR="00AA5D77" w:rsidRPr="006C40C1" w:rsidRDefault="00AA5D77">
      <w:r w:rsidRPr="006C40C1">
        <w:rPr>
          <w:rStyle w:val="Typewriter"/>
          <w:rFonts w:ascii="Times New Roman" w:hAnsi="Times New Roman"/>
        </w:rPr>
        <w:t xml:space="preserve">Trots problemen i den amerikanska ekonomin väntas inte Eurozonen nå upp till den amerikanska nivån i tillväxtprognoserna för 2003. </w:t>
      </w:r>
      <w:r w:rsidRPr="006C40C1">
        <w:t>Instabilitet i bl.a. den tunga tyska ekonomin dämpar hela eurozonen.</w:t>
      </w:r>
    </w:p>
    <w:p w:rsidR="00AA5D77" w:rsidRPr="006C40C1" w:rsidRDefault="00AA5D77">
      <w:pPr>
        <w:pStyle w:val="Normaltindrag"/>
      </w:pPr>
      <w:r w:rsidRPr="006C40C1">
        <w:t xml:space="preserve">Regeringarna i Tyskland, Italien och Frankrike har konsekvent drivit en expansiv finanspolitik med svällande budgetunderskott och mycket tyder på att man kommer att fortsätta att göra det. </w:t>
      </w:r>
    </w:p>
    <w:p w:rsidR="00AA5D77" w:rsidRPr="006C40C1" w:rsidRDefault="00AA5D77">
      <w:pPr>
        <w:pStyle w:val="Normaltindrag"/>
      </w:pPr>
      <w:r w:rsidRPr="006C40C1">
        <w:t>ECB:s styrränta ligger betydligt över den amerikanska, 3,25 % jämfört med 1,25 %. Det är nu mer troligt att ECB sänker styrräntan än i våras då inflationstrycket minskat. Trots det visar räntegapet att den europeiska ek</w:t>
      </w:r>
      <w:r w:rsidRPr="006C40C1">
        <w:t>o</w:t>
      </w:r>
      <w:r w:rsidRPr="006C40C1">
        <w:t xml:space="preserve">nomin inte har lika goda tillväxtförutsättningar som den amerikanska. </w:t>
      </w:r>
    </w:p>
    <w:p w:rsidR="00AA5D77" w:rsidRPr="006C40C1" w:rsidRDefault="00AA5D77">
      <w:pPr>
        <w:pStyle w:val="Normaltindrag"/>
      </w:pPr>
      <w:r w:rsidRPr="006C40C1">
        <w:t>Nästa år förutspås tillväxten öka till ca 2 % vilket kan jämföras med ung</w:t>
      </w:r>
      <w:r w:rsidRPr="006C40C1">
        <w:t>e</w:t>
      </w:r>
      <w:r w:rsidRPr="006C40C1">
        <w:t xml:space="preserve">fär 1 % 2002. </w:t>
      </w:r>
    </w:p>
    <w:p w:rsidR="00AA5D77" w:rsidRPr="006C40C1" w:rsidRDefault="00AA5D77">
      <w:pPr>
        <w:pStyle w:val="Rubrik4"/>
        <w:rPr>
          <w:noProof w:val="0"/>
        </w:rPr>
      </w:pPr>
      <w:bookmarkStart w:id="796" w:name="_Toc481520289"/>
      <w:bookmarkStart w:id="797" w:name="_Toc495362926"/>
      <w:bookmarkStart w:id="798" w:name="_Toc513441118"/>
      <w:bookmarkStart w:id="799" w:name="_Toc526928186"/>
      <w:bookmarkStart w:id="800" w:name="_Toc8026961"/>
      <w:bookmarkStart w:id="801" w:name="_Toc23145730"/>
      <w:bookmarkStart w:id="802" w:name="_Toc24898804"/>
      <w:bookmarkStart w:id="803" w:name="_Toc24964671"/>
      <w:bookmarkStart w:id="804" w:name="_Toc25581325"/>
      <w:bookmarkStart w:id="805" w:name="_Toc26191617"/>
      <w:r w:rsidRPr="006C40C1">
        <w:rPr>
          <w:noProof w:val="0"/>
        </w:rPr>
        <w:t>Japan</w:t>
      </w:r>
      <w:bookmarkEnd w:id="796"/>
      <w:bookmarkEnd w:id="797"/>
      <w:r w:rsidRPr="006C40C1">
        <w:rPr>
          <w:noProof w:val="0"/>
        </w:rPr>
        <w:t>s problem</w:t>
      </w:r>
      <w:bookmarkEnd w:id="798"/>
      <w:bookmarkEnd w:id="799"/>
      <w:r w:rsidRPr="006C40C1">
        <w:rPr>
          <w:noProof w:val="0"/>
        </w:rPr>
        <w:t xml:space="preserve"> långt ifrån lösta</w:t>
      </w:r>
      <w:bookmarkEnd w:id="800"/>
      <w:bookmarkEnd w:id="801"/>
      <w:bookmarkEnd w:id="802"/>
      <w:bookmarkEnd w:id="803"/>
      <w:bookmarkEnd w:id="804"/>
      <w:bookmarkEnd w:id="805"/>
    </w:p>
    <w:p w:rsidR="00AA5D77" w:rsidRPr="006C40C1" w:rsidRDefault="00AA5D77">
      <w:r w:rsidRPr="006C40C1">
        <w:t>Den japanska ekonomin, världens näst största nationella ekonomi, förväntas krympa även 2002 med ca 0,3 % av BNP. Dock förutspås en blygsam vän</w:t>
      </w:r>
      <w:r w:rsidRPr="006C40C1">
        <w:t>d</w:t>
      </w:r>
      <w:r w:rsidRPr="006C40C1">
        <w:t>ning under 2003 då tillväxten väntas bli uppåt 1 %.</w:t>
      </w:r>
    </w:p>
    <w:p w:rsidR="00AA5D77" w:rsidRPr="006C40C1" w:rsidRDefault="00AA5D77">
      <w:pPr>
        <w:pStyle w:val="Normaltindrag"/>
      </w:pPr>
      <w:r w:rsidRPr="006C40C1">
        <w:t xml:space="preserve">De japanska offentliga finanserna förväntas medföra ett budgetunderskott som uppgår till mer än 7 % av BNP varje enskilt år 2002–2004. </w:t>
      </w:r>
    </w:p>
    <w:p w:rsidR="00AA5D77" w:rsidRPr="006C40C1" w:rsidRDefault="00AA5D77">
      <w:pPr>
        <w:pStyle w:val="Normaltindrag"/>
      </w:pPr>
      <w:r w:rsidRPr="006C40C1">
        <w:t>Japan är i ett stort behov av omfattande reformer för att bryta den negativa trend som inleddes i slutet av 1980-talet. Den omfattande byråkratiska stat</w:t>
      </w:r>
      <w:r w:rsidRPr="006C40C1">
        <w:t>s</w:t>
      </w:r>
      <w:r w:rsidRPr="006C40C1">
        <w:t>makten som tidigare ansågs underlätta för japanska företag anses nu vara näringslivets största hinder. De massproducerande exportföretagen som den japanska tillväxten byggde på under flera decennier har stagnerat och blivit förbisprungna av konkurrenter i andra länder. Därtill kommer problemet med det n</w:t>
      </w:r>
      <w:bookmarkStart w:id="806" w:name="_Toc463728971"/>
      <w:bookmarkStart w:id="807" w:name="_Toc481520290"/>
      <w:bookmarkStart w:id="808" w:name="_Toc495362927"/>
      <w:bookmarkStart w:id="809" w:name="_Toc513441119"/>
      <w:bookmarkStart w:id="810" w:name="_Toc526928187"/>
      <w:bookmarkStart w:id="811" w:name="_Toc8026962"/>
      <w:bookmarkStart w:id="812" w:name="_Toc23145731"/>
      <w:bookmarkStart w:id="813" w:name="_Toc24898805"/>
      <w:bookmarkStart w:id="814" w:name="_Toc24964672"/>
      <w:r w:rsidRPr="006C40C1">
        <w:t>ära nog havererade banksystemet.</w:t>
      </w:r>
    </w:p>
    <w:p w:rsidR="00AA5D77" w:rsidRPr="006C40C1" w:rsidRDefault="00AA5D77">
      <w:pPr>
        <w:pStyle w:val="Rubrik3"/>
        <w:rPr>
          <w:noProof w:val="0"/>
        </w:rPr>
      </w:pPr>
      <w:bookmarkStart w:id="815" w:name="_Toc25581326"/>
      <w:bookmarkStart w:id="816" w:name="_Toc26191618"/>
      <w:r w:rsidRPr="006C40C1">
        <w:rPr>
          <w:noProof w:val="0"/>
        </w:rPr>
        <w:t>Den svenska konjunkturutvecklingen</w:t>
      </w:r>
      <w:bookmarkEnd w:id="806"/>
      <w:bookmarkEnd w:id="807"/>
      <w:bookmarkEnd w:id="808"/>
      <w:bookmarkEnd w:id="809"/>
      <w:bookmarkEnd w:id="810"/>
      <w:bookmarkEnd w:id="811"/>
      <w:bookmarkEnd w:id="812"/>
      <w:bookmarkEnd w:id="813"/>
      <w:bookmarkEnd w:id="814"/>
      <w:bookmarkEnd w:id="815"/>
      <w:bookmarkEnd w:id="816"/>
    </w:p>
    <w:p w:rsidR="00AA5D77" w:rsidRPr="006C40C1" w:rsidRDefault="00AA5D77">
      <w:pPr>
        <w:pStyle w:val="Rubrik4"/>
        <w:rPr>
          <w:noProof w:val="0"/>
        </w:rPr>
      </w:pPr>
      <w:bookmarkStart w:id="817" w:name="_Toc25581327"/>
      <w:bookmarkStart w:id="818" w:name="_Toc26191619"/>
      <w:r w:rsidRPr="006C40C1">
        <w:rPr>
          <w:noProof w:val="0"/>
        </w:rPr>
        <w:t>Socialdemokraterna ensamma om sina bedömningar</w:t>
      </w:r>
      <w:bookmarkEnd w:id="817"/>
      <w:bookmarkEnd w:id="818"/>
    </w:p>
    <w:p w:rsidR="00AA5D77" w:rsidRPr="006C40C1" w:rsidRDefault="00AA5D77">
      <w:r w:rsidRPr="006C40C1">
        <w:t>I regeringens ekonomiska vårproposition 2002 förutspåddes tillväxten i Sv</w:t>
      </w:r>
      <w:r w:rsidRPr="006C40C1">
        <w:t>e</w:t>
      </w:r>
      <w:r w:rsidRPr="006C40C1">
        <w:t>rige bli 1,4 % 2002 och 2,8 % 2003. Nu har regeringen skrivit upp tillväx</w:t>
      </w:r>
      <w:r w:rsidRPr="006C40C1">
        <w:t>t</w:t>
      </w:r>
      <w:r w:rsidRPr="006C40C1">
        <w:t>prognosen för innevarande år relativt kraftigt till 2,1 %, medan prognosen för 2003 justerats ned till 2,5 % tillväxt. Jämfört med andra svenska prognosi</w:t>
      </w:r>
      <w:r w:rsidRPr="006C40C1">
        <w:t>n</w:t>
      </w:r>
      <w:r w:rsidRPr="006C40C1">
        <w:t>stitut kan man notera att regeringen gör den mest positiva bedömningen av årets tillväxttakt och att regeringens prognos för 2003 ligger över genomsni</w:t>
      </w:r>
      <w:r w:rsidRPr="006C40C1">
        <w:t>t</w:t>
      </w:r>
      <w:r w:rsidRPr="006C40C1">
        <w:t>tet för övriga bedömare.</w:t>
      </w:r>
    </w:p>
    <w:p w:rsidR="00AA5D77" w:rsidRPr="006C40C1" w:rsidRDefault="00AA5D77">
      <w:pPr>
        <w:pStyle w:val="Reservationstabell"/>
        <w:spacing w:after="40"/>
        <w:ind w:left="680" w:hanging="680"/>
      </w:pPr>
      <w:r w:rsidRPr="006C40C1">
        <w:t>Tabell. Konjunkturprognoser för 2003. Senast tillgänglig prognos från olika bedöm</w:t>
      </w:r>
      <w:r w:rsidRPr="006C40C1">
        <w:t>a</w:t>
      </w:r>
      <w:r w:rsidRPr="006C40C1">
        <w:t>re</w:t>
      </w:r>
    </w:p>
    <w:tbl>
      <w:tblPr>
        <w:tblW w:w="0" w:type="auto"/>
        <w:tblInd w:w="-30" w:type="dxa"/>
        <w:tblBorders>
          <w:top w:val="single" w:sz="12" w:space="0" w:color="000000"/>
          <w:left w:val="nil"/>
          <w:bottom w:val="single" w:sz="12" w:space="0" w:color="000000"/>
          <w:right w:val="nil"/>
          <w:insideH w:val="nil"/>
          <w:insideV w:val="nil"/>
        </w:tblBorders>
        <w:tblLayout w:type="fixed"/>
        <w:tblCellMar>
          <w:left w:w="30" w:type="dxa"/>
          <w:right w:w="30" w:type="dxa"/>
        </w:tblCellMar>
        <w:tblLook w:val="00BF" w:firstRow="1" w:lastRow="0" w:firstColumn="1" w:lastColumn="0" w:noHBand="0" w:noVBand="0"/>
      </w:tblPr>
      <w:tblGrid>
        <w:gridCol w:w="739"/>
        <w:gridCol w:w="851"/>
        <w:gridCol w:w="283"/>
        <w:gridCol w:w="567"/>
        <w:gridCol w:w="425"/>
        <w:gridCol w:w="709"/>
        <w:gridCol w:w="567"/>
        <w:gridCol w:w="425"/>
        <w:gridCol w:w="1134"/>
        <w:gridCol w:w="709"/>
      </w:tblGrid>
      <w:tr w:rsidR="00000000" w:rsidRPr="006C40C1">
        <w:tblPrEx>
          <w:tblCellMar>
            <w:top w:w="0" w:type="dxa"/>
            <w:bottom w:w="0" w:type="dxa"/>
          </w:tblCellMar>
        </w:tblPrEx>
        <w:trPr>
          <w:trHeight w:val="254"/>
        </w:trPr>
        <w:tc>
          <w:tcPr>
            <w:tcW w:w="739" w:type="dxa"/>
            <w:tcBorders>
              <w:top w:val="single" w:sz="4" w:space="0" w:color="000000"/>
              <w:bottom w:val="single" w:sz="4" w:space="0" w:color="000000"/>
            </w:tcBorders>
            <w:vAlign w:val="bottom"/>
          </w:tcPr>
          <w:p w:rsidR="00AA5D77" w:rsidRPr="006C40C1" w:rsidRDefault="00AA5D77">
            <w:pPr>
              <w:jc w:val="center"/>
              <w:rPr>
                <w:snapToGrid w:val="0"/>
                <w:sz w:val="16"/>
                <w:lang w:eastAsia="sv-SE"/>
              </w:rPr>
            </w:pPr>
            <w:r w:rsidRPr="006C40C1">
              <w:rPr>
                <w:i/>
                <w:snapToGrid w:val="0"/>
                <w:color w:val="000000"/>
                <w:sz w:val="16"/>
                <w:lang w:eastAsia="sv-SE"/>
              </w:rPr>
              <w:t>Bedömare</w:t>
            </w:r>
          </w:p>
          <w:p w:rsidR="00AA5D77" w:rsidRPr="006C40C1" w:rsidRDefault="00AA5D77">
            <w:pPr>
              <w:jc w:val="center"/>
              <w:rPr>
                <w:snapToGrid w:val="0"/>
                <w:sz w:val="16"/>
                <w:lang w:eastAsia="sv-SE"/>
              </w:rPr>
            </w:pPr>
            <w:r w:rsidRPr="006C40C1">
              <w:rPr>
                <w:i/>
                <w:snapToGrid w:val="0"/>
                <w:color w:val="000000"/>
                <w:sz w:val="16"/>
                <w:lang w:eastAsia="sv-SE"/>
              </w:rPr>
              <w:t>Månad</w:t>
            </w:r>
          </w:p>
        </w:tc>
        <w:tc>
          <w:tcPr>
            <w:tcW w:w="851" w:type="dxa"/>
            <w:tcBorders>
              <w:top w:val="single" w:sz="4" w:space="0" w:color="000000"/>
              <w:bottom w:val="single" w:sz="4" w:space="0" w:color="000000"/>
            </w:tcBorders>
            <w:vAlign w:val="bottom"/>
          </w:tcPr>
          <w:p w:rsidR="00AA5D77" w:rsidRPr="006C40C1" w:rsidRDefault="00AA5D77">
            <w:pPr>
              <w:jc w:val="center"/>
              <w:rPr>
                <w:snapToGrid w:val="0"/>
                <w:sz w:val="16"/>
                <w:lang w:eastAsia="sv-SE"/>
              </w:rPr>
            </w:pPr>
            <w:r w:rsidRPr="006C40C1">
              <w:rPr>
                <w:b/>
                <w:snapToGrid w:val="0"/>
                <w:color w:val="000000"/>
                <w:sz w:val="16"/>
                <w:lang w:eastAsia="sv-SE"/>
              </w:rPr>
              <w:t>Regeringen</w:t>
            </w:r>
          </w:p>
          <w:p w:rsidR="00AA5D77" w:rsidRPr="006C40C1" w:rsidRDefault="00AA5D77">
            <w:pPr>
              <w:jc w:val="center"/>
              <w:rPr>
                <w:snapToGrid w:val="0"/>
                <w:sz w:val="16"/>
                <w:lang w:eastAsia="sv-SE"/>
              </w:rPr>
            </w:pPr>
            <w:r w:rsidRPr="006C40C1">
              <w:rPr>
                <w:b/>
                <w:snapToGrid w:val="0"/>
                <w:color w:val="000000"/>
                <w:sz w:val="16"/>
                <w:lang w:eastAsia="sv-SE"/>
              </w:rPr>
              <w:t>okt</w:t>
            </w:r>
          </w:p>
        </w:tc>
        <w:tc>
          <w:tcPr>
            <w:tcW w:w="283" w:type="dxa"/>
            <w:tcBorders>
              <w:top w:val="single" w:sz="4" w:space="0" w:color="000000"/>
              <w:bottom w:val="single" w:sz="4" w:space="0" w:color="000000"/>
            </w:tcBorders>
            <w:vAlign w:val="bottom"/>
          </w:tcPr>
          <w:p w:rsidR="00AA5D77" w:rsidRPr="006C40C1" w:rsidRDefault="00AA5D77">
            <w:pPr>
              <w:jc w:val="center"/>
              <w:rPr>
                <w:snapToGrid w:val="0"/>
                <w:sz w:val="16"/>
                <w:lang w:eastAsia="sv-SE"/>
              </w:rPr>
            </w:pPr>
            <w:r w:rsidRPr="006C40C1">
              <w:rPr>
                <w:b/>
                <w:snapToGrid w:val="0"/>
                <w:color w:val="000000"/>
                <w:sz w:val="16"/>
                <w:lang w:eastAsia="sv-SE"/>
              </w:rPr>
              <w:t>KI</w:t>
            </w:r>
          </w:p>
          <w:p w:rsidR="00AA5D77" w:rsidRPr="006C40C1" w:rsidRDefault="00AA5D77">
            <w:pPr>
              <w:jc w:val="center"/>
              <w:rPr>
                <w:snapToGrid w:val="0"/>
                <w:sz w:val="16"/>
                <w:lang w:eastAsia="sv-SE"/>
              </w:rPr>
            </w:pPr>
            <w:r w:rsidRPr="006C40C1">
              <w:rPr>
                <w:b/>
                <w:snapToGrid w:val="0"/>
                <w:color w:val="000000"/>
                <w:sz w:val="16"/>
                <w:lang w:eastAsia="sv-SE"/>
              </w:rPr>
              <w:t>okt</w:t>
            </w:r>
          </w:p>
        </w:tc>
        <w:tc>
          <w:tcPr>
            <w:tcW w:w="567" w:type="dxa"/>
            <w:tcBorders>
              <w:top w:val="single" w:sz="4" w:space="0" w:color="000000"/>
              <w:bottom w:val="single" w:sz="4" w:space="0" w:color="000000"/>
            </w:tcBorders>
            <w:vAlign w:val="bottom"/>
          </w:tcPr>
          <w:p w:rsidR="00AA5D77" w:rsidRPr="006C40C1" w:rsidRDefault="00AA5D77">
            <w:pPr>
              <w:jc w:val="center"/>
              <w:rPr>
                <w:snapToGrid w:val="0"/>
                <w:sz w:val="16"/>
                <w:lang w:eastAsia="sv-SE"/>
              </w:rPr>
            </w:pPr>
            <w:r w:rsidRPr="006C40C1">
              <w:rPr>
                <w:b/>
                <w:snapToGrid w:val="0"/>
                <w:color w:val="000000"/>
                <w:sz w:val="16"/>
                <w:lang w:eastAsia="sv-SE"/>
              </w:rPr>
              <w:t>Riks-ba</w:t>
            </w:r>
            <w:r w:rsidRPr="006C40C1">
              <w:rPr>
                <w:b/>
                <w:snapToGrid w:val="0"/>
                <w:color w:val="000000"/>
                <w:sz w:val="16"/>
                <w:lang w:eastAsia="sv-SE"/>
              </w:rPr>
              <w:t>n</w:t>
            </w:r>
            <w:r w:rsidRPr="006C40C1">
              <w:rPr>
                <w:b/>
                <w:snapToGrid w:val="0"/>
                <w:color w:val="000000"/>
                <w:sz w:val="16"/>
                <w:lang w:eastAsia="sv-SE"/>
              </w:rPr>
              <w:t>ken</w:t>
            </w:r>
          </w:p>
          <w:p w:rsidR="00AA5D77" w:rsidRPr="006C40C1" w:rsidRDefault="00AA5D77">
            <w:pPr>
              <w:jc w:val="center"/>
              <w:rPr>
                <w:snapToGrid w:val="0"/>
                <w:sz w:val="16"/>
                <w:lang w:eastAsia="sv-SE"/>
              </w:rPr>
            </w:pPr>
            <w:r w:rsidRPr="006C40C1">
              <w:rPr>
                <w:b/>
                <w:snapToGrid w:val="0"/>
                <w:color w:val="000000"/>
                <w:sz w:val="16"/>
                <w:lang w:eastAsia="sv-SE"/>
              </w:rPr>
              <w:t>okt</w:t>
            </w:r>
          </w:p>
        </w:tc>
        <w:tc>
          <w:tcPr>
            <w:tcW w:w="425" w:type="dxa"/>
            <w:tcBorders>
              <w:top w:val="single" w:sz="4" w:space="0" w:color="000000"/>
              <w:bottom w:val="single" w:sz="4" w:space="0" w:color="000000"/>
            </w:tcBorders>
            <w:vAlign w:val="bottom"/>
          </w:tcPr>
          <w:p w:rsidR="00AA5D77" w:rsidRPr="006C40C1" w:rsidRDefault="00AA5D77">
            <w:pPr>
              <w:jc w:val="center"/>
              <w:rPr>
                <w:snapToGrid w:val="0"/>
                <w:sz w:val="16"/>
                <w:lang w:eastAsia="sv-SE"/>
              </w:rPr>
            </w:pPr>
            <w:r w:rsidRPr="006C40C1">
              <w:rPr>
                <w:b/>
                <w:snapToGrid w:val="0"/>
                <w:color w:val="000000"/>
                <w:sz w:val="16"/>
                <w:lang w:eastAsia="sv-SE"/>
              </w:rPr>
              <w:t>SEB</w:t>
            </w:r>
          </w:p>
          <w:p w:rsidR="00AA5D77" w:rsidRPr="006C40C1" w:rsidRDefault="00AA5D77">
            <w:pPr>
              <w:jc w:val="center"/>
              <w:rPr>
                <w:snapToGrid w:val="0"/>
                <w:sz w:val="16"/>
                <w:lang w:eastAsia="sv-SE"/>
              </w:rPr>
            </w:pPr>
            <w:r w:rsidRPr="006C40C1">
              <w:rPr>
                <w:b/>
                <w:snapToGrid w:val="0"/>
                <w:color w:val="000000"/>
                <w:sz w:val="16"/>
                <w:lang w:eastAsia="sv-SE"/>
              </w:rPr>
              <w:t>nov</w:t>
            </w:r>
          </w:p>
        </w:tc>
        <w:tc>
          <w:tcPr>
            <w:tcW w:w="709" w:type="dxa"/>
            <w:tcBorders>
              <w:top w:val="single" w:sz="4" w:space="0" w:color="000000"/>
              <w:bottom w:val="single" w:sz="4" w:space="0" w:color="000000"/>
            </w:tcBorders>
            <w:vAlign w:val="bottom"/>
          </w:tcPr>
          <w:p w:rsidR="00AA5D77" w:rsidRPr="006C40C1" w:rsidRDefault="00AA5D77">
            <w:pPr>
              <w:jc w:val="center"/>
              <w:rPr>
                <w:snapToGrid w:val="0"/>
                <w:sz w:val="16"/>
                <w:lang w:eastAsia="sv-SE"/>
              </w:rPr>
            </w:pPr>
            <w:r w:rsidRPr="006C40C1">
              <w:rPr>
                <w:b/>
                <w:snapToGrid w:val="0"/>
                <w:color w:val="000000"/>
                <w:sz w:val="16"/>
                <w:lang w:eastAsia="sv-SE"/>
              </w:rPr>
              <w:t>Handels-banken</w:t>
            </w:r>
          </w:p>
          <w:p w:rsidR="00AA5D77" w:rsidRPr="006C40C1" w:rsidRDefault="00AA5D77">
            <w:pPr>
              <w:jc w:val="center"/>
              <w:rPr>
                <w:snapToGrid w:val="0"/>
                <w:sz w:val="16"/>
                <w:lang w:eastAsia="sv-SE"/>
              </w:rPr>
            </w:pPr>
            <w:r w:rsidRPr="006C40C1">
              <w:rPr>
                <w:b/>
                <w:snapToGrid w:val="0"/>
                <w:color w:val="000000"/>
                <w:sz w:val="16"/>
                <w:lang w:eastAsia="sv-SE"/>
              </w:rPr>
              <w:t>sept</w:t>
            </w:r>
          </w:p>
        </w:tc>
        <w:tc>
          <w:tcPr>
            <w:tcW w:w="567" w:type="dxa"/>
            <w:tcBorders>
              <w:top w:val="single" w:sz="4" w:space="0" w:color="000000"/>
              <w:bottom w:val="single" w:sz="4" w:space="0" w:color="000000"/>
            </w:tcBorders>
            <w:vAlign w:val="bottom"/>
          </w:tcPr>
          <w:p w:rsidR="00AA5D77" w:rsidRPr="006C40C1" w:rsidRDefault="00AA5D77">
            <w:pPr>
              <w:jc w:val="center"/>
              <w:rPr>
                <w:snapToGrid w:val="0"/>
                <w:sz w:val="16"/>
                <w:lang w:eastAsia="sv-SE"/>
              </w:rPr>
            </w:pPr>
            <w:r w:rsidRPr="006C40C1">
              <w:rPr>
                <w:b/>
                <w:snapToGrid w:val="0"/>
                <w:color w:val="000000"/>
                <w:sz w:val="16"/>
                <w:lang w:eastAsia="sv-SE"/>
              </w:rPr>
              <w:t>Nordea</w:t>
            </w:r>
          </w:p>
          <w:p w:rsidR="00AA5D77" w:rsidRPr="006C40C1" w:rsidRDefault="00AA5D77">
            <w:pPr>
              <w:jc w:val="center"/>
              <w:rPr>
                <w:snapToGrid w:val="0"/>
                <w:sz w:val="16"/>
                <w:lang w:eastAsia="sv-SE"/>
              </w:rPr>
            </w:pPr>
            <w:r w:rsidRPr="006C40C1">
              <w:rPr>
                <w:b/>
                <w:snapToGrid w:val="0"/>
                <w:color w:val="000000"/>
                <w:sz w:val="16"/>
                <w:lang w:eastAsia="sv-SE"/>
              </w:rPr>
              <w:t>nov</w:t>
            </w:r>
          </w:p>
        </w:tc>
        <w:tc>
          <w:tcPr>
            <w:tcW w:w="425" w:type="dxa"/>
            <w:tcBorders>
              <w:top w:val="single" w:sz="4" w:space="0" w:color="000000"/>
              <w:bottom w:val="single" w:sz="4" w:space="0" w:color="000000"/>
            </w:tcBorders>
            <w:vAlign w:val="bottom"/>
          </w:tcPr>
          <w:p w:rsidR="00AA5D77" w:rsidRPr="006C40C1" w:rsidRDefault="00AA5D77">
            <w:pPr>
              <w:jc w:val="center"/>
              <w:rPr>
                <w:snapToGrid w:val="0"/>
                <w:sz w:val="16"/>
                <w:lang w:eastAsia="sv-SE"/>
              </w:rPr>
            </w:pPr>
            <w:r w:rsidRPr="006C40C1">
              <w:rPr>
                <w:b/>
                <w:snapToGrid w:val="0"/>
                <w:color w:val="000000"/>
                <w:sz w:val="16"/>
                <w:lang w:eastAsia="sv-SE"/>
              </w:rPr>
              <w:t>LO</w:t>
            </w:r>
          </w:p>
          <w:p w:rsidR="00AA5D77" w:rsidRPr="006C40C1" w:rsidRDefault="00AA5D77">
            <w:pPr>
              <w:jc w:val="center"/>
              <w:rPr>
                <w:snapToGrid w:val="0"/>
                <w:sz w:val="16"/>
                <w:lang w:eastAsia="sv-SE"/>
              </w:rPr>
            </w:pPr>
            <w:r w:rsidRPr="006C40C1">
              <w:rPr>
                <w:b/>
                <w:snapToGrid w:val="0"/>
                <w:color w:val="000000"/>
                <w:sz w:val="16"/>
                <w:lang w:eastAsia="sv-SE"/>
              </w:rPr>
              <w:t>okt</w:t>
            </w:r>
          </w:p>
        </w:tc>
        <w:tc>
          <w:tcPr>
            <w:tcW w:w="1134" w:type="dxa"/>
            <w:tcBorders>
              <w:top w:val="single" w:sz="4" w:space="0" w:color="000000"/>
              <w:bottom w:val="single" w:sz="4" w:space="0" w:color="000000"/>
            </w:tcBorders>
            <w:vAlign w:val="bottom"/>
          </w:tcPr>
          <w:p w:rsidR="00AA5D77" w:rsidRPr="006C40C1" w:rsidRDefault="00AA5D77">
            <w:pPr>
              <w:jc w:val="center"/>
              <w:rPr>
                <w:snapToGrid w:val="0"/>
                <w:sz w:val="16"/>
                <w:lang w:eastAsia="sv-SE"/>
              </w:rPr>
            </w:pPr>
            <w:r w:rsidRPr="006C40C1">
              <w:rPr>
                <w:b/>
                <w:snapToGrid w:val="0"/>
                <w:color w:val="000000"/>
                <w:sz w:val="16"/>
                <w:lang w:eastAsia="sv-SE"/>
              </w:rPr>
              <w:t>EU-kommissionen</w:t>
            </w:r>
          </w:p>
          <w:p w:rsidR="00AA5D77" w:rsidRPr="006C40C1" w:rsidRDefault="00AA5D77">
            <w:pPr>
              <w:jc w:val="center"/>
              <w:rPr>
                <w:snapToGrid w:val="0"/>
                <w:sz w:val="16"/>
                <w:lang w:eastAsia="sv-SE"/>
              </w:rPr>
            </w:pPr>
            <w:r w:rsidRPr="006C40C1">
              <w:rPr>
                <w:b/>
                <w:snapToGrid w:val="0"/>
                <w:color w:val="000000"/>
                <w:sz w:val="16"/>
                <w:lang w:eastAsia="sv-SE"/>
              </w:rPr>
              <w:t>nov</w:t>
            </w:r>
          </w:p>
        </w:tc>
        <w:tc>
          <w:tcPr>
            <w:tcW w:w="709" w:type="dxa"/>
            <w:tcBorders>
              <w:top w:val="single" w:sz="4" w:space="0" w:color="000000"/>
              <w:bottom w:val="single" w:sz="4" w:space="0" w:color="000000"/>
            </w:tcBorders>
            <w:vAlign w:val="bottom"/>
          </w:tcPr>
          <w:p w:rsidR="00AA5D77" w:rsidRPr="006C40C1" w:rsidRDefault="00AA5D77">
            <w:pPr>
              <w:jc w:val="center"/>
              <w:rPr>
                <w:b/>
                <w:snapToGrid w:val="0"/>
                <w:color w:val="000000"/>
                <w:sz w:val="16"/>
                <w:lang w:eastAsia="sv-SE"/>
              </w:rPr>
            </w:pPr>
            <w:r w:rsidRPr="006C40C1">
              <w:rPr>
                <w:b/>
                <w:snapToGrid w:val="0"/>
                <w:color w:val="000000"/>
                <w:sz w:val="16"/>
                <w:lang w:eastAsia="sv-SE"/>
              </w:rPr>
              <w:t>Pr</w:t>
            </w:r>
            <w:r w:rsidRPr="006C40C1">
              <w:rPr>
                <w:b/>
                <w:snapToGrid w:val="0"/>
                <w:color w:val="000000"/>
                <w:sz w:val="16"/>
                <w:lang w:eastAsia="sv-SE"/>
              </w:rPr>
              <w:t>o</w:t>
            </w:r>
            <w:r w:rsidRPr="006C40C1">
              <w:rPr>
                <w:b/>
                <w:snapToGrid w:val="0"/>
                <w:color w:val="000000"/>
                <w:sz w:val="16"/>
                <w:lang w:eastAsia="sv-SE"/>
              </w:rPr>
              <w:t>gnos-snitt</w:t>
            </w:r>
          </w:p>
        </w:tc>
      </w:tr>
      <w:tr w:rsidR="00000000" w:rsidRPr="006C40C1">
        <w:tblPrEx>
          <w:tblCellMar>
            <w:top w:w="0" w:type="dxa"/>
            <w:bottom w:w="0" w:type="dxa"/>
          </w:tblCellMar>
        </w:tblPrEx>
        <w:trPr>
          <w:trHeight w:val="254"/>
        </w:trPr>
        <w:tc>
          <w:tcPr>
            <w:tcW w:w="739" w:type="dxa"/>
            <w:tcBorders>
              <w:top w:val="single" w:sz="4" w:space="0" w:color="000000"/>
              <w:left w:val="nil"/>
              <w:bottom w:val="nil"/>
              <w:right w:val="nil"/>
            </w:tcBorders>
            <w:vAlign w:val="center"/>
          </w:tcPr>
          <w:p w:rsidR="00AA5D77" w:rsidRPr="006C40C1" w:rsidRDefault="00AA5D77">
            <w:pPr>
              <w:jc w:val="center"/>
              <w:rPr>
                <w:snapToGrid w:val="0"/>
                <w:sz w:val="16"/>
                <w:lang w:eastAsia="sv-SE"/>
              </w:rPr>
            </w:pPr>
            <w:r w:rsidRPr="006C40C1">
              <w:rPr>
                <w:snapToGrid w:val="0"/>
                <w:color w:val="000000"/>
                <w:sz w:val="16"/>
                <w:lang w:eastAsia="sv-SE"/>
              </w:rPr>
              <w:t>BNP</w:t>
            </w:r>
          </w:p>
        </w:tc>
        <w:tc>
          <w:tcPr>
            <w:tcW w:w="851" w:type="dxa"/>
            <w:tcBorders>
              <w:top w:val="single" w:sz="4" w:space="0" w:color="000000"/>
              <w:left w:val="nil"/>
              <w:bottom w:val="nil"/>
              <w:right w:val="nil"/>
            </w:tcBorders>
            <w:vAlign w:val="center"/>
          </w:tcPr>
          <w:p w:rsidR="00AA5D77" w:rsidRPr="006C40C1" w:rsidRDefault="00AA5D77">
            <w:pPr>
              <w:jc w:val="center"/>
              <w:rPr>
                <w:b/>
                <w:snapToGrid w:val="0"/>
                <w:sz w:val="16"/>
                <w:lang w:eastAsia="sv-SE"/>
              </w:rPr>
            </w:pPr>
            <w:r w:rsidRPr="006C40C1">
              <w:rPr>
                <w:b/>
                <w:snapToGrid w:val="0"/>
                <w:sz w:val="16"/>
                <w:lang w:eastAsia="sv-SE"/>
              </w:rPr>
              <w:t>2,5</w:t>
            </w:r>
          </w:p>
        </w:tc>
        <w:tc>
          <w:tcPr>
            <w:tcW w:w="283" w:type="dxa"/>
            <w:tcBorders>
              <w:top w:val="single" w:sz="4" w:space="0" w:color="000000"/>
              <w:left w:val="nil"/>
              <w:bottom w:val="nil"/>
              <w:right w:val="nil"/>
            </w:tcBorders>
            <w:vAlign w:val="center"/>
          </w:tcPr>
          <w:p w:rsidR="00AA5D77" w:rsidRPr="006C40C1" w:rsidRDefault="00AA5D77">
            <w:pPr>
              <w:jc w:val="center"/>
              <w:rPr>
                <w:snapToGrid w:val="0"/>
                <w:sz w:val="16"/>
                <w:lang w:eastAsia="sv-SE"/>
              </w:rPr>
            </w:pPr>
            <w:r w:rsidRPr="006C40C1">
              <w:rPr>
                <w:snapToGrid w:val="0"/>
                <w:sz w:val="16"/>
                <w:lang w:eastAsia="sv-SE"/>
              </w:rPr>
              <w:t>2,3</w:t>
            </w:r>
          </w:p>
        </w:tc>
        <w:tc>
          <w:tcPr>
            <w:tcW w:w="567" w:type="dxa"/>
            <w:tcBorders>
              <w:top w:val="single" w:sz="4" w:space="0" w:color="000000"/>
              <w:left w:val="nil"/>
              <w:bottom w:val="nil"/>
              <w:right w:val="nil"/>
            </w:tcBorders>
            <w:vAlign w:val="center"/>
          </w:tcPr>
          <w:p w:rsidR="00AA5D77" w:rsidRPr="006C40C1" w:rsidRDefault="00AA5D77">
            <w:pPr>
              <w:jc w:val="center"/>
              <w:rPr>
                <w:snapToGrid w:val="0"/>
                <w:sz w:val="16"/>
                <w:lang w:eastAsia="sv-SE"/>
              </w:rPr>
            </w:pPr>
            <w:r w:rsidRPr="006C40C1">
              <w:rPr>
                <w:snapToGrid w:val="0"/>
                <w:sz w:val="16"/>
                <w:lang w:eastAsia="sv-SE"/>
              </w:rPr>
              <w:t>2,3</w:t>
            </w:r>
          </w:p>
        </w:tc>
        <w:tc>
          <w:tcPr>
            <w:tcW w:w="425" w:type="dxa"/>
            <w:tcBorders>
              <w:top w:val="single" w:sz="4" w:space="0" w:color="000000"/>
              <w:left w:val="nil"/>
              <w:bottom w:val="nil"/>
              <w:right w:val="nil"/>
            </w:tcBorders>
            <w:vAlign w:val="center"/>
          </w:tcPr>
          <w:p w:rsidR="00AA5D77" w:rsidRPr="006C40C1" w:rsidRDefault="00AA5D77">
            <w:pPr>
              <w:jc w:val="center"/>
              <w:rPr>
                <w:snapToGrid w:val="0"/>
                <w:sz w:val="16"/>
                <w:lang w:eastAsia="sv-SE"/>
              </w:rPr>
            </w:pPr>
            <w:r w:rsidRPr="006C40C1">
              <w:rPr>
                <w:snapToGrid w:val="0"/>
                <w:sz w:val="16"/>
                <w:lang w:eastAsia="sv-SE"/>
              </w:rPr>
              <w:t>1,8</w:t>
            </w:r>
          </w:p>
        </w:tc>
        <w:tc>
          <w:tcPr>
            <w:tcW w:w="709" w:type="dxa"/>
            <w:tcBorders>
              <w:top w:val="single" w:sz="4" w:space="0" w:color="000000"/>
              <w:left w:val="nil"/>
              <w:bottom w:val="nil"/>
              <w:right w:val="nil"/>
            </w:tcBorders>
            <w:vAlign w:val="center"/>
          </w:tcPr>
          <w:p w:rsidR="00AA5D77" w:rsidRPr="006C40C1" w:rsidRDefault="00AA5D77">
            <w:pPr>
              <w:jc w:val="center"/>
              <w:rPr>
                <w:snapToGrid w:val="0"/>
                <w:sz w:val="16"/>
                <w:lang w:eastAsia="sv-SE"/>
              </w:rPr>
            </w:pPr>
            <w:r w:rsidRPr="006C40C1">
              <w:rPr>
                <w:snapToGrid w:val="0"/>
                <w:sz w:val="16"/>
                <w:lang w:eastAsia="sv-SE"/>
              </w:rPr>
              <w:t>2,9</w:t>
            </w:r>
          </w:p>
        </w:tc>
        <w:tc>
          <w:tcPr>
            <w:tcW w:w="567" w:type="dxa"/>
            <w:tcBorders>
              <w:top w:val="single" w:sz="4" w:space="0" w:color="000000"/>
              <w:left w:val="nil"/>
              <w:bottom w:val="nil"/>
              <w:right w:val="nil"/>
            </w:tcBorders>
            <w:vAlign w:val="center"/>
          </w:tcPr>
          <w:p w:rsidR="00AA5D77" w:rsidRPr="006C40C1" w:rsidRDefault="00AA5D77">
            <w:pPr>
              <w:jc w:val="center"/>
              <w:rPr>
                <w:snapToGrid w:val="0"/>
                <w:sz w:val="16"/>
                <w:lang w:eastAsia="sv-SE"/>
              </w:rPr>
            </w:pPr>
            <w:r w:rsidRPr="006C40C1">
              <w:rPr>
                <w:snapToGrid w:val="0"/>
                <w:sz w:val="16"/>
                <w:lang w:eastAsia="sv-SE"/>
              </w:rPr>
              <w:t>2,0</w:t>
            </w:r>
          </w:p>
        </w:tc>
        <w:tc>
          <w:tcPr>
            <w:tcW w:w="425" w:type="dxa"/>
            <w:tcBorders>
              <w:top w:val="single" w:sz="4" w:space="0" w:color="000000"/>
              <w:left w:val="nil"/>
              <w:bottom w:val="nil"/>
              <w:right w:val="nil"/>
            </w:tcBorders>
            <w:vAlign w:val="center"/>
          </w:tcPr>
          <w:p w:rsidR="00AA5D77" w:rsidRPr="006C40C1" w:rsidRDefault="00AA5D77">
            <w:pPr>
              <w:jc w:val="center"/>
              <w:rPr>
                <w:snapToGrid w:val="0"/>
                <w:sz w:val="16"/>
                <w:lang w:eastAsia="sv-SE"/>
              </w:rPr>
            </w:pPr>
            <w:r w:rsidRPr="006C40C1">
              <w:rPr>
                <w:snapToGrid w:val="0"/>
                <w:sz w:val="16"/>
                <w:lang w:eastAsia="sv-SE"/>
              </w:rPr>
              <w:t>2,3</w:t>
            </w:r>
          </w:p>
        </w:tc>
        <w:tc>
          <w:tcPr>
            <w:tcW w:w="1134" w:type="dxa"/>
            <w:tcBorders>
              <w:top w:val="single" w:sz="4" w:space="0" w:color="000000"/>
              <w:left w:val="nil"/>
              <w:bottom w:val="nil"/>
              <w:right w:val="nil"/>
            </w:tcBorders>
            <w:vAlign w:val="center"/>
          </w:tcPr>
          <w:p w:rsidR="00AA5D77" w:rsidRPr="006C40C1" w:rsidRDefault="00AA5D77">
            <w:pPr>
              <w:jc w:val="center"/>
              <w:rPr>
                <w:snapToGrid w:val="0"/>
                <w:sz w:val="16"/>
                <w:lang w:eastAsia="sv-SE"/>
              </w:rPr>
            </w:pPr>
            <w:r w:rsidRPr="006C40C1">
              <w:rPr>
                <w:snapToGrid w:val="0"/>
                <w:sz w:val="16"/>
                <w:lang w:eastAsia="sv-SE"/>
              </w:rPr>
              <w:t>2,2</w:t>
            </w:r>
          </w:p>
        </w:tc>
        <w:tc>
          <w:tcPr>
            <w:tcW w:w="709" w:type="dxa"/>
            <w:tcBorders>
              <w:top w:val="single" w:sz="4" w:space="0" w:color="000000"/>
              <w:left w:val="nil"/>
              <w:bottom w:val="nil"/>
              <w:right w:val="nil"/>
            </w:tcBorders>
            <w:vAlign w:val="center"/>
          </w:tcPr>
          <w:p w:rsidR="00AA5D77" w:rsidRPr="006C40C1" w:rsidRDefault="00AA5D77">
            <w:pPr>
              <w:jc w:val="center"/>
              <w:rPr>
                <w:b/>
                <w:snapToGrid w:val="0"/>
                <w:sz w:val="16"/>
                <w:lang w:eastAsia="sv-SE"/>
              </w:rPr>
            </w:pPr>
            <w:r w:rsidRPr="006C40C1">
              <w:rPr>
                <w:b/>
                <w:snapToGrid w:val="0"/>
                <w:sz w:val="16"/>
                <w:lang w:eastAsia="sv-SE"/>
              </w:rPr>
              <w:t>2,3</w:t>
            </w:r>
          </w:p>
        </w:tc>
      </w:tr>
      <w:tr w:rsidR="00000000" w:rsidRPr="006C40C1">
        <w:tblPrEx>
          <w:tblCellMar>
            <w:top w:w="0" w:type="dxa"/>
            <w:bottom w:w="0" w:type="dxa"/>
          </w:tblCellMar>
        </w:tblPrEx>
        <w:trPr>
          <w:trHeight w:val="254"/>
        </w:trPr>
        <w:tc>
          <w:tcPr>
            <w:tcW w:w="739" w:type="dxa"/>
            <w:tcBorders>
              <w:top w:val="nil"/>
              <w:bottom w:val="single" w:sz="4" w:space="0" w:color="000000"/>
            </w:tcBorders>
            <w:vAlign w:val="center"/>
          </w:tcPr>
          <w:p w:rsidR="00AA5D77" w:rsidRPr="006C40C1" w:rsidRDefault="00AA5D77">
            <w:pPr>
              <w:jc w:val="center"/>
              <w:rPr>
                <w:snapToGrid w:val="0"/>
                <w:sz w:val="16"/>
                <w:lang w:eastAsia="sv-SE"/>
              </w:rPr>
            </w:pPr>
            <w:r w:rsidRPr="006C40C1">
              <w:rPr>
                <w:snapToGrid w:val="0"/>
                <w:color w:val="000000"/>
                <w:sz w:val="16"/>
                <w:lang w:eastAsia="sv-SE"/>
              </w:rPr>
              <w:t>Öppen arbetslö</w:t>
            </w:r>
            <w:r w:rsidRPr="006C40C1">
              <w:rPr>
                <w:snapToGrid w:val="0"/>
                <w:color w:val="000000"/>
                <w:sz w:val="16"/>
                <w:lang w:eastAsia="sv-SE"/>
              </w:rPr>
              <w:t>s</w:t>
            </w:r>
            <w:r w:rsidRPr="006C40C1">
              <w:rPr>
                <w:snapToGrid w:val="0"/>
                <w:color w:val="000000"/>
                <w:sz w:val="16"/>
                <w:lang w:eastAsia="sv-SE"/>
              </w:rPr>
              <w:t>het</w:t>
            </w:r>
          </w:p>
        </w:tc>
        <w:tc>
          <w:tcPr>
            <w:tcW w:w="851" w:type="dxa"/>
            <w:tcBorders>
              <w:top w:val="nil"/>
              <w:bottom w:val="single" w:sz="4" w:space="0" w:color="000000"/>
            </w:tcBorders>
            <w:vAlign w:val="center"/>
          </w:tcPr>
          <w:p w:rsidR="00AA5D77" w:rsidRPr="006C40C1" w:rsidRDefault="00AA5D77">
            <w:pPr>
              <w:jc w:val="center"/>
              <w:rPr>
                <w:b/>
                <w:snapToGrid w:val="0"/>
                <w:sz w:val="16"/>
                <w:lang w:eastAsia="sv-SE"/>
              </w:rPr>
            </w:pPr>
            <w:r w:rsidRPr="006C40C1">
              <w:rPr>
                <w:b/>
                <w:snapToGrid w:val="0"/>
                <w:sz w:val="16"/>
                <w:lang w:eastAsia="sv-SE"/>
              </w:rPr>
              <w:t>3,8</w:t>
            </w:r>
          </w:p>
        </w:tc>
        <w:tc>
          <w:tcPr>
            <w:tcW w:w="283" w:type="dxa"/>
            <w:tcBorders>
              <w:top w:val="nil"/>
              <w:bottom w:val="single" w:sz="4" w:space="0" w:color="000000"/>
            </w:tcBorders>
            <w:vAlign w:val="center"/>
          </w:tcPr>
          <w:p w:rsidR="00AA5D77" w:rsidRPr="006C40C1" w:rsidRDefault="00AA5D77">
            <w:pPr>
              <w:jc w:val="center"/>
              <w:rPr>
                <w:snapToGrid w:val="0"/>
                <w:sz w:val="16"/>
                <w:lang w:eastAsia="sv-SE"/>
              </w:rPr>
            </w:pPr>
            <w:r w:rsidRPr="006C40C1">
              <w:rPr>
                <w:snapToGrid w:val="0"/>
                <w:sz w:val="16"/>
                <w:lang w:eastAsia="sv-SE"/>
              </w:rPr>
              <w:t>4,3</w:t>
            </w:r>
          </w:p>
        </w:tc>
        <w:tc>
          <w:tcPr>
            <w:tcW w:w="567" w:type="dxa"/>
            <w:tcBorders>
              <w:top w:val="nil"/>
              <w:bottom w:val="single" w:sz="4" w:space="0" w:color="000000"/>
            </w:tcBorders>
            <w:vAlign w:val="center"/>
          </w:tcPr>
          <w:p w:rsidR="00AA5D77" w:rsidRPr="006C40C1" w:rsidRDefault="00AA5D77">
            <w:pPr>
              <w:jc w:val="center"/>
              <w:rPr>
                <w:snapToGrid w:val="0"/>
                <w:sz w:val="16"/>
                <w:lang w:eastAsia="sv-SE"/>
              </w:rPr>
            </w:pPr>
            <w:r w:rsidRPr="006C40C1">
              <w:rPr>
                <w:snapToGrid w:val="0"/>
                <w:sz w:val="16"/>
                <w:lang w:eastAsia="sv-SE"/>
              </w:rPr>
              <w:t>4,3</w:t>
            </w:r>
          </w:p>
        </w:tc>
        <w:tc>
          <w:tcPr>
            <w:tcW w:w="425" w:type="dxa"/>
            <w:tcBorders>
              <w:top w:val="nil"/>
              <w:bottom w:val="single" w:sz="4" w:space="0" w:color="000000"/>
            </w:tcBorders>
            <w:vAlign w:val="center"/>
          </w:tcPr>
          <w:p w:rsidR="00AA5D77" w:rsidRPr="006C40C1" w:rsidRDefault="00AA5D77">
            <w:pPr>
              <w:jc w:val="center"/>
              <w:rPr>
                <w:snapToGrid w:val="0"/>
                <w:sz w:val="16"/>
                <w:lang w:eastAsia="sv-SE"/>
              </w:rPr>
            </w:pPr>
            <w:r w:rsidRPr="006C40C1">
              <w:rPr>
                <w:snapToGrid w:val="0"/>
                <w:sz w:val="16"/>
                <w:lang w:eastAsia="sv-SE"/>
              </w:rPr>
              <w:t>4,4</w:t>
            </w:r>
          </w:p>
        </w:tc>
        <w:tc>
          <w:tcPr>
            <w:tcW w:w="709" w:type="dxa"/>
            <w:tcBorders>
              <w:top w:val="nil"/>
              <w:bottom w:val="single" w:sz="4" w:space="0" w:color="000000"/>
            </w:tcBorders>
            <w:vAlign w:val="center"/>
          </w:tcPr>
          <w:p w:rsidR="00AA5D77" w:rsidRPr="006C40C1" w:rsidRDefault="00AA5D77">
            <w:pPr>
              <w:jc w:val="center"/>
              <w:rPr>
                <w:snapToGrid w:val="0"/>
                <w:sz w:val="16"/>
                <w:lang w:eastAsia="sv-SE"/>
              </w:rPr>
            </w:pPr>
            <w:r w:rsidRPr="006C40C1">
              <w:rPr>
                <w:snapToGrid w:val="0"/>
                <w:sz w:val="16"/>
                <w:lang w:eastAsia="sv-SE"/>
              </w:rPr>
              <w:t>4,1</w:t>
            </w:r>
          </w:p>
        </w:tc>
        <w:tc>
          <w:tcPr>
            <w:tcW w:w="567" w:type="dxa"/>
            <w:tcBorders>
              <w:top w:val="nil"/>
              <w:bottom w:val="single" w:sz="4" w:space="0" w:color="000000"/>
            </w:tcBorders>
            <w:vAlign w:val="center"/>
          </w:tcPr>
          <w:p w:rsidR="00AA5D77" w:rsidRPr="006C40C1" w:rsidRDefault="00AA5D77">
            <w:pPr>
              <w:jc w:val="center"/>
              <w:rPr>
                <w:snapToGrid w:val="0"/>
                <w:sz w:val="16"/>
                <w:lang w:eastAsia="sv-SE"/>
              </w:rPr>
            </w:pPr>
            <w:r w:rsidRPr="006C40C1">
              <w:rPr>
                <w:snapToGrid w:val="0"/>
                <w:sz w:val="16"/>
                <w:lang w:eastAsia="sv-SE"/>
              </w:rPr>
              <w:t>4,1</w:t>
            </w:r>
          </w:p>
        </w:tc>
        <w:tc>
          <w:tcPr>
            <w:tcW w:w="425" w:type="dxa"/>
            <w:tcBorders>
              <w:top w:val="nil"/>
              <w:bottom w:val="single" w:sz="4" w:space="0" w:color="000000"/>
            </w:tcBorders>
            <w:vAlign w:val="center"/>
          </w:tcPr>
          <w:p w:rsidR="00AA5D77" w:rsidRPr="006C40C1" w:rsidRDefault="00AA5D77">
            <w:pPr>
              <w:jc w:val="center"/>
              <w:rPr>
                <w:snapToGrid w:val="0"/>
                <w:sz w:val="16"/>
                <w:lang w:eastAsia="sv-SE"/>
              </w:rPr>
            </w:pPr>
            <w:r w:rsidRPr="006C40C1">
              <w:rPr>
                <w:snapToGrid w:val="0"/>
                <w:sz w:val="16"/>
                <w:lang w:eastAsia="sv-SE"/>
              </w:rPr>
              <w:t>3,7</w:t>
            </w:r>
          </w:p>
        </w:tc>
        <w:tc>
          <w:tcPr>
            <w:tcW w:w="1134" w:type="dxa"/>
            <w:tcBorders>
              <w:top w:val="nil"/>
              <w:bottom w:val="single" w:sz="4" w:space="0" w:color="000000"/>
            </w:tcBorders>
            <w:vAlign w:val="center"/>
          </w:tcPr>
          <w:p w:rsidR="00AA5D77" w:rsidRPr="006C40C1" w:rsidRDefault="00AA5D77">
            <w:pPr>
              <w:jc w:val="center"/>
              <w:rPr>
                <w:snapToGrid w:val="0"/>
                <w:sz w:val="16"/>
                <w:lang w:eastAsia="sv-SE"/>
              </w:rPr>
            </w:pPr>
            <w:r w:rsidRPr="006C40C1">
              <w:rPr>
                <w:snapToGrid w:val="0"/>
                <w:sz w:val="16"/>
                <w:lang w:eastAsia="sv-SE"/>
              </w:rPr>
              <w:t>4,3</w:t>
            </w:r>
          </w:p>
        </w:tc>
        <w:tc>
          <w:tcPr>
            <w:tcW w:w="709" w:type="dxa"/>
            <w:tcBorders>
              <w:top w:val="nil"/>
              <w:bottom w:val="single" w:sz="4" w:space="0" w:color="000000"/>
            </w:tcBorders>
            <w:vAlign w:val="center"/>
          </w:tcPr>
          <w:p w:rsidR="00AA5D77" w:rsidRPr="006C40C1" w:rsidRDefault="00AA5D77">
            <w:pPr>
              <w:jc w:val="center"/>
              <w:rPr>
                <w:b/>
                <w:snapToGrid w:val="0"/>
                <w:sz w:val="16"/>
                <w:lang w:eastAsia="sv-SE"/>
              </w:rPr>
            </w:pPr>
            <w:r w:rsidRPr="006C40C1">
              <w:rPr>
                <w:b/>
                <w:snapToGrid w:val="0"/>
                <w:sz w:val="16"/>
                <w:lang w:eastAsia="sv-SE"/>
              </w:rPr>
              <w:t>4,1</w:t>
            </w:r>
          </w:p>
        </w:tc>
      </w:tr>
    </w:tbl>
    <w:p w:rsidR="00AA5D77" w:rsidRPr="006C40C1" w:rsidRDefault="00AA5D77">
      <w:pPr>
        <w:pStyle w:val="Normaltindrag"/>
        <w:spacing w:line="240" w:lineRule="auto"/>
        <w:ind w:firstLine="0"/>
      </w:pPr>
    </w:p>
    <w:p w:rsidR="00AA5D77" w:rsidRPr="006C40C1" w:rsidRDefault="00AA5D77">
      <w:pPr>
        <w:pStyle w:val="Normaltindrag"/>
        <w:spacing w:line="240" w:lineRule="auto"/>
        <w:ind w:firstLine="0"/>
      </w:pPr>
      <w:r w:rsidRPr="006C40C1">
        <w:t>Man kan också notera att SEB under november 2002 sänkte sin tillväxtpr</w:t>
      </w:r>
      <w:r w:rsidRPr="006C40C1">
        <w:t>o</w:t>
      </w:r>
      <w:r w:rsidRPr="006C40C1">
        <w:t>gnos för både 2002 och 2003 jämfört med den prognos de lämnade endast en månad tidigare.</w:t>
      </w:r>
    </w:p>
    <w:p w:rsidR="00AA5D77" w:rsidRPr="006C40C1" w:rsidRDefault="00AA5D77">
      <w:pPr>
        <w:pStyle w:val="Normaltindrag"/>
      </w:pPr>
      <w:r w:rsidRPr="006C40C1">
        <w:t>Den svenska tillväxten har hittills upprätthållits av de svenska hushållen som fått ökade inkomster. Den svaga svenska kronan har också bidragit till att exportindustrin stimulerats. Båda dessa faktorer kommer att avta under år 2003. Regeringen borde rimligen ha kunnat förutse detta bättre än vad som framgår av budgetpropositionen. I kombination med medvetet budgettrixande och de i praktiken helt förbrukade budgetering</w:t>
      </w:r>
      <w:r w:rsidRPr="006C40C1">
        <w:t>smarginalerna, kastar således även regeringens prognoser en skugga över trovärdigheten i budgetarb</w:t>
      </w:r>
      <w:r w:rsidRPr="006C40C1">
        <w:t>e</w:t>
      </w:r>
      <w:r w:rsidRPr="006C40C1">
        <w:t xml:space="preserve">tet. </w:t>
      </w:r>
    </w:p>
    <w:p w:rsidR="00AA5D77" w:rsidRPr="006C40C1" w:rsidRDefault="00AA5D77">
      <w:pPr>
        <w:pStyle w:val="Rubrik4"/>
        <w:rPr>
          <w:noProof w:val="0"/>
        </w:rPr>
      </w:pPr>
      <w:bookmarkStart w:id="819" w:name="_Toc24964673"/>
      <w:bookmarkStart w:id="820" w:name="_Toc25581328"/>
      <w:bookmarkStart w:id="821" w:name="_Toc26191620"/>
      <w:r w:rsidRPr="006C40C1">
        <w:rPr>
          <w:noProof w:val="0"/>
        </w:rPr>
        <w:t>Hushållens inkomstutveckling blir svagare än i regeringens bedömning</w:t>
      </w:r>
      <w:bookmarkEnd w:id="819"/>
      <w:bookmarkEnd w:id="820"/>
      <w:bookmarkEnd w:id="821"/>
    </w:p>
    <w:p w:rsidR="00AA5D77" w:rsidRPr="006C40C1" w:rsidRDefault="00AA5D77">
      <w:r w:rsidRPr="006C40C1">
        <w:t>De skattehöjningar som nu beslutas i många kommuner har regeringen inte räknat in i budgetpropositionens kalkyler över hushållens disponibla inkom</w:t>
      </w:r>
      <w:r w:rsidRPr="006C40C1">
        <w:t>s</w:t>
      </w:r>
      <w:r w:rsidRPr="006C40C1">
        <w:t>ter. Regeringen räknar i budgetpropositionen med att den kommunala utdeb</w:t>
      </w:r>
      <w:r w:rsidRPr="006C40C1">
        <w:t>i</w:t>
      </w:r>
      <w:r w:rsidRPr="006C40C1">
        <w:t>teringen ska öka med endast 25 öre i landstingssektorn vilket sägs motsvara 3 miljarder kronor, men att primärkommunernas utdebitering hålls oförän</w:t>
      </w:r>
      <w:r w:rsidRPr="006C40C1">
        <w:t>d</w:t>
      </w:r>
      <w:r w:rsidRPr="006C40C1">
        <w:t>rad. Enligt hittills kända uppgifter kommer det verkliga utfallet att innebära en skattehöjning på minst 62 öre, eller i genomsnitt ca 1 900 kr per hushåll och år. För många barnfamiljer i Stockholmsområdet innebär skattehöjnin</w:t>
      </w:r>
      <w:r w:rsidRPr="006C40C1">
        <w:t>g</w:t>
      </w:r>
      <w:r w:rsidRPr="006C40C1">
        <w:t>arna ett inkomstbortfall på 8 000–10 000 kr per år. Även andra</w:t>
      </w:r>
      <w:r w:rsidRPr="006C40C1">
        <w:t xml:space="preserve"> delar av la</w:t>
      </w:r>
      <w:r w:rsidRPr="006C40C1">
        <w:t>n</w:t>
      </w:r>
      <w:r w:rsidRPr="006C40C1">
        <w:t>det, främst Skåne, drabbas av samtidiga skattehöjningar i kommunen och landstinget. Detta kommer sammantaget att dämpa hushållens inkomster med ca 8 miljarder kronor, dvs. betydligt mer än regeringen antagit. Hushållens inkomstökning 2003 kommer att stanna vid ca 1,5 %, vilket kan jämföras med regeringens prognos på 2,1 %. Detta innebär att regeringens BNP-prognos, allt annat lika, måste justeras ned.</w:t>
      </w:r>
    </w:p>
    <w:p w:rsidR="00AA5D77" w:rsidRPr="006C40C1" w:rsidRDefault="00AA5D77">
      <w:pPr>
        <w:pStyle w:val="Reservationstabell"/>
        <w:outlineLvl w:val="0"/>
      </w:pPr>
      <w:r w:rsidRPr="006C40C1">
        <w:t>Diagram. Utvecklingen av hushållens reala disponibla inkomster 2002 och 2003</w:t>
      </w:r>
    </w:p>
    <w:p w:rsidR="00AA5D77" w:rsidRPr="006C40C1" w:rsidRDefault="006C40C1">
      <w:pPr>
        <w:pStyle w:val="Normaltindrag"/>
        <w:spacing w:line="240" w:lineRule="auto"/>
        <w:ind w:firstLine="0"/>
      </w:pPr>
      <w:r w:rsidRPr="006C40C1">
        <w:rPr>
          <w:noProof/>
        </w:rPr>
        <w:drawing>
          <wp:inline distT="0" distB="0" distL="0" distR="0">
            <wp:extent cx="3570605" cy="2258695"/>
            <wp:effectExtent l="0" t="0" r="0" b="0"/>
            <wp:docPr id="85" name="Bild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7">
                      <a:extLst>
                        <a:ext uri="{28A0092B-C50C-407E-A947-70E740481C1C}">
                          <a14:useLocalDpi xmlns:a14="http://schemas.microsoft.com/office/drawing/2010/main" val="0"/>
                        </a:ext>
                      </a:extLst>
                    </a:blip>
                    <a:srcRect l="2792" t="4361" r="2792" b="4361"/>
                    <a:stretch>
                      <a:fillRect/>
                    </a:stretch>
                  </pic:blipFill>
                  <pic:spPr bwMode="auto">
                    <a:xfrm>
                      <a:off x="0" y="0"/>
                      <a:ext cx="3570605" cy="2258695"/>
                    </a:xfrm>
                    <a:prstGeom prst="rect">
                      <a:avLst/>
                    </a:prstGeom>
                    <a:noFill/>
                    <a:ln>
                      <a:noFill/>
                    </a:ln>
                  </pic:spPr>
                </pic:pic>
              </a:graphicData>
            </a:graphic>
          </wp:inline>
        </w:drawing>
      </w:r>
    </w:p>
    <w:p w:rsidR="00AA5D77" w:rsidRPr="006C40C1" w:rsidRDefault="00AA5D77">
      <w:pPr>
        <w:pStyle w:val="Rubrik4"/>
        <w:rPr>
          <w:noProof w:val="0"/>
        </w:rPr>
      </w:pPr>
      <w:bookmarkStart w:id="822" w:name="_Toc23145732"/>
      <w:bookmarkStart w:id="823" w:name="_Toc24898806"/>
      <w:bookmarkStart w:id="824" w:name="_Toc24964674"/>
      <w:bookmarkStart w:id="825" w:name="_Toc25581329"/>
      <w:bookmarkStart w:id="826" w:name="_Toc26191621"/>
      <w:r w:rsidRPr="006C40C1">
        <w:rPr>
          <w:noProof w:val="0"/>
        </w:rPr>
        <w:t>Kronan</w:t>
      </w:r>
      <w:bookmarkEnd w:id="822"/>
      <w:bookmarkEnd w:id="823"/>
      <w:r w:rsidRPr="006C40C1">
        <w:rPr>
          <w:noProof w:val="0"/>
        </w:rPr>
        <w:t xml:space="preserve"> starkare än regeringen räknar med</w:t>
      </w:r>
      <w:bookmarkEnd w:id="824"/>
      <w:bookmarkEnd w:id="825"/>
      <w:bookmarkEnd w:id="826"/>
    </w:p>
    <w:p w:rsidR="00AA5D77" w:rsidRPr="006C40C1" w:rsidRDefault="00AA5D77">
      <w:r w:rsidRPr="006C40C1">
        <w:t>Anslutningskursen kan efter ett ja i en folkomröstning om deltagande i EMU:s tredje fas sannolikt komma att ligga någonstans i intervallet 8,50 till 8,90 kr per euro. Detta gör att kronan apprecieras ju mer en anslutning ter sig sannolik. Sverige har därtill en positiv bytesbalans vilket också talar för en stärkt krona. Sammantaget kan detta innebära att svensk exportindustri har en period framför sig där den inte får den gratishjälp som den svaga kronkursen bidragit med u</w:t>
      </w:r>
      <w:r w:rsidRPr="006C40C1">
        <w:t xml:space="preserve">nder lång tid. </w:t>
      </w:r>
    </w:p>
    <w:p w:rsidR="00AA5D77" w:rsidRPr="006C40C1" w:rsidRDefault="00AA5D77">
      <w:pPr>
        <w:pStyle w:val="Rubrik4"/>
        <w:rPr>
          <w:noProof w:val="0"/>
        </w:rPr>
      </w:pPr>
      <w:bookmarkStart w:id="827" w:name="_Toc24964675"/>
      <w:bookmarkStart w:id="828" w:name="_Toc25581330"/>
      <w:bookmarkStart w:id="829" w:name="_Toc26191622"/>
      <w:r w:rsidRPr="006C40C1">
        <w:rPr>
          <w:noProof w:val="0"/>
        </w:rPr>
        <w:t>Kommande avtalsrörelse avgörande för Riksbanken</w:t>
      </w:r>
      <w:bookmarkEnd w:id="827"/>
      <w:bookmarkEnd w:id="828"/>
      <w:bookmarkEnd w:id="829"/>
    </w:p>
    <w:p w:rsidR="00AA5D77" w:rsidRPr="006C40C1" w:rsidRDefault="00AA5D77">
      <w:r w:rsidRPr="006C40C1">
        <w:t>Den 20 mars och den 26 april 2002 höjde Riksbanken räntan med 0,25 pr</w:t>
      </w:r>
      <w:r w:rsidRPr="006C40C1">
        <w:t>o</w:t>
      </w:r>
      <w:r w:rsidRPr="006C40C1">
        <w:t>centenheter per tillfälle, från 3,75 till 4,25 %. Riksbanken ansåg att  infl</w:t>
      </w:r>
      <w:r w:rsidRPr="006C40C1">
        <w:t>a</w:t>
      </w:r>
      <w:r w:rsidRPr="006C40C1">
        <w:t>tionstrycket behövde stävjas och att den svenska ekonomin hade ett nära nog ful</w:t>
      </w:r>
      <w:r w:rsidRPr="006C40C1">
        <w:t>l</w:t>
      </w:r>
      <w:r w:rsidRPr="006C40C1">
        <w:t xml:space="preserve">ständigt resursutnyttjande. </w:t>
      </w:r>
    </w:p>
    <w:p w:rsidR="00AA5D77" w:rsidRPr="006C40C1" w:rsidRDefault="00AA5D77">
      <w:pPr>
        <w:pStyle w:val="Normaltindrag"/>
      </w:pPr>
      <w:r w:rsidRPr="006C40C1">
        <w:t>Nu har inflationstrycket avtagit något och Riksbanken sänkte därför räntan den 15 november med 0,25 procentenheter till 4,0 %. Utfallet från kommande avtalsrörelser har en avgörande betydelse för räntepolitiken framöver. En dåligt fungerande lönebildning kommer att leda till höjda räntor och därmed en sämre tillväxtpotentia</w:t>
      </w:r>
      <w:r w:rsidRPr="006C40C1">
        <w:t>l. Den kommande avtalsrörelsen kommer i högre grad än tidigare att bli ett test på om den svenska lönebildningen håller måttet jämfört med våra konkurrentländer.</w:t>
      </w:r>
    </w:p>
    <w:p w:rsidR="00AA5D77" w:rsidRPr="006C40C1" w:rsidRDefault="00AA5D77">
      <w:pPr>
        <w:pStyle w:val="Rubrik4"/>
        <w:rPr>
          <w:noProof w:val="0"/>
        </w:rPr>
      </w:pPr>
      <w:bookmarkStart w:id="830" w:name="_Toc526928188"/>
      <w:bookmarkStart w:id="831" w:name="_Toc8026963"/>
      <w:bookmarkStart w:id="832" w:name="_Toc23145734"/>
      <w:bookmarkStart w:id="833" w:name="_Toc24898808"/>
      <w:bookmarkStart w:id="834" w:name="_Toc24964676"/>
      <w:bookmarkStart w:id="835" w:name="_Toc25581331"/>
      <w:bookmarkStart w:id="836" w:name="_Toc26191623"/>
      <w:r w:rsidRPr="006C40C1">
        <w:rPr>
          <w:noProof w:val="0"/>
        </w:rPr>
        <w:t>Dåliga nyheter dominerar</w:t>
      </w:r>
      <w:bookmarkEnd w:id="830"/>
      <w:bookmarkEnd w:id="831"/>
      <w:bookmarkEnd w:id="832"/>
      <w:bookmarkEnd w:id="833"/>
      <w:bookmarkEnd w:id="834"/>
      <w:bookmarkEnd w:id="835"/>
      <w:bookmarkEnd w:id="836"/>
    </w:p>
    <w:p w:rsidR="00AA5D77" w:rsidRPr="006C40C1" w:rsidRDefault="00AA5D77">
      <w:r w:rsidRPr="006C40C1">
        <w:t>Svenskt näringsliv är mer sårbart än någonsin. Bara sedan månadsskiftet september–oktober i år har 217 personer i Visby varslats, 413 i Linköping, 250 i Kumla, 750 i Gävle, 239 i Skara, 50 i Hässleholm och 280 personer i Göteborg. Under det andra kvartalet i år ökade antalet anställda i konkur</w:t>
      </w:r>
      <w:r w:rsidRPr="006C40C1">
        <w:t>s</w:t>
      </w:r>
      <w:r w:rsidRPr="006C40C1">
        <w:t>drabbade företag med 27 %. Under det första halvåret i år uppgår antalet personer som drabbats av konkurser till över 14 000. Det är den högsta siffran på många år. Till skillnad från tidigare drabbas nu även Stockholmsområdet hårt. Samtidigt ökar den öppna arbetslösheten (säsongrensat) och det totala antalet varslade personer i år uppgår t.o.m. oktober till 52 800. Därtill for</w:t>
      </w:r>
      <w:r w:rsidRPr="006C40C1">
        <w:t>t</w:t>
      </w:r>
      <w:r w:rsidRPr="006C40C1">
        <w:t>sätter antalet sjukskrivna och förtidspensionerade att öka. Utgifterna för sju</w:t>
      </w:r>
      <w:r w:rsidRPr="006C40C1">
        <w:t>k</w:t>
      </w:r>
      <w:r w:rsidRPr="006C40C1">
        <w:t>penning har hittills i år ökat med 14 % jämfört med</w:t>
      </w:r>
      <w:r w:rsidRPr="006C40C1">
        <w:t xml:space="preserve"> samma period förra året. Motsvarande siffra för förtidspensioner är 8,5 % enligt Riksförsäkring</w:t>
      </w:r>
      <w:r w:rsidRPr="006C40C1">
        <w:t>s</w:t>
      </w:r>
      <w:r w:rsidRPr="006C40C1">
        <w:t>verket.</w:t>
      </w:r>
    </w:p>
    <w:p w:rsidR="00AA5D77" w:rsidRPr="006C40C1" w:rsidRDefault="00AA5D77">
      <w:pPr>
        <w:pStyle w:val="Normaltindrag"/>
      </w:pPr>
      <w:r w:rsidRPr="006C40C1">
        <w:t>År 2001 sattes ett nytt rekord i utlandsägda företag i Sverige. Visserligen är det bra att utländska företagare vill ge sig in på den svenska marknaden. Men endast en femtedel av de över 7 000 utlandsägda företagen i Sverige har tillkommit genom nyetableringar. Hälften av företagen har förvärvats och ytterligare en andel har blivit utlandsägda genom fusioner. Denna trend har fö</w:t>
      </w:r>
      <w:r w:rsidRPr="006C40C1">
        <w:t>r</w:t>
      </w:r>
      <w:r w:rsidRPr="006C40C1">
        <w:t>stärkts i år.</w:t>
      </w:r>
    </w:p>
    <w:p w:rsidR="00AA5D77" w:rsidRPr="006C40C1" w:rsidRDefault="00AA5D77">
      <w:pPr>
        <w:pStyle w:val="Normaltindrag"/>
      </w:pPr>
      <w:r w:rsidRPr="006C40C1">
        <w:t>Sammantaget är vår bedömning att regeringens konjunkturprognoser i budgetpropositionen är för positiva. Dessbättre behöver den politiska slutsa</w:t>
      </w:r>
      <w:r w:rsidRPr="006C40C1">
        <w:t>t</w:t>
      </w:r>
      <w:r w:rsidRPr="006C40C1">
        <w:t>sen inte stanna vid detta. Vi menar, till skillnad från regeringen, att den ek</w:t>
      </w:r>
      <w:r w:rsidRPr="006C40C1">
        <w:t>o</w:t>
      </w:r>
      <w:r w:rsidRPr="006C40C1">
        <w:t>nomiska politiken främst ska ägnas åt sådant som regering och riksdag i hög grad kan påverka. Inte minst handlar detta om strukturella reformer för en bättre hälsa och bättre fungerande arbetsmarknad, samt strategiska skatt</w:t>
      </w:r>
      <w:r w:rsidRPr="006C40C1">
        <w:t>e</w:t>
      </w:r>
      <w:r w:rsidRPr="006C40C1">
        <w:t>sänkningar på arbete och företagande. Detta beskriver vi i de följande avsni</w:t>
      </w:r>
      <w:r w:rsidRPr="006C40C1">
        <w:t>t</w:t>
      </w:r>
      <w:r w:rsidRPr="006C40C1">
        <w:t>ten.</w:t>
      </w:r>
    </w:p>
    <w:p w:rsidR="00AA5D77" w:rsidRPr="006C40C1" w:rsidRDefault="00AA5D77">
      <w:pPr>
        <w:pStyle w:val="Rubrik2"/>
      </w:pPr>
      <w:bookmarkStart w:id="837" w:name="_Toc24974901"/>
      <w:bookmarkStart w:id="838" w:name="_Toc24976850"/>
      <w:bookmarkStart w:id="839" w:name="_Toc25581332"/>
      <w:bookmarkStart w:id="840" w:name="_Toc26191624"/>
      <w:r w:rsidRPr="006C40C1">
        <w:t>Tre procents årlig tillväxt genom fler i arbete</w:t>
      </w:r>
      <w:bookmarkEnd w:id="837"/>
      <w:bookmarkEnd w:id="838"/>
      <w:r w:rsidRPr="006C40C1">
        <w:t>, ökad produktivitet och stabila institutioner</w:t>
      </w:r>
      <w:bookmarkEnd w:id="839"/>
      <w:bookmarkEnd w:id="840"/>
    </w:p>
    <w:p w:rsidR="00AA5D77" w:rsidRPr="006C40C1" w:rsidRDefault="00AA5D77">
      <w:pPr>
        <w:pStyle w:val="Rubrik3"/>
        <w:spacing w:before="235"/>
        <w:rPr>
          <w:noProof w:val="0"/>
        </w:rPr>
      </w:pPr>
      <w:bookmarkStart w:id="841" w:name="_Toc25581333"/>
      <w:bookmarkStart w:id="842" w:name="_Toc26191625"/>
      <w:r w:rsidRPr="006C40C1">
        <w:rPr>
          <w:noProof w:val="0"/>
        </w:rPr>
        <w:t>Den ekonomiska politikens inriktning</w:t>
      </w:r>
      <w:bookmarkEnd w:id="841"/>
      <w:bookmarkEnd w:id="842"/>
    </w:p>
    <w:p w:rsidR="00AA5D77" w:rsidRPr="006C40C1" w:rsidRDefault="00AA5D77">
      <w:r w:rsidRPr="006C40C1">
        <w:t xml:space="preserve">En starkare och uthållig ekonomisk tillväxt behövs för att nå målet med en ökad välfärd för alla. Den ekonomiska politiken ska därför inriktas på att skapa förutsättningar för en varaktig, ekonomiskt och ekologiskt hållbar tillväxt på tre % per år. Eftersom den ekonomiska tillväxten är en funktion av det totala antalet arbetade timmar och produktivitetsutvecklingen i stort tar vår ekonomiska politik fasta på </w:t>
      </w:r>
      <w:r w:rsidRPr="006C40C1">
        <w:rPr>
          <w:i/>
        </w:rPr>
        <w:t>båda</w:t>
      </w:r>
      <w:r w:rsidRPr="006C40C1">
        <w:t xml:space="preserve"> dessa behov:</w:t>
      </w:r>
    </w:p>
    <w:p w:rsidR="00AA5D77" w:rsidRPr="006C40C1" w:rsidRDefault="00AA5D77">
      <w:pPr>
        <w:pStyle w:val="Rubrik4"/>
        <w:rPr>
          <w:noProof w:val="0"/>
        </w:rPr>
      </w:pPr>
      <w:bookmarkStart w:id="843" w:name="_Toc25581334"/>
      <w:bookmarkStart w:id="844" w:name="_Toc26191626"/>
      <w:r w:rsidRPr="006C40C1">
        <w:rPr>
          <w:noProof w:val="0"/>
        </w:rPr>
        <w:t>Fler i arbete och fler arbetade timmar:</w:t>
      </w:r>
      <w:bookmarkEnd w:id="843"/>
      <w:bookmarkEnd w:id="844"/>
    </w:p>
    <w:p w:rsidR="00AA5D77" w:rsidRPr="006C40C1" w:rsidRDefault="00AA5D77">
      <w:pPr>
        <w:tabs>
          <w:tab w:val="num" w:pos="357"/>
        </w:tabs>
        <w:ind w:left="357" w:hanging="357"/>
      </w:pPr>
      <w:r w:rsidRPr="006C40C1">
        <w:rPr>
          <w:b/>
          <w:sz w:val="16"/>
        </w:rPr>
        <w:sym w:font="Symbol" w:char="F0B7"/>
      </w:r>
      <w:r w:rsidRPr="006C40C1">
        <w:rPr>
          <w:b/>
        </w:rPr>
        <w:tab/>
      </w:r>
      <w:r w:rsidRPr="006C40C1">
        <w:t>Genom att göra det mer lönsamt att arbeta, kommer arbetsutbudet att öka. Detta kan ske genom sänkta inkomstskatter och bättre fungerande bidragss</w:t>
      </w:r>
      <w:r w:rsidRPr="006C40C1">
        <w:t>y</w:t>
      </w:r>
      <w:r w:rsidRPr="006C40C1">
        <w:t>stem.</w:t>
      </w:r>
    </w:p>
    <w:p w:rsidR="00AA5D77" w:rsidRPr="006C40C1" w:rsidRDefault="00AA5D77">
      <w:pPr>
        <w:tabs>
          <w:tab w:val="num" w:pos="357"/>
        </w:tabs>
        <w:ind w:left="357" w:hanging="357"/>
      </w:pPr>
      <w:r w:rsidRPr="006C40C1">
        <w:rPr>
          <w:b/>
          <w:sz w:val="16"/>
        </w:rPr>
        <w:sym w:font="Symbol" w:char="F0B7"/>
      </w:r>
      <w:r w:rsidRPr="006C40C1">
        <w:rPr>
          <w:b/>
        </w:rPr>
        <w:tab/>
      </w:r>
      <w:r w:rsidRPr="006C40C1">
        <w:t>Genom att utforma regler och skatter så att de främjar förvärvsarbete och hälsa i stället för passivisering och ohälsa, blir det möjligt för fler att a</w:t>
      </w:r>
      <w:r w:rsidRPr="006C40C1">
        <w:t>r</w:t>
      </w:r>
      <w:r w:rsidRPr="006C40C1">
        <w:t>beta utan att slita ut sig. Kraftiga satsningar på en förbättrad rehabilite</w:t>
      </w:r>
      <w:r w:rsidRPr="006C40C1">
        <w:t>r</w:t>
      </w:r>
      <w:r w:rsidRPr="006C40C1">
        <w:t>ing och en nationell vårdgaranti  är viktiga reformer för att uppnå detta. Sänkt skatt på förvärvsinkomster är också en viktig del för att öka utbytet av förvärvsarbete.</w:t>
      </w:r>
    </w:p>
    <w:p w:rsidR="00AA5D77" w:rsidRPr="006C40C1" w:rsidRDefault="00AA5D77">
      <w:pPr>
        <w:tabs>
          <w:tab w:val="num" w:pos="357"/>
        </w:tabs>
        <w:ind w:left="357" w:hanging="357"/>
      </w:pPr>
      <w:r w:rsidRPr="006C40C1">
        <w:rPr>
          <w:b/>
          <w:sz w:val="16"/>
        </w:rPr>
        <w:sym w:font="Symbol" w:char="F0B7"/>
      </w:r>
      <w:r w:rsidRPr="006C40C1">
        <w:rPr>
          <w:b/>
        </w:rPr>
        <w:tab/>
      </w:r>
      <w:r w:rsidRPr="006C40C1">
        <w:t>Genom en effektivare arbetsmarknadspolitik kan fler komma i arbete snabb</w:t>
      </w:r>
      <w:r w:rsidRPr="006C40C1">
        <w:t>a</w:t>
      </w:r>
      <w:r w:rsidRPr="006C40C1">
        <w:t>re.</w:t>
      </w:r>
    </w:p>
    <w:p w:rsidR="00AA5D77" w:rsidRPr="006C40C1" w:rsidRDefault="00AA5D77">
      <w:pPr>
        <w:tabs>
          <w:tab w:val="num" w:pos="357"/>
        </w:tabs>
        <w:ind w:left="357" w:hanging="357"/>
      </w:pPr>
      <w:r w:rsidRPr="006C40C1">
        <w:rPr>
          <w:b/>
          <w:sz w:val="16"/>
        </w:rPr>
        <w:sym w:font="Symbol" w:char="F0B7"/>
      </w:r>
      <w:r w:rsidRPr="006C40C1">
        <w:rPr>
          <w:b/>
        </w:rPr>
        <w:tab/>
      </w:r>
      <w:r w:rsidRPr="006C40C1">
        <w:t>Genom bättre och enklare regler kan invandrare snabbare få en chans att komma in på arbetsmarknaden. Bland annat bör kravet på godkänt sfi-språktest avskaffas för att man ska kunna stå till arbetsmarknadens förf</w:t>
      </w:r>
      <w:r w:rsidRPr="006C40C1">
        <w:t>o</w:t>
      </w:r>
      <w:r w:rsidRPr="006C40C1">
        <w:t>gande.</w:t>
      </w:r>
    </w:p>
    <w:p w:rsidR="00AA5D77" w:rsidRPr="006C40C1" w:rsidRDefault="00AA5D77">
      <w:pPr>
        <w:tabs>
          <w:tab w:val="num" w:pos="357"/>
        </w:tabs>
        <w:ind w:left="357" w:hanging="357"/>
      </w:pPr>
      <w:r w:rsidRPr="006C40C1">
        <w:rPr>
          <w:b/>
          <w:sz w:val="16"/>
        </w:rPr>
        <w:sym w:font="Symbol" w:char="F0B7"/>
      </w:r>
      <w:r w:rsidRPr="006C40C1">
        <w:rPr>
          <w:b/>
        </w:rPr>
        <w:tab/>
      </w:r>
      <w:r w:rsidRPr="006C40C1">
        <w:t>Förutsättningarna för äldre att vilja arbeta längre bör stärkas.</w:t>
      </w:r>
    </w:p>
    <w:p w:rsidR="00AA5D77" w:rsidRPr="006C40C1" w:rsidRDefault="00AA5D77">
      <w:pPr>
        <w:tabs>
          <w:tab w:val="num" w:pos="360"/>
        </w:tabs>
        <w:ind w:left="357" w:hanging="357"/>
      </w:pPr>
      <w:r w:rsidRPr="006C40C1">
        <w:rPr>
          <w:b/>
          <w:sz w:val="16"/>
        </w:rPr>
        <w:sym w:font="Symbol" w:char="F0B7"/>
      </w:r>
      <w:r w:rsidRPr="006C40C1">
        <w:rPr>
          <w:b/>
        </w:rPr>
        <w:tab/>
      </w:r>
      <w:r w:rsidRPr="006C40C1">
        <w:t>Med en bättre familjepolitik ökar förutsättningarna att kombinera fami</w:t>
      </w:r>
      <w:r w:rsidRPr="006C40C1">
        <w:t>l</w:t>
      </w:r>
      <w:r w:rsidRPr="006C40C1">
        <w:t>jeliv och förvärvsarbete. Därigenom minskar risken för stressrelaterad ohälsa som i dagens system ofta drabbar både familjen och förvärvsa</w:t>
      </w:r>
      <w:r w:rsidRPr="006C40C1">
        <w:t>r</w:t>
      </w:r>
      <w:r w:rsidRPr="006C40C1">
        <w:t>betet.</w:t>
      </w:r>
    </w:p>
    <w:p w:rsidR="00AA5D77" w:rsidRPr="006C40C1" w:rsidRDefault="00AA5D77">
      <w:pPr>
        <w:pStyle w:val="Rubrik4"/>
        <w:rPr>
          <w:noProof w:val="0"/>
        </w:rPr>
      </w:pPr>
      <w:bookmarkStart w:id="845" w:name="_Toc25581335"/>
      <w:bookmarkStart w:id="846" w:name="_Toc26191627"/>
      <w:r w:rsidRPr="006C40C1">
        <w:rPr>
          <w:noProof w:val="0"/>
        </w:rPr>
        <w:t>Ökad produktivitet:</w:t>
      </w:r>
      <w:bookmarkEnd w:id="845"/>
      <w:bookmarkEnd w:id="846"/>
    </w:p>
    <w:p w:rsidR="00AA5D77" w:rsidRPr="006C40C1" w:rsidRDefault="00AA5D77">
      <w:pPr>
        <w:tabs>
          <w:tab w:val="num" w:pos="360"/>
        </w:tabs>
        <w:ind w:left="357" w:hanging="357"/>
      </w:pPr>
      <w:r w:rsidRPr="006C40C1">
        <w:rPr>
          <w:b/>
          <w:sz w:val="16"/>
        </w:rPr>
        <w:sym w:font="Symbol" w:char="F0B7"/>
      </w:r>
      <w:r w:rsidRPr="006C40C1">
        <w:rPr>
          <w:b/>
        </w:rPr>
        <w:tab/>
      </w:r>
      <w:r w:rsidRPr="006C40C1">
        <w:t>Genom att göra det mer lönsamt för individen att utbilda sig, ta ansvar, arbeta och spara kommer den svenska arbetskraftens produktivitet att öka.</w:t>
      </w:r>
    </w:p>
    <w:p w:rsidR="00AA5D77" w:rsidRPr="006C40C1" w:rsidRDefault="00AA5D77">
      <w:pPr>
        <w:tabs>
          <w:tab w:val="num" w:pos="360"/>
        </w:tabs>
        <w:ind w:left="357" w:hanging="357"/>
      </w:pPr>
      <w:r w:rsidRPr="006C40C1">
        <w:rPr>
          <w:b/>
          <w:sz w:val="16"/>
        </w:rPr>
        <w:sym w:font="Symbol" w:char="F0B7"/>
      </w:r>
      <w:r w:rsidRPr="006C40C1">
        <w:rPr>
          <w:b/>
        </w:rPr>
        <w:tab/>
      </w:r>
      <w:r w:rsidRPr="006C40C1">
        <w:t>För företagen bör det bli mer lönsamt att investera i produktion, utveckla ny teknik och höja kvaliteten.</w:t>
      </w:r>
    </w:p>
    <w:p w:rsidR="00AA5D77" w:rsidRPr="006C40C1" w:rsidRDefault="00AA5D77">
      <w:pPr>
        <w:tabs>
          <w:tab w:val="num" w:pos="360"/>
        </w:tabs>
        <w:ind w:left="357" w:hanging="357"/>
      </w:pPr>
      <w:r w:rsidRPr="006C40C1">
        <w:rPr>
          <w:b/>
          <w:sz w:val="16"/>
        </w:rPr>
        <w:sym w:font="Symbol" w:char="F0B7"/>
      </w:r>
      <w:r w:rsidRPr="006C40C1">
        <w:rPr>
          <w:b/>
        </w:rPr>
        <w:tab/>
      </w:r>
      <w:r w:rsidRPr="006C40C1">
        <w:t>Genom att förenkla regler och därigenom minska byråkrati och up</w:t>
      </w:r>
      <w:r w:rsidRPr="006C40C1">
        <w:t>p</w:t>
      </w:r>
      <w:r w:rsidRPr="006C40C1">
        <w:t>giftslämnande, kommer företagen att kunna fokusera på sina affärsidéer snarare än administration. Därigenom kan produktiviteten öka i alla b</w:t>
      </w:r>
      <w:r w:rsidRPr="006C40C1">
        <w:t>e</w:t>
      </w:r>
      <w:r w:rsidRPr="006C40C1">
        <w:t>fintliga verksa</w:t>
      </w:r>
      <w:r w:rsidRPr="006C40C1">
        <w:t>m</w:t>
      </w:r>
      <w:r w:rsidRPr="006C40C1">
        <w:t>heter.</w:t>
      </w:r>
    </w:p>
    <w:p w:rsidR="00AA5D77" w:rsidRPr="006C40C1" w:rsidRDefault="00AA5D77">
      <w:pPr>
        <w:tabs>
          <w:tab w:val="num" w:pos="360"/>
        </w:tabs>
        <w:ind w:left="357" w:hanging="357"/>
      </w:pPr>
      <w:r w:rsidRPr="006C40C1">
        <w:rPr>
          <w:b/>
          <w:sz w:val="16"/>
        </w:rPr>
        <w:sym w:font="Symbol" w:char="F0B7"/>
      </w:r>
      <w:r w:rsidRPr="006C40C1">
        <w:rPr>
          <w:b/>
        </w:rPr>
        <w:tab/>
      </w:r>
      <w:r w:rsidRPr="006C40C1">
        <w:t>Genom att öppna för en mångfald utförare av offentliga välfärdstjänster kommer produktiviteten att öka. Detta både som en följd av att nya och effektivare organisationsformer kommer att uppstå, och som en följd av att bättre fungerande belöningssystem kommer till stånd när det finns fler arbet</w:t>
      </w:r>
      <w:r w:rsidRPr="006C40C1">
        <w:t>s</w:t>
      </w:r>
      <w:r w:rsidRPr="006C40C1">
        <w:t>givare att välja bland.</w:t>
      </w:r>
    </w:p>
    <w:p w:rsidR="00AA5D77" w:rsidRPr="006C40C1" w:rsidRDefault="00AA5D77">
      <w:pPr>
        <w:tabs>
          <w:tab w:val="num" w:pos="360"/>
        </w:tabs>
        <w:ind w:left="357" w:hanging="357"/>
      </w:pPr>
      <w:r w:rsidRPr="006C40C1">
        <w:rPr>
          <w:b/>
          <w:sz w:val="16"/>
        </w:rPr>
        <w:sym w:font="Symbol" w:char="F0B7"/>
      </w:r>
      <w:r w:rsidRPr="006C40C1">
        <w:rPr>
          <w:b/>
        </w:rPr>
        <w:tab/>
      </w:r>
      <w:r w:rsidRPr="006C40C1">
        <w:t>Den offentliga upphandlingen av varor kan förbättras och därmed samt</w:t>
      </w:r>
      <w:r w:rsidRPr="006C40C1">
        <w:t>i</w:t>
      </w:r>
      <w:r w:rsidRPr="006C40C1">
        <w:t>digt bidra till ökad produktivitet i offentlig sektor och ökat konkurren</w:t>
      </w:r>
      <w:r w:rsidRPr="006C40C1">
        <w:t>s</w:t>
      </w:r>
      <w:r w:rsidRPr="006C40C1">
        <w:t>tryck i privat sektor.</w:t>
      </w:r>
    </w:p>
    <w:p w:rsidR="00AA5D77" w:rsidRPr="006C40C1" w:rsidRDefault="00AA5D77">
      <w:pPr>
        <w:tabs>
          <w:tab w:val="num" w:pos="360"/>
        </w:tabs>
        <w:ind w:left="357" w:hanging="357"/>
      </w:pPr>
      <w:r w:rsidRPr="006C40C1">
        <w:rPr>
          <w:b/>
          <w:sz w:val="16"/>
        </w:rPr>
        <w:sym w:font="Symbol" w:char="F0B7"/>
      </w:r>
      <w:r w:rsidRPr="006C40C1">
        <w:rPr>
          <w:b/>
        </w:rPr>
        <w:tab/>
      </w:r>
      <w:r w:rsidRPr="006C40C1">
        <w:t>Genom en stärkt konkurrens på såväl produkt-, tjänste- som finansiella marknader kan sannolikt kraftiga produktivitetsökningar uppnås. Detta gäller inte minst byggsektorn, livsmedelssektorn, läkemedel och ban</w:t>
      </w:r>
      <w:r w:rsidRPr="006C40C1">
        <w:t>k</w:t>
      </w:r>
      <w:r w:rsidRPr="006C40C1">
        <w:t>tjänster. Konkurrensverket bör ges en mycket starkare position för att b</w:t>
      </w:r>
      <w:r w:rsidRPr="006C40C1">
        <w:t>i</w:t>
      </w:r>
      <w:r w:rsidRPr="006C40C1">
        <w:t>dra till ökad konku</w:t>
      </w:r>
      <w:r w:rsidRPr="006C40C1">
        <w:t>r</w:t>
      </w:r>
      <w:r w:rsidRPr="006C40C1">
        <w:t xml:space="preserve">rens. </w:t>
      </w:r>
    </w:p>
    <w:p w:rsidR="00AA5D77" w:rsidRPr="006C40C1" w:rsidRDefault="00AA5D77">
      <w:r w:rsidRPr="006C40C1">
        <w:t>Båda dessa perspektiv är lika viktiga efter</w:t>
      </w:r>
      <w:r w:rsidRPr="006C40C1">
        <w:softHyphen/>
        <w:t>som en ökad mobilisering av a</w:t>
      </w:r>
      <w:r w:rsidRPr="006C40C1">
        <w:t>r</w:t>
      </w:r>
      <w:r w:rsidRPr="006C40C1">
        <w:t>betskraften är omöjlig om inte samtidigt arbets</w:t>
      </w:r>
      <w:r w:rsidRPr="006C40C1">
        <w:softHyphen/>
        <w:t>mark</w:t>
      </w:r>
      <w:r w:rsidRPr="006C40C1">
        <w:softHyphen/>
        <w:t>naden växer i en sådan takt att den kan ta emot alla arbetsföra. Den socialdemokratiska regeringen har dessvärre ett alltför svagt intresse för båda dessa tillväxt</w:t>
      </w:r>
      <w:r w:rsidRPr="006C40C1">
        <w:softHyphen/>
        <w:t>faktorer.</w:t>
      </w:r>
    </w:p>
    <w:p w:rsidR="00AA5D77" w:rsidRPr="006C40C1" w:rsidRDefault="00AA5D77">
      <w:pPr>
        <w:pStyle w:val="Rubrik4"/>
        <w:rPr>
          <w:noProof w:val="0"/>
        </w:rPr>
      </w:pPr>
      <w:bookmarkStart w:id="847" w:name="_Toc25581336"/>
      <w:bookmarkStart w:id="848" w:name="_Toc26191628"/>
      <w:r w:rsidRPr="006C40C1">
        <w:rPr>
          <w:noProof w:val="0"/>
        </w:rPr>
        <w:t>Sunda finanser och stabila institutioner:</w:t>
      </w:r>
      <w:bookmarkEnd w:id="847"/>
      <w:bookmarkEnd w:id="848"/>
    </w:p>
    <w:p w:rsidR="00AA5D77" w:rsidRPr="006C40C1" w:rsidRDefault="00AA5D77">
      <w:r w:rsidRPr="006C40C1">
        <w:t>Avgörande för en bättre tillväxt är också den ekonomiska miljö som individer och företag verkar i. Den tredje hörnstenen i vår ekonomiska politik är därför sunda offentliga finanser och stabila institutioner. Med institutioner menar vi i detta sammanhang hela det rättsliga regelverket och det finansiella ramverk som beslutas politiskt.</w:t>
      </w:r>
    </w:p>
    <w:p w:rsidR="00AA5D77" w:rsidRPr="006C40C1" w:rsidRDefault="00AA5D77">
      <w:pPr>
        <w:tabs>
          <w:tab w:val="num" w:pos="360"/>
        </w:tabs>
        <w:ind w:left="357" w:hanging="357"/>
      </w:pPr>
      <w:r w:rsidRPr="006C40C1">
        <w:rPr>
          <w:b/>
          <w:sz w:val="16"/>
        </w:rPr>
        <w:sym w:font="Symbol" w:char="F0B7"/>
      </w:r>
      <w:r w:rsidRPr="006C40C1">
        <w:rPr>
          <w:b/>
        </w:rPr>
        <w:tab/>
      </w:r>
      <w:r w:rsidRPr="006C40C1">
        <w:t>Statens utgifts- och skattekvot måste minska för att ge hushållen och företagen en ökad makt över sina inkomster, för att minska statsbudg</w:t>
      </w:r>
      <w:r w:rsidRPr="006C40C1">
        <w:t>e</w:t>
      </w:r>
      <w:r w:rsidRPr="006C40C1">
        <w:t>tens stora konjunkturkänslighet, samt för att öka dynamiken i ekonomin.</w:t>
      </w:r>
    </w:p>
    <w:p w:rsidR="00AA5D77" w:rsidRPr="006C40C1" w:rsidRDefault="00AA5D77">
      <w:pPr>
        <w:tabs>
          <w:tab w:val="num" w:pos="360"/>
        </w:tabs>
        <w:ind w:left="357" w:hanging="357"/>
      </w:pPr>
      <w:r w:rsidRPr="006C40C1">
        <w:rPr>
          <w:b/>
          <w:sz w:val="16"/>
        </w:rPr>
        <w:sym w:font="Symbol" w:char="F0B7"/>
      </w:r>
      <w:r w:rsidRPr="006C40C1">
        <w:rPr>
          <w:b/>
        </w:rPr>
        <w:tab/>
      </w:r>
      <w:r w:rsidRPr="006C40C1">
        <w:t>Socialförsäkringssystemen måste reformeras för att bli enklare, ekon</w:t>
      </w:r>
      <w:r w:rsidRPr="006C40C1">
        <w:t>o</w:t>
      </w:r>
      <w:r w:rsidRPr="006C40C1">
        <w:t>miskt mer robusta och i högre grad försäkringsmässiga.</w:t>
      </w:r>
    </w:p>
    <w:p w:rsidR="00AA5D77" w:rsidRPr="006C40C1" w:rsidRDefault="00AA5D77">
      <w:pPr>
        <w:tabs>
          <w:tab w:val="num" w:pos="360"/>
        </w:tabs>
        <w:ind w:left="357" w:hanging="357"/>
      </w:pPr>
      <w:r w:rsidRPr="006C40C1">
        <w:rPr>
          <w:b/>
          <w:sz w:val="16"/>
        </w:rPr>
        <w:sym w:font="Symbol" w:char="F0B7"/>
      </w:r>
      <w:r w:rsidRPr="006C40C1">
        <w:rPr>
          <w:b/>
        </w:rPr>
        <w:tab/>
      </w:r>
      <w:r w:rsidRPr="006C40C1">
        <w:t>Den offentliga bruttoskulden ska minska.</w:t>
      </w:r>
    </w:p>
    <w:p w:rsidR="00AA5D77" w:rsidRPr="006C40C1" w:rsidRDefault="00AA5D77">
      <w:pPr>
        <w:tabs>
          <w:tab w:val="num" w:pos="360"/>
        </w:tabs>
        <w:ind w:left="357" w:hanging="357"/>
      </w:pPr>
      <w:r w:rsidRPr="006C40C1">
        <w:rPr>
          <w:b/>
          <w:sz w:val="16"/>
        </w:rPr>
        <w:sym w:font="Symbol" w:char="F0B7"/>
      </w:r>
      <w:r w:rsidRPr="006C40C1">
        <w:rPr>
          <w:b/>
        </w:rPr>
        <w:tab/>
      </w:r>
      <w:r w:rsidRPr="006C40C1">
        <w:t>Kontrollen och tillsynen över såväl socialförsäkrings- och bidragssyst</w:t>
      </w:r>
      <w:r w:rsidRPr="006C40C1">
        <w:t>e</w:t>
      </w:r>
      <w:r w:rsidRPr="006C40C1">
        <w:t>men som över finans-, produkt-, tjänstemarknaderna och skattesystemet bör stärkas. Därigenom används resurser bättre, och den konkurren</w:t>
      </w:r>
      <w:r w:rsidRPr="006C40C1">
        <w:t>s</w:t>
      </w:r>
      <w:r w:rsidRPr="006C40C1">
        <w:t>snedvridning som följer av t.ex. skattefusk minskar.</w:t>
      </w:r>
    </w:p>
    <w:p w:rsidR="00AA5D77" w:rsidRPr="006C40C1" w:rsidRDefault="00AA5D77">
      <w:pPr>
        <w:tabs>
          <w:tab w:val="num" w:pos="360"/>
        </w:tabs>
        <w:ind w:left="357" w:hanging="357"/>
      </w:pPr>
      <w:r w:rsidRPr="006C40C1">
        <w:rPr>
          <w:b/>
          <w:sz w:val="16"/>
        </w:rPr>
        <w:sym w:font="Symbol" w:char="F0B7"/>
      </w:r>
      <w:r w:rsidRPr="006C40C1">
        <w:rPr>
          <w:b/>
        </w:rPr>
        <w:tab/>
      </w:r>
      <w:r w:rsidRPr="006C40C1">
        <w:t>Det direkta sambandet mellan en fungerande lönebildning och höjda reallöner behöver stärkas. Arbetsmarknadens parter har ansvar för lön</w:t>
      </w:r>
      <w:r w:rsidRPr="006C40C1">
        <w:t>e</w:t>
      </w:r>
      <w:r w:rsidRPr="006C40C1">
        <w:t>förhandlingarna, men staten bör bl.a. tydliggöra kopplingen mellan a</w:t>
      </w:r>
      <w:r w:rsidRPr="006C40C1">
        <w:t>r</w:t>
      </w:r>
      <w:r w:rsidRPr="006C40C1">
        <w:t>betslösheten och avgiften till arbetslöshetsförsä</w:t>
      </w:r>
      <w:r w:rsidRPr="006C40C1">
        <w:t>k</w:t>
      </w:r>
      <w:r w:rsidRPr="006C40C1">
        <w:t>ringen.</w:t>
      </w:r>
    </w:p>
    <w:p w:rsidR="00AA5D77" w:rsidRPr="006C40C1" w:rsidRDefault="00AA5D77">
      <w:pPr>
        <w:tabs>
          <w:tab w:val="num" w:pos="360"/>
        </w:tabs>
        <w:ind w:left="357" w:hanging="357"/>
      </w:pPr>
      <w:r w:rsidRPr="006C40C1">
        <w:rPr>
          <w:b/>
          <w:sz w:val="16"/>
        </w:rPr>
        <w:sym w:font="Symbol" w:char="F0B7"/>
      </w:r>
      <w:r w:rsidRPr="006C40C1">
        <w:rPr>
          <w:b/>
        </w:rPr>
        <w:tab/>
      </w:r>
      <w:r w:rsidRPr="006C40C1">
        <w:t xml:space="preserve">Tilltron till rättsväsendet i stort behöver stärkas. </w:t>
      </w:r>
    </w:p>
    <w:p w:rsidR="00AA5D77" w:rsidRPr="006C40C1" w:rsidRDefault="00AA5D77">
      <w:r w:rsidRPr="006C40C1">
        <w:t>I de följande avsnitten utvecklar vi vår syn på de politikområden som nämnts ovan i de tre huvud</w:t>
      </w:r>
      <w:r w:rsidRPr="006C40C1">
        <w:t>d</w:t>
      </w:r>
      <w:r w:rsidRPr="006C40C1">
        <w:t>elarna i vår ekonomiska politik.</w:t>
      </w:r>
    </w:p>
    <w:p w:rsidR="00AA5D77" w:rsidRPr="006C40C1" w:rsidRDefault="00AA5D77">
      <w:pPr>
        <w:pStyle w:val="Rubrik3"/>
        <w:rPr>
          <w:noProof w:val="0"/>
        </w:rPr>
      </w:pPr>
      <w:bookmarkStart w:id="849" w:name="_Toc24974902"/>
      <w:bookmarkStart w:id="850" w:name="_Toc24976851"/>
      <w:bookmarkStart w:id="851" w:name="_Toc25581337"/>
      <w:bookmarkStart w:id="852" w:name="_Toc26191629"/>
      <w:r w:rsidRPr="006C40C1">
        <w:rPr>
          <w:noProof w:val="0"/>
        </w:rPr>
        <w:t>Fler arbetade timmar – inte bara högre ”sysselsättning”</w:t>
      </w:r>
      <w:bookmarkEnd w:id="849"/>
      <w:bookmarkEnd w:id="850"/>
      <w:bookmarkEnd w:id="851"/>
      <w:bookmarkEnd w:id="852"/>
    </w:p>
    <w:p w:rsidR="00AA5D77" w:rsidRPr="006C40C1" w:rsidRDefault="00AA5D77">
      <w:r w:rsidRPr="006C40C1">
        <w:t xml:space="preserve">Om politiken ska kunna ges en ändamålsenlig utformning för att uppnå givna mål är det viktigt att mäta rätt saker. Till skillnad från Socialdemokraterna vill vi inrikta intresset  på det totala antalet faktiskt arbetade timmar i ekonomin, inte bara hur många som i någon mån kan räknas som ”sysselsatta”. </w:t>
      </w:r>
    </w:p>
    <w:p w:rsidR="00AA5D77" w:rsidRPr="006C40C1" w:rsidRDefault="00AA5D77">
      <w:pPr>
        <w:pStyle w:val="Normaltindrag"/>
      </w:pPr>
      <w:r w:rsidRPr="006C40C1">
        <w:t>Som sysselsatt räknas i den officiella statistiken de som faktiskt är i arbete men också de som är tillfälligt frånvarande från arbetet, t.ex. på grund av sjukskrivning. De senare årens uppmätta sysselsättningsökning motsvaras dessvärre till största delen av ökade sjukskrivningar. Som sysselsatt räknas man också om man endast har arbetat en enda timme den vecka som mä</w:t>
      </w:r>
      <w:r w:rsidRPr="006C40C1">
        <w:t>t</w:t>
      </w:r>
      <w:r w:rsidRPr="006C40C1">
        <w:t>ningen görs. Det innebär t.ex. att alla som anmäler sig som deltidsarbetslösa ändå helt räknas som sysselsatta. I extremfallet innebär nuvarande sätt att mäta att den officiella sysselsättningsgraden skulle vara 100 % om alla i arbetsför ålder hade ett arbete på en timme i veckan som de var sjukskrivna från.</w:t>
      </w:r>
    </w:p>
    <w:p w:rsidR="00AA5D77" w:rsidRPr="006C40C1" w:rsidRDefault="00AA5D77">
      <w:pPr>
        <w:pStyle w:val="Normaltindrag"/>
      </w:pPr>
      <w:r w:rsidRPr="006C40C1">
        <w:t>Grunden för ekonomisk välfärdsutveckling är det arbete som faktiskt blir utfört. Därför vill vi att den ekonomiska politiken ska fokusera på just det totala antalet arbetade timmar. Tillsammans med det</w:t>
      </w:r>
      <w:r w:rsidRPr="006C40C1">
        <w:t>ta ska politiken också inriktas på åtgärder som leder till ett förbättrat resultat per arbetad timme, dvs. produktiviteten.</w:t>
      </w:r>
    </w:p>
    <w:p w:rsidR="00AA5D77" w:rsidRPr="006C40C1" w:rsidRDefault="00AA5D77">
      <w:pPr>
        <w:pStyle w:val="Normaltindrag"/>
      </w:pPr>
      <w:r w:rsidRPr="006C40C1">
        <w:t>Den totala arbetslösheten, som den officiellt redovisas inklusive arbet</w:t>
      </w:r>
      <w:r w:rsidRPr="006C40C1">
        <w:t>s</w:t>
      </w:r>
      <w:r w:rsidRPr="006C40C1">
        <w:t>marknadspolitiska åtgärder, ligger kvar på 6–7 % av arbetskraften. Detta är högt i ett svenskt perspektiv. Den oacceptabelt höga och växande arbetslö</w:t>
      </w:r>
      <w:r w:rsidRPr="006C40C1">
        <w:t>s</w:t>
      </w:r>
      <w:r w:rsidRPr="006C40C1">
        <w:t>heten bland utomnordiska invandrare är ett annat påtagligt bevis på att rege</w:t>
      </w:r>
      <w:r w:rsidRPr="006C40C1">
        <w:t>r</w:t>
      </w:r>
      <w:r w:rsidRPr="006C40C1">
        <w:t xml:space="preserve">ingen misslyckats med att skapa en ekonomi som kan mobilisera alla som vill och kan försörja sig genom eget arbete. </w:t>
      </w:r>
    </w:p>
    <w:p w:rsidR="00AA5D77" w:rsidRPr="006C40C1" w:rsidRDefault="00AA5D77">
      <w:pPr>
        <w:pStyle w:val="Normaltindrag"/>
      </w:pPr>
      <w:r w:rsidRPr="006C40C1">
        <w:t>Skillnaderna i sysselsättningsgrad, arbetslöshet, sjukskrivningar och fö</w:t>
      </w:r>
      <w:r w:rsidRPr="006C40C1">
        <w:t>r</w:t>
      </w:r>
      <w:r w:rsidRPr="006C40C1">
        <w:t>tidspensioner är därtill stora mellan olika delar av Sverige och speglar en regional tudelning. Med en politik som skapar förutsättningar för fler företag och fler jobb i hela Sverige kan ett betydande tillskott till antalet arbetade timmar och därmed till en starkare tillväxt uppnås.</w:t>
      </w:r>
    </w:p>
    <w:p w:rsidR="00AA5D77" w:rsidRPr="006C40C1" w:rsidRDefault="00AA5D77">
      <w:pPr>
        <w:pStyle w:val="Normaltindrag"/>
      </w:pPr>
      <w:r w:rsidRPr="006C40C1">
        <w:t xml:space="preserve">Vi ser sammantaget en stor potential för tillväxt i att öka den </w:t>
      </w:r>
      <w:r w:rsidRPr="006C40C1">
        <w:rPr>
          <w:i/>
        </w:rPr>
        <w:t>faktiska</w:t>
      </w:r>
      <w:r w:rsidRPr="006C40C1">
        <w:t xml:space="preserve"> sy</w:t>
      </w:r>
      <w:r w:rsidRPr="006C40C1">
        <w:t>s</w:t>
      </w:r>
      <w:r w:rsidRPr="006C40C1">
        <w:t>selsättningsgraden (sjukfrånvaron frånräknad) och antalet arbetade timmar genom bättre rehabilitering för minskade sjuk</w:t>
      </w:r>
      <w:r w:rsidRPr="006C40C1">
        <w:softHyphen/>
        <w:t>skrivningar och förtidspensi</w:t>
      </w:r>
      <w:r w:rsidRPr="006C40C1">
        <w:t>o</w:t>
      </w:r>
      <w:r w:rsidRPr="006C40C1">
        <w:t>ner, genom att mobilisera invandrare i arbete och företagande samt genom att skapa förutsättningar för en dynamisk arbetsmarknad i hela landet. Därig</w:t>
      </w:r>
      <w:r w:rsidRPr="006C40C1">
        <w:t>e</w:t>
      </w:r>
      <w:r w:rsidRPr="006C40C1">
        <w:t>nom kan en kraftig ökning av antalet arbetade timmar åstadkommas.</w:t>
      </w:r>
    </w:p>
    <w:p w:rsidR="00AA5D77" w:rsidRPr="006C40C1" w:rsidRDefault="00AA5D77">
      <w:pPr>
        <w:pStyle w:val="Reservationstabell"/>
        <w:keepNext/>
      </w:pPr>
      <w:r w:rsidRPr="006C40C1">
        <w:t>Diagram. Andelen reguljärt sysselsatta mellan 20 och 64 år. Officiella sysselsättning</w:t>
      </w:r>
      <w:r w:rsidRPr="006C40C1">
        <w:t>s</w:t>
      </w:r>
      <w:r w:rsidRPr="006C40C1">
        <w:t>tal respektive faktisk andel mä</w:t>
      </w:r>
      <w:r w:rsidRPr="006C40C1">
        <w:t>n</w:t>
      </w:r>
      <w:r w:rsidRPr="006C40C1">
        <w:t>niskor i arbete</w:t>
      </w:r>
    </w:p>
    <w:p w:rsidR="00AA5D77" w:rsidRPr="006C40C1" w:rsidRDefault="006C40C1">
      <w:pPr>
        <w:keepNext/>
        <w:rPr>
          <w:sz w:val="8"/>
        </w:rPr>
      </w:pPr>
      <w:r w:rsidRPr="006C40C1">
        <w:rPr>
          <w:noProof/>
        </w:rPr>
        <w:drawing>
          <wp:inline distT="0" distB="0" distL="0" distR="0">
            <wp:extent cx="3978910" cy="2656205"/>
            <wp:effectExtent l="0" t="0" r="0" b="0"/>
            <wp:docPr id="86" name="Bild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8">
                      <a:extLst>
                        <a:ext uri="{28A0092B-C50C-407E-A947-70E740481C1C}">
                          <a14:useLocalDpi xmlns:a14="http://schemas.microsoft.com/office/drawing/2010/main" val="0"/>
                        </a:ext>
                      </a:extLst>
                    </a:blip>
                    <a:srcRect l="2003" t="3149" r="2003" b="3149"/>
                    <a:stretch>
                      <a:fillRect/>
                    </a:stretch>
                  </pic:blipFill>
                  <pic:spPr bwMode="auto">
                    <a:xfrm>
                      <a:off x="0" y="0"/>
                      <a:ext cx="3978910" cy="2656205"/>
                    </a:xfrm>
                    <a:prstGeom prst="rect">
                      <a:avLst/>
                    </a:prstGeom>
                    <a:noFill/>
                    <a:ln>
                      <a:noFill/>
                    </a:ln>
                  </pic:spPr>
                </pic:pic>
              </a:graphicData>
            </a:graphic>
          </wp:inline>
        </w:drawing>
      </w:r>
    </w:p>
    <w:p w:rsidR="00AA5D77" w:rsidRPr="006C40C1" w:rsidRDefault="00AA5D77">
      <w:pPr>
        <w:pStyle w:val="Rubrik2"/>
        <w:spacing w:before="240"/>
      </w:pPr>
      <w:bookmarkStart w:id="853" w:name="_Toc24974903"/>
      <w:bookmarkStart w:id="854" w:name="_Toc24976852"/>
      <w:bookmarkStart w:id="855" w:name="_Toc25581338"/>
      <w:bookmarkStart w:id="856" w:name="_Toc26191630"/>
      <w:r w:rsidRPr="006C40C1">
        <w:t>Det sjuka Sverige och hur det kan botas</w:t>
      </w:r>
      <w:bookmarkEnd w:id="853"/>
      <w:bookmarkEnd w:id="854"/>
      <w:bookmarkEnd w:id="855"/>
      <w:bookmarkEnd w:id="856"/>
    </w:p>
    <w:p w:rsidR="00AA5D77" w:rsidRPr="006C40C1" w:rsidRDefault="00AA5D77">
      <w:r w:rsidRPr="006C40C1">
        <w:t>Sjukfrånvaron och förtidspensioneringarna är ett av de stora hoten mot den svenska välståndsutvecklingen. Att få bukt med denna utveckling är centralt för den ekonomiska tillväxten. Bara kostnaderna för sjukpenning, förtidspe</w:t>
      </w:r>
      <w:r w:rsidRPr="006C40C1">
        <w:t>n</w:t>
      </w:r>
      <w:r w:rsidRPr="006C40C1">
        <w:t>sioner och arbetsgivarnas sjukersättningsansvar uppgår till mer än 14 000 kr per invånare, men i den siffran ingår naturligtvis inte de effektivitetsförluster i näringsliv och offentlig sektor som det medför att ersätta inskolad eller utbi</w:t>
      </w:r>
      <w:r w:rsidRPr="006C40C1">
        <w:t>l</w:t>
      </w:r>
      <w:r w:rsidRPr="006C40C1">
        <w:t>dad arbetskraft med vikarier m.m. Konjunkturinstitutet har beräknat att en halverad ohälsa till 2008 utan ökade förtidspensioneringar skulle medföra ett finansiellt sparande på 45 miljarder kronor och en extra BNP-tillväxt om 2,6 %. Genom att arbetskraftsutbudet ökas min</w:t>
      </w:r>
      <w:r w:rsidRPr="006C40C1">
        <w:t>skar också riskerna för öve</w:t>
      </w:r>
      <w:r w:rsidRPr="006C40C1">
        <w:t>r</w:t>
      </w:r>
      <w:r w:rsidRPr="006C40C1">
        <w:t>het</w:t>
      </w:r>
      <w:r w:rsidRPr="006C40C1">
        <w:t>t</w:t>
      </w:r>
      <w:r w:rsidRPr="006C40C1">
        <w:t>ning och inflation.</w:t>
      </w:r>
    </w:p>
    <w:p w:rsidR="00AA5D77" w:rsidRPr="006C40C1" w:rsidRDefault="00AA5D77">
      <w:pPr>
        <w:pStyle w:val="Normaltindrag"/>
      </w:pPr>
      <w:r w:rsidRPr="006C40C1">
        <w:t>Sjukfrånvaron i Sverige fortsätter att öka till nya rekordnivåer även om RFV konstaterar en i viss mån avtagande ökningstakt. Antalet personer som under september månad erhållit sjukersättning har ökat med 4,9 % från 2001 till 2002. Utvecklingen tycks dock fortsätta mot allt längre sjukskrivningar eftersom antalet sjukdagar på årsbasis ökat med hela 10,5 %. Även antalet förtidspensionärer fortsatte att öka kraftigt under 2002. Ohälsan fortsätter således at</w:t>
      </w:r>
      <w:r w:rsidRPr="006C40C1">
        <w:t xml:space="preserve">t växa. </w:t>
      </w:r>
    </w:p>
    <w:p w:rsidR="00AA5D77" w:rsidRPr="006C40C1" w:rsidRDefault="00AA5D77">
      <w:pPr>
        <w:pStyle w:val="Normaltindrag"/>
      </w:pPr>
      <w:r w:rsidRPr="006C40C1">
        <w:t>En studie från ESO (Ds 2002:49) visar att Nederländerna och Norge haft en utveckling av sjukskrivningarna liknande den svenska. Den svenska frå</w:t>
      </w:r>
      <w:r w:rsidRPr="006C40C1">
        <w:t>n</w:t>
      </w:r>
      <w:r w:rsidRPr="006C40C1">
        <w:t>varon ligger dock högst. Ett gemensamt drag är ett omvänt samband mellan arbets</w:t>
      </w:r>
      <w:r w:rsidRPr="006C40C1">
        <w:softHyphen/>
        <w:t>löshet och sjukskrivningar. I tider av hög arbetslöshet har sjukskriv</w:t>
      </w:r>
      <w:r w:rsidRPr="006C40C1">
        <w:softHyphen/>
        <w:t xml:space="preserve">ningarna gått ner kraftigt medan de ökar när tillgången på arbete förbättras. Detta samband är tydligast markerat i Sverige. Det kan också tilläggas att utvecklingen i Norge och Nederländerna vänts under det senaste året medan den fortsatt i Sverige. </w:t>
      </w:r>
    </w:p>
    <w:p w:rsidR="00AA5D77" w:rsidRPr="006C40C1" w:rsidRDefault="00AA5D77">
      <w:pPr>
        <w:pStyle w:val="Normaltindrag"/>
      </w:pPr>
      <w:r w:rsidRPr="006C40C1">
        <w:t>ESO-rapporten visar också att arbetskraftens ålderssammansättning inte kan förklara ökningen av antalet sjuks</w:t>
      </w:r>
      <w:r w:rsidRPr="006C40C1">
        <w:t>krivna mer än mycket marginellt efte</w:t>
      </w:r>
      <w:r w:rsidRPr="006C40C1">
        <w:t>r</w:t>
      </w:r>
      <w:r w:rsidRPr="006C40C1">
        <w:t>som ökningen är likartad i alla åldersgrupper. Regeringens påstående att en stigande genomsnittsålder i arbetskraften skulle vara en viktig förklaring till ökningen av frånvaron håller således inte. Det förefaller också mindre troligt att arbetsmiljöerna och hälsostatusen för svenska löntagare generellt sett skulle vara sämre än i andra västeuropeiska länder. ESO-rapporten pekar dock på att den psykosociala arbetsmiljön kan ha försämrats på senare år, inte minst i den of</w:t>
      </w:r>
      <w:r w:rsidRPr="006C40C1">
        <w:t>fentliga sektorn.</w:t>
      </w:r>
    </w:p>
    <w:p w:rsidR="00AA5D77" w:rsidRPr="006C40C1" w:rsidRDefault="00AA5D77">
      <w:pPr>
        <w:pStyle w:val="Normaltindrag"/>
      </w:pPr>
      <w:r w:rsidRPr="006C40C1">
        <w:t>Regelverket för sjukförsäkringssystemen har betydelse för nivån på sju</w:t>
      </w:r>
      <w:r w:rsidRPr="006C40C1">
        <w:t>k</w:t>
      </w:r>
      <w:r w:rsidRPr="006C40C1">
        <w:t>skrivningarna. Det påverkar dels vem som kan ta del av sjukersättning, dels benägenheten att använda ersättningsmöjligheten. Regelverken är enligt ESO:s studie klart förmånligast i Sverige, Norge och Nederländerna. Det finns också alltfler tecken på att sjukskrivningar och förtids</w:t>
      </w:r>
      <w:r w:rsidRPr="006C40C1">
        <w:softHyphen/>
        <w:t>pensioneringar används som avlastning för arbetsmarknadspolitiken. Sam</w:t>
      </w:r>
      <w:r w:rsidRPr="006C40C1">
        <w:softHyphen/>
        <w:t>tidigt tycks det ha skett en glidning i beteendemönster och uppfattning om vad som är giltig anledning att stanna hemma från jobbet. Till exempel torde tolera</w:t>
      </w:r>
      <w:r w:rsidRPr="006C40C1">
        <w:t>nsen ha ökat för att stanna hemma från jobbet på grund av att man mår dåligt utan att vara sjuk. Denna attitydförändring är inte samma sak som att människor medvetet fuskar, även om fusk naturligtvis också förekommer. Snarare speglar det hur människors beteende anpassas efter välfärdssystemens regel</w:t>
      </w:r>
      <w:r w:rsidRPr="006C40C1">
        <w:softHyphen/>
        <w:t>verk. Sammant</w:t>
      </w:r>
      <w:r w:rsidRPr="006C40C1">
        <w:t>a</w:t>
      </w:r>
      <w:r w:rsidRPr="006C40C1">
        <w:t>get leder dessa trender till ett överutnyttjande.</w:t>
      </w:r>
    </w:p>
    <w:p w:rsidR="00AA5D77" w:rsidRPr="006C40C1" w:rsidRDefault="00AA5D77">
      <w:pPr>
        <w:pStyle w:val="Normaltindrag"/>
      </w:pPr>
      <w:r w:rsidRPr="006C40C1">
        <w:t>Även utanför arbetslivet finns det naturligtvis källor till vantrivsel som kan ta sig ut</w:t>
      </w:r>
      <w:r w:rsidRPr="006C40C1">
        <w:softHyphen/>
        <w:t>tryck i att människor känner sig sjuka eller deprimerade. En sådan vantrivsel är förvisso ett samhällsproblem som kan kräva politiska åtgärder. Långvarig sjukskrivning och för</w:t>
      </w:r>
      <w:r w:rsidRPr="006C40C1">
        <w:softHyphen/>
        <w:t>lorad kontakt med arbetsplatsen är i allmä</w:t>
      </w:r>
      <w:r w:rsidRPr="006C40C1">
        <w:t>n</w:t>
      </w:r>
      <w:r w:rsidRPr="006C40C1">
        <w:t>het inte en bra lösning på dessa problem.</w:t>
      </w:r>
    </w:p>
    <w:p w:rsidR="00AA5D77" w:rsidRPr="006C40C1" w:rsidRDefault="00AA5D77">
      <w:pPr>
        <w:pStyle w:val="Normaltindrag"/>
      </w:pPr>
      <w:r w:rsidRPr="006C40C1">
        <w:t>Det har under senare år utvecklats betydande skillnader mellan kvinnor och män när det gäller sjukskrivningar och förtidspensioneringar. I dagens läge står kvinnorna för nästan dubbelt så stor del av sjukskrivningarna som männen. En förklaring till d</w:t>
      </w:r>
      <w:r w:rsidRPr="006C40C1">
        <w:t>etta är den höga ohälsan i offentlig sektor där flertalet kvinnor arbetar. Men också på många andra kvinnodominerade a</w:t>
      </w:r>
      <w:r w:rsidRPr="006C40C1">
        <w:t>r</w:t>
      </w:r>
      <w:r w:rsidRPr="006C40C1">
        <w:t>betsplatser – t.ex. i handeln – ligger sjukskrivningarna långt över genomsni</w:t>
      </w:r>
      <w:r w:rsidRPr="006C40C1">
        <w:t>t</w:t>
      </w:r>
      <w:r w:rsidRPr="006C40C1">
        <w:t>tet. Ohälsan speglar av allt att döma kvinnors – genomsnittligt sett – unde</w:t>
      </w:r>
      <w:r w:rsidRPr="006C40C1">
        <w:t>r</w:t>
      </w:r>
      <w:r w:rsidRPr="006C40C1">
        <w:t>ordnade ställning på arbetsmarknaden där en stor del av kvinnorna har fysiskt och psykiskt tunga arbeten, mycket ansvar, men lite makt över sin arbetssit</w:t>
      </w:r>
      <w:r w:rsidRPr="006C40C1">
        <w:t>u</w:t>
      </w:r>
      <w:r w:rsidRPr="006C40C1">
        <w:t xml:space="preserve">ation. </w:t>
      </w:r>
    </w:p>
    <w:p w:rsidR="00AA5D77" w:rsidRPr="006C40C1" w:rsidRDefault="00AA5D77">
      <w:pPr>
        <w:pStyle w:val="Normaltindrag"/>
      </w:pPr>
      <w:r w:rsidRPr="006C40C1">
        <w:t>En del av förklaringen till den nästan dubbelt så stora sjukfrånvaron för kvin</w:t>
      </w:r>
      <w:r w:rsidRPr="006C40C1">
        <w:t>nor är att dessa alltjämt tar huvudansvaret för hem och barn. Den totala arbetsbördan blir större än för männen och den psykiska stressen över brist på tid och ekonomiska resurser för framför allt föräldrar med hemmavarande barn vilar sannolikt tyngst på kvinnorna.</w:t>
      </w:r>
    </w:p>
    <w:p w:rsidR="00AA5D77" w:rsidRPr="006C40C1" w:rsidRDefault="00AA5D77">
      <w:pPr>
        <w:pStyle w:val="Normaltindrag"/>
      </w:pPr>
      <w:r w:rsidRPr="006C40C1">
        <w:t>Den höga ohälsan i offentlig sektor är ett svidande underbetyg åt komm</w:t>
      </w:r>
      <w:r w:rsidRPr="006C40C1">
        <w:t>u</w:t>
      </w:r>
      <w:r w:rsidRPr="006C40C1">
        <w:t>ner och lands</w:t>
      </w:r>
      <w:r w:rsidRPr="006C40C1">
        <w:softHyphen/>
        <w:t>ting som arbetsgivare. Men det är för enkelt att reducera frågan till ett enkelt ledarskaps- eller resursproblem. Problemens kärna ligger i att det är storskaliga monopolarbetsgivare där drivkrafterna till en god persona</w:t>
      </w:r>
      <w:r w:rsidRPr="006C40C1">
        <w:t>l</w:t>
      </w:r>
      <w:r w:rsidRPr="006C40C1">
        <w:t>politik och ett uppmärksamt ledarskap ofta saknas. Intresset och ansvaret för det ekonomiska eller kvalitativa resultatet är inte tillräckligt tydliga för att kostnaderna för höga sjukskrivningar ska framkalla åtgärder. Bristen på alte</w:t>
      </w:r>
      <w:r w:rsidRPr="006C40C1">
        <w:t>r</w:t>
      </w:r>
      <w:r w:rsidRPr="006C40C1">
        <w:t>nativa arbetsgivare gör det samtidigt sv</w:t>
      </w:r>
      <w:r w:rsidRPr="006C40C1">
        <w:t>årt för personalen att ”rösta med fö</w:t>
      </w:r>
      <w:r w:rsidRPr="006C40C1">
        <w:t>t</w:t>
      </w:r>
      <w:r w:rsidRPr="006C40C1">
        <w:t>terna” för att förbättra sina arbetsvillkor.</w:t>
      </w:r>
    </w:p>
    <w:p w:rsidR="00AA5D77" w:rsidRPr="006C40C1" w:rsidRDefault="00AA5D77">
      <w:pPr>
        <w:pStyle w:val="Normaltindrag"/>
      </w:pPr>
      <w:r w:rsidRPr="006C40C1">
        <w:t xml:space="preserve">Försäkringskassorna klarar </w:t>
      </w:r>
      <w:r w:rsidRPr="006C40C1">
        <w:rPr>
          <w:snapToGrid w:val="0"/>
          <w:color w:val="000000"/>
          <w:lang w:eastAsia="sv-SE"/>
        </w:rPr>
        <w:t>i dag</w:t>
      </w:r>
      <w:r w:rsidRPr="006C40C1">
        <w:t xml:space="preserve"> inte av att hantera mängden av långa sjukskrivnings</w:t>
      </w:r>
      <w:r w:rsidRPr="006C40C1">
        <w:softHyphen/>
        <w:t>ärenden på ett tillfredsställande sätt. Att åstadkomma ett bättre och mer regelmässigt rehabiliteringsarbete är en nyckeluppgift för en politik för att min</w:t>
      </w:r>
      <w:r w:rsidRPr="006C40C1">
        <w:softHyphen/>
        <w:t>ska de långa sjukskrivningarna och i förlängningen också förtid</w:t>
      </w:r>
      <w:r w:rsidRPr="006C40C1">
        <w:t>s</w:t>
      </w:r>
      <w:r w:rsidRPr="006C40C1">
        <w:t>pensio</w:t>
      </w:r>
      <w:r w:rsidRPr="006C40C1">
        <w:softHyphen/>
        <w:t>neringarna.</w:t>
      </w:r>
    </w:p>
    <w:p w:rsidR="00AA5D77" w:rsidRPr="006C40C1" w:rsidRDefault="00AA5D77">
      <w:pPr>
        <w:pStyle w:val="Normaltindrag"/>
      </w:pPr>
      <w:r w:rsidRPr="006C40C1">
        <w:t>En tydlig och regelmässig hantering av längre sjukskrivningsärenden är också viktig för att stärka den s.k. grindvaktsfunktionen. Det har förekommit rapporter om att läkare skrivit ut sjukintyg mer eller mindre på d</w:t>
      </w:r>
      <w:r w:rsidRPr="006C40C1">
        <w:t>en sjukskri</w:t>
      </w:r>
      <w:r w:rsidRPr="006C40C1">
        <w:t>v</w:t>
      </w:r>
      <w:r w:rsidRPr="006C40C1">
        <w:t>nes begäran. Tvåläkarintyg och förbättrad utbildning för läkare i försäkring</w:t>
      </w:r>
      <w:r w:rsidRPr="006C40C1">
        <w:t>s</w:t>
      </w:r>
      <w:r w:rsidRPr="006C40C1">
        <w:t>medicin kan vara lämpliga åtgärder för att motverka sjukskrivningar på otil</w:t>
      </w:r>
      <w:r w:rsidRPr="006C40C1">
        <w:t>l</w:t>
      </w:r>
      <w:r w:rsidRPr="006C40C1">
        <w:t>räckliga eller felaktiga grunder.</w:t>
      </w:r>
    </w:p>
    <w:p w:rsidR="00AA5D77" w:rsidRPr="006C40C1" w:rsidRDefault="00AA5D77">
      <w:pPr>
        <w:pStyle w:val="Normaltindrag"/>
      </w:pPr>
      <w:r w:rsidRPr="006C40C1">
        <w:t>Ett av de stora problemen vid fall av långvarig sjukfrånvaro är att den sjukskrivne förlorar kontakten med sin arbetsplats och mentalt orienterar sig från arbetslivet. Flera exempel från näringslivet visar att ett rehabiliterings</w:t>
      </w:r>
      <w:r w:rsidRPr="006C40C1">
        <w:softHyphen/>
        <w:t>arbete i nära kontakt med arbetsplatsen ger ett bättre resultat. För stora a</w:t>
      </w:r>
      <w:r w:rsidRPr="006C40C1">
        <w:t>r</w:t>
      </w:r>
      <w:r w:rsidRPr="006C40C1">
        <w:t>betsgivare – särskilt kommunerna – kan ett erbjudande om nya arbetsuppgi</w:t>
      </w:r>
      <w:r w:rsidRPr="006C40C1">
        <w:t>f</w:t>
      </w:r>
      <w:r w:rsidRPr="006C40C1">
        <w:t>ter vara en lösning för en person som blivit sjuk i sitt tidigare arbete.</w:t>
      </w:r>
    </w:p>
    <w:p w:rsidR="00AA5D77" w:rsidRPr="006C40C1" w:rsidRDefault="00AA5D77">
      <w:pPr>
        <w:pStyle w:val="Normaltindrag"/>
      </w:pPr>
      <w:r w:rsidRPr="006C40C1">
        <w:t>Arbetsgivarnas ansvar för de första fjorton dagarnas sjukskrivning medför en stor riskexponering för företag med ett litet antal anställda. Samtidigt är det mycket angeläget att arbetsgivarna – inte minst de offentliga – har tydliga ekonomiska incitament att arbeta förebyggande mot ohäl</w:t>
      </w:r>
      <w:r w:rsidRPr="006C40C1">
        <w:t xml:space="preserve">sa. </w:t>
      </w:r>
    </w:p>
    <w:p w:rsidR="00AA5D77" w:rsidRPr="006C40C1" w:rsidRDefault="00AA5D77">
      <w:pPr>
        <w:pStyle w:val="Normaltindrag"/>
      </w:pPr>
      <w:r w:rsidRPr="006C40C1">
        <w:t>Moderaterna, Folkpartiet, Kristdemokraterna och Centerpartiet vill til</w:t>
      </w:r>
      <w:r w:rsidRPr="006C40C1">
        <w:t>l</w:t>
      </w:r>
      <w:r w:rsidRPr="006C40C1">
        <w:t>sammans verka för:</w:t>
      </w:r>
    </w:p>
    <w:p w:rsidR="00AA5D77" w:rsidRPr="006C40C1" w:rsidRDefault="00AA5D77">
      <w:pPr>
        <w:tabs>
          <w:tab w:val="num" w:pos="357"/>
        </w:tabs>
        <w:ind w:left="357" w:hanging="357"/>
      </w:pPr>
      <w:r w:rsidRPr="006C40C1">
        <w:rPr>
          <w:b/>
          <w:sz w:val="16"/>
        </w:rPr>
        <w:sym w:font="Symbol" w:char="F0B7"/>
      </w:r>
      <w:r w:rsidRPr="006C40C1">
        <w:rPr>
          <w:b/>
        </w:rPr>
        <w:tab/>
      </w:r>
      <w:r w:rsidRPr="006C40C1">
        <w:t>att finansiell samordning mellan försäkringskassorna och sjukvården tillåts i hela landet. Försäkringskassorna bör också kunna bekosta spec</w:t>
      </w:r>
      <w:r w:rsidRPr="006C40C1">
        <w:t>i</w:t>
      </w:r>
      <w:r w:rsidRPr="006C40C1">
        <w:t>alistvård utanför landstingssektorn för att minska väntetiderna</w:t>
      </w:r>
    </w:p>
    <w:p w:rsidR="00AA5D77" w:rsidRPr="006C40C1" w:rsidRDefault="00AA5D77">
      <w:pPr>
        <w:tabs>
          <w:tab w:val="num" w:pos="357"/>
        </w:tabs>
        <w:ind w:left="357" w:hanging="357"/>
      </w:pPr>
      <w:r w:rsidRPr="006C40C1">
        <w:rPr>
          <w:b/>
          <w:sz w:val="16"/>
        </w:rPr>
        <w:sym w:font="Symbol" w:char="F0B7"/>
      </w:r>
      <w:r w:rsidRPr="006C40C1">
        <w:rPr>
          <w:b/>
        </w:rPr>
        <w:tab/>
      </w:r>
      <w:r w:rsidRPr="006C40C1">
        <w:t>en nationell vårdgaranti för att korta vårdköer och möjliggöra en snabb</w:t>
      </w:r>
      <w:r w:rsidRPr="006C40C1">
        <w:t>a</w:t>
      </w:r>
      <w:r w:rsidRPr="006C40C1">
        <w:t>re återgång till arbete efter sjukdom. Vård garanteras senast inom tre m</w:t>
      </w:r>
      <w:r w:rsidRPr="006C40C1">
        <w:t>å</w:t>
      </w:r>
      <w:r w:rsidRPr="006C40C1">
        <w:t>nader efter det att behovet fastslagits. Den nationella vårdgarantin ska omfatta alla medicinskt motiverade behandlingar</w:t>
      </w:r>
    </w:p>
    <w:p w:rsidR="00AA5D77" w:rsidRPr="006C40C1" w:rsidRDefault="00AA5D77">
      <w:pPr>
        <w:tabs>
          <w:tab w:val="num" w:pos="357"/>
        </w:tabs>
        <w:ind w:left="357" w:hanging="357"/>
      </w:pPr>
      <w:r w:rsidRPr="006C40C1">
        <w:rPr>
          <w:b/>
          <w:sz w:val="16"/>
        </w:rPr>
        <w:sym w:font="Symbol" w:char="F0B7"/>
      </w:r>
      <w:r w:rsidRPr="006C40C1">
        <w:rPr>
          <w:b/>
        </w:rPr>
        <w:tab/>
      </w:r>
      <w:r w:rsidRPr="006C40C1">
        <w:t>ett förstärkt rehabiliteringsarbete med sikte på en rehabiliteringsgaranti varigenom en långtidssjukskriven garanteras en individuell rehabilite</w:t>
      </w:r>
      <w:r w:rsidRPr="006C40C1">
        <w:t>r</w:t>
      </w:r>
      <w:r w:rsidRPr="006C40C1">
        <w:t>ing</w:t>
      </w:r>
      <w:r w:rsidRPr="006C40C1">
        <w:t>s</w:t>
      </w:r>
      <w:r w:rsidRPr="006C40C1">
        <w:t>plan inom en viss tid av sjukskrivningsperioden</w:t>
      </w:r>
    </w:p>
    <w:p w:rsidR="00AA5D77" w:rsidRPr="006C40C1" w:rsidRDefault="00AA5D77">
      <w:pPr>
        <w:tabs>
          <w:tab w:val="num" w:pos="357"/>
        </w:tabs>
        <w:ind w:left="357" w:hanging="357"/>
      </w:pPr>
      <w:r w:rsidRPr="006C40C1">
        <w:rPr>
          <w:b/>
          <w:sz w:val="16"/>
        </w:rPr>
        <w:sym w:font="Symbol" w:char="F0B7"/>
      </w:r>
      <w:r w:rsidRPr="006C40C1">
        <w:rPr>
          <w:b/>
        </w:rPr>
        <w:tab/>
      </w:r>
      <w:r w:rsidRPr="006C40C1">
        <w:t>snabba resursförstärkningar till försäkringskassorna</w:t>
      </w:r>
    </w:p>
    <w:p w:rsidR="00AA5D77" w:rsidRPr="006C40C1" w:rsidRDefault="00AA5D77">
      <w:pPr>
        <w:tabs>
          <w:tab w:val="num" w:pos="357"/>
        </w:tabs>
        <w:ind w:left="357" w:hanging="357"/>
      </w:pPr>
      <w:r w:rsidRPr="006C40C1">
        <w:rPr>
          <w:b/>
          <w:sz w:val="16"/>
        </w:rPr>
        <w:sym w:font="Symbol" w:char="F0B7"/>
      </w:r>
      <w:r w:rsidRPr="006C40C1">
        <w:rPr>
          <w:b/>
        </w:rPr>
        <w:tab/>
      </w:r>
      <w:r w:rsidRPr="006C40C1">
        <w:t>stärkt utbildning i försäkringsmedicin för läkare</w:t>
      </w:r>
    </w:p>
    <w:p w:rsidR="00AA5D77" w:rsidRPr="006C40C1" w:rsidRDefault="00AA5D77">
      <w:pPr>
        <w:tabs>
          <w:tab w:val="num" w:pos="357"/>
        </w:tabs>
        <w:ind w:left="357" w:hanging="357"/>
      </w:pPr>
      <w:r w:rsidRPr="006C40C1">
        <w:rPr>
          <w:b/>
          <w:sz w:val="16"/>
        </w:rPr>
        <w:sym w:font="Symbol" w:char="F0B7"/>
      </w:r>
      <w:r w:rsidRPr="006C40C1">
        <w:rPr>
          <w:b/>
        </w:rPr>
        <w:tab/>
      </w:r>
      <w:r w:rsidRPr="006C40C1">
        <w:t xml:space="preserve">att det förebyggande arbetet på arbetsplatserna ges en högre prioritet. Detta gäller särskilt inom den offentliga sektorn </w:t>
      </w:r>
    </w:p>
    <w:p w:rsidR="00AA5D77" w:rsidRPr="006C40C1" w:rsidRDefault="00AA5D77">
      <w:pPr>
        <w:tabs>
          <w:tab w:val="num" w:pos="357"/>
        </w:tabs>
        <w:ind w:left="357" w:hanging="357"/>
      </w:pPr>
      <w:r w:rsidRPr="006C40C1">
        <w:rPr>
          <w:b/>
          <w:sz w:val="16"/>
        </w:rPr>
        <w:sym w:font="Symbol" w:char="F0B7"/>
      </w:r>
      <w:r w:rsidRPr="006C40C1">
        <w:rPr>
          <w:b/>
        </w:rPr>
        <w:tab/>
      </w:r>
      <w:r w:rsidRPr="006C40C1">
        <w:t>fler alternativa arbetsgivare inom den offentligt finansierade verksamh</w:t>
      </w:r>
      <w:r w:rsidRPr="006C40C1">
        <w:t>e</w:t>
      </w:r>
      <w:r w:rsidRPr="006C40C1">
        <w:t>ten för att öka drivkrafterna att arbeta förebyggande och ge de anställda rimliga arbetsvillkor, bl.a. vad gäller arbetstidens förläggning</w:t>
      </w:r>
    </w:p>
    <w:p w:rsidR="00AA5D77" w:rsidRPr="006C40C1" w:rsidRDefault="00AA5D77">
      <w:pPr>
        <w:tabs>
          <w:tab w:val="num" w:pos="357"/>
        </w:tabs>
        <w:ind w:left="357" w:hanging="357"/>
      </w:pPr>
      <w:r w:rsidRPr="006C40C1">
        <w:rPr>
          <w:b/>
          <w:sz w:val="16"/>
        </w:rPr>
        <w:sym w:font="Symbol" w:char="F0B7"/>
      </w:r>
      <w:r w:rsidRPr="006C40C1">
        <w:rPr>
          <w:b/>
        </w:rPr>
        <w:tab/>
      </w:r>
      <w:r w:rsidRPr="006C40C1">
        <w:t>utökade möjligheter för den enskilde att påverka arbetstidens förläggning och bestämma dess omfattning, vilket också i många fall kan göra att a</w:t>
      </w:r>
      <w:r w:rsidRPr="006C40C1">
        <w:t>r</w:t>
      </w:r>
      <w:r w:rsidRPr="006C40C1">
        <w:t>betsmiljön upplevs som bättre och därmed i förlängningen leda till ett bättre häls</w:t>
      </w:r>
      <w:r w:rsidRPr="006C40C1">
        <w:t>o</w:t>
      </w:r>
      <w:r w:rsidRPr="006C40C1">
        <w:t>läge</w:t>
      </w:r>
    </w:p>
    <w:p w:rsidR="00AA5D77" w:rsidRPr="006C40C1" w:rsidRDefault="00AA5D77">
      <w:pPr>
        <w:tabs>
          <w:tab w:val="num" w:pos="357"/>
        </w:tabs>
        <w:ind w:left="357" w:hanging="357"/>
      </w:pPr>
      <w:r w:rsidRPr="006C40C1">
        <w:rPr>
          <w:b/>
          <w:sz w:val="16"/>
        </w:rPr>
        <w:sym w:font="Symbol" w:char="F0B7"/>
      </w:r>
      <w:r w:rsidRPr="006C40C1">
        <w:rPr>
          <w:b/>
        </w:rPr>
        <w:tab/>
      </w:r>
      <w:r w:rsidRPr="006C40C1">
        <w:t>förbättrad kunskap om och ökade insatser mot kvinnors ohälsa.</w:t>
      </w:r>
    </w:p>
    <w:p w:rsidR="00AA5D77" w:rsidRPr="006C40C1" w:rsidRDefault="00AA5D77">
      <w:pPr>
        <w:pStyle w:val="Rubrik2"/>
      </w:pPr>
      <w:bookmarkStart w:id="857" w:name="_Toc25581339"/>
      <w:bookmarkStart w:id="858" w:name="_Toc26191631"/>
      <w:r w:rsidRPr="006C40C1">
        <w:t>Bättre lönebildning</w:t>
      </w:r>
      <w:bookmarkEnd w:id="857"/>
      <w:bookmarkEnd w:id="858"/>
    </w:p>
    <w:p w:rsidR="00AA5D77" w:rsidRPr="006C40C1" w:rsidRDefault="00AA5D77">
      <w:r w:rsidRPr="006C40C1">
        <w:t>Löneutvecklingen måste vara förenlig med en god samhällsekonomisk u</w:t>
      </w:r>
      <w:r w:rsidRPr="006C40C1">
        <w:t>t</w:t>
      </w:r>
      <w:r w:rsidRPr="006C40C1">
        <w:t>veckling. Den ökande internationaliseringen ställer också höga krav på att vi i Sverige inte har en löne</w:t>
      </w:r>
      <w:r w:rsidRPr="006C40C1">
        <w:softHyphen/>
        <w:t>ökningstakt som långsiktigt avviker från våra vikt</w:t>
      </w:r>
      <w:r w:rsidRPr="006C40C1">
        <w:t>i</w:t>
      </w:r>
      <w:r w:rsidRPr="006C40C1">
        <w:t>gaste konkurrentländers.</w:t>
      </w:r>
    </w:p>
    <w:p w:rsidR="00AA5D77" w:rsidRPr="006C40C1" w:rsidRDefault="00AA5D77">
      <w:pPr>
        <w:pStyle w:val="Normaltindrag"/>
      </w:pPr>
      <w:r w:rsidRPr="006C40C1">
        <w:t>Det är inte enbart de genomsnittliga löneökningarna som är viktiga utan också att löne</w:t>
      </w:r>
      <w:r w:rsidRPr="006C40C1">
        <w:softHyphen/>
        <w:t>struk</w:t>
      </w:r>
      <w:r w:rsidRPr="006C40C1">
        <w:softHyphen/>
        <w:t>turen utvecklas så att sysselsättningen ökar och flaskha</w:t>
      </w:r>
      <w:r w:rsidRPr="006C40C1">
        <w:t>l</w:t>
      </w:r>
      <w:r w:rsidRPr="006C40C1">
        <w:t>sarna minskar. Ett led i arbetet med att skapa förutsättningar för fler jobb är att modernisera arbetslöshets</w:t>
      </w:r>
      <w:r w:rsidRPr="006C40C1">
        <w:softHyphen/>
        <w:t>för</w:t>
      </w:r>
      <w:r w:rsidRPr="006C40C1">
        <w:softHyphen/>
        <w:t>säk</w:t>
      </w:r>
      <w:r w:rsidRPr="006C40C1">
        <w:softHyphen/>
        <w:t>ringen. A-kassan ska vara en allmän och obligatorisk omställningsförsäkring. Parterna på arbetsmarknaden bör i större utsträckning ha ansvaret för lönebildningen och konse</w:t>
      </w:r>
      <w:r w:rsidRPr="006C40C1">
        <w:softHyphen/>
        <w:t>kvenserna av träffade avtal. Det är rimligt att de som har jobb bär en större del av an</w:t>
      </w:r>
      <w:r w:rsidRPr="006C40C1">
        <w:softHyphen/>
        <w:t>svaret för r</w:t>
      </w:r>
      <w:r w:rsidRPr="006C40C1">
        <w:t>e</w:t>
      </w:r>
      <w:r w:rsidRPr="006C40C1">
        <w:t>sultatet av sina handlingar. Det bör därför införas ett ö</w:t>
      </w:r>
      <w:r w:rsidRPr="006C40C1">
        <w:t>kat eget ansvar för arbetslöshetsförsäkringens finansiering.</w:t>
      </w:r>
    </w:p>
    <w:p w:rsidR="00AA5D77" w:rsidRPr="006C40C1" w:rsidRDefault="00AA5D77">
      <w:pPr>
        <w:pStyle w:val="Normaltindrag"/>
      </w:pPr>
      <w:r w:rsidRPr="006C40C1">
        <w:t>Alltför stora löneökningar i den offentliga sektorn, utan motsvarande pr</w:t>
      </w:r>
      <w:r w:rsidRPr="006C40C1">
        <w:t>o</w:t>
      </w:r>
      <w:r w:rsidRPr="006C40C1">
        <w:t>duktivitets</w:t>
      </w:r>
      <w:r w:rsidRPr="006C40C1">
        <w:softHyphen/>
        <w:t xml:space="preserve">utveckling, medför antingen behov av ökade skatter eller mindre offentlig verksamhet. </w:t>
      </w:r>
    </w:p>
    <w:p w:rsidR="00AA5D77" w:rsidRPr="006C40C1" w:rsidRDefault="00AA5D77">
      <w:pPr>
        <w:pStyle w:val="Normaltindrag"/>
      </w:pPr>
      <w:r w:rsidRPr="006C40C1">
        <w:t>Inom den offentliga sektorn finns stora låglönegrupper, men de finns även på den privata sidan. Risken är att stora löneökningar för en sektor drar med sig övriga grupper i en accele</w:t>
      </w:r>
      <w:r w:rsidRPr="006C40C1">
        <w:softHyphen/>
        <w:t>rerande lönespiral. Det är förståeligt att lönen efter skatt betraktas som låg för många människor. De förslag till sänkt i</w:t>
      </w:r>
      <w:r w:rsidRPr="006C40C1">
        <w:t>n</w:t>
      </w:r>
      <w:r w:rsidRPr="006C40C1">
        <w:t>komstskatt som våra partier föreslagit är emellertid ett viktigt sätt för dem att nå samma resultat – högre ekonomisk standard – samtidigt som en bättre fungerande lönebildning och större möjligheter att matcha arbetskraft till bristy</w:t>
      </w:r>
      <w:r w:rsidRPr="006C40C1">
        <w:t>r</w:t>
      </w:r>
      <w:r w:rsidRPr="006C40C1">
        <w:t xml:space="preserve">ken kan uppnås. </w:t>
      </w:r>
    </w:p>
    <w:p w:rsidR="00AA5D77" w:rsidRPr="006C40C1" w:rsidRDefault="00AA5D77">
      <w:pPr>
        <w:pStyle w:val="Normaltindrag"/>
      </w:pPr>
      <w:r w:rsidRPr="006C40C1">
        <w:t>Lika lön för likvärdigt arbete är en princip i jämställdhetsarbetet som måste uppnås. Ren lönediskriminering ska med kraft bekämpas. An</w:t>
      </w:r>
      <w:r w:rsidRPr="006C40C1">
        <w:t>dra lön</w:t>
      </w:r>
      <w:r w:rsidRPr="006C40C1">
        <w:t>e</w:t>
      </w:r>
      <w:r w:rsidRPr="006C40C1">
        <w:t>skillnader har sin grund i deltidsarbete och förvärvsavbrott. Dessa löneskil</w:t>
      </w:r>
      <w:r w:rsidRPr="006C40C1">
        <w:t>l</w:t>
      </w:r>
      <w:r w:rsidRPr="006C40C1">
        <w:t>nader är visserligen sakligt motiverade men orsakerna till situationen är inte opåverkbar. Vi lägger en rad förslag som stärker kvinnors position på arbet</w:t>
      </w:r>
      <w:r w:rsidRPr="006C40C1">
        <w:t>s</w:t>
      </w:r>
      <w:r w:rsidRPr="006C40C1">
        <w:t>markn</w:t>
      </w:r>
      <w:r w:rsidRPr="006C40C1">
        <w:t>a</w:t>
      </w:r>
      <w:r w:rsidRPr="006C40C1">
        <w:t xml:space="preserve">den. </w:t>
      </w:r>
    </w:p>
    <w:p w:rsidR="00AA5D77" w:rsidRPr="006C40C1" w:rsidRDefault="00AA5D77">
      <w:pPr>
        <w:pStyle w:val="Normaltindrag"/>
      </w:pPr>
      <w:r w:rsidRPr="006C40C1">
        <w:t>Kvarstår gör att en mycket stor del av löneskillnaderna mellan kvinnor och män har att göra med löne</w:t>
      </w:r>
      <w:r w:rsidRPr="006C40C1">
        <w:softHyphen/>
        <w:t>skill</w:t>
      </w:r>
      <w:r w:rsidRPr="006C40C1">
        <w:softHyphen/>
        <w:t>nader mellan olika yrkesgrupper. Förändringar i de relativa lönerna mellan dessa yrkesgrupper är en svår utmaning. Många yrkesgrupper är samtidigt lågt avlönade och bristyrken. En förändring av det relativa löneläget för dessa yrkesgrupper leder både till en mer jämställd lönestruktur och en bättre fungerande arbetsmarknad. Det är ett faktum att lönenivåerna höjs mer där fler arbetsgivare finns att välja mellan.</w:t>
      </w:r>
    </w:p>
    <w:p w:rsidR="00AA5D77" w:rsidRPr="006C40C1" w:rsidRDefault="00AA5D77">
      <w:pPr>
        <w:pStyle w:val="Normaltindrag"/>
      </w:pPr>
      <w:r w:rsidRPr="006C40C1">
        <w:t>En generell höjning av lönerna enbart för lågavlönade i den offentliga sektorn medför kra</w:t>
      </w:r>
      <w:r w:rsidRPr="006C40C1">
        <w:t>ftigt ökade kostnader för kommuner och landsting samt</w:t>
      </w:r>
      <w:r w:rsidRPr="006C40C1">
        <w:t>i</w:t>
      </w:r>
      <w:r w:rsidRPr="006C40C1">
        <w:t>digt som det riskerar att ytterligare minska incitamenten till ut</w:t>
      </w:r>
      <w:r w:rsidRPr="006C40C1">
        <w:softHyphen/>
        <w:t>bild</w:t>
      </w:r>
      <w:r w:rsidRPr="006C40C1">
        <w:softHyphen/>
        <w:t>ning – inte minst vidareutbildning – eller till att söka sig till bristyrken. En hoptryckt löneskala skulle därmed försämra arbetsmarknadens förmåga att ”matcha” tillgång och efterfrågan på arbetskraft.</w:t>
      </w:r>
    </w:p>
    <w:p w:rsidR="00AA5D77" w:rsidRPr="006C40C1" w:rsidRDefault="00AA5D77">
      <w:pPr>
        <w:pStyle w:val="Normaltindrag"/>
      </w:pPr>
      <w:r w:rsidRPr="006C40C1">
        <w:t>Den stora utmaningen för lönebildningen är därför att de totala löneö</w:t>
      </w:r>
      <w:r w:rsidRPr="006C40C1">
        <w:t>k</w:t>
      </w:r>
      <w:r w:rsidRPr="006C40C1">
        <w:t>ningarna stannar vid de nivåer som är förenliga med långsiktigt god sysse</w:t>
      </w:r>
      <w:r w:rsidRPr="006C40C1">
        <w:t>l</w:t>
      </w:r>
      <w:r w:rsidRPr="006C40C1">
        <w:t>sättning och konkurrenskraft och inom denna ram klara att förändra det rel</w:t>
      </w:r>
      <w:r w:rsidRPr="006C40C1">
        <w:t>a</w:t>
      </w:r>
      <w:r w:rsidRPr="006C40C1">
        <w:t>tiva löneläget. Detta måste ske i stället för att falla in i det traditionella bet</w:t>
      </w:r>
      <w:r w:rsidRPr="006C40C1">
        <w:t>e</w:t>
      </w:r>
      <w:r w:rsidRPr="006C40C1">
        <w:t>endet att löneökningar för vissa grupper leder till kompensationskrav från andra så att resultatet blir sammanlagda löneökningar utöver vad samhäll</w:t>
      </w:r>
      <w:r w:rsidRPr="006C40C1">
        <w:t>s</w:t>
      </w:r>
      <w:r w:rsidRPr="006C40C1">
        <w:t>ekonomin tål utan att ha åstadkommit de önskvärda förändringarna. Sänkta inkoms</w:t>
      </w:r>
      <w:r w:rsidRPr="006C40C1">
        <w:t>t</w:t>
      </w:r>
      <w:r w:rsidRPr="006C40C1">
        <w:t>skatter för alla underlättar denna process.</w:t>
      </w:r>
    </w:p>
    <w:p w:rsidR="00AA5D77" w:rsidRPr="006C40C1" w:rsidRDefault="00AA5D77">
      <w:pPr>
        <w:pStyle w:val="Rubrik2"/>
      </w:pPr>
      <w:bookmarkStart w:id="859" w:name="_Toc24974904"/>
      <w:bookmarkStart w:id="860" w:name="_Toc24976853"/>
      <w:bookmarkStart w:id="861" w:name="_Toc25581340"/>
      <w:bookmarkStart w:id="862" w:name="_Toc26191632"/>
      <w:r w:rsidRPr="006C40C1">
        <w:t>En bätt</w:t>
      </w:r>
      <w:r w:rsidRPr="006C40C1">
        <w:t>re integration</w:t>
      </w:r>
      <w:bookmarkEnd w:id="859"/>
      <w:bookmarkEnd w:id="860"/>
      <w:bookmarkEnd w:id="861"/>
      <w:bookmarkEnd w:id="862"/>
    </w:p>
    <w:p w:rsidR="00AA5D77" w:rsidRPr="006C40C1" w:rsidRDefault="00AA5D77">
      <w:r w:rsidRPr="006C40C1">
        <w:t>Nästan hälften av alla utomnordiska invandrare i arbetsför ålder står utanför arbets</w:t>
      </w:r>
      <w:r w:rsidRPr="006C40C1">
        <w:softHyphen/>
        <w:t>mark</w:t>
      </w:r>
      <w:r w:rsidRPr="006C40C1">
        <w:softHyphen/>
        <w:t>naden. Den missriktade politik som förhindrat och förbjudit mä</w:t>
      </w:r>
      <w:r w:rsidRPr="006C40C1">
        <w:t>n</w:t>
      </w:r>
      <w:r w:rsidRPr="006C40C1">
        <w:t>niskor att ens söka arbete har berövat många nyanlända människor deras självkänsla, vilket lett till utan</w:t>
      </w:r>
      <w:r w:rsidRPr="006C40C1">
        <w:softHyphen/>
        <w:t>förskap från det svenska samhället. Många människor har aldrig fått en chans att utöva sitt yrke på den svenska arbet</w:t>
      </w:r>
      <w:r w:rsidRPr="006C40C1">
        <w:t>s</w:t>
      </w:r>
      <w:r w:rsidRPr="006C40C1">
        <w:t>marknaden. På så sätt har också Sverige berövats värde</w:t>
      </w:r>
      <w:r w:rsidRPr="006C40C1">
        <w:softHyphen/>
        <w:t>fulla erfarenheter. Andra invandrare har hållits borta från arbetsmarknaden därför att de fastnat i bidragsfällan.</w:t>
      </w:r>
    </w:p>
    <w:p w:rsidR="00AA5D77" w:rsidRPr="006C40C1" w:rsidRDefault="00AA5D77">
      <w:pPr>
        <w:pStyle w:val="Normaltindrag"/>
      </w:pPr>
      <w:r w:rsidRPr="006C40C1">
        <w:t>Det finns också en stor tillväxtpotential i möjli</w:t>
      </w:r>
      <w:r w:rsidRPr="006C40C1">
        <w:t>gheten att mobilisera dessa grupper och göra det möjligt för dem att få arbete motsvarande deras komp</w:t>
      </w:r>
      <w:r w:rsidRPr="006C40C1">
        <w:t>e</w:t>
      </w:r>
      <w:r w:rsidRPr="006C40C1">
        <w:t>tens. Syssel</w:t>
      </w:r>
      <w:r w:rsidRPr="006C40C1">
        <w:softHyphen/>
        <w:t>sättnings</w:t>
      </w:r>
      <w:r w:rsidRPr="006C40C1">
        <w:softHyphen/>
        <w:t>graden bland invandrare från länder utanför EU var under första halvåret 2002 55,5 % mot 76 % för personer födda i Sverige. Om sy</w:t>
      </w:r>
      <w:r w:rsidRPr="006C40C1">
        <w:t>s</w:t>
      </w:r>
      <w:r w:rsidRPr="006C40C1">
        <w:t>selsättnings</w:t>
      </w:r>
      <w:r w:rsidRPr="006C40C1">
        <w:softHyphen/>
        <w:t>graden bland dessa grupper kan höjas till genomsnittet för pers</w:t>
      </w:r>
      <w:r w:rsidRPr="006C40C1">
        <w:t>o</w:t>
      </w:r>
      <w:r w:rsidRPr="006C40C1">
        <w:t>ner födda i Sverige bör det motsvara en arbetsstyrka på omkring 90 000 pe</w:t>
      </w:r>
      <w:r w:rsidRPr="006C40C1">
        <w:t>r</w:t>
      </w:r>
      <w:r w:rsidRPr="006C40C1">
        <w:t xml:space="preserve">soner. </w:t>
      </w:r>
    </w:p>
    <w:p w:rsidR="00AA5D77" w:rsidRPr="006C40C1" w:rsidRDefault="00AA5D77">
      <w:pPr>
        <w:pStyle w:val="Normaltindrag"/>
      </w:pPr>
      <w:r w:rsidRPr="006C40C1">
        <w:t>Många invandrare har svårt att få jobb som motsvarar deras kompetens och kapacitet. Det finns därf</w:t>
      </w:r>
      <w:r w:rsidRPr="006C40C1">
        <w:t>ör också en betydande tillväxtpotential i åtgärder som förbättrar deras möjligheter, t.ex. bättre vali</w:t>
      </w:r>
      <w:r w:rsidRPr="006C40C1">
        <w:softHyphen/>
        <w:t>de</w:t>
      </w:r>
      <w:r w:rsidRPr="006C40C1">
        <w:softHyphen/>
        <w:t>rings</w:t>
      </w:r>
      <w:r w:rsidRPr="006C40C1">
        <w:softHyphen/>
        <w:t>system etc.</w:t>
      </w:r>
    </w:p>
    <w:p w:rsidR="00AA5D77" w:rsidRPr="006C40C1" w:rsidRDefault="00AA5D77">
      <w:pPr>
        <w:pStyle w:val="Normaltindrag"/>
      </w:pPr>
      <w:r w:rsidRPr="006C40C1">
        <w:t>Vi vill radikalt förbättra integrationen genom insatser för att förbättra i</w:t>
      </w:r>
      <w:r w:rsidRPr="006C40C1">
        <w:t>n</w:t>
      </w:r>
      <w:r w:rsidRPr="006C40C1">
        <w:t>vandrares ställning på arbetsmarknaden, möjligheter att starta företag och språkkunskaper:</w:t>
      </w:r>
    </w:p>
    <w:p w:rsidR="00AA5D77" w:rsidRPr="006C40C1" w:rsidRDefault="00AA5D77">
      <w:pPr>
        <w:ind w:left="357" w:hanging="357"/>
      </w:pPr>
      <w:r w:rsidRPr="006C40C1">
        <w:rPr>
          <w:b/>
          <w:sz w:val="16"/>
        </w:rPr>
        <w:sym w:font="Symbol" w:char="F0B7"/>
      </w:r>
      <w:r w:rsidRPr="006C40C1">
        <w:rPr>
          <w:b/>
        </w:rPr>
        <w:tab/>
      </w:r>
      <w:r w:rsidRPr="006C40C1">
        <w:t>Trots de organisatoriska svårigheter som föreligger i dagsläget måste ambitionen vara att handläggningstiderna för beslut i asylärenden kortas ordentligt. Dagens ofta oacceptabelt långa handläggningstider medför stora psykiska påfrestningar och leder ofta till permanentat bidragsber</w:t>
      </w:r>
      <w:r w:rsidRPr="006C40C1">
        <w:t>o</w:t>
      </w:r>
      <w:r w:rsidRPr="006C40C1">
        <w:t>ende.</w:t>
      </w:r>
    </w:p>
    <w:p w:rsidR="00AA5D77" w:rsidRPr="006C40C1" w:rsidRDefault="00AA5D77">
      <w:pPr>
        <w:ind w:left="357" w:hanging="357"/>
      </w:pPr>
      <w:r w:rsidRPr="006C40C1">
        <w:rPr>
          <w:b/>
          <w:sz w:val="16"/>
        </w:rPr>
        <w:sym w:font="Symbol" w:char="F0B7"/>
      </w:r>
      <w:r w:rsidRPr="006C40C1">
        <w:rPr>
          <w:b/>
        </w:rPr>
        <w:tab/>
      </w:r>
      <w:r w:rsidRPr="006C40C1">
        <w:t>En mer heltäckande kunskapsvalidering bör införas snarast. Det kan konstateras att valideringssystemen för utom</w:t>
      </w:r>
      <w:r w:rsidRPr="006C40C1">
        <w:softHyphen/>
        <w:t>europeiska invandrare for</w:t>
      </w:r>
      <w:r w:rsidRPr="006C40C1">
        <w:t>t</w:t>
      </w:r>
      <w:r w:rsidRPr="006C40C1">
        <w:t>farande inte fungerar i praktiken. Andra EU-länder som exempelvis Storbritannien har här kommit betyd</w:t>
      </w:r>
      <w:r w:rsidRPr="006C40C1">
        <w:softHyphen/>
        <w:t>ligt längre. Valideringssystemen ska inte enbart omfatta akademiska examina utan även erfarenhet och yrke</w:t>
      </w:r>
      <w:r w:rsidRPr="006C40C1">
        <w:t>s</w:t>
      </w:r>
      <w:r w:rsidRPr="006C40C1">
        <w:t>kompetens.</w:t>
      </w:r>
    </w:p>
    <w:p w:rsidR="00AA5D77" w:rsidRPr="006C40C1" w:rsidRDefault="00AA5D77">
      <w:pPr>
        <w:ind w:left="357" w:hanging="357"/>
      </w:pPr>
      <w:r w:rsidRPr="006C40C1">
        <w:rPr>
          <w:b/>
          <w:sz w:val="16"/>
        </w:rPr>
        <w:sym w:font="Symbol" w:char="F0B7"/>
      </w:r>
      <w:r w:rsidRPr="006C40C1">
        <w:rPr>
          <w:b/>
        </w:rPr>
        <w:tab/>
      </w:r>
      <w:r w:rsidRPr="006C40C1">
        <w:t>Bättre svenskundervisning. Svenska för invandrare (sfi) måste bli mer anpassad efter den enskildes förut</w:t>
      </w:r>
      <w:r w:rsidRPr="006C40C1">
        <w:softHyphen/>
        <w:t>sätt</w:t>
      </w:r>
      <w:r w:rsidRPr="006C40C1">
        <w:softHyphen/>
        <w:t>ningar. Sfi måste kunna möta ind</w:t>
      </w:r>
      <w:r w:rsidRPr="006C40C1">
        <w:t>i</w:t>
      </w:r>
      <w:r w:rsidRPr="006C40C1">
        <w:t>vider med en rad vari</w:t>
      </w:r>
      <w:r w:rsidRPr="006C40C1">
        <w:t>e</w:t>
      </w:r>
      <w:r w:rsidRPr="006C40C1">
        <w:t xml:space="preserve">rande behov och kunskaper. </w:t>
      </w:r>
    </w:p>
    <w:p w:rsidR="00AA5D77" w:rsidRPr="006C40C1" w:rsidRDefault="00AA5D77">
      <w:pPr>
        <w:ind w:left="357" w:hanging="357"/>
      </w:pPr>
      <w:r w:rsidRPr="006C40C1">
        <w:rPr>
          <w:b/>
          <w:sz w:val="16"/>
        </w:rPr>
        <w:sym w:font="Symbol" w:char="F0B7"/>
      </w:r>
      <w:r w:rsidRPr="006C40C1">
        <w:rPr>
          <w:b/>
        </w:rPr>
        <w:tab/>
      </w:r>
      <w:r w:rsidRPr="006C40C1">
        <w:t>En bättre skola. Kvaliteten hos den ordinarie skolundervisningen är av avg</w:t>
      </w:r>
      <w:r w:rsidRPr="006C40C1">
        <w:t>ö</w:t>
      </w:r>
      <w:r w:rsidRPr="006C40C1">
        <w:t>rande betydelse för barnen till dem som invandrat till Sverige.</w:t>
      </w:r>
    </w:p>
    <w:p w:rsidR="00AA5D77" w:rsidRPr="006C40C1" w:rsidRDefault="00AA5D77">
      <w:pPr>
        <w:ind w:left="357" w:hanging="357"/>
      </w:pPr>
      <w:r w:rsidRPr="006C40C1">
        <w:rPr>
          <w:b/>
          <w:sz w:val="16"/>
        </w:rPr>
        <w:sym w:font="Symbol" w:char="F0B7"/>
      </w:r>
      <w:r w:rsidRPr="006C40C1">
        <w:rPr>
          <w:b/>
        </w:rPr>
        <w:tab/>
      </w:r>
      <w:r w:rsidRPr="006C40C1">
        <w:t>Förbättra möjligheterna till jobb. Vi anser att man alltid ska ha rätt att stå till arbets</w:t>
      </w:r>
      <w:r w:rsidRPr="006C40C1">
        <w:softHyphen/>
        <w:t>marknadens förfogande om man vill och kan arbeta och är a</w:t>
      </w:r>
      <w:r w:rsidRPr="006C40C1">
        <w:t>r</w:t>
      </w:r>
      <w:r w:rsidRPr="006C40C1">
        <w:t>betssökande. Ett annat sätt att underlätta inträdet på arbets</w:t>
      </w:r>
      <w:r w:rsidRPr="006C40C1">
        <w:softHyphen/>
        <w:t>mark</w:t>
      </w:r>
      <w:r w:rsidRPr="006C40C1">
        <w:softHyphen/>
        <w:t>naden är genom att språkundervisningen kombineras med arbete eller anpassade lä</w:t>
      </w:r>
      <w:r w:rsidRPr="006C40C1">
        <w:t>r</w:t>
      </w:r>
      <w:r w:rsidRPr="006C40C1">
        <w:t>lings- och praktik</w:t>
      </w:r>
      <w:r w:rsidRPr="006C40C1">
        <w:softHyphen/>
        <w:t xml:space="preserve">platser. </w:t>
      </w:r>
    </w:p>
    <w:p w:rsidR="00AA5D77" w:rsidRPr="006C40C1" w:rsidRDefault="00AA5D77">
      <w:pPr>
        <w:ind w:left="357" w:hanging="357"/>
      </w:pPr>
      <w:r w:rsidRPr="006C40C1">
        <w:rPr>
          <w:b/>
          <w:sz w:val="16"/>
        </w:rPr>
        <w:sym w:font="Symbol" w:char="F0B7"/>
      </w:r>
      <w:r w:rsidRPr="006C40C1">
        <w:rPr>
          <w:b/>
        </w:rPr>
        <w:tab/>
      </w:r>
      <w:r w:rsidRPr="006C40C1">
        <w:t>Bättre villkor för invandrares företagande. Regelfloran vilar tyngst på dem som inte har svenska som modersmål. Myndigheters information på andra språk om skatte</w:t>
      </w:r>
      <w:r w:rsidRPr="006C40C1">
        <w:softHyphen/>
        <w:t>regler och andra föreskrifter kan förbättras och g</w:t>
      </w:r>
      <w:r w:rsidRPr="006C40C1">
        <w:t>ö</w:t>
      </w:r>
      <w:r w:rsidRPr="006C40C1">
        <w:t>ras mer lättil</w:t>
      </w:r>
      <w:r w:rsidRPr="006C40C1">
        <w:t>l</w:t>
      </w:r>
      <w:r w:rsidRPr="006C40C1">
        <w:t>gänglig.</w:t>
      </w:r>
    </w:p>
    <w:p w:rsidR="00AA5D77" w:rsidRPr="006C40C1" w:rsidRDefault="00AA5D77">
      <w:pPr>
        <w:ind w:left="357" w:hanging="357"/>
      </w:pPr>
      <w:r w:rsidRPr="006C40C1">
        <w:rPr>
          <w:b/>
          <w:sz w:val="16"/>
        </w:rPr>
        <w:sym w:font="Symbol" w:char="F0B7"/>
      </w:r>
      <w:r w:rsidRPr="006C40C1">
        <w:rPr>
          <w:b/>
        </w:rPr>
        <w:tab/>
      </w:r>
      <w:r w:rsidRPr="006C40C1">
        <w:t>Arbeta mot bidragsberoende. Sänkta inkomstskatter ger ekonomiska incit</w:t>
      </w:r>
      <w:r w:rsidRPr="006C40C1">
        <w:t>a</w:t>
      </w:r>
      <w:r w:rsidRPr="006C40C1">
        <w:t>ment att lämna bi</w:t>
      </w:r>
      <w:r w:rsidRPr="006C40C1">
        <w:softHyphen/>
        <w:t>drags</w:t>
      </w:r>
      <w:r w:rsidRPr="006C40C1">
        <w:softHyphen/>
        <w:t>beroende.</w:t>
      </w:r>
    </w:p>
    <w:p w:rsidR="00AA5D77" w:rsidRPr="006C40C1" w:rsidRDefault="00AA5D77">
      <w:pPr>
        <w:pStyle w:val="Rubrik2"/>
      </w:pPr>
      <w:bookmarkStart w:id="863" w:name="_Toc24974905"/>
      <w:bookmarkStart w:id="864" w:name="_Toc24976854"/>
      <w:bookmarkStart w:id="865" w:name="_Toc25581341"/>
      <w:bookmarkStart w:id="866" w:name="_Toc26191633"/>
      <w:r w:rsidRPr="006C40C1">
        <w:t>En jämställd arbetsmarknad</w:t>
      </w:r>
      <w:bookmarkEnd w:id="863"/>
      <w:bookmarkEnd w:id="864"/>
      <w:bookmarkEnd w:id="865"/>
      <w:bookmarkEnd w:id="866"/>
    </w:p>
    <w:p w:rsidR="00AA5D77" w:rsidRPr="006C40C1" w:rsidRDefault="00AA5D77">
      <w:pPr>
        <w:pStyle w:val="Rubrik3"/>
        <w:spacing w:before="110"/>
        <w:rPr>
          <w:noProof w:val="0"/>
        </w:rPr>
      </w:pPr>
      <w:bookmarkStart w:id="867" w:name="_Toc10483736"/>
      <w:bookmarkStart w:id="868" w:name="_Toc10522115"/>
      <w:bookmarkStart w:id="869" w:name="_Toc10569413"/>
      <w:bookmarkStart w:id="870" w:name="_Toc25581342"/>
      <w:bookmarkStart w:id="871" w:name="_Toc26191634"/>
      <w:r w:rsidRPr="006C40C1">
        <w:rPr>
          <w:noProof w:val="0"/>
        </w:rPr>
        <w:t>Det behövs en strategi för en jämställd arbetsmarknad</w:t>
      </w:r>
      <w:bookmarkEnd w:id="867"/>
      <w:bookmarkEnd w:id="868"/>
      <w:bookmarkEnd w:id="869"/>
      <w:bookmarkEnd w:id="870"/>
      <w:bookmarkEnd w:id="871"/>
    </w:p>
    <w:p w:rsidR="00AA5D77" w:rsidRPr="006C40C1" w:rsidRDefault="00AA5D77">
      <w:r w:rsidRPr="006C40C1">
        <w:t xml:space="preserve">Sverige är, med globala mått mätt, ett mycket jämställt land. Likafullt återstår mycket att göra för att bryta de strukturer som leder till att kvinnor och män har olika villkor och förutsättningar att förverkliga sina drömmar och ha makten i sin vardag, just därför att de är kvinnor eller män. </w:t>
      </w:r>
    </w:p>
    <w:p w:rsidR="00AA5D77" w:rsidRPr="006C40C1" w:rsidRDefault="00AA5D77">
      <w:pPr>
        <w:ind w:left="357" w:hanging="357"/>
      </w:pPr>
      <w:r w:rsidRPr="006C40C1">
        <w:rPr>
          <w:b/>
          <w:sz w:val="16"/>
        </w:rPr>
        <w:sym w:font="Symbol" w:char="F0B7"/>
      </w:r>
      <w:r w:rsidRPr="006C40C1">
        <w:rPr>
          <w:b/>
        </w:rPr>
        <w:tab/>
      </w:r>
      <w:r w:rsidRPr="006C40C1">
        <w:rPr>
          <w:snapToGrid w:val="0"/>
          <w:color w:val="000000"/>
          <w:lang w:eastAsia="sv-SE"/>
        </w:rPr>
        <w:t xml:space="preserve">Det </w:t>
      </w:r>
      <w:r w:rsidRPr="006C40C1">
        <w:t>återstår</w:t>
      </w:r>
      <w:r w:rsidRPr="006C40C1">
        <w:rPr>
          <w:snapToGrid w:val="0"/>
          <w:color w:val="000000"/>
          <w:lang w:eastAsia="sv-SE"/>
        </w:rPr>
        <w:t xml:space="preserve"> fortfarande stora skillnader mellan kvinnors och mäns stäl</w:t>
      </w:r>
      <w:r w:rsidRPr="006C40C1">
        <w:rPr>
          <w:snapToGrid w:val="0"/>
          <w:color w:val="000000"/>
          <w:lang w:eastAsia="sv-SE"/>
        </w:rPr>
        <w:t>l</w:t>
      </w:r>
      <w:r w:rsidRPr="006C40C1">
        <w:rPr>
          <w:snapToGrid w:val="0"/>
          <w:color w:val="000000"/>
          <w:lang w:eastAsia="sv-SE"/>
        </w:rPr>
        <w:t>ning på arbetsmarknaden. Den svenska arbetsmarknaden är i ett europ</w:t>
      </w:r>
      <w:r w:rsidRPr="006C40C1">
        <w:rPr>
          <w:snapToGrid w:val="0"/>
          <w:color w:val="000000"/>
          <w:lang w:eastAsia="sv-SE"/>
        </w:rPr>
        <w:t>e</w:t>
      </w:r>
      <w:r w:rsidRPr="006C40C1">
        <w:rPr>
          <w:snapToGrid w:val="0"/>
          <w:color w:val="000000"/>
          <w:lang w:eastAsia="sv-SE"/>
        </w:rPr>
        <w:t xml:space="preserve">iskt perspektiv starkt könsuppdelad. </w:t>
      </w:r>
      <w:r w:rsidRPr="006C40C1">
        <w:t>I kommuner och landsting går det sju kvinnliga anställda på varje manlig och på många privata arbets</w:t>
      </w:r>
      <w:r w:rsidRPr="006C40C1">
        <w:softHyphen/>
        <w:t xml:space="preserve">platser är den manliga övervikten lika stor. </w:t>
      </w:r>
    </w:p>
    <w:p w:rsidR="00AA5D77" w:rsidRPr="006C40C1" w:rsidRDefault="00AA5D77">
      <w:pPr>
        <w:ind w:left="357" w:hanging="357"/>
        <w:rPr>
          <w:snapToGrid w:val="0"/>
          <w:lang w:eastAsia="sv-SE"/>
        </w:rPr>
      </w:pPr>
      <w:r w:rsidRPr="006C40C1">
        <w:rPr>
          <w:b/>
          <w:sz w:val="16"/>
        </w:rPr>
        <w:sym w:font="Symbol" w:char="F0B7"/>
      </w:r>
      <w:r w:rsidRPr="006C40C1">
        <w:rPr>
          <w:b/>
        </w:rPr>
        <w:tab/>
      </w:r>
      <w:r w:rsidRPr="006C40C1">
        <w:rPr>
          <w:snapToGrid w:val="0"/>
          <w:color w:val="000000"/>
          <w:lang w:eastAsia="sv-SE"/>
        </w:rPr>
        <w:t xml:space="preserve">Svenska kvinnor </w:t>
      </w:r>
      <w:r w:rsidRPr="006C40C1">
        <w:t>tjänar</w:t>
      </w:r>
      <w:r w:rsidRPr="006C40C1">
        <w:rPr>
          <w:snapToGrid w:val="0"/>
          <w:color w:val="000000"/>
          <w:lang w:eastAsia="sv-SE"/>
        </w:rPr>
        <w:t xml:space="preserve"> fortfarande bara drygt 80 %, i genomsnitt, av vad männen gör och skillnaden tenderar att öka. De vägda genom</w:t>
      </w:r>
      <w:r w:rsidRPr="006C40C1">
        <w:rPr>
          <w:snapToGrid w:val="0"/>
          <w:color w:val="000000"/>
          <w:lang w:eastAsia="sv-SE"/>
        </w:rPr>
        <w:softHyphen/>
        <w:t>snitts</w:t>
      </w:r>
      <w:r w:rsidRPr="006C40C1">
        <w:rPr>
          <w:snapToGrid w:val="0"/>
          <w:color w:val="000000"/>
          <w:lang w:eastAsia="sv-SE"/>
        </w:rPr>
        <w:softHyphen/>
      </w:r>
      <w:r w:rsidRPr="006C40C1">
        <w:rPr>
          <w:snapToGrid w:val="0"/>
          <w:color w:val="000000"/>
          <w:lang w:eastAsia="sv-SE"/>
        </w:rPr>
        <w:softHyphen/>
        <w:t>lönerna, dvs. när hänsyn tagits till skillnader i ålder, utbildning, arbetstid och sek</w:t>
      </w:r>
      <w:r w:rsidRPr="006C40C1">
        <w:rPr>
          <w:snapToGrid w:val="0"/>
          <w:color w:val="000000"/>
          <w:lang w:eastAsia="sv-SE"/>
        </w:rPr>
        <w:softHyphen/>
        <w:t xml:space="preserve">tor </w:t>
      </w:r>
      <w:r w:rsidRPr="006C40C1">
        <w:t>visar</w:t>
      </w:r>
      <w:r w:rsidRPr="006C40C1">
        <w:rPr>
          <w:snapToGrid w:val="0"/>
          <w:color w:val="000000"/>
          <w:lang w:eastAsia="sv-SE"/>
        </w:rPr>
        <w:t xml:space="preserve"> en genomsnittlig könsbetingad skillnad på 8 %e</w:t>
      </w:r>
      <w:r w:rsidRPr="006C40C1">
        <w:rPr>
          <w:snapToGrid w:val="0"/>
          <w:color w:val="000000"/>
          <w:lang w:eastAsia="sv-SE"/>
        </w:rPr>
        <w:t>n</w:t>
      </w:r>
      <w:r w:rsidRPr="006C40C1">
        <w:rPr>
          <w:snapToGrid w:val="0"/>
          <w:color w:val="000000"/>
          <w:lang w:eastAsia="sv-SE"/>
        </w:rPr>
        <w:t xml:space="preserve">heter. </w:t>
      </w:r>
    </w:p>
    <w:p w:rsidR="00AA5D77" w:rsidRPr="006C40C1" w:rsidRDefault="00AA5D77">
      <w:pPr>
        <w:ind w:left="357" w:hanging="357"/>
        <w:rPr>
          <w:snapToGrid w:val="0"/>
          <w:lang w:eastAsia="sv-SE"/>
        </w:rPr>
      </w:pPr>
      <w:r w:rsidRPr="006C40C1">
        <w:rPr>
          <w:b/>
          <w:sz w:val="16"/>
        </w:rPr>
        <w:sym w:font="Symbol" w:char="F0B7"/>
      </w:r>
      <w:r w:rsidRPr="006C40C1">
        <w:rPr>
          <w:b/>
        </w:rPr>
        <w:tab/>
      </w:r>
      <w:r w:rsidRPr="006C40C1">
        <w:rPr>
          <w:snapToGrid w:val="0"/>
          <w:color w:val="000000"/>
          <w:lang w:eastAsia="sv-SE"/>
        </w:rPr>
        <w:t>Kvinnor är kraftigt underrepresenterade i chefspositioner och på höga befat</w:t>
      </w:r>
      <w:r w:rsidRPr="006C40C1">
        <w:rPr>
          <w:snapToGrid w:val="0"/>
          <w:color w:val="000000"/>
          <w:lang w:eastAsia="sv-SE"/>
        </w:rPr>
        <w:t>t</w:t>
      </w:r>
      <w:r w:rsidRPr="006C40C1">
        <w:rPr>
          <w:snapToGrid w:val="0"/>
          <w:color w:val="000000"/>
          <w:lang w:eastAsia="sv-SE"/>
        </w:rPr>
        <w:t xml:space="preserve">ningar i </w:t>
      </w:r>
      <w:r w:rsidRPr="006C40C1">
        <w:t>såväl</w:t>
      </w:r>
      <w:r w:rsidRPr="006C40C1">
        <w:rPr>
          <w:snapToGrid w:val="0"/>
          <w:color w:val="000000"/>
          <w:lang w:eastAsia="sv-SE"/>
        </w:rPr>
        <w:t xml:space="preserve"> privat som offentlig sektor. </w:t>
      </w:r>
    </w:p>
    <w:p w:rsidR="00AA5D77" w:rsidRPr="006C40C1" w:rsidRDefault="00AA5D77">
      <w:r w:rsidRPr="006C40C1">
        <w:t>Könsuppdelningen på arbetsmarknaden bidrar rimligen till att kvinnors kap</w:t>
      </w:r>
      <w:r w:rsidRPr="006C40C1">
        <w:t>a</w:t>
      </w:r>
      <w:r w:rsidRPr="006C40C1">
        <w:t>citet relativt sett används sämre än männens. Ett jämställt arbetsliv och färre förutfattade meningar om vad som är ”kvinnliga” respektive ”manliga” u</w:t>
      </w:r>
      <w:r w:rsidRPr="006C40C1">
        <w:t>t</w:t>
      </w:r>
      <w:r w:rsidRPr="006C40C1">
        <w:t xml:space="preserve">bildnings- och yrkesval skulle bidra till att fler tjänster kunde besättas med den lämpligaste personalen. Faktorer som särskilt bör uppmärksammas i ett långsiktigt arbete för jämställdhet i arbetslivet är ungdomars utbildningsval och ett jämställt föräldraansvar. </w:t>
      </w:r>
    </w:p>
    <w:p w:rsidR="00AA5D77" w:rsidRPr="006C40C1" w:rsidRDefault="00AA5D77">
      <w:pPr>
        <w:pStyle w:val="Normaltindrag"/>
      </w:pPr>
      <w:r w:rsidRPr="006C40C1">
        <w:t>Det är vår uppfattning att olikheten är större mellan individer än mellan kvinnor som grupp oc</w:t>
      </w:r>
      <w:r w:rsidRPr="006C40C1">
        <w:t>h män som grupp. Att identifiera och förändra de strukturer som leder till att kvinnor och män ges villkor utifrån könstillhöri</w:t>
      </w:r>
      <w:r w:rsidRPr="006C40C1">
        <w:t>g</w:t>
      </w:r>
      <w:r w:rsidRPr="006C40C1">
        <w:t>het är därför den stora jämställd</w:t>
      </w:r>
      <w:r w:rsidRPr="006C40C1">
        <w:softHyphen/>
        <w:t>hets</w:t>
      </w:r>
      <w:r w:rsidRPr="006C40C1">
        <w:softHyphen/>
        <w:t>utmaningen.</w:t>
      </w:r>
    </w:p>
    <w:p w:rsidR="00AA5D77" w:rsidRPr="006C40C1" w:rsidRDefault="00AA5D77">
      <w:pPr>
        <w:pStyle w:val="Rubrik3"/>
        <w:rPr>
          <w:noProof w:val="0"/>
        </w:rPr>
      </w:pPr>
      <w:bookmarkStart w:id="872" w:name="_Toc10483737"/>
      <w:bookmarkStart w:id="873" w:name="_Toc25581343"/>
      <w:bookmarkStart w:id="874" w:name="_Toc26191635"/>
      <w:r w:rsidRPr="006C40C1">
        <w:rPr>
          <w:noProof w:val="0"/>
        </w:rPr>
        <w:t>Bryt upp de offentliga monopolen</w:t>
      </w:r>
      <w:bookmarkEnd w:id="872"/>
      <w:bookmarkEnd w:id="873"/>
      <w:bookmarkEnd w:id="874"/>
    </w:p>
    <w:p w:rsidR="00AA5D77" w:rsidRPr="006C40C1" w:rsidRDefault="00AA5D77">
      <w:r w:rsidRPr="006C40C1">
        <w:t>Eftersom den svenska arbetsmarknaden i långt högre grad än i andra länder är köns</w:t>
      </w:r>
      <w:r w:rsidRPr="006C40C1">
        <w:softHyphen/>
        <w:t>uppdelad har den offentliga sektorns problem också blivit ett hinder för jämställdhet. Det är främst kvinnor som drabbats av sämre arbetsmiljö och sämre arbetsvillkor genom de yrkesval som följer av t</w:t>
      </w:r>
      <w:r w:rsidRPr="006C40C1">
        <w:rPr>
          <w:snapToGrid w:val="0"/>
          <w:color w:val="000000"/>
          <w:lang w:eastAsia="sv-SE"/>
        </w:rPr>
        <w:t>raditionella könsmön</w:t>
      </w:r>
      <w:r w:rsidRPr="006C40C1">
        <w:rPr>
          <w:snapToGrid w:val="0"/>
          <w:color w:val="000000"/>
          <w:lang w:eastAsia="sv-SE"/>
        </w:rPr>
        <w:t>s</w:t>
      </w:r>
      <w:r w:rsidRPr="006C40C1">
        <w:rPr>
          <w:snapToGrid w:val="0"/>
          <w:color w:val="000000"/>
          <w:lang w:eastAsia="sv-SE"/>
        </w:rPr>
        <w:t xml:space="preserve">ter </w:t>
      </w:r>
      <w:r w:rsidRPr="006C40C1">
        <w:t>och den offentliga mono</w:t>
      </w:r>
      <w:r w:rsidRPr="006C40C1">
        <w:softHyphen/>
        <w:t>poli</w:t>
      </w:r>
      <w:r w:rsidRPr="006C40C1">
        <w:softHyphen/>
        <w:t>se</w:t>
      </w:r>
      <w:r w:rsidRPr="006C40C1">
        <w:softHyphen/>
        <w:t>ringen – i synnerhet av vård- och omsorg</w:t>
      </w:r>
      <w:r w:rsidRPr="006C40C1">
        <w:t>s</w:t>
      </w:r>
      <w:r w:rsidRPr="006C40C1">
        <w:t>sektorerna. Många gånger är kvinnor ut</w:t>
      </w:r>
      <w:r w:rsidRPr="006C40C1">
        <w:softHyphen/>
        <w:t>läm</w:t>
      </w:r>
      <w:r w:rsidRPr="006C40C1">
        <w:softHyphen/>
        <w:t>na</w:t>
      </w:r>
      <w:r w:rsidRPr="006C40C1">
        <w:softHyphen/>
        <w:t>de till en enda arbetsgivare med allt vad det innebär av krav på anpassning, sämre löne</w:t>
      </w:r>
      <w:r w:rsidRPr="006C40C1">
        <w:softHyphen/>
        <w:t>utveck</w:t>
      </w:r>
      <w:r w:rsidRPr="006C40C1">
        <w:softHyphen/>
        <w:t>ling, mindre personligt inflytande och svårigheter att byta arbetsgivare</w:t>
      </w:r>
      <w:r w:rsidRPr="006C40C1">
        <w:t xml:space="preserve">. </w:t>
      </w:r>
    </w:p>
    <w:p w:rsidR="00AA5D77" w:rsidRPr="006C40C1" w:rsidRDefault="00AA5D77">
      <w:pPr>
        <w:pStyle w:val="Normaltindrag"/>
      </w:pPr>
      <w:r w:rsidRPr="006C40C1">
        <w:t>Så länge tjänster inom vård, omsorg och utbildning produceras inom o</w:t>
      </w:r>
      <w:r w:rsidRPr="006C40C1">
        <w:t>f</w:t>
      </w:r>
      <w:r w:rsidRPr="006C40C1">
        <w:t>fentliga monopol nekas många kvinnor möjligheten att pröva nya idéer, nya metoder och andra, mindre byråkratiska organisationsformer. Verksamhete</w:t>
      </w:r>
      <w:r w:rsidRPr="006C40C1">
        <w:t>r</w:t>
      </w:r>
      <w:r w:rsidRPr="006C40C1">
        <w:t xml:space="preserve">nas långsiktiga utveckling hämmas. </w:t>
      </w:r>
    </w:p>
    <w:p w:rsidR="00AA5D77" w:rsidRPr="006C40C1" w:rsidRDefault="00AA5D77">
      <w:pPr>
        <w:pStyle w:val="Normaltindrag"/>
      </w:pPr>
      <w:r w:rsidRPr="006C40C1">
        <w:t>Med fler privata och alternativa aktörer förbättras karriär</w:t>
      </w:r>
      <w:r w:rsidRPr="006C40C1">
        <w:softHyphen/>
        <w:t>vägarna. Det kan också bidra till att vitalisera den privatfinansierade tjänste</w:t>
      </w:r>
      <w:r w:rsidRPr="006C40C1">
        <w:softHyphen/>
        <w:t>pro</w:t>
      </w:r>
      <w:r w:rsidRPr="006C40C1">
        <w:softHyphen/>
        <w:t>duk</w:t>
      </w:r>
      <w:r w:rsidRPr="006C40C1">
        <w:softHyphen/>
        <w:t>tio</w:t>
      </w:r>
      <w:r w:rsidRPr="006C40C1">
        <w:softHyphen/>
        <w:t>nen vilket skulle minska trösklarna mellan privat och offentlig arbetsmarknad samt mellan olika yrken och därigenom bidra till att luckra upp den könsuppdelade arbetsmarknaden. Ett flertal undersökningar, bl.a. utförda av fackliga organ</w:t>
      </w:r>
      <w:r w:rsidRPr="006C40C1">
        <w:t>i</w:t>
      </w:r>
      <w:r w:rsidRPr="006C40C1">
        <w:t>sationer, visar också att trivseln ökar och sjukskrivningarna minskar när ver</w:t>
      </w:r>
      <w:r w:rsidRPr="006C40C1">
        <w:t>k</w:t>
      </w:r>
      <w:r w:rsidRPr="006C40C1">
        <w:t>samhet övergår från offentlig till privat regi.</w:t>
      </w:r>
    </w:p>
    <w:p w:rsidR="00AA5D77" w:rsidRPr="006C40C1" w:rsidRDefault="00AA5D77">
      <w:pPr>
        <w:pStyle w:val="Rubrik3"/>
        <w:rPr>
          <w:noProof w:val="0"/>
        </w:rPr>
      </w:pPr>
      <w:bookmarkStart w:id="875" w:name="_Toc10483738"/>
      <w:bookmarkStart w:id="876" w:name="_Toc25581344"/>
      <w:bookmarkStart w:id="877" w:name="_Toc26191636"/>
      <w:r w:rsidRPr="006C40C1">
        <w:rPr>
          <w:noProof w:val="0"/>
        </w:rPr>
        <w:t>Bättre villkor för företagande</w:t>
      </w:r>
      <w:bookmarkEnd w:id="875"/>
      <w:bookmarkEnd w:id="876"/>
      <w:bookmarkEnd w:id="877"/>
    </w:p>
    <w:p w:rsidR="00AA5D77" w:rsidRPr="006C40C1" w:rsidRDefault="00AA5D77">
      <w:r w:rsidRPr="006C40C1">
        <w:t>Villkoren för tjänsteföretagande måste bli bättre. Under ett helt sekel har både skatte</w:t>
      </w:r>
      <w:r w:rsidRPr="006C40C1">
        <w:softHyphen/>
        <w:t>politik och näringspolitik varit inriktade mot varuproducerande storf</w:t>
      </w:r>
      <w:r w:rsidRPr="006C40C1">
        <w:t>ö</w:t>
      </w:r>
      <w:r w:rsidRPr="006C40C1">
        <w:t>retag. Skattesänk</w:t>
      </w:r>
      <w:r w:rsidRPr="006C40C1">
        <w:softHyphen/>
        <w:t>ningar på arbete, regelförenklingar och skärpt konkurrens är förändringar som i sig är generella men kommer att ha som störst betydelse för småföretagande i tjänstesektorn.  Större mångfald i vården och skolan innebär att kvinnor ges samma möjligheter som män redan har att bli entr</w:t>
      </w:r>
      <w:r w:rsidRPr="006C40C1">
        <w:t>e</w:t>
      </w:r>
      <w:r w:rsidRPr="006C40C1">
        <w:t>prenörer inom de ver</w:t>
      </w:r>
      <w:r w:rsidRPr="006C40C1">
        <w:t>k</w:t>
      </w:r>
      <w:r w:rsidRPr="006C40C1">
        <w:t xml:space="preserve">samheter där de  faktiskt är verksamma. </w:t>
      </w:r>
    </w:p>
    <w:p w:rsidR="00AA5D77" w:rsidRPr="006C40C1" w:rsidRDefault="00AA5D77">
      <w:pPr>
        <w:pStyle w:val="Normaltindrag"/>
        <w:rPr>
          <w:snapToGrid w:val="0"/>
          <w:lang w:eastAsia="sv-SE"/>
        </w:rPr>
      </w:pPr>
      <w:r w:rsidRPr="006C40C1">
        <w:rPr>
          <w:snapToGrid w:val="0"/>
          <w:lang w:eastAsia="sv-SE"/>
        </w:rPr>
        <w:t xml:space="preserve">Särskilda insatser bör också riktas för att stimulera och underlätta kvinnors </w:t>
      </w:r>
      <w:r w:rsidRPr="006C40C1">
        <w:rPr>
          <w:snapToGrid w:val="0"/>
          <w:lang w:eastAsia="sv-SE"/>
        </w:rPr>
        <w:t>företagande. Detta då de traditionellt inarbetade strukturerna alltför långsamt förändras. Den lyckosamma modellen med särskilda affärsrådgivare för kvi</w:t>
      </w:r>
      <w:r w:rsidRPr="006C40C1">
        <w:rPr>
          <w:snapToGrid w:val="0"/>
          <w:lang w:eastAsia="sv-SE"/>
        </w:rPr>
        <w:t>n</w:t>
      </w:r>
      <w:r w:rsidRPr="006C40C1">
        <w:rPr>
          <w:snapToGrid w:val="0"/>
          <w:lang w:eastAsia="sv-SE"/>
        </w:rPr>
        <w:t xml:space="preserve">nor, resurscentrum för kvinnors företagande och de så kallade kvinnolånen ska därför återinrättas. </w:t>
      </w:r>
    </w:p>
    <w:p w:rsidR="00AA5D77" w:rsidRPr="006C40C1" w:rsidRDefault="00AA5D77">
      <w:pPr>
        <w:pStyle w:val="Rubrik3"/>
        <w:rPr>
          <w:noProof w:val="0"/>
        </w:rPr>
      </w:pPr>
      <w:bookmarkStart w:id="878" w:name="_Toc10483739"/>
      <w:bookmarkStart w:id="879" w:name="_Toc25581345"/>
      <w:bookmarkStart w:id="880" w:name="_Toc26191637"/>
      <w:r w:rsidRPr="006C40C1">
        <w:rPr>
          <w:noProof w:val="0"/>
        </w:rPr>
        <w:t>Lättare att förena förvärvsarbete med ansvar för barn</w:t>
      </w:r>
      <w:bookmarkEnd w:id="878"/>
      <w:bookmarkEnd w:id="879"/>
      <w:bookmarkEnd w:id="880"/>
    </w:p>
    <w:p w:rsidR="00AA5D77" w:rsidRPr="006C40C1" w:rsidRDefault="00AA5D77">
      <w:pPr>
        <w:rPr>
          <w:snapToGrid w:val="0"/>
          <w:lang w:eastAsia="sv-SE"/>
        </w:rPr>
      </w:pPr>
      <w:r w:rsidRPr="006C40C1">
        <w:rPr>
          <w:snapToGrid w:val="0"/>
          <w:color w:val="000000"/>
          <w:lang w:eastAsia="sv-SE"/>
        </w:rPr>
        <w:t>Kvinnor utför i dag en större del av det obetalda arbetet i hemmet. Detta bidrar till att kvinnor upplever en större press i arbetslivet. För att få ekvati</w:t>
      </w:r>
      <w:r w:rsidRPr="006C40C1">
        <w:rPr>
          <w:snapToGrid w:val="0"/>
          <w:color w:val="000000"/>
          <w:lang w:eastAsia="sv-SE"/>
        </w:rPr>
        <w:t>o</w:t>
      </w:r>
      <w:r w:rsidRPr="006C40C1">
        <w:rPr>
          <w:snapToGrid w:val="0"/>
          <w:color w:val="000000"/>
          <w:lang w:eastAsia="sv-SE"/>
        </w:rPr>
        <w:t xml:space="preserve">nen att gå ihop väljer man deltidsarbete och yrkeskarriär på sparlåga. </w:t>
      </w:r>
    </w:p>
    <w:p w:rsidR="00AA5D77" w:rsidRPr="006C40C1" w:rsidRDefault="00AA5D77">
      <w:pPr>
        <w:pStyle w:val="Normaltindrag"/>
        <w:rPr>
          <w:snapToGrid w:val="0"/>
          <w:lang w:eastAsia="sv-SE"/>
        </w:rPr>
      </w:pPr>
      <w:r w:rsidRPr="006C40C1">
        <w:t>För våra fyra partier är det en prioriterad uppgift att åstadkomma ett a</w:t>
      </w:r>
      <w:r w:rsidRPr="006C40C1">
        <w:t>r</w:t>
      </w:r>
      <w:r w:rsidRPr="006C40C1">
        <w:t>betsliv som gör det möjligt att kombinera förvärvsarbete och föräldraskap. Utgångspunkterna i detta arbete är barnens bästa och ambitionen att unde</w:t>
      </w:r>
      <w:r w:rsidRPr="006C40C1">
        <w:t>r</w:t>
      </w:r>
      <w:r w:rsidRPr="006C40C1">
        <w:t>lätta för både män och kvinnor att få mer tid med sina barn. Det är en inv</w:t>
      </w:r>
      <w:r w:rsidRPr="006C40C1">
        <w:t>e</w:t>
      </w:r>
      <w:r w:rsidRPr="006C40C1">
        <w:t>stering i familjernas livskvalitet och i barnens trygghet och lång</w:t>
      </w:r>
      <w:r w:rsidRPr="006C40C1">
        <w:softHyphen/>
        <w:t>sik</w:t>
      </w:r>
      <w:r w:rsidRPr="006C40C1">
        <w:softHyphen/>
        <w:t>tiga u</w:t>
      </w:r>
      <w:r w:rsidRPr="006C40C1">
        <w:t>t</w:t>
      </w:r>
      <w:r w:rsidRPr="006C40C1">
        <w:t>veckling till välanpassade samhällsmedborgare. På kort sikt kan en följd bli ett något lägre deltagande i arbetslivet för småbarnsföräldrar om t.ex. fler väljer att arbeta deltid eller engagera sig i föräldra</w:t>
      </w:r>
      <w:r w:rsidRPr="006C40C1">
        <w:softHyphen/>
        <w:t>k</w:t>
      </w:r>
      <w:r w:rsidRPr="006C40C1">
        <w:t>ooperativa barnomsorg</w:t>
      </w:r>
      <w:r w:rsidRPr="006C40C1">
        <w:t>s</w:t>
      </w:r>
      <w:r w:rsidRPr="006C40C1">
        <w:t>former. Men en minskad stress när barnen är små borgar i det långa loppet för ett uthålligare förvärvsarbete.</w:t>
      </w:r>
    </w:p>
    <w:p w:rsidR="00AA5D77" w:rsidRPr="006C40C1" w:rsidRDefault="00AA5D77">
      <w:pPr>
        <w:pStyle w:val="Normaltindrag"/>
      </w:pPr>
      <w:r w:rsidRPr="006C40C1">
        <w:rPr>
          <w:snapToGrid w:val="0"/>
          <w:lang w:eastAsia="sv-SE"/>
        </w:rPr>
        <w:t>Genom att göra det möjligt för en större valfrihet i valet av barnomsorg ges familjerna större möjligheter att själv fördela sin tid mellan arbete och familj. Vi föreslår etable</w:t>
      </w:r>
      <w:r w:rsidRPr="006C40C1">
        <w:rPr>
          <w:snapToGrid w:val="0"/>
          <w:lang w:eastAsia="sv-SE"/>
        </w:rPr>
        <w:softHyphen/>
        <w:t>rings</w:t>
      </w:r>
      <w:r w:rsidRPr="006C40C1">
        <w:rPr>
          <w:snapToGrid w:val="0"/>
          <w:lang w:eastAsia="sv-SE"/>
        </w:rPr>
        <w:softHyphen/>
      </w:r>
      <w:r w:rsidRPr="006C40C1">
        <w:rPr>
          <w:snapToGrid w:val="0"/>
          <w:lang w:eastAsia="sv-SE"/>
        </w:rPr>
        <w:softHyphen/>
        <w:t>frihet inom barnomsorgen, vilket innebär att stödet till barnomsorgen ska följa med till den omsorgsform föräldrarna väljer. Vi vill också göra det möjligt för vanliga barn</w:t>
      </w:r>
      <w:r w:rsidRPr="006C40C1">
        <w:rPr>
          <w:snapToGrid w:val="0"/>
          <w:lang w:eastAsia="sv-SE"/>
        </w:rPr>
        <w:softHyphen/>
        <w:t>familjer att lösa sin tidsekvation och minska stress och press genom att enklare och billigare kunna köpa vita hu</w:t>
      </w:r>
      <w:r w:rsidRPr="006C40C1">
        <w:rPr>
          <w:snapToGrid w:val="0"/>
          <w:lang w:eastAsia="sv-SE"/>
        </w:rPr>
        <w:t>s</w:t>
      </w:r>
      <w:r w:rsidRPr="006C40C1">
        <w:rPr>
          <w:snapToGrid w:val="0"/>
          <w:lang w:eastAsia="sv-SE"/>
        </w:rPr>
        <w:t xml:space="preserve">hållstjänster. </w:t>
      </w:r>
    </w:p>
    <w:p w:rsidR="00AA5D77" w:rsidRPr="006C40C1" w:rsidRDefault="00AA5D77">
      <w:pPr>
        <w:pStyle w:val="Rubrik2"/>
      </w:pPr>
      <w:bookmarkStart w:id="881" w:name="_Toc10483741"/>
      <w:bookmarkStart w:id="882" w:name="_Toc10522117"/>
      <w:bookmarkStart w:id="883" w:name="_Toc10569415"/>
      <w:bookmarkStart w:id="884" w:name="_Toc24974907"/>
      <w:bookmarkStart w:id="885" w:name="_Toc24976856"/>
      <w:bookmarkStart w:id="886" w:name="_Toc25581346"/>
      <w:bookmarkStart w:id="887" w:name="_Toc26191638"/>
      <w:r w:rsidRPr="006C40C1">
        <w:t>Bättre möjligheter för äldre på arbetsmarknaden</w:t>
      </w:r>
      <w:bookmarkEnd w:id="881"/>
      <w:bookmarkEnd w:id="882"/>
      <w:bookmarkEnd w:id="883"/>
      <w:bookmarkEnd w:id="884"/>
      <w:bookmarkEnd w:id="885"/>
      <w:bookmarkEnd w:id="886"/>
      <w:bookmarkEnd w:id="887"/>
    </w:p>
    <w:p w:rsidR="00AA5D77" w:rsidRPr="006C40C1" w:rsidRDefault="00AA5D77">
      <w:r w:rsidRPr="006C40C1">
        <w:t>Det är angeläget att arbetslivet utformas så att alla människor får möjlighet att förvärvs</w:t>
      </w:r>
      <w:r w:rsidRPr="006C40C1">
        <w:softHyphen/>
        <w:t xml:space="preserve">arbeta så länge de önskar. Men det är också viktigt att människor som känner att de vill trappa ned sitt förvärvsarbete när de blir äldre får rimliga möjligheter till detta. Konstruktionen av avtalspensionerna är en faktor som försvårar för äldre arbetskraft att få nytt arbete. Politikens uppgift blir att se till att skapa goda förutsättningar för att alla människor, oavsett ålder, ska kunna förvärvsarbeta och undanröja sådant som gör att människor på grund av diskriminerande attityder, ohälsa, stress och </w:t>
      </w:r>
      <w:r w:rsidRPr="006C40C1">
        <w:t>otrivsel inte vill förvärvsa</w:t>
      </w:r>
      <w:r w:rsidRPr="006C40C1">
        <w:t>r</w:t>
      </w:r>
      <w:r w:rsidRPr="006C40C1">
        <w:t>beta. Detta är också en förutsättning för att det nya pensions</w:t>
      </w:r>
      <w:r w:rsidRPr="006C40C1">
        <w:softHyphen/>
        <w:t xml:space="preserve">systemet, som innehåller en flexibel pensionsålder mellan 61 och 70 år, </w:t>
      </w:r>
      <w:r w:rsidRPr="006C40C1">
        <w:rPr>
          <w:snapToGrid w:val="0"/>
          <w:lang w:eastAsia="sv-SE"/>
        </w:rPr>
        <w:t>ska</w:t>
      </w:r>
      <w:r w:rsidRPr="006C40C1">
        <w:t xml:space="preserve"> öka människors valfrihet i praktiken. Den nya lagstadgade rätten att ha kvar sin anställning till 67 års ålder är därför ett viktigt steg i denna riktning.</w:t>
      </w:r>
    </w:p>
    <w:p w:rsidR="00AA5D77" w:rsidRPr="006C40C1" w:rsidRDefault="00AA5D77">
      <w:pPr>
        <w:pStyle w:val="Normaltindrag"/>
      </w:pPr>
      <w:r w:rsidRPr="006C40C1">
        <w:t>Den faktiska pensionsåldern är för närvarande under 60 år om man inkl</w:t>
      </w:r>
      <w:r w:rsidRPr="006C40C1">
        <w:t>u</w:t>
      </w:r>
      <w:r w:rsidRPr="006C40C1">
        <w:t>derar personer som förtidspensioneras i tidig ålder. Endast var fjärde svensk arbetar fram till 65 års ålder. Ett utbrett önskemål är att gå i pension vid 60 års ålder eller tidigare. Den äldre arbetskraften behövs emellertid mer än någonsin. Andelen yrkesverksamma krymper samtidigt som andelen pensi</w:t>
      </w:r>
      <w:r w:rsidRPr="006C40C1">
        <w:t>o</w:t>
      </w:r>
      <w:r w:rsidRPr="006C40C1">
        <w:t>närer och studerande ökar. Inom en tioårsperiod har inte bara Sverige utan även övriga Europa brist på arbetskraft, vilket hotar tillväxten och leder till stora påfres</w:t>
      </w:r>
      <w:r w:rsidRPr="006C40C1">
        <w:t>t</w:t>
      </w:r>
      <w:r w:rsidRPr="006C40C1">
        <w:t xml:space="preserve">ningar på välfärdssystemen. </w:t>
      </w:r>
    </w:p>
    <w:p w:rsidR="00AA5D77" w:rsidRPr="006C40C1" w:rsidRDefault="00AA5D77">
      <w:pPr>
        <w:pStyle w:val="Normaltindrag"/>
      </w:pPr>
      <w:r w:rsidRPr="006C40C1">
        <w:t>Därför finns</w:t>
      </w:r>
      <w:r w:rsidRPr="006C40C1">
        <w:t xml:space="preserve"> det all anledning att redan nu påbörja ett mer målinriktat a</w:t>
      </w:r>
      <w:r w:rsidRPr="006C40C1">
        <w:t>r</w:t>
      </w:r>
      <w:r w:rsidRPr="006C40C1">
        <w:t>bete för att få fler att vilja och kunna arbeta längre och att därmed höja den faktiska pensionsåldern. Nedan presenterar vi inriktningen på ett antal förslag för att uppnå detta.</w:t>
      </w:r>
    </w:p>
    <w:p w:rsidR="00AA5D77" w:rsidRPr="006C40C1" w:rsidRDefault="00AA5D77">
      <w:pPr>
        <w:pStyle w:val="Rubrik3"/>
        <w:rPr>
          <w:noProof w:val="0"/>
        </w:rPr>
      </w:pPr>
      <w:bookmarkStart w:id="888" w:name="_Toc25581347"/>
      <w:bookmarkStart w:id="889" w:name="_Toc26191639"/>
      <w:r w:rsidRPr="006C40C1">
        <w:rPr>
          <w:noProof w:val="0"/>
        </w:rPr>
        <w:t>Lättare att starta eget</w:t>
      </w:r>
      <w:bookmarkEnd w:id="888"/>
      <w:bookmarkEnd w:id="889"/>
    </w:p>
    <w:p w:rsidR="00AA5D77" w:rsidRPr="006C40C1" w:rsidRDefault="00AA5D77">
      <w:r w:rsidRPr="006C40C1">
        <w:t>Uppmuntra eget företagande bland avtalspensionärer och äldre. Lagen bör ändras så att eget företagande med F-skattsedel får bedrivas med exempelvis den tidigare arbetsgivaren som ensam kund. Därigenom skulle fler våga öve</w:t>
      </w:r>
      <w:r w:rsidRPr="006C40C1">
        <w:t>r</w:t>
      </w:r>
      <w:r w:rsidRPr="006C40C1">
        <w:t>gå till egen verksamhet.</w:t>
      </w:r>
    </w:p>
    <w:p w:rsidR="00AA5D77" w:rsidRPr="006C40C1" w:rsidRDefault="00AA5D77">
      <w:pPr>
        <w:pStyle w:val="Rubrik3"/>
        <w:rPr>
          <w:noProof w:val="0"/>
        </w:rPr>
      </w:pPr>
      <w:bookmarkStart w:id="890" w:name="_Toc25581348"/>
      <w:bookmarkStart w:id="891" w:name="_Toc26191640"/>
      <w:r w:rsidRPr="006C40C1">
        <w:rPr>
          <w:noProof w:val="0"/>
        </w:rPr>
        <w:t>Inför utbildningskonto som möjliggör livslångt lärande</w:t>
      </w:r>
      <w:bookmarkEnd w:id="890"/>
      <w:bookmarkEnd w:id="891"/>
    </w:p>
    <w:p w:rsidR="00AA5D77" w:rsidRPr="006C40C1" w:rsidRDefault="00AA5D77">
      <w:r w:rsidRPr="006C40C1">
        <w:t>Möjliggör ett livslångt lärande och låt såväl arbetstagare och arbetsgivare avsätta löneutrymme på ett utbildningskonto som beskattas först vid uttag av sparade medel. Detta kan på sikt göra äldre arbetskraft mer konkurrenskraftig då färsk utbildning knyts ihop med lång erfarenhet. Om fler personer vidar</w:t>
      </w:r>
      <w:r w:rsidRPr="006C40C1">
        <w:t>e</w:t>
      </w:r>
      <w:r w:rsidRPr="006C40C1">
        <w:t>utbildar sig eller omskolar sig under sitt yrkesliv skapar detta ett växande kunskapsmervärde på arbetsmarknaden som med tidigare regler och begrä</w:t>
      </w:r>
      <w:r w:rsidRPr="006C40C1">
        <w:t>n</w:t>
      </w:r>
      <w:r w:rsidRPr="006C40C1">
        <w:t>sade möjligheter inte fanns.</w:t>
      </w:r>
    </w:p>
    <w:p w:rsidR="00AA5D77" w:rsidRPr="006C40C1" w:rsidRDefault="00AA5D77">
      <w:pPr>
        <w:pStyle w:val="Rubrik3"/>
        <w:rPr>
          <w:noProof w:val="0"/>
        </w:rPr>
      </w:pPr>
      <w:bookmarkStart w:id="892" w:name="_Toc25581349"/>
      <w:bookmarkStart w:id="893" w:name="_Toc26191641"/>
      <w:r w:rsidRPr="006C40C1">
        <w:rPr>
          <w:noProof w:val="0"/>
        </w:rPr>
        <w:t>Informera mer om äldre</w:t>
      </w:r>
      <w:bookmarkEnd w:id="892"/>
      <w:bookmarkEnd w:id="893"/>
    </w:p>
    <w:p w:rsidR="00AA5D77" w:rsidRPr="006C40C1" w:rsidRDefault="00AA5D77">
      <w:r w:rsidRPr="006C40C1">
        <w:t>Opinionsbildning och attitydförändring tar tid. Det behöver därför informeras på många sätt om vinsten av fler äldre i arbetslivet; vinsten för den enskilde i bl.a. pensions</w:t>
      </w:r>
      <w:r w:rsidRPr="006C40C1">
        <w:softHyphen/>
        <w:t>hän</w:t>
      </w:r>
      <w:r w:rsidRPr="006C40C1">
        <w:softHyphen/>
        <w:t>seende, vinsten för arbetsgivare av att behålla och tillvarata mångårigt uppbyggd kompe</w:t>
      </w:r>
      <w:r w:rsidRPr="006C40C1">
        <w:softHyphen/>
        <w:t>tens och vinsten för samhället i stort av fler i arbete. Äldres erfarenhet och förvärvade kompetens gör dem överlag till skickliga yrkesutövare. Aktuell forskning som tydligt visar detta bör mar</w:t>
      </w:r>
      <w:r w:rsidRPr="006C40C1">
        <w:t>k</w:t>
      </w:r>
      <w:r w:rsidRPr="006C40C1">
        <w:t xml:space="preserve">nadsföras och goda exempel på arbetsplatser med utvecklad seniorpolitik spridas. </w:t>
      </w:r>
    </w:p>
    <w:p w:rsidR="00AA5D77" w:rsidRPr="006C40C1" w:rsidRDefault="00AA5D77">
      <w:pPr>
        <w:pStyle w:val="Normaltindrag"/>
      </w:pPr>
      <w:r w:rsidRPr="006C40C1">
        <w:t>Det är lämpligt att starta ett kompetenscentrum för utveckling av en god seniorpolitik i slutet av arbetslivet, efter norsk modell. Att utveck</w:t>
      </w:r>
      <w:r w:rsidRPr="006C40C1">
        <w:t>la en flex</w:t>
      </w:r>
      <w:r w:rsidRPr="006C40C1">
        <w:t>i</w:t>
      </w:r>
      <w:r w:rsidRPr="006C40C1">
        <w:t xml:space="preserve">bel arbetsorganisation och skapa en hälsofrämjande arbetsmiljö är viktiga delar för att helheten ska bli så positiv att fler vill arbeta längre. </w:t>
      </w:r>
    </w:p>
    <w:p w:rsidR="00AA5D77" w:rsidRPr="006C40C1" w:rsidRDefault="00AA5D77">
      <w:pPr>
        <w:pStyle w:val="Rubrik3"/>
        <w:rPr>
          <w:noProof w:val="0"/>
        </w:rPr>
      </w:pPr>
      <w:bookmarkStart w:id="894" w:name="_Toc25581350"/>
      <w:bookmarkStart w:id="895" w:name="_Toc26191642"/>
      <w:r w:rsidRPr="006C40C1">
        <w:rPr>
          <w:noProof w:val="0"/>
        </w:rPr>
        <w:t>Öka flexibiliteten</w:t>
      </w:r>
      <w:bookmarkEnd w:id="894"/>
      <w:bookmarkEnd w:id="895"/>
    </w:p>
    <w:p w:rsidR="00AA5D77" w:rsidRPr="006C40C1" w:rsidRDefault="00AA5D77">
      <w:r w:rsidRPr="006C40C1">
        <w:t xml:space="preserve">Med det nya pensionssystemet kan man själv, från 61 års ålder, välja hur man vill kombinera arbetstid och pensionsuttag. Möjligheten att i stället arbeta i mindre omfattning utan pensionsuttag skulle möjliggöra för fler att delta i arbetslivet under en totalt sett längre tid. Därför bör en lagstadgad rätt att gå ner i arbetstid efter 60 års ålder till lägst 60 </w:t>
      </w:r>
      <w:r w:rsidRPr="006C40C1">
        <w:rPr>
          <w:snapToGrid w:val="0"/>
          <w:color w:val="000000"/>
          <w:lang w:eastAsia="sv-SE"/>
        </w:rPr>
        <w:t>%</w:t>
      </w:r>
      <w:r w:rsidRPr="006C40C1">
        <w:t xml:space="preserve"> övervägas.</w:t>
      </w:r>
    </w:p>
    <w:p w:rsidR="00AA5D77" w:rsidRPr="006C40C1" w:rsidRDefault="00AA5D77">
      <w:pPr>
        <w:pStyle w:val="Rubrik3"/>
        <w:rPr>
          <w:noProof w:val="0"/>
        </w:rPr>
      </w:pPr>
      <w:bookmarkStart w:id="896" w:name="_Toc25581351"/>
      <w:bookmarkStart w:id="897" w:name="_Toc26191643"/>
      <w:r w:rsidRPr="006C40C1">
        <w:rPr>
          <w:noProof w:val="0"/>
        </w:rPr>
        <w:t>Se över kostnaden för äldre arbetskraft</w:t>
      </w:r>
      <w:bookmarkEnd w:id="896"/>
      <w:bookmarkEnd w:id="897"/>
    </w:p>
    <w:p w:rsidR="00AA5D77" w:rsidRPr="006C40C1" w:rsidRDefault="00AA5D77">
      <w:r w:rsidRPr="006C40C1">
        <w:t>På den alltmer kunskapsbaserade arbetsmarknaden får den rent fysiska (mu</w:t>
      </w:r>
      <w:r w:rsidRPr="006C40C1">
        <w:t>s</w:t>
      </w:r>
      <w:r w:rsidRPr="006C40C1">
        <w:t>kel)arbets</w:t>
      </w:r>
      <w:r w:rsidRPr="006C40C1">
        <w:softHyphen/>
        <w:t>kraften allt mindre betydelse. Man kan därför inte hävda att stiga</w:t>
      </w:r>
      <w:r w:rsidRPr="006C40C1">
        <w:t>n</w:t>
      </w:r>
      <w:r w:rsidRPr="006C40C1">
        <w:t>de ålder generellt innebär sämre förutsättningar att förvärvsarbeta. Snarare blir utvecklingen den motsatta med stigande erfarenhet. Inte desto mindre finns det faktorer som gör att äldre arbets</w:t>
      </w:r>
      <w:r w:rsidRPr="006C40C1">
        <w:softHyphen/>
        <w:t>kraft i vissa sammanhang får svårare att konkurrera med yngre. Det kan exempelvis handla om yrken inom tjänst</w:t>
      </w:r>
      <w:r w:rsidRPr="006C40C1">
        <w:t>e</w:t>
      </w:r>
      <w:r w:rsidRPr="006C40C1">
        <w:t>sektorn där det blir svårare med åren att hålla samma tempo som yngre. Till detta kan läggas att äldres önskemål om att gå ner i</w:t>
      </w:r>
      <w:r w:rsidRPr="006C40C1">
        <w:t xml:space="preserve"> arbetstid kan upplevas som ”fördyrande” av arbetsgivare när vissa fasta kostnader kanske måste slås ut på fler anställda. </w:t>
      </w:r>
    </w:p>
    <w:p w:rsidR="00AA5D77" w:rsidRPr="006C40C1" w:rsidRDefault="00AA5D77">
      <w:pPr>
        <w:pStyle w:val="Normaltindrag"/>
      </w:pPr>
      <w:r w:rsidRPr="006C40C1">
        <w:t>Dessa faktorer, i kombination med den generella samhällsvinsten av hög faktisk sysselsättning, motiverar att beskattningen av äldre arbetskraft ses över. Även de anställningsregler som i dag försvårar för äldre att få arbete bör ses över.</w:t>
      </w:r>
    </w:p>
    <w:p w:rsidR="00AA5D77" w:rsidRPr="006C40C1" w:rsidRDefault="00AA5D77">
      <w:pPr>
        <w:pStyle w:val="Rubrik2"/>
      </w:pPr>
      <w:bookmarkStart w:id="898" w:name="_Toc24974915"/>
      <w:bookmarkStart w:id="899" w:name="_Toc24976865"/>
      <w:bookmarkStart w:id="900" w:name="_Toc25581352"/>
      <w:bookmarkStart w:id="901" w:name="_Toc26191644"/>
      <w:r w:rsidRPr="006C40C1">
        <w:t>Arbetsmarknad</w:t>
      </w:r>
      <w:bookmarkEnd w:id="898"/>
      <w:bookmarkEnd w:id="899"/>
      <w:bookmarkEnd w:id="900"/>
      <w:bookmarkEnd w:id="901"/>
    </w:p>
    <w:p w:rsidR="00AA5D77" w:rsidRPr="006C40C1" w:rsidRDefault="00AA5D77">
      <w:pPr>
        <w:pStyle w:val="Rubrik3"/>
        <w:spacing w:before="110"/>
        <w:rPr>
          <w:noProof w:val="0"/>
        </w:rPr>
      </w:pPr>
      <w:bookmarkStart w:id="902" w:name="_Toc10483745"/>
      <w:bookmarkStart w:id="903" w:name="_Toc10522119"/>
      <w:bookmarkStart w:id="904" w:name="_Toc10569417"/>
      <w:bookmarkStart w:id="905" w:name="_Toc24976866"/>
      <w:bookmarkStart w:id="906" w:name="_Toc25581353"/>
      <w:bookmarkStart w:id="907" w:name="_Toc26191645"/>
      <w:r w:rsidRPr="006C40C1">
        <w:rPr>
          <w:noProof w:val="0"/>
        </w:rPr>
        <w:t>Arbetsmarknadspolitiken ska underlätta och främja arbete</w:t>
      </w:r>
      <w:bookmarkEnd w:id="902"/>
      <w:bookmarkEnd w:id="903"/>
      <w:bookmarkEnd w:id="904"/>
      <w:bookmarkEnd w:id="905"/>
      <w:bookmarkEnd w:id="906"/>
      <w:bookmarkEnd w:id="907"/>
    </w:p>
    <w:p w:rsidR="00AA5D77" w:rsidRPr="006C40C1" w:rsidRDefault="00AA5D77">
      <w:r w:rsidRPr="006C40C1">
        <w:t>Sverige måste få en arbetsmarknad som är rörlig och öppen – en arbetsmar</w:t>
      </w:r>
      <w:r w:rsidRPr="006C40C1">
        <w:t>k</w:t>
      </w:r>
      <w:r w:rsidRPr="006C40C1">
        <w:t>nad som är tillgänglig för alla. Den geografiska och sociala rörligheten beh</w:t>
      </w:r>
      <w:r w:rsidRPr="006C40C1">
        <w:t>ö</w:t>
      </w:r>
      <w:r w:rsidRPr="006C40C1">
        <w:t>ver öka. Den stora arbetskraftsreserv av människor utan arbete som finns i Sverige måste mobiliseras och tas till vara, både för deras och för samhällets skull. Avgörande för möjligheten att få en radikal ökning av sysselsättningen är ett dynamiskt företagarklimat där gamla och nya företag har möjlighet att anställa fler medarbetare.</w:t>
      </w:r>
    </w:p>
    <w:p w:rsidR="00AA5D77" w:rsidRPr="006C40C1" w:rsidRDefault="00AA5D77">
      <w:pPr>
        <w:pStyle w:val="Normaltindrag"/>
      </w:pPr>
      <w:r w:rsidRPr="006C40C1">
        <w:t>Den arbetslöse ska inte längre få vara en klient hos en arbetsmarknad</w:t>
      </w:r>
      <w:r w:rsidRPr="006C40C1">
        <w:t>s</w:t>
      </w:r>
      <w:r w:rsidRPr="006C40C1">
        <w:t xml:space="preserve">myndighet utan en medborgare med rätt att få kvalificerad service. </w:t>
      </w:r>
    </w:p>
    <w:p w:rsidR="00AA5D77" w:rsidRPr="006C40C1" w:rsidRDefault="00AA5D77">
      <w:pPr>
        <w:pStyle w:val="Normaltindrag"/>
      </w:pPr>
      <w:r w:rsidRPr="006C40C1">
        <w:t>Vi vill därför slå fast att den som blivit arbetslös har ett antal rättigheter som staten måste uppfylla. Samtidigt har den som blivit arbetslös ett antal skyldigheter som hon eller han i sin tur måste uppfylla gentemot övriga sa</w:t>
      </w:r>
      <w:r w:rsidRPr="006C40C1">
        <w:t>m</w:t>
      </w:r>
      <w:r w:rsidRPr="006C40C1">
        <w:t>hället. Det handlar om att etablera klara och tydliga spelregler:</w:t>
      </w:r>
    </w:p>
    <w:p w:rsidR="00AA5D77" w:rsidRPr="006C40C1" w:rsidRDefault="00AA5D77">
      <w:pPr>
        <w:tabs>
          <w:tab w:val="num" w:pos="0"/>
        </w:tabs>
        <w:ind w:left="357" w:hanging="357"/>
      </w:pPr>
      <w:r w:rsidRPr="006C40C1">
        <w:t>–</w:t>
      </w:r>
      <w:r w:rsidRPr="006C40C1">
        <w:tab/>
        <w:t xml:space="preserve">Alla arbetslösa ska ha rätt till kostnadsfri arbetsförmedling oavsett vem som utför förmedlingstjänsten. Samtidigt ska det finnas en skyldighet att anmäla sig till ett servicekontor i samband med att man förlorat sitt jobb. </w:t>
      </w:r>
    </w:p>
    <w:p w:rsidR="00AA5D77" w:rsidRPr="006C40C1" w:rsidRDefault="00AA5D77">
      <w:pPr>
        <w:tabs>
          <w:tab w:val="num" w:pos="0"/>
        </w:tabs>
        <w:ind w:left="357" w:hanging="357"/>
      </w:pPr>
      <w:r w:rsidRPr="006C40C1">
        <w:t>–</w:t>
      </w:r>
      <w:r w:rsidRPr="006C40C1">
        <w:tab/>
        <w:t>Alla ska ha rätt att välja arbetsförmedling och där bli behandlad med respekt och hänsynsfullhet.</w:t>
      </w:r>
    </w:p>
    <w:p w:rsidR="00AA5D77" w:rsidRPr="006C40C1" w:rsidRDefault="00AA5D77">
      <w:pPr>
        <w:tabs>
          <w:tab w:val="num" w:pos="0"/>
        </w:tabs>
        <w:ind w:left="357" w:hanging="357"/>
      </w:pPr>
      <w:r w:rsidRPr="006C40C1">
        <w:t>–</w:t>
      </w:r>
      <w:r w:rsidRPr="006C40C1">
        <w:tab/>
        <w:t>Alla arbetslösa ska ha rätt att få stöd utifrån sina behov, förutsättningar och intressen. Åtgärderna ska vara individuellt utformade med det enda övergripande syftet att så snart som möjligt ge de arbetslösa möjlighet att finna ett nytt arbete. Samtidigt ska alla arbetslösa ha skyldighet att aktivt söka jobb och delta i de åtgärder som är relevanta. Alla arbetslösa ska ha rätt att ha ett avgörande inflytande över vilken åtgärd som ska vidtas.</w:t>
      </w:r>
    </w:p>
    <w:p w:rsidR="00AA5D77" w:rsidRPr="006C40C1" w:rsidRDefault="00AA5D77">
      <w:pPr>
        <w:tabs>
          <w:tab w:val="num" w:pos="0"/>
        </w:tabs>
        <w:ind w:left="357" w:hanging="357"/>
      </w:pPr>
      <w:r w:rsidRPr="006C40C1">
        <w:t>–</w:t>
      </w:r>
      <w:r w:rsidRPr="006C40C1">
        <w:tab/>
        <w:t>Alla arbetslösa ska ha rätt till en allmän obligatorisk arbetslöshetsförsä</w:t>
      </w:r>
      <w:r w:rsidRPr="006C40C1">
        <w:t>k</w:t>
      </w:r>
      <w:r w:rsidRPr="006C40C1">
        <w:t>ring. Samtidigt måste alla arbetstagare uppfylla ett antal grundläggande villkor för att bli berättigade till ersättning. Den som blivit arbetslös ska inte kunna tacka nej till anvisade arbeten utan att ersättningen från a</w:t>
      </w:r>
      <w:r w:rsidRPr="006C40C1">
        <w:t>r</w:t>
      </w:r>
      <w:r w:rsidRPr="006C40C1">
        <w:t>betslöshetsförsä</w:t>
      </w:r>
      <w:r w:rsidRPr="006C40C1">
        <w:t>k</w:t>
      </w:r>
      <w:r w:rsidRPr="006C40C1">
        <w:t>ringen blir påverkad.</w:t>
      </w:r>
    </w:p>
    <w:p w:rsidR="00AA5D77" w:rsidRPr="006C40C1" w:rsidRDefault="00AA5D77">
      <w:pPr>
        <w:pStyle w:val="Rubrik3"/>
        <w:rPr>
          <w:noProof w:val="0"/>
        </w:rPr>
      </w:pPr>
      <w:bookmarkStart w:id="908" w:name="_Toc9331604"/>
      <w:bookmarkStart w:id="909" w:name="_Toc10483747"/>
      <w:bookmarkStart w:id="910" w:name="_Toc24974916"/>
      <w:bookmarkStart w:id="911" w:name="_Toc24976867"/>
      <w:bookmarkStart w:id="912" w:name="_Toc25581354"/>
      <w:bookmarkStart w:id="913" w:name="_Toc26191646"/>
      <w:r w:rsidRPr="006C40C1">
        <w:rPr>
          <w:noProof w:val="0"/>
        </w:rPr>
        <w:t>En effektivare arbetsmarknadspolitik</w:t>
      </w:r>
      <w:bookmarkEnd w:id="908"/>
      <w:bookmarkEnd w:id="909"/>
      <w:bookmarkEnd w:id="910"/>
      <w:bookmarkEnd w:id="911"/>
      <w:bookmarkEnd w:id="912"/>
      <w:bookmarkEnd w:id="913"/>
    </w:p>
    <w:p w:rsidR="00AA5D77" w:rsidRPr="006C40C1" w:rsidRDefault="00AA5D77">
      <w:r w:rsidRPr="006C40C1">
        <w:t>Sverige måste ha en aktiv och effektiv arbetsmarknadspolitik som syftar till att snabbt och smidigt bidra till att matcha den arbetssökande med de arbeten som finns tillgängliga och rusta den arbetslöse för att kunna ta de arbeten som finns till förfogande. Arbetslinjen ska hävdas, det vill säga att arbetssökande i första hand ska erbjudas arbete eller arbetsmarknadspolitiska åtgärder. Först när sådana åtgärder inte finns tillgängliga ska arbetslöshetsunderstöd lämnas. Aktivitet ska alltid prioriteras före</w:t>
      </w:r>
      <w:r w:rsidRPr="006C40C1">
        <w:t xml:space="preserve"> passivt bidragsmottagande. </w:t>
      </w:r>
    </w:p>
    <w:p w:rsidR="00AA5D77" w:rsidRPr="006C40C1" w:rsidRDefault="00AA5D77">
      <w:pPr>
        <w:pStyle w:val="Rubrik4"/>
        <w:rPr>
          <w:noProof w:val="0"/>
        </w:rPr>
      </w:pPr>
      <w:bookmarkStart w:id="914" w:name="_Toc7415336"/>
      <w:bookmarkStart w:id="915" w:name="_Toc7431779"/>
      <w:bookmarkStart w:id="916" w:name="_Toc9331605"/>
      <w:bookmarkStart w:id="917" w:name="_Toc10483748"/>
      <w:bookmarkStart w:id="918" w:name="_Toc25581355"/>
      <w:bookmarkStart w:id="919" w:name="_Toc26191647"/>
      <w:r w:rsidRPr="006C40C1">
        <w:rPr>
          <w:noProof w:val="0"/>
        </w:rPr>
        <w:t>Servicekontor</w:t>
      </w:r>
      <w:bookmarkEnd w:id="914"/>
      <w:bookmarkEnd w:id="915"/>
      <w:bookmarkEnd w:id="916"/>
      <w:bookmarkEnd w:id="917"/>
      <w:bookmarkEnd w:id="918"/>
      <w:bookmarkEnd w:id="919"/>
    </w:p>
    <w:p w:rsidR="00AA5D77" w:rsidRPr="006C40C1" w:rsidRDefault="00AA5D77">
      <w:r w:rsidRPr="006C40C1">
        <w:t>På grund av arbetsförmedlingens dåliga resultat är det många som i dag fö</w:t>
      </w:r>
      <w:r w:rsidRPr="006C40C1">
        <w:t>r</w:t>
      </w:r>
      <w:r w:rsidRPr="006C40C1">
        <w:t>söker få jobb på annat sätt. Arbetsförmedlingen har därmed förlorat en viktig funktion på arbetsmarknaden. Med vårt förslag vänder sig den arbetslöse i stället till ett servicekontor. Detta är inte en traditionell arbetsförmedling. Servicekontor ska finnas i varje kommun och ska framför allt fungera som guide för arbetsl</w:t>
      </w:r>
      <w:r w:rsidRPr="006C40C1">
        <w:t>ö</w:t>
      </w:r>
      <w:r w:rsidRPr="006C40C1">
        <w:t xml:space="preserve">sa och för företag som söker arbetskraft. </w:t>
      </w:r>
    </w:p>
    <w:p w:rsidR="00AA5D77" w:rsidRPr="006C40C1" w:rsidRDefault="00AA5D77">
      <w:pPr>
        <w:pStyle w:val="Normaltindrag"/>
      </w:pPr>
      <w:r w:rsidRPr="006C40C1">
        <w:t xml:space="preserve">För att få ersättning från arbetslöshetsförsäkringen anmäler man sig till servicekontoret. Till att börja med ska den arbetslöse, liksom </w:t>
      </w:r>
      <w:r w:rsidRPr="006C40C1">
        <w:rPr>
          <w:snapToGrid w:val="0"/>
          <w:color w:val="000000"/>
          <w:lang w:eastAsia="sv-SE"/>
        </w:rPr>
        <w:t>i dag</w:t>
      </w:r>
      <w:r w:rsidRPr="006C40C1">
        <w:t>, fritt kunna begränsa sitt sökande geografiskt och yrkesmässigt. Efter denna första period finns det dock människor som av olika anledningar inte lyckats få ett arbete. Då bokas på Servicekontorets initiativ ett möte för plan</w:t>
      </w:r>
      <w:r w:rsidRPr="006C40C1">
        <w:t>e</w:t>
      </w:r>
      <w:r w:rsidRPr="006C40C1">
        <w:t>ring av framtiden.</w:t>
      </w:r>
    </w:p>
    <w:p w:rsidR="00AA5D77" w:rsidRPr="006C40C1" w:rsidRDefault="00AA5D77">
      <w:pPr>
        <w:pStyle w:val="Rubrik4"/>
        <w:rPr>
          <w:noProof w:val="0"/>
        </w:rPr>
      </w:pPr>
      <w:bookmarkStart w:id="920" w:name="_Toc7415337"/>
      <w:bookmarkStart w:id="921" w:name="_Toc7431780"/>
      <w:bookmarkStart w:id="922" w:name="_Toc9331606"/>
      <w:bookmarkStart w:id="923" w:name="_Toc10483749"/>
      <w:bookmarkStart w:id="924" w:name="_Toc25581356"/>
      <w:bookmarkStart w:id="925" w:name="_Toc26191648"/>
      <w:r w:rsidRPr="006C40C1">
        <w:rPr>
          <w:noProof w:val="0"/>
        </w:rPr>
        <w:t>Flera olika aktörer</w:t>
      </w:r>
      <w:bookmarkEnd w:id="920"/>
      <w:bookmarkEnd w:id="921"/>
      <w:bookmarkEnd w:id="922"/>
      <w:bookmarkEnd w:id="923"/>
      <w:bookmarkEnd w:id="924"/>
      <w:bookmarkEnd w:id="925"/>
    </w:p>
    <w:p w:rsidR="00AA5D77" w:rsidRPr="006C40C1" w:rsidRDefault="00AA5D77">
      <w:r w:rsidRPr="006C40C1">
        <w:t>Vi vill se många konkurrerande aktörer inom arbetsmarknadspolitikens omr</w:t>
      </w:r>
      <w:r w:rsidRPr="006C40C1">
        <w:t>å</w:t>
      </w:r>
      <w:r w:rsidRPr="006C40C1">
        <w:t>de. Konkurrens och mångfald ökar kvaliteten och valfriheten för den arbetsl</w:t>
      </w:r>
      <w:r w:rsidRPr="006C40C1">
        <w:t>ö</w:t>
      </w:r>
      <w:r w:rsidRPr="006C40C1">
        <w:t>se. Vi räknar med att en rad nya aktörer såsom privata arbetsförmedlingar, branschvisa arbetsförmedlingar – exempelvis i fackföreningsregi, privata utbild</w:t>
      </w:r>
      <w:r w:rsidRPr="006C40C1">
        <w:softHyphen/>
        <w:t>ningsföretag, ideella föreningar, och bemannings</w:t>
      </w:r>
      <w:r w:rsidRPr="006C40C1">
        <w:softHyphen/>
        <w:t>företag växer fram. Aktörerna kommer att kunna erbjuda en mängd olika alternativ med olika specialinriktningar till den arbetsl</w:t>
      </w:r>
      <w:r w:rsidRPr="006C40C1">
        <w:t>ö</w:t>
      </w:r>
      <w:r w:rsidRPr="006C40C1">
        <w:t xml:space="preserve">se. </w:t>
      </w:r>
    </w:p>
    <w:p w:rsidR="00AA5D77" w:rsidRPr="006C40C1" w:rsidRDefault="00AA5D77">
      <w:pPr>
        <w:pStyle w:val="Normaltindrag"/>
      </w:pPr>
      <w:r w:rsidRPr="006C40C1">
        <w:t>I glest befolkade områden finns det inte alltid underlag för privata bema</w:t>
      </w:r>
      <w:r w:rsidRPr="006C40C1">
        <w:t>n</w:t>
      </w:r>
      <w:r w:rsidRPr="006C40C1">
        <w:t>ningsföretag. Om det inte finns privata aktörer ska myndigheten upphandla sådana tjänster eller i sista hand driva egna.</w:t>
      </w:r>
    </w:p>
    <w:p w:rsidR="00AA5D77" w:rsidRPr="006C40C1" w:rsidRDefault="00AA5D77">
      <w:pPr>
        <w:pStyle w:val="Rubrik4"/>
        <w:rPr>
          <w:noProof w:val="0"/>
        </w:rPr>
      </w:pPr>
      <w:bookmarkStart w:id="926" w:name="_Toc7415338"/>
      <w:bookmarkStart w:id="927" w:name="_Toc7431781"/>
      <w:bookmarkStart w:id="928" w:name="_Toc9331607"/>
      <w:bookmarkStart w:id="929" w:name="_Toc10483750"/>
      <w:bookmarkStart w:id="930" w:name="_Toc25581357"/>
      <w:bookmarkStart w:id="931" w:name="_Toc26191649"/>
      <w:r w:rsidRPr="006C40C1">
        <w:rPr>
          <w:noProof w:val="0"/>
        </w:rPr>
        <w:t>Omställningspeng</w:t>
      </w:r>
      <w:bookmarkEnd w:id="926"/>
      <w:bookmarkEnd w:id="927"/>
      <w:bookmarkEnd w:id="928"/>
      <w:bookmarkEnd w:id="929"/>
      <w:bookmarkEnd w:id="930"/>
      <w:bookmarkEnd w:id="931"/>
    </w:p>
    <w:p w:rsidR="00AA5D77" w:rsidRPr="006C40C1" w:rsidRDefault="00AA5D77">
      <w:r w:rsidRPr="006C40C1">
        <w:t>Den som inte inom en viss tid har hittat ett nytt jobb på egen hand eller via den service som erbjuds på servicekontoren behöver åtgärder som kan kräva en ek</w:t>
      </w:r>
      <w:r w:rsidRPr="006C40C1">
        <w:t>o</w:t>
      </w:r>
      <w:r w:rsidRPr="006C40C1">
        <w:t>nomisk insats som vi kallar omställningspeng.</w:t>
      </w:r>
    </w:p>
    <w:p w:rsidR="00AA5D77" w:rsidRPr="006C40C1" w:rsidRDefault="00AA5D77">
      <w:pPr>
        <w:pStyle w:val="Normaltindrag"/>
      </w:pPr>
      <w:r w:rsidRPr="006C40C1">
        <w:t>Omställningspengens storlek styrs utifrån en behovsbedömning som görs på servicekontoren. Pengens storlek bestäms utifrån olika kriterier såsom ålder, utbildning och arbetslivserfarenhet. Till pengen kan kopplas olika fo</w:t>
      </w:r>
      <w:r w:rsidRPr="006C40C1">
        <w:t>r</w:t>
      </w:r>
      <w:r w:rsidRPr="006C40C1">
        <w:t>mer av arbets</w:t>
      </w:r>
      <w:r w:rsidRPr="006C40C1">
        <w:softHyphen/>
        <w:t>marknads</w:t>
      </w:r>
      <w:r w:rsidRPr="006C40C1">
        <w:softHyphen/>
        <w:t>politiskt stöd som kräver ett särskilt regelverk, exe</w:t>
      </w:r>
      <w:r w:rsidRPr="006C40C1">
        <w:t>m</w:t>
      </w:r>
      <w:r w:rsidRPr="006C40C1">
        <w:t>pelvis anställningsstöd, lönebidrag, starta-eget-bidrag.</w:t>
      </w:r>
    </w:p>
    <w:p w:rsidR="00AA5D77" w:rsidRPr="006C40C1" w:rsidRDefault="00AA5D77">
      <w:pPr>
        <w:pStyle w:val="Normaltindrag"/>
      </w:pPr>
      <w:r w:rsidRPr="006C40C1">
        <w:t>Individen tar med sig omställningspengen till den aktör som väljs för att komma ur arbetslösheten. I en del fall kommer den arbetslöse att få jobb innan beräknad insats är förbrukad. Då bör aktören få behålla hela pengen som bonus. Om personen åter blir arbetslös fryser bonusen inne. Förbrukas omställningspengen utan att den arbetslöse får arbete måste en ny prövning ske.</w:t>
      </w:r>
    </w:p>
    <w:p w:rsidR="00AA5D77" w:rsidRPr="006C40C1" w:rsidRDefault="00AA5D77">
      <w:pPr>
        <w:pStyle w:val="Rubrik4"/>
        <w:rPr>
          <w:noProof w:val="0"/>
        </w:rPr>
      </w:pPr>
      <w:bookmarkStart w:id="932" w:name="_Toc7415339"/>
      <w:bookmarkStart w:id="933" w:name="_Toc7431782"/>
      <w:bookmarkStart w:id="934" w:name="_Toc9331608"/>
      <w:bookmarkStart w:id="935" w:name="_Toc10483751"/>
      <w:bookmarkStart w:id="936" w:name="_Toc25581358"/>
      <w:bookmarkStart w:id="937" w:name="_Toc26191650"/>
      <w:r w:rsidRPr="006C40C1">
        <w:rPr>
          <w:noProof w:val="0"/>
        </w:rPr>
        <w:t>Ny myndighet ersätter AMV/AMS</w:t>
      </w:r>
      <w:bookmarkEnd w:id="932"/>
      <w:bookmarkEnd w:id="933"/>
      <w:bookmarkEnd w:id="934"/>
      <w:bookmarkEnd w:id="935"/>
      <w:bookmarkEnd w:id="936"/>
      <w:bookmarkEnd w:id="937"/>
    </w:p>
    <w:p w:rsidR="00AA5D77" w:rsidRPr="006C40C1" w:rsidRDefault="00AA5D77">
      <w:r w:rsidRPr="006C40C1">
        <w:t xml:space="preserve">Arbetsmarknadsverket har stor medelstilldelning. Trots detta visar nu senast Riksdagens revisorer att nyttan av verksamheten är minst sagt tveksam. </w:t>
      </w:r>
    </w:p>
    <w:p w:rsidR="00AA5D77" w:rsidRPr="006C40C1" w:rsidRDefault="00AA5D77">
      <w:pPr>
        <w:pStyle w:val="Normaltindrag"/>
      </w:pPr>
      <w:r w:rsidRPr="006C40C1">
        <w:t>Nuvarande myndighetsstrukturer på arbetsmarknadsområdet ersätts med en ny arbetsmarknads</w:t>
      </w:r>
      <w:r w:rsidRPr="006C40C1">
        <w:softHyphen/>
        <w:t>myndighet med ovanstående uppgifter.</w:t>
      </w:r>
    </w:p>
    <w:p w:rsidR="00AA5D77" w:rsidRPr="006C40C1" w:rsidRDefault="00AA5D77">
      <w:pPr>
        <w:pStyle w:val="Normaltindrag"/>
      </w:pPr>
      <w:r w:rsidRPr="006C40C1">
        <w:t>Därtill har den också till uppgift att garantera att det finns jobb</w:t>
      </w:r>
      <w:r w:rsidRPr="006C40C1">
        <w:softHyphen/>
        <w:t>kontor/bem</w:t>
      </w:r>
      <w:r w:rsidRPr="006C40C1">
        <w:softHyphen/>
        <w:t>annings</w:t>
      </w:r>
      <w:r w:rsidRPr="006C40C1">
        <w:softHyphen/>
        <w:t>företag inom rimligt avstånd för alla jobbsökande i hela landet. Om det inte finns privata aktörer bör myndigheten upphandla sådana tjänster eller i sista hand driva verksamhet i egen regi.</w:t>
      </w:r>
    </w:p>
    <w:p w:rsidR="00AA5D77" w:rsidRPr="006C40C1" w:rsidRDefault="00AA5D77">
      <w:pPr>
        <w:pStyle w:val="Rubrik2"/>
      </w:pPr>
      <w:bookmarkStart w:id="938" w:name="_Toc25581359"/>
      <w:bookmarkStart w:id="939" w:name="_Toc26191651"/>
      <w:r w:rsidRPr="006C40C1">
        <w:t>Riv hindren för företagande och entreprenörskap</w:t>
      </w:r>
      <w:bookmarkEnd w:id="938"/>
      <w:bookmarkEnd w:id="939"/>
    </w:p>
    <w:p w:rsidR="00AA5D77" w:rsidRPr="006C40C1" w:rsidRDefault="00AA5D77">
      <w:r w:rsidRPr="006C40C1">
        <w:t>En nyckelfaktor för att åstadkomma högre tillväxt är att fler företag startas och att fler företag expanderar. För att åstadkomma detta behöver attityderna till företagande och företagare förbättras dramatiskt samtidigt som handfasta åtgärder vidtas för ett bättre företagsklimat, minskad byråkrati och lättad skattebörda.</w:t>
      </w:r>
    </w:p>
    <w:p w:rsidR="00AA5D77" w:rsidRPr="006C40C1" w:rsidRDefault="00AA5D77">
      <w:pPr>
        <w:pStyle w:val="Normaltindrag"/>
      </w:pPr>
      <w:r w:rsidRPr="006C40C1">
        <w:t>Politiken ska vara inriktad på att stimulera och främja människors företa</w:t>
      </w:r>
      <w:r w:rsidRPr="006C40C1">
        <w:t>g</w:t>
      </w:r>
      <w:r w:rsidRPr="006C40C1">
        <w:t>samhet. Den socialdemokratiska näringspolitiken vilar på föreställningen att företagare i första hand drivs av egoistisk girighet. Konsekvensen blir en kontroll- och övervakningsmentalitet i politiska beslut och ofta även i rege</w:t>
      </w:r>
      <w:r w:rsidRPr="006C40C1">
        <w:t>l</w:t>
      </w:r>
      <w:r w:rsidRPr="006C40C1">
        <w:t>tillämpningen hos statliga och kommunala myndigheter.</w:t>
      </w:r>
    </w:p>
    <w:p w:rsidR="00AA5D77" w:rsidRPr="006C40C1" w:rsidRDefault="00AA5D77">
      <w:pPr>
        <w:pStyle w:val="Normaltindrag"/>
      </w:pPr>
      <w:r w:rsidRPr="006C40C1">
        <w:t>Anställda/löntagare och företagare bemöts med mycket olika attityder från samhälls</w:t>
      </w:r>
      <w:r w:rsidRPr="006C40C1">
        <w:softHyphen/>
        <w:t>aktörer och medborgare. En anställd har en lagstadgad trygghet som en företagare aldrig kan förlita sig på, t.ex. fast lön, uppsägningstid, semester, arbetslöshetsersättning m.m. En företagare har ansvaret för uppgiftslämnande som en anställd aldrig behöver fundera på. Företagare kan dömas till böter av berörd myndighet vid försenad inlämning av uppgifter medan motsvarande krav inte ställs på myndigheterna bemötande av före</w:t>
      </w:r>
      <w:r w:rsidRPr="006C40C1">
        <w:softHyphen/>
        <w:t>tagaren. Misstag, me</w:t>
      </w:r>
      <w:r w:rsidRPr="006C40C1">
        <w:t>d</w:t>
      </w:r>
      <w:r w:rsidRPr="006C40C1">
        <w:t xml:space="preserve">vetna som omedvetna, kan stå företagare dyrt. Vid tvister med </w:t>
      </w:r>
      <w:r w:rsidRPr="006C40C1">
        <w:t xml:space="preserve">myndigheter får företagaren själv stå för experthjälp och advokatkostnader, som inte är avdragsgilla. </w:t>
      </w:r>
    </w:p>
    <w:p w:rsidR="00AA5D77" w:rsidRPr="006C40C1" w:rsidRDefault="00AA5D77">
      <w:pPr>
        <w:pStyle w:val="Normaltindrag"/>
      </w:pPr>
      <w:r w:rsidRPr="006C40C1">
        <w:t>Regelbördan håller tillbaka svenskt ny- och småföretagande. 25 miljoner timmar, eller 13 000 heltidsjobb, används årligen i svenska företag för att tyda och fylla i blanketter. I många fall förstärks denna problematik av bristande tillmötesgående och serviceanda hos statliga och kommunala myndigheter. Försäkringskassan och länsstyrelserna är exempel på myndigheter som, enligt opinionsundersökningar genomfö</w:t>
      </w:r>
      <w:r w:rsidRPr="006C40C1">
        <w:t>rda bland företagare, får mycket lågt betyg vad gäller service och bemötande.</w:t>
      </w:r>
    </w:p>
    <w:p w:rsidR="00AA5D77" w:rsidRPr="006C40C1" w:rsidRDefault="00AA5D77">
      <w:pPr>
        <w:pStyle w:val="Rubrik3"/>
        <w:rPr>
          <w:noProof w:val="0"/>
        </w:rPr>
      </w:pPr>
      <w:bookmarkStart w:id="940" w:name="_Toc25581360"/>
      <w:bookmarkStart w:id="941" w:name="_Toc26191652"/>
      <w:r w:rsidRPr="006C40C1">
        <w:rPr>
          <w:noProof w:val="0"/>
        </w:rPr>
        <w:t>Enklare regler</w:t>
      </w:r>
      <w:bookmarkEnd w:id="940"/>
      <w:bookmarkEnd w:id="941"/>
    </w:p>
    <w:p w:rsidR="00AA5D77" w:rsidRPr="006C40C1" w:rsidRDefault="00AA5D77">
      <w:r w:rsidRPr="006C40C1">
        <w:t>Sverige är ett land med många regler. Var och en för sig kan de verka motiv</w:t>
      </w:r>
      <w:r w:rsidRPr="006C40C1">
        <w:t>e</w:t>
      </w:r>
      <w:r w:rsidRPr="006C40C1">
        <w:t>rade, men sammantaget medför de en stor belastning på företagen. Kostnaden för ett litet företag bara för administrationen av arbetsmarknads-, skatte- och miljöreglerna är ca 30 000 kr per anställd och år. Totalt är kostnaden för svenskt näringsliv att administrera regelverket ca 50 miljarder kronor årl</w:t>
      </w:r>
      <w:r w:rsidRPr="006C40C1">
        <w:t>i</w:t>
      </w:r>
      <w:r w:rsidRPr="006C40C1">
        <w:t xml:space="preserve">gen.  </w:t>
      </w:r>
    </w:p>
    <w:p w:rsidR="00AA5D77" w:rsidRPr="006C40C1" w:rsidRDefault="00AA5D77">
      <w:pPr>
        <w:pStyle w:val="Normaltindrag"/>
      </w:pPr>
      <w:r w:rsidRPr="006C40C1">
        <w:t>Kostnaderna för regeladministration måste minska. Hela det regelverk som berör före</w:t>
      </w:r>
      <w:r w:rsidRPr="006C40C1">
        <w:softHyphen/>
        <w:t xml:space="preserve">tagare </w:t>
      </w:r>
      <w:r w:rsidRPr="006C40C1">
        <w:rPr>
          <w:snapToGrid w:val="0"/>
          <w:lang w:eastAsia="sv-SE"/>
        </w:rPr>
        <w:t>ska</w:t>
      </w:r>
      <w:r w:rsidRPr="006C40C1">
        <w:t xml:space="preserve"> gås igenom. Krångliga regler ska tas bort eller förenklas. Målet är att företagens kostnader för administration av regelverket ska minska med minst en fjärdedel.</w:t>
      </w:r>
    </w:p>
    <w:p w:rsidR="00AA5D77" w:rsidRPr="006C40C1" w:rsidRDefault="00AA5D77">
      <w:pPr>
        <w:pStyle w:val="Normaltindrag"/>
      </w:pPr>
      <w:r w:rsidRPr="006C40C1">
        <w:t>Det är uppenbart att regeringen inte tar regelbördan på allvar. Detta ill</w:t>
      </w:r>
      <w:r w:rsidRPr="006C40C1">
        <w:t>u</w:t>
      </w:r>
      <w:r w:rsidRPr="006C40C1">
        <w:t>streras tydligt av SimpLex-gruppens arbete. I regeringens finansplan står det att från ”2001 till augusti 2002 har 78 konsekvensanalyser genomförts och därigenom har förslagens effekter på små företag uppmärksammats. Som ett resultat av detta har ett tjugotal förslag dragits tillbaka eller ändrats”. Rege</w:t>
      </w:r>
      <w:r w:rsidRPr="006C40C1">
        <w:t>r</w:t>
      </w:r>
      <w:r w:rsidRPr="006C40C1">
        <w:t>ingen är nöjd med att ökningen av regelbö</w:t>
      </w:r>
      <w:r w:rsidRPr="006C40C1">
        <w:t>r</w:t>
      </w:r>
      <w:r w:rsidRPr="006C40C1">
        <w:t xml:space="preserve">dan har bromsats något. </w:t>
      </w:r>
    </w:p>
    <w:p w:rsidR="00AA5D77" w:rsidRPr="006C40C1" w:rsidRDefault="00AA5D77">
      <w:pPr>
        <w:pStyle w:val="Normaltindrag"/>
      </w:pPr>
      <w:r w:rsidRPr="006C40C1">
        <w:t>Av Småföretagsdelegationens 80-tal förslag har endast en tredjedel g</w:t>
      </w:r>
      <w:r w:rsidRPr="006C40C1">
        <w:t>e</w:t>
      </w:r>
      <w:r w:rsidRPr="006C40C1">
        <w:t xml:space="preserve">nomförts under de fyra år som gått sedan de lades fram. Det är viktigt att detta arbete snarast fullföljs. Det är heller inte rimligt att som </w:t>
      </w:r>
      <w:r w:rsidRPr="006C40C1">
        <w:rPr>
          <w:snapToGrid w:val="0"/>
          <w:color w:val="000000"/>
          <w:lang w:eastAsia="sv-SE"/>
        </w:rPr>
        <w:t>i dag</w:t>
      </w:r>
      <w:r w:rsidRPr="006C40C1">
        <w:t xml:space="preserve"> belägga föret</w:t>
      </w:r>
      <w:r w:rsidRPr="006C40C1">
        <w:t>a</w:t>
      </w:r>
      <w:r w:rsidRPr="006C40C1">
        <w:t>gare med avgifter för olika typer av inspektioner och kontroller. Dessa måste ordnas så att inte onödiga kostnader vältras över på företagen.</w:t>
      </w:r>
    </w:p>
    <w:p w:rsidR="00AA5D77" w:rsidRPr="006C40C1" w:rsidRDefault="00AA5D77">
      <w:pPr>
        <w:pStyle w:val="Rubrik2"/>
      </w:pPr>
      <w:bookmarkStart w:id="942" w:name="_Toc25581361"/>
      <w:bookmarkStart w:id="943" w:name="_Toc26191653"/>
      <w:r w:rsidRPr="006C40C1">
        <w:t>Ökad rättssäkerhet</w:t>
      </w:r>
      <w:bookmarkEnd w:id="942"/>
      <w:bookmarkEnd w:id="943"/>
      <w:r w:rsidRPr="006C40C1">
        <w:t xml:space="preserve"> </w:t>
      </w:r>
    </w:p>
    <w:p w:rsidR="00AA5D77" w:rsidRPr="006C40C1" w:rsidRDefault="00AA5D77">
      <w:r w:rsidRPr="006C40C1">
        <w:t>När myndigheter vill ha uppgifter från medborgare och företag sätts tidsr</w:t>
      </w:r>
      <w:r w:rsidRPr="006C40C1">
        <w:t>a</w:t>
      </w:r>
      <w:r w:rsidRPr="006C40C1">
        <w:t>men ofta snävt. Om däremot företag eller medborgare vill ha besked av en myndighet blir ofta tidsutdräkten stor. Det brister i balansen mellan myndi</w:t>
      </w:r>
      <w:r w:rsidRPr="006C40C1">
        <w:t>g</w:t>
      </w:r>
      <w:r w:rsidRPr="006C40C1">
        <w:t>heters agerande gentemot medborgare och företag beroende på om det är frågor som ställs till myndigheten eller kommer från myndigheten. Följden kan bli stora negativa konsekvenser för ett  företag om ett besked från skatt</w:t>
      </w:r>
      <w:r w:rsidRPr="006C40C1">
        <w:t>e</w:t>
      </w:r>
      <w:r w:rsidRPr="006C40C1">
        <w:t>myndighet är otydligt eller kommer sent. Systemet med skattetillägg som ska betalas innan rättsprocessen är klar kan driva företag i konkurs</w:t>
      </w:r>
      <w:r w:rsidRPr="006C40C1">
        <w:t>. Vi anser att de människor som anstränger sig att göra rätt ska mötas av god service och en tillmötesgående attityd från myndigheterna. Skattetillägg ska endast påföras om fel gjorts uppsåtligen, vilket ska vara myndighetens sak att visa. Skatt</w:t>
      </w:r>
      <w:r w:rsidRPr="006C40C1">
        <w:t>e</w:t>
      </w:r>
      <w:r w:rsidRPr="006C40C1">
        <w:t xml:space="preserve">tillägg ska inte behöva betalas innan dom avkunnats i sista rättsinstans vilket måste ske inom 24 månader efter det att skattemyndigheten givit det första beskedet. </w:t>
      </w:r>
    </w:p>
    <w:p w:rsidR="00AA5D77" w:rsidRPr="006C40C1" w:rsidRDefault="00AA5D77">
      <w:pPr>
        <w:pStyle w:val="Normaltindrag"/>
      </w:pPr>
      <w:r w:rsidRPr="006C40C1">
        <w:t>Miljöbalken har genom sin komplexitet och sin tillämpning medfört avs</w:t>
      </w:r>
      <w:r w:rsidRPr="006C40C1">
        <w:t>e</w:t>
      </w:r>
      <w:r w:rsidRPr="006C40C1">
        <w:t>värda svårigheter för i synnerhet små och medelstora företag. Sanktionss</w:t>
      </w:r>
      <w:r w:rsidRPr="006C40C1">
        <w:t>y</w:t>
      </w:r>
      <w:r w:rsidRPr="006C40C1">
        <w:t>stemet som är kopplat till balken är och upplevs som orimligt. De avgifter som tas ut är i de flesta fall fasta och ingen hänsyn tas till företagens omsät</w:t>
      </w:r>
      <w:r w:rsidRPr="006C40C1">
        <w:t>t</w:t>
      </w:r>
      <w:r w:rsidRPr="006C40C1">
        <w:t xml:space="preserve">ning eller storlek. Reglerna bör också ta större hänsyn till graden av miljöfara och till om överträdelsen skett uppsåtligen. </w:t>
      </w:r>
    </w:p>
    <w:p w:rsidR="00AA5D77" w:rsidRPr="006C40C1" w:rsidRDefault="00AA5D77">
      <w:pPr>
        <w:pStyle w:val="Normaltindrag"/>
      </w:pPr>
      <w:r w:rsidRPr="006C40C1">
        <w:t>Ett allvarligt problem för seriöst företagande är den svarta ekonomins u</w:t>
      </w:r>
      <w:r w:rsidRPr="006C40C1">
        <w:t>t</w:t>
      </w:r>
      <w:r w:rsidRPr="006C40C1">
        <w:t>bredning och omfattning. Vart femte företag drabbas av konkurrens från den svarta sektorn, i en del branscher betydligt fler. Det leder till att seriösa för</w:t>
      </w:r>
      <w:r w:rsidRPr="006C40C1">
        <w:t>e</w:t>
      </w:r>
      <w:r w:rsidRPr="006C40C1">
        <w:t>tagare har svårt att konkurrera. Dagens skatte- och regeltryck riskerar att leda till en än mer urholkad skattemoral. Detta är ett mycket allvarligt problem. Ett fungerande rättssamhälle bygger på att lagstiftningen är förankrad i männ</w:t>
      </w:r>
      <w:r w:rsidRPr="006C40C1">
        <w:t>i</w:t>
      </w:r>
      <w:r w:rsidRPr="006C40C1">
        <w:t>skors rättsuppfattning så att man av egen kraft och vilja lyder lagarna. Detta gäller inte minst skattesyst</w:t>
      </w:r>
      <w:r w:rsidRPr="006C40C1">
        <w:t>e</w:t>
      </w:r>
      <w:r w:rsidRPr="006C40C1">
        <w:t>mets utfor</w:t>
      </w:r>
      <w:r w:rsidRPr="006C40C1">
        <w:t>mning.</w:t>
      </w:r>
    </w:p>
    <w:p w:rsidR="00AA5D77" w:rsidRPr="006C40C1" w:rsidRDefault="00AA5D77">
      <w:pPr>
        <w:pStyle w:val="Normaltindrag"/>
      </w:pPr>
      <w:r w:rsidRPr="006C40C1">
        <w:t>Misstanken om att fusk och felaktigheter förekommer i näringslivet kan såväl bidra till att befästa negativa attityder till företagare och entreprenörskap som att minska marknadsekonomins legitimitet i medborgarnas ögon. Av allt att döma är laglydnaden och moralen såväl bland småföretagare som i de större företagens ledningar dock hög i Sverige. Som ett led i arbetet för att radikalt förbättra attityderna till näringslivet krävs en effektiv finansinspe</w:t>
      </w:r>
      <w:r w:rsidRPr="006C40C1">
        <w:t>k</w:t>
      </w:r>
      <w:r w:rsidRPr="006C40C1">
        <w:t>tion.</w:t>
      </w:r>
    </w:p>
    <w:p w:rsidR="00AA5D77" w:rsidRPr="006C40C1" w:rsidRDefault="00AA5D77">
      <w:pPr>
        <w:pStyle w:val="Rubrik2"/>
      </w:pPr>
      <w:bookmarkStart w:id="944" w:name="_Toc25581362"/>
      <w:bookmarkStart w:id="945" w:name="_Toc26191654"/>
      <w:r w:rsidRPr="006C40C1">
        <w:t>Försäljning av statliga företag</w:t>
      </w:r>
      <w:bookmarkEnd w:id="944"/>
      <w:bookmarkEnd w:id="945"/>
    </w:p>
    <w:p w:rsidR="00AA5D77" w:rsidRPr="006C40C1" w:rsidRDefault="00AA5D77">
      <w:r w:rsidRPr="006C40C1">
        <w:t>Staten ska svara för de lagar och förordningar som reglerar relationerna me</w:t>
      </w:r>
      <w:r w:rsidRPr="006C40C1">
        <w:t>l</w:t>
      </w:r>
      <w:r w:rsidRPr="006C40C1">
        <w:t>lan företag verksamma i Sverige och mellan företag och det offentliga. Staten ska inte själv, annat än i speciella undantagsfall, vara ägare. Ett enskilt föret</w:t>
      </w:r>
      <w:r w:rsidRPr="006C40C1">
        <w:t>a</w:t>
      </w:r>
      <w:r w:rsidRPr="006C40C1">
        <w:t>gande är en förutsättning för rättvis konkurrens och en kommersiell utvec</w:t>
      </w:r>
      <w:r w:rsidRPr="006C40C1">
        <w:t>k</w:t>
      </w:r>
      <w:r w:rsidRPr="006C40C1">
        <w:t>ling av starka och självständiga företag. Är staten ägare blandas företagets intressen med politiska överväganden. De företag som nu är statliga skulle fungera bättre med ett mer spritt privat äga</w:t>
      </w:r>
      <w:r w:rsidRPr="006C40C1">
        <w:t>n</w:t>
      </w:r>
      <w:r w:rsidRPr="006C40C1">
        <w:t xml:space="preserve">de. </w:t>
      </w:r>
    </w:p>
    <w:p w:rsidR="00AA5D77" w:rsidRPr="006C40C1" w:rsidRDefault="00AA5D77">
      <w:pPr>
        <w:pStyle w:val="Normaltindrag"/>
      </w:pPr>
      <w:r w:rsidRPr="006C40C1">
        <w:t>Då försäljningsinkomster är av engångskaraktär bör de användas till att bet</w:t>
      </w:r>
      <w:r w:rsidRPr="006C40C1">
        <w:t>ala av på statsskulden som i dag uppgår till drygt 1 100 miljarder kronor. De försäljningar och den avbetalning av statsskulden vi föreslår gör att statens räntekostnader, en av de största utgiftsposterna i statsbudgeten, kan minskas kraftigt. Företag som under de närmaste åren kan komma i fråga för privatis</w:t>
      </w:r>
      <w:r w:rsidRPr="006C40C1">
        <w:t>e</w:t>
      </w:r>
      <w:r w:rsidRPr="006C40C1">
        <w:t xml:space="preserve">ring eller försäljning av det statliga innehavet skulle kunna vara: Apoteket AB, Civitas Holding AB (Vasakronan), Nordea AB, OM Gruppen AB, SAS Sverige AB, SBAB, Sveaskog, Telia AB och AB Vin &amp; Sprit. </w:t>
      </w:r>
    </w:p>
    <w:p w:rsidR="00AA5D77" w:rsidRPr="006C40C1" w:rsidRDefault="00AA5D77">
      <w:pPr>
        <w:pStyle w:val="Normaltindrag"/>
      </w:pPr>
      <w:r w:rsidRPr="006C40C1">
        <w:t>Den exakta tidpunkten för olika försäljningar och privatiseringar ska för samtliga företag avvägas mot konjunktur och marknad.</w:t>
      </w:r>
    </w:p>
    <w:p w:rsidR="00AA5D77" w:rsidRPr="006C40C1" w:rsidRDefault="00AA5D77">
      <w:pPr>
        <w:pStyle w:val="Rubrik2"/>
      </w:pPr>
      <w:bookmarkStart w:id="946" w:name="_Toc25581363"/>
      <w:bookmarkStart w:id="947" w:name="_Toc26191655"/>
      <w:r w:rsidRPr="006C40C1">
        <w:t>Stärkt konkurrens</w:t>
      </w:r>
      <w:bookmarkEnd w:id="946"/>
      <w:bookmarkEnd w:id="947"/>
    </w:p>
    <w:p w:rsidR="00AA5D77" w:rsidRPr="006C40C1" w:rsidRDefault="00AA5D77">
      <w:r w:rsidRPr="006C40C1">
        <w:t>En fungerande konkurrens är en förutsättning för att resurser används på bästa möjliga sätt. Brister i konkurrensen medför högre kostnader eller lägre effe</w:t>
      </w:r>
      <w:r w:rsidRPr="006C40C1">
        <w:t>k</w:t>
      </w:r>
      <w:r w:rsidRPr="006C40C1">
        <w:t>tivitet, i värsta fall både och. Därmed blir tillväxten i ekonomin lägre, vilket medför att vi alla blir fattigare än om konkurrensen fungerat bättre.</w:t>
      </w:r>
    </w:p>
    <w:p w:rsidR="00AA5D77" w:rsidRPr="006C40C1" w:rsidRDefault="00AA5D77">
      <w:pPr>
        <w:pStyle w:val="Normaltindrag"/>
      </w:pPr>
      <w:r w:rsidRPr="006C40C1">
        <w:t>Konkurrens på lika villkor är det bästa verktyget också för att tillgodose konsumenternas efterfrågan. Vi anser att följande är viktigt att genomföra snarast:</w:t>
      </w:r>
    </w:p>
    <w:p w:rsidR="00AA5D77" w:rsidRPr="006C40C1" w:rsidRDefault="00AA5D77">
      <w:pPr>
        <w:tabs>
          <w:tab w:val="num" w:pos="567"/>
        </w:tabs>
        <w:ind w:left="357" w:hanging="357"/>
      </w:pPr>
      <w:r w:rsidRPr="006C40C1">
        <w:sym w:font="Symbol" w:char="F0B7"/>
      </w:r>
      <w:r w:rsidRPr="006C40C1">
        <w:tab/>
        <w:t>Konkurrenshämmande regleringar i den privata sektorn bör identifieras och avvecklas. De finns både på tjänste- och produktmarknaderna, till exempel i byggsektorn, läkemedelssektorn och vad gäller finansiella tjänster.</w:t>
      </w:r>
    </w:p>
    <w:p w:rsidR="00AA5D77" w:rsidRPr="006C40C1" w:rsidRDefault="00AA5D77">
      <w:pPr>
        <w:tabs>
          <w:tab w:val="num" w:pos="567"/>
        </w:tabs>
        <w:ind w:left="357" w:hanging="357"/>
      </w:pPr>
      <w:r w:rsidRPr="006C40C1">
        <w:sym w:font="Symbol" w:char="F0B7"/>
      </w:r>
      <w:r w:rsidRPr="006C40C1">
        <w:tab/>
        <w:t>Kommunallagen bör ändras så att det blir lättare att få prövat i domstol om kommunal näringsverksamhet strider mot lagen.</w:t>
      </w:r>
    </w:p>
    <w:p w:rsidR="00AA5D77" w:rsidRPr="006C40C1" w:rsidRDefault="00AA5D77">
      <w:pPr>
        <w:tabs>
          <w:tab w:val="num" w:pos="567"/>
        </w:tabs>
        <w:ind w:left="357" w:hanging="357"/>
      </w:pPr>
      <w:r w:rsidRPr="006C40C1">
        <w:sym w:font="Symbol" w:char="F0B7"/>
      </w:r>
      <w:r w:rsidRPr="006C40C1">
        <w:tab/>
        <w:t>Kommunallagen bör ses över i syfte att göra det lättare för företag att överklaga kommunala beslut om stöd i olika former till företag. Besluten bör också kunna prövas i domstol.</w:t>
      </w:r>
    </w:p>
    <w:p w:rsidR="00AA5D77" w:rsidRPr="006C40C1" w:rsidRDefault="00AA5D77">
      <w:pPr>
        <w:tabs>
          <w:tab w:val="num" w:pos="567"/>
        </w:tabs>
        <w:ind w:left="357" w:hanging="357"/>
      </w:pPr>
      <w:r w:rsidRPr="006C40C1">
        <w:sym w:font="Symbol" w:char="F0B7"/>
      </w:r>
      <w:r w:rsidRPr="006C40C1">
        <w:tab/>
        <w:t>Konkurrensverket bör få ökade resurser och en mer fristående och fra</w:t>
      </w:r>
      <w:r w:rsidRPr="006C40C1">
        <w:t>m</w:t>
      </w:r>
      <w:r w:rsidRPr="006C40C1">
        <w:t>trädande roll än i dag. I synnerhet måste uppmärksamhet riktas mot ko</w:t>
      </w:r>
      <w:r w:rsidRPr="006C40C1">
        <w:t>n</w:t>
      </w:r>
      <w:r w:rsidRPr="006C40C1">
        <w:t>kurrenshinder förorsakade av verksamhet i offentlig sektor. Nya rege</w:t>
      </w:r>
      <w:r w:rsidRPr="006C40C1">
        <w:t>r</w:t>
      </w:r>
      <w:r w:rsidRPr="006C40C1">
        <w:t>ingsförslag bör granskas utifrån ett konku</w:t>
      </w:r>
      <w:r w:rsidRPr="006C40C1">
        <w:t>r</w:t>
      </w:r>
      <w:r w:rsidRPr="006C40C1">
        <w:t>rensper</w:t>
      </w:r>
      <w:r w:rsidRPr="006C40C1">
        <w:softHyphen/>
        <w:t>spektiv.</w:t>
      </w:r>
    </w:p>
    <w:p w:rsidR="00AA5D77" w:rsidRPr="006C40C1" w:rsidRDefault="00AA5D77">
      <w:pPr>
        <w:tabs>
          <w:tab w:val="num" w:pos="567"/>
        </w:tabs>
        <w:ind w:left="357" w:hanging="357"/>
      </w:pPr>
      <w:r w:rsidRPr="006C40C1">
        <w:sym w:font="Symbol" w:char="F0B7"/>
      </w:r>
      <w:r w:rsidRPr="006C40C1">
        <w:tab/>
        <w:t>Plan- och bygglagen bör ändras så att etablering av konkurrerande handel underlättas.</w:t>
      </w:r>
    </w:p>
    <w:p w:rsidR="00AA5D77" w:rsidRPr="006C40C1" w:rsidRDefault="00AA5D77">
      <w:pPr>
        <w:tabs>
          <w:tab w:val="num" w:pos="567"/>
        </w:tabs>
        <w:ind w:left="357" w:hanging="357"/>
      </w:pPr>
      <w:r w:rsidRPr="006C40C1">
        <w:sym w:font="Symbol" w:char="F0B7"/>
      </w:r>
      <w:r w:rsidRPr="006C40C1">
        <w:tab/>
        <w:t xml:space="preserve">Stora upphandlingar bör delas i fler order så att även mindre företag har en chans att vara med i budgivningen. </w:t>
      </w:r>
    </w:p>
    <w:p w:rsidR="00AA5D77" w:rsidRPr="006C40C1" w:rsidRDefault="00AA5D77">
      <w:pPr>
        <w:tabs>
          <w:tab w:val="num" w:pos="567"/>
        </w:tabs>
        <w:ind w:left="357" w:hanging="357"/>
      </w:pPr>
      <w:r w:rsidRPr="006C40C1">
        <w:sym w:font="Symbol" w:char="F0B7"/>
      </w:r>
      <w:r w:rsidRPr="006C40C1">
        <w:tab/>
        <w:t>Upphandlingsreglerna bör ändras så att det klargörs under vilka föru</w:t>
      </w:r>
      <w:r w:rsidRPr="006C40C1">
        <w:t>t</w:t>
      </w:r>
      <w:r w:rsidRPr="006C40C1">
        <w:t>sättningar miljökrav får ställas vid offentlig upphandling. Vi anser att det bör vara möjligt att ställa krav på att produkter som köps in uppfyller kriter</w:t>
      </w:r>
      <w:r w:rsidRPr="006C40C1">
        <w:t>i</w:t>
      </w:r>
      <w:r w:rsidRPr="006C40C1">
        <w:t xml:space="preserve">er för miljömärkning. </w:t>
      </w:r>
    </w:p>
    <w:p w:rsidR="00AA5D77" w:rsidRPr="006C40C1" w:rsidRDefault="00AA5D77">
      <w:pPr>
        <w:tabs>
          <w:tab w:val="num" w:pos="567"/>
        </w:tabs>
        <w:ind w:left="357" w:hanging="357"/>
      </w:pPr>
      <w:r w:rsidRPr="006C40C1">
        <w:sym w:font="Symbol" w:char="F0B7"/>
      </w:r>
      <w:r w:rsidRPr="006C40C1">
        <w:tab/>
        <w:t>Det är viktigt att regelförenklingar görs i offentliga upphandlingar under tröskelvärdena. Det ska bli lättare för små och medelstora företag att delta.</w:t>
      </w:r>
    </w:p>
    <w:p w:rsidR="00AA5D77" w:rsidRPr="006C40C1" w:rsidRDefault="00AA5D77">
      <w:r w:rsidRPr="006C40C1">
        <w:t>En skarpare konkurrenspolitik i kombination med avregleringar och ökad upphandling inom offentlig sektor kan på sikt leda till avsevärda kostnad</w:t>
      </w:r>
      <w:r w:rsidRPr="006C40C1">
        <w:t>s</w:t>
      </w:r>
      <w:r w:rsidRPr="006C40C1">
        <w:t>minskningar för de offentliga budgetarna. Den sammanlagda offentliga up</w:t>
      </w:r>
      <w:r w:rsidRPr="006C40C1">
        <w:t>p</w:t>
      </w:r>
      <w:r w:rsidRPr="006C40C1">
        <w:t>handlingsvolymen uppgår till cirka 400 miljarder kronor per år vilket motsv</w:t>
      </w:r>
      <w:r w:rsidRPr="006C40C1">
        <w:t>a</w:t>
      </w:r>
      <w:r w:rsidRPr="006C40C1">
        <w:t xml:space="preserve">rar ca 20 </w:t>
      </w:r>
      <w:r w:rsidRPr="006C40C1">
        <w:rPr>
          <w:snapToGrid w:val="0"/>
          <w:color w:val="000000"/>
          <w:lang w:eastAsia="sv-SE"/>
        </w:rPr>
        <w:t>%</w:t>
      </w:r>
      <w:r w:rsidRPr="006C40C1">
        <w:t xml:space="preserve"> av värdet av BNP. En effektiv upphandling kan verksamt bidra till besparingar i de offentliga utgifterna. </w:t>
      </w:r>
    </w:p>
    <w:p w:rsidR="00AA5D77" w:rsidRPr="006C40C1" w:rsidRDefault="00AA5D77">
      <w:pPr>
        <w:pStyle w:val="Rubrik2"/>
      </w:pPr>
      <w:bookmarkStart w:id="948" w:name="_Toc25581364"/>
      <w:bookmarkStart w:id="949" w:name="_Toc26191656"/>
      <w:r w:rsidRPr="006C40C1">
        <w:t>Skatter</w:t>
      </w:r>
      <w:bookmarkEnd w:id="948"/>
      <w:bookmarkEnd w:id="949"/>
    </w:p>
    <w:p w:rsidR="00AA5D77" w:rsidRPr="006C40C1" w:rsidRDefault="00AA5D77">
      <w:r w:rsidRPr="006C40C1">
        <w:t>Skatternas storlek och deras utformning är styrande för människors beteende och för ekonomins funktion. Viljan att arbeta mer, att förkovra sig och att ta mer ansvarsfulla och välbetalda arbeten styrs i hög grad av skatterna på arb</w:t>
      </w:r>
      <w:r w:rsidRPr="006C40C1">
        <w:t>e</w:t>
      </w:r>
      <w:r w:rsidRPr="006C40C1">
        <w:t>te. Höga skatter på företagande och kapital medför att företagsägande, kapital och arbetsplatser flyttar till länder med gynnsammare skatteklimat.</w:t>
      </w:r>
    </w:p>
    <w:p w:rsidR="00AA5D77" w:rsidRPr="006C40C1" w:rsidRDefault="00AA5D77">
      <w:pPr>
        <w:pStyle w:val="Rubrik3"/>
        <w:rPr>
          <w:noProof w:val="0"/>
        </w:rPr>
      </w:pPr>
      <w:bookmarkStart w:id="950" w:name="_Toc530189488"/>
      <w:bookmarkStart w:id="951" w:name="_Toc24974914"/>
      <w:bookmarkStart w:id="952" w:name="_Toc24976863"/>
      <w:bookmarkStart w:id="953" w:name="_Toc25581365"/>
      <w:bookmarkStart w:id="954" w:name="_Toc26191657"/>
      <w:r w:rsidRPr="006C40C1">
        <w:rPr>
          <w:noProof w:val="0"/>
        </w:rPr>
        <w:t>Lägre skatt på företagande</w:t>
      </w:r>
      <w:bookmarkEnd w:id="950"/>
      <w:bookmarkEnd w:id="951"/>
      <w:bookmarkEnd w:id="952"/>
      <w:bookmarkEnd w:id="953"/>
      <w:bookmarkEnd w:id="954"/>
    </w:p>
    <w:p w:rsidR="00AA5D77" w:rsidRPr="006C40C1" w:rsidRDefault="00AA5D77">
      <w:r w:rsidRPr="006C40C1">
        <w:t>Skatterna på företagande och på företagare är höga i Sverige. Fåmansföretag är särskilt diskriminerade.</w:t>
      </w:r>
    </w:p>
    <w:p w:rsidR="00AA5D77" w:rsidRPr="006C40C1" w:rsidRDefault="00AA5D77">
      <w:pPr>
        <w:pStyle w:val="Normaltindrag"/>
      </w:pPr>
      <w:r w:rsidRPr="006C40C1">
        <w:t>Det krävs ett antal åtgärder för att minska skattebelastningen på företaga</w:t>
      </w:r>
      <w:r w:rsidRPr="006C40C1">
        <w:t>n</w:t>
      </w:r>
      <w:r w:rsidRPr="006C40C1">
        <w:t>det. En sådan åtgärd kan vara en sänkning av arbetsgivaravgifterna. Det finns anledning att göra en översyn av dessa. En annan sådan åtgärd är att avskaffa dubbelbeskattningen, dvs. att ett företags vinst beskattas med både bolag</w:t>
      </w:r>
      <w:r w:rsidRPr="006C40C1">
        <w:t>s</w:t>
      </w:r>
      <w:r w:rsidRPr="006C40C1">
        <w:t xml:space="preserve">skatt och utdelningsskatt. </w:t>
      </w:r>
    </w:p>
    <w:p w:rsidR="00AA5D77" w:rsidRPr="006C40C1" w:rsidRDefault="00AA5D77">
      <w:pPr>
        <w:pStyle w:val="Normaltindrag"/>
      </w:pPr>
      <w:r w:rsidRPr="006C40C1">
        <w:t>Dubbelbeskattningen gynnar dessutom utländskt ägande i Sverige på b</w:t>
      </w:r>
      <w:r w:rsidRPr="006C40C1">
        <w:t>e</w:t>
      </w:r>
      <w:r w:rsidRPr="006C40C1">
        <w:t>kos</w:t>
      </w:r>
      <w:r w:rsidRPr="006C40C1">
        <w:t>t</w:t>
      </w:r>
      <w:r w:rsidRPr="006C40C1">
        <w:t>nad av svenskt. Dubbelbeskattningen bör därför avskaffas.</w:t>
      </w:r>
    </w:p>
    <w:p w:rsidR="00AA5D77" w:rsidRPr="006C40C1" w:rsidRDefault="00AA5D77">
      <w:pPr>
        <w:pStyle w:val="Normaltindrag"/>
      </w:pPr>
      <w:r w:rsidRPr="006C40C1">
        <w:t xml:space="preserve">Småföretagare har ofta låga inkomster, speciellt under etableringsfasen. Sänkta inkomstskatter är viktigt också för dem. Ett ökat ekonomiskt utrymme för företagaren frigör nödvändigt kapital som kan växa i företaget. </w:t>
      </w:r>
    </w:p>
    <w:p w:rsidR="00AA5D77" w:rsidRPr="006C40C1" w:rsidRDefault="00AA5D77">
      <w:pPr>
        <w:pStyle w:val="Rubrik3"/>
        <w:rPr>
          <w:noProof w:val="0"/>
        </w:rPr>
      </w:pPr>
      <w:bookmarkStart w:id="955" w:name="_Toc530189490"/>
      <w:bookmarkStart w:id="956" w:name="_Toc25581366"/>
      <w:bookmarkStart w:id="957" w:name="_Toc26191658"/>
      <w:r w:rsidRPr="006C40C1">
        <w:rPr>
          <w:noProof w:val="0"/>
        </w:rPr>
        <w:t>Enklare och rimligare beskattning av fåmansbolag</w:t>
      </w:r>
      <w:bookmarkEnd w:id="955"/>
      <w:bookmarkEnd w:id="956"/>
      <w:bookmarkEnd w:id="957"/>
    </w:p>
    <w:p w:rsidR="00AA5D77" w:rsidRPr="006C40C1" w:rsidRDefault="00AA5D77">
      <w:r w:rsidRPr="006C40C1">
        <w:t>Dagens skatteregler är särskilt ogynnsamma för växande mindre företag. De små fåmansbolagens situation måste underlättas genom en bättre skattesitu</w:t>
      </w:r>
      <w:r w:rsidRPr="006C40C1">
        <w:t>a</w:t>
      </w:r>
      <w:r w:rsidRPr="006C40C1">
        <w:t>tion. Förslaget till ändrade 3:12-regler  som sent omsider presenterades i somras innebär endast marginella förbättringar. De nuvarande diskriminera</w:t>
      </w:r>
      <w:r w:rsidRPr="006C40C1">
        <w:t>n</w:t>
      </w:r>
      <w:r w:rsidRPr="006C40C1">
        <w:t>de reglerna måste snarast ändras så att avkastning utöver en rimlig arbetsi</w:t>
      </w:r>
      <w:r w:rsidRPr="006C40C1">
        <w:t>n</w:t>
      </w:r>
      <w:r w:rsidRPr="006C40C1">
        <w:t xml:space="preserve">komst beskattas som kapitalinkomst. </w:t>
      </w:r>
    </w:p>
    <w:p w:rsidR="00AA5D77" w:rsidRPr="006C40C1" w:rsidRDefault="00AA5D77">
      <w:pPr>
        <w:pStyle w:val="Normaltindrag"/>
      </w:pPr>
      <w:r w:rsidRPr="006C40C1">
        <w:t>Reglerna har medfört orimliga effekter för fåmansbolagsägare som sålt sina företag och helt eller delvis fått betalt i aktier med förbehåll att dessa måste behållas under en tid. Om värdet fallit eller aktierna rent av blivit vä</w:t>
      </w:r>
      <w:r w:rsidRPr="006C40C1">
        <w:t>r</w:t>
      </w:r>
      <w:r w:rsidRPr="006C40C1">
        <w:t>delösa har de ändå tvingats betala skatt på medel som aldrig erhållits. Regle</w:t>
      </w:r>
      <w:r w:rsidRPr="006C40C1">
        <w:t>r</w:t>
      </w:r>
      <w:r w:rsidRPr="006C40C1">
        <w:t xml:space="preserve">na måste omedelbart ändras så att dessa människor inte drabbas. </w:t>
      </w:r>
    </w:p>
    <w:p w:rsidR="00AA5D77" w:rsidRPr="006C40C1" w:rsidRDefault="00AA5D77">
      <w:pPr>
        <w:pStyle w:val="Rubrik3"/>
        <w:rPr>
          <w:noProof w:val="0"/>
        </w:rPr>
      </w:pPr>
      <w:bookmarkStart w:id="958" w:name="_Toc530189489"/>
      <w:bookmarkStart w:id="959" w:name="_Toc25581367"/>
      <w:bookmarkStart w:id="960" w:name="_Toc26191659"/>
      <w:r w:rsidRPr="006C40C1">
        <w:rPr>
          <w:noProof w:val="0"/>
        </w:rPr>
        <w:t>Avskaffad förmögenhetsskatt</w:t>
      </w:r>
      <w:bookmarkEnd w:id="958"/>
      <w:bookmarkEnd w:id="959"/>
      <w:bookmarkEnd w:id="960"/>
    </w:p>
    <w:p w:rsidR="00AA5D77" w:rsidRPr="006C40C1" w:rsidRDefault="00AA5D77">
      <w:r w:rsidRPr="006C40C1">
        <w:t>Sverige är ett av få länder som tar ut skatt på förmögenhet. Skattesatsen är hög. Förmögenhetsskatten har negativ effekt på företagande och tillväxt och har inte ens de effekter på fördelningen som regeringen använt som argument. Vissa miljardärer får skattebefrielse för sina aktieinnehav  medan vanliga familjer kan drabbas av förmögenhetsskatt fullt ut.</w:t>
      </w:r>
    </w:p>
    <w:p w:rsidR="00AA5D77" w:rsidRPr="006C40C1" w:rsidRDefault="00AA5D77">
      <w:pPr>
        <w:pStyle w:val="Normaltindrag"/>
      </w:pPr>
      <w:r w:rsidRPr="006C40C1">
        <w:t>Enligt vår mening bör förmögenhetsskatten avskaffas. Sambeskattningen ger orimliga effekter från rättvise- och jämställdhetssynpunkt och ska därför avskaffas omedelbart.</w:t>
      </w:r>
    </w:p>
    <w:p w:rsidR="00AA5D77" w:rsidRPr="006C40C1" w:rsidRDefault="00AA5D77">
      <w:pPr>
        <w:pStyle w:val="Rubrik3"/>
        <w:rPr>
          <w:noProof w:val="0"/>
        </w:rPr>
      </w:pPr>
      <w:bookmarkStart w:id="961" w:name="_Toc25581368"/>
      <w:bookmarkStart w:id="962" w:name="_Toc26191660"/>
      <w:r w:rsidRPr="006C40C1">
        <w:rPr>
          <w:noProof w:val="0"/>
        </w:rPr>
        <w:t>Arvs- och gåvoskatt</w:t>
      </w:r>
      <w:bookmarkEnd w:id="961"/>
      <w:bookmarkEnd w:id="962"/>
    </w:p>
    <w:p w:rsidR="00AA5D77" w:rsidRPr="006C40C1" w:rsidRDefault="00AA5D77">
      <w:r w:rsidRPr="006C40C1">
        <w:t>Dessa skatter är en orsak till att Sverige har så få medelstora företag. Familj</w:t>
      </w:r>
      <w:r w:rsidRPr="006C40C1">
        <w:t>e</w:t>
      </w:r>
      <w:r w:rsidRPr="006C40C1">
        <w:t>företag får ofta skatteproblem vid generationsskiften. Det är de som driver företaget vidare som får de största problemen. De skattemässiga problemen vid generationsskiften i familjeföretag måste åtgärdas snabbt.</w:t>
      </w:r>
    </w:p>
    <w:p w:rsidR="00AA5D77" w:rsidRPr="006C40C1" w:rsidRDefault="00AA5D77">
      <w:pPr>
        <w:pStyle w:val="Normaltindrag"/>
      </w:pPr>
      <w:r w:rsidRPr="006C40C1">
        <w:t>Arvs- och gåvoskatten ställer också till akuta problem när en make dör om makarna äger ett hus med höga taxeringsvärden. För att få råd med arvsska</w:t>
      </w:r>
      <w:r w:rsidRPr="006C40C1">
        <w:t>t</w:t>
      </w:r>
      <w:r w:rsidRPr="006C40C1">
        <w:t xml:space="preserve">ten måste då den tidigare gemensamma bostaden ofta säljas för att få råd till skatten. Detta är ytterligare en orimlighet som dessa skatter medför och som omedelbart måste åtgärdas. </w:t>
      </w:r>
    </w:p>
    <w:p w:rsidR="00AA5D77" w:rsidRPr="006C40C1" w:rsidRDefault="00AA5D77">
      <w:pPr>
        <w:pStyle w:val="Rubrik3"/>
        <w:rPr>
          <w:noProof w:val="0"/>
        </w:rPr>
      </w:pPr>
      <w:bookmarkStart w:id="963" w:name="_Toc530189491"/>
      <w:bookmarkStart w:id="964" w:name="_Toc25581369"/>
      <w:bookmarkStart w:id="965" w:name="_Toc26191661"/>
      <w:r w:rsidRPr="006C40C1">
        <w:rPr>
          <w:noProof w:val="0"/>
        </w:rPr>
        <w:t>Lägre skatt på vinstandelar och översyn av optionsbeskattningen</w:t>
      </w:r>
      <w:bookmarkEnd w:id="963"/>
      <w:bookmarkEnd w:id="964"/>
      <w:bookmarkEnd w:id="965"/>
    </w:p>
    <w:p w:rsidR="00AA5D77" w:rsidRPr="006C40C1" w:rsidRDefault="00AA5D77">
      <w:r w:rsidRPr="006C40C1">
        <w:t>I syfte att bl.a. stimulera till en bättre fungerande lönebildning bör den sä</w:t>
      </w:r>
      <w:r w:rsidRPr="006C40C1">
        <w:t>r</w:t>
      </w:r>
      <w:r w:rsidRPr="006C40C1">
        <w:t xml:space="preserve">skilda löneskatten avskaffas på vinstandelar som en arbetsgivare lämnar till en vinstandelsstiftelse eller motsvarande. </w:t>
      </w:r>
    </w:p>
    <w:p w:rsidR="00AA5D77" w:rsidRPr="006C40C1" w:rsidRDefault="00AA5D77">
      <w:pPr>
        <w:pStyle w:val="Normaltindrag"/>
      </w:pPr>
      <w:r w:rsidRPr="006C40C1">
        <w:t>För att underlätta för företag i kunskapsintensiva branscher att behålla sin personal utges ofta olika typer av optioner. Den svenska beskattningen av optioner bör ses över. Inriktningen ska vara att den svenska beskattningen av optioner ska vara internationellt konkurrenskraftig.</w:t>
      </w:r>
    </w:p>
    <w:p w:rsidR="00AA5D77" w:rsidRPr="006C40C1" w:rsidRDefault="00AA5D77">
      <w:pPr>
        <w:pStyle w:val="Rubrik3"/>
        <w:rPr>
          <w:noProof w:val="0"/>
        </w:rPr>
      </w:pPr>
      <w:bookmarkStart w:id="966" w:name="_Toc530189486"/>
      <w:bookmarkStart w:id="967" w:name="_Toc24976864"/>
      <w:bookmarkStart w:id="968" w:name="_Toc25581370"/>
      <w:bookmarkStart w:id="969" w:name="_Toc26191662"/>
      <w:r w:rsidRPr="006C40C1">
        <w:rPr>
          <w:noProof w:val="0"/>
        </w:rPr>
        <w:t>Sänkt inkomstskatt för alla</w:t>
      </w:r>
      <w:bookmarkEnd w:id="966"/>
      <w:bookmarkEnd w:id="967"/>
      <w:bookmarkEnd w:id="968"/>
      <w:bookmarkEnd w:id="969"/>
    </w:p>
    <w:p w:rsidR="00AA5D77" w:rsidRPr="006C40C1" w:rsidRDefault="00AA5D77">
      <w:r w:rsidRPr="006C40C1">
        <w:t>Sänks skatten på arbete stärks tillväxtkraften i ekonomin. Hög skatt på arbete leder till en sämre fungerande arbetsmarknad: mindre arbete, färre arbetstil</w:t>
      </w:r>
      <w:r w:rsidRPr="006C40C1">
        <w:t>l</w:t>
      </w:r>
      <w:r w:rsidRPr="006C40C1">
        <w:t>fällen och större risker för flaskhalsar inom branscher som växer.</w:t>
      </w:r>
    </w:p>
    <w:p w:rsidR="00AA5D77" w:rsidRPr="006C40C1" w:rsidRDefault="00AA5D77">
      <w:pPr>
        <w:pStyle w:val="Normaltindrag"/>
        <w:rPr>
          <w:snapToGrid w:val="0"/>
          <w:lang w:eastAsia="sv-SE"/>
        </w:rPr>
      </w:pPr>
      <w:r w:rsidRPr="006C40C1">
        <w:t>Ett skattesystem som främjar kunskaps- och kompetensuppbyggnad ger en bättre fungerande arbetsmarknad. Tillväxtkraften i ekonomin stärks genom att sysselsättningen ökar. Med sänkt skatt på arbete, framför allt för låg- och medelinkomsttagare, kan fler leva på sin egen lön. Det minskar behovet av bidrag och gör att människor kan få ett större självbestämmande över sin ekonomi.</w:t>
      </w:r>
      <w:r w:rsidRPr="006C40C1">
        <w:rPr>
          <w:rFonts w:ascii="Tms Rmn" w:hAnsi="Tms Rmn"/>
          <w:snapToGrid w:val="0"/>
          <w:color w:val="000000"/>
          <w:lang w:eastAsia="sv-SE"/>
        </w:rPr>
        <w:t xml:space="preserve"> Bland annat får då en stor andel kvinnor som arbetar med låg lön i offentlig sektor ökade ekonomi</w:t>
      </w:r>
      <w:r w:rsidRPr="006C40C1">
        <w:rPr>
          <w:rFonts w:ascii="Tms Rmn" w:hAnsi="Tms Rmn"/>
          <w:snapToGrid w:val="0"/>
          <w:color w:val="000000"/>
          <w:lang w:eastAsia="sv-SE"/>
        </w:rPr>
        <w:t>s</w:t>
      </w:r>
      <w:r w:rsidRPr="006C40C1">
        <w:rPr>
          <w:rFonts w:ascii="Tms Rmn" w:hAnsi="Tms Rmn"/>
          <w:snapToGrid w:val="0"/>
          <w:color w:val="000000"/>
          <w:lang w:eastAsia="sv-SE"/>
        </w:rPr>
        <w:t>ka marginaler.</w:t>
      </w:r>
    </w:p>
    <w:p w:rsidR="00AA5D77" w:rsidRPr="006C40C1" w:rsidRDefault="00AA5D77">
      <w:pPr>
        <w:pStyle w:val="Normaltindrag"/>
      </w:pPr>
      <w:r w:rsidRPr="006C40C1">
        <w:t xml:space="preserve">Att höga marginaleffekter har negativa effekter på arbetsmarknadens funktionssätt var en viktig utgångspunkt för den förra skattereformen. Det måste vara en strävan att återvända till dess inriktning: 30 respektive 50 </w:t>
      </w:r>
      <w:r w:rsidRPr="006C40C1">
        <w:rPr>
          <w:snapToGrid w:val="0"/>
          <w:color w:val="000000"/>
          <w:lang w:eastAsia="sv-SE"/>
        </w:rPr>
        <w:t>%</w:t>
      </w:r>
      <w:r w:rsidRPr="006C40C1">
        <w:t xml:space="preserve"> i marginalskatt. Det förutsätter att inkomstskatten sänks för </w:t>
      </w:r>
      <w:r w:rsidRPr="006C40C1">
        <w:rPr>
          <w:i/>
        </w:rPr>
        <w:t xml:space="preserve">alla </w:t>
      </w:r>
      <w:r w:rsidRPr="006C40C1">
        <w:t>inkomsttagare så att nettoinkomsterna ökar och marginaleffekterna sjunker. I en fortsatt process av sänkta skatter ned mot de nivåer som präglar jämförbara OECD-länder måste inriktningen både</w:t>
      </w:r>
      <w:r w:rsidRPr="006C40C1">
        <w:rPr>
          <w:b/>
        </w:rPr>
        <w:t xml:space="preserve"> </w:t>
      </w:r>
      <w:r w:rsidRPr="006C40C1">
        <w:t>vara att förbättra låginkomsttagares förutsät</w:t>
      </w:r>
      <w:r w:rsidRPr="006C40C1">
        <w:t>t</w:t>
      </w:r>
      <w:r w:rsidRPr="006C40C1">
        <w:t xml:space="preserve">ningar att försörja sig på sitt arbete och att öka Sveriges konkurrenskraft om företagande och kunskap. </w:t>
      </w:r>
    </w:p>
    <w:p w:rsidR="00AA5D77" w:rsidRPr="006C40C1" w:rsidRDefault="00AA5D77">
      <w:pPr>
        <w:pStyle w:val="Rubrik3"/>
        <w:rPr>
          <w:noProof w:val="0"/>
        </w:rPr>
      </w:pPr>
      <w:bookmarkStart w:id="970" w:name="_Toc25581371"/>
      <w:bookmarkStart w:id="971" w:name="_Toc26191663"/>
      <w:r w:rsidRPr="006C40C1">
        <w:rPr>
          <w:noProof w:val="0"/>
        </w:rPr>
        <w:t>Skattereduktion för hushållstjänster</w:t>
      </w:r>
      <w:bookmarkEnd w:id="970"/>
      <w:bookmarkEnd w:id="971"/>
    </w:p>
    <w:p w:rsidR="00AA5D77" w:rsidRPr="006C40C1" w:rsidRDefault="00AA5D77">
      <w:r w:rsidRPr="006C40C1">
        <w:t xml:space="preserve">Det höga svenska skattetrycket drabbar särskilt de verksamheter där det finns ”gråa” eller ”svarta” alternativ. Tjänster riktade mot hushållen utgör ett sådant exempel. Många sådana arbetsuppgifter utförs i dag i form av ”gör-det-själv” eller svart. Att köpa sådana tjänster med den skattebörda det innebär är endast förbehållet de rika eller de som kan få någon annan att betala. </w:t>
      </w:r>
    </w:p>
    <w:p w:rsidR="00AA5D77" w:rsidRPr="006C40C1" w:rsidRDefault="00AA5D77">
      <w:pPr>
        <w:pStyle w:val="Normaltindrag"/>
      </w:pPr>
      <w:r w:rsidRPr="006C40C1">
        <w:t>Skattetrycket gör det omöjligt att köpa tjänster som skulle kunna lätta a</w:t>
      </w:r>
      <w:r w:rsidRPr="006C40C1">
        <w:t>r</w:t>
      </w:r>
      <w:r w:rsidRPr="006C40C1">
        <w:t>betsbördan för t.ex. småbarnsföräldrar. Stressen i arbetslivet skulle minska och det skulle bli lättare för både kvinnor och män att kombinera arbetsliv och ansvar för barnen om det vore överkomligt att köpa denna hjälp</w:t>
      </w:r>
    </w:p>
    <w:p w:rsidR="00AA5D77" w:rsidRPr="006C40C1" w:rsidRDefault="00AA5D77">
      <w:pPr>
        <w:pStyle w:val="Normaltindrag"/>
      </w:pPr>
      <w:r w:rsidRPr="006C40C1">
        <w:t xml:space="preserve">En skattereduktion på 50 </w:t>
      </w:r>
      <w:r w:rsidRPr="006C40C1">
        <w:rPr>
          <w:snapToGrid w:val="0"/>
          <w:color w:val="000000"/>
          <w:lang w:eastAsia="sv-SE"/>
        </w:rPr>
        <w:t>%</w:t>
      </w:r>
      <w:r w:rsidRPr="006C40C1">
        <w:t xml:space="preserve"> för hushållstjänster ska utgå ända upp till 25 000 kr per år och hushåll. Förslaget leder till att svarta jobb blir vita, till att valfriheten för hushållen, liksom jämställdheten, ökar. </w:t>
      </w:r>
    </w:p>
    <w:p w:rsidR="00AA5D77" w:rsidRPr="006C40C1" w:rsidRDefault="00AA5D77">
      <w:pPr>
        <w:pStyle w:val="Rubrik3"/>
        <w:rPr>
          <w:noProof w:val="0"/>
        </w:rPr>
      </w:pPr>
      <w:bookmarkStart w:id="972" w:name="_Toc25581372"/>
      <w:bookmarkStart w:id="973" w:name="_Toc26191664"/>
      <w:r w:rsidRPr="006C40C1">
        <w:rPr>
          <w:noProof w:val="0"/>
        </w:rPr>
        <w:t>Sänkt fastighetsskatt</w:t>
      </w:r>
      <w:bookmarkEnd w:id="972"/>
      <w:bookmarkEnd w:id="973"/>
    </w:p>
    <w:p w:rsidR="00AA5D77" w:rsidRPr="006C40C1" w:rsidRDefault="00AA5D77">
      <w:r w:rsidRPr="006C40C1">
        <w:t xml:space="preserve">Efter höjningen av taxeringsvärdena de senaste åren och på grund av den nu pågående fastighetstaxeringen har det blivit uppenbart att skatten på boende i främst storstadsregionerna och vissa attraktiva områden blivit så hög att den drabbar alla. Problemen förvärras av att även förmögenhets- och arvsskatt beräknas utifrån de höjda taxeringsvärdena. </w:t>
      </w:r>
    </w:p>
    <w:p w:rsidR="00AA5D77" w:rsidRPr="006C40C1" w:rsidRDefault="00AA5D77">
      <w:pPr>
        <w:pStyle w:val="Normaltindrag"/>
      </w:pPr>
      <w:r w:rsidRPr="006C40C1">
        <w:t>Fastighetsskatten medför att boendet blir dyrare, att människor tvingas flytta och att färre bostäder byggs. Fastighetsskatten ska omedelbart sänkas för alla typer av bostäder.</w:t>
      </w:r>
    </w:p>
    <w:p w:rsidR="00AA5D77" w:rsidRPr="006C40C1" w:rsidRDefault="00AA5D77">
      <w:pPr>
        <w:pStyle w:val="Rubrik2"/>
      </w:pPr>
      <w:bookmarkStart w:id="974" w:name="_Toc24974917"/>
      <w:bookmarkStart w:id="975" w:name="_Toc24976868"/>
      <w:bookmarkStart w:id="976" w:name="_Toc25581373"/>
      <w:bookmarkStart w:id="977" w:name="_Toc26191665"/>
      <w:r w:rsidRPr="006C40C1">
        <w:t>Offentlig sektor</w:t>
      </w:r>
      <w:bookmarkEnd w:id="974"/>
      <w:bookmarkEnd w:id="975"/>
      <w:bookmarkEnd w:id="976"/>
      <w:bookmarkEnd w:id="977"/>
    </w:p>
    <w:p w:rsidR="00AA5D77" w:rsidRPr="006C40C1" w:rsidRDefault="00AA5D77">
      <w:r w:rsidRPr="006C40C1">
        <w:t xml:space="preserve">En viktig principiell skillnad mellan våra partier och vänsterblocket är att vi inom ramen för en kollektiv finansiering eftersträvar att produktionen av tjänster som </w:t>
      </w:r>
      <w:r w:rsidRPr="006C40C1">
        <w:rPr>
          <w:snapToGrid w:val="0"/>
          <w:color w:val="000000"/>
          <w:lang w:eastAsia="sv-SE"/>
        </w:rPr>
        <w:t>i dag</w:t>
      </w:r>
      <w:r w:rsidRPr="006C40C1">
        <w:t xml:space="preserve"> produceras i offentlig regi sker i  konkurrens där privata och offentliga enheter tävlar om att vara bäst på att ge de tjänster människor vill ha och förväntar sig. Vi vill ha en välfärd som följer den enskilda männ</w:t>
      </w:r>
      <w:r w:rsidRPr="006C40C1">
        <w:t>i</w:t>
      </w:r>
      <w:r w:rsidRPr="006C40C1">
        <w:t>skan och som därigenom utgår från hennes behov.</w:t>
      </w:r>
    </w:p>
    <w:p w:rsidR="00AA5D77" w:rsidRPr="006C40C1" w:rsidRDefault="00AA5D77">
      <w:pPr>
        <w:pStyle w:val="Normaltindrag"/>
      </w:pPr>
      <w:r w:rsidRPr="006C40C1">
        <w:t>Det finns en bred enighet om att vården, omsorgen och skolan ska finans</w:t>
      </w:r>
      <w:r w:rsidRPr="006C40C1">
        <w:t>i</w:t>
      </w:r>
      <w:r w:rsidRPr="006C40C1">
        <w:t>eras kollektivt. Det är viktigt att de resurser som avsätts för dessa ändamål används så bra som möjligt, dvs. att användarna får ut så mycket nytta som möjligt för varje använd krona. Inom ramen för en gemensam finansiering vill vi stärka den enskildes valfrihet. Ett sätt är att låta de pengar som används till de traditionella välfärdstjänsterna följa den enskilde brukaren.</w:t>
      </w:r>
    </w:p>
    <w:p w:rsidR="00AA5D77" w:rsidRPr="006C40C1" w:rsidRDefault="00AA5D77">
      <w:pPr>
        <w:pStyle w:val="Normaltindrag"/>
      </w:pPr>
      <w:r w:rsidRPr="006C40C1">
        <w:t>Erfarenheten visar att då möjligheten öppnas för andra än kommunen att producera välfärdstjänster ökar mångfalden och välfärden. Välf</w:t>
      </w:r>
      <w:r w:rsidRPr="006C40C1">
        <w:t>ärd handlar inte om att en viss typ av standardiserade tjänster ska tillhandahållas utan om att den enskildes efterfrågan och behov ska tillgodoses på bästa sätt.  Av samma skäl som försörjningen av välfärdstjänster inte kan rationaliseras på samma sätt som industriproduktion bör de inte heller produceras i en enda enhetlig form. Valet mellan olika producenter av välfärdstjänster, det må vara enskilda, företag, kooperativ eller det offentliga, bör därför så långt möjligt överlämnas till den enskilda individ</w:t>
      </w:r>
      <w:r w:rsidRPr="006C40C1">
        <w:t>en.</w:t>
      </w:r>
    </w:p>
    <w:p w:rsidR="00AA5D77" w:rsidRPr="006C40C1" w:rsidRDefault="00AA5D77">
      <w:pPr>
        <w:pStyle w:val="Normaltindrag"/>
      </w:pPr>
      <w:r w:rsidRPr="006C40C1">
        <w:t xml:space="preserve">Ett tydligt exempel är skolområdet där det offentliga ekonomiska stödet kan följa eleven, t.ex. från en kommunal skola till en friskola eller mellan olika kommunala skolor. Denna princip bör kunna användas på flera områden även om processen att avgöra vem som ska vara kvalificerad att få del av t.ex. äldre- eller handikappomsorg ställer krav på tydliga regler. </w:t>
      </w:r>
    </w:p>
    <w:p w:rsidR="00AA5D77" w:rsidRPr="006C40C1" w:rsidRDefault="00AA5D77">
      <w:pPr>
        <w:pStyle w:val="Normaltindrag"/>
      </w:pPr>
      <w:r w:rsidRPr="006C40C1">
        <w:t>Vi vill se nya företag växa fram inom dessa sektorer som hittills i stort sett varit förbehållna offentliga monopol. Sådana företag är kunskapsintensiva. Nyföretagande här leder inte bara till bättre välfärd utan ökar dynamiken i hela samhället med följd att BNP kommer att öka. Möjligheterna till kvinnligt företagande kommer att öka.</w:t>
      </w:r>
    </w:p>
    <w:p w:rsidR="00AA5D77" w:rsidRPr="006C40C1" w:rsidRDefault="00AA5D77">
      <w:pPr>
        <w:pStyle w:val="Rubrik2"/>
      </w:pPr>
      <w:bookmarkStart w:id="978" w:name="_Toc10525860"/>
      <w:bookmarkStart w:id="979" w:name="_Toc10631086"/>
      <w:bookmarkStart w:id="980" w:name="_Toc24974918"/>
      <w:bookmarkStart w:id="981" w:name="_Toc24976869"/>
      <w:bookmarkStart w:id="982" w:name="_Toc25581374"/>
      <w:bookmarkStart w:id="983" w:name="_Toc26191666"/>
      <w:r w:rsidRPr="006C40C1">
        <w:t>En socialförsäkringsreform</w:t>
      </w:r>
      <w:bookmarkEnd w:id="978"/>
      <w:bookmarkEnd w:id="979"/>
      <w:bookmarkEnd w:id="980"/>
      <w:bookmarkEnd w:id="981"/>
      <w:bookmarkEnd w:id="982"/>
      <w:bookmarkEnd w:id="983"/>
    </w:p>
    <w:p w:rsidR="00AA5D77" w:rsidRPr="006C40C1" w:rsidRDefault="00AA5D77">
      <w:r w:rsidRPr="006C40C1">
        <w:t>Ett väl fungerande socialförsäkringssystem är en viktig del av välfärden. Den galopperande sjukfrånvaron med ökade utgifter för såväl sjukförsäkring som förtidspensioner aktualis</w:t>
      </w:r>
      <w:r w:rsidRPr="006C40C1">
        <w:t>e</w:t>
      </w:r>
      <w:r w:rsidRPr="006C40C1">
        <w:t xml:space="preserve">rar ytterligare behovet av ett reformerat  system. </w:t>
      </w:r>
    </w:p>
    <w:p w:rsidR="00AA5D77" w:rsidRPr="006C40C1" w:rsidRDefault="00AA5D77">
      <w:pPr>
        <w:pStyle w:val="Normaltindrag"/>
      </w:pPr>
      <w:r w:rsidRPr="006C40C1">
        <w:t xml:space="preserve">Dagens socialförsäkringssystem, bortsett från det nya pensionssystemet, uppvisar brister i många avseenden. </w:t>
      </w:r>
    </w:p>
    <w:p w:rsidR="00AA5D77" w:rsidRPr="006C40C1" w:rsidRDefault="00AA5D77">
      <w:pPr>
        <w:ind w:left="357" w:hanging="357"/>
      </w:pPr>
      <w:r w:rsidRPr="006C40C1">
        <w:t>–</w:t>
      </w:r>
      <w:r w:rsidRPr="006C40C1">
        <w:tab/>
        <w:t>För det första är de inte tillräckligt robusta för att skapa den ekonomiska trygghet som är en viktig del i ett vä</w:t>
      </w:r>
      <w:r w:rsidRPr="006C40C1">
        <w:t>l</w:t>
      </w:r>
      <w:r w:rsidRPr="006C40C1">
        <w:t xml:space="preserve">färdssamhälle. </w:t>
      </w:r>
    </w:p>
    <w:p w:rsidR="00AA5D77" w:rsidRPr="006C40C1" w:rsidRDefault="00AA5D77">
      <w:pPr>
        <w:ind w:left="357" w:hanging="357"/>
      </w:pPr>
      <w:r w:rsidRPr="006C40C1">
        <w:t>–</w:t>
      </w:r>
      <w:r w:rsidRPr="006C40C1">
        <w:tab/>
        <w:t>För det andra är socialförsäkringssystemet inte översiktligt. Socialförsä</w:t>
      </w:r>
      <w:r w:rsidRPr="006C40C1">
        <w:t>k</w:t>
      </w:r>
      <w:r w:rsidRPr="006C40C1">
        <w:t>ringarna omfattar ett femtiotal olika ersättningstyper. Dessa regleras i ett tj</w:t>
      </w:r>
      <w:r w:rsidRPr="006C40C1">
        <w:t>u</w:t>
      </w:r>
      <w:r w:rsidRPr="006C40C1">
        <w:t xml:space="preserve">gotal olika lagar och administreras av ett tiotal olika huvudmän. </w:t>
      </w:r>
    </w:p>
    <w:p w:rsidR="00AA5D77" w:rsidRPr="006C40C1" w:rsidRDefault="00AA5D77">
      <w:pPr>
        <w:ind w:left="357" w:hanging="357"/>
      </w:pPr>
      <w:r w:rsidRPr="006C40C1">
        <w:t>–</w:t>
      </w:r>
      <w:r w:rsidRPr="006C40C1">
        <w:tab/>
        <w:t>För det tredje diskriminerar systemet egenföretagare.</w:t>
      </w:r>
    </w:p>
    <w:p w:rsidR="00AA5D77" w:rsidRPr="006C40C1" w:rsidRDefault="00AA5D77">
      <w:pPr>
        <w:ind w:left="357" w:hanging="357"/>
      </w:pPr>
      <w:r w:rsidRPr="006C40C1">
        <w:t>–</w:t>
      </w:r>
      <w:r w:rsidRPr="006C40C1">
        <w:tab/>
        <w:t>För det fjärde kan systemets effektivitet och träffsäkerhet ifrågasättas.</w:t>
      </w:r>
    </w:p>
    <w:p w:rsidR="00AA5D77" w:rsidRPr="006C40C1" w:rsidRDefault="00AA5D77">
      <w:r w:rsidRPr="006C40C1">
        <w:t>Sammantaget finns det ett stort behov av att reformera dagens socialförsä</w:t>
      </w:r>
      <w:r w:rsidRPr="006C40C1">
        <w:t>k</w:t>
      </w:r>
      <w:r w:rsidRPr="006C40C1">
        <w:t>ringssystem. Det behövs till att börja med en samordning, renodling och fören</w:t>
      </w:r>
      <w:r w:rsidRPr="006C40C1">
        <w:t>k</w:t>
      </w:r>
      <w:r w:rsidRPr="006C40C1">
        <w:t xml:space="preserve">ling. </w:t>
      </w:r>
    </w:p>
    <w:p w:rsidR="00AA5D77" w:rsidRPr="006C40C1" w:rsidRDefault="00AA5D77">
      <w:pPr>
        <w:pStyle w:val="Normaltindrag"/>
      </w:pPr>
      <w:r w:rsidRPr="006C40C1">
        <w:t>Under den tid det tar att reformera socialförsäkringssystemet är det nö</w:t>
      </w:r>
      <w:r w:rsidRPr="006C40C1">
        <w:t>d</w:t>
      </w:r>
      <w:r w:rsidRPr="006C40C1">
        <w:t>vändigt att göra förändringar i dagens system för att ta bort de ojämlikheter som framför allt drabbar egenföretagare.</w:t>
      </w:r>
    </w:p>
    <w:p w:rsidR="00AA5D77" w:rsidRPr="006C40C1" w:rsidRDefault="00AA5D77">
      <w:pPr>
        <w:pStyle w:val="Rubrik3"/>
        <w:rPr>
          <w:noProof w:val="0"/>
        </w:rPr>
      </w:pPr>
      <w:bookmarkStart w:id="984" w:name="_Toc530189499"/>
      <w:bookmarkStart w:id="985" w:name="_Toc10525861"/>
      <w:bookmarkStart w:id="986" w:name="_Toc10631087"/>
      <w:bookmarkStart w:id="987" w:name="_Toc24976870"/>
      <w:bookmarkStart w:id="988" w:name="_Toc25581375"/>
      <w:bookmarkStart w:id="989" w:name="_Toc26191667"/>
      <w:r w:rsidRPr="006C40C1">
        <w:rPr>
          <w:noProof w:val="0"/>
        </w:rPr>
        <w:t>Utgångspunkter och principer för en reformering</w:t>
      </w:r>
      <w:bookmarkEnd w:id="984"/>
      <w:bookmarkEnd w:id="985"/>
      <w:bookmarkEnd w:id="986"/>
      <w:bookmarkEnd w:id="987"/>
      <w:bookmarkEnd w:id="988"/>
      <w:bookmarkEnd w:id="989"/>
    </w:p>
    <w:p w:rsidR="00AA5D77" w:rsidRPr="006C40C1" w:rsidRDefault="00AA5D77">
      <w:r w:rsidRPr="006C40C1">
        <w:t>De principer som bör ligga till grund för nödvändiga förändringar återfinns i hög grad i den reformering som med bred politisk enighet gjorts av pension</w:t>
      </w:r>
      <w:r w:rsidRPr="006C40C1">
        <w:t>s</w:t>
      </w:r>
      <w:r w:rsidRPr="006C40C1">
        <w:t>systemet:</w:t>
      </w:r>
    </w:p>
    <w:p w:rsidR="00AA5D77" w:rsidRPr="006C40C1" w:rsidRDefault="00AA5D77">
      <w:pPr>
        <w:tabs>
          <w:tab w:val="num" w:pos="360"/>
        </w:tabs>
        <w:ind w:left="357" w:hanging="357"/>
      </w:pPr>
      <w:r w:rsidRPr="006C40C1">
        <w:sym w:font="Symbol" w:char="F0B7"/>
      </w:r>
      <w:r w:rsidRPr="006C40C1">
        <w:tab/>
        <w:t xml:space="preserve">För att stärka systemens legitimitet handlar det bl.a. om att få en ökad koppling mellan vad den enskilde betalar respektive vad han eller hon har rätt till, eller får ut i förmån. </w:t>
      </w:r>
    </w:p>
    <w:p w:rsidR="00AA5D77" w:rsidRPr="006C40C1" w:rsidRDefault="00AA5D77">
      <w:pPr>
        <w:tabs>
          <w:tab w:val="num" w:pos="360"/>
        </w:tabs>
        <w:ind w:left="357" w:hanging="357"/>
      </w:pPr>
      <w:r w:rsidRPr="006C40C1">
        <w:sym w:font="Symbol" w:char="F0B7"/>
      </w:r>
      <w:r w:rsidRPr="006C40C1">
        <w:tab/>
        <w:t>Socialförsäkringsförmånerna måste lättare kunna följa den enskilde individen. Inte minst på en mer rörlig och internationaliserad arbet</w:t>
      </w:r>
      <w:r w:rsidRPr="006C40C1">
        <w:t>s</w:t>
      </w:r>
      <w:r w:rsidRPr="006C40C1">
        <w:t>marknad är detta viktigt.</w:t>
      </w:r>
    </w:p>
    <w:p w:rsidR="00AA5D77" w:rsidRPr="006C40C1" w:rsidRDefault="00AA5D77">
      <w:pPr>
        <w:tabs>
          <w:tab w:val="num" w:pos="360"/>
        </w:tabs>
        <w:ind w:left="357" w:hanging="357"/>
      </w:pPr>
      <w:r w:rsidRPr="006C40C1">
        <w:sym w:font="Symbol" w:char="F0B7"/>
      </w:r>
      <w:r w:rsidRPr="006C40C1">
        <w:tab/>
        <w:t>Systemen måste vara utformade så att de klarar olika typer av demogr</w:t>
      </w:r>
      <w:r w:rsidRPr="006C40C1">
        <w:t>a</w:t>
      </w:r>
      <w:r w:rsidRPr="006C40C1">
        <w:t>fiska förändringar utan att behöva förändras genom nya politiska beslut.</w:t>
      </w:r>
    </w:p>
    <w:p w:rsidR="00AA5D77" w:rsidRPr="006C40C1" w:rsidRDefault="00AA5D77">
      <w:pPr>
        <w:tabs>
          <w:tab w:val="num" w:pos="360"/>
        </w:tabs>
        <w:ind w:left="357" w:hanging="357"/>
      </w:pPr>
      <w:r w:rsidRPr="006C40C1">
        <w:sym w:font="Symbol" w:char="F0B7"/>
      </w:r>
      <w:r w:rsidRPr="006C40C1">
        <w:tab/>
        <w:t>Systemen måste ha goda incitament inbyggda som stimulerar till arbete och i</w:t>
      </w:r>
      <w:bookmarkStart w:id="990" w:name="_Toc10525859"/>
      <w:bookmarkStart w:id="991" w:name="_Toc10631085"/>
      <w:bookmarkStart w:id="992" w:name="_Toc24974919"/>
      <w:bookmarkStart w:id="993" w:name="_Toc24976871"/>
      <w:r w:rsidRPr="006C40C1">
        <w:t>nte leder till överutnyttjande.</w:t>
      </w:r>
    </w:p>
    <w:p w:rsidR="00AA5D77" w:rsidRPr="006C40C1" w:rsidRDefault="00AA5D77">
      <w:pPr>
        <w:pStyle w:val="Rubrik2"/>
      </w:pPr>
      <w:bookmarkStart w:id="994" w:name="_Toc25581376"/>
      <w:bookmarkStart w:id="995" w:name="_Toc26191668"/>
      <w:r w:rsidRPr="006C40C1">
        <w:t>Starka och självständiga kommuner</w:t>
      </w:r>
      <w:bookmarkEnd w:id="990"/>
      <w:bookmarkEnd w:id="991"/>
      <w:bookmarkEnd w:id="992"/>
      <w:bookmarkEnd w:id="993"/>
      <w:bookmarkEnd w:id="994"/>
      <w:bookmarkEnd w:id="995"/>
    </w:p>
    <w:p w:rsidR="00AA5D77" w:rsidRPr="006C40C1" w:rsidRDefault="00AA5D77">
      <w:r w:rsidRPr="006C40C1">
        <w:t>Våra partier har en annan syn på de kommunala verksamheterna och den kommunala självstyrelsen än regeringen. Vi vill föra en politik för självstä</w:t>
      </w:r>
      <w:r w:rsidRPr="006C40C1">
        <w:t>n</w:t>
      </w:r>
      <w:r w:rsidRPr="006C40C1">
        <w:t>diga och starka kommuner. Tillväxt och ökad sysselsättning är avgörande för att den kommunala ekonomin ska utvecklas positivt och ge ökade resurser. Då ökar kommunernas skatteinkomster utan att kostnaderna ökar i motsv</w:t>
      </w:r>
      <w:r w:rsidRPr="006C40C1">
        <w:t>a</w:t>
      </w:r>
      <w:r w:rsidRPr="006C40C1">
        <w:t xml:space="preserve">rande grad. </w:t>
      </w:r>
    </w:p>
    <w:p w:rsidR="00AA5D77" w:rsidRPr="006C40C1" w:rsidRDefault="00AA5D77">
      <w:pPr>
        <w:pStyle w:val="Normaltindrag"/>
      </w:pPr>
      <w:r w:rsidRPr="006C40C1">
        <w:t>Det bästa sättet att stärka kommunernas ekonomi och skapa utrymme för god service och lägre skatter är att långsiktigt och strategiskt stärka komm</w:t>
      </w:r>
      <w:r w:rsidRPr="006C40C1">
        <w:t>u</w:t>
      </w:r>
      <w:r w:rsidRPr="006C40C1">
        <w:t>nernas egen skattebas samt bedriva en politik för god tillväxt och ökad sysse</w:t>
      </w:r>
      <w:r w:rsidRPr="006C40C1">
        <w:t>l</w:t>
      </w:r>
      <w:r w:rsidRPr="006C40C1">
        <w:t>sättning som ger fler skattebetalare. Genom bl.a. avregleringar och konku</w:t>
      </w:r>
      <w:r w:rsidRPr="006C40C1">
        <w:t>r</w:t>
      </w:r>
      <w:r w:rsidRPr="006C40C1">
        <w:t>rensutsättning i förening med tydlig prioritering av kärnuppgifterna finns goda möjli</w:t>
      </w:r>
      <w:r w:rsidRPr="006C40C1">
        <w:t>g</w:t>
      </w:r>
      <w:r w:rsidRPr="006C40C1">
        <w:t>heter att uppnå detta.</w:t>
      </w:r>
    </w:p>
    <w:p w:rsidR="00AA5D77" w:rsidRPr="006C40C1" w:rsidRDefault="00AA5D77">
      <w:pPr>
        <w:pStyle w:val="Normaltindrag"/>
      </w:pPr>
      <w:r w:rsidRPr="006C40C1">
        <w:t>Kommunerna ska ges den frihet som krävs för att kunna fortsätta ett fö</w:t>
      </w:r>
      <w:r w:rsidRPr="006C40C1">
        <w:t>r</w:t>
      </w:r>
      <w:r w:rsidRPr="006C40C1">
        <w:t>ändringsarbete som innebär att medborgarna kan få mer för varje skattekrona. Statsbidragen bör tillsammans med ett väl fungerande utjämningssystem utformas så att de ger rimliga möjligheter för kommuner med olika förutsät</w:t>
      </w:r>
      <w:r w:rsidRPr="006C40C1">
        <w:t>t</w:t>
      </w:r>
      <w:r w:rsidRPr="006C40C1">
        <w:t xml:space="preserve">ningar att bedriva en verksamhet med god standard. </w:t>
      </w:r>
    </w:p>
    <w:p w:rsidR="00AA5D77" w:rsidRPr="006C40C1" w:rsidRDefault="00AA5D77">
      <w:pPr>
        <w:pStyle w:val="Normaltindrag"/>
      </w:pPr>
      <w:r w:rsidRPr="006C40C1">
        <w:t>Det är angeläget att stärka kommunernas egen skattebas och därmed min</w:t>
      </w:r>
      <w:r w:rsidRPr="006C40C1">
        <w:t>s</w:t>
      </w:r>
      <w:r w:rsidRPr="006C40C1">
        <w:t>ka behovet av såväl statsbidrag som utjämning. Då stärks också det komm</w:t>
      </w:r>
      <w:r w:rsidRPr="006C40C1">
        <w:t>u</w:t>
      </w:r>
      <w:r w:rsidRPr="006C40C1">
        <w:t>nala självstyret och möjligheten för staten att detaljstyra verksamheter genom riktade och villkorade statsbidrag minskar.</w:t>
      </w:r>
    </w:p>
    <w:p w:rsidR="00AA5D77" w:rsidRPr="006C40C1" w:rsidRDefault="00AA5D77">
      <w:pPr>
        <w:pStyle w:val="Normaltindrag"/>
      </w:pPr>
      <w:r w:rsidRPr="006C40C1">
        <w:rPr>
          <w:snapToGrid w:val="0"/>
        </w:rPr>
        <w:t xml:space="preserve">Utjämningen ska omfatta alla kommuner på likvärdiga grunder. </w:t>
      </w:r>
      <w:r w:rsidRPr="006C40C1">
        <w:t>Rättvisa villkor mellan kommuner innebär att det ska vara de egna politiska ambiti</w:t>
      </w:r>
      <w:r w:rsidRPr="006C40C1">
        <w:t>o</w:t>
      </w:r>
      <w:r w:rsidRPr="006C40C1">
        <w:t xml:space="preserve">nerna som avgör skatteuttaget. Därför måste ett utjämningssystem garantera att lagstadgade krav som skola, vård och socialtjänst ska kunna utföras i hela landet till ungefär likvärdiga kostnader för medborgarna. </w:t>
      </w:r>
      <w:r w:rsidRPr="006C40C1">
        <w:rPr>
          <w:snapToGrid w:val="0"/>
        </w:rPr>
        <w:t>Systemet ska inte kompensera för skillnader i servicenivå, kvalitet, avgiftssättning och effekt</w:t>
      </w:r>
      <w:r w:rsidRPr="006C40C1">
        <w:rPr>
          <w:snapToGrid w:val="0"/>
        </w:rPr>
        <w:t>i</w:t>
      </w:r>
      <w:r w:rsidRPr="006C40C1">
        <w:rPr>
          <w:snapToGrid w:val="0"/>
        </w:rPr>
        <w:t>vitet, utan ska baseras på mätbara, och för kommunerna opåverkbara, faktorer som mäter strukturella kostnadsskillnader. S</w:t>
      </w:r>
      <w:r w:rsidRPr="006C40C1">
        <w:rPr>
          <w:snapToGrid w:val="0"/>
        </w:rPr>
        <w:t>åväl en utjämning av skattekraft som strukturellt betingade kostnader är nödvändiga delar i ett fungerande system. Den nuvarande tekniska konstruktionen leder till oönskade kons</w:t>
      </w:r>
      <w:r w:rsidRPr="006C40C1">
        <w:rPr>
          <w:snapToGrid w:val="0"/>
        </w:rPr>
        <w:t>e</w:t>
      </w:r>
      <w:r w:rsidRPr="006C40C1">
        <w:rPr>
          <w:snapToGrid w:val="0"/>
        </w:rPr>
        <w:t xml:space="preserve">kvenser för vissa kommuner, exempelvis effekter som motverkar tillväxt och förnyelse. </w:t>
      </w:r>
      <w:r w:rsidRPr="006C40C1">
        <w:t>För att undgå detta är flera olika tekniska lösningar möjliga. Det bör i kostnadsutjämningen också övervägas att lyfta ut faktorer som hänför sig till verksamheter som är statliga åtaganden.</w:t>
      </w:r>
    </w:p>
    <w:p w:rsidR="00AA5D77" w:rsidRPr="006C40C1" w:rsidRDefault="00AA5D77">
      <w:pPr>
        <w:pStyle w:val="Normaltindrag"/>
      </w:pPr>
      <w:r w:rsidRPr="006C40C1">
        <w:rPr>
          <w:snapToGrid w:val="0"/>
        </w:rPr>
        <w:t>De större förändringar i utjämningssystemet som behöver v</w:t>
      </w:r>
      <w:r w:rsidRPr="006C40C1">
        <w:rPr>
          <w:snapToGrid w:val="0"/>
        </w:rPr>
        <w:t>idtas ska b</w:t>
      </w:r>
      <w:r w:rsidRPr="006C40C1">
        <w:rPr>
          <w:snapToGrid w:val="0"/>
        </w:rPr>
        <w:t>e</w:t>
      </w:r>
      <w:r w:rsidRPr="006C40C1">
        <w:rPr>
          <w:snapToGrid w:val="0"/>
        </w:rPr>
        <w:t>handlas i den parlamentariskt sammansatta utredningen.</w:t>
      </w:r>
    </w:p>
    <w:p w:rsidR="00AA5D77" w:rsidRPr="006C40C1" w:rsidRDefault="00AA5D77">
      <w:pPr>
        <w:pStyle w:val="Rubrik2"/>
      </w:pPr>
      <w:bookmarkStart w:id="996" w:name="_Toc24974922"/>
      <w:bookmarkStart w:id="997" w:name="_Toc24976872"/>
      <w:bookmarkStart w:id="998" w:name="_Toc25581377"/>
      <w:bookmarkStart w:id="999" w:name="_Toc26191669"/>
      <w:r w:rsidRPr="006C40C1">
        <w:t>Utbildning</w:t>
      </w:r>
      <w:bookmarkEnd w:id="996"/>
      <w:bookmarkEnd w:id="997"/>
      <w:bookmarkEnd w:id="998"/>
      <w:bookmarkEnd w:id="999"/>
    </w:p>
    <w:p w:rsidR="00AA5D77" w:rsidRPr="006C40C1" w:rsidRDefault="00AA5D77">
      <w:r w:rsidRPr="006C40C1">
        <w:t>I ett samhälle där kunskaper är den viktigaste grunden för ekonomisk utvec</w:t>
      </w:r>
      <w:r w:rsidRPr="006C40C1">
        <w:t>k</w:t>
      </w:r>
      <w:r w:rsidRPr="006C40C1">
        <w:t>ling är lika tillgång till utbildning en avgörande rättvisefråga. Utbildning är den viktigaste och mest långsiktiga vägen till social och regional utjämning.</w:t>
      </w:r>
    </w:p>
    <w:p w:rsidR="00AA5D77" w:rsidRPr="006C40C1" w:rsidRDefault="00AA5D77">
      <w:pPr>
        <w:pStyle w:val="Normaltindrag"/>
        <w:rPr>
          <w:snapToGrid w:val="0"/>
          <w:lang w:eastAsia="sv-SE"/>
        </w:rPr>
      </w:pPr>
      <w:r w:rsidRPr="006C40C1">
        <w:t>Det är därför ett allvarligt problem att u</w:t>
      </w:r>
      <w:r w:rsidRPr="006C40C1">
        <w:rPr>
          <w:snapToGrid w:val="0"/>
          <w:color w:val="000000"/>
          <w:lang w:eastAsia="sv-SE"/>
        </w:rPr>
        <w:t>tbildningsnivån vad gäller högre utbildning i Sverige är lägre än i flera jämförbara länder. A</w:t>
      </w:r>
      <w:r w:rsidRPr="006C40C1">
        <w:t>ndelen högskole- och universitetsutbildade bland dagens unga är lägre än inom 40-talistgenerationen. Sverige behöver e</w:t>
      </w:r>
      <w:r w:rsidRPr="006C40C1">
        <w:rPr>
          <w:snapToGrid w:val="0"/>
          <w:color w:val="000000"/>
          <w:lang w:eastAsia="sv-SE"/>
        </w:rPr>
        <w:t>n skola i världsklass för att bli en leda</w:t>
      </w:r>
      <w:r w:rsidRPr="006C40C1">
        <w:rPr>
          <w:snapToGrid w:val="0"/>
          <w:color w:val="000000"/>
          <w:lang w:eastAsia="sv-SE"/>
        </w:rPr>
        <w:t>n</w:t>
      </w:r>
      <w:r w:rsidRPr="006C40C1">
        <w:rPr>
          <w:snapToGrid w:val="0"/>
          <w:color w:val="000000"/>
          <w:lang w:eastAsia="sv-SE"/>
        </w:rPr>
        <w:t>de kunskapsnation, vilket i sin tur är nödvändigt</w:t>
      </w:r>
      <w:r w:rsidRPr="006C40C1">
        <w:t xml:space="preserve"> för att tillhöra de mest fra</w:t>
      </w:r>
      <w:r w:rsidRPr="006C40C1">
        <w:t>m</w:t>
      </w:r>
      <w:r w:rsidRPr="006C40C1">
        <w:t>stående när det gäller välfärd och välstånd.</w:t>
      </w:r>
      <w:r w:rsidRPr="006C40C1">
        <w:rPr>
          <w:snapToGrid w:val="0"/>
          <w:color w:val="000000"/>
          <w:lang w:eastAsia="sv-SE"/>
        </w:rPr>
        <w:t xml:space="preserve"> </w:t>
      </w:r>
    </w:p>
    <w:p w:rsidR="00AA5D77" w:rsidRPr="006C40C1" w:rsidRDefault="00AA5D77">
      <w:pPr>
        <w:pStyle w:val="Normaltindrag"/>
      </w:pPr>
      <w:r w:rsidRPr="006C40C1">
        <w:t>Stora insatser behöver göras för att stärka grunden för vidare utbildning och livslångt lärande. Både genom förbättrad grundskola och</w:t>
      </w:r>
      <w:r w:rsidRPr="006C40C1">
        <w:t xml:space="preserve"> genom att skapa förutsättningar för återkommande utbildning och kompetensutveckling i arbetslivet vill vi höja utbildningsnivån. </w:t>
      </w:r>
    </w:p>
    <w:p w:rsidR="00AA5D77" w:rsidRPr="006C40C1" w:rsidRDefault="00AA5D77">
      <w:pPr>
        <w:pStyle w:val="Rubrik3"/>
        <w:rPr>
          <w:noProof w:val="0"/>
        </w:rPr>
      </w:pPr>
      <w:bookmarkStart w:id="1000" w:name="_Toc24976873"/>
      <w:bookmarkStart w:id="1001" w:name="_Toc25581378"/>
      <w:bookmarkStart w:id="1002" w:name="_Toc26191670"/>
      <w:r w:rsidRPr="006C40C1">
        <w:rPr>
          <w:noProof w:val="0"/>
        </w:rPr>
        <w:t>En skola som ger tillräckliga kunskaper</w:t>
      </w:r>
      <w:bookmarkEnd w:id="1000"/>
      <w:bookmarkEnd w:id="1001"/>
      <w:bookmarkEnd w:id="1002"/>
    </w:p>
    <w:p w:rsidR="00AA5D77" w:rsidRPr="006C40C1" w:rsidRDefault="00AA5D77">
      <w:r w:rsidRPr="006C40C1">
        <w:t>Skolpolitiken måste fokusera på skolans huvuduppgift – att garantera att eleverna får  tillräckliga kunskaper. Därför måste ökad vikt läggas vid de viktigaste kunskaperna, dvs. att läsa, skriva och räkna och vid att tidigt up</w:t>
      </w:r>
      <w:r w:rsidRPr="006C40C1">
        <w:t>p</w:t>
      </w:r>
      <w:r w:rsidRPr="006C40C1">
        <w:t>täcka och åtgärda inlärningsproblem. För att skapa möjlighet att möta alla elevers behov är våra partier öppna för olika pedagogiker och välkomnar såväl en mångfald av skolhuvudmän i form av friskolor på olika nivåer som en ökad frihet för de enskilda kommunala skolorna. Elevers och föräldrars val bör styra resurstilldelningen till skolorna.</w:t>
      </w:r>
    </w:p>
    <w:p w:rsidR="00AA5D77" w:rsidRPr="006C40C1" w:rsidRDefault="00AA5D77">
      <w:pPr>
        <w:pStyle w:val="Normaltindrag"/>
      </w:pPr>
      <w:r w:rsidRPr="006C40C1">
        <w:t>En bättre fungerande grundskola är mycket viktigt för att man ska kunna skapa en gymnasieskola där fler elever kan bli godkända och behöriga till högre utbildning. Det</w:t>
      </w:r>
      <w:r w:rsidRPr="006C40C1">
        <w:t xml:space="preserve"> handlar både om att grundligt reformera den nuvarande gymnasieskolan och att komplettera med fler utbildningsvägar. Inom gymn</w:t>
      </w:r>
      <w:r w:rsidRPr="006C40C1">
        <w:t>a</w:t>
      </w:r>
      <w:r w:rsidRPr="006C40C1">
        <w:t xml:space="preserve">sieskolan </w:t>
      </w:r>
      <w:r w:rsidRPr="006C40C1">
        <w:rPr>
          <w:snapToGrid w:val="0"/>
        </w:rPr>
        <w:t>ska</w:t>
      </w:r>
      <w:r w:rsidRPr="006C40C1">
        <w:t xml:space="preserve"> möjligheten att gå en lärlingsutbildning fö</w:t>
      </w:r>
      <w:r w:rsidRPr="006C40C1">
        <w:t>r</w:t>
      </w:r>
      <w:r w:rsidRPr="006C40C1">
        <w:t xml:space="preserve">bättras. </w:t>
      </w:r>
    </w:p>
    <w:p w:rsidR="00AA5D77" w:rsidRPr="006C40C1" w:rsidRDefault="00AA5D77">
      <w:pPr>
        <w:pStyle w:val="Normaltindrag"/>
      </w:pPr>
      <w:r w:rsidRPr="006C40C1">
        <w:t xml:space="preserve">Våra partier slår vakt om det offentligas ansvar för en väl fungerande skola i hela landet. Ett fortsatt decentraliserat ansvar för skolan måste förenas med tydlig utvärdering och mätning för att trygga likvärdigheten och allas rätt till kunskaper.  </w:t>
      </w:r>
    </w:p>
    <w:p w:rsidR="00AA5D77" w:rsidRPr="006C40C1" w:rsidRDefault="00AA5D77">
      <w:pPr>
        <w:pStyle w:val="Rubrik3"/>
        <w:rPr>
          <w:noProof w:val="0"/>
        </w:rPr>
      </w:pPr>
      <w:bookmarkStart w:id="1003" w:name="_Toc24976874"/>
      <w:bookmarkStart w:id="1004" w:name="_Toc25581379"/>
      <w:bookmarkStart w:id="1005" w:name="_Toc26191671"/>
      <w:r w:rsidRPr="006C40C1">
        <w:rPr>
          <w:noProof w:val="0"/>
        </w:rPr>
        <w:t>Högre utbildning och forskning</w:t>
      </w:r>
      <w:bookmarkEnd w:id="1003"/>
      <w:bookmarkEnd w:id="1004"/>
      <w:bookmarkEnd w:id="1005"/>
    </w:p>
    <w:p w:rsidR="00AA5D77" w:rsidRPr="006C40C1" w:rsidRDefault="00AA5D77">
      <w:r w:rsidRPr="006C40C1">
        <w:t>Tillgängligheten till högre utbildning och forskning är avgörande för samhä</w:t>
      </w:r>
      <w:r w:rsidRPr="006C40C1">
        <w:t>l</w:t>
      </w:r>
      <w:r w:rsidRPr="006C40C1">
        <w:t xml:space="preserve">lets utveckling och för tillväxt och livskraft i hela landet. Utbyggnaden av den decentraliserade högre utbildningen har visat sig vara en av få faktorer som  motverkat den sociala snedrekryteringen. </w:t>
      </w:r>
    </w:p>
    <w:p w:rsidR="00AA5D77" w:rsidRPr="006C40C1" w:rsidRDefault="00AA5D77">
      <w:pPr>
        <w:pStyle w:val="Normaltindrag"/>
      </w:pPr>
      <w:r w:rsidRPr="006C40C1">
        <w:t>Den kraftiga utbyggnaden av högskolan behöver nu kompletteras med i</w:t>
      </w:r>
      <w:r w:rsidRPr="006C40C1">
        <w:t>n</w:t>
      </w:r>
      <w:r w:rsidRPr="006C40C1">
        <w:t>satser för att stärka en fri och obunden forskning vid landets högre lärosäten och förstärka kvaliteten i grundutbildningen. Utgångspunkten för fördelnin</w:t>
      </w:r>
      <w:r w:rsidRPr="006C40C1">
        <w:t>g</w:t>
      </w:r>
      <w:r w:rsidRPr="006C40C1">
        <w:t>en mellan de forskande institutionerna ska vara forskningens kvalitet. Alla universitet och högskolor ska ha möjlighet att kunna konkurrera om offentliga och privata forskningsmedel. Särskild vikt måste läggas vid att stärka grun</w:t>
      </w:r>
      <w:r w:rsidRPr="006C40C1">
        <w:t>d</w:t>
      </w:r>
      <w:r w:rsidRPr="006C40C1">
        <w:t>forskningen. Ett första steg bör vara att årligen presentera en samlad fors</w:t>
      </w:r>
      <w:r w:rsidRPr="006C40C1">
        <w:t>k</w:t>
      </w:r>
      <w:r w:rsidRPr="006C40C1">
        <w:t>ningsbudget som ger en bild av hur forskningsresurs</w:t>
      </w:r>
      <w:r w:rsidRPr="006C40C1">
        <w:t>er fördelas och används. Sverige har en anmärkningsvärt låg samhällsekonomisk avkastning på fors</w:t>
      </w:r>
      <w:r w:rsidRPr="006C40C1">
        <w:t>k</w:t>
      </w:r>
      <w:r w:rsidRPr="006C40C1">
        <w:t>ning.</w:t>
      </w:r>
    </w:p>
    <w:p w:rsidR="00AA5D77" w:rsidRPr="006C40C1" w:rsidRDefault="00AA5D77">
      <w:pPr>
        <w:pStyle w:val="Normaltindrag"/>
      </w:pPr>
      <w:r w:rsidRPr="006C40C1">
        <w:rPr>
          <w:snapToGrid w:val="0"/>
          <w:lang w:eastAsia="sv-SE"/>
        </w:rPr>
        <w:t>Genom att förbättra möjligheterna för universitet och högskolor att ko</w:t>
      </w:r>
      <w:r w:rsidRPr="006C40C1">
        <w:rPr>
          <w:snapToGrid w:val="0"/>
          <w:lang w:eastAsia="sv-SE"/>
        </w:rPr>
        <w:t>m</w:t>
      </w:r>
      <w:r w:rsidRPr="006C40C1">
        <w:rPr>
          <w:snapToGrid w:val="0"/>
          <w:lang w:eastAsia="sv-SE"/>
        </w:rPr>
        <w:t xml:space="preserve">mersialisera de forskningsresultat som tas fram ges förutsättningar för dem att utveckla det lokala och regionala näringslivet. Det kan också bidra till att starka kluster kan skapas för att ta till vara den regional kompetensen. </w:t>
      </w:r>
      <w:r w:rsidRPr="006C40C1">
        <w:t>Te</w:t>
      </w:r>
      <w:r w:rsidRPr="006C40C1">
        <w:t>k</w:t>
      </w:r>
      <w:r w:rsidRPr="006C40C1">
        <w:t>nikbrostiftelserna bidrar till ökad samverkan mellan det regionala näringslivet och universitet och högskolor. Regeringen har beslutat om en nedrustning av stiftelserna till år 2007. Vi däremot, vill utveckla Teknikbrostiftelserna ytte</w:t>
      </w:r>
      <w:r w:rsidRPr="006C40C1">
        <w:t>r</w:t>
      </w:r>
      <w:r w:rsidRPr="006C40C1">
        <w:t>ligare. Med den politik vi föreslår ökar f</w:t>
      </w:r>
      <w:r w:rsidRPr="006C40C1">
        <w:t>örutsättningarna väsentligt för ko</w:t>
      </w:r>
      <w:r w:rsidRPr="006C40C1">
        <w:t>m</w:t>
      </w:r>
      <w:r w:rsidRPr="006C40C1">
        <w:t>me</w:t>
      </w:r>
      <w:r w:rsidRPr="006C40C1">
        <w:t>r</w:t>
      </w:r>
      <w:r w:rsidRPr="006C40C1">
        <w:t>sialisering av forskningsresultaten i Sverige.</w:t>
      </w:r>
    </w:p>
    <w:p w:rsidR="00AA5D77" w:rsidRPr="006C40C1" w:rsidRDefault="00AA5D77">
      <w:pPr>
        <w:pStyle w:val="Rubrik3"/>
        <w:rPr>
          <w:noProof w:val="0"/>
        </w:rPr>
      </w:pPr>
      <w:bookmarkStart w:id="1006" w:name="_Toc24976875"/>
      <w:bookmarkStart w:id="1007" w:name="_Toc25581380"/>
      <w:bookmarkStart w:id="1008" w:name="_Toc26191672"/>
      <w:r w:rsidRPr="006C40C1">
        <w:rPr>
          <w:noProof w:val="0"/>
        </w:rPr>
        <w:t>Det livslånga lärandet</w:t>
      </w:r>
      <w:bookmarkEnd w:id="1006"/>
      <w:bookmarkEnd w:id="1007"/>
      <w:bookmarkEnd w:id="1008"/>
    </w:p>
    <w:p w:rsidR="00AA5D77" w:rsidRPr="006C40C1" w:rsidRDefault="00AA5D77">
      <w:r w:rsidRPr="006C40C1">
        <w:t>Utbildning blir i det moderna samhället alltmer en färskvara. Teknisk utvec</w:t>
      </w:r>
      <w:r w:rsidRPr="006C40C1">
        <w:t>k</w:t>
      </w:r>
      <w:r w:rsidRPr="006C40C1">
        <w:t>ling och alltmer kvalificerade arbetsuppgifter innebär att en utbildning snabbt blir föråldrad. Ett fungerande system för livslångt lärande, omskolning och vidareutbildning är med andra ord avgörande såväl för enskilda människor som annars riskerar att marginaliseras på den moderna arbetsmarknaden som för samhället som helhet. Att</w:t>
      </w:r>
      <w:r w:rsidRPr="006C40C1">
        <w:rPr>
          <w:b/>
        </w:rPr>
        <w:t xml:space="preserve"> </w:t>
      </w:r>
      <w:r w:rsidRPr="006C40C1">
        <w:t>införa individuella utbildnings- eller komp</w:t>
      </w:r>
      <w:r w:rsidRPr="006C40C1">
        <w:t>e</w:t>
      </w:r>
      <w:r w:rsidRPr="006C40C1">
        <w:t>tenskonton, dit löntagare och arbetsgivare kan avsätta pengar för kompeten</w:t>
      </w:r>
      <w:r w:rsidRPr="006C40C1">
        <w:t>s</w:t>
      </w:r>
      <w:r w:rsidRPr="006C40C1">
        <w:t>utveckling, är ett annat exempel på hur man på ett mer indi</w:t>
      </w:r>
      <w:r w:rsidRPr="006C40C1">
        <w:t>viduellt sätt kan  stimulera människors kontinuerliga kompetensutveckling i arbetslivet.</w:t>
      </w:r>
    </w:p>
    <w:p w:rsidR="00AA5D77" w:rsidRPr="006C40C1" w:rsidRDefault="00AA5D77">
      <w:pPr>
        <w:pStyle w:val="Normaltindrag"/>
      </w:pPr>
      <w:r w:rsidRPr="006C40C1">
        <w:t xml:space="preserve">En viktig del i ett fungerande system för livslångt lärande är att utveckla och skapa fler platser inom de kvalificerade yrkesutbildningarna. </w:t>
      </w:r>
    </w:p>
    <w:p w:rsidR="00AA5D77" w:rsidRPr="006C40C1" w:rsidRDefault="00AA5D77">
      <w:pPr>
        <w:pStyle w:val="Rubrik2"/>
      </w:pPr>
      <w:bookmarkStart w:id="1009" w:name="_Toc24974923"/>
      <w:bookmarkStart w:id="1010" w:name="_Toc24976876"/>
      <w:bookmarkStart w:id="1011" w:name="_Toc25581381"/>
      <w:bookmarkStart w:id="1012" w:name="_Toc26191673"/>
      <w:r w:rsidRPr="006C40C1">
        <w:br w:type="page"/>
        <w:t>Rättstrygghet – en grundbult för en god ekonomisk utveckling</w:t>
      </w:r>
      <w:bookmarkEnd w:id="1009"/>
      <w:bookmarkEnd w:id="1010"/>
      <w:bookmarkEnd w:id="1011"/>
      <w:bookmarkEnd w:id="1012"/>
    </w:p>
    <w:p w:rsidR="00AA5D77" w:rsidRPr="006C40C1" w:rsidRDefault="00AA5D77">
      <w:r w:rsidRPr="006C40C1">
        <w:t>En grund för framgångsrik ekonomisk utveckling är ett väl fungerande rätt</w:t>
      </w:r>
      <w:r w:rsidRPr="006C40C1">
        <w:t>s</w:t>
      </w:r>
      <w:r w:rsidRPr="006C40C1">
        <w:t xml:space="preserve">samhälle. </w:t>
      </w:r>
    </w:p>
    <w:p w:rsidR="00AA5D77" w:rsidRPr="006C40C1" w:rsidRDefault="00AA5D77">
      <w:pPr>
        <w:pStyle w:val="Normaltindrag"/>
      </w:pPr>
      <w:r w:rsidRPr="006C40C1">
        <w:t>Situationen för det svenska rättsväsendet är därför allvarlig, även ur ett ekonomiskt perspektiv. Personalbrist och otillräckliga resurser gör att polisen inte har möjlighet att försvara medborgare och företagare mot rättskränknin</w:t>
      </w:r>
      <w:r w:rsidRPr="006C40C1">
        <w:t>g</w:t>
      </w:r>
      <w:r w:rsidRPr="006C40C1">
        <w:t>ar. I många delar av landet, såväl i södra som norra Sverige, är polisnärvaron skräm</w:t>
      </w:r>
      <w:r w:rsidRPr="006C40C1">
        <w:softHyphen/>
        <w:t>mande låg, vilket leder till långa utryckningstider och gör att t.ex. b</w:t>
      </w:r>
      <w:r w:rsidRPr="006C40C1">
        <w:t>u</w:t>
      </w:r>
      <w:r w:rsidRPr="006C40C1">
        <w:t>tiksägare på landsbygden ofta känner sig väldigt utsatta. Också i en del av storstädernas förortsområden är polisnärvaron otillräcklig, vilket skapar otrygghet och hämmar det för integrationen nödvändiga nyföretagandet.  Utredningar av allvarliga brott som inbrott och butiksrån avskrivs närmast rutinmässigt. Polisens handläggningstider blir ofta alldel</w:t>
      </w:r>
      <w:r w:rsidRPr="006C40C1">
        <w:t>es för utsträckta. Väntetiderna till domstolarna är långa när det gäller brottmål, och när det gäller tvistemål kan det ta flera år. Risken ökar att människor ifrågasätter nyttan av att vända sig till rättsväsendet.</w:t>
      </w:r>
    </w:p>
    <w:p w:rsidR="00AA5D77" w:rsidRPr="006C40C1" w:rsidRDefault="00AA5D77">
      <w:pPr>
        <w:pStyle w:val="Normaltindrag"/>
      </w:pPr>
      <w:r w:rsidRPr="006C40C1">
        <w:t>Rätts- och polisväsendet bör tillföras ytter</w:t>
      </w:r>
      <w:r w:rsidRPr="006C40C1">
        <w:softHyphen/>
        <w:t>ligare resurser. Polisens närvaro måste ökas i hela landet. Fler utbildningsplatser krävs för att klara personalr</w:t>
      </w:r>
      <w:r w:rsidRPr="006C40C1">
        <w:t>e</w:t>
      </w:r>
      <w:r w:rsidRPr="006C40C1">
        <w:t>kryt</w:t>
      </w:r>
      <w:r w:rsidRPr="006C40C1">
        <w:t>e</w:t>
      </w:r>
      <w:r w:rsidRPr="006C40C1">
        <w:t xml:space="preserve">ringen. </w:t>
      </w:r>
    </w:p>
    <w:p w:rsidR="00AA5D77" w:rsidRPr="006C40C1" w:rsidRDefault="00AA5D77">
      <w:pPr>
        <w:pStyle w:val="Normaltindrag"/>
      </w:pPr>
      <w:r w:rsidRPr="006C40C1">
        <w:t xml:space="preserve">Närpolisreformen </w:t>
      </w:r>
      <w:r w:rsidRPr="006C40C1">
        <w:rPr>
          <w:snapToGrid w:val="0"/>
        </w:rPr>
        <w:t>ska</w:t>
      </w:r>
      <w:r w:rsidRPr="006C40C1">
        <w:t xml:space="preserve"> också förverkligas i prak</w:t>
      </w:r>
      <w:r w:rsidRPr="006C40C1">
        <w:softHyphen/>
        <w:t xml:space="preserve">tiken. Utryckningstider, handläggningstider och väntetider till domstolsväsendet måste kortas avsevärt samtidigt som huvudregeln måste vara att allvarliga brott blir föremål för en seriös utredning. Det är också viktigt att det brottsförebyggande arbetet får högre prioritet samt att tillgången till drogfria fängelseavdelningar säkras. </w:t>
      </w:r>
    </w:p>
    <w:p w:rsidR="00AA5D77" w:rsidRPr="006C40C1" w:rsidRDefault="00AA5D77">
      <w:pPr>
        <w:pStyle w:val="Rubrik2"/>
      </w:pPr>
      <w:bookmarkStart w:id="1013" w:name="_Toc24974924"/>
      <w:bookmarkStart w:id="1014" w:name="_Toc24976877"/>
      <w:bookmarkStart w:id="1015" w:name="_Toc25581382"/>
      <w:bookmarkStart w:id="1016" w:name="_Toc26191674"/>
      <w:r w:rsidRPr="006C40C1">
        <w:t>Infrastruktur</w:t>
      </w:r>
      <w:bookmarkEnd w:id="1013"/>
      <w:bookmarkEnd w:id="1014"/>
      <w:bookmarkEnd w:id="1015"/>
      <w:bookmarkEnd w:id="1016"/>
    </w:p>
    <w:p w:rsidR="00AA5D77" w:rsidRPr="006C40C1" w:rsidRDefault="00AA5D77">
      <w:pPr>
        <w:pStyle w:val="Rubrik3"/>
        <w:spacing w:before="235"/>
        <w:rPr>
          <w:noProof w:val="0"/>
        </w:rPr>
      </w:pPr>
      <w:bookmarkStart w:id="1017" w:name="_Toc24974925"/>
      <w:bookmarkStart w:id="1018" w:name="_Toc24976878"/>
      <w:bookmarkStart w:id="1019" w:name="_Toc25581383"/>
      <w:bookmarkStart w:id="1020" w:name="_Toc26191675"/>
      <w:r w:rsidRPr="006C40C1">
        <w:rPr>
          <w:noProof w:val="0"/>
        </w:rPr>
        <w:t>Kommunikationer</w:t>
      </w:r>
      <w:bookmarkEnd w:id="1017"/>
      <w:bookmarkEnd w:id="1018"/>
      <w:bookmarkEnd w:id="1019"/>
      <w:bookmarkEnd w:id="1020"/>
    </w:p>
    <w:p w:rsidR="00AA5D77" w:rsidRPr="006C40C1" w:rsidRDefault="00AA5D77">
      <w:r w:rsidRPr="006C40C1">
        <w:t>Särskild uppmärksamhet bör i dagsläget ägnas åt vägnätet. Det krävs en väl avvägd balans mellan järnvägs- och väginvesteringar. I dagsläget behöver betydande insatser göras för att förbättra vägnätet. Underhållet av vägnätet har minskat under den social</w:t>
      </w:r>
      <w:r w:rsidRPr="006C40C1">
        <w:softHyphen/>
        <w:t>demokratiska regeringens tid.</w:t>
      </w:r>
    </w:p>
    <w:p w:rsidR="00AA5D77" w:rsidRPr="006C40C1" w:rsidRDefault="00AA5D77">
      <w:pPr>
        <w:pStyle w:val="Normaltindrag"/>
      </w:pPr>
      <w:r w:rsidRPr="006C40C1">
        <w:t>Kollektivtrafiken, bl.a. i form av järnväg, är viktig och bör hållas i gott skick. Mycket ofta är dock vägtrafik det enda realistiska fysiska kommunik</w:t>
      </w:r>
      <w:r w:rsidRPr="006C40C1">
        <w:t>a</w:t>
      </w:r>
      <w:r w:rsidRPr="006C40C1">
        <w:t>tionsmedlet för människor och gods. Samtidigt förfaller vägnätet med stora kostnader som följd för människor och företag. I motsats till vänsterkoaliti</w:t>
      </w:r>
      <w:r w:rsidRPr="006C40C1">
        <w:t>o</w:t>
      </w:r>
      <w:r w:rsidRPr="006C40C1">
        <w:t>nen accepterar vi inte en sådan utveckling. Mer resurser måste skjutas till för att garantera vägnätets standard. Eftersläpningen i vägunderhållet måste su</w:t>
      </w:r>
      <w:r w:rsidRPr="006C40C1">
        <w:t>c</w:t>
      </w:r>
      <w:r w:rsidRPr="006C40C1">
        <w:t>cessivt arbetas bort. Ökade insatser för att trygga underhåll och bärighet är en avgörande faktor för möjlighet till tillväxt i hela landet.</w:t>
      </w:r>
    </w:p>
    <w:p w:rsidR="00AA5D77" w:rsidRPr="006C40C1" w:rsidRDefault="00AA5D77">
      <w:pPr>
        <w:pStyle w:val="Normaltindrag"/>
      </w:pPr>
      <w:r w:rsidRPr="006C40C1">
        <w:t xml:space="preserve">Vägnätet måste också byggas ut. Säkerhet och tillförlitlighet </w:t>
      </w:r>
      <w:r w:rsidRPr="006C40C1">
        <w:t>måste prior</w:t>
      </w:r>
      <w:r w:rsidRPr="006C40C1">
        <w:t>i</w:t>
      </w:r>
      <w:r w:rsidRPr="006C40C1">
        <w:t>teras. Det gäller såväl de stora genomfartslederna och kringfarterna runt st</w:t>
      </w:r>
      <w:r w:rsidRPr="006C40C1">
        <w:t>ä</w:t>
      </w:r>
      <w:r w:rsidRPr="006C40C1">
        <w:t xml:space="preserve">derna som de regionala och lokala vägnäten. Människor är beroende av bilen men också av en god miljö. Forskning och utveckling av ny teknik och nya drivmedel är därför av yttersta vikt. </w:t>
      </w:r>
    </w:p>
    <w:p w:rsidR="00AA5D77" w:rsidRPr="006C40C1" w:rsidRDefault="00AA5D77">
      <w:pPr>
        <w:pStyle w:val="Normaltindrag"/>
      </w:pPr>
      <w:r w:rsidRPr="006C40C1">
        <w:t>Insatser måste omedelbart göras för att reparera de socialdemokratiska fö</w:t>
      </w:r>
      <w:r w:rsidRPr="006C40C1">
        <w:t>r</w:t>
      </w:r>
      <w:r w:rsidRPr="006C40C1">
        <w:t>summelserna. Våra partier är eniga om att det behövs större insatser än r</w:t>
      </w:r>
      <w:r w:rsidRPr="006C40C1">
        <w:t>e</w:t>
      </w:r>
      <w:r w:rsidRPr="006C40C1">
        <w:t>geringen avdelat för drift och underhåll samt investeringar i vägnätet.</w:t>
      </w:r>
    </w:p>
    <w:p w:rsidR="00AA5D77" w:rsidRPr="006C40C1" w:rsidRDefault="00AA5D77">
      <w:pPr>
        <w:pStyle w:val="Rubrik3"/>
        <w:rPr>
          <w:noProof w:val="0"/>
          <w:snapToGrid w:val="0"/>
          <w:lang w:eastAsia="sv-SE"/>
        </w:rPr>
      </w:pPr>
      <w:bookmarkStart w:id="1021" w:name="_Toc10522129"/>
      <w:bookmarkStart w:id="1022" w:name="_Toc10631079"/>
      <w:bookmarkStart w:id="1023" w:name="_Toc24974926"/>
      <w:bookmarkStart w:id="1024" w:name="_Toc24976879"/>
      <w:bookmarkStart w:id="1025" w:name="_Toc25581384"/>
      <w:bookmarkStart w:id="1026" w:name="_Toc26191676"/>
      <w:r w:rsidRPr="006C40C1">
        <w:rPr>
          <w:noProof w:val="0"/>
          <w:snapToGrid w:val="0"/>
          <w:lang w:eastAsia="sv-SE"/>
        </w:rPr>
        <w:t>Bostäder</w:t>
      </w:r>
      <w:bookmarkEnd w:id="1021"/>
      <w:bookmarkEnd w:id="1022"/>
      <w:bookmarkEnd w:id="1023"/>
      <w:bookmarkEnd w:id="1024"/>
      <w:bookmarkEnd w:id="1025"/>
      <w:bookmarkEnd w:id="1026"/>
    </w:p>
    <w:p w:rsidR="00AA5D77" w:rsidRPr="006C40C1" w:rsidRDefault="00AA5D77">
      <w:pPr>
        <w:rPr>
          <w:snapToGrid w:val="0"/>
          <w:lang w:eastAsia="sv-SE"/>
        </w:rPr>
      </w:pPr>
      <w:r w:rsidRPr="006C40C1">
        <w:rPr>
          <w:snapToGrid w:val="0"/>
          <w:lang w:eastAsia="sv-SE"/>
        </w:rPr>
        <w:t>I storstadsområdena blir bostadsbristen alltmer akut, men även en lång rad kommuner runt om i landet har bostadsköer. Bristen på bostäder riskerar därmed att bli ett allvarligt tillväxthinder. Bostadsbyggandet har börjat öka men från en mycket låg nivå. Parallellt avfolkas områden utanför de större städerna med efterlämnade bostadsöverskott som följd. Offentliga medel används för att riva bostäder och därmed hålla uppe hyresnivåerna i det kva</w:t>
      </w:r>
      <w:r w:rsidRPr="006C40C1">
        <w:rPr>
          <w:snapToGrid w:val="0"/>
          <w:lang w:eastAsia="sv-SE"/>
        </w:rPr>
        <w:t>r</w:t>
      </w:r>
      <w:r w:rsidRPr="006C40C1">
        <w:rPr>
          <w:snapToGrid w:val="0"/>
          <w:lang w:eastAsia="sv-SE"/>
        </w:rPr>
        <w:t xml:space="preserve">varande beståndet. </w:t>
      </w:r>
    </w:p>
    <w:p w:rsidR="00AA5D77" w:rsidRPr="006C40C1" w:rsidRDefault="00AA5D77">
      <w:pPr>
        <w:pStyle w:val="Normaltindrag"/>
        <w:rPr>
          <w:snapToGrid w:val="0"/>
          <w:lang w:eastAsia="sv-SE"/>
        </w:rPr>
      </w:pPr>
      <w:r w:rsidRPr="006C40C1">
        <w:rPr>
          <w:snapToGrid w:val="0"/>
          <w:lang w:eastAsia="sv-SE"/>
        </w:rPr>
        <w:t>Även om bygglov m.m. är frågor som avgörs lokalt krävs ett antal nati</w:t>
      </w:r>
      <w:r w:rsidRPr="006C40C1">
        <w:rPr>
          <w:snapToGrid w:val="0"/>
          <w:lang w:eastAsia="sv-SE"/>
        </w:rPr>
        <w:t>o</w:t>
      </w:r>
      <w:r w:rsidRPr="006C40C1">
        <w:rPr>
          <w:snapToGrid w:val="0"/>
          <w:lang w:eastAsia="sv-SE"/>
        </w:rPr>
        <w:t>nella åtgärder för att råda bot på dagens problem. Till exempel bör reglerna för planprocessen ändras så att den snabbas upp och görs enklare. Den svarta marknaden för reparation, om- och tillbyggnader av bostäder skulle minska kraftigt genom det förslag till skattereduktion på denna typ av tjänster som vi föreslagit. Den totala beskattningen av boende måste ned. Sänkt fastighet</w:t>
      </w:r>
      <w:r w:rsidRPr="006C40C1">
        <w:rPr>
          <w:snapToGrid w:val="0"/>
          <w:lang w:eastAsia="sv-SE"/>
        </w:rPr>
        <w:t>s</w:t>
      </w:r>
      <w:r w:rsidRPr="006C40C1">
        <w:rPr>
          <w:snapToGrid w:val="0"/>
          <w:lang w:eastAsia="sv-SE"/>
        </w:rPr>
        <w:t>skatt är ett viktigt steg.</w:t>
      </w:r>
    </w:p>
    <w:p w:rsidR="00AA5D77" w:rsidRPr="006C40C1" w:rsidRDefault="00AA5D77">
      <w:pPr>
        <w:pStyle w:val="Normaltindrag"/>
        <w:rPr>
          <w:snapToGrid w:val="0"/>
          <w:lang w:eastAsia="sv-SE"/>
        </w:rPr>
      </w:pPr>
      <w:r w:rsidRPr="006C40C1">
        <w:rPr>
          <w:snapToGrid w:val="0"/>
          <w:lang w:eastAsia="sv-SE"/>
        </w:rPr>
        <w:t>Byggkostnaderna är höga i Sverige jämfört med andra länder. En anle</w:t>
      </w:r>
      <w:r w:rsidRPr="006C40C1">
        <w:rPr>
          <w:snapToGrid w:val="0"/>
          <w:lang w:eastAsia="sv-SE"/>
        </w:rPr>
        <w:t>d</w:t>
      </w:r>
      <w:r w:rsidRPr="006C40C1">
        <w:rPr>
          <w:snapToGrid w:val="0"/>
          <w:lang w:eastAsia="sv-SE"/>
        </w:rPr>
        <w:t>ning är bristande konkurrens i byggmaterielsektorn, en annan är bristen på bygga</w:t>
      </w:r>
      <w:r w:rsidRPr="006C40C1">
        <w:rPr>
          <w:snapToGrid w:val="0"/>
          <w:lang w:eastAsia="sv-SE"/>
        </w:rPr>
        <w:t>r</w:t>
      </w:r>
      <w:r w:rsidRPr="006C40C1">
        <w:rPr>
          <w:snapToGrid w:val="0"/>
          <w:lang w:eastAsia="sv-SE"/>
        </w:rPr>
        <w:t>betare i tillväxtområdena.</w:t>
      </w:r>
    </w:p>
    <w:p w:rsidR="00AA5D77" w:rsidRPr="006C40C1" w:rsidRDefault="00AA5D77">
      <w:pPr>
        <w:pStyle w:val="Normaltindrag"/>
      </w:pPr>
      <w:r w:rsidRPr="006C40C1">
        <w:rPr>
          <w:snapToGrid w:val="0"/>
          <w:lang w:eastAsia="sv-SE"/>
        </w:rPr>
        <w:t>Ett annorlunda hyressättningssystem måste till vid nyproduktion av hyre</w:t>
      </w:r>
      <w:r w:rsidRPr="006C40C1">
        <w:rPr>
          <w:snapToGrid w:val="0"/>
          <w:lang w:eastAsia="sv-SE"/>
        </w:rPr>
        <w:t>s</w:t>
      </w:r>
      <w:r w:rsidRPr="006C40C1">
        <w:rPr>
          <w:snapToGrid w:val="0"/>
          <w:lang w:eastAsia="sv-SE"/>
        </w:rPr>
        <w:t>rätter. D</w:t>
      </w:r>
      <w:r w:rsidRPr="006C40C1">
        <w:t>e hyresavtal som träffas vid inflyttning i nybyggda hus bör inte kunna prövas mot hyreslagens bruksvärdesregel. Den hyra hyresgästen och hyre</w:t>
      </w:r>
      <w:r w:rsidRPr="006C40C1">
        <w:t>s</w:t>
      </w:r>
      <w:r w:rsidRPr="006C40C1">
        <w:t xml:space="preserve">värden träffar avtal om </w:t>
      </w:r>
      <w:r w:rsidRPr="006C40C1">
        <w:rPr>
          <w:snapToGrid w:val="0"/>
        </w:rPr>
        <w:t>ska</w:t>
      </w:r>
      <w:r w:rsidRPr="006C40C1">
        <w:t xml:space="preserve"> följaktligen gälla under den hyrestid som avtalats. Då kommer man till rätta med den kanske allvarligaste bristen i utformningen av bruksvärdessystemet, vilken förlamat bostadsproduktionen. Den föreslagna förändringen möjliggör tillräckligt stora hyresintäkter för att möta de kostn</w:t>
      </w:r>
      <w:r w:rsidRPr="006C40C1">
        <w:t>a</w:t>
      </w:r>
      <w:r w:rsidRPr="006C40C1">
        <w:t>der som är förknippade med nyproduktion och den u</w:t>
      </w:r>
      <w:r w:rsidRPr="006C40C1">
        <w:t>ndanröjer dagens osäke</w:t>
      </w:r>
      <w:r w:rsidRPr="006C40C1">
        <w:t>r</w:t>
      </w:r>
      <w:r w:rsidRPr="006C40C1">
        <w:t>het om de framtida hyresintäkternas storlek, vilken i sig hindrat många b</w:t>
      </w:r>
      <w:r w:rsidRPr="006C40C1">
        <w:t>o</w:t>
      </w:r>
      <w:r w:rsidRPr="006C40C1">
        <w:t xml:space="preserve">stadsföretag att bygga nytt. </w:t>
      </w:r>
    </w:p>
    <w:p w:rsidR="00AA5D77" w:rsidRPr="006C40C1" w:rsidRDefault="00AA5D77">
      <w:pPr>
        <w:pStyle w:val="Normaltindrag"/>
      </w:pPr>
      <w:r w:rsidRPr="006C40C1">
        <w:rPr>
          <w:snapToGrid w:val="0"/>
          <w:lang w:eastAsia="sv-SE"/>
        </w:rPr>
        <w:t xml:space="preserve">Även hyrorna i det befintliga beståndet måste bättre avspegla hushållens värderingar genom att bl.a. lägesfaktorn tillåts få ett större genomslag. </w:t>
      </w:r>
      <w:r w:rsidRPr="006C40C1">
        <w:t>Det bör vara möjligt för den som hyr sin bostad att skriva mångåriga kontrakt när det gäller hyresnivån och därigenom på samma sätt som en egnahemsägare ha möjlighet att skapa förutsebara bostadskostnader. En något mer flexibel ti</w:t>
      </w:r>
      <w:r w:rsidRPr="006C40C1">
        <w:t>l</w:t>
      </w:r>
      <w:r w:rsidRPr="006C40C1">
        <w:t>lämpning av bruksvärdessystemet innebär också i sig att enskilda hyresgästers individuella önskemål kan prissättas och tillgodoses. Möjligheten till mån</w:t>
      </w:r>
      <w:r w:rsidRPr="006C40C1">
        <w:t>g</w:t>
      </w:r>
      <w:r w:rsidRPr="006C40C1">
        <w:t>åriga kontrakt om hyran gör också att sådana önskemål kan tillgodoses i större utsträckning. För tydlighetens skull vill vi ange</w:t>
      </w:r>
      <w:r w:rsidRPr="006C40C1">
        <w:t xml:space="preserve"> att vårt förslag till mångåriga kontrakt avser att hyresgästen binds till hyresvillkoren men för den skull inte </w:t>
      </w:r>
      <w:r w:rsidRPr="006C40C1">
        <w:rPr>
          <w:snapToGrid w:val="0"/>
        </w:rPr>
        <w:t>ska</w:t>
      </w:r>
      <w:r w:rsidRPr="006C40C1">
        <w:t xml:space="preserve"> vara förhindrad att säga upp sitt hyresavtal för att flytta. </w:t>
      </w:r>
    </w:p>
    <w:p w:rsidR="00AA5D77" w:rsidRPr="006C40C1" w:rsidRDefault="00AA5D77">
      <w:pPr>
        <w:pStyle w:val="Normaltindrag"/>
        <w:rPr>
          <w:snapToGrid w:val="0"/>
          <w:lang w:eastAsia="sv-SE"/>
        </w:rPr>
      </w:pPr>
      <w:r w:rsidRPr="006C40C1">
        <w:rPr>
          <w:snapToGrid w:val="0"/>
          <w:lang w:eastAsia="sv-SE"/>
        </w:rPr>
        <w:t>Hyresnivåerna i en hel kommun ska inte kunna drivas upp på grund av att det kommunala bostadsbolaget är misskött. Svarthandeln med hyreskontrakt motverkas genom vårt förslag.</w:t>
      </w:r>
    </w:p>
    <w:p w:rsidR="00AA5D77" w:rsidRPr="006C40C1" w:rsidRDefault="00AA5D77">
      <w:pPr>
        <w:pStyle w:val="Normaltindrag"/>
        <w:rPr>
          <w:snapToGrid w:val="0"/>
          <w:lang w:eastAsia="sv-SE"/>
        </w:rPr>
      </w:pPr>
      <w:r w:rsidRPr="006C40C1">
        <w:rPr>
          <w:snapToGrid w:val="0"/>
          <w:lang w:eastAsia="sv-SE"/>
        </w:rPr>
        <w:t>I syfte att öka mångfalden på bostadsmarknaden bör s.k. ägarlägenheter möjliggöras som boendeform. Riksdagen har gett regeringen i uppdrag att återkomma med förslag, vilket hittills inte har skett. Ytterligare en möjlighet att förbättra bostads- och byggsituationen i framför allt storstäderna är att tillåta s.k. tredimensionell fastighetsbildning. Det innebär enklare möjligheter att juridiskt avgränsa en och samma fastighet för olika användningsområden. Olika byggherrar skulle enklare kunna samverka om byg</w:t>
      </w:r>
      <w:r w:rsidRPr="006C40C1">
        <w:rPr>
          <w:snapToGrid w:val="0"/>
          <w:lang w:eastAsia="sv-SE"/>
        </w:rPr>
        <w:t>gprojekt.</w:t>
      </w:r>
    </w:p>
    <w:p w:rsidR="00AA5D77" w:rsidRPr="006C40C1" w:rsidRDefault="00AA5D77">
      <w:r w:rsidRPr="006C40C1">
        <w:t>Vi föreslår att riksdagen tillkännager för regeringen vad vi här framfört om inriktningen för den ekonomiska politiken. Vi tillstyrker därmed delvis m</w:t>
      </w:r>
      <w:r w:rsidRPr="006C40C1">
        <w:t>o</w:t>
      </w:r>
      <w:r w:rsidRPr="006C40C1">
        <w:t xml:space="preserve">tionerna Fi231 (m) yrkandena 1 och 12, Fi232 (fp) yrkande 1, Fi233 (kd) yrkandena 1–3, Fi234 yrkandena 1 och 2 och MJ420 (m) yrkande 2 samt avstyrker proposition 2002/03:1 punkt 1. </w:t>
      </w:r>
    </w:p>
    <w:p w:rsidR="00AA5D77" w:rsidRPr="006C40C1" w:rsidRDefault="00AA5D77">
      <w:pPr>
        <w:pStyle w:val="Reservationspunkt"/>
        <w:rPr>
          <w:noProof w:val="0"/>
        </w:rPr>
      </w:pPr>
      <w:bookmarkStart w:id="1027" w:name="_Toc26191677"/>
      <w:r w:rsidRPr="006C40C1">
        <w:rPr>
          <w:noProof w:val="0"/>
        </w:rPr>
        <w:t>2.</w:t>
      </w:r>
      <w:r w:rsidRPr="006C40C1">
        <w:rPr>
          <w:noProof w:val="0"/>
        </w:rPr>
        <w:tab/>
        <w:t>Gröna nyckeltal i EU – avsnitt 1.4.1, punkt 2 (mp)</w:t>
      </w:r>
      <w:bookmarkEnd w:id="1027"/>
      <w:r w:rsidRPr="006C40C1">
        <w:rPr>
          <w:noProof w:val="0"/>
        </w:rPr>
        <w:t xml:space="preserve"> </w:t>
      </w:r>
    </w:p>
    <w:p w:rsidR="00AA5D77" w:rsidRPr="006C40C1" w:rsidRDefault="00AA5D77">
      <w:pPr>
        <w:pStyle w:val="Reservanter"/>
      </w:pPr>
      <w:r w:rsidRPr="006C40C1">
        <w:t>av Yvonne Ruwaida (mp).</w:t>
      </w:r>
    </w:p>
    <w:p w:rsidR="00AA5D77" w:rsidRPr="006C40C1" w:rsidRDefault="00AA5D77">
      <w:pPr>
        <w:pStyle w:val="R4"/>
      </w:pPr>
      <w:r w:rsidRPr="006C40C1">
        <w:t>Förslag till riksdagsbeslut</w:t>
      </w:r>
    </w:p>
    <w:p w:rsidR="00AA5D77" w:rsidRPr="006C40C1" w:rsidRDefault="00AA5D77">
      <w:r w:rsidRPr="006C40C1">
        <w:t>Jag anser att utskottets förslag under punkt 2 borde ha följande lydelse:</w:t>
      </w:r>
    </w:p>
    <w:p w:rsidR="00AA5D77" w:rsidRPr="006C40C1" w:rsidRDefault="00AA5D77">
      <w:pPr>
        <w:pStyle w:val="Reservantfrslag"/>
      </w:pPr>
      <w:r w:rsidRPr="006C40C1">
        <w:t>2. Riksdagen tillkännager för regeringen som sin mening vad som anförs i reservation 2. Därmed bifaller riksdagen motion 2002/03:U324 av Ulf Holm m.fl. (mp) yrkande 13.</w:t>
      </w:r>
    </w:p>
    <w:p w:rsidR="00AA5D77" w:rsidRPr="006C40C1" w:rsidRDefault="00AA5D77">
      <w:pPr>
        <w:pStyle w:val="R4"/>
      </w:pPr>
      <w:r w:rsidRPr="006C40C1">
        <w:t>Ställningstagande</w:t>
      </w:r>
    </w:p>
    <w:p w:rsidR="00AA5D77" w:rsidRPr="006C40C1" w:rsidRDefault="00AA5D77">
      <w:bookmarkStart w:id="1028" w:name="Nästa_Reservation"/>
      <w:bookmarkEnd w:id="1028"/>
      <w:r w:rsidRPr="006C40C1">
        <w:t>I miljöfrågorna måste vi samarbeta på internationell nivå, inte bara i EU, för att nå gemensamma lösningar. Trots många konventioner och andra överen</w:t>
      </w:r>
      <w:r w:rsidRPr="006C40C1">
        <w:t>s</w:t>
      </w:r>
      <w:r w:rsidRPr="006C40C1">
        <w:t>kommelser är efterlevnaden dålig. När det gäller EU torde detta framför allt bero på såväl politisk ovilja som kontraproduktiva målsättningar och rege</w:t>
      </w:r>
      <w:r w:rsidRPr="006C40C1">
        <w:t>l</w:t>
      </w:r>
      <w:r w:rsidRPr="006C40C1">
        <w:t>verk i EU:s fördrag och struktur.</w:t>
      </w:r>
    </w:p>
    <w:p w:rsidR="00AA5D77" w:rsidRPr="006C40C1" w:rsidRDefault="00AA5D77">
      <w:pPr>
        <w:pStyle w:val="Normaltindrag"/>
      </w:pPr>
      <w:r w:rsidRPr="006C40C1">
        <w:t>Ett ekologiskt hållbart samhälle ska vara ett huvudmål för EU. Detta utgör ett viktigt stöd för det framtida miljöarbetet samtidigt som det är en signal om integrering av miljöfrågorna inom alla EU:s sektorer.</w:t>
      </w:r>
    </w:p>
    <w:p w:rsidR="00AA5D77" w:rsidRPr="006C40C1" w:rsidRDefault="00AA5D77">
      <w:pPr>
        <w:pStyle w:val="Normaltindrag"/>
      </w:pPr>
      <w:r w:rsidRPr="006C40C1">
        <w:t>Miljöpartiet vill att regeringen i ministerrådet, i de sammanhang där det lämpar sig, ska driva frågan om ett ramprogram för integrering av miljöfr</w:t>
      </w:r>
      <w:r w:rsidRPr="006C40C1">
        <w:t>å</w:t>
      </w:r>
      <w:r w:rsidRPr="006C40C1">
        <w:t>gorna i övrig verksamhet. En av de insatser som bör ingå i ett ramprogram är att utveckla systemet med gröna räkenskaper eller ”grön NNP” där även slitage på det naturliga kapit</w:t>
      </w:r>
      <w:r w:rsidRPr="006C40C1">
        <w:t>a</w:t>
      </w:r>
      <w:r w:rsidRPr="006C40C1">
        <w:t xml:space="preserve">let finns med i kalkylen. </w:t>
      </w:r>
    </w:p>
    <w:p w:rsidR="00AA5D77" w:rsidRPr="006C40C1" w:rsidRDefault="00AA5D77">
      <w:pPr>
        <w:pStyle w:val="Reservationspunkt"/>
        <w:rPr>
          <w:noProof w:val="0"/>
        </w:rPr>
      </w:pPr>
      <w:bookmarkStart w:id="1029" w:name="_Toc530479571"/>
      <w:r w:rsidRPr="006C40C1">
        <w:rPr>
          <w:noProof w:val="0"/>
        </w:rPr>
        <w:br w:type="page"/>
      </w:r>
      <w:bookmarkStart w:id="1030" w:name="_Toc26191678"/>
      <w:r w:rsidRPr="006C40C1">
        <w:rPr>
          <w:noProof w:val="0"/>
        </w:rPr>
        <w:t>3. Miljökonsekvensbeskrivningar i budgetpropositionen – avsnitt 1.4.2, punkt 3 (kd)</w:t>
      </w:r>
      <w:bookmarkEnd w:id="1029"/>
      <w:bookmarkEnd w:id="1030"/>
    </w:p>
    <w:p w:rsidR="00AA5D77" w:rsidRPr="006C40C1" w:rsidRDefault="00AA5D77">
      <w:pPr>
        <w:pStyle w:val="Reservanter"/>
      </w:pPr>
      <w:r w:rsidRPr="006C40C1">
        <w:t>av Mats Odell (kd).</w:t>
      </w:r>
    </w:p>
    <w:p w:rsidR="00AA5D77" w:rsidRPr="006C40C1" w:rsidRDefault="00AA5D77">
      <w:pPr>
        <w:pStyle w:val="R4"/>
      </w:pPr>
      <w:r w:rsidRPr="006C40C1">
        <w:t>Förslag till riksdagsbeslut</w:t>
      </w:r>
    </w:p>
    <w:p w:rsidR="00AA5D77" w:rsidRPr="006C40C1" w:rsidRDefault="00AA5D77">
      <w:r w:rsidRPr="006C40C1">
        <w:t>Jag anser att utskottets förslag under punkt 3 borde ha följande lydelse:</w:t>
      </w:r>
    </w:p>
    <w:p w:rsidR="00AA5D77" w:rsidRPr="006C40C1" w:rsidRDefault="00AA5D77">
      <w:pPr>
        <w:spacing w:before="0"/>
      </w:pPr>
      <w:r w:rsidRPr="006C40C1">
        <w:t xml:space="preserve">3. Riksdagen tillkännager för regeringen som sin mening vad som anförs i reservation 3. Riksdagen bifaller därmed motion </w:t>
      </w:r>
    </w:p>
    <w:p w:rsidR="00AA5D77" w:rsidRPr="006C40C1" w:rsidRDefault="00AA5D77">
      <w:pPr>
        <w:spacing w:before="0"/>
      </w:pPr>
      <w:r w:rsidRPr="006C40C1">
        <w:t>MJ432 av Alf Svensson m.fl. (kd) yrkande 24.</w:t>
      </w:r>
    </w:p>
    <w:p w:rsidR="00AA5D77" w:rsidRPr="006C40C1" w:rsidRDefault="00AA5D77">
      <w:pPr>
        <w:pStyle w:val="R4"/>
      </w:pPr>
      <w:r w:rsidRPr="006C40C1">
        <w:t>Ställningstagande</w:t>
      </w:r>
    </w:p>
    <w:p w:rsidR="00AA5D77" w:rsidRPr="006C40C1" w:rsidRDefault="00AA5D77">
      <w:r w:rsidRPr="006C40C1">
        <w:t xml:space="preserve">Vi anser att det </w:t>
      </w:r>
      <w:r w:rsidRPr="006C40C1">
        <w:rPr>
          <w:snapToGrid w:val="0"/>
          <w:lang w:eastAsia="sv-SE"/>
        </w:rPr>
        <w:t>ska</w:t>
      </w:r>
      <w:r w:rsidRPr="006C40C1">
        <w:t xml:space="preserve"> löna sig att agera miljövänligt. Det är viktigt att ekon</w:t>
      </w:r>
      <w:r w:rsidRPr="006C40C1">
        <w:t>o</w:t>
      </w:r>
      <w:r w:rsidRPr="006C40C1">
        <w:t>miska styrmedel inte motverkar frivilliga miljöinsatser. I regeringens gröna nyckeltal ingår ett antal ISO- och EMAS-registrerade företag. Denna certifi</w:t>
      </w:r>
      <w:r w:rsidRPr="006C40C1">
        <w:t>e</w:t>
      </w:r>
      <w:r w:rsidRPr="006C40C1">
        <w:t>ring är kostsam. Därför är det framför allt de kapitalstarka företagen som certifieras. Även många mindre och medelstora företag arbetar med miljöle</w:t>
      </w:r>
      <w:r w:rsidRPr="006C40C1">
        <w:t>d</w:t>
      </w:r>
      <w:r w:rsidRPr="006C40C1">
        <w:t>ningssystem utan att det registreras. Den höga kostnaden är ett hinder för registrering men inte för ett aktivt miljöarbete i företagen. Vi anser att</w:t>
      </w:r>
      <w:r w:rsidRPr="006C40C1">
        <w:t xml:space="preserve"> det vore intressant att också få ett mått på miljöarbetet i mindre företag. Rege</w:t>
      </w:r>
      <w:r w:rsidRPr="006C40C1">
        <w:t>r</w:t>
      </w:r>
      <w:r w:rsidRPr="006C40C1">
        <w:t>ingen bör därför i sina gröna nyckeltal även ta med de företag som aktivt arbetar enligt miljöledningssystem utan att certifieras. Vad vi här har framfört bör riksdagen tillkännage för regeringen som sin mening. Därmed bifaller riksd</w:t>
      </w:r>
      <w:r w:rsidRPr="006C40C1">
        <w:t>a</w:t>
      </w:r>
      <w:r w:rsidRPr="006C40C1">
        <w:t xml:space="preserve">gen motion MJ432 (kd) yrkande 24. </w:t>
      </w:r>
    </w:p>
    <w:p w:rsidR="00AA5D77" w:rsidRPr="006C40C1" w:rsidRDefault="00AA5D77">
      <w:pPr>
        <w:pStyle w:val="Reservationspunkt"/>
        <w:rPr>
          <w:noProof w:val="0"/>
        </w:rPr>
      </w:pPr>
      <w:bookmarkStart w:id="1031" w:name="_Toc530479572"/>
      <w:bookmarkStart w:id="1032" w:name="_Toc26191679"/>
      <w:r w:rsidRPr="006C40C1">
        <w:rPr>
          <w:noProof w:val="0"/>
        </w:rPr>
        <w:t>4. Mål för budgetpolitiken – avsnitt 2.3, punkt 4 (m)</w:t>
      </w:r>
      <w:bookmarkEnd w:id="1031"/>
      <w:bookmarkEnd w:id="1032"/>
    </w:p>
    <w:p w:rsidR="00AA5D77" w:rsidRPr="006C40C1" w:rsidRDefault="00AA5D77">
      <w:pPr>
        <w:pStyle w:val="Reservanter"/>
      </w:pPr>
      <w:bookmarkStart w:id="1033" w:name="_Toc530479573"/>
      <w:r w:rsidRPr="006C40C1">
        <w:t>av Fredrik Reinfeldt, Gunnar Axén och Tomas Högström (alla m).</w:t>
      </w:r>
    </w:p>
    <w:p w:rsidR="00AA5D77" w:rsidRPr="006C40C1" w:rsidRDefault="00AA5D77">
      <w:pPr>
        <w:pStyle w:val="Reservationer-underrubrik"/>
        <w:rPr>
          <w:noProof w:val="0"/>
        </w:rPr>
      </w:pPr>
      <w:bookmarkStart w:id="1034" w:name="_Toc26191680"/>
      <w:r w:rsidRPr="006C40C1">
        <w:rPr>
          <w:noProof w:val="0"/>
        </w:rPr>
        <w:t>Förslag till riksdagsbeslut</w:t>
      </w:r>
      <w:bookmarkEnd w:id="1033"/>
      <w:bookmarkEnd w:id="1034"/>
    </w:p>
    <w:p w:rsidR="00AA5D77" w:rsidRPr="006C40C1" w:rsidRDefault="00AA5D77">
      <w:r w:rsidRPr="006C40C1">
        <w:t>Vi anser att utskottets förslag under punkt 4 borde ha följande lydelse:</w:t>
      </w:r>
    </w:p>
    <w:p w:rsidR="00AA5D77" w:rsidRPr="006C40C1" w:rsidRDefault="00AA5D77">
      <w:pPr>
        <w:pStyle w:val="Reservantfrslag"/>
      </w:pPr>
      <w:r w:rsidRPr="006C40C1">
        <w:t>4. Riksdagen fastställer som mål för budgetpolitiken att de offentliga fina</w:t>
      </w:r>
      <w:r w:rsidRPr="006C40C1">
        <w:t>n</w:t>
      </w:r>
      <w:r w:rsidRPr="006C40C1">
        <w:t>serna ska vara i balans över en konjunkturcykel och att den konsoliderade offentliga bruttoskulden ska understiga 40 % av BNP. Därmed bifaller rik</w:t>
      </w:r>
      <w:r w:rsidRPr="006C40C1">
        <w:t>s</w:t>
      </w:r>
      <w:r w:rsidRPr="006C40C1">
        <w:t xml:space="preserve">dagen motion </w:t>
      </w:r>
    </w:p>
    <w:p w:rsidR="00AA5D77" w:rsidRPr="006C40C1" w:rsidRDefault="00AA5D77">
      <w:pPr>
        <w:pStyle w:val="Reservantfrslag"/>
      </w:pPr>
      <w:r w:rsidRPr="006C40C1">
        <w:t>2002/03:Fi231 av Bo Lundgren m.fl. (m) yrkande 8,</w:t>
      </w:r>
    </w:p>
    <w:p w:rsidR="00AA5D77" w:rsidRPr="006C40C1" w:rsidRDefault="00AA5D77">
      <w:pPr>
        <w:pStyle w:val="Reservantfrslag"/>
      </w:pPr>
      <w:r w:rsidRPr="006C40C1">
        <w:t xml:space="preserve">och avslår motionerna </w:t>
      </w:r>
    </w:p>
    <w:p w:rsidR="00AA5D77" w:rsidRPr="006C40C1" w:rsidRDefault="00AA5D77">
      <w:pPr>
        <w:pStyle w:val="Reservantfrslag"/>
      </w:pPr>
      <w:bookmarkStart w:id="1035" w:name="_Toc530479574"/>
      <w:r w:rsidRPr="006C40C1">
        <w:t>2002/03:Fi233 av Alf  Svensson m.fl. (kd) yrkande 10 samt</w:t>
      </w:r>
    </w:p>
    <w:p w:rsidR="00AA5D77" w:rsidRPr="006C40C1" w:rsidRDefault="00AA5D77">
      <w:pPr>
        <w:pStyle w:val="Reservantfrslag"/>
      </w:pPr>
      <w:r w:rsidRPr="006C40C1">
        <w:t>2002/03:Fi234 av Maud Olofsson m.fl. (c) yrkandena  4 och 5.</w:t>
      </w:r>
    </w:p>
    <w:p w:rsidR="00AA5D77" w:rsidRPr="006C40C1" w:rsidRDefault="00AA5D77">
      <w:pPr>
        <w:pStyle w:val="Reservationer-underrubrik"/>
        <w:rPr>
          <w:noProof w:val="0"/>
        </w:rPr>
      </w:pPr>
      <w:bookmarkStart w:id="1036" w:name="_Toc26191681"/>
      <w:r w:rsidRPr="006C40C1">
        <w:rPr>
          <w:noProof w:val="0"/>
        </w:rPr>
        <w:t>Ställningstagande</w:t>
      </w:r>
      <w:bookmarkEnd w:id="1035"/>
      <w:bookmarkEnd w:id="1036"/>
    </w:p>
    <w:p w:rsidR="00AA5D77" w:rsidRPr="006C40C1" w:rsidRDefault="00AA5D77">
      <w:r w:rsidRPr="006C40C1">
        <w:t>Alltsedan 1970-talet har Sverige haft en stor offentlig sektor. De offentliga utgifternas andel av BNP steg då till 50 % och har sedan dess legat 15–20 procen</w:t>
      </w:r>
      <w:r w:rsidRPr="006C40C1">
        <w:t>t</w:t>
      </w:r>
      <w:r w:rsidRPr="006C40C1">
        <w:t>enheter över genomsnittet för OECD-länderna.</w:t>
      </w:r>
    </w:p>
    <w:p w:rsidR="00AA5D77" w:rsidRPr="006C40C1" w:rsidRDefault="00AA5D77">
      <w:pPr>
        <w:pStyle w:val="Normaltindrag"/>
      </w:pPr>
      <w:r w:rsidRPr="006C40C1">
        <w:t>Genom sin expansion tränger den offentliga sektorn undan privat ver</w:t>
      </w:r>
      <w:r w:rsidRPr="006C40C1">
        <w:t>k</w:t>
      </w:r>
      <w:r w:rsidRPr="006C40C1">
        <w:t>samhet, vilket i längden är förödande eftersom välfärden bärs upp av den privata verksamheten. Redan nu ser man hur den offentliga sektorn har allt svårare att klara sina kärnuppgi</w:t>
      </w:r>
      <w:r w:rsidRPr="006C40C1">
        <w:t>f</w:t>
      </w:r>
      <w:r w:rsidRPr="006C40C1">
        <w:t>ter.</w:t>
      </w:r>
    </w:p>
    <w:p w:rsidR="00AA5D77" w:rsidRPr="006C40C1" w:rsidRDefault="00AA5D77">
      <w:pPr>
        <w:pStyle w:val="Normaltindrag"/>
      </w:pPr>
      <w:r w:rsidRPr="006C40C1">
        <w:t>Utrymmet för den privata sektorn och för medborgarnas egen beslutand</w:t>
      </w:r>
      <w:r w:rsidRPr="006C40C1">
        <w:t>e</w:t>
      </w:r>
      <w:r w:rsidRPr="006C40C1">
        <w:t>rätt måste öka. Sverige ska ha starka skattebaser, inte världens högsta skatt</w:t>
      </w:r>
      <w:r w:rsidRPr="006C40C1">
        <w:t>e</w:t>
      </w:r>
      <w:r w:rsidRPr="006C40C1">
        <w:t>satser. Med rörliga skattebaser är högskattepolitiken ett direkt hot mot välfä</w:t>
      </w:r>
      <w:r w:rsidRPr="006C40C1">
        <w:t>r</w:t>
      </w:r>
      <w:r w:rsidRPr="006C40C1">
        <w:t>den och den framtida tillväxten. En skattepolitik som driver företagande och sparande utomlands urholkar grunderna för välfärden. Det är ett högt pris i form av lägre tillväxt och urholkade skattebaser som svenska folket riskerar att få betala för den socialdemokratiska hö</w:t>
      </w:r>
      <w:r w:rsidRPr="006C40C1">
        <w:t>g</w:t>
      </w:r>
      <w:r w:rsidRPr="006C40C1">
        <w:t>skattepolitiken.</w:t>
      </w:r>
    </w:p>
    <w:p w:rsidR="00AA5D77" w:rsidRPr="006C40C1" w:rsidRDefault="00AA5D77">
      <w:pPr>
        <w:pStyle w:val="Normaltindrag"/>
      </w:pPr>
      <w:r w:rsidRPr="006C40C1">
        <w:t xml:space="preserve">Det finns anledning för Sverige att ta fasta på att länder med </w:t>
      </w:r>
      <w:r w:rsidRPr="006C40C1">
        <w:t>lägre offentlig utgiftskvot också har haft en avsevärt bättre välfärdsutveckling än Sverige. Under de senaste 30 åren har Sverige släpat efter i en omfattning som motsv</w:t>
      </w:r>
      <w:r w:rsidRPr="006C40C1">
        <w:t>a</w:t>
      </w:r>
      <w:r w:rsidRPr="006C40C1">
        <w:t>rar en förlorad svensk välfärd på närmare 20 000 kr per hushåll och månad, jämfört med OECD-genomsnittet. De länder som i dag är rikare än Sverige har genomgående en lägre utgift</w:t>
      </w:r>
      <w:r w:rsidRPr="006C40C1">
        <w:t>s</w:t>
      </w:r>
      <w:r w:rsidRPr="006C40C1">
        <w:t>kvot.</w:t>
      </w:r>
    </w:p>
    <w:p w:rsidR="00AA5D77" w:rsidRPr="006C40C1" w:rsidRDefault="00AA5D77">
      <w:pPr>
        <w:pStyle w:val="Normaltindrag"/>
      </w:pPr>
      <w:r w:rsidRPr="006C40C1">
        <w:t xml:space="preserve">Genom en god kontroll över de offentliga utgifterna kan utgiftskvoten gradvis pressas ned mot lägre nivåer. Därmed frigörs också ökad tillväxtkraft samtidigt </w:t>
      </w:r>
      <w:r w:rsidRPr="006C40C1">
        <w:t>som de svenska skatteb</w:t>
      </w:r>
      <w:r w:rsidRPr="006C40C1">
        <w:t>a</w:t>
      </w:r>
      <w:r w:rsidRPr="006C40C1">
        <w:t xml:space="preserve">serna stärks. </w:t>
      </w:r>
    </w:p>
    <w:p w:rsidR="00AA5D77" w:rsidRPr="006C40C1" w:rsidRDefault="00AA5D77">
      <w:pPr>
        <w:pStyle w:val="Normaltindrag"/>
      </w:pPr>
      <w:r w:rsidRPr="006C40C1">
        <w:t>Vi anser att målet för budgetpolitiken bör vara att de offentliga finanserna i genomsnitt ska vara i balans sett över en konjunkturcykel.</w:t>
      </w:r>
    </w:p>
    <w:p w:rsidR="00AA5D77" w:rsidRPr="006C40C1" w:rsidRDefault="00AA5D77">
      <w:pPr>
        <w:pStyle w:val="Normaltindrag"/>
      </w:pPr>
      <w:r w:rsidRPr="006C40C1">
        <w:t>Är de offentliga finanserna i balans kommer den offentliga skulden att vara oförändrad mätt i nominella termer. Men mätt som andel av BNP avtar den successivt. Denna process bör enligt vår mening påskyndas genom att statliga företag privatiseras i ökad utsträckning och försäljningsinkomsterna används till amorteringar som ytterligare begränsar statsskulden. Vi har därför som ett andra mål för vår budgetpolitik att skuldkvoten ska understiga 40 % av BNP. Minskar skuldkvoten kommer också de offentliga finans</w:t>
      </w:r>
      <w:r w:rsidRPr="006C40C1">
        <w:t>ernas sårbarhet att avta samt</w:t>
      </w:r>
      <w:r w:rsidRPr="006C40C1">
        <w:t>i</w:t>
      </w:r>
      <w:r w:rsidRPr="006C40C1">
        <w:t>digt som utrymmet för privata investeringar blir större.</w:t>
      </w:r>
    </w:p>
    <w:p w:rsidR="00AA5D77" w:rsidRPr="006C40C1" w:rsidRDefault="00AA5D77">
      <w:pPr>
        <w:pStyle w:val="Normaltindrag"/>
      </w:pPr>
      <w:r w:rsidRPr="006C40C1">
        <w:t>För att snabbare kunna få ned skuldkvoten till 40 % är vi dessutom bere</w:t>
      </w:r>
      <w:r w:rsidRPr="006C40C1">
        <w:t>d</w:t>
      </w:r>
      <w:r w:rsidRPr="006C40C1">
        <w:t>da att tillfälligt göra avsteg från vårt långsiktiga balansmål och budgetera för ett överskott i den offentliga sektorns finanser som är ungefär lika stort som rege</w:t>
      </w:r>
      <w:r w:rsidRPr="006C40C1">
        <w:t>r</w:t>
      </w:r>
      <w:r w:rsidRPr="006C40C1">
        <w:t xml:space="preserve">ingens. </w:t>
      </w:r>
    </w:p>
    <w:p w:rsidR="00AA5D77" w:rsidRPr="006C40C1" w:rsidRDefault="00AA5D77">
      <w:pPr>
        <w:pStyle w:val="Reservationspunkt"/>
        <w:rPr>
          <w:noProof w:val="0"/>
        </w:rPr>
      </w:pPr>
      <w:bookmarkStart w:id="1037" w:name="_Toc26191682"/>
      <w:r w:rsidRPr="006C40C1">
        <w:rPr>
          <w:noProof w:val="0"/>
        </w:rPr>
        <w:t>5. Mål för budgetpolitiken – avsnitt 2.3, punkt 4 (kd)</w:t>
      </w:r>
      <w:bookmarkEnd w:id="1037"/>
    </w:p>
    <w:p w:rsidR="00AA5D77" w:rsidRPr="006C40C1" w:rsidRDefault="00AA5D77">
      <w:pPr>
        <w:pStyle w:val="Reservanter"/>
      </w:pPr>
      <w:r w:rsidRPr="006C40C1">
        <w:t>av Mats Odell (kd).</w:t>
      </w:r>
    </w:p>
    <w:p w:rsidR="00AA5D77" w:rsidRPr="006C40C1" w:rsidRDefault="00AA5D77">
      <w:pPr>
        <w:pStyle w:val="Reservationer-underrubrik"/>
        <w:rPr>
          <w:noProof w:val="0"/>
        </w:rPr>
      </w:pPr>
      <w:bookmarkStart w:id="1038" w:name="_Toc26191683"/>
      <w:r w:rsidRPr="006C40C1">
        <w:rPr>
          <w:noProof w:val="0"/>
        </w:rPr>
        <w:t>Förslag till riksdagsbeslut</w:t>
      </w:r>
      <w:bookmarkEnd w:id="1038"/>
    </w:p>
    <w:p w:rsidR="00AA5D77" w:rsidRPr="006C40C1" w:rsidRDefault="00AA5D77">
      <w:r w:rsidRPr="006C40C1">
        <w:t>Jag anser att utskottets förslag under punkt 4 borde ha följande lydelse:</w:t>
      </w:r>
    </w:p>
    <w:p w:rsidR="00AA5D77" w:rsidRPr="006C40C1" w:rsidRDefault="00AA5D77">
      <w:pPr>
        <w:pStyle w:val="Reservantfrslag"/>
      </w:pPr>
      <w:r w:rsidRPr="006C40C1">
        <w:t>4. Riksdagen tillkännager som sin mening att regeringen ska fullfölja arbetet med den långsiktiga inkomst- och utgiftsstrategi, LINUS, som påbörjades i Finansdepartementet under den förre finansministerns ledning. Därmed b</w:t>
      </w:r>
      <w:r w:rsidRPr="006C40C1">
        <w:t>i</w:t>
      </w:r>
      <w:r w:rsidRPr="006C40C1">
        <w:t>faller riksd</w:t>
      </w:r>
      <w:r w:rsidRPr="006C40C1">
        <w:t>a</w:t>
      </w:r>
      <w:r w:rsidRPr="006C40C1">
        <w:t xml:space="preserve">gen motion </w:t>
      </w:r>
    </w:p>
    <w:p w:rsidR="00AA5D77" w:rsidRPr="006C40C1" w:rsidRDefault="00AA5D77">
      <w:pPr>
        <w:pStyle w:val="Reservantfrslag"/>
      </w:pPr>
      <w:r w:rsidRPr="006C40C1">
        <w:t xml:space="preserve">2002/03:Fi233 av Alf Svensson m.fl. (kd) yrkande 10 </w:t>
      </w:r>
    </w:p>
    <w:p w:rsidR="00AA5D77" w:rsidRPr="006C40C1" w:rsidRDefault="00AA5D77">
      <w:pPr>
        <w:pStyle w:val="Reservantfrslag"/>
      </w:pPr>
      <w:r w:rsidRPr="006C40C1">
        <w:t xml:space="preserve">och avslår motionerna </w:t>
      </w:r>
    </w:p>
    <w:p w:rsidR="00AA5D77" w:rsidRPr="006C40C1" w:rsidRDefault="00AA5D77">
      <w:pPr>
        <w:pStyle w:val="Reservantfrslag"/>
        <w:keepLines/>
      </w:pPr>
      <w:r w:rsidRPr="006C40C1">
        <w:br w:type="page"/>
        <w:t>2002/03:Fi231 av Bo Lundgren m.fl. (m) yrkande 8 samt</w:t>
      </w:r>
    </w:p>
    <w:p w:rsidR="00AA5D77" w:rsidRPr="006C40C1" w:rsidRDefault="00AA5D77">
      <w:pPr>
        <w:pStyle w:val="Reservantfrslag"/>
        <w:keepNext/>
        <w:keepLines/>
      </w:pPr>
      <w:r w:rsidRPr="006C40C1">
        <w:t>2002/03:Fi234 av Maud Olofsson m.fl. (c) yrkandena 4 och 5.</w:t>
      </w:r>
    </w:p>
    <w:p w:rsidR="00AA5D77" w:rsidRPr="006C40C1" w:rsidRDefault="00AA5D77">
      <w:pPr>
        <w:pStyle w:val="R4"/>
      </w:pPr>
      <w:r w:rsidRPr="006C40C1">
        <w:t>Ställningstagande</w:t>
      </w:r>
    </w:p>
    <w:p w:rsidR="00AA5D77" w:rsidRPr="006C40C1" w:rsidRDefault="00AA5D77">
      <w:r w:rsidRPr="006C40C1">
        <w:t>Som påpekas i Kristdemokraternas motion Fi233 ligger överskotten i den offentliga sektorn under åren framöver helt i ålderspensionssystemet medan statsbudgeten går med underskott. Nuvarande budgetpolitiska överskottsmål ger därför inte någon buffert åt statsfinanserna som det ursprungligen var tänkt. Regeringens avsikt att göra statsfinanserna mer stabila för konjunktu</w:t>
      </w:r>
      <w:r w:rsidRPr="006C40C1">
        <w:t>r</w:t>
      </w:r>
      <w:r w:rsidRPr="006C40C1">
        <w:t>svängningar har alltså helt misslyckats.</w:t>
      </w:r>
    </w:p>
    <w:p w:rsidR="00AA5D77" w:rsidRPr="006C40C1" w:rsidRDefault="00AA5D77">
      <w:pPr>
        <w:pStyle w:val="Normaltindrag"/>
      </w:pPr>
      <w:r w:rsidRPr="006C40C1">
        <w:t>För oss kristdemokrater är sunda statsfinanser av central betydelse för den ekonomiska politiken. Kristdemokraterna anser därför att det behövs ett ko</w:t>
      </w:r>
      <w:r w:rsidRPr="006C40C1">
        <w:t>m</w:t>
      </w:r>
      <w:r w:rsidRPr="006C40C1">
        <w:t>pletterande budgetmål för statens finansiella sparande. Regeringen bör med hänsyn härtill återkomma till riksdagen med förslag om ett kompletterande budgetmål om balans i statens finansiella sparande över en konjunkturcykel. Regeringen bör i det sammanhanget också lämna förslag om i vilken takt ett sådant mål bör fasas in.</w:t>
      </w:r>
    </w:p>
    <w:p w:rsidR="00AA5D77" w:rsidRPr="006C40C1" w:rsidRDefault="00AA5D77">
      <w:pPr>
        <w:pStyle w:val="Normaltindrag"/>
      </w:pPr>
      <w:r w:rsidRPr="006C40C1">
        <w:t>Under sin tid som statsråd tog f.d. finansministern Erik Åsbrink initiativ till ett arbete med en långsiktig inkomst- och utgiftsstrategi, LINUS. Erik Åsbrink hann dock aldrig slutföra d</w:t>
      </w:r>
      <w:r w:rsidRPr="006C40C1">
        <w:t>etta arbete. En strategi av detta slag b</w:t>
      </w:r>
      <w:r w:rsidRPr="006C40C1">
        <w:t>e</w:t>
      </w:r>
      <w:r w:rsidRPr="006C40C1">
        <w:t xml:space="preserve">hövs emellertid om Sverige </w:t>
      </w:r>
      <w:r w:rsidRPr="006C40C1">
        <w:rPr>
          <w:snapToGrid w:val="0"/>
          <w:lang w:eastAsia="sv-SE"/>
        </w:rPr>
        <w:t>ska</w:t>
      </w:r>
      <w:r w:rsidRPr="006C40C1">
        <w:t xml:space="preserve"> klara den dubbla utmaning som följer av dels en ökad internationalisering, dels den demografiska utvecklingen. Internati</w:t>
      </w:r>
      <w:r w:rsidRPr="006C40C1">
        <w:t>o</w:t>
      </w:r>
      <w:r w:rsidRPr="006C40C1">
        <w:t>naliseringen tvingar fram skattesänkningar, medan den demografiska utvec</w:t>
      </w:r>
      <w:r w:rsidRPr="006C40C1">
        <w:t>k</w:t>
      </w:r>
      <w:r w:rsidRPr="006C40C1">
        <w:t>lingen snarare ställer krav i motsatt riktning. Regeringen bör därför anmodas att fullfölja detta arbete. Därmed tillstyrker jag motion Fi233 (kd) yrkande 10 och avstyrker motionerna Fi231 (m) yrkande 8 och Fi234 (c) yrkandena 4 och 5.</w:t>
      </w:r>
    </w:p>
    <w:p w:rsidR="00AA5D77" w:rsidRPr="006C40C1" w:rsidRDefault="00AA5D77">
      <w:pPr>
        <w:pStyle w:val="Reservationspunkt"/>
        <w:rPr>
          <w:noProof w:val="0"/>
        </w:rPr>
      </w:pPr>
      <w:bookmarkStart w:id="1039" w:name="_Toc530479575"/>
      <w:bookmarkStart w:id="1040" w:name="_Toc26191684"/>
      <w:r w:rsidRPr="006C40C1">
        <w:rPr>
          <w:noProof w:val="0"/>
        </w:rPr>
        <w:t>6. Mål för</w:t>
      </w:r>
      <w:r w:rsidRPr="006C40C1">
        <w:rPr>
          <w:noProof w:val="0"/>
        </w:rPr>
        <w:t xml:space="preserve"> budgetpolitiken – avsnitt 2.3, punkt 4 (c)</w:t>
      </w:r>
      <w:bookmarkEnd w:id="1040"/>
    </w:p>
    <w:p w:rsidR="00AA5D77" w:rsidRPr="006C40C1" w:rsidRDefault="00AA5D77">
      <w:pPr>
        <w:pStyle w:val="Reservanter"/>
      </w:pPr>
      <w:r w:rsidRPr="006C40C1">
        <w:t>av Lena Ek (c).</w:t>
      </w:r>
    </w:p>
    <w:p w:rsidR="00AA5D77" w:rsidRPr="006C40C1" w:rsidRDefault="00AA5D77">
      <w:pPr>
        <w:pStyle w:val="Reservationer-underrubrik"/>
        <w:rPr>
          <w:noProof w:val="0"/>
        </w:rPr>
      </w:pPr>
      <w:bookmarkStart w:id="1041" w:name="_Toc26191685"/>
      <w:r w:rsidRPr="006C40C1">
        <w:rPr>
          <w:noProof w:val="0"/>
        </w:rPr>
        <w:t>Förslag till riksdagsbeslut</w:t>
      </w:r>
      <w:bookmarkEnd w:id="1041"/>
    </w:p>
    <w:p w:rsidR="00AA5D77" w:rsidRPr="006C40C1" w:rsidRDefault="00AA5D77">
      <w:r w:rsidRPr="006C40C1">
        <w:t>Jag anser att utskottets förslag under punkt 4 borde ha följande lydelse:</w:t>
      </w:r>
    </w:p>
    <w:p w:rsidR="00AA5D77" w:rsidRPr="006C40C1" w:rsidRDefault="00AA5D77">
      <w:pPr>
        <w:pStyle w:val="Reservantfrslag"/>
      </w:pPr>
      <w:r w:rsidRPr="006C40C1">
        <w:t>4. Riksdagen tillkännager som sin mening att regeringen dels bör låta utreda frågan om en bestämmelse i budgetlagen om strukturell balans i statens fina</w:t>
      </w:r>
      <w:r w:rsidRPr="006C40C1">
        <w:t>n</w:t>
      </w:r>
      <w:r w:rsidRPr="006C40C1">
        <w:t>ser, dels framgent bör presentera förslag till utgiftstak och preliminär förde</w:t>
      </w:r>
      <w:r w:rsidRPr="006C40C1">
        <w:t>l</w:t>
      </w:r>
      <w:r w:rsidRPr="006C40C1">
        <w:t xml:space="preserve">ning på utgiftsområden för tre år. Därmed bifaller riksdagen motion </w:t>
      </w:r>
    </w:p>
    <w:p w:rsidR="00AA5D77" w:rsidRPr="006C40C1" w:rsidRDefault="00AA5D77">
      <w:pPr>
        <w:pStyle w:val="Reservantfrslag"/>
      </w:pPr>
      <w:r w:rsidRPr="006C40C1">
        <w:t>2002/03:Fi234 av Maud Olofsson m.fl. (c) yrkandena 4 och 5</w:t>
      </w:r>
    </w:p>
    <w:p w:rsidR="00AA5D77" w:rsidRPr="006C40C1" w:rsidRDefault="00AA5D77">
      <w:pPr>
        <w:pStyle w:val="Reservantfrslag"/>
      </w:pPr>
      <w:r w:rsidRPr="006C40C1">
        <w:t xml:space="preserve">och avslår motionerna </w:t>
      </w:r>
    </w:p>
    <w:p w:rsidR="00AA5D77" w:rsidRPr="006C40C1" w:rsidRDefault="00AA5D77">
      <w:pPr>
        <w:pStyle w:val="Reservantfrslag"/>
      </w:pPr>
      <w:r w:rsidRPr="006C40C1">
        <w:t>2002/03:Fi231 av Bo Lundgren m.fl. (m) yrkande 8 samt</w:t>
      </w:r>
    </w:p>
    <w:p w:rsidR="00AA5D77" w:rsidRPr="006C40C1" w:rsidRDefault="00AA5D77">
      <w:pPr>
        <w:pStyle w:val="Reservantfrslag"/>
      </w:pPr>
      <w:r w:rsidRPr="006C40C1">
        <w:t>2002/03:Fi233 av Alf Svensson m.fl. (kd) yrkande 10.</w:t>
      </w:r>
    </w:p>
    <w:bookmarkEnd w:id="1039"/>
    <w:p w:rsidR="00AA5D77" w:rsidRPr="006C40C1" w:rsidRDefault="00AA5D77">
      <w:pPr>
        <w:pStyle w:val="R4"/>
      </w:pPr>
      <w:r w:rsidRPr="006C40C1">
        <w:t>Ställningstagande</w:t>
      </w:r>
    </w:p>
    <w:p w:rsidR="00AA5D77" w:rsidRPr="006C40C1" w:rsidRDefault="00AA5D77">
      <w:r w:rsidRPr="006C40C1">
        <w:t>Jag har respekt för att regeringens överskottsmål inte kommer att nås 2003 och 2004 men anser att regeringen inte anstränger sig tillräckligt för att min</w:t>
      </w:r>
      <w:r w:rsidRPr="006C40C1">
        <w:t>i</w:t>
      </w:r>
      <w:r w:rsidRPr="006C40C1">
        <w:t>mera avvikelsen från det uppställda målet.</w:t>
      </w:r>
    </w:p>
    <w:p w:rsidR="00AA5D77" w:rsidRPr="006C40C1" w:rsidRDefault="00AA5D77">
      <w:pPr>
        <w:pStyle w:val="Normaltindrag"/>
      </w:pPr>
      <w:r w:rsidRPr="006C40C1">
        <w:t>Överskottsmålet till trots visar det sig att statsskulden med regeringens p</w:t>
      </w:r>
      <w:r w:rsidRPr="006C40C1">
        <w:t>o</w:t>
      </w:r>
      <w:r w:rsidRPr="006C40C1">
        <w:t>litik fortsätter att öka i absoluta tal. Samtidigt som pensionssystem och, i viss utsträckning, kommunsektorn visar överskott går statens finanser i stort sett samtliga år med underskott. Rensar man de statliga finanserna från engång</w:t>
      </w:r>
      <w:r w:rsidRPr="006C40C1">
        <w:t>s</w:t>
      </w:r>
      <w:r w:rsidRPr="006C40C1">
        <w:t>effekter har de varit i balans endast något enstaka år den senaste peri</w:t>
      </w:r>
      <w:r w:rsidRPr="006C40C1">
        <w:t>o</w:t>
      </w:r>
      <w:r w:rsidRPr="006C40C1">
        <w:t>den.</w:t>
      </w:r>
    </w:p>
    <w:p w:rsidR="00AA5D77" w:rsidRPr="006C40C1" w:rsidRDefault="00AA5D77">
      <w:pPr>
        <w:pStyle w:val="Normaltindrag"/>
      </w:pPr>
      <w:r w:rsidRPr="006C40C1">
        <w:t>Det är enligt min mening oroväckande att det endast är överskottet i pe</w:t>
      </w:r>
      <w:r w:rsidRPr="006C40C1">
        <w:t>n</w:t>
      </w:r>
      <w:r w:rsidRPr="006C40C1">
        <w:t>sionssystemet som bär upp det finansiella sparandet. En sund ekonomisk politik måste på sikt innebära att också statsbudgeten är i balans. Staten kr</w:t>
      </w:r>
      <w:r w:rsidRPr="006C40C1">
        <w:t>ä</w:t>
      </w:r>
      <w:r w:rsidRPr="006C40C1">
        <w:t>ver i dag att kommuners och landstings finanser ska vara i balans sett över en treårsperiod. Det är orimligt att staten ställer upp sådana krav utan att själv föregå med gott exempel. En solid ekonomisk utveckling förutsätter att såväl statens som kommunernas och pensionssystemets ekonomi är i balans.</w:t>
      </w:r>
    </w:p>
    <w:p w:rsidR="00AA5D77" w:rsidRPr="006C40C1" w:rsidRDefault="00AA5D77">
      <w:pPr>
        <w:pStyle w:val="Normaltindrag"/>
      </w:pPr>
      <w:r w:rsidRPr="006C40C1">
        <w:t>Enligt Centerpartiets mening bör regeringen tillsätta en ut</w:t>
      </w:r>
      <w:r w:rsidRPr="006C40C1">
        <w:t>redning som får i uppdrag att utreda frågan om hur ett mål om strukturell balans i statens fina</w:t>
      </w:r>
      <w:r w:rsidRPr="006C40C1">
        <w:t>n</w:t>
      </w:r>
      <w:r w:rsidRPr="006C40C1">
        <w:t>ser över en konjunkturcykel ska kunna inordnas i budgetlagen.</w:t>
      </w:r>
    </w:p>
    <w:p w:rsidR="00AA5D77" w:rsidRPr="006C40C1" w:rsidRDefault="00AA5D77">
      <w:pPr>
        <w:pStyle w:val="Normaltindrag"/>
      </w:pPr>
      <w:r w:rsidRPr="006C40C1">
        <w:t>Hittills har utgiftstak och preliminär fördelning på utgiftsområden fas</w:t>
      </w:r>
      <w:r w:rsidRPr="006C40C1">
        <w:t>t</w:t>
      </w:r>
      <w:r w:rsidRPr="006C40C1">
        <w:t xml:space="preserve">ställts för tre år i taget. Regeringen har emellertid i årets budgetproposition frångått denna ordning och ursäktar sig med att riksdagsvalet har förskjutit planeringen. Enligt min mening klingar förklaringen tunt. Centerpartiet anser att man bör överväga att skärpa budgetlagen och där föreskriva att förslag till utgiftstak och preliminär fördelning på utgiftsområden i fortsättningen ska avse tre år. </w:t>
      </w:r>
    </w:p>
    <w:p w:rsidR="00AA5D77" w:rsidRPr="006C40C1" w:rsidRDefault="00AA5D77">
      <w:pPr>
        <w:pStyle w:val="Reservationspunkt"/>
        <w:rPr>
          <w:noProof w:val="0"/>
        </w:rPr>
      </w:pPr>
      <w:bookmarkStart w:id="1042" w:name="_Toc530479576"/>
      <w:bookmarkStart w:id="1043" w:name="_Toc26191686"/>
      <w:r w:rsidRPr="006C40C1">
        <w:rPr>
          <w:noProof w:val="0"/>
        </w:rPr>
        <w:t>7. Mål för budgetpolitiken – avsnitt 2.3, punkt 4, motiveringen (fp)</w:t>
      </w:r>
      <w:bookmarkEnd w:id="1042"/>
      <w:bookmarkEnd w:id="1043"/>
    </w:p>
    <w:p w:rsidR="00AA5D77" w:rsidRPr="006C40C1" w:rsidRDefault="00AA5D77">
      <w:pPr>
        <w:pStyle w:val="Reservanter"/>
      </w:pPr>
      <w:r w:rsidRPr="006C40C1">
        <w:t>av Karin Pilsäter och Christer Nylander (båda fp).</w:t>
      </w:r>
    </w:p>
    <w:p w:rsidR="00AA5D77" w:rsidRPr="006C40C1" w:rsidRDefault="00AA5D77">
      <w:pPr>
        <w:pStyle w:val="Reservationer-underrubrik"/>
        <w:rPr>
          <w:noProof w:val="0"/>
        </w:rPr>
      </w:pPr>
      <w:bookmarkStart w:id="1044" w:name="_Toc530479577"/>
      <w:bookmarkStart w:id="1045" w:name="_Toc26191687"/>
      <w:r w:rsidRPr="006C40C1">
        <w:rPr>
          <w:noProof w:val="0"/>
        </w:rPr>
        <w:t>Ställningstagande</w:t>
      </w:r>
      <w:bookmarkEnd w:id="1044"/>
      <w:bookmarkEnd w:id="1045"/>
    </w:p>
    <w:p w:rsidR="00AA5D77" w:rsidRPr="006C40C1" w:rsidRDefault="00AA5D77">
      <w:r w:rsidRPr="006C40C1">
        <w:t>Folkpartiet står bakom regeringens mål om ett överskott i de offentliga fina</w:t>
      </w:r>
      <w:r w:rsidRPr="006C40C1">
        <w:t>n</w:t>
      </w:r>
      <w:r w:rsidRPr="006C40C1">
        <w:t>serna på i genomsnitt 2 % av BNP sett över en konjunkturcykel. Detta mål avser hela den offentliga sektorn, dvs. stat, kommun och ålderspensionss</w:t>
      </w:r>
      <w:r w:rsidRPr="006C40C1">
        <w:t>y</w:t>
      </w:r>
      <w:r w:rsidRPr="006C40C1">
        <w:t>stem. Under de närmaste åren kommer pensionssystemet ensamt att uppvisa överskott, kommunerna att i stort sett vara i balans medan statens finanser kommer att gå med underskott. Av betydelse är att pensionssystemets öve</w:t>
      </w:r>
      <w:r w:rsidRPr="006C40C1">
        <w:t>r</w:t>
      </w:r>
      <w:r w:rsidRPr="006C40C1">
        <w:t>skott inte är användbart för konjunkturstabiliserande operationer.</w:t>
      </w:r>
    </w:p>
    <w:p w:rsidR="00AA5D77" w:rsidRPr="006C40C1" w:rsidRDefault="00AA5D77">
      <w:pPr>
        <w:pStyle w:val="Normaltindrag"/>
      </w:pPr>
      <w:r w:rsidRPr="006C40C1">
        <w:t>Mot denna bakgrund är en berättigad fråga hur kravet på det offentliga sparand</w:t>
      </w:r>
      <w:r w:rsidRPr="006C40C1">
        <w:t>et och på skatter och utgifter ska formuleras i ett längre perspektiv. Vi i Folkpartiet anser att det finns anledning att ta upp detta krav till förnyad analys och debatt. Den nya EMU-utredningen (SOU 2002:16) har givit ett bidrag genom att föreslå att kravet på offentligt sparande ska höjas till 3 % av BNP i genomsnitt över konjunkturcykeln. Mot detta förslag har emellertid bl.a. Riksbanken haft invändningar.</w:t>
      </w:r>
    </w:p>
    <w:p w:rsidR="00AA5D77" w:rsidRPr="006C40C1" w:rsidRDefault="00AA5D77">
      <w:pPr>
        <w:pStyle w:val="Normaltindrag"/>
      </w:pPr>
      <w:r w:rsidRPr="006C40C1">
        <w:t>Med tanke på den roll och den stabilitet som pensionssystemet har bör ett nytt krav sannolikt form</w:t>
      </w:r>
      <w:r w:rsidRPr="006C40C1">
        <w:t>uleras så att det gäller staten och kommunsektorn. Det är inte givet att denna restriktion nödvändigtvis bör formuleras i termer av överskott eller underskott. Det kan lika gärna formuleras som ett balan</w:t>
      </w:r>
      <w:r w:rsidRPr="006C40C1">
        <w:t>s</w:t>
      </w:r>
      <w:r w:rsidRPr="006C40C1">
        <w:t xml:space="preserve">räkningskrav, dvs. i praktiken ett krav på skuldens storlek. </w:t>
      </w:r>
    </w:p>
    <w:p w:rsidR="00AA5D77" w:rsidRPr="006C40C1" w:rsidRDefault="00AA5D77">
      <w:pPr>
        <w:pStyle w:val="Normaltindrag"/>
      </w:pPr>
      <w:r w:rsidRPr="006C40C1">
        <w:t>Denna fråga behöver dock analyseras mera, inte minst i ljuset av de fö</w:t>
      </w:r>
      <w:r w:rsidRPr="006C40C1">
        <w:t>r</w:t>
      </w:r>
      <w:r w:rsidRPr="006C40C1">
        <w:t>ändrade villkor som ett deltagande i eurosamarbetet kommer att innebära. Remissomgången på EMU-utredningen bör därför avvaktas.</w:t>
      </w:r>
    </w:p>
    <w:p w:rsidR="00AA5D77" w:rsidRPr="006C40C1" w:rsidRDefault="00AA5D77">
      <w:pPr>
        <w:pStyle w:val="Normaltindrag"/>
      </w:pPr>
      <w:r w:rsidRPr="006C40C1">
        <w:t>De motioner som tar upp denna fråga bör därför inte leda till att riksdagen nu tar ett initiativ i frågan. Utskottet avstyrker därför motionerna Fi231 (m) yrkande 8, Fi233 (kd) yrkande 10 samt Fi234 (c) yrkandena 4 och 5.</w:t>
      </w:r>
    </w:p>
    <w:p w:rsidR="00AA5D77" w:rsidRPr="006C40C1" w:rsidRDefault="00AA5D77">
      <w:pPr>
        <w:pStyle w:val="Reservationspunkt"/>
        <w:rPr>
          <w:noProof w:val="0"/>
        </w:rPr>
      </w:pPr>
      <w:bookmarkStart w:id="1046" w:name="_Toc530479578"/>
      <w:bookmarkStart w:id="1047" w:name="_Toc26191688"/>
      <w:r w:rsidRPr="006C40C1">
        <w:rPr>
          <w:noProof w:val="0"/>
        </w:rPr>
        <w:t>8. Budgetförslagen för 2003 – avsnitten 2.4–2.12, 3 och 4.1, punkt 5 (m)</w:t>
      </w:r>
      <w:bookmarkEnd w:id="1046"/>
      <w:bookmarkEnd w:id="1047"/>
    </w:p>
    <w:p w:rsidR="00AA5D77" w:rsidRPr="006C40C1" w:rsidRDefault="00AA5D77">
      <w:pPr>
        <w:pStyle w:val="Reservanter"/>
      </w:pPr>
      <w:r w:rsidRPr="006C40C1">
        <w:t>av Fredrik Reinfeldt, Gunnar Axén och Tomas Högström (alla m).</w:t>
      </w:r>
    </w:p>
    <w:p w:rsidR="00AA5D77" w:rsidRPr="006C40C1" w:rsidRDefault="00AA5D77">
      <w:pPr>
        <w:pStyle w:val="R4"/>
      </w:pPr>
      <w:r w:rsidRPr="006C40C1">
        <w:t>Förslag till riksdagsbeslut</w:t>
      </w:r>
    </w:p>
    <w:p w:rsidR="00AA5D77" w:rsidRPr="006C40C1" w:rsidRDefault="00AA5D77">
      <w:r w:rsidRPr="006C40C1">
        <w:t>Vi anser att utskottets förslag under punkt 5 borde ha följande lydelse:</w:t>
      </w:r>
    </w:p>
    <w:p w:rsidR="00AA5D77" w:rsidRPr="006C40C1" w:rsidRDefault="00AA5D77">
      <w:pPr>
        <w:pStyle w:val="R4"/>
      </w:pPr>
      <w:r w:rsidRPr="006C40C1">
        <w:t>5. Budgetförslagen för 2003</w:t>
      </w:r>
    </w:p>
    <w:p w:rsidR="00AA5D77" w:rsidRPr="006C40C1" w:rsidRDefault="00AA5D77">
      <w:pPr>
        <w:tabs>
          <w:tab w:val="left" w:pos="284"/>
          <w:tab w:val="num" w:pos="360"/>
        </w:tabs>
        <w:spacing w:before="120"/>
        <w:ind w:left="357" w:hanging="357"/>
        <w:rPr>
          <w:i/>
        </w:rPr>
      </w:pPr>
      <w:r w:rsidRPr="006C40C1">
        <w:rPr>
          <w:i/>
        </w:rPr>
        <w:t>a) Utgiftstak för staten 2002–2004 (avsnitt 2.5.1)</w:t>
      </w:r>
    </w:p>
    <w:p w:rsidR="00AA5D77" w:rsidRPr="006C40C1" w:rsidRDefault="00AA5D77">
      <w:pPr>
        <w:pStyle w:val="Reservantfrslag"/>
      </w:pPr>
      <w:r w:rsidRPr="006C40C1">
        <w:t>Riksdagen fastställer utgiftstaket för staten inklusive ålderspensionssystemet vid sidan av statsbudgeten till 863 miljarder kronor 2003 och 883 miljarder kronor 2004. Därmed bifaller riksdagen motion 2002/03:Fi231 av Bo Lun</w:t>
      </w:r>
      <w:r w:rsidRPr="006C40C1">
        <w:t>d</w:t>
      </w:r>
      <w:r w:rsidRPr="006C40C1">
        <w:t>gren m.fl. (m) yrkande 3 och avslår proposition 2002/03:1 punkt 2 samt övr</w:t>
      </w:r>
      <w:r w:rsidRPr="006C40C1">
        <w:t>i</w:t>
      </w:r>
      <w:r w:rsidRPr="006C40C1">
        <w:t xml:space="preserve">ga motionsyrkanden som finns upptagna under punkt 5 a i efterföljande </w:t>
      </w:r>
      <w:r w:rsidRPr="006C40C1">
        <w:rPr>
          <w:i/>
        </w:rPr>
        <w:t>fö</w:t>
      </w:r>
      <w:r w:rsidRPr="006C40C1">
        <w:rPr>
          <w:i/>
        </w:rPr>
        <w:t>r</w:t>
      </w:r>
      <w:r w:rsidRPr="006C40C1">
        <w:rPr>
          <w:i/>
        </w:rPr>
        <w:t>teckning över av utskottet i punkt 5 avstyrkta motionsy</w:t>
      </w:r>
      <w:r w:rsidRPr="006C40C1">
        <w:rPr>
          <w:i/>
        </w:rPr>
        <w:t>r</w:t>
      </w:r>
      <w:r w:rsidRPr="006C40C1">
        <w:rPr>
          <w:i/>
        </w:rPr>
        <w:t>kanden.</w:t>
      </w:r>
    </w:p>
    <w:p w:rsidR="00AA5D77" w:rsidRPr="006C40C1" w:rsidRDefault="00AA5D77">
      <w:pPr>
        <w:pStyle w:val="Reservantfrslag"/>
        <w:spacing w:before="120"/>
        <w:rPr>
          <w:i/>
        </w:rPr>
      </w:pPr>
      <w:r w:rsidRPr="006C40C1">
        <w:rPr>
          <w:i/>
        </w:rPr>
        <w:t>b) Beräkning av den offentliga sektorns utgifter åren 2003 och 2004 (avsnitt 2.5.2)</w:t>
      </w:r>
    </w:p>
    <w:p w:rsidR="00AA5D77" w:rsidRPr="006C40C1" w:rsidRDefault="00AA5D77">
      <w:pPr>
        <w:pStyle w:val="Reservantfrslag"/>
      </w:pPr>
      <w:r w:rsidRPr="006C40C1">
        <w:t>Riksdagen godkänner den reviderade beräkningen av de offentliga utgifterna för åren 2003 och 2004 som redovisas i motion 2002/03:Fi231. Därmed b</w:t>
      </w:r>
      <w:r w:rsidRPr="006C40C1">
        <w:t>i</w:t>
      </w:r>
      <w:r w:rsidRPr="006C40C1">
        <w:t xml:space="preserve">faller riksdagen motion 2002/03:Fi231 av Bo Lundgren m.fl. (m) yrkande 2 och avslår proposition 2002/03:1 punkt 3 samt övriga motionsyrkanden som finns upptagna under punkt 5 b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tabs>
          <w:tab w:val="left" w:pos="284"/>
          <w:tab w:val="num" w:pos="360"/>
        </w:tabs>
        <w:spacing w:before="120"/>
        <w:ind w:left="357" w:hanging="357"/>
        <w:rPr>
          <w:i/>
        </w:rPr>
      </w:pPr>
      <w:r w:rsidRPr="006C40C1">
        <w:rPr>
          <w:i/>
        </w:rPr>
        <w:t>c) Fördelning av statsbudgetens utgifter på utgiftsområden 2003 (avsnitt 2.6)</w:t>
      </w:r>
    </w:p>
    <w:p w:rsidR="00AA5D77" w:rsidRPr="006C40C1" w:rsidRDefault="00AA5D77">
      <w:pPr>
        <w:pStyle w:val="Normaltindrag"/>
        <w:tabs>
          <w:tab w:val="left" w:pos="1701"/>
          <w:tab w:val="left" w:pos="4962"/>
        </w:tabs>
        <w:ind w:firstLine="0"/>
      </w:pPr>
      <w:r w:rsidRPr="006C40C1">
        <w:t>Riksdagen beslutar om fördelning av utgifterna för budgetåret 2003 på u</w:t>
      </w:r>
      <w:r w:rsidRPr="006C40C1">
        <w:t>t</w:t>
      </w:r>
      <w:r w:rsidRPr="006C40C1">
        <w:t xml:space="preserve">giftsområden enligt det med reservation 8 betecknade förslaget i efterföljande </w:t>
      </w:r>
      <w:r w:rsidRPr="006C40C1">
        <w:rPr>
          <w:i/>
        </w:rPr>
        <w:t>sammanställning över statsbudgetens utgifter och inkomste</w:t>
      </w:r>
      <w:r w:rsidRPr="006C40C1">
        <w:t xml:space="preserve">r. Därmed bifaller riksdagen motion 2002:03:Fi231 av Bo Lundgren m.fl. (m) yrkande 5 och avslår proposition 2002/03:1 punkt 8 och motion 2002/03:Fi230 av Britt Bohlin m.fl. (s, v, mp) yrkande 1 samt övriga motionsyrkanden som finns upptagna under punkt 5 c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tabs>
          <w:tab w:val="left" w:pos="284"/>
          <w:tab w:val="num" w:pos="360"/>
        </w:tabs>
        <w:spacing w:before="120"/>
        <w:ind w:left="357" w:hanging="357"/>
        <w:rPr>
          <w:i/>
        </w:rPr>
      </w:pPr>
      <w:r w:rsidRPr="006C40C1">
        <w:rPr>
          <w:i/>
        </w:rPr>
        <w:t>d) Förändringar av anslagsbehållnin</w:t>
      </w:r>
      <w:r w:rsidRPr="006C40C1">
        <w:rPr>
          <w:i/>
        </w:rPr>
        <w:t>gar för 2003 (avsnitt 2.8)</w:t>
      </w:r>
    </w:p>
    <w:p w:rsidR="00AA5D77" w:rsidRPr="006C40C1" w:rsidRDefault="00AA5D77">
      <w:pPr>
        <w:pStyle w:val="Reservantfrslag"/>
      </w:pPr>
      <w:r w:rsidRPr="006C40C1">
        <w:t>=utskottet</w:t>
      </w:r>
    </w:p>
    <w:p w:rsidR="00AA5D77" w:rsidRPr="006C40C1" w:rsidRDefault="00AA5D77">
      <w:pPr>
        <w:tabs>
          <w:tab w:val="left" w:pos="284"/>
          <w:tab w:val="num" w:pos="360"/>
        </w:tabs>
        <w:spacing w:before="120"/>
        <w:ind w:left="357" w:hanging="357"/>
        <w:rPr>
          <w:i/>
        </w:rPr>
      </w:pPr>
      <w:r w:rsidRPr="006C40C1">
        <w:rPr>
          <w:i/>
        </w:rPr>
        <w:t>e) Myndigheternas in- och utlåning i Riksgäldskontoret (avsnitt 2.9)</w:t>
      </w:r>
    </w:p>
    <w:p w:rsidR="00AA5D77" w:rsidRPr="006C40C1" w:rsidRDefault="00AA5D77">
      <w:pPr>
        <w:pStyle w:val="Reservantfrslag"/>
      </w:pPr>
      <w:r w:rsidRPr="006C40C1">
        <w:t>=utskottet</w:t>
      </w:r>
    </w:p>
    <w:p w:rsidR="00AA5D77" w:rsidRPr="006C40C1" w:rsidRDefault="00AA5D77">
      <w:pPr>
        <w:tabs>
          <w:tab w:val="left" w:pos="284"/>
          <w:tab w:val="num" w:pos="360"/>
        </w:tabs>
        <w:spacing w:before="120"/>
        <w:ind w:left="357" w:hanging="357"/>
        <w:rPr>
          <w:i/>
        </w:rPr>
      </w:pPr>
      <w:r w:rsidRPr="006C40C1">
        <w:rPr>
          <w:i/>
        </w:rPr>
        <w:t>f) Kassamässig korrigering (avsnitt 2.10)</w:t>
      </w:r>
    </w:p>
    <w:p w:rsidR="00AA5D77" w:rsidRPr="006C40C1" w:rsidRDefault="00AA5D77">
      <w:pPr>
        <w:pStyle w:val="Reservantfrslag"/>
      </w:pPr>
      <w:r w:rsidRPr="006C40C1">
        <w:t>=utskottet</w:t>
      </w:r>
    </w:p>
    <w:p w:rsidR="00AA5D77" w:rsidRPr="006C40C1" w:rsidRDefault="00AA5D77">
      <w:pPr>
        <w:tabs>
          <w:tab w:val="left" w:pos="284"/>
          <w:tab w:val="num" w:pos="360"/>
        </w:tabs>
        <w:spacing w:before="120"/>
        <w:ind w:left="357" w:hanging="357"/>
        <w:rPr>
          <w:i/>
        </w:rPr>
      </w:pPr>
      <w:r w:rsidRPr="006C40C1">
        <w:rPr>
          <w:i/>
        </w:rPr>
        <w:t>g) Beskattning av förvärvsinkomster (avsnitt 3.3.1)</w:t>
      </w:r>
    </w:p>
    <w:p w:rsidR="00AA5D77" w:rsidRPr="006C40C1" w:rsidRDefault="00AA5D77">
      <w:pPr>
        <w:pStyle w:val="Reservantfrslag"/>
      </w:pPr>
      <w:r w:rsidRPr="006C40C1">
        <w:t xml:space="preserve">Riksdagen godkänner vad som anförs i reservation 8 om inkomstskatten för 2003. Därmed bifaller riksdagen motion 2002/03:Fi287 av Lennart Hedquist m.fl. (m) yrkandena 1–4, 7 och 33 samt avslår proposition 2002/03:1 punkt 27 i denna del och motion 2002/03:Fi230 av Britt Bohlin m.fl. (s, v, mp) yrkande 12 i denna del samt övriga motionsyrkanden som finns upptagna under punkt 5 g i efterföljande </w:t>
      </w:r>
      <w:r w:rsidRPr="006C40C1">
        <w:rPr>
          <w:i/>
        </w:rPr>
        <w:t>förteckning över av utskottet i punkt 5 a</w:t>
      </w:r>
      <w:r w:rsidRPr="006C40C1">
        <w:rPr>
          <w:i/>
        </w:rPr>
        <w:t>v</w:t>
      </w:r>
      <w:r w:rsidRPr="006C40C1">
        <w:rPr>
          <w:i/>
        </w:rPr>
        <w:t>styrkta motionsyrka</w:t>
      </w:r>
      <w:r w:rsidRPr="006C40C1">
        <w:rPr>
          <w:i/>
        </w:rPr>
        <w:t>n</w:t>
      </w:r>
      <w:r w:rsidRPr="006C40C1">
        <w:rPr>
          <w:i/>
        </w:rPr>
        <w:t>den.</w:t>
      </w:r>
    </w:p>
    <w:p w:rsidR="00AA5D77" w:rsidRPr="006C40C1" w:rsidRDefault="00AA5D77">
      <w:pPr>
        <w:tabs>
          <w:tab w:val="left" w:pos="284"/>
          <w:tab w:val="num" w:pos="360"/>
        </w:tabs>
        <w:spacing w:before="120"/>
        <w:ind w:left="357" w:hanging="357"/>
        <w:rPr>
          <w:i/>
        </w:rPr>
      </w:pPr>
      <w:r w:rsidRPr="006C40C1">
        <w:rPr>
          <w:i/>
        </w:rPr>
        <w:t>h) Det fasta beloppet vid beskattningen av förvärvsinkomster (avsnitt 3.3.2)</w:t>
      </w:r>
    </w:p>
    <w:p w:rsidR="00AA5D77" w:rsidRPr="006C40C1" w:rsidRDefault="00AA5D77">
      <w:pPr>
        <w:pStyle w:val="Reservantfrslag"/>
      </w:pPr>
      <w:r w:rsidRPr="006C40C1">
        <w:t>=utskottet</w:t>
      </w:r>
    </w:p>
    <w:p w:rsidR="00AA5D77" w:rsidRPr="006C40C1" w:rsidRDefault="00AA5D77">
      <w:pPr>
        <w:tabs>
          <w:tab w:val="left" w:pos="284"/>
          <w:tab w:val="num" w:pos="360"/>
        </w:tabs>
        <w:spacing w:before="120"/>
        <w:ind w:left="357" w:hanging="357"/>
        <w:rPr>
          <w:i/>
        </w:rPr>
      </w:pPr>
      <w:r w:rsidRPr="006C40C1">
        <w:rPr>
          <w:i/>
        </w:rPr>
        <w:t>i) Beskattning av sjömän i det nordiska dubbelbeskattningsavtalet (avsnitt</w:t>
      </w:r>
      <w:r w:rsidRPr="006C40C1">
        <w:t xml:space="preserve"> </w:t>
      </w:r>
      <w:r w:rsidRPr="006C40C1">
        <w:rPr>
          <w:i/>
        </w:rPr>
        <w:t>3.3.3)</w:t>
      </w:r>
    </w:p>
    <w:p w:rsidR="00AA5D77" w:rsidRPr="006C40C1" w:rsidRDefault="00AA5D77">
      <w:pPr>
        <w:pStyle w:val="Reservantfrslag"/>
      </w:pPr>
      <w:r w:rsidRPr="006C40C1">
        <w:t>=utskottet</w:t>
      </w:r>
    </w:p>
    <w:p w:rsidR="00AA5D77" w:rsidRPr="006C40C1" w:rsidRDefault="00AA5D77">
      <w:pPr>
        <w:tabs>
          <w:tab w:val="left" w:pos="284"/>
          <w:tab w:val="num" w:pos="360"/>
        </w:tabs>
        <w:spacing w:before="120"/>
        <w:ind w:left="357" w:hanging="357"/>
        <w:rPr>
          <w:i/>
        </w:rPr>
      </w:pPr>
      <w:r w:rsidRPr="006C40C1">
        <w:rPr>
          <w:i/>
        </w:rPr>
        <w:t>j) Förmånsbeskattning av miljövänliga bilar (avsnitt 3.3.4)</w:t>
      </w:r>
    </w:p>
    <w:p w:rsidR="00AA5D77" w:rsidRPr="006C40C1" w:rsidRDefault="00AA5D77">
      <w:pPr>
        <w:pStyle w:val="Reservantfrslag"/>
      </w:pPr>
      <w:r w:rsidRPr="006C40C1">
        <w:t>=utskottet</w:t>
      </w:r>
    </w:p>
    <w:p w:rsidR="00AA5D77" w:rsidRPr="006C40C1" w:rsidRDefault="00AA5D77">
      <w:pPr>
        <w:tabs>
          <w:tab w:val="left" w:pos="284"/>
          <w:tab w:val="num" w:pos="360"/>
        </w:tabs>
        <w:spacing w:before="120"/>
        <w:ind w:left="357" w:hanging="357"/>
        <w:rPr>
          <w:i/>
        </w:rPr>
      </w:pPr>
      <w:r w:rsidRPr="006C40C1">
        <w:rPr>
          <w:i/>
        </w:rPr>
        <w:t>k) Förändrade nivåer för socialavgifter (3.5)</w:t>
      </w:r>
    </w:p>
    <w:p w:rsidR="00AA5D77" w:rsidRPr="006C40C1" w:rsidRDefault="00AA5D77">
      <w:pPr>
        <w:pStyle w:val="Reservantfrslag"/>
      </w:pPr>
      <w:r w:rsidRPr="006C40C1">
        <w:t>Riksdagen godkänner vad som anförs i reservation 8 om social- och arbetsg</w:t>
      </w:r>
      <w:r w:rsidRPr="006C40C1">
        <w:t>i</w:t>
      </w:r>
      <w:r w:rsidRPr="006C40C1">
        <w:t xml:space="preserve">varavgifter. Därmed bifaller riksdagen motion 2002/03:Fi287 av Lennart Hedquist m.fl. (m) yrkande 39 och avslår proposition 2002/03:1 punkterna 28 och 29, båda i denna del samt övriga motionsyrkanden som finns upptagna under punkt 5 k i efterföljande </w:t>
      </w:r>
      <w:r w:rsidRPr="006C40C1">
        <w:rPr>
          <w:i/>
        </w:rPr>
        <w:t>förteckning över av utskottet i punkt 5 a</w:t>
      </w:r>
      <w:r w:rsidRPr="006C40C1">
        <w:rPr>
          <w:i/>
        </w:rPr>
        <w:t>v</w:t>
      </w:r>
      <w:r w:rsidRPr="006C40C1">
        <w:rPr>
          <w:i/>
        </w:rPr>
        <w:t>styrkta motionsyrka</w:t>
      </w:r>
      <w:r w:rsidRPr="006C40C1">
        <w:rPr>
          <w:i/>
        </w:rPr>
        <w:t>n</w:t>
      </w:r>
      <w:r w:rsidRPr="006C40C1">
        <w:rPr>
          <w:i/>
        </w:rPr>
        <w:t>den.</w:t>
      </w:r>
    </w:p>
    <w:p w:rsidR="00AA5D77" w:rsidRPr="006C40C1" w:rsidRDefault="00AA5D77">
      <w:pPr>
        <w:tabs>
          <w:tab w:val="left" w:pos="284"/>
          <w:tab w:val="num" w:pos="360"/>
        </w:tabs>
        <w:spacing w:before="120"/>
        <w:ind w:left="357" w:hanging="357"/>
        <w:rPr>
          <w:i/>
        </w:rPr>
      </w:pPr>
      <w:r w:rsidRPr="006C40C1">
        <w:rPr>
          <w:i/>
        </w:rPr>
        <w:t>l) Skatt på lågpriscigaretter (avsnitt 3.7.3)</w:t>
      </w:r>
    </w:p>
    <w:p w:rsidR="00AA5D77" w:rsidRPr="006C40C1" w:rsidRDefault="00AA5D77">
      <w:pPr>
        <w:pStyle w:val="Reservantfrslag"/>
      </w:pPr>
      <w:r w:rsidRPr="006C40C1">
        <w:t>=utskottet</w:t>
      </w:r>
    </w:p>
    <w:p w:rsidR="00AA5D77" w:rsidRPr="006C40C1" w:rsidRDefault="00AA5D77">
      <w:pPr>
        <w:tabs>
          <w:tab w:val="left" w:pos="284"/>
          <w:tab w:val="num" w:pos="360"/>
        </w:tabs>
        <w:spacing w:before="120"/>
        <w:ind w:left="357" w:hanging="357"/>
        <w:rPr>
          <w:i/>
        </w:rPr>
      </w:pPr>
      <w:r w:rsidRPr="006C40C1">
        <w:rPr>
          <w:i/>
        </w:rPr>
        <w:t>m) Privatinförsel av alkoholdrycker och tobaksvaror (avsnitt 3.7.4)</w:t>
      </w:r>
    </w:p>
    <w:p w:rsidR="00AA5D77" w:rsidRPr="006C40C1" w:rsidRDefault="00AA5D77">
      <w:pPr>
        <w:pStyle w:val="Reservantfrslag"/>
      </w:pPr>
      <w:r w:rsidRPr="006C40C1">
        <w:t>=utskottet</w:t>
      </w:r>
    </w:p>
    <w:p w:rsidR="00AA5D77" w:rsidRPr="006C40C1" w:rsidRDefault="00AA5D77">
      <w:pPr>
        <w:tabs>
          <w:tab w:val="left" w:pos="284"/>
          <w:tab w:val="num" w:pos="360"/>
        </w:tabs>
        <w:spacing w:before="120"/>
        <w:ind w:left="357" w:hanging="357"/>
        <w:rPr>
          <w:i/>
        </w:rPr>
      </w:pPr>
      <w:r w:rsidRPr="006C40C1">
        <w:rPr>
          <w:i/>
        </w:rPr>
        <w:t>n) En fortsatt grön skatteväxling – höjd koldioxidskatt och elskatt  (avsnitt</w:t>
      </w:r>
      <w:r w:rsidRPr="006C40C1">
        <w:t xml:space="preserve"> </w:t>
      </w:r>
      <w:r w:rsidRPr="006C40C1">
        <w:rPr>
          <w:i/>
        </w:rPr>
        <w:t>3.7.6)</w:t>
      </w:r>
    </w:p>
    <w:p w:rsidR="00AA5D77" w:rsidRPr="006C40C1" w:rsidRDefault="00AA5D77">
      <w:pPr>
        <w:pStyle w:val="Reservantfrslag"/>
        <w:rPr>
          <w:i/>
        </w:rPr>
      </w:pPr>
      <w:r w:rsidRPr="006C40C1">
        <w:t>Riksdagen godkänner vad som anförs i reservation 8 om höjd koldioxidskatt och elskatt. Därmed bifaller riksdagen motion 2002/03:Fi287 av Lennart Hedquist m.fl. (m) yrkandena 12 och 13 samt motion 2002/03:N301 av Mik</w:t>
      </w:r>
      <w:r w:rsidRPr="006C40C1">
        <w:t>a</w:t>
      </w:r>
      <w:r w:rsidRPr="006C40C1">
        <w:t xml:space="preserve">el Odenberg m.fl. (m) yrkande 9 och avslår proposition 2002/03:1 punkt 33 i denna del och motion 2002/03:Fi230 av Britt Bohlin m.fl. (s, v, mp) yrkande 12 i denna del samt övriga motionsyrkanden som finns upptagna under punkt 5 n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pStyle w:val="Normaltindrag"/>
        <w:tabs>
          <w:tab w:val="left" w:pos="1701"/>
          <w:tab w:val="left" w:pos="4962"/>
        </w:tabs>
        <w:ind w:firstLine="0"/>
        <w:jc w:val="left"/>
      </w:pPr>
    </w:p>
    <w:p w:rsidR="00AA5D77" w:rsidRPr="006C40C1" w:rsidRDefault="00AA5D77">
      <w:pPr>
        <w:pStyle w:val="Reservantfrslag"/>
        <w:jc w:val="left"/>
      </w:pPr>
      <w:r w:rsidRPr="006C40C1">
        <w:rPr>
          <w:i/>
        </w:rPr>
        <w:t>o) Kraftvärmebeskattningen (avsnitt 3.7.7)</w:t>
      </w:r>
      <w:r w:rsidRPr="006C40C1">
        <w:rPr>
          <w:i/>
        </w:rPr>
        <w:br/>
      </w:r>
      <w:r w:rsidRPr="006C40C1">
        <w:t>=utskottet</w:t>
      </w:r>
    </w:p>
    <w:p w:rsidR="00AA5D77" w:rsidRPr="006C40C1" w:rsidRDefault="00AA5D77">
      <w:pPr>
        <w:tabs>
          <w:tab w:val="left" w:pos="284"/>
          <w:tab w:val="num" w:pos="360"/>
        </w:tabs>
        <w:spacing w:before="120"/>
        <w:ind w:left="357" w:hanging="357"/>
        <w:rPr>
          <w:i/>
        </w:rPr>
      </w:pPr>
      <w:r w:rsidRPr="006C40C1">
        <w:rPr>
          <w:i/>
        </w:rPr>
        <w:t>p) Kalk- och cementbranschens koldioxidskatt (avsnitt 3.7.8)</w:t>
      </w:r>
    </w:p>
    <w:p w:rsidR="00AA5D77" w:rsidRPr="006C40C1" w:rsidRDefault="00AA5D77">
      <w:pPr>
        <w:pStyle w:val="Reservantfrslag"/>
      </w:pPr>
      <w:r w:rsidRPr="006C40C1">
        <w:t>=utskottet</w:t>
      </w:r>
    </w:p>
    <w:p w:rsidR="00AA5D77" w:rsidRPr="006C40C1" w:rsidRDefault="00AA5D77">
      <w:pPr>
        <w:tabs>
          <w:tab w:val="left" w:pos="284"/>
          <w:tab w:val="num" w:pos="360"/>
        </w:tabs>
        <w:spacing w:before="120"/>
        <w:ind w:left="357" w:hanging="357"/>
        <w:rPr>
          <w:i/>
        </w:rPr>
      </w:pPr>
      <w:r w:rsidRPr="006C40C1">
        <w:rPr>
          <w:i/>
        </w:rPr>
        <w:t>q) Grön skatteväxling – höjd avfallsskatt (avsnitt 3.7.12)</w:t>
      </w:r>
    </w:p>
    <w:p w:rsidR="00AA5D77" w:rsidRPr="006C40C1" w:rsidRDefault="00AA5D77">
      <w:pPr>
        <w:pStyle w:val="Reservantfrslag"/>
      </w:pPr>
      <w:r w:rsidRPr="006C40C1">
        <w:t>=utskottet</w:t>
      </w:r>
    </w:p>
    <w:p w:rsidR="00AA5D77" w:rsidRPr="006C40C1" w:rsidRDefault="00AA5D77">
      <w:pPr>
        <w:tabs>
          <w:tab w:val="left" w:pos="284"/>
          <w:tab w:val="num" w:pos="360"/>
        </w:tabs>
        <w:spacing w:before="120"/>
        <w:ind w:left="357" w:hanging="357"/>
        <w:rPr>
          <w:i/>
        </w:rPr>
      </w:pPr>
      <w:r w:rsidRPr="006C40C1">
        <w:rPr>
          <w:i/>
        </w:rPr>
        <w:t>r) Grön skatteväxling – höjd naturgrusskatt (avsnitt 3.7.13)</w:t>
      </w:r>
    </w:p>
    <w:p w:rsidR="00AA5D77" w:rsidRPr="006C40C1" w:rsidRDefault="00AA5D77">
      <w:pPr>
        <w:pStyle w:val="Reservantfrslag"/>
      </w:pPr>
      <w:r w:rsidRPr="006C40C1">
        <w:t>Riksdagen godkänner vad som anförs i reservation 8 om höjd skatt på natu</w:t>
      </w:r>
      <w:r w:rsidRPr="006C40C1">
        <w:t>r</w:t>
      </w:r>
      <w:r w:rsidRPr="006C40C1">
        <w:t>grus. Därmed bifaller riksdagen motion 2002/03:T288 av Ulla Löfgren och Anders G Högmark (m) yrkande 2 och avslår proposition 2002/03:1 punkt 35 i denna del, motion 2002/03:Fi230 av Britt Bohlin m.fl. (s, v, mp) yrkande 13 samt övriga motionsyrkanden som finns upptagna under punkt 5 r i efterfö</w:t>
      </w:r>
      <w:r w:rsidRPr="006C40C1">
        <w:t>l</w:t>
      </w:r>
      <w:r w:rsidRPr="006C40C1">
        <w:t xml:space="preserve">jande </w:t>
      </w:r>
      <w:r w:rsidRPr="006C40C1">
        <w:rPr>
          <w:i/>
        </w:rPr>
        <w:t>förteckning över av utskottet i punkt 5 avstyrkta motionsy</w:t>
      </w:r>
      <w:r w:rsidRPr="006C40C1">
        <w:rPr>
          <w:i/>
        </w:rPr>
        <w:t>r</w:t>
      </w:r>
      <w:r w:rsidRPr="006C40C1">
        <w:rPr>
          <w:i/>
        </w:rPr>
        <w:t>kanden</w:t>
      </w:r>
      <w:r w:rsidRPr="006C40C1">
        <w:t>.</w:t>
      </w:r>
    </w:p>
    <w:p w:rsidR="00AA5D77" w:rsidRPr="006C40C1" w:rsidRDefault="00AA5D77">
      <w:pPr>
        <w:tabs>
          <w:tab w:val="left" w:pos="284"/>
          <w:tab w:val="num" w:pos="360"/>
        </w:tabs>
        <w:spacing w:before="120"/>
        <w:ind w:left="357" w:hanging="357"/>
        <w:rPr>
          <w:i/>
        </w:rPr>
      </w:pPr>
      <w:r w:rsidRPr="006C40C1">
        <w:rPr>
          <w:i/>
        </w:rPr>
        <w:t>s) Bredbandsinstallation (avsnitt 3.8.1)</w:t>
      </w:r>
    </w:p>
    <w:p w:rsidR="00AA5D77" w:rsidRPr="006C40C1" w:rsidRDefault="00AA5D77">
      <w:pPr>
        <w:pStyle w:val="Reservantfrslag"/>
        <w:rPr>
          <w:i/>
        </w:rPr>
      </w:pPr>
      <w:r w:rsidRPr="006C40C1">
        <w:t>Riksdagen godkänner vad som anförs i reservation 8 om skattereduktion för utgifter för vissa anslutningar för tele- och datakommunikation. Därmed bifaller riksdagen motion 2002/03:Fi287 av Lennart Hedquist m.fl. (m) y</w:t>
      </w:r>
      <w:r w:rsidRPr="006C40C1">
        <w:t>r</w:t>
      </w:r>
      <w:r w:rsidRPr="006C40C1">
        <w:t xml:space="preserve">kande 36 och avslår proposition 2002/03:1 punkt 30 i denna del samt övriga motionsyrkanden som finns upptagna under punkt 5 s i efterföljande </w:t>
      </w:r>
      <w:r w:rsidRPr="006C40C1">
        <w:rPr>
          <w:i/>
        </w:rPr>
        <w:t>förtec</w:t>
      </w:r>
      <w:r w:rsidRPr="006C40C1">
        <w:rPr>
          <w:i/>
        </w:rPr>
        <w:t>k</w:t>
      </w:r>
      <w:r w:rsidRPr="006C40C1">
        <w:rPr>
          <w:i/>
        </w:rPr>
        <w:t>ning över av utskottet i punkt 5 avstyrkta motionsy</w:t>
      </w:r>
      <w:r w:rsidRPr="006C40C1">
        <w:rPr>
          <w:i/>
        </w:rPr>
        <w:t>r</w:t>
      </w:r>
      <w:r w:rsidRPr="006C40C1">
        <w:rPr>
          <w:i/>
        </w:rPr>
        <w:t>kanden.</w:t>
      </w:r>
    </w:p>
    <w:p w:rsidR="00AA5D77" w:rsidRPr="006C40C1" w:rsidRDefault="00AA5D77">
      <w:pPr>
        <w:tabs>
          <w:tab w:val="left" w:pos="284"/>
          <w:tab w:val="num" w:pos="360"/>
        </w:tabs>
        <w:spacing w:before="120"/>
        <w:ind w:left="357" w:hanging="357"/>
        <w:rPr>
          <w:i/>
        </w:rPr>
      </w:pPr>
      <w:r w:rsidRPr="006C40C1">
        <w:rPr>
          <w:i/>
        </w:rPr>
        <w:t>t) Miljöförbättrande åtgärder på bostäder (avsnitt 3.8.2)</w:t>
      </w:r>
    </w:p>
    <w:p w:rsidR="00AA5D77" w:rsidRPr="006C40C1" w:rsidRDefault="00AA5D77">
      <w:pPr>
        <w:pStyle w:val="Normaltindrag"/>
        <w:tabs>
          <w:tab w:val="left" w:pos="1701"/>
          <w:tab w:val="left" w:pos="4962"/>
        </w:tabs>
        <w:ind w:firstLine="0"/>
        <w:jc w:val="left"/>
      </w:pPr>
      <w:r w:rsidRPr="006C40C1">
        <w:t>=utskottet</w:t>
      </w:r>
    </w:p>
    <w:p w:rsidR="00AA5D77" w:rsidRPr="006C40C1" w:rsidRDefault="00AA5D77">
      <w:pPr>
        <w:tabs>
          <w:tab w:val="left" w:pos="284"/>
          <w:tab w:val="num" w:pos="360"/>
        </w:tabs>
        <w:spacing w:before="120"/>
        <w:ind w:left="357" w:hanging="357"/>
        <w:rPr>
          <w:i/>
        </w:rPr>
      </w:pPr>
      <w:r w:rsidRPr="006C40C1">
        <w:rPr>
          <w:i/>
        </w:rPr>
        <w:t>u) Beräkning av statsbudgetens inkomster för 2003 (avsnitt 3.10)</w:t>
      </w:r>
    </w:p>
    <w:p w:rsidR="00AA5D77" w:rsidRPr="006C40C1" w:rsidRDefault="00AA5D77">
      <w:pPr>
        <w:pStyle w:val="Reservantfrslag"/>
        <w:rPr>
          <w:i/>
        </w:rPr>
      </w:pPr>
      <w:r w:rsidRPr="006C40C1">
        <w:t xml:space="preserve">Riksdagen godkänner beräkningen av statsbudgetens inkomster för 2003 enligt det med reservation 8 betecknade förslaget i den sammanställning över statsbudgetens utgifter och inkomster som följer efter utskottets förslag till riksdagsbeslut. Därmed bifaller riksdagen delvis motion 2002/03:Fi231 av Bo Lundgren m.fl. (m) yrkande 4 i denna del och avslår proposition 2002/03:1 punkt 7 samt övriga motionsyrkanden som finns upptagna under punkt 5 u i efterföljande </w:t>
      </w:r>
      <w:r w:rsidRPr="006C40C1">
        <w:rPr>
          <w:i/>
        </w:rPr>
        <w:t>förteckning över av utskottet i punkt 5 avstyrkta motionsyrka</w:t>
      </w:r>
      <w:r w:rsidRPr="006C40C1">
        <w:rPr>
          <w:i/>
        </w:rPr>
        <w:t>n</w:t>
      </w:r>
      <w:r w:rsidRPr="006C40C1">
        <w:rPr>
          <w:i/>
        </w:rPr>
        <w:t>den.</w:t>
      </w:r>
    </w:p>
    <w:p w:rsidR="00AA5D77" w:rsidRPr="006C40C1" w:rsidRDefault="00AA5D77">
      <w:pPr>
        <w:tabs>
          <w:tab w:val="left" w:pos="284"/>
          <w:tab w:val="num" w:pos="360"/>
        </w:tabs>
        <w:spacing w:before="120"/>
        <w:ind w:left="357" w:hanging="357"/>
        <w:rPr>
          <w:i/>
        </w:rPr>
      </w:pPr>
      <w:r w:rsidRPr="006C40C1">
        <w:rPr>
          <w:i/>
        </w:rPr>
        <w:t>v) Ålderspensionssystemet vid sidan av statsbudgeten (avsnitt 4.1.28)</w:t>
      </w:r>
    </w:p>
    <w:p w:rsidR="00AA5D77" w:rsidRPr="006C40C1" w:rsidRDefault="00AA5D77">
      <w:pPr>
        <w:spacing w:before="0"/>
      </w:pPr>
      <w:r w:rsidRPr="006C40C1">
        <w:t>=utskottet</w:t>
      </w:r>
    </w:p>
    <w:p w:rsidR="00AA5D77" w:rsidRPr="006C40C1" w:rsidRDefault="00AA5D77">
      <w:pPr>
        <w:tabs>
          <w:tab w:val="left" w:pos="284"/>
          <w:tab w:val="num" w:pos="360"/>
        </w:tabs>
        <w:spacing w:before="120"/>
        <w:ind w:left="357" w:hanging="357"/>
        <w:rPr>
          <w:i/>
        </w:rPr>
      </w:pPr>
      <w:r w:rsidRPr="006C40C1">
        <w:rPr>
          <w:i/>
        </w:rPr>
        <w:t>x) Övriga motionsyrkanden om budgetförslagen för 2003</w:t>
      </w:r>
    </w:p>
    <w:p w:rsidR="00AA5D77" w:rsidRPr="006C40C1" w:rsidRDefault="00AA5D77">
      <w:pPr>
        <w:pStyle w:val="Reservantfrslag"/>
      </w:pPr>
      <w:r w:rsidRPr="006C40C1">
        <w:t>Riksdagen tillkännager för regeringen som sin mening vad som anförs i r</w:t>
      </w:r>
      <w:r w:rsidRPr="006C40C1">
        <w:t>e</w:t>
      </w:r>
      <w:r w:rsidRPr="006C40C1">
        <w:t>servation 8 om skattepolitikens inriktning, skattereduktion för fackförening</w:t>
      </w:r>
      <w:r w:rsidRPr="006C40C1">
        <w:t>s</w:t>
      </w:r>
      <w:r w:rsidRPr="006C40C1">
        <w:t>avgifter, utökade reseavdrag, skattereduktion för hushållstjänster, slopad skatt på aktieutdelning, avyttring av fåmansbolag genom andelsbyte, beskattning av royalty, fastighetsskatt, förmögenhetsskatt, sänkt alkoholskatt, sänkt skatt på drivmedel, sänkt skatt på kärnkraftsel, slopad reklamskatt, jordbrukets beskattning samt slopat anställningsstöd. Därmed bifaller riksdagen moti</w:t>
      </w:r>
      <w:r w:rsidRPr="006C40C1">
        <w:t>o</w:t>
      </w:r>
      <w:r w:rsidRPr="006C40C1">
        <w:t xml:space="preserve">nerna </w:t>
      </w:r>
    </w:p>
    <w:p w:rsidR="00AA5D77" w:rsidRPr="006C40C1" w:rsidRDefault="00AA5D77">
      <w:pPr>
        <w:tabs>
          <w:tab w:val="left" w:pos="1701"/>
          <w:tab w:val="left" w:pos="4962"/>
        </w:tabs>
        <w:spacing w:before="0" w:line="240" w:lineRule="atLeast"/>
        <w:rPr>
          <w:snapToGrid w:val="0"/>
          <w:color w:val="000000"/>
          <w:sz w:val="18"/>
          <w:lang w:eastAsia="sv-SE"/>
        </w:rPr>
      </w:pPr>
      <w:r w:rsidRPr="006C40C1">
        <w:rPr>
          <w:snapToGrid w:val="0"/>
          <w:color w:val="000000"/>
          <w:sz w:val="18"/>
          <w:lang w:eastAsia="sv-SE"/>
        </w:rPr>
        <w:t>2002/03:Fi203 av Marietta de Pourbaix-Lundin</w:t>
      </w:r>
      <w:r w:rsidRPr="006C40C1">
        <w:rPr>
          <w:snapToGrid w:val="0"/>
          <w:color w:val="000000"/>
          <w:sz w:val="18"/>
          <w:lang w:eastAsia="sv-SE"/>
        </w:rPr>
        <w:t xml:space="preserve"> (m),</w:t>
      </w:r>
    </w:p>
    <w:p w:rsidR="00AA5D77" w:rsidRPr="006C40C1" w:rsidRDefault="00AA5D77">
      <w:pPr>
        <w:tabs>
          <w:tab w:val="left" w:pos="1701"/>
          <w:tab w:val="left" w:pos="4962"/>
        </w:tabs>
        <w:spacing w:before="0" w:line="240" w:lineRule="atLeast"/>
        <w:rPr>
          <w:snapToGrid w:val="0"/>
          <w:color w:val="000000"/>
          <w:sz w:val="18"/>
          <w:lang w:eastAsia="sv-SE"/>
        </w:rPr>
      </w:pPr>
      <w:r w:rsidRPr="006C40C1">
        <w:rPr>
          <w:snapToGrid w:val="0"/>
          <w:color w:val="000000"/>
          <w:sz w:val="18"/>
          <w:lang w:eastAsia="sv-SE"/>
        </w:rPr>
        <w:t>2002/03:Fi205 av Cristina Husmark Pehrsson och Anne Marie Brodén (m),</w:t>
      </w:r>
    </w:p>
    <w:p w:rsidR="00AA5D77" w:rsidRPr="006C40C1" w:rsidRDefault="00AA5D77">
      <w:pPr>
        <w:pStyle w:val="Normaltindrag"/>
        <w:tabs>
          <w:tab w:val="left" w:pos="1701"/>
          <w:tab w:val="left" w:pos="4962"/>
        </w:tabs>
        <w:ind w:firstLine="0"/>
        <w:jc w:val="left"/>
      </w:pPr>
      <w:r w:rsidRPr="006C40C1">
        <w:t>2002/03:Fi207 av Lennart Hedquist m.fl. (m) yrkandena 1–4,</w:t>
      </w:r>
    </w:p>
    <w:p w:rsidR="00AA5D77" w:rsidRPr="006C40C1" w:rsidRDefault="00AA5D77">
      <w:pPr>
        <w:pStyle w:val="Normaltindrag"/>
        <w:tabs>
          <w:tab w:val="left" w:pos="1701"/>
          <w:tab w:val="left" w:pos="4962"/>
        </w:tabs>
        <w:ind w:firstLine="0"/>
        <w:jc w:val="left"/>
      </w:pPr>
      <w:r w:rsidRPr="006C40C1">
        <w:t>2002/03:Fi228 av Gunnar Axén och Per Bill (m),</w:t>
      </w:r>
    </w:p>
    <w:p w:rsidR="00AA5D77" w:rsidRPr="006C40C1" w:rsidRDefault="00AA5D77">
      <w:pPr>
        <w:pStyle w:val="Normaltindrag"/>
        <w:tabs>
          <w:tab w:val="left" w:pos="1701"/>
          <w:tab w:val="left" w:pos="4962"/>
        </w:tabs>
        <w:ind w:firstLine="0"/>
      </w:pPr>
      <w:r w:rsidRPr="006C40C1">
        <w:t>2002/03:Fi231 av Bo Lundgren m.fl. (m) yrkandena 4 i denna del, 9 och 11,</w:t>
      </w:r>
    </w:p>
    <w:p w:rsidR="00AA5D77" w:rsidRPr="006C40C1" w:rsidRDefault="00AA5D77">
      <w:pPr>
        <w:tabs>
          <w:tab w:val="left" w:pos="1701"/>
          <w:tab w:val="left" w:pos="4962"/>
        </w:tabs>
        <w:spacing w:before="0" w:line="240" w:lineRule="atLeast"/>
        <w:rPr>
          <w:snapToGrid w:val="0"/>
          <w:color w:val="000000"/>
          <w:sz w:val="18"/>
          <w:lang w:eastAsia="sv-SE"/>
        </w:rPr>
      </w:pPr>
      <w:r w:rsidRPr="006C40C1">
        <w:rPr>
          <w:snapToGrid w:val="0"/>
          <w:color w:val="000000"/>
          <w:sz w:val="18"/>
          <w:lang w:eastAsia="sv-SE"/>
        </w:rPr>
        <w:t>2002/03:Fi268 av Carl-Axel Roslund (m),</w:t>
      </w:r>
    </w:p>
    <w:p w:rsidR="00AA5D77" w:rsidRPr="006C40C1" w:rsidRDefault="00AA5D77">
      <w:pPr>
        <w:pStyle w:val="Normaltindrag"/>
        <w:tabs>
          <w:tab w:val="left" w:pos="1701"/>
          <w:tab w:val="left" w:pos="4962"/>
        </w:tabs>
        <w:ind w:firstLine="0"/>
        <w:jc w:val="left"/>
      </w:pPr>
      <w:r w:rsidRPr="006C40C1">
        <w:t>2002/03:Fi287 av Lennart Hedquist m.fl. (m) yrkandena 8–11,</w:t>
      </w:r>
    </w:p>
    <w:p w:rsidR="00AA5D77" w:rsidRPr="006C40C1" w:rsidRDefault="00AA5D77">
      <w:pPr>
        <w:pStyle w:val="Normaltindrag"/>
        <w:tabs>
          <w:tab w:val="left" w:pos="1701"/>
          <w:tab w:val="left" w:pos="4962"/>
        </w:tabs>
        <w:ind w:firstLine="0"/>
        <w:jc w:val="left"/>
      </w:pPr>
      <w:r w:rsidRPr="006C40C1">
        <w:t>14, 18, 19, 21–24, 26–32, 37, 38,</w:t>
      </w:r>
    </w:p>
    <w:p w:rsidR="00AA5D77" w:rsidRPr="006C40C1" w:rsidRDefault="00AA5D77">
      <w:pPr>
        <w:pStyle w:val="Normaltindrag"/>
        <w:tabs>
          <w:tab w:val="left" w:pos="1701"/>
          <w:tab w:val="left" w:pos="4962"/>
        </w:tabs>
        <w:ind w:firstLine="0"/>
        <w:jc w:val="left"/>
      </w:pPr>
      <w:r w:rsidRPr="006C40C1">
        <w:t>2002/03:Sk417 av Lennart Hedquist m.fl. (m) yrkandena 8, 14 och 15,</w:t>
      </w:r>
    </w:p>
    <w:p w:rsidR="00AA5D77" w:rsidRPr="006C40C1" w:rsidRDefault="00AA5D77">
      <w:pPr>
        <w:pStyle w:val="Normaltindrag"/>
        <w:tabs>
          <w:tab w:val="left" w:pos="1701"/>
          <w:tab w:val="left" w:pos="4962"/>
        </w:tabs>
        <w:ind w:firstLine="0"/>
        <w:jc w:val="left"/>
      </w:pPr>
      <w:r w:rsidRPr="006C40C1">
        <w:t>2002/03:A315 av Anders G Högmark m.fl. (m) yrkande 2,</w:t>
      </w:r>
    </w:p>
    <w:p w:rsidR="00AA5D77" w:rsidRPr="006C40C1" w:rsidRDefault="00AA5D77">
      <w:pPr>
        <w:pStyle w:val="Normaltindrag"/>
        <w:tabs>
          <w:tab w:val="left" w:pos="1701"/>
          <w:tab w:val="left" w:pos="4962"/>
        </w:tabs>
        <w:ind w:firstLine="0"/>
        <w:jc w:val="left"/>
      </w:pPr>
      <w:r w:rsidRPr="006C40C1">
        <w:t>2002/03:N304 av Mikael Odenberg m.fl. (m) yrkande 4 i denna del,</w:t>
      </w:r>
    </w:p>
    <w:p w:rsidR="00AA5D77" w:rsidRPr="006C40C1" w:rsidRDefault="00AA5D77">
      <w:pPr>
        <w:pStyle w:val="Normaltindrag"/>
        <w:tabs>
          <w:tab w:val="left" w:pos="1701"/>
          <w:tab w:val="left" w:pos="4962"/>
        </w:tabs>
        <w:ind w:firstLine="0"/>
        <w:jc w:val="left"/>
      </w:pPr>
      <w:r w:rsidRPr="006C40C1">
        <w:t xml:space="preserve">2002/03:Kr297 av Kent Olsson m.fl. (m) yrkande 13 och </w:t>
      </w:r>
    </w:p>
    <w:p w:rsidR="00AA5D77" w:rsidRPr="006C40C1" w:rsidRDefault="00AA5D77">
      <w:pPr>
        <w:pStyle w:val="Reservantfrslag"/>
      </w:pPr>
      <w:r w:rsidRPr="006C40C1">
        <w:t xml:space="preserve">2002/03:MJ268 av Per Westerberg m.fl. (m) yrkandena 4 och 5 </w:t>
      </w:r>
    </w:p>
    <w:p w:rsidR="00AA5D77" w:rsidRPr="006C40C1" w:rsidRDefault="00AA5D77">
      <w:pPr>
        <w:pStyle w:val="Reservantfrslag"/>
      </w:pPr>
      <w:r w:rsidRPr="006C40C1">
        <w:t xml:space="preserve">samt avslår övriga motionsyrkanden som finns upptagna i efterföljande </w:t>
      </w:r>
      <w:r w:rsidRPr="006C40C1">
        <w:rPr>
          <w:i/>
        </w:rPr>
        <w:t>fö</w:t>
      </w:r>
      <w:r w:rsidRPr="006C40C1">
        <w:rPr>
          <w:i/>
        </w:rPr>
        <w:t>r</w:t>
      </w:r>
      <w:r w:rsidRPr="006C40C1">
        <w:rPr>
          <w:i/>
        </w:rPr>
        <w:t>teckning över av utskottet i punkt 5 avstyrkta motionsyrka</w:t>
      </w:r>
      <w:r w:rsidRPr="006C40C1">
        <w:rPr>
          <w:i/>
        </w:rPr>
        <w:t>n</w:t>
      </w:r>
      <w:r w:rsidRPr="006C40C1">
        <w:rPr>
          <w:i/>
        </w:rPr>
        <w:t>den.</w:t>
      </w:r>
    </w:p>
    <w:p w:rsidR="00AA5D77" w:rsidRPr="006C40C1" w:rsidRDefault="00AA5D77">
      <w:pPr>
        <w:pStyle w:val="R4"/>
        <w:spacing w:before="375"/>
      </w:pPr>
      <w:r w:rsidRPr="006C40C1">
        <w:t>Ställningstagande</w:t>
      </w:r>
    </w:p>
    <w:p w:rsidR="00AA5D77" w:rsidRPr="006C40C1" w:rsidRDefault="00AA5D77">
      <w:r w:rsidRPr="006C40C1">
        <w:t>Det långa socialdemokratiska maktinnehavet har lämnat djupa spår i det svenska samhällslivet. Där en gång arbetsmoral hölls högt har en mer tillåta</w:t>
      </w:r>
      <w:r w:rsidRPr="006C40C1">
        <w:t>n</w:t>
      </w:r>
      <w:r w:rsidRPr="006C40C1">
        <w:t xml:space="preserve">de inställning till att leva på bidrag smugit sig in. Där förr företagande som livsstil sågs som något naturligt uppfostras dagens unga mer till att se sig själva i rollen som anställda. I dagens samhälle med dess höga skatter blir det mer vanligt att söka sig vägar runt beskattning. Svartarbete accepteras och vägen att tjäna mycket pengar betraktas allmänt som liktydigt med att man måste flytta utomlands. </w:t>
      </w:r>
    </w:p>
    <w:p w:rsidR="00AA5D77" w:rsidRPr="006C40C1" w:rsidRDefault="00AA5D77">
      <w:pPr>
        <w:pStyle w:val="Normaltindrag"/>
      </w:pPr>
      <w:r w:rsidRPr="006C40C1">
        <w:t>För de arbetsamma måste det få finnas utrymme att känna arbetstillfred</w:t>
      </w:r>
      <w:r w:rsidRPr="006C40C1">
        <w:t>s</w:t>
      </w:r>
      <w:r w:rsidRPr="006C40C1">
        <w:t xml:space="preserve">ställelse och möjlighet att via sin arbetsinsats kunna stå på egna ben. Våra skatte- och transfereringssystem får inte förhindra detta. Det måste alltid löna sig att arbeta utan att man för den skull tar bort möjligheten till berättigat stöd för dem som blir sjuka under kortare eller längre tid. </w:t>
      </w:r>
    </w:p>
    <w:p w:rsidR="00AA5D77" w:rsidRPr="006C40C1" w:rsidRDefault="00AA5D77">
      <w:pPr>
        <w:pStyle w:val="Normaltindrag"/>
      </w:pPr>
      <w:r w:rsidRPr="006C40C1">
        <w:t>Svenska låginkomsttagare kommer med regeringens politik även framöver att vara världens högst beskattade. Detta faktum förstärks av att regeringen inte förmår att anpassa sin skattepolitik till de nya förutsättnin</w:t>
      </w:r>
      <w:r w:rsidRPr="006C40C1">
        <w:t>gar som följer i spåren av en globaliserad världsekonomi med alltmer rörliga skattebaser. Med fortsatt höga skattesatser kommer därför skatteintäkter att rinna ut ur landet, vilket med socialdemokratisk politik kommer att innebära skattehöjningar för dem som inte har ”flyttkraft”, alternativt minskade bidrag utan motsvarande skattesänkningar. Det är en i allra högsta grad orättfärdig skattepolitik som nu gradvis urholkar normala hushålls ek</w:t>
      </w:r>
      <w:r w:rsidRPr="006C40C1">
        <w:t>o</w:t>
      </w:r>
      <w:r w:rsidRPr="006C40C1">
        <w:t>nomiska trygghet.</w:t>
      </w:r>
    </w:p>
    <w:p w:rsidR="00AA5D77" w:rsidRPr="006C40C1" w:rsidRDefault="00AA5D77">
      <w:pPr>
        <w:pStyle w:val="Normaltindrag"/>
      </w:pPr>
      <w:r w:rsidRPr="006C40C1">
        <w:t>Regeringens högskattepolitik för låg- och medelin</w:t>
      </w:r>
      <w:r w:rsidRPr="006C40C1">
        <w:t>komsttagare inverkar inte bara på den sociala tryggheten och människors oberoende utan också på möjligheterna till nya jobb.</w:t>
      </w:r>
    </w:p>
    <w:p w:rsidR="00AA5D77" w:rsidRPr="006C40C1" w:rsidRDefault="00AA5D77">
      <w:pPr>
        <w:pStyle w:val="Normaltindrag"/>
      </w:pPr>
      <w:r w:rsidRPr="006C40C1">
        <w:t>Utvecklingen mot ständigt ökade utgifter och skatter måste brytas. Det krävs en radikal politik som ger förnyelse och som kan möta dagens krav – en politik som bygger på respekten för enskilda människors kunskap och förm</w:t>
      </w:r>
      <w:r w:rsidRPr="006C40C1">
        <w:t>å</w:t>
      </w:r>
      <w:r w:rsidRPr="006C40C1">
        <w:t>ga och den dynamik som frigörs i ett öppet samhällsklimat. Reformer som öppnar för enskilda människors val och deras kontroll över den egna vard</w:t>
      </w:r>
      <w:r w:rsidRPr="006C40C1">
        <w:t>a</w:t>
      </w:r>
      <w:r w:rsidRPr="006C40C1">
        <w:t>gen ger Sver</w:t>
      </w:r>
      <w:r w:rsidRPr="006C40C1">
        <w:t>i</w:t>
      </w:r>
      <w:r w:rsidRPr="006C40C1">
        <w:t>ge större möjligheter i framtiden.</w:t>
      </w:r>
    </w:p>
    <w:p w:rsidR="00AA5D77" w:rsidRPr="006C40C1" w:rsidRDefault="00AA5D77">
      <w:pPr>
        <w:pStyle w:val="Normaltindrag"/>
      </w:pPr>
      <w:r w:rsidRPr="006C40C1">
        <w:t>Moderata samlingspartiet redovisar en politik med en sådan inriktning. Vårt parti föreslår i motion Fi231 ett antal strukturella reformer som främjar tillkomsten av nya arbeten och som gör det möjligt för folk att leva på sin egen lön.</w:t>
      </w:r>
    </w:p>
    <w:p w:rsidR="00AA5D77" w:rsidRPr="006C40C1" w:rsidRDefault="00AA5D77">
      <w:pPr>
        <w:pStyle w:val="Normaltindrag"/>
      </w:pPr>
      <w:r w:rsidRPr="006C40C1">
        <w:t>Den moderata budgetpolitiken är avsedd att lägga grund för en uthållig tillväxt på 3 % årligen utan att prisstabiliteten hotas. I vår motion presenterar vi i sex steg en budgetpolitik som sänker utgifts- och skattetrycket i Sverige. Vi vill bryta utgiftsökningarna, minska utgiftskvoten, hålla utgiftstak och bara tillåta utgiftsökningar som understöder tillväxtpolitiken eller förstärker statens och det offentligas förmåga att klara sina kärnuppgifter. Vi vill dessutom öka tillväxten genom sänkta skatter sam</w:t>
      </w:r>
      <w:r w:rsidRPr="006C40C1">
        <w:t>t även i övrigt föra en tillväxtfrämjande politik som i sin förlängning skapar utrymme för ytterligare skattesän</w:t>
      </w:r>
      <w:r w:rsidRPr="006C40C1">
        <w:t>k</w:t>
      </w:r>
      <w:r w:rsidRPr="006C40C1">
        <w:t>ningar.</w:t>
      </w:r>
    </w:p>
    <w:p w:rsidR="00AA5D77" w:rsidRPr="006C40C1" w:rsidRDefault="00AA5D77">
      <w:pPr>
        <w:pStyle w:val="Normaltindrag"/>
      </w:pPr>
      <w:r w:rsidRPr="006C40C1">
        <w:t>En politik som gör fler bidragsberoende och som väcker förväntningar om växande offentliga utgifter kommer med nödvändighet att leda till antingen fortsatt höjda skatter eller växande budgetunderskott.</w:t>
      </w:r>
    </w:p>
    <w:p w:rsidR="00AA5D77" w:rsidRPr="006C40C1" w:rsidRDefault="00AA5D77">
      <w:pPr>
        <w:pStyle w:val="Normaltindrag"/>
      </w:pPr>
      <w:r w:rsidRPr="006C40C1">
        <w:t>Med vår politik ger vi de offentliga finanserna en ny sammansättning och kan därigenom inte bara sänka utgiftstaken utan också skapa utrymme för ökade satsningar på det offentligas huvuduppgifter och på de grupper i sa</w:t>
      </w:r>
      <w:r w:rsidRPr="006C40C1">
        <w:t>m</w:t>
      </w:r>
      <w:r w:rsidRPr="006C40C1">
        <w:t>hället som har störst behov av stöd. Våra besparingar uppgår under de båda efterfölja</w:t>
      </w:r>
      <w:r w:rsidRPr="006C40C1">
        <w:t>n</w:t>
      </w:r>
      <w:r w:rsidRPr="006C40C1">
        <w:t>de åren till netto 28 respektive 48 miljarder kronor.</w:t>
      </w:r>
    </w:p>
    <w:p w:rsidR="00AA5D77" w:rsidRPr="006C40C1" w:rsidRDefault="00AA5D77">
      <w:pPr>
        <w:pStyle w:val="Normaltindrag"/>
      </w:pPr>
      <w:r w:rsidRPr="006C40C1">
        <w:t>Vi föreslår betydande utgiftsminskningar som begränsar den statliga bu</w:t>
      </w:r>
      <w:r w:rsidRPr="006C40C1">
        <w:t>d</w:t>
      </w:r>
      <w:r w:rsidRPr="006C40C1">
        <w:t>getens omslutning med nära 10 %. Vi minskar transfereringar, drar ned på byråkrati och säger nej till en lång rad oprecisa satsningar. Vi återför en del av resurserna till andra, för oss mer angelägna områden för att förbättra skola, sjukvård, stödet till handikappade, ett fungerande rättsväsende, ett starkare försvar, nya och bättre vägar och förstärkt valfrihet för barnfamiljer. Vi ko</w:t>
      </w:r>
      <w:r w:rsidRPr="006C40C1">
        <w:t>n</w:t>
      </w:r>
      <w:r w:rsidRPr="006C40C1">
        <w:t>centrerar skattemedlen till statens och det offentligas kärnuppgifter, de up</w:t>
      </w:r>
      <w:r w:rsidRPr="006C40C1">
        <w:t>p</w:t>
      </w:r>
      <w:r w:rsidRPr="006C40C1">
        <w:t>gifter vars finansiering ingen annan bör ell</w:t>
      </w:r>
      <w:r w:rsidRPr="006C40C1">
        <w:t>er kan överta ansvaret för.</w:t>
      </w:r>
    </w:p>
    <w:p w:rsidR="00AA5D77" w:rsidRPr="006C40C1" w:rsidRDefault="00AA5D77">
      <w:pPr>
        <w:pStyle w:val="Normaltindrag"/>
      </w:pPr>
      <w:r w:rsidRPr="006C40C1">
        <w:t>Vi vill att statsbidrag och transfereringar som i dag kanaliseras direkt till kommuner eller via de stora offentliga välfärdssystemen i ökad utsträckning ska följa den enskilde och gå direkt till välfärdens verksamheter. Den svenska skolan och sjukvården får på detta sätt ökade resurser direkt in i verksamheten genom våra förslag om en nationell skolpeng, särskilda resurser för sjukvå</w:t>
      </w:r>
      <w:r w:rsidRPr="006C40C1">
        <w:t>r</w:t>
      </w:r>
      <w:r w:rsidRPr="006C40C1">
        <w:t>den som följer patienten och en nationell vårdg</w:t>
      </w:r>
      <w:r w:rsidRPr="006C40C1">
        <w:t>a</w:t>
      </w:r>
      <w:r w:rsidRPr="006C40C1">
        <w:t>ranti.</w:t>
      </w:r>
    </w:p>
    <w:p w:rsidR="00AA5D77" w:rsidRPr="006C40C1" w:rsidRDefault="00AA5D77">
      <w:pPr>
        <w:pStyle w:val="Normaltindrag"/>
      </w:pPr>
      <w:r w:rsidRPr="006C40C1">
        <w:t>Kostnaderna för sjukfrånvaro och förtidspension håller vi tillbaka genom att satsa offensivt på rehabilitering, kostnaderna för arbetslösheten genom en ny allmän och obligatorisk arbetslöshetsförsäkring med höjda, men avdrag</w:t>
      </w:r>
      <w:r w:rsidRPr="006C40C1">
        <w:t>s</w:t>
      </w:r>
      <w:r w:rsidRPr="006C40C1">
        <w:t>gilla egenavgifter. Våra lägre skatter medför dessutom att behovet av bidrag minskar.</w:t>
      </w:r>
    </w:p>
    <w:p w:rsidR="00AA5D77" w:rsidRPr="006C40C1" w:rsidRDefault="00AA5D77">
      <w:pPr>
        <w:pStyle w:val="Normaltindrag"/>
      </w:pPr>
      <w:r w:rsidRPr="006C40C1">
        <w:t>De privatiseringar vi genomför under de båda närmaste åren är 30 respe</w:t>
      </w:r>
      <w:r w:rsidRPr="006C40C1">
        <w:t>k</w:t>
      </w:r>
      <w:r w:rsidRPr="006C40C1">
        <w:t>tive 40 miljarder kronor högre än regeringens. De bidrar till att vi kan pressa ned bruttoskulden och till att vi kan minska utgifterna för statsskuld</w:t>
      </w:r>
      <w:r w:rsidRPr="006C40C1">
        <w:t>s</w:t>
      </w:r>
      <w:r w:rsidRPr="006C40C1">
        <w:t>räntor.</w:t>
      </w:r>
    </w:p>
    <w:p w:rsidR="00AA5D77" w:rsidRPr="006C40C1" w:rsidRDefault="00AA5D77">
      <w:pPr>
        <w:pStyle w:val="Normaltindrag"/>
      </w:pPr>
      <w:r w:rsidRPr="006C40C1">
        <w:t>Kan arbetskraftsutbudet ökas befrämjas en hög och uthållig tillväxt. Den enskildes intresse för att öka sin arbetsinsats påverkas i skatte- och bidrag</w:t>
      </w:r>
      <w:r w:rsidRPr="006C40C1">
        <w:t>s</w:t>
      </w:r>
      <w:r w:rsidRPr="006C40C1">
        <w:t xml:space="preserve">hänseende främst av marginaleffekter för dem som tjänar minst i förhållande till olika transfereringssystem. Det måste löna sig att gå från bidrag till arbete. Vi föreslår därför ökade självrisker i olika transfereringssystem. Vår politik tydliggör att det i varje läge ska löna sig att arbeta. </w:t>
      </w:r>
    </w:p>
    <w:p w:rsidR="00AA5D77" w:rsidRPr="006C40C1" w:rsidRDefault="00AA5D77">
      <w:pPr>
        <w:pStyle w:val="Normaltindrag"/>
      </w:pPr>
      <w:r w:rsidRPr="006C40C1">
        <w:t>Av samma skäl är de moderata skattesänkningarna i första hand inriktade på att befrämja arbetslinjen och sänka inkomstskatten för främst dem som tjänar minst. Det är de unikt höga skatterna på låga inkomster – nästa</w:t>
      </w:r>
      <w:r w:rsidRPr="006C40C1">
        <w:t xml:space="preserve"> år fö</w:t>
      </w:r>
      <w:r w:rsidRPr="006C40C1">
        <w:t>r</w:t>
      </w:r>
      <w:r w:rsidRPr="006C40C1">
        <w:t>värrat av alla aviserade höjningar av kommunalskatten – som skapar bidrag</w:t>
      </w:r>
      <w:r w:rsidRPr="006C40C1">
        <w:t>s</w:t>
      </w:r>
      <w:r w:rsidRPr="006C40C1">
        <w:t xml:space="preserve">beroendet och som dämpar viljan att arbeta. En självklar utgångspunkt måste vara att alla ska kunna leva på sin lön. </w:t>
      </w:r>
    </w:p>
    <w:p w:rsidR="00AA5D77" w:rsidRPr="006C40C1" w:rsidRDefault="00AA5D77">
      <w:pPr>
        <w:pStyle w:val="Normaltindrag"/>
        <w:rPr>
          <w:snapToGrid w:val="0"/>
          <w:lang w:eastAsia="sv-SE"/>
        </w:rPr>
      </w:pPr>
      <w:r w:rsidRPr="006C40C1">
        <w:rPr>
          <w:snapToGrid w:val="0"/>
          <w:lang w:eastAsia="sv-SE"/>
        </w:rPr>
        <w:t>Den moderata skattepolitiken har två huvudsakliga syften. Vi vill främja tillväxten genom att sänka skatter stimulera entreprenörskap, vilket ger alla en bättre välståndsutveckling. Med våra skattesänkningar vill vi också ge me</w:t>
      </w:r>
      <w:r w:rsidRPr="006C40C1">
        <w:rPr>
          <w:snapToGrid w:val="0"/>
          <w:lang w:eastAsia="sv-SE"/>
        </w:rPr>
        <w:t>d</w:t>
      </w:r>
      <w:r w:rsidRPr="006C40C1">
        <w:rPr>
          <w:snapToGrid w:val="0"/>
          <w:lang w:eastAsia="sv-SE"/>
        </w:rPr>
        <w:t>borgarna ett ökat inflytande över sina liv. Tonvikten lägger vi därför på att sänka inkomstskatter och på att avveckla fastighet</w:t>
      </w:r>
      <w:r w:rsidRPr="006C40C1">
        <w:rPr>
          <w:snapToGrid w:val="0"/>
          <w:lang w:eastAsia="sv-SE"/>
        </w:rPr>
        <w:t>s</w:t>
      </w:r>
      <w:r w:rsidRPr="006C40C1">
        <w:rPr>
          <w:snapToGrid w:val="0"/>
          <w:lang w:eastAsia="sv-SE"/>
        </w:rPr>
        <w:t xml:space="preserve">skatten. </w:t>
      </w:r>
    </w:p>
    <w:p w:rsidR="00AA5D77" w:rsidRPr="006C40C1" w:rsidRDefault="00AA5D77">
      <w:pPr>
        <w:pStyle w:val="Normaltindrag"/>
        <w:rPr>
          <w:snapToGrid w:val="0"/>
          <w:lang w:eastAsia="sv-SE"/>
        </w:rPr>
      </w:pPr>
      <w:r w:rsidRPr="006C40C1">
        <w:rPr>
          <w:snapToGrid w:val="0"/>
          <w:lang w:eastAsia="sv-SE"/>
        </w:rPr>
        <w:t>Sverige behöver en genomgripande inkomstskattereform som ökar den s</w:t>
      </w:r>
      <w:r w:rsidRPr="006C40C1">
        <w:rPr>
          <w:snapToGrid w:val="0"/>
          <w:lang w:eastAsia="sv-SE"/>
        </w:rPr>
        <w:t>o</w:t>
      </w:r>
      <w:r w:rsidRPr="006C40C1">
        <w:rPr>
          <w:snapToGrid w:val="0"/>
          <w:lang w:eastAsia="sv-SE"/>
        </w:rPr>
        <w:t>ciala tryggheten och motverkar fattigdomsfällor. Det måste alltid löna sig att arbeta och att utbilda sig. Vår skattereform har sin tyngdpunkt i låg- och medelinkomsttagarnas beskattning. Därför vill vi höja grundavdraget till 23 000 kr 2003. På sikt vill vi att de första 50 000 kr av en inkomst helt ska vara befriade från inkoms</w:t>
      </w:r>
      <w:r w:rsidRPr="006C40C1">
        <w:rPr>
          <w:snapToGrid w:val="0"/>
          <w:lang w:eastAsia="sv-SE"/>
        </w:rPr>
        <w:t>t</w:t>
      </w:r>
      <w:r w:rsidRPr="006C40C1">
        <w:rPr>
          <w:snapToGrid w:val="0"/>
          <w:lang w:eastAsia="sv-SE"/>
        </w:rPr>
        <w:t xml:space="preserve">skatt. </w:t>
      </w:r>
    </w:p>
    <w:p w:rsidR="00AA5D77" w:rsidRPr="006C40C1" w:rsidRDefault="00AA5D77">
      <w:pPr>
        <w:pStyle w:val="Normaltindrag"/>
        <w:rPr>
          <w:snapToGrid w:val="0"/>
          <w:lang w:eastAsia="sv-SE"/>
        </w:rPr>
      </w:pPr>
      <w:r w:rsidRPr="006C40C1">
        <w:rPr>
          <w:snapToGrid w:val="0"/>
          <w:lang w:eastAsia="sv-SE"/>
        </w:rPr>
        <w:t>För att ytterligare stimulera arbetsviljan vill vi införa ett förvärvsavdrag med 13 % på pensionsgrundande inkomster. Förvärvsavdraget växlas mot dagens skattereduktion fö</w:t>
      </w:r>
      <w:r w:rsidRPr="006C40C1">
        <w:rPr>
          <w:snapToGrid w:val="0"/>
          <w:lang w:eastAsia="sv-SE"/>
        </w:rPr>
        <w:t>r pensionsavgifter. Liksom grundavdraget ska fö</w:t>
      </w:r>
      <w:r w:rsidRPr="006C40C1">
        <w:rPr>
          <w:snapToGrid w:val="0"/>
          <w:lang w:eastAsia="sv-SE"/>
        </w:rPr>
        <w:t>r</w:t>
      </w:r>
      <w:r w:rsidRPr="006C40C1">
        <w:rPr>
          <w:snapToGrid w:val="0"/>
          <w:lang w:eastAsia="sv-SE"/>
        </w:rPr>
        <w:t>värvsavdraget endast få göras vid den kommunala beskattningen. Dessa a</w:t>
      </w:r>
      <w:r w:rsidRPr="006C40C1">
        <w:rPr>
          <w:snapToGrid w:val="0"/>
          <w:lang w:eastAsia="sv-SE"/>
        </w:rPr>
        <w:t>v</w:t>
      </w:r>
      <w:r w:rsidRPr="006C40C1">
        <w:rPr>
          <w:snapToGrid w:val="0"/>
          <w:lang w:eastAsia="sv-SE"/>
        </w:rPr>
        <w:t>drag begränsar således inte den statliga skatten, vilket markerar att tyng</w:t>
      </w:r>
      <w:r w:rsidRPr="006C40C1">
        <w:rPr>
          <w:snapToGrid w:val="0"/>
          <w:lang w:eastAsia="sv-SE"/>
        </w:rPr>
        <w:t>d</w:t>
      </w:r>
      <w:r w:rsidRPr="006C40C1">
        <w:rPr>
          <w:snapToGrid w:val="0"/>
          <w:lang w:eastAsia="sv-SE"/>
        </w:rPr>
        <w:t>punkten i våra förslag till reformerad inkomstbeskattning ligger i låg- och mellaninkomsttagares beskat</w:t>
      </w:r>
      <w:r w:rsidRPr="006C40C1">
        <w:rPr>
          <w:snapToGrid w:val="0"/>
          <w:lang w:eastAsia="sv-SE"/>
        </w:rPr>
        <w:t>t</w:t>
      </w:r>
      <w:r w:rsidRPr="006C40C1">
        <w:rPr>
          <w:snapToGrid w:val="0"/>
          <w:lang w:eastAsia="sv-SE"/>
        </w:rPr>
        <w:t>ning.</w:t>
      </w:r>
    </w:p>
    <w:p w:rsidR="00AA5D77" w:rsidRPr="006C40C1" w:rsidRDefault="00AA5D77">
      <w:pPr>
        <w:pStyle w:val="Normaltindrag"/>
        <w:rPr>
          <w:snapToGrid w:val="0"/>
          <w:lang w:eastAsia="sv-SE"/>
        </w:rPr>
      </w:pPr>
      <w:r w:rsidRPr="006C40C1">
        <w:rPr>
          <w:snapToGrid w:val="0"/>
          <w:lang w:eastAsia="sv-SE"/>
        </w:rPr>
        <w:t xml:space="preserve">Det är som vi ser det orimligt att dagens skattesystem inte tar hänsyn till försörjningsbörda. Framför allt är det barnfamiljer som har det svårt att få ekonomin att gå ihop. Utöver dagens barnbidrag vill vi </w:t>
      </w:r>
      <w:r w:rsidRPr="006C40C1">
        <w:rPr>
          <w:snapToGrid w:val="0"/>
          <w:lang w:eastAsia="sv-SE"/>
        </w:rPr>
        <w:t>därför införa ett extra grundavdrag vid den kommunala beskattningen på 15 000 kr per år och barn upp till 16 år. För dem som inte kan tillgodogöra sig avdraget ska ett motsv</w:t>
      </w:r>
      <w:r w:rsidRPr="006C40C1">
        <w:rPr>
          <w:snapToGrid w:val="0"/>
          <w:lang w:eastAsia="sv-SE"/>
        </w:rPr>
        <w:t>a</w:t>
      </w:r>
      <w:r w:rsidRPr="006C40C1">
        <w:rPr>
          <w:snapToGrid w:val="0"/>
          <w:lang w:eastAsia="sv-SE"/>
        </w:rPr>
        <w:t>rande bidrag betalas ut.</w:t>
      </w:r>
    </w:p>
    <w:p w:rsidR="00AA5D77" w:rsidRPr="006C40C1" w:rsidRDefault="00AA5D77">
      <w:pPr>
        <w:pStyle w:val="Normaltindrag"/>
        <w:rPr>
          <w:snapToGrid w:val="0"/>
          <w:lang w:eastAsia="sv-SE"/>
        </w:rPr>
      </w:pPr>
      <w:r w:rsidRPr="006C40C1">
        <w:rPr>
          <w:snapToGrid w:val="0"/>
          <w:lang w:eastAsia="sv-SE"/>
        </w:rPr>
        <w:t xml:space="preserve">På sikt bör den statliga inkomstskatten avskaffas. </w:t>
      </w:r>
      <w:r w:rsidRPr="006C40C1">
        <w:t>Den fungerar nämligen som en straffskatt på kunskap och heltidsarbete, och med den riskerar vi att vår mest välutbildade arbetskraft söker sig utomlands eller minskar sitt a</w:t>
      </w:r>
      <w:r w:rsidRPr="006C40C1">
        <w:t>r</w:t>
      </w:r>
      <w:r w:rsidRPr="006C40C1">
        <w:t xml:space="preserve">betsutbud. </w:t>
      </w:r>
      <w:r w:rsidRPr="006C40C1">
        <w:rPr>
          <w:snapToGrid w:val="0"/>
          <w:lang w:eastAsia="sv-SE"/>
        </w:rPr>
        <w:t>Som ett första steg i denna riktning vill vi ta bort vär</w:t>
      </w:r>
      <w:r w:rsidRPr="006C40C1">
        <w:rPr>
          <w:snapToGrid w:val="0"/>
          <w:lang w:eastAsia="sv-SE"/>
        </w:rPr>
        <w:t>n</w:t>
      </w:r>
      <w:r w:rsidRPr="006C40C1">
        <w:rPr>
          <w:snapToGrid w:val="0"/>
          <w:lang w:eastAsia="sv-SE"/>
        </w:rPr>
        <w:t>skatten 2003.</w:t>
      </w:r>
    </w:p>
    <w:p w:rsidR="00AA5D77" w:rsidRPr="006C40C1" w:rsidRDefault="00AA5D77">
      <w:pPr>
        <w:pStyle w:val="Normaltindrag"/>
      </w:pPr>
      <w:r w:rsidRPr="006C40C1">
        <w:t>Boendet beskattas hårt i Sverige. Fastighetsskatt utgår oavsett om det finns medel att betala den. För många höjs fastighetsskatten kraftigt i år eftersom taxeringsvärdena har höjts. Fastighetsskatten är orättfärdig. Den ska tas bort. Redan i år ska taxeri</w:t>
      </w:r>
      <w:r w:rsidRPr="006C40C1">
        <w:t>ngsvärdena frysas till 1997 års nivå, uttaget av skatt bestämmas till 0,9 % för småhus och 0,5 % för flerbostadshus samt det mar</w:t>
      </w:r>
      <w:r w:rsidRPr="006C40C1">
        <w:t>k</w:t>
      </w:r>
      <w:r w:rsidRPr="006C40C1">
        <w:t>värde som ligger till grund för beskattningen halveras.</w:t>
      </w:r>
    </w:p>
    <w:p w:rsidR="00AA5D77" w:rsidRPr="006C40C1" w:rsidRDefault="00AA5D77">
      <w:pPr>
        <w:pStyle w:val="Normaltindrag"/>
      </w:pPr>
      <w:r w:rsidRPr="006C40C1">
        <w:t>Transporter är nödvändiga, i synnerhet i glesbygd. Bensin- och dieselska</w:t>
      </w:r>
      <w:r w:rsidRPr="006C40C1">
        <w:t>t</w:t>
      </w:r>
      <w:r w:rsidRPr="006C40C1">
        <w:t xml:space="preserve">ten bör sänkas med 70 öre per liter för att underlätta för alla dem som i sin vardag är beroende av bilen. Reseavdraget bör dessutom höjas till 20 kr per mil. </w:t>
      </w:r>
    </w:p>
    <w:p w:rsidR="00AA5D77" w:rsidRPr="006C40C1" w:rsidRDefault="00AA5D77">
      <w:pPr>
        <w:pStyle w:val="Normaltindrag"/>
      </w:pPr>
      <w:r w:rsidRPr="006C40C1">
        <w:t>Vi har i vårt budgetförslag satt av en ram på ca 300 miljoner kronor för framskjuten beskattning av vissa andelsbyten.</w:t>
      </w:r>
    </w:p>
    <w:p w:rsidR="00AA5D77" w:rsidRPr="006C40C1" w:rsidRDefault="00AA5D77">
      <w:pPr>
        <w:pStyle w:val="Normaltindrag"/>
      </w:pPr>
      <w:r w:rsidRPr="006C40C1">
        <w:t>Våra skattesänkningar uppgår under de båda närmaste åren till 30 respe</w:t>
      </w:r>
      <w:r w:rsidRPr="006C40C1">
        <w:t>k</w:t>
      </w:r>
      <w:r w:rsidRPr="006C40C1">
        <w:t>tive 48 miljarder kronor utöver regeringens förslag och fördelar sig på följa</w:t>
      </w:r>
      <w:r w:rsidRPr="006C40C1">
        <w:t>n</w:t>
      </w:r>
      <w:r w:rsidRPr="006C40C1">
        <w:t>de sätt.</w:t>
      </w:r>
    </w:p>
    <w:p w:rsidR="00AA5D77" w:rsidRPr="006C40C1" w:rsidRDefault="00AA5D77">
      <w:pPr>
        <w:keepNext/>
        <w:spacing w:before="360" w:line="170" w:lineRule="exact"/>
        <w:outlineLvl w:val="0"/>
        <w:rPr>
          <w:b/>
          <w:sz w:val="17"/>
        </w:rPr>
      </w:pPr>
      <w:r w:rsidRPr="006C40C1">
        <w:rPr>
          <w:b/>
          <w:sz w:val="17"/>
        </w:rPr>
        <w:t>Tabell. Moderata samlingspartiets förslag till skattesänkningar 2002 och 2003</w:t>
      </w:r>
    </w:p>
    <w:p w:rsidR="00AA5D77" w:rsidRPr="006C40C1" w:rsidRDefault="00AA5D77">
      <w:pPr>
        <w:pStyle w:val="Tabelltext"/>
        <w:keepNext/>
        <w:keepLines/>
        <w:spacing w:after="40"/>
        <w:rPr>
          <w:sz w:val="14"/>
        </w:rPr>
      </w:pPr>
      <w:r w:rsidRPr="006C40C1">
        <w:rPr>
          <w:sz w:val="14"/>
        </w:rPr>
        <w:t>Finansiell effekt för konsoliderad offentlig sektor. Netto i förhållande till förslagen i budgetpropositionen. Belopp i miljarder kronor</w:t>
      </w:r>
    </w:p>
    <w:tbl>
      <w:tblPr>
        <w:tblW w:w="0" w:type="auto"/>
        <w:tblInd w:w="-70" w:type="dxa"/>
        <w:tblLayout w:type="fixed"/>
        <w:tblCellMar>
          <w:left w:w="70" w:type="dxa"/>
          <w:right w:w="70" w:type="dxa"/>
        </w:tblCellMar>
        <w:tblLook w:val="0000" w:firstRow="0" w:lastRow="0" w:firstColumn="0" w:lastColumn="0" w:noHBand="0" w:noVBand="0"/>
      </w:tblPr>
      <w:tblGrid>
        <w:gridCol w:w="2552"/>
        <w:gridCol w:w="624"/>
        <w:gridCol w:w="624"/>
      </w:tblGrid>
      <w:tr w:rsidR="00000000" w:rsidRPr="006C40C1">
        <w:tblPrEx>
          <w:tblCellMar>
            <w:top w:w="0" w:type="dxa"/>
            <w:bottom w:w="0" w:type="dxa"/>
          </w:tblCellMar>
        </w:tblPrEx>
        <w:tc>
          <w:tcPr>
            <w:tcW w:w="2552" w:type="dxa"/>
            <w:tcBorders>
              <w:top w:val="single" w:sz="4" w:space="0" w:color="auto"/>
              <w:bottom w:val="single" w:sz="4" w:space="0" w:color="auto"/>
            </w:tcBorders>
          </w:tcPr>
          <w:p w:rsidR="00AA5D77" w:rsidRPr="006C40C1" w:rsidRDefault="00AA5D77">
            <w:pPr>
              <w:pStyle w:val="Normaltindrag"/>
              <w:ind w:firstLine="0"/>
              <w:rPr>
                <w:b/>
                <w:snapToGrid w:val="0"/>
                <w:lang w:eastAsia="sv-SE"/>
              </w:rPr>
            </w:pPr>
          </w:p>
        </w:tc>
        <w:tc>
          <w:tcPr>
            <w:tcW w:w="624" w:type="dxa"/>
            <w:tcBorders>
              <w:top w:val="single" w:sz="4" w:space="0" w:color="auto"/>
              <w:bottom w:val="single" w:sz="4" w:space="0" w:color="auto"/>
            </w:tcBorders>
          </w:tcPr>
          <w:p w:rsidR="00AA5D77" w:rsidRPr="006C40C1" w:rsidRDefault="00AA5D77">
            <w:pPr>
              <w:pStyle w:val="Normaltindrag"/>
              <w:ind w:firstLine="0"/>
              <w:jc w:val="center"/>
              <w:rPr>
                <w:b/>
                <w:snapToGrid w:val="0"/>
                <w:sz w:val="17"/>
                <w:lang w:eastAsia="sv-SE"/>
              </w:rPr>
            </w:pPr>
            <w:r w:rsidRPr="006C40C1">
              <w:rPr>
                <w:b/>
                <w:snapToGrid w:val="0"/>
                <w:sz w:val="17"/>
                <w:lang w:eastAsia="sv-SE"/>
              </w:rPr>
              <w:t>2003</w:t>
            </w:r>
          </w:p>
        </w:tc>
        <w:tc>
          <w:tcPr>
            <w:tcW w:w="624" w:type="dxa"/>
            <w:tcBorders>
              <w:top w:val="single" w:sz="4" w:space="0" w:color="auto"/>
              <w:bottom w:val="single" w:sz="4" w:space="0" w:color="auto"/>
            </w:tcBorders>
          </w:tcPr>
          <w:p w:rsidR="00AA5D77" w:rsidRPr="006C40C1" w:rsidRDefault="00AA5D77">
            <w:pPr>
              <w:pStyle w:val="Normaltindrag"/>
              <w:ind w:firstLine="0"/>
              <w:jc w:val="center"/>
              <w:rPr>
                <w:b/>
                <w:snapToGrid w:val="0"/>
                <w:sz w:val="17"/>
                <w:lang w:eastAsia="sv-SE"/>
              </w:rPr>
            </w:pPr>
            <w:r w:rsidRPr="006C40C1">
              <w:rPr>
                <w:b/>
                <w:snapToGrid w:val="0"/>
                <w:sz w:val="17"/>
                <w:lang w:eastAsia="sv-SE"/>
              </w:rPr>
              <w:t>2004</w:t>
            </w:r>
          </w:p>
        </w:tc>
      </w:tr>
      <w:tr w:rsidR="00000000" w:rsidRPr="006C40C1">
        <w:tblPrEx>
          <w:tblCellMar>
            <w:top w:w="0" w:type="dxa"/>
            <w:bottom w:w="0" w:type="dxa"/>
          </w:tblCellMar>
        </w:tblPrEx>
        <w:trPr>
          <w:trHeight w:hRule="exact" w:val="40"/>
        </w:trPr>
        <w:tc>
          <w:tcPr>
            <w:tcW w:w="2552" w:type="dxa"/>
            <w:tcBorders>
              <w:top w:val="single" w:sz="4" w:space="0" w:color="auto"/>
            </w:tcBorders>
          </w:tcPr>
          <w:p w:rsidR="00AA5D77" w:rsidRPr="006C40C1" w:rsidRDefault="00AA5D77">
            <w:pPr>
              <w:pStyle w:val="Normaltindrag"/>
              <w:ind w:firstLine="0"/>
              <w:rPr>
                <w:snapToGrid w:val="0"/>
                <w:lang w:eastAsia="sv-SE"/>
              </w:rPr>
            </w:pPr>
          </w:p>
        </w:tc>
        <w:tc>
          <w:tcPr>
            <w:tcW w:w="624" w:type="dxa"/>
            <w:tcBorders>
              <w:top w:val="single" w:sz="4" w:space="0" w:color="auto"/>
            </w:tcBorders>
          </w:tcPr>
          <w:p w:rsidR="00AA5D77" w:rsidRPr="006C40C1" w:rsidRDefault="00AA5D77">
            <w:pPr>
              <w:pStyle w:val="Normaltindrag"/>
              <w:ind w:firstLine="0"/>
              <w:rPr>
                <w:snapToGrid w:val="0"/>
                <w:lang w:eastAsia="sv-SE"/>
              </w:rPr>
            </w:pPr>
          </w:p>
        </w:tc>
        <w:tc>
          <w:tcPr>
            <w:tcW w:w="624" w:type="dxa"/>
            <w:tcBorders>
              <w:top w:val="single" w:sz="4" w:space="0" w:color="auto"/>
            </w:tcBorders>
          </w:tcPr>
          <w:p w:rsidR="00AA5D77" w:rsidRPr="006C40C1" w:rsidRDefault="00AA5D77">
            <w:pPr>
              <w:pStyle w:val="Normaltindrag"/>
              <w:ind w:firstLine="0"/>
              <w:rPr>
                <w:snapToGrid w:val="0"/>
                <w:lang w:eastAsia="sv-SE"/>
              </w:rPr>
            </w:pPr>
          </w:p>
        </w:tc>
      </w:tr>
      <w:tr w:rsidR="00000000" w:rsidRPr="006C40C1">
        <w:tblPrEx>
          <w:tblCellMar>
            <w:top w:w="0" w:type="dxa"/>
            <w:bottom w:w="0" w:type="dxa"/>
          </w:tblCellMar>
        </w:tblPrEx>
        <w:tc>
          <w:tcPr>
            <w:tcW w:w="2552" w:type="dxa"/>
          </w:tcPr>
          <w:p w:rsidR="00AA5D77" w:rsidRPr="006C40C1" w:rsidRDefault="00AA5D77">
            <w:pPr>
              <w:spacing w:before="0" w:line="240" w:lineRule="auto"/>
              <w:jc w:val="left"/>
              <w:rPr>
                <w:sz w:val="17"/>
              </w:rPr>
            </w:pPr>
            <w:r w:rsidRPr="006C40C1">
              <w:rPr>
                <w:sz w:val="17"/>
              </w:rPr>
              <w:t>Sänkt inkomstskatt</w:t>
            </w:r>
          </w:p>
        </w:tc>
        <w:tc>
          <w:tcPr>
            <w:tcW w:w="624" w:type="dxa"/>
          </w:tcPr>
          <w:p w:rsidR="00AA5D77" w:rsidRPr="006C40C1" w:rsidRDefault="00AA5D77">
            <w:pPr>
              <w:pStyle w:val="Normaltindrag"/>
              <w:spacing w:line="240" w:lineRule="auto"/>
              <w:ind w:firstLine="0"/>
              <w:jc w:val="right"/>
              <w:rPr>
                <w:snapToGrid w:val="0"/>
                <w:sz w:val="17"/>
                <w:lang w:eastAsia="sv-SE"/>
              </w:rPr>
            </w:pPr>
            <w:r w:rsidRPr="006C40C1">
              <w:rPr>
                <w:snapToGrid w:val="0"/>
                <w:sz w:val="17"/>
                <w:lang w:eastAsia="sv-SE"/>
              </w:rPr>
              <w:t>21,29</w:t>
            </w:r>
          </w:p>
        </w:tc>
        <w:tc>
          <w:tcPr>
            <w:tcW w:w="624" w:type="dxa"/>
          </w:tcPr>
          <w:p w:rsidR="00AA5D77" w:rsidRPr="006C40C1" w:rsidRDefault="00AA5D77">
            <w:pPr>
              <w:pStyle w:val="Normaltindrag"/>
              <w:spacing w:line="240" w:lineRule="auto"/>
              <w:ind w:firstLine="0"/>
              <w:jc w:val="right"/>
              <w:rPr>
                <w:snapToGrid w:val="0"/>
                <w:sz w:val="17"/>
                <w:lang w:eastAsia="sv-SE"/>
              </w:rPr>
            </w:pPr>
            <w:r w:rsidRPr="006C40C1">
              <w:rPr>
                <w:snapToGrid w:val="0"/>
                <w:sz w:val="17"/>
                <w:lang w:eastAsia="sv-SE"/>
              </w:rPr>
              <w:t>26,47</w:t>
            </w:r>
          </w:p>
        </w:tc>
      </w:tr>
      <w:tr w:rsidR="00000000" w:rsidRPr="006C40C1">
        <w:tblPrEx>
          <w:tblCellMar>
            <w:top w:w="0" w:type="dxa"/>
            <w:bottom w:w="0" w:type="dxa"/>
          </w:tblCellMar>
        </w:tblPrEx>
        <w:tc>
          <w:tcPr>
            <w:tcW w:w="2552" w:type="dxa"/>
          </w:tcPr>
          <w:p w:rsidR="00AA5D77" w:rsidRPr="006C40C1" w:rsidRDefault="00AA5D77">
            <w:pPr>
              <w:spacing w:before="0" w:line="240" w:lineRule="auto"/>
              <w:jc w:val="left"/>
              <w:rPr>
                <w:sz w:val="17"/>
              </w:rPr>
            </w:pPr>
            <w:r w:rsidRPr="006C40C1">
              <w:rPr>
                <w:sz w:val="17"/>
              </w:rPr>
              <w:t>Sänkt fastighetsskatt</w:t>
            </w:r>
          </w:p>
        </w:tc>
        <w:tc>
          <w:tcPr>
            <w:tcW w:w="624" w:type="dxa"/>
          </w:tcPr>
          <w:p w:rsidR="00AA5D77" w:rsidRPr="006C40C1" w:rsidRDefault="00AA5D77">
            <w:pPr>
              <w:pStyle w:val="Normaltindrag"/>
              <w:spacing w:line="240" w:lineRule="auto"/>
              <w:ind w:firstLine="0"/>
              <w:jc w:val="right"/>
              <w:rPr>
                <w:snapToGrid w:val="0"/>
                <w:sz w:val="17"/>
                <w:lang w:eastAsia="sv-SE"/>
              </w:rPr>
            </w:pPr>
            <w:r w:rsidRPr="006C40C1">
              <w:rPr>
                <w:snapToGrid w:val="0"/>
                <w:sz w:val="17"/>
                <w:lang w:eastAsia="sv-SE"/>
              </w:rPr>
              <w:t>0,54</w:t>
            </w:r>
          </w:p>
        </w:tc>
        <w:tc>
          <w:tcPr>
            <w:tcW w:w="624" w:type="dxa"/>
          </w:tcPr>
          <w:p w:rsidR="00AA5D77" w:rsidRPr="006C40C1" w:rsidRDefault="00AA5D77">
            <w:pPr>
              <w:pStyle w:val="Normaltindrag"/>
              <w:spacing w:line="240" w:lineRule="auto"/>
              <w:ind w:firstLine="0"/>
              <w:jc w:val="right"/>
              <w:rPr>
                <w:snapToGrid w:val="0"/>
                <w:sz w:val="17"/>
                <w:lang w:eastAsia="sv-SE"/>
              </w:rPr>
            </w:pPr>
            <w:r w:rsidRPr="006C40C1">
              <w:rPr>
                <w:snapToGrid w:val="0"/>
                <w:sz w:val="17"/>
                <w:lang w:eastAsia="sv-SE"/>
              </w:rPr>
              <w:t>7,59</w:t>
            </w:r>
          </w:p>
        </w:tc>
      </w:tr>
      <w:tr w:rsidR="00000000" w:rsidRPr="006C40C1">
        <w:tblPrEx>
          <w:tblCellMar>
            <w:top w:w="0" w:type="dxa"/>
            <w:bottom w:w="0" w:type="dxa"/>
          </w:tblCellMar>
        </w:tblPrEx>
        <w:tc>
          <w:tcPr>
            <w:tcW w:w="2552" w:type="dxa"/>
          </w:tcPr>
          <w:p w:rsidR="00AA5D77" w:rsidRPr="006C40C1" w:rsidRDefault="00AA5D77">
            <w:pPr>
              <w:spacing w:before="0" w:line="240" w:lineRule="auto"/>
              <w:jc w:val="left"/>
              <w:rPr>
                <w:sz w:val="17"/>
              </w:rPr>
            </w:pPr>
            <w:r w:rsidRPr="006C40C1">
              <w:rPr>
                <w:sz w:val="17"/>
              </w:rPr>
              <w:t>Sänkt skatt på företaga</w:t>
            </w:r>
            <w:r w:rsidRPr="006C40C1">
              <w:rPr>
                <w:sz w:val="17"/>
              </w:rPr>
              <w:t>n</w:t>
            </w:r>
            <w:r w:rsidRPr="006C40C1">
              <w:rPr>
                <w:sz w:val="17"/>
              </w:rPr>
              <w:t>de</w:t>
            </w:r>
          </w:p>
        </w:tc>
        <w:tc>
          <w:tcPr>
            <w:tcW w:w="624" w:type="dxa"/>
          </w:tcPr>
          <w:p w:rsidR="00AA5D77" w:rsidRPr="006C40C1" w:rsidRDefault="00AA5D77">
            <w:pPr>
              <w:pStyle w:val="Normaltindrag"/>
              <w:spacing w:line="240" w:lineRule="auto"/>
              <w:ind w:firstLine="0"/>
              <w:jc w:val="right"/>
              <w:rPr>
                <w:snapToGrid w:val="0"/>
                <w:sz w:val="17"/>
                <w:lang w:eastAsia="sv-SE"/>
              </w:rPr>
            </w:pPr>
            <w:r w:rsidRPr="006C40C1">
              <w:rPr>
                <w:snapToGrid w:val="0"/>
                <w:sz w:val="17"/>
                <w:lang w:eastAsia="sv-SE"/>
              </w:rPr>
              <w:t>3,00</w:t>
            </w:r>
          </w:p>
        </w:tc>
        <w:tc>
          <w:tcPr>
            <w:tcW w:w="624" w:type="dxa"/>
          </w:tcPr>
          <w:p w:rsidR="00AA5D77" w:rsidRPr="006C40C1" w:rsidRDefault="00AA5D77">
            <w:pPr>
              <w:spacing w:before="0" w:line="240" w:lineRule="auto"/>
              <w:jc w:val="right"/>
              <w:rPr>
                <w:sz w:val="17"/>
              </w:rPr>
            </w:pPr>
            <w:r w:rsidRPr="006C40C1">
              <w:rPr>
                <w:sz w:val="17"/>
              </w:rPr>
              <w:t>6,00</w:t>
            </w:r>
          </w:p>
        </w:tc>
      </w:tr>
      <w:tr w:rsidR="00000000" w:rsidRPr="006C40C1">
        <w:tblPrEx>
          <w:tblCellMar>
            <w:top w:w="0" w:type="dxa"/>
            <w:bottom w:w="0" w:type="dxa"/>
          </w:tblCellMar>
        </w:tblPrEx>
        <w:tc>
          <w:tcPr>
            <w:tcW w:w="2552" w:type="dxa"/>
          </w:tcPr>
          <w:p w:rsidR="00AA5D77" w:rsidRPr="006C40C1" w:rsidRDefault="00AA5D77">
            <w:pPr>
              <w:spacing w:before="0" w:line="240" w:lineRule="auto"/>
              <w:jc w:val="left"/>
              <w:rPr>
                <w:sz w:val="17"/>
              </w:rPr>
            </w:pPr>
            <w:r w:rsidRPr="006C40C1">
              <w:rPr>
                <w:sz w:val="17"/>
              </w:rPr>
              <w:t>Sänkt energiskatt</w:t>
            </w:r>
          </w:p>
        </w:tc>
        <w:tc>
          <w:tcPr>
            <w:tcW w:w="624" w:type="dxa"/>
          </w:tcPr>
          <w:p w:rsidR="00AA5D77" w:rsidRPr="006C40C1" w:rsidRDefault="00AA5D77">
            <w:pPr>
              <w:spacing w:before="0" w:line="240" w:lineRule="auto"/>
              <w:jc w:val="right"/>
              <w:rPr>
                <w:sz w:val="17"/>
              </w:rPr>
            </w:pPr>
            <w:r w:rsidRPr="006C40C1">
              <w:rPr>
                <w:sz w:val="17"/>
              </w:rPr>
              <w:t>8,54</w:t>
            </w:r>
          </w:p>
        </w:tc>
        <w:tc>
          <w:tcPr>
            <w:tcW w:w="624" w:type="dxa"/>
          </w:tcPr>
          <w:p w:rsidR="00AA5D77" w:rsidRPr="006C40C1" w:rsidRDefault="00AA5D77">
            <w:pPr>
              <w:spacing w:before="0" w:line="240" w:lineRule="auto"/>
              <w:jc w:val="right"/>
              <w:rPr>
                <w:sz w:val="17"/>
              </w:rPr>
            </w:pPr>
            <w:r w:rsidRPr="006C40C1">
              <w:rPr>
                <w:sz w:val="17"/>
              </w:rPr>
              <w:t>8,18</w:t>
            </w:r>
          </w:p>
        </w:tc>
      </w:tr>
      <w:tr w:rsidR="00000000" w:rsidRPr="006C40C1">
        <w:tblPrEx>
          <w:tblCellMar>
            <w:top w:w="0" w:type="dxa"/>
            <w:bottom w:w="0" w:type="dxa"/>
          </w:tblCellMar>
        </w:tblPrEx>
        <w:tc>
          <w:tcPr>
            <w:tcW w:w="2552" w:type="dxa"/>
          </w:tcPr>
          <w:p w:rsidR="00AA5D77" w:rsidRPr="006C40C1" w:rsidRDefault="00AA5D77">
            <w:pPr>
              <w:spacing w:before="0" w:line="240" w:lineRule="auto"/>
              <w:jc w:val="left"/>
              <w:rPr>
                <w:sz w:val="17"/>
              </w:rPr>
            </w:pPr>
            <w:r w:rsidRPr="006C40C1">
              <w:rPr>
                <w:sz w:val="17"/>
              </w:rPr>
              <w:t>Övriga skatteförändrin</w:t>
            </w:r>
            <w:r w:rsidRPr="006C40C1">
              <w:rPr>
                <w:sz w:val="17"/>
              </w:rPr>
              <w:t>g</w:t>
            </w:r>
            <w:r w:rsidRPr="006C40C1">
              <w:rPr>
                <w:sz w:val="17"/>
              </w:rPr>
              <w:t>ar</w:t>
            </w:r>
          </w:p>
        </w:tc>
        <w:tc>
          <w:tcPr>
            <w:tcW w:w="624" w:type="dxa"/>
          </w:tcPr>
          <w:p w:rsidR="00AA5D77" w:rsidRPr="006C40C1" w:rsidRDefault="00AA5D77">
            <w:pPr>
              <w:spacing w:before="0" w:line="240" w:lineRule="auto"/>
              <w:jc w:val="right"/>
              <w:rPr>
                <w:sz w:val="17"/>
              </w:rPr>
            </w:pPr>
            <w:r w:rsidRPr="006C40C1">
              <w:rPr>
                <w:sz w:val="17"/>
              </w:rPr>
              <w:t>-2,58</w:t>
            </w:r>
          </w:p>
        </w:tc>
        <w:tc>
          <w:tcPr>
            <w:tcW w:w="624" w:type="dxa"/>
          </w:tcPr>
          <w:p w:rsidR="00AA5D77" w:rsidRPr="006C40C1" w:rsidRDefault="00AA5D77">
            <w:pPr>
              <w:spacing w:before="0" w:line="240" w:lineRule="auto"/>
              <w:jc w:val="right"/>
              <w:rPr>
                <w:sz w:val="17"/>
              </w:rPr>
            </w:pPr>
            <w:r w:rsidRPr="006C40C1">
              <w:rPr>
                <w:sz w:val="17"/>
              </w:rPr>
              <w:t>-0,04</w:t>
            </w:r>
          </w:p>
        </w:tc>
      </w:tr>
      <w:tr w:rsidR="00000000" w:rsidRPr="006C40C1">
        <w:tblPrEx>
          <w:tblCellMar>
            <w:top w:w="0" w:type="dxa"/>
            <w:bottom w:w="0" w:type="dxa"/>
          </w:tblCellMar>
        </w:tblPrEx>
        <w:tc>
          <w:tcPr>
            <w:tcW w:w="2552" w:type="dxa"/>
            <w:tcBorders>
              <w:bottom w:val="single" w:sz="4" w:space="0" w:color="auto"/>
            </w:tcBorders>
          </w:tcPr>
          <w:p w:rsidR="00AA5D77" w:rsidRPr="006C40C1" w:rsidRDefault="00AA5D77">
            <w:pPr>
              <w:pStyle w:val="Normalfrsta"/>
              <w:spacing w:before="0"/>
              <w:rPr>
                <w:b/>
                <w:sz w:val="17"/>
              </w:rPr>
            </w:pPr>
            <w:r w:rsidRPr="006C40C1">
              <w:rPr>
                <w:b/>
                <w:sz w:val="17"/>
              </w:rPr>
              <w:t>Summa skattesän</w:t>
            </w:r>
            <w:r w:rsidRPr="006C40C1">
              <w:rPr>
                <w:b/>
                <w:sz w:val="17"/>
              </w:rPr>
              <w:t>k</w:t>
            </w:r>
            <w:r w:rsidRPr="006C40C1">
              <w:rPr>
                <w:b/>
                <w:sz w:val="17"/>
              </w:rPr>
              <w:t>ningar</w:t>
            </w:r>
          </w:p>
        </w:tc>
        <w:tc>
          <w:tcPr>
            <w:tcW w:w="624" w:type="dxa"/>
            <w:tcBorders>
              <w:bottom w:val="single" w:sz="4" w:space="0" w:color="auto"/>
            </w:tcBorders>
          </w:tcPr>
          <w:p w:rsidR="00AA5D77" w:rsidRPr="006C40C1" w:rsidRDefault="00AA5D77">
            <w:pPr>
              <w:spacing w:before="0" w:line="240" w:lineRule="auto"/>
              <w:jc w:val="right"/>
              <w:rPr>
                <w:b/>
                <w:sz w:val="17"/>
              </w:rPr>
            </w:pPr>
            <w:r w:rsidRPr="006C40C1">
              <w:rPr>
                <w:b/>
                <w:sz w:val="17"/>
              </w:rPr>
              <w:t>30,79</w:t>
            </w:r>
          </w:p>
        </w:tc>
        <w:tc>
          <w:tcPr>
            <w:tcW w:w="624" w:type="dxa"/>
            <w:tcBorders>
              <w:bottom w:val="single" w:sz="4" w:space="0" w:color="auto"/>
            </w:tcBorders>
          </w:tcPr>
          <w:p w:rsidR="00AA5D77" w:rsidRPr="006C40C1" w:rsidRDefault="00AA5D77">
            <w:pPr>
              <w:spacing w:before="0" w:line="240" w:lineRule="auto"/>
              <w:jc w:val="right"/>
              <w:rPr>
                <w:b/>
                <w:sz w:val="17"/>
              </w:rPr>
            </w:pPr>
            <w:r w:rsidRPr="006C40C1">
              <w:rPr>
                <w:b/>
                <w:sz w:val="17"/>
              </w:rPr>
              <w:t>48,20</w:t>
            </w:r>
          </w:p>
        </w:tc>
      </w:tr>
    </w:tbl>
    <w:p w:rsidR="00AA5D77" w:rsidRPr="006C40C1" w:rsidRDefault="00AA5D77">
      <w:pPr>
        <w:spacing w:before="187"/>
      </w:pPr>
      <w:r w:rsidRPr="006C40C1">
        <w:t>Våra skattesänkningar motsvaras till sin huvuddel av minskade offentliga utgifter och har i övrigt en utbudsstimulerande inriktning. De minskade o</w:t>
      </w:r>
      <w:r w:rsidRPr="006C40C1">
        <w:t>f</w:t>
      </w:r>
      <w:r w:rsidRPr="006C40C1">
        <w:t xml:space="preserve">fentliga utgifterna härrör till en stor del från utgiftsminskningar som inte berör det enskilda hushållets ekonomi. </w:t>
      </w:r>
    </w:p>
    <w:p w:rsidR="00AA5D77" w:rsidRPr="006C40C1" w:rsidRDefault="00AA5D77">
      <w:pPr>
        <w:pStyle w:val="Normaltindrag"/>
      </w:pPr>
      <w:r w:rsidRPr="006C40C1">
        <w:t>Så innebär till exempel en politik som bryter den snabbt växande sjukfrå</w:t>
      </w:r>
      <w:r w:rsidRPr="006C40C1">
        <w:t>n</w:t>
      </w:r>
      <w:r w:rsidRPr="006C40C1">
        <w:t xml:space="preserve">varon inte en belastning på hushållsekonomin utan tvärtom både en bättre ekonomi för den enskilde och en bättre social situation. I vårt budgetförslag tillför vi väsentligt ökade resurser för att med en mångfald av medel minska ohälsa och sjukfrånvaro. Den nuvarande utvecklingen av sjukfrånvaron och förtidspensioner är oacceptabel av både sociala och ekonomiska skäl. </w:t>
      </w:r>
    </w:p>
    <w:p w:rsidR="00AA5D77" w:rsidRPr="006C40C1" w:rsidRDefault="00AA5D77">
      <w:pPr>
        <w:pStyle w:val="Normaltindrag"/>
      </w:pPr>
      <w:r w:rsidRPr="006C40C1">
        <w:t>Lägre skatter minskar behovet av bidrag och gör det möjligt att med lägre ersättningsnivåer uppnå samma nettoersättning som i dag. Lägre ers</w:t>
      </w:r>
      <w:r w:rsidRPr="006C40C1">
        <w:t>ättning</w:t>
      </w:r>
      <w:r w:rsidRPr="006C40C1">
        <w:t>s</w:t>
      </w:r>
      <w:r w:rsidRPr="006C40C1">
        <w:t>nivåer uppvägs i vårt budgetalternativ av lägre skatter på arbete. Samtidigt gör skattesänkningarna att det alltid lönar sig att arbeta. Det stimulerar fler att söka sig in på arbetsmarknaden och gör att fler vill arbeta mer. Vårt alternativ innebär betydande strukturförändringar som leder till bättre förutsättningar att möta den demografiska utvecklingen genom ökat arbetsutbud.</w:t>
      </w:r>
    </w:p>
    <w:p w:rsidR="00AA5D77" w:rsidRPr="006C40C1" w:rsidRDefault="00AA5D77">
      <w:pPr>
        <w:pStyle w:val="Normaltindrag"/>
      </w:pPr>
      <w:r w:rsidRPr="006C40C1">
        <w:t>I det moderata budgetalternativet fördelas skattesänkningarna 2004 så att 6 miljarder kronor används för att minska skatte</w:t>
      </w:r>
      <w:r w:rsidRPr="006C40C1">
        <w:t>n på företagande, medan hela 42 miljarder kronor, eller närmare 90 %, avser lägre skatt på arbete, familj, boende och energi.</w:t>
      </w:r>
    </w:p>
    <w:p w:rsidR="00AA5D77" w:rsidRPr="006C40C1" w:rsidRDefault="00AA5D77">
      <w:pPr>
        <w:pStyle w:val="Normaltindrag"/>
      </w:pPr>
      <w:r w:rsidRPr="006C40C1">
        <w:t xml:space="preserve">Den finansiella effekten av Moderata samlingspartiets budgetalternativ kan sammanfattas på det sätt som framgår av följande tabell. Den visar att med vårt budgetalternativ kommer sparandet att ligga på ungefär samma nivå som regeringens under de kommande två åren. </w:t>
      </w:r>
    </w:p>
    <w:p w:rsidR="00AA5D77" w:rsidRPr="006C40C1" w:rsidRDefault="00AA5D77">
      <w:pPr>
        <w:pStyle w:val="FiU1tabellrubrik2000"/>
        <w:keepNext/>
        <w:keepLines/>
        <w:spacing w:line="200" w:lineRule="exact"/>
        <w:outlineLvl w:val="0"/>
      </w:pPr>
      <w:r w:rsidRPr="006C40C1">
        <w:t>Tabell. Finansiellt sparande i den konsoliderade offentliga sektorn med Moderata samlingspartiets budgetalternativ</w:t>
      </w:r>
    </w:p>
    <w:p w:rsidR="00AA5D77" w:rsidRPr="006C40C1" w:rsidRDefault="00AA5D77">
      <w:pPr>
        <w:pStyle w:val="Tabell"/>
        <w:keepNext/>
        <w:keepLines/>
        <w:outlineLvl w:val="0"/>
        <w:rPr>
          <w:rFonts w:ascii="Times New Roman" w:hAnsi="Times New Roman"/>
          <w:spacing w:val="0"/>
          <w:sz w:val="14"/>
        </w:rPr>
      </w:pPr>
      <w:r w:rsidRPr="006C40C1">
        <w:rPr>
          <w:rFonts w:ascii="Times New Roman" w:hAnsi="Times New Roman"/>
          <w:spacing w:val="0"/>
          <w:sz w:val="14"/>
        </w:rPr>
        <w:t>Offentliga sektorns finansiella sparande</w:t>
      </w:r>
    </w:p>
    <w:p w:rsidR="00AA5D77" w:rsidRPr="006C40C1" w:rsidRDefault="00AA5D77">
      <w:pPr>
        <w:pStyle w:val="Tabell"/>
        <w:keepNext/>
        <w:keepLines/>
        <w:outlineLvl w:val="0"/>
        <w:rPr>
          <w:rFonts w:ascii="Times New Roman" w:hAnsi="Times New Roman"/>
          <w:spacing w:val="0"/>
          <w:sz w:val="14"/>
        </w:rPr>
      </w:pPr>
      <w:r w:rsidRPr="006C40C1">
        <w:rPr>
          <w:rFonts w:ascii="Times New Roman" w:hAnsi="Times New Roman"/>
          <w:spacing w:val="0"/>
          <w:sz w:val="14"/>
        </w:rPr>
        <w:t>Belopp i miljarder kronor</w:t>
      </w:r>
    </w:p>
    <w:p w:rsidR="00AA5D77" w:rsidRPr="006C40C1" w:rsidRDefault="006C40C1">
      <w:pPr>
        <w:spacing w:line="240" w:lineRule="auto"/>
      </w:pPr>
      <w:r w:rsidRPr="006C40C1">
        <w:rPr>
          <w:noProof/>
        </w:rPr>
        <w:drawing>
          <wp:inline distT="0" distB="0" distL="0" distR="0">
            <wp:extent cx="3723005" cy="1360805"/>
            <wp:effectExtent l="0" t="0" r="0" b="0"/>
            <wp:docPr id="87" name="Bild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723005" cy="1360805"/>
                    </a:xfrm>
                    <a:prstGeom prst="rect">
                      <a:avLst/>
                    </a:prstGeom>
                    <a:noFill/>
                    <a:ln>
                      <a:noFill/>
                    </a:ln>
                  </pic:spPr>
                </pic:pic>
              </a:graphicData>
            </a:graphic>
          </wp:inline>
        </w:drawing>
      </w:r>
    </w:p>
    <w:p w:rsidR="00AA5D77" w:rsidRPr="006C40C1" w:rsidRDefault="00AA5D77">
      <w:pPr>
        <w:spacing w:before="187"/>
      </w:pPr>
      <w:r w:rsidRPr="006C40C1">
        <w:t>De utgiftsminskningar som följer av våra besparingsförslag och den kompe</w:t>
      </w:r>
      <w:r w:rsidRPr="006C40C1">
        <w:t>n</w:t>
      </w:r>
      <w:r w:rsidRPr="006C40C1">
        <w:t>sation vi tillför kommunsektorn för våra skatteförslag innebär sammantagna att utgiftstaket för staten under de kommande två budgetåren bör bestämmas till 863 miljarder kronor 2003 och 883 miljarder kronor 2004. Att våra förslag till utgiftstak för staten överstiger regeringens sammanhänger med de ökade kommunbidrag som krävs för att neutralisera våra skatteförslag. Ser man till utgiftstaket för hela den offentliga sektorn bortfaller dessa neutraliseringse</w:t>
      </w:r>
      <w:r w:rsidRPr="006C40C1">
        <w:t>f</w:t>
      </w:r>
      <w:r w:rsidRPr="006C40C1">
        <w:t>fekter, och då får vi väsentligt lägre utgifter än</w:t>
      </w:r>
      <w:r w:rsidRPr="006C40C1">
        <w:t xml:space="preserve"> vad regeringen räknar med i sitt budgetförslag. Vårt utgiftstak för den offentliga sektorn understiger för de båda efterföljande åren regeringens förslag med 23 respektive 108 miljarder kronor.</w:t>
      </w:r>
    </w:p>
    <w:p w:rsidR="00AA5D77" w:rsidRPr="006C40C1" w:rsidRDefault="00AA5D77">
      <w:pPr>
        <w:pStyle w:val="Normaltindrag"/>
      </w:pPr>
      <w:r w:rsidRPr="006C40C1">
        <w:t>Vid beräkningen av utgiftstaket har vi inte inkluderat någon budgetering</w:t>
      </w:r>
      <w:r w:rsidRPr="006C40C1">
        <w:t>s</w:t>
      </w:r>
      <w:r w:rsidRPr="006C40C1">
        <w:t>marginal eftersom den påverkar budgetdisciplinen negativt. Det framgår inte minst av regeringens budgetförslag där budgeteringsmarginalen för de ko</w:t>
      </w:r>
      <w:r w:rsidRPr="006C40C1">
        <w:t>m</w:t>
      </w:r>
      <w:r w:rsidRPr="006C40C1">
        <w:t>mande åren i det närmaste redan är helt intecknad. Det är uppenbart att r</w:t>
      </w:r>
      <w:r w:rsidRPr="006C40C1">
        <w:t>e</w:t>
      </w:r>
      <w:r w:rsidRPr="006C40C1">
        <w:t>geringen nu, genom budgeteringsmarginalen, använder utgiftstaken som mål för hur de offentliga utgifterna ska utvecklas i stället för som en begränsning av de statliga utgifternas utveckling. Det har lett till att de statliga utgifterna exklusive ränteutgifterna nu växer mycket snabbt. Oc</w:t>
      </w:r>
      <w:r w:rsidRPr="006C40C1">
        <w:t>h när alla nya löften inte längre ryms under utgiftstaket tillgriper regeringen närmast desperat olika typer av budgettrixande, som när man i strid med budgetlagens krav på bru</w:t>
      </w:r>
      <w:r w:rsidRPr="006C40C1">
        <w:t>t</w:t>
      </w:r>
      <w:r w:rsidRPr="006C40C1">
        <w:t>toredovisning tillför kommunerna ytterligare 3,6 miljarder kronor nästa år över statsbudgetens inkomstsida. Det görs inte i form av ökade statsbidrag utan som en fortsatt omvandling av 200-kronan till en kommunal skatt och som en förlängning av det  tillfälliga sysselsättningsstödet till kommunse</w:t>
      </w:r>
      <w:r w:rsidRPr="006C40C1">
        <w:t>k</w:t>
      </w:r>
      <w:r w:rsidRPr="006C40C1">
        <w:t>torn.</w:t>
      </w:r>
    </w:p>
    <w:p w:rsidR="00AA5D77" w:rsidRPr="006C40C1" w:rsidRDefault="00AA5D77">
      <w:pPr>
        <w:pStyle w:val="Normaltindrag"/>
      </w:pPr>
      <w:r w:rsidRPr="006C40C1">
        <w:t>Regeringen försöker genom utfäs</w:t>
      </w:r>
      <w:r w:rsidRPr="006C40C1">
        <w:t>telser om ytterligare stöd åstadkomma en nödvändig förnyelse av kommunsektorn. Enligt vår mening är detta inte en framkomlig väg, vilket också bekräftas av erfarenheterna från tidigare til</w:t>
      </w:r>
      <w:r w:rsidRPr="006C40C1">
        <w:t>l</w:t>
      </w:r>
      <w:r w:rsidRPr="006C40C1">
        <w:t>skott. Statens viktigaste uppgift i detta sammanhang bör i stället vara att främja sysselsättningen och på så sätt bredda kommunernas skatteunde</w:t>
      </w:r>
      <w:r w:rsidRPr="006C40C1">
        <w:t>r</w:t>
      </w:r>
      <w:r w:rsidRPr="006C40C1">
        <w:t>lag.</w:t>
      </w:r>
    </w:p>
    <w:p w:rsidR="00AA5D77" w:rsidRPr="006C40C1" w:rsidRDefault="00AA5D77">
      <w:pPr>
        <w:pStyle w:val="Normaltindrag"/>
      </w:pPr>
      <w:r w:rsidRPr="006C40C1">
        <w:t>Om de föreslagna taken för statens utgifter under de närmaste båda åren behöver överskridas, får regeringen återkomma till riksdagen med en fö</w:t>
      </w:r>
      <w:r w:rsidRPr="006C40C1">
        <w:t>r</w:t>
      </w:r>
      <w:r w:rsidRPr="006C40C1">
        <w:t>klaring och ett förslag till de besparingar som krävs för att det ursprungligen fas</w:t>
      </w:r>
      <w:r w:rsidRPr="006C40C1">
        <w:t>t</w:t>
      </w:r>
      <w:r w:rsidRPr="006C40C1">
        <w:t>ställda taket ska kunna upprätthållas.</w:t>
      </w:r>
    </w:p>
    <w:p w:rsidR="00AA5D77" w:rsidRPr="006C40C1" w:rsidRDefault="00AA5D77">
      <w:pPr>
        <w:pStyle w:val="Normaltindrag"/>
      </w:pPr>
      <w:r w:rsidRPr="006C40C1">
        <w:t>Sammanfattningsvis anser vi alltså att Moderata samlingspartiets förslag till inriktning av budgetpolitiken, liksom partiets förslag till utgiftstak för åren 2003 och 2004, bör ligga till grund för budgetpolitiken. Det innebär att vi tillstyrker de nivåer för utgiftstaket för staten för 2003 och 2004 som föreslås i motion Fi231 (m) (yrkande 3) liksom vårt förslag till beräkning av de o</w:t>
      </w:r>
      <w:r w:rsidRPr="006C40C1">
        <w:t>f</w:t>
      </w:r>
      <w:r w:rsidRPr="006C40C1">
        <w:t>fentliga utgifterna (yrkande 2). Vidare tillstyrker vi Moderata samlingspartiets förslag till beräkning av statsbudgetens inkomster med tillägg för den utökade ramen för framskjuten beskattning av vissa andelsbyten vi förordat och fö</w:t>
      </w:r>
      <w:r w:rsidRPr="006C40C1">
        <w:t>r</w:t>
      </w:r>
      <w:r w:rsidRPr="006C40C1">
        <w:t>slag till fördelning av utgifter på utgiftsområden för budgetåret 2003 (yrka</w:t>
      </w:r>
      <w:r w:rsidRPr="006C40C1">
        <w:t>n</w:t>
      </w:r>
      <w:r w:rsidRPr="006C40C1">
        <w:t>dena 4 och 5) på det sätt som framgår av reservation 4 (m) i sammanstäl</w:t>
      </w:r>
      <w:r w:rsidRPr="006C40C1">
        <w:t>l</w:t>
      </w:r>
      <w:r w:rsidRPr="006C40C1">
        <w:t>ningen i anslutning till utskottets förslag till riksdagsbeslut. Vårt förslag till fördelning av utgifter på utgiftsområden fram</w:t>
      </w:r>
      <w:r w:rsidRPr="006C40C1">
        <w:t>går också av följande t</w:t>
      </w:r>
      <w:r w:rsidRPr="006C40C1">
        <w:t>a</w:t>
      </w:r>
      <w:r w:rsidRPr="006C40C1">
        <w:t>bell.</w:t>
      </w:r>
    </w:p>
    <w:p w:rsidR="00AA5D77" w:rsidRPr="006C40C1" w:rsidRDefault="00AA5D77">
      <w:pPr>
        <w:pStyle w:val="Normaltindrag"/>
      </w:pPr>
      <w:r w:rsidRPr="006C40C1">
        <w:t>Slutligen stöder vi även Moderata samlingspartiets övriga förslag i detta sammanhang liksom de förslag som framförs av andra partier och som öve</w:t>
      </w:r>
      <w:r w:rsidRPr="006C40C1">
        <w:t>r</w:t>
      </w:r>
      <w:r w:rsidRPr="006C40C1">
        <w:t>ensstämmer med våra förslag.</w:t>
      </w:r>
    </w:p>
    <w:p w:rsidR="00AA5D77" w:rsidRPr="006C40C1" w:rsidRDefault="00AA5D77">
      <w:pPr>
        <w:pStyle w:val="Normaltindrag"/>
      </w:pPr>
      <w:r w:rsidRPr="006C40C1">
        <w:t>Regeringens förslag i berörda delar avstyrks liksom de övriga motioner som är aktuella i detta sammanhang.</w:t>
      </w:r>
    </w:p>
    <w:p w:rsidR="00AA5D77" w:rsidRPr="006C40C1" w:rsidRDefault="00AA5D77">
      <w:pPr>
        <w:pStyle w:val="FiU1tabellrubrik2000"/>
        <w:keepNext/>
        <w:keepLines/>
        <w:spacing w:line="240" w:lineRule="atLeast"/>
        <w:outlineLvl w:val="0"/>
      </w:pPr>
      <w:r w:rsidRPr="006C40C1">
        <w:br w:type="page"/>
        <w:t>Tabell. Moderata samlingspartiets förslag till utgiftstak och utgiftsr</w:t>
      </w:r>
      <w:r w:rsidRPr="006C40C1">
        <w:t>a</w:t>
      </w:r>
      <w:r w:rsidRPr="006C40C1">
        <w:t>mar för 2003</w:t>
      </w:r>
    </w:p>
    <w:p w:rsidR="00AA5D77" w:rsidRPr="006C40C1" w:rsidRDefault="00AA5D77">
      <w:pPr>
        <w:pStyle w:val="Tabell"/>
        <w:keepNext/>
        <w:keepLines/>
        <w:spacing w:after="40"/>
        <w:outlineLvl w:val="0"/>
        <w:rPr>
          <w:rFonts w:ascii="Times New Roman" w:hAnsi="Times New Roman"/>
          <w:sz w:val="14"/>
        </w:rPr>
      </w:pPr>
      <w:r w:rsidRPr="006C40C1">
        <w:rPr>
          <w:rFonts w:ascii="Times New Roman" w:hAnsi="Times New Roman"/>
          <w:sz w:val="14"/>
        </w:rPr>
        <w:t>Belopp i miljoner kronor</w:t>
      </w:r>
    </w:p>
    <w:p w:rsidR="00AA5D77" w:rsidRPr="006C40C1" w:rsidRDefault="006C40C1">
      <w:pPr>
        <w:spacing w:before="0" w:line="240" w:lineRule="auto"/>
      </w:pPr>
      <w:r w:rsidRPr="006C40C1">
        <w:rPr>
          <w:noProof/>
        </w:rPr>
        <w:drawing>
          <wp:inline distT="0" distB="0" distL="0" distR="0">
            <wp:extent cx="3777615" cy="4756785"/>
            <wp:effectExtent l="0" t="0" r="0" b="0"/>
            <wp:docPr id="88" name="Bild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777615" cy="4756785"/>
                    </a:xfrm>
                    <a:prstGeom prst="rect">
                      <a:avLst/>
                    </a:prstGeom>
                    <a:noFill/>
                    <a:ln>
                      <a:noFill/>
                    </a:ln>
                  </pic:spPr>
                </pic:pic>
              </a:graphicData>
            </a:graphic>
          </wp:inline>
        </w:drawing>
      </w:r>
    </w:p>
    <w:p w:rsidR="00AA5D77" w:rsidRPr="006C40C1" w:rsidRDefault="00AA5D77">
      <w:pPr>
        <w:pStyle w:val="Reservationspunkt"/>
        <w:rPr>
          <w:noProof w:val="0"/>
        </w:rPr>
      </w:pPr>
      <w:r w:rsidRPr="006C40C1">
        <w:rPr>
          <w:noProof w:val="0"/>
        </w:rPr>
        <w:br w:type="page"/>
      </w:r>
      <w:bookmarkStart w:id="1048" w:name="_Toc26191689"/>
      <w:r w:rsidRPr="006C40C1">
        <w:rPr>
          <w:noProof w:val="0"/>
        </w:rPr>
        <w:t>9. Budgetförslagen för 2003 – avsnitten 2.4–2.12, 3 och 4.1, punkt 5 (fp)</w:t>
      </w:r>
      <w:bookmarkEnd w:id="1048"/>
    </w:p>
    <w:p w:rsidR="00AA5D77" w:rsidRPr="006C40C1" w:rsidRDefault="00AA5D77">
      <w:pPr>
        <w:pStyle w:val="Reservanter"/>
      </w:pPr>
      <w:r w:rsidRPr="006C40C1">
        <w:t>av Karin Pilsäter och Christer Nylander (båda fp).</w:t>
      </w:r>
    </w:p>
    <w:p w:rsidR="00AA5D77" w:rsidRPr="006C40C1" w:rsidRDefault="00AA5D77">
      <w:pPr>
        <w:pStyle w:val="R4"/>
      </w:pPr>
      <w:r w:rsidRPr="006C40C1">
        <w:t>Förslag till riksdagsbeslut</w:t>
      </w:r>
    </w:p>
    <w:p w:rsidR="00AA5D77" w:rsidRPr="006C40C1" w:rsidRDefault="00AA5D77">
      <w:r w:rsidRPr="006C40C1">
        <w:t>Vi anser att förslaget till riksdagsbeslut under punkt 5 bör ha följande lyde</w:t>
      </w:r>
      <w:r w:rsidRPr="006C40C1">
        <w:t>l</w:t>
      </w:r>
      <w:r w:rsidRPr="006C40C1">
        <w:t>se:</w:t>
      </w:r>
    </w:p>
    <w:p w:rsidR="00AA5D77" w:rsidRPr="006C40C1" w:rsidRDefault="00AA5D77">
      <w:pPr>
        <w:pStyle w:val="R4"/>
      </w:pPr>
      <w:r w:rsidRPr="006C40C1">
        <w:t>5. Budgetförslagen för 2003</w:t>
      </w:r>
    </w:p>
    <w:p w:rsidR="00AA5D77" w:rsidRPr="006C40C1" w:rsidRDefault="00AA5D77">
      <w:r w:rsidRPr="006C40C1">
        <w:rPr>
          <w:i/>
        </w:rPr>
        <w:t>a) Utgiftstak för staten 2002–2004 (avsnitt 2.5.1)</w:t>
      </w:r>
    </w:p>
    <w:p w:rsidR="00AA5D77" w:rsidRPr="006C40C1" w:rsidRDefault="00AA5D77">
      <w:pPr>
        <w:pStyle w:val="Reservantfrslag"/>
      </w:pPr>
      <w:r w:rsidRPr="006C40C1">
        <w:t>Riksdagen fastställer utgiftstaket för staten inklusive ålderspensionssystemet vid sidan av statsbudgeten till 813 miljarder kronor 2003 och 846 miljarder kronor 2004. Därmed bifaller riksdagen motion 2002/03:Fi232 av Lars Le</w:t>
      </w:r>
      <w:r w:rsidRPr="006C40C1">
        <w:t>i</w:t>
      </w:r>
      <w:r w:rsidRPr="006C40C1">
        <w:t xml:space="preserve">jonborg m.fl. (fp) yrkande 2 och avslår proposition 2002/03:1 punkt 2 samt övriga motionsyrkanden som finns upptagna under punkt 5 a i efterföljande </w:t>
      </w:r>
      <w:r w:rsidRPr="006C40C1">
        <w:rPr>
          <w:i/>
        </w:rPr>
        <w:t>förteckning över av utskottet i punkt 5 avstyrkta motionsy</w:t>
      </w:r>
      <w:r w:rsidRPr="006C40C1">
        <w:rPr>
          <w:i/>
        </w:rPr>
        <w:t>r</w:t>
      </w:r>
      <w:r w:rsidRPr="006C40C1">
        <w:rPr>
          <w:i/>
        </w:rPr>
        <w:t>kanden.</w:t>
      </w:r>
      <w:r w:rsidRPr="006C40C1">
        <w:t xml:space="preserve"> </w:t>
      </w:r>
    </w:p>
    <w:p w:rsidR="00AA5D77" w:rsidRPr="006C40C1" w:rsidRDefault="00AA5D77">
      <w:pPr>
        <w:pStyle w:val="Reservantfrslag"/>
        <w:spacing w:before="120"/>
        <w:rPr>
          <w:i/>
        </w:rPr>
      </w:pPr>
      <w:r w:rsidRPr="006C40C1">
        <w:rPr>
          <w:i/>
        </w:rPr>
        <w:t>b) Beräkning av den offentliga sektorns utgifter åren 2003 och 2004 (avsnitt 2.5.2)</w:t>
      </w:r>
    </w:p>
    <w:p w:rsidR="00AA5D77" w:rsidRPr="006C40C1" w:rsidRDefault="00AA5D77">
      <w:pPr>
        <w:pStyle w:val="Reservantfrslag"/>
      </w:pPr>
      <w:r w:rsidRPr="006C40C1">
        <w:t>Riksdagen godkänner den reviderade beräkningen av de offentliga utgifterna för åren 2003 och 2004 som redovisas i motion 2002/03:Fi232. Därmed b</w:t>
      </w:r>
      <w:r w:rsidRPr="006C40C1">
        <w:t>i</w:t>
      </w:r>
      <w:r w:rsidRPr="006C40C1">
        <w:t xml:space="preserve">faller riksdagen motion 2002/03:Fi232 av Lars Leijonborg m.fl. (fp) yrkande 3 och avslår proposition 2002/03:1 punkt 3 samt övriga motionsyrkanden som finns upptagna under punkt 5 b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pStyle w:val="Reservantfrslag"/>
        <w:spacing w:before="120"/>
        <w:rPr>
          <w:i/>
        </w:rPr>
      </w:pPr>
      <w:r w:rsidRPr="006C40C1">
        <w:rPr>
          <w:i/>
        </w:rPr>
        <w:t>c) Fördelning av statsbudgetens utgifter på utgiftsområden 2003 (avsnitt 2.6)</w:t>
      </w:r>
    </w:p>
    <w:p w:rsidR="00AA5D77" w:rsidRPr="006C40C1" w:rsidRDefault="00AA5D77">
      <w:pPr>
        <w:pStyle w:val="Reservantfrslag"/>
      </w:pPr>
      <w:r w:rsidRPr="006C40C1">
        <w:t>Riksdagen beslutar om fördelning av utgifterna för budgetåret 2003 på u</w:t>
      </w:r>
      <w:r w:rsidRPr="006C40C1">
        <w:t>t</w:t>
      </w:r>
      <w:r w:rsidRPr="006C40C1">
        <w:t xml:space="preserve">giftsområden enligt det med reservation 9 betecknade förslaget i efterföljande </w:t>
      </w:r>
      <w:r w:rsidRPr="006C40C1">
        <w:rPr>
          <w:i/>
        </w:rPr>
        <w:t>sammanställning över statsbudgetens utgifter och inkomste</w:t>
      </w:r>
      <w:r w:rsidRPr="006C40C1">
        <w:t xml:space="preserve">r. Därmed bifaller riksdagen delvis motion 2002/03:Fi232 av Lars Leijonborg m.fl. (fp) yrkande 6 och avslår proposition 2002/03:1 punkt 8, motion 2002/03:Fi230 av Britt Bohlin m.fl. (s, v, mp) yrkande 1 samt övriga motionsyrkanden som finns upptagna under punkt 5 c i efterföljande </w:t>
      </w:r>
      <w:r w:rsidRPr="006C40C1">
        <w:rPr>
          <w:i/>
        </w:rPr>
        <w:t>förteckning över av utskottet i punkt 5 avstyrkta motionsyrka</w:t>
      </w:r>
      <w:r w:rsidRPr="006C40C1">
        <w:rPr>
          <w:i/>
        </w:rPr>
        <w:t>n</w:t>
      </w:r>
      <w:r w:rsidRPr="006C40C1">
        <w:rPr>
          <w:i/>
        </w:rPr>
        <w:t>den.</w:t>
      </w:r>
    </w:p>
    <w:p w:rsidR="00AA5D77" w:rsidRPr="006C40C1" w:rsidRDefault="00AA5D77">
      <w:pPr>
        <w:pStyle w:val="Reservantfrslag"/>
        <w:spacing w:before="120"/>
        <w:rPr>
          <w:i/>
        </w:rPr>
      </w:pPr>
      <w:r w:rsidRPr="006C40C1">
        <w:rPr>
          <w:i/>
        </w:rPr>
        <w:t>d) Förändringar av anslags</w:t>
      </w:r>
      <w:r w:rsidRPr="006C40C1">
        <w:rPr>
          <w:i/>
        </w:rPr>
        <w:t>behållningar för 2003 (avsnitt 2.8)</w:t>
      </w:r>
    </w:p>
    <w:p w:rsidR="00AA5D77" w:rsidRPr="006C40C1" w:rsidRDefault="00AA5D77">
      <w:pPr>
        <w:pStyle w:val="Reservantfrslag"/>
      </w:pPr>
      <w:r w:rsidRPr="006C40C1">
        <w:t>Riksdagen godkänner den beräkning av förändringar av anslagsbehållningar för budgetåret 2003 som redovisas i reservation 9. Därmed bifaller riksdagen motion 2002/03:Fi232 av Lars Leijonborg m.fl. (fp) yrkande 5 och avslår proposition 2002/03:1 punkt 9 samt övriga motionsyrkanden som finns up</w:t>
      </w:r>
      <w:r w:rsidRPr="006C40C1">
        <w:t>p</w:t>
      </w:r>
      <w:r w:rsidRPr="006C40C1">
        <w:t xml:space="preserve">tagna under punkt 5 d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pStyle w:val="Reservantfrslag"/>
        <w:spacing w:before="120"/>
        <w:rPr>
          <w:i/>
        </w:rPr>
      </w:pPr>
      <w:r w:rsidRPr="006C40C1">
        <w:rPr>
          <w:i/>
        </w:rPr>
        <w:t>e) Myndigheternas in- och utlåning i Riksgäldskontoret (avsnitt 2.9)</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f) Kassamässig korr</w:t>
      </w:r>
      <w:r w:rsidRPr="006C40C1">
        <w:rPr>
          <w:i/>
        </w:rPr>
        <w:t>i</w:t>
      </w:r>
      <w:r w:rsidRPr="006C40C1">
        <w:rPr>
          <w:i/>
        </w:rPr>
        <w:t>gering (avsnitt 2.10)</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g) Beskattning av förvärvsinkomster (avsnitt 3.3.1)</w:t>
      </w:r>
    </w:p>
    <w:p w:rsidR="00AA5D77" w:rsidRPr="006C40C1" w:rsidRDefault="00AA5D77">
      <w:pPr>
        <w:pStyle w:val="Reservantfrslag"/>
      </w:pPr>
      <w:r w:rsidRPr="006C40C1">
        <w:t>Riksdagen godkänner vad som anförs i reservation 9 om inkomstskatten för 2003. Därmed bifaller riksdagen motion 2002/03:Sk382 av Lars Leijonborg m.fl. (fp) yrkande 2 samt avslår proposition 2002/03:1 punkt 27 i denna del och motion 2002/03:Fi230 av Britt Bohlin m.fl. (s, v, mp) yrkande 12 i denna del samt övriga motionsyrkanden som finns upptagna under punkt 5 g i efte</w:t>
      </w:r>
      <w:r w:rsidRPr="006C40C1">
        <w:t>r</w:t>
      </w:r>
      <w:r w:rsidRPr="006C40C1">
        <w:t xml:space="preserve">följande </w:t>
      </w:r>
      <w:r w:rsidRPr="006C40C1">
        <w:rPr>
          <w:i/>
        </w:rPr>
        <w:t>förteckning över av utskottet i punkt 5 avstyrkta motionsy</w:t>
      </w:r>
      <w:r w:rsidRPr="006C40C1">
        <w:rPr>
          <w:i/>
        </w:rPr>
        <w:t>r</w:t>
      </w:r>
      <w:r w:rsidRPr="006C40C1">
        <w:rPr>
          <w:i/>
        </w:rPr>
        <w:t>kanden.</w:t>
      </w:r>
    </w:p>
    <w:p w:rsidR="00AA5D77" w:rsidRPr="006C40C1" w:rsidRDefault="00AA5D77">
      <w:pPr>
        <w:pStyle w:val="Reservantfrslag"/>
        <w:spacing w:before="120"/>
        <w:rPr>
          <w:i/>
        </w:rPr>
      </w:pPr>
      <w:r w:rsidRPr="006C40C1">
        <w:rPr>
          <w:i/>
        </w:rPr>
        <w:t>h) Det fasta beloppet vid beskattningen av förvärvsinkomster (avsnitt 3.3.2)</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i) Beskattning av sjömän i det nordiska dubbelbeskattningsavtalet (avsnitt 3.3.3)</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j) Förmånsbeskattning av miljövänliga bilar (avsnitt 3.3.4)</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k) Förändrade nivåer för socialavgifter (3.5)</w:t>
      </w:r>
    </w:p>
    <w:p w:rsidR="00AA5D77" w:rsidRPr="006C40C1" w:rsidRDefault="00AA5D77">
      <w:pPr>
        <w:pStyle w:val="Reservantfrslag"/>
      </w:pPr>
      <w:r w:rsidRPr="006C40C1">
        <w:t>Riksdagen godkänner vad som anförs i reservation 9 om social- och arbetsg</w:t>
      </w:r>
      <w:r w:rsidRPr="006C40C1">
        <w:t>i</w:t>
      </w:r>
      <w:r w:rsidRPr="006C40C1">
        <w:t>varavgifter. Därmed bifaller riksdagen motion 2002/03:Sk382 av Lars Le</w:t>
      </w:r>
      <w:r w:rsidRPr="006C40C1">
        <w:t>i</w:t>
      </w:r>
      <w:r w:rsidRPr="006C40C1">
        <w:t xml:space="preserve">jonborg m.fl. (fp) yrkande 25 och avslår proposition 2002/03:1 punkterna 28 och 29, båda i denna del, samt övriga motionsyrkanden som finns upptagna under punkt 5 k i efterföljande </w:t>
      </w:r>
      <w:r w:rsidRPr="006C40C1">
        <w:rPr>
          <w:i/>
        </w:rPr>
        <w:t>förteckning över av utskottet i punkt 5 a</w:t>
      </w:r>
      <w:r w:rsidRPr="006C40C1">
        <w:rPr>
          <w:i/>
        </w:rPr>
        <w:t>v</w:t>
      </w:r>
      <w:r w:rsidRPr="006C40C1">
        <w:rPr>
          <w:i/>
        </w:rPr>
        <w:t>styrkta motionsyrka</w:t>
      </w:r>
      <w:r w:rsidRPr="006C40C1">
        <w:rPr>
          <w:i/>
        </w:rPr>
        <w:t>n</w:t>
      </w:r>
      <w:r w:rsidRPr="006C40C1">
        <w:rPr>
          <w:i/>
        </w:rPr>
        <w:t>den.</w:t>
      </w:r>
    </w:p>
    <w:p w:rsidR="00AA5D77" w:rsidRPr="006C40C1" w:rsidRDefault="00AA5D77">
      <w:pPr>
        <w:pStyle w:val="Reservantfrslag"/>
        <w:spacing w:before="120"/>
        <w:rPr>
          <w:i/>
        </w:rPr>
      </w:pPr>
      <w:r w:rsidRPr="006C40C1">
        <w:rPr>
          <w:i/>
        </w:rPr>
        <w:t>l) Skatt på lågpriscigaretter (avsnitt 3.7.3)</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m) Privatinförsel av alkoholdrycker och tobaksvaror (avsnitt 3.7.4)</w:t>
      </w:r>
    </w:p>
    <w:p w:rsidR="00AA5D77" w:rsidRPr="006C40C1" w:rsidRDefault="00AA5D77">
      <w:pPr>
        <w:pStyle w:val="Normaltindrag"/>
      </w:pPr>
      <w:r w:rsidRPr="006C40C1">
        <w:t>=utskottet</w:t>
      </w:r>
    </w:p>
    <w:p w:rsidR="00AA5D77" w:rsidRPr="006C40C1" w:rsidRDefault="00AA5D77">
      <w:pPr>
        <w:pStyle w:val="Reservantfrslag"/>
        <w:spacing w:before="120"/>
        <w:rPr>
          <w:i/>
        </w:rPr>
      </w:pPr>
      <w:r w:rsidRPr="006C40C1">
        <w:rPr>
          <w:i/>
        </w:rPr>
        <w:t>n) En fortsatt grön skatteväxling – höjd koldioxidskatt och elskatt  (avsnitt 3.7.6)</w:t>
      </w:r>
    </w:p>
    <w:p w:rsidR="00AA5D77" w:rsidRPr="006C40C1" w:rsidRDefault="00AA5D77">
      <w:pPr>
        <w:pStyle w:val="Reservantfrslag"/>
      </w:pPr>
      <w:r w:rsidRPr="006C40C1">
        <w:t>=utskottet</w:t>
      </w:r>
    </w:p>
    <w:p w:rsidR="00AA5D77" w:rsidRPr="006C40C1" w:rsidRDefault="00AA5D77">
      <w:pPr>
        <w:pStyle w:val="Reservantfrslag"/>
        <w:spacing w:before="120"/>
        <w:jc w:val="left"/>
      </w:pPr>
      <w:r w:rsidRPr="006C40C1">
        <w:rPr>
          <w:i/>
        </w:rPr>
        <w:t>o) Kraftvärmebeskattningen (avsnitt 3.7.7)</w:t>
      </w:r>
      <w:r w:rsidRPr="006C40C1">
        <w:rPr>
          <w:i/>
        </w:rPr>
        <w:br/>
      </w:r>
      <w:r w:rsidRPr="006C40C1">
        <w:t>=utskottet</w:t>
      </w:r>
    </w:p>
    <w:p w:rsidR="00AA5D77" w:rsidRPr="006C40C1" w:rsidRDefault="00AA5D77">
      <w:r w:rsidRPr="006C40C1">
        <w:rPr>
          <w:i/>
        </w:rPr>
        <w:t>p) Kalk- och cementbranschens koldioxidskatt (avsnitt 3.7.8)</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q) Grön skatteväxling – höjd avfallsskatt (avsnitt 3.7.12)</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t>r</w:t>
      </w:r>
      <w:r w:rsidRPr="006C40C1">
        <w:rPr>
          <w:i/>
        </w:rPr>
        <w:t>) Grön skatteväxling – höjd naturgrusskatt (avsnitt 3.7.13)</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s) Bredbandsinstallation (avsnitt 3.8.1)</w:t>
      </w:r>
    </w:p>
    <w:p w:rsidR="00AA5D77" w:rsidRPr="006C40C1" w:rsidRDefault="00AA5D77">
      <w:pPr>
        <w:pStyle w:val="Reservantfrslag"/>
      </w:pPr>
      <w:r w:rsidRPr="006C40C1">
        <w:t>Riksdagen godkänner vad som anförs i reservation 9 om skattereduktion för utgifter för vissa anslutningar för tele- och datakommunikation. Därmed bifaller riksdagen motion 2002/03:Fi232 av Lars Leijonborg m.fl. (fp) yrka</w:t>
      </w:r>
      <w:r w:rsidRPr="006C40C1">
        <w:t>n</w:t>
      </w:r>
      <w:r w:rsidRPr="006C40C1">
        <w:t xml:space="preserve">de 26 och avslår proposition 2002/03:1 punkt 30 i denna del samt övriga motionsyrkanden som finns upptagna under punkt 5 s i efterföljande </w:t>
      </w:r>
      <w:r w:rsidRPr="006C40C1">
        <w:rPr>
          <w:i/>
        </w:rPr>
        <w:t>förtec</w:t>
      </w:r>
      <w:r w:rsidRPr="006C40C1">
        <w:rPr>
          <w:i/>
        </w:rPr>
        <w:t>k</w:t>
      </w:r>
      <w:r w:rsidRPr="006C40C1">
        <w:rPr>
          <w:i/>
        </w:rPr>
        <w:t>ning över av utskottet i punkt 5 avstyrkta motionsy</w:t>
      </w:r>
      <w:r w:rsidRPr="006C40C1">
        <w:rPr>
          <w:i/>
        </w:rPr>
        <w:t>r</w:t>
      </w:r>
      <w:r w:rsidRPr="006C40C1">
        <w:rPr>
          <w:i/>
        </w:rPr>
        <w:t>kanden.</w:t>
      </w:r>
    </w:p>
    <w:p w:rsidR="00AA5D77" w:rsidRPr="006C40C1" w:rsidRDefault="00AA5D77">
      <w:pPr>
        <w:pStyle w:val="Reservantfrslag"/>
        <w:spacing w:before="120"/>
        <w:rPr>
          <w:i/>
        </w:rPr>
      </w:pPr>
      <w:r w:rsidRPr="006C40C1">
        <w:rPr>
          <w:i/>
        </w:rPr>
        <w:t>t) Miljöförbättrande åtgärder på bostäder (avsnitt 3.8.2)</w:t>
      </w:r>
    </w:p>
    <w:p w:rsidR="00AA5D77" w:rsidRPr="006C40C1" w:rsidRDefault="00AA5D77">
      <w:pPr>
        <w:pStyle w:val="Reservantfrslag"/>
      </w:pPr>
      <w:r w:rsidRPr="006C40C1">
        <w:t>Riksdagen avslår motion 2002/03:Fi230 av Britt Bohlin m.fl. (s, v, mp) y</w:t>
      </w:r>
      <w:r w:rsidRPr="006C40C1">
        <w:t>r</w:t>
      </w:r>
      <w:r w:rsidRPr="006C40C1">
        <w:t xml:space="preserve">kande 16 samt övriga motionsyrkanden som finns upptagna under punkt 5 t i efterföljande </w:t>
      </w:r>
      <w:r w:rsidRPr="006C40C1">
        <w:rPr>
          <w:i/>
        </w:rPr>
        <w:t>förteckning över av utskottet i punkt 5 avstyrkta motionsyrka</w:t>
      </w:r>
      <w:r w:rsidRPr="006C40C1">
        <w:rPr>
          <w:i/>
        </w:rPr>
        <w:t>n</w:t>
      </w:r>
      <w:r w:rsidRPr="006C40C1">
        <w:rPr>
          <w:i/>
        </w:rPr>
        <w:t>den.</w:t>
      </w:r>
    </w:p>
    <w:p w:rsidR="00AA5D77" w:rsidRPr="006C40C1" w:rsidRDefault="00AA5D77">
      <w:pPr>
        <w:pStyle w:val="Reservantfrslag"/>
        <w:spacing w:before="120"/>
        <w:rPr>
          <w:i/>
        </w:rPr>
      </w:pPr>
      <w:r w:rsidRPr="006C40C1">
        <w:rPr>
          <w:i/>
        </w:rPr>
        <w:t>u) Beräkning av statsbudgetens inkomster för 2003 (avsnitt 3.10)</w:t>
      </w:r>
    </w:p>
    <w:p w:rsidR="00AA5D77" w:rsidRPr="006C40C1" w:rsidRDefault="00AA5D77">
      <w:pPr>
        <w:pStyle w:val="Reservantfrslag"/>
      </w:pPr>
      <w:r w:rsidRPr="006C40C1">
        <w:t xml:space="preserve">Riksdagen godkänner beräkningen av statsbudgetens inkomster för 2003 enligt det med reservation 9 betecknade förslaget i den </w:t>
      </w:r>
      <w:r w:rsidRPr="006C40C1">
        <w:rPr>
          <w:i/>
        </w:rPr>
        <w:t xml:space="preserve">sammanställning över statsbudgetens utgifter och inkomster </w:t>
      </w:r>
      <w:r w:rsidRPr="006C40C1">
        <w:t>som följer efter utskottets förslag till riksdagsbeslut. Därmed bifaller riksdagen delvis motion 2002/03:Fi232 av Lars Leijonborg m.fl. (fp) yrkande 4 och avslår proposition 2002/03:1 punkt 7 samt övriga motionsyrkanden som finns upptagna under punkt 5 u i efterfö</w:t>
      </w:r>
      <w:r w:rsidRPr="006C40C1">
        <w:t>l</w:t>
      </w:r>
      <w:r w:rsidRPr="006C40C1">
        <w:t xml:space="preserve">jande </w:t>
      </w:r>
      <w:r w:rsidRPr="006C40C1">
        <w:rPr>
          <w:i/>
        </w:rPr>
        <w:t>förteckning över av utskottet i punkt 5 avstyrkta motionsy</w:t>
      </w:r>
      <w:r w:rsidRPr="006C40C1">
        <w:rPr>
          <w:i/>
        </w:rPr>
        <w:t>r</w:t>
      </w:r>
      <w:r w:rsidRPr="006C40C1">
        <w:rPr>
          <w:i/>
        </w:rPr>
        <w:t>kanden.</w:t>
      </w:r>
    </w:p>
    <w:p w:rsidR="00AA5D77" w:rsidRPr="006C40C1" w:rsidRDefault="00AA5D77">
      <w:pPr>
        <w:pStyle w:val="Reservantfrslag"/>
        <w:spacing w:before="120"/>
        <w:rPr>
          <w:i/>
        </w:rPr>
      </w:pPr>
      <w:r w:rsidRPr="006C40C1">
        <w:rPr>
          <w:i/>
        </w:rPr>
        <w:t>v) Ålderspensionssystemet vid sidan av statsbudgeten (avsnitt 4.1.28)</w:t>
      </w:r>
    </w:p>
    <w:p w:rsidR="00AA5D77" w:rsidRPr="006C40C1" w:rsidRDefault="00AA5D77">
      <w:pPr>
        <w:spacing w:before="0"/>
      </w:pPr>
      <w:r w:rsidRPr="006C40C1">
        <w:t>=utskottet</w:t>
      </w:r>
    </w:p>
    <w:p w:rsidR="00AA5D77" w:rsidRPr="006C40C1" w:rsidRDefault="00AA5D77">
      <w:pPr>
        <w:pStyle w:val="Reservantfrslag"/>
        <w:spacing w:before="120"/>
      </w:pPr>
      <w:r w:rsidRPr="006C40C1">
        <w:rPr>
          <w:i/>
        </w:rPr>
        <w:t>x) Övriga motionsyrkanden om budgetförslagen för 2003</w:t>
      </w:r>
    </w:p>
    <w:p w:rsidR="00AA5D77" w:rsidRPr="006C40C1" w:rsidRDefault="00AA5D77">
      <w:pPr>
        <w:pStyle w:val="Reservantfrslag"/>
      </w:pPr>
      <w:r w:rsidRPr="006C40C1">
        <w:t>Riksdagen tillkännager för regeringen som sin mening vad som anförs i r</w:t>
      </w:r>
      <w:r w:rsidRPr="006C40C1">
        <w:t>e</w:t>
      </w:r>
      <w:r w:rsidRPr="006C40C1">
        <w:t>servation 9 om skattepolitikens inriktning, pensions- och kompetenssparande, avdragsrätt för gåvor till ideell verksamhet, slopad skatt på aktieutdelning, avyttring av fåmansföretag genom andelsbyte, fastighetsskatt, förmögenhet</w:t>
      </w:r>
      <w:r w:rsidRPr="006C40C1">
        <w:t>s</w:t>
      </w:r>
      <w:r w:rsidRPr="006C40C1">
        <w:t xml:space="preserve">skatt samt slopad reklamskatt. Därmed bifaller riksdagen motionerna </w:t>
      </w:r>
    </w:p>
    <w:p w:rsidR="00AA5D77" w:rsidRPr="006C40C1" w:rsidRDefault="00AA5D77">
      <w:pPr>
        <w:pStyle w:val="Normaltindrag"/>
        <w:tabs>
          <w:tab w:val="left" w:pos="1701"/>
          <w:tab w:val="left" w:pos="4962"/>
        </w:tabs>
        <w:ind w:firstLine="0"/>
      </w:pPr>
      <w:r w:rsidRPr="006C40C1">
        <w:t>2002/03:Fi232 av Lars Leijonborg m.fl. (fp) yrkandena  2–6 och 26,</w:t>
      </w:r>
    </w:p>
    <w:p w:rsidR="00AA5D77" w:rsidRPr="006C40C1" w:rsidRDefault="00AA5D77">
      <w:pPr>
        <w:pStyle w:val="Normaltindrag"/>
        <w:tabs>
          <w:tab w:val="left" w:pos="1701"/>
          <w:tab w:val="left" w:pos="4962"/>
        </w:tabs>
        <w:ind w:firstLine="0"/>
        <w:jc w:val="left"/>
      </w:pPr>
      <w:r w:rsidRPr="006C40C1">
        <w:t xml:space="preserve">2002/03:Sk382 av Lars Leijonborg m.fl. (fp) yrkandena 1–4, 7–12, 14, 22, 24, 26 och avslår övriga motionsyrkanden som finns upptagna i efterföljande </w:t>
      </w:r>
      <w:r w:rsidRPr="006C40C1">
        <w:rPr>
          <w:i/>
        </w:rPr>
        <w:t>förteckning över av utskottet i punkt 5 avstyrkta motionsyrkanden.</w:t>
      </w:r>
    </w:p>
    <w:p w:rsidR="00AA5D77" w:rsidRPr="006C40C1" w:rsidRDefault="00AA5D77">
      <w:pPr>
        <w:pStyle w:val="R4"/>
      </w:pPr>
      <w:r w:rsidRPr="006C40C1">
        <w:t>Ställningstagande</w:t>
      </w:r>
    </w:p>
    <w:p w:rsidR="00AA5D77" w:rsidRPr="006C40C1" w:rsidRDefault="00AA5D77">
      <w:r w:rsidRPr="006C40C1">
        <w:t>Sverige behöver en politik som kan skapa långsiktigt uthålliga tillväxtvillkor och ge människorna makt över sitt vardagsliv. Det svaga konjunkturläget, börsnedgången, de hotade tillkommande budgetproblemen och den beky</w:t>
      </w:r>
      <w:r w:rsidRPr="006C40C1">
        <w:t>m</w:t>
      </w:r>
      <w:r w:rsidRPr="006C40C1">
        <w:t>mersamma internationella situationen ställer enligt vår mening högre krav på en budgetpolitik med större marginaler. Den stora utmaningen är en politi</w:t>
      </w:r>
      <w:r w:rsidRPr="006C40C1">
        <w:t>k</w:t>
      </w:r>
      <w:r w:rsidRPr="006C40C1">
        <w:t>omläggning för större tillväxtkraft. Folkpartiets budgetalternativ syftar därför både till att höja tillväxten genom att gynna utvecklingen av nya och befintl</w:t>
      </w:r>
      <w:r w:rsidRPr="006C40C1">
        <w:t>i</w:t>
      </w:r>
      <w:r w:rsidRPr="006C40C1">
        <w:t>ga företag och att minska konjunkturkänsligheten i de offentliga finanserna genom en omfattande reformering av de offentliga utgifts- och förmånss</w:t>
      </w:r>
      <w:r w:rsidRPr="006C40C1">
        <w:t>y</w:t>
      </w:r>
      <w:r w:rsidRPr="006C40C1">
        <w:t>stemen.</w:t>
      </w:r>
    </w:p>
    <w:p w:rsidR="00AA5D77" w:rsidRPr="006C40C1" w:rsidRDefault="00AA5D77">
      <w:pPr>
        <w:pStyle w:val="Normaltindrag"/>
      </w:pPr>
      <w:r w:rsidRPr="006C40C1">
        <w:t>En bra ekonomisk politik måste enligt vår meni</w:t>
      </w:r>
      <w:r w:rsidRPr="006C40C1">
        <w:t>ng arbeta med tillräckliga marginaler i det ansträngda konjunkturläge som väntar 2003. Detta är både nödvändigt för att upprätthålla trovärdigheten i Sveriges politik för de offen</w:t>
      </w:r>
      <w:r w:rsidRPr="006C40C1">
        <w:t>t</w:t>
      </w:r>
      <w:r w:rsidRPr="006C40C1">
        <w:t>liga finanserna och viktigt för att olika verksamheter inte ska drabbas av ryckighet. Folkpartiet liberalerna visar därför i sitt budgetalternativ att genom en noggrann utgiftsgranskning kan man åstadkomma en budgeteringsmarg</w:t>
      </w:r>
      <w:r w:rsidRPr="006C40C1">
        <w:t>i</w:t>
      </w:r>
      <w:r w:rsidRPr="006C40C1">
        <w:t>nal på ca 11 miljarder kronor redan 2003, vilket motsvarar över 1 % av de takbegränsade utgifterna samma å</w:t>
      </w:r>
      <w:r w:rsidRPr="006C40C1">
        <w:t>r. Därigenom skapas en kraftigare buffert mot försämringar i ekonomin och i statsfinanserna jämfört med den praktiskt taget obefintliga budgeteringsmarginal som regeringen presenterar i sitt bu</w:t>
      </w:r>
      <w:r w:rsidRPr="006C40C1">
        <w:t>d</w:t>
      </w:r>
      <w:r w:rsidRPr="006C40C1">
        <w:t>getfö</w:t>
      </w:r>
      <w:r w:rsidRPr="006C40C1">
        <w:t>r</w:t>
      </w:r>
      <w:r w:rsidRPr="006C40C1">
        <w:t xml:space="preserve">slag. </w:t>
      </w:r>
    </w:p>
    <w:p w:rsidR="00AA5D77" w:rsidRPr="006C40C1" w:rsidRDefault="00AA5D77">
      <w:pPr>
        <w:pStyle w:val="Normaltindrag"/>
      </w:pPr>
      <w:r w:rsidRPr="006C40C1">
        <w:t>Vi anser att ett klart och tydligt mål för den ekonomiska politiken bör vara att öka den långsiktiga tillväxtpotentialen från dagens 2 % till 3 % av BNP per år. Utifrån detta mål föreslår vi handfasta förslag till tio strukturreformer som ska öka människors vardagsmakt och skapa ett Sverige som kan växa.</w:t>
      </w:r>
      <w:r w:rsidRPr="006C40C1">
        <w:t xml:space="preserve"> Med dessa strukturreformer kan fler komma in på arbetsmarknaden, fler företag kan starta och växa, medan människors kunskap, kompetens och idéer verkl</w:t>
      </w:r>
      <w:r w:rsidRPr="006C40C1">
        <w:t>i</w:t>
      </w:r>
      <w:r w:rsidRPr="006C40C1">
        <w:t>gen kan tas till vara.</w:t>
      </w:r>
    </w:p>
    <w:p w:rsidR="00AA5D77" w:rsidRPr="006C40C1" w:rsidRDefault="00AA5D77">
      <w:pPr>
        <w:pStyle w:val="Rubrik4"/>
        <w:rPr>
          <w:noProof w:val="0"/>
        </w:rPr>
      </w:pPr>
      <w:bookmarkStart w:id="1049" w:name="_Toc26191690"/>
      <w:r w:rsidRPr="006C40C1">
        <w:rPr>
          <w:noProof w:val="0"/>
        </w:rPr>
        <w:t>Skattepolitiken</w:t>
      </w:r>
      <w:bookmarkEnd w:id="1049"/>
    </w:p>
    <w:p w:rsidR="00AA5D77" w:rsidRPr="006C40C1" w:rsidRDefault="00AA5D77">
      <w:r w:rsidRPr="006C40C1">
        <w:t>Dagens svenska skattetryck måste sänkas eftersom den sammanlagda skatt</w:t>
      </w:r>
      <w:r w:rsidRPr="006C40C1">
        <w:t>e</w:t>
      </w:r>
      <w:r w:rsidRPr="006C40C1">
        <w:t>politiken motverkar en långsiktigt hållbar tillväxt. Vi anser att det i dagsläget är mer angeläget än tidigare att genomföra strukturellt riktiga skattesänknin</w:t>
      </w:r>
      <w:r w:rsidRPr="006C40C1">
        <w:t>g</w:t>
      </w:r>
      <w:r w:rsidRPr="006C40C1">
        <w:t>ar som förbättrar ekonomins funktionssätt samt ökar arbetsutbud, företagande och risktagande. Med en sådan skattepolitik får den svenska ekonomin  kraft att bättre möta konjunkturförsvagningar utan omfattande neddragningar i välfärdss</w:t>
      </w:r>
      <w:r w:rsidRPr="006C40C1">
        <w:t>y</w:t>
      </w:r>
      <w:r w:rsidRPr="006C40C1">
        <w:t>stemen.</w:t>
      </w:r>
    </w:p>
    <w:p w:rsidR="00AA5D77" w:rsidRPr="006C40C1" w:rsidRDefault="00AA5D77">
      <w:pPr>
        <w:pStyle w:val="Normaltindrag"/>
      </w:pPr>
      <w:r w:rsidRPr="006C40C1">
        <w:t>Mot denna bakgrund anser vi att en omfattande skattereform måste påbö</w:t>
      </w:r>
      <w:r w:rsidRPr="006C40C1">
        <w:t>r</w:t>
      </w:r>
      <w:r w:rsidRPr="006C40C1">
        <w:t>jas under den kommande tvåårsperioden. Skattereformens huvudsyfte ska vara att skapa så breda skattebaser som möjligt och därmed bilda förutsät</w:t>
      </w:r>
      <w:r w:rsidRPr="006C40C1">
        <w:t>t</w:t>
      </w:r>
      <w:r w:rsidRPr="006C40C1">
        <w:t>ningar för låga skattesatser. Dessutom ska skatteförändringarna koncentreras på de för tillväxt och jobb mest skadliga inslagen, nämligen marginalskatte</w:t>
      </w:r>
      <w:r w:rsidRPr="006C40C1">
        <w:t>r</w:t>
      </w:r>
      <w:r w:rsidRPr="006C40C1">
        <w:t xml:space="preserve">na. Riksdagen bör därför godkänna Folkpartiets inkomstskattereform där de grundläggande principerna för 1990–91 års skattereform återupprättas. Detta innebär att de allra flesta enbart ska betala kommunalskatt och </w:t>
      </w:r>
      <w:r w:rsidRPr="006C40C1">
        <w:t>att margina</w:t>
      </w:r>
      <w:r w:rsidRPr="006C40C1">
        <w:t>l</w:t>
      </w:r>
      <w:r w:rsidRPr="006C40C1">
        <w:t xml:space="preserve">skatten ska begränsas till 50 %, ”hälften kvar”. </w:t>
      </w:r>
    </w:p>
    <w:p w:rsidR="00AA5D77" w:rsidRPr="006C40C1" w:rsidRDefault="00AA5D77">
      <w:pPr>
        <w:pStyle w:val="Normaltindrag"/>
      </w:pPr>
      <w:r w:rsidRPr="006C40C1">
        <w:t>Det begränsade utrymme som den sämre konjunkturen medför påverkar emellertid möjligheten till skattesänkningar på kort sikt. Alltför drastiska skattesänkningar som riskerar tilltron till de offentliga finansernas stabilitet kan enligt vår mening inte komma i fråga. I avvaktan på bättre klimat för en större och mer genomgripande skattereform föreslår vi en reform av inkoms</w:t>
      </w:r>
      <w:r w:rsidRPr="006C40C1">
        <w:t>t</w:t>
      </w:r>
      <w:r w:rsidRPr="006C40C1">
        <w:t>beskattningen som inkluderar avskaffad värnskatt, höjd brytpunkt för statlig skatt till gränsen för egenavgifterna, en årlig skattereduktion på 300 respekt</w:t>
      </w:r>
      <w:r w:rsidRPr="006C40C1">
        <w:t>i</w:t>
      </w:r>
      <w:r w:rsidRPr="006C40C1">
        <w:t>ve 600 kr per person samt ett förvärvsavdrag om 3 % mot kommunalska</w:t>
      </w:r>
      <w:r w:rsidRPr="006C40C1">
        <w:t>t</w:t>
      </w:r>
      <w:r w:rsidRPr="006C40C1">
        <w:t>ten.</w:t>
      </w:r>
    </w:p>
    <w:p w:rsidR="00AA5D77" w:rsidRPr="006C40C1" w:rsidRDefault="00AA5D77">
      <w:pPr>
        <w:pStyle w:val="Normaltindrag"/>
      </w:pPr>
      <w:r w:rsidRPr="006C40C1">
        <w:t>Marginaleffekterna för barnfamiljer minskas såväl genom inkomstskatt</w:t>
      </w:r>
      <w:r w:rsidRPr="006C40C1">
        <w:t>e</w:t>
      </w:r>
      <w:r w:rsidRPr="006C40C1">
        <w:t>sänkningar som genom växling av inkomstprövat bostadsbidrag mot generellt barnstöd i form av en skattereduktion på drygt 900 kr per barn. De skadliga marginaleffekterna begränsas också genom enhetliga taxor för barnomsorg. Tillsammans med förbättrad föräldraförsäkring, jämställdhetsbonus, beakta</w:t>
      </w:r>
      <w:r w:rsidRPr="006C40C1">
        <w:t>n</w:t>
      </w:r>
      <w:r w:rsidRPr="006C40C1">
        <w:t>de av resor till och från dagis vid reseavdraget samt införande av barno</w:t>
      </w:r>
      <w:r w:rsidRPr="006C40C1">
        <w:t>m</w:t>
      </w:r>
      <w:r w:rsidRPr="006C40C1">
        <w:t>sorgskonto fr.o.m. 2004 utgör detta viktiga delar i Folkpartiets politik för ökad egenmakt, bättre jämställdhet och större ekonomiska margina</w:t>
      </w:r>
      <w:r w:rsidRPr="006C40C1">
        <w:t>ler för barnf</w:t>
      </w:r>
      <w:r w:rsidRPr="006C40C1">
        <w:t>a</w:t>
      </w:r>
      <w:r w:rsidRPr="006C40C1">
        <w:t xml:space="preserve">miljerna. </w:t>
      </w:r>
    </w:p>
    <w:p w:rsidR="00AA5D77" w:rsidRPr="006C40C1" w:rsidRDefault="00AA5D77">
      <w:pPr>
        <w:pStyle w:val="Normaltindrag"/>
      </w:pPr>
      <w:r w:rsidRPr="006C40C1">
        <w:t>För att förbättra arbetsmarknadens funktionssätt föreslår Folkpartiet en r</w:t>
      </w:r>
      <w:r w:rsidRPr="006C40C1">
        <w:t>e</w:t>
      </w:r>
      <w:r w:rsidRPr="006C40C1">
        <w:t>form av arbetsmarknadspolitiken, där arbetslöshetsförsäkringen ska bli obl</w:t>
      </w:r>
      <w:r w:rsidRPr="006C40C1">
        <w:t>i</w:t>
      </w:r>
      <w:r w:rsidRPr="006C40C1">
        <w:t>gatorisk och till ungefär en tredjedel finansierad av de försäkrade själva. För att den höjda premien till a-kassan inte ska leda till ökade kostnader för de försäkrade ska de höjda egenavgifterna till arbetslöshetsförsäkringen bli a</w:t>
      </w:r>
      <w:r w:rsidRPr="006C40C1">
        <w:t>v</w:t>
      </w:r>
      <w:r w:rsidRPr="006C40C1">
        <w:t>dragsgilla och resterande avgiftshöjning till fullo uppvägas av skattesän</w:t>
      </w:r>
      <w:r w:rsidRPr="006C40C1">
        <w:t>k</w:t>
      </w:r>
      <w:r w:rsidRPr="006C40C1">
        <w:t>ningar i form av förvärvsavdrag. På motsvarande sätt kommer den föreslagna reformeringen av trafikförsäkringen att underlättas g</w:t>
      </w:r>
      <w:r w:rsidRPr="006C40C1">
        <w:t>enom matchande skatt</w:t>
      </w:r>
      <w:r w:rsidRPr="006C40C1">
        <w:t>e</w:t>
      </w:r>
      <w:r w:rsidRPr="006C40C1">
        <w:t>sänkningar genom den generella skattereduktionen. Vi finner däremot ingen anledning att subventionera fackföreningsmedlemskapet genom skatteredu</w:t>
      </w:r>
      <w:r w:rsidRPr="006C40C1">
        <w:t>k</w:t>
      </w:r>
      <w:r w:rsidRPr="006C40C1">
        <w:t>tioner och föreslår att den gällande skattereduktionen för fackföreningsavgift avskaffas.</w:t>
      </w:r>
    </w:p>
    <w:p w:rsidR="00AA5D77" w:rsidRPr="006C40C1" w:rsidRDefault="00AA5D77">
      <w:pPr>
        <w:pStyle w:val="Normaltindrag"/>
      </w:pPr>
      <w:r w:rsidRPr="006C40C1">
        <w:t>Vi anser att det är orimligt att beskatta boendet i den form som gäller i dag. Hela systemet för taxering måste reformeras och likformighet mellan boend</w:t>
      </w:r>
      <w:r w:rsidRPr="006C40C1">
        <w:t>e</w:t>
      </w:r>
      <w:r w:rsidRPr="006C40C1">
        <w:t>former upprättas. Slopandet av fastighetsbeskattningen ska ske stegvis och inledas omgående. I avvaktan på grundläggande reformering av fastighetsb</w:t>
      </w:r>
      <w:r w:rsidRPr="006C40C1">
        <w:t>e</w:t>
      </w:r>
      <w:r w:rsidRPr="006C40C1">
        <w:t>skattningen bör taxeringsvärdena åter ”frysas” till den nivå som gällde 1997 vid skattesatserna på 1,0 % för enfamiljshus och 0,5 % för flerfamiljshus. Samtidigt bör förmögenhetsskatten sänkas genom avskaffad sambeskattning och höjt fribelopp. Med dessa lättnader är det rimligt att höja realisation</w:t>
      </w:r>
      <w:r w:rsidRPr="006C40C1">
        <w:t>s</w:t>
      </w:r>
      <w:r w:rsidRPr="006C40C1">
        <w:t>vinstbeskattningen för bostäder till den gän</w:t>
      </w:r>
      <w:r w:rsidRPr="006C40C1">
        <w:t>g</w:t>
      </w:r>
      <w:r w:rsidRPr="006C40C1">
        <w:t>se skattesatsen på</w:t>
      </w:r>
      <w:r w:rsidRPr="006C40C1">
        <w:t xml:space="preserve"> 30 %.</w:t>
      </w:r>
    </w:p>
    <w:p w:rsidR="00AA5D77" w:rsidRPr="006C40C1" w:rsidRDefault="00AA5D77">
      <w:pPr>
        <w:pStyle w:val="Normaltindrag"/>
      </w:pPr>
      <w:r w:rsidRPr="006C40C1">
        <w:t>I Folkpartiets budgetalternativ ingår fler mycket angelägna skatteförän</w:t>
      </w:r>
      <w:r w:rsidRPr="006C40C1">
        <w:t>d</w:t>
      </w:r>
      <w:r w:rsidRPr="006C40C1">
        <w:t>ringar.  Vi vill stimulera tillväxten av nya och starkare företag genom skatt</w:t>
      </w:r>
      <w:r w:rsidRPr="006C40C1">
        <w:t>e</w:t>
      </w:r>
      <w:r w:rsidRPr="006C40C1">
        <w:t>lättnader för hushållstjänster, slopad dubbelbeskattning på aktiesparande, förenklade fåmansbolagsregler (de s.k. 3:12-reglerna) samt utökad nedsät</w:t>
      </w:r>
      <w:r w:rsidRPr="006C40C1">
        <w:t>t</w:t>
      </w:r>
      <w:r w:rsidRPr="006C40C1">
        <w:t>ning av arbetsgivaravgifter. Avdragsrätten för kompetenssparande och pe</w:t>
      </w:r>
      <w:r w:rsidRPr="006C40C1">
        <w:t>n</w:t>
      </w:r>
      <w:r w:rsidRPr="006C40C1">
        <w:t xml:space="preserve">sionssparande bör dessutom höjas till ett prisbasbelopp för att ge den enskilde makt över sin egen kompetensutveckling. </w:t>
      </w:r>
    </w:p>
    <w:p w:rsidR="00AA5D77" w:rsidRPr="006C40C1" w:rsidRDefault="00AA5D77">
      <w:pPr>
        <w:pStyle w:val="Normaltindrag"/>
      </w:pPr>
      <w:r w:rsidRPr="006C40C1">
        <w:t>Folkpartiet liberalerna är förespråkare av grön skatteväxling. En sådan bör ske omfattande u</w:t>
      </w:r>
      <w:r w:rsidRPr="006C40C1">
        <w:t>ngefär 3 miljarder kronor årligen. Vi instämmer därför i regeringens förslag om höjd el- och koldioxidskatt, växlad mot sänkt i</w:t>
      </w:r>
      <w:r w:rsidRPr="006C40C1">
        <w:t>n</w:t>
      </w:r>
      <w:r w:rsidRPr="006C40C1">
        <w:t>komstskatt, men anser att inkomstskattesänkningen bör läggas ut mer gen</w:t>
      </w:r>
      <w:r w:rsidRPr="006C40C1">
        <w:t>e</w:t>
      </w:r>
      <w:r w:rsidRPr="006C40C1">
        <w:t>rellt över inkomstskalan så att en växling uppnås i realiteten för hushållen. För att uppnå 3 miljarder kronor ställer vi oss även bakom  förslaget i motion Fi230 (s, v, mp) om en utvidgad grön skatteväxling. Detta förslag bör eme</w:t>
      </w:r>
      <w:r w:rsidRPr="006C40C1">
        <w:t>l</w:t>
      </w:r>
      <w:r w:rsidRPr="006C40C1">
        <w:t>lertid kompletteras med motsvarande justering av det generella statsbidraget till</w:t>
      </w:r>
      <w:r w:rsidRPr="006C40C1">
        <w:t xml:space="preserve"> kommunsektorn enligt finansi</w:t>
      </w:r>
      <w:r w:rsidRPr="006C40C1">
        <w:t>e</w:t>
      </w:r>
      <w:r w:rsidRPr="006C40C1">
        <w:t>ringsprincipen.</w:t>
      </w:r>
    </w:p>
    <w:p w:rsidR="00AA5D77" w:rsidRPr="006C40C1" w:rsidRDefault="00AA5D77">
      <w:pPr>
        <w:pStyle w:val="Normaltindrag"/>
      </w:pPr>
      <w:r w:rsidRPr="006C40C1">
        <w:t xml:space="preserve">Vi ansluter oss dessutom till regeringens förslag om utvidgning av reglerna om framskjuten beskattning vid vissa andelsbyten. Förslaget bör dock enligt vår mening utvidgas på det sätt som vi kommer att utveckla närmare i vår kommande motion. Statsbudgetens beräknade inkomster ska därmed justeras ned med ca 300 miljoner kronor. </w:t>
      </w:r>
    </w:p>
    <w:p w:rsidR="00AA5D77" w:rsidRPr="006C40C1" w:rsidRDefault="00AA5D77">
      <w:pPr>
        <w:pStyle w:val="Rubrik4"/>
        <w:rPr>
          <w:noProof w:val="0"/>
        </w:rPr>
      </w:pPr>
      <w:bookmarkStart w:id="1050" w:name="_Toc26191691"/>
      <w:r w:rsidRPr="006C40C1">
        <w:rPr>
          <w:noProof w:val="0"/>
        </w:rPr>
        <w:t>Utgiftsramarna</w:t>
      </w:r>
      <w:bookmarkEnd w:id="1050"/>
    </w:p>
    <w:p w:rsidR="00AA5D77" w:rsidRPr="006C40C1" w:rsidRDefault="00AA5D77">
      <w:r w:rsidRPr="006C40C1">
        <w:t xml:space="preserve">Det liberala budgetalternativet inriktas på flera reformer som leder till lägre offentliga utgifter jämfört med regeringens politik. Genom en noggrannare prioritering och satsningar på att reformera de system som i dag både hindrar den ekonomiska tillväxten och begränsar människors växtkraft skapar vår alternativa budgetpolitik större marginaler i statens budget. </w:t>
      </w:r>
    </w:p>
    <w:p w:rsidR="00AA5D77" w:rsidRPr="006C40C1" w:rsidRDefault="00AA5D77">
      <w:pPr>
        <w:pStyle w:val="Normaltindrag"/>
      </w:pPr>
      <w:r w:rsidRPr="006C40C1">
        <w:t>Vi vill lyfta fram de bortglömda reformbehoven och trygga välfärden för utsatta grupper i samhället genom förbättrade omställningspensioner, stim</w:t>
      </w:r>
      <w:r w:rsidRPr="006C40C1">
        <w:t>u</w:t>
      </w:r>
      <w:r w:rsidRPr="006C40C1">
        <w:t>lansbidrag för förbättringsåtgärder inom äldrevården, bättre närståendepe</w:t>
      </w:r>
      <w:r w:rsidRPr="006C40C1">
        <w:t>n</w:t>
      </w:r>
      <w:r w:rsidRPr="006C40C1">
        <w:t>ning, en jobbgaranti, ett återupprättande av assistansreformen för personer med funktionshinder samt en nationell vårdgara</w:t>
      </w:r>
      <w:r w:rsidRPr="006C40C1">
        <w:t>n</w:t>
      </w:r>
      <w:r w:rsidRPr="006C40C1">
        <w:t>ti.</w:t>
      </w:r>
    </w:p>
    <w:p w:rsidR="00AA5D77" w:rsidRPr="006C40C1" w:rsidRDefault="00AA5D77">
      <w:pPr>
        <w:pStyle w:val="Normaltindrag"/>
      </w:pPr>
      <w:r w:rsidRPr="006C40C1">
        <w:t>Folkpartiet har i flera år verkat för en stor socialförsäkringsreform. Vi a</w:t>
      </w:r>
      <w:r w:rsidRPr="006C40C1">
        <w:t>n</w:t>
      </w:r>
      <w:r w:rsidRPr="006C40C1">
        <w:t>ser att arbetet med denna reform bör startas omedelbart i syfte att skapa ett bra och stabilt klimat för arbete och företagande. Rätt utformade socialförsä</w:t>
      </w:r>
      <w:r w:rsidRPr="006C40C1">
        <w:t>k</w:t>
      </w:r>
      <w:r w:rsidRPr="006C40C1">
        <w:t>ringar med gemensamma välfärdslösningar och ett minimerat skatteinslag bidrar till tillväxten och till en väl fungerande ekonomi. Att människor känner att de kan lita på försäkringssystemen är i sig viktigt för tillväxten. Därför bör dagens socialförsäkringar utformas som tre riktiga försäkringar: en allmän pensionsförsäkring, en allmän sjukförsäkring o</w:t>
      </w:r>
      <w:r w:rsidRPr="006C40C1">
        <w:t>ch en allmän arbetslöshetsfö</w:t>
      </w:r>
      <w:r w:rsidRPr="006C40C1">
        <w:t>r</w:t>
      </w:r>
      <w:r w:rsidRPr="006C40C1">
        <w:t xml:space="preserve">säkring. Alla tre bör bli obligatoriska och fristående från statens budget. Kopplingen mellan avgifter och förmåner kan därmed bli tydligare. </w:t>
      </w:r>
    </w:p>
    <w:p w:rsidR="00AA5D77" w:rsidRPr="006C40C1" w:rsidRDefault="00AA5D77">
      <w:pPr>
        <w:pStyle w:val="Normaltindrag"/>
        <w:rPr>
          <w:snapToGrid w:val="0"/>
          <w:lang w:eastAsia="sv-SE"/>
        </w:rPr>
      </w:pPr>
      <w:r w:rsidRPr="006C40C1">
        <w:t>Vi oroar oss djupt för de fortsatt ökande långtidssjukskrivningarna och förtidspensioneringarna med höga mänskliga och ekonomiska kostnader som följd. Ekonomiska framsteg och välfärd i ett modernt samhälle är enligt vår mening bara möjliga om befolkningen i yrkesaktiv ålder är i stort sett frisk, arbetsför och i arbete. Vi förespråkar där</w:t>
      </w:r>
      <w:r w:rsidRPr="006C40C1">
        <w:t>med en reform av sjukförsäkringen med betydande satsningar på vardagssjukvård och rehabilitering, vård- och rehabiliteringsgaranti, förstärkt företagshälsovård samt väsentligt utökade möjligheter till samordning av vårdinsatser och sjukförsäkring.</w:t>
      </w:r>
      <w:r w:rsidRPr="006C40C1">
        <w:rPr>
          <w:snapToGrid w:val="0"/>
          <w:lang w:eastAsia="sv-SE"/>
        </w:rPr>
        <w:t xml:space="preserve"> Större makt över arbetssituationen, arbetstiden och kompetensutvecklingen samt reformer som gör det lättare att förena förvärvsarbete med ansvar för barn är vidare viktiga delar i en offensiv mot ohälsan.</w:t>
      </w:r>
    </w:p>
    <w:p w:rsidR="00AA5D77" w:rsidRPr="006C40C1" w:rsidRDefault="00AA5D77">
      <w:pPr>
        <w:pStyle w:val="Normaltindrag"/>
        <w:rPr>
          <w:snapToGrid w:val="0"/>
          <w:lang w:eastAsia="sv-SE"/>
        </w:rPr>
      </w:pPr>
      <w:r w:rsidRPr="006C40C1">
        <w:t>Den svenska arbetsmarknadspolitiken måste samtidigt genomgå</w:t>
      </w:r>
      <w:r w:rsidRPr="006C40C1">
        <w:t xml:space="preserve"> en radikal omläggning för att fler </w:t>
      </w:r>
      <w:r w:rsidRPr="006C40C1">
        <w:rPr>
          <w:snapToGrid w:val="0"/>
          <w:lang w:eastAsia="sv-SE"/>
        </w:rPr>
        <w:t>ska</w:t>
      </w:r>
      <w:r w:rsidRPr="006C40C1">
        <w:t xml:space="preserve"> få chans att etablera sig på arbetsmarknaden och försörja sig själva. Därmed kan också segregation och utanförskap i det svenska samhället lättare brytas. Som en viktig del i denna reform ser vi utvecklingen av privata arbetsförmedlingar och bemanningsföretag som kan bryta AMS nuvarande monopol. </w:t>
      </w:r>
      <w:r w:rsidRPr="006C40C1">
        <w:rPr>
          <w:snapToGrid w:val="0"/>
          <w:lang w:eastAsia="sv-SE"/>
        </w:rPr>
        <w:t>Arbetslöshetsförsäkringen ska vidare utfo</w:t>
      </w:r>
      <w:r w:rsidRPr="006C40C1">
        <w:rPr>
          <w:snapToGrid w:val="0"/>
          <w:lang w:eastAsia="sv-SE"/>
        </w:rPr>
        <w:t>r</w:t>
      </w:r>
      <w:r w:rsidRPr="006C40C1">
        <w:rPr>
          <w:snapToGrid w:val="0"/>
          <w:lang w:eastAsia="sv-SE"/>
        </w:rPr>
        <w:t>mas som en tidsbegränsad omställningsförsäkring med en jobbgaranti för långtidsarbetslösa och ett nytt skydd för utförsä</w:t>
      </w:r>
      <w:r w:rsidRPr="006C40C1">
        <w:rPr>
          <w:snapToGrid w:val="0"/>
          <w:lang w:eastAsia="sv-SE"/>
        </w:rPr>
        <w:t>k</w:t>
      </w:r>
      <w:r w:rsidRPr="006C40C1">
        <w:rPr>
          <w:snapToGrid w:val="0"/>
          <w:lang w:eastAsia="sv-SE"/>
        </w:rPr>
        <w:t xml:space="preserve">rade. </w:t>
      </w:r>
    </w:p>
    <w:p w:rsidR="00AA5D77" w:rsidRPr="006C40C1" w:rsidRDefault="00AA5D77">
      <w:pPr>
        <w:pStyle w:val="Normaltindrag"/>
      </w:pPr>
      <w:r w:rsidRPr="006C40C1">
        <w:t>Riksd</w:t>
      </w:r>
      <w:r w:rsidRPr="006C40C1">
        <w:t>agen bör enligt vår mening ansluta sig till Folkpartiets förslag om en företagarreform som innehåller flera långtgående förenklingar och lättnader beträffande registrering av nya företag, uppgiftslämnande och skatteregler. Även åtgärder för att stärka konkurrensen i Sverige bör genomföras. Vi är övertygade om att en successiv försäljning av statliga och kommunala bolag, tillsammans med förbättrat företagarklimat, stärker effektiviteten och minskar diskrimineringen på den svenska arbetsmarknaden samt tryggar</w:t>
      </w:r>
      <w:r w:rsidRPr="006C40C1">
        <w:t xml:space="preserve"> tillväxten i Sverige. Samtidigt är det inte rimligt att staten själv är företagare när stat</w:t>
      </w:r>
      <w:r w:rsidRPr="006C40C1">
        <w:t>s</w:t>
      </w:r>
      <w:r w:rsidRPr="006C40C1">
        <w:t>makterna sätter de regler som ska gälla för företagande. Det helt övervägande antalet statliga företag bör därför säljas i den takt som är lämplig med hänsyn till marknadernas utveckling. Likviden ska användas till att amortera stat</w:t>
      </w:r>
      <w:r w:rsidRPr="006C40C1">
        <w:t>s</w:t>
      </w:r>
      <w:r w:rsidRPr="006C40C1">
        <w:t>skulden så att statens räntekostnad, med hänsyn tagen till utebliven utdelning till staten vid försäljning, sänks.</w:t>
      </w:r>
    </w:p>
    <w:p w:rsidR="00AA5D77" w:rsidRPr="006C40C1" w:rsidRDefault="00AA5D77">
      <w:pPr>
        <w:pStyle w:val="Normaltindrag"/>
      </w:pPr>
      <w:r w:rsidRPr="006C40C1">
        <w:t>Vi anser att de offentliga monopolen måste brytas också för att öppna k</w:t>
      </w:r>
      <w:r w:rsidRPr="006C40C1">
        <w:t>vinnors traditionella arbetsmarknad för samma spelregler som för de man</w:t>
      </w:r>
      <w:r w:rsidRPr="006C40C1">
        <w:t>s</w:t>
      </w:r>
      <w:r w:rsidRPr="006C40C1">
        <w:t>dominerade branscherna. Kvinnorna måste ges tillträde till en arbetsmarknad där man har rättvisa löner och makt över sin arbetssituation. En viktig punkt inom den liberala jämställdhetspolitiken är därför att, vid sidan om sänkta skatter, förändra löne- och arbetsstrukturen i den offentliga sektorn samt göra det möjligt, lönsamt och meningsfullt för fler kvinnor att genomföra sina föret</w:t>
      </w:r>
      <w:r w:rsidRPr="006C40C1">
        <w:t>a</w:t>
      </w:r>
      <w:r w:rsidRPr="006C40C1">
        <w:t xml:space="preserve">garplaner. </w:t>
      </w:r>
    </w:p>
    <w:p w:rsidR="00AA5D77" w:rsidRPr="006C40C1" w:rsidRDefault="00AA5D77">
      <w:pPr>
        <w:pStyle w:val="Normaltindrag"/>
      </w:pPr>
      <w:r w:rsidRPr="006C40C1">
        <w:t>Kunskap och bildning är enligt vår men</w:t>
      </w:r>
      <w:r w:rsidRPr="006C40C1">
        <w:t>ing nyckeln till en långsiktigt u</w:t>
      </w:r>
      <w:r w:rsidRPr="006C40C1">
        <w:t>t</w:t>
      </w:r>
      <w:r w:rsidRPr="006C40C1">
        <w:t>hållig tillväxt. Svensk utbildningspolitik måste reformeras från grunden för att skapa en flexibel skola som visar respekt för individens behov och önsknin</w:t>
      </w:r>
      <w:r w:rsidRPr="006C40C1">
        <w:t>g</w:t>
      </w:r>
      <w:r w:rsidRPr="006C40C1">
        <w:t>ar. Kvaliteten i skolan måste säkras och läraryrkets status måste höjas. Fol</w:t>
      </w:r>
      <w:r w:rsidRPr="006C40C1">
        <w:t>k</w:t>
      </w:r>
      <w:r w:rsidRPr="006C40C1">
        <w:t>partiet vill introducera en nationell skolpeng med syfte att få likvärdighet i grundskoleutbildningen samt en särskild yrkesexamen, en lärlingsexamen och en studentexamen för att individualisera gymnasieutbildningen. Dessutom bör ett rättvist st</w:t>
      </w:r>
      <w:r w:rsidRPr="006C40C1">
        <w:t>udiestödssystem införas och forskningen vid universitet och högskolor förstärkas.</w:t>
      </w:r>
    </w:p>
    <w:p w:rsidR="00AA5D77" w:rsidRPr="006C40C1" w:rsidRDefault="00AA5D77">
      <w:pPr>
        <w:pStyle w:val="Normaltindrag"/>
      </w:pPr>
      <w:r w:rsidRPr="006C40C1">
        <w:t>Vi anser att en positiv utveckling av den svenska ekonomin underlättas av  förbättrade infrastrukturinsatser. Höjda anslag för väginvesteringar behövs för att lösa trafikproblemen i storstadsregionerna samt säkra standarden i de regionala kommunikationsnäten. Den statliga bredbandssatsningen bör om</w:t>
      </w:r>
      <w:r w:rsidRPr="006C40C1">
        <w:t>e</w:t>
      </w:r>
      <w:r w:rsidRPr="006C40C1">
        <w:t>delbart avbrytas så att näringslivet kan avgöra den teknologiska inriktningen i utbyggnaden av IT-nät. Bostadsbyggandet måste samtidigt utvecklas i mer marknadsmässig riktning med lägre kostnader, högre rörlighet och större konkurrens. De lokala investeringsprogrammen bör avskaffas och räntebidr</w:t>
      </w:r>
      <w:r w:rsidRPr="006C40C1">
        <w:t>a</w:t>
      </w:r>
      <w:r w:rsidRPr="006C40C1">
        <w:t>gen minskas.</w:t>
      </w:r>
    </w:p>
    <w:p w:rsidR="00AA5D77" w:rsidRPr="006C40C1" w:rsidRDefault="00AA5D77">
      <w:pPr>
        <w:pStyle w:val="Normaltindrag"/>
      </w:pPr>
      <w:r w:rsidRPr="006C40C1">
        <w:t>Det är enligt vår mening angeläget att Sverige driver kampen för global solidaritet mer intensivt än i dag. Avreglering av jordbrukspolitiken, satsning på frihandel och finansiell stabilitet är av stör</w:t>
      </w:r>
      <w:r w:rsidRPr="006C40C1">
        <w:t>sta vikt. Det krävs dock para</w:t>
      </w:r>
      <w:r w:rsidRPr="006C40C1">
        <w:t>l</w:t>
      </w:r>
      <w:r w:rsidRPr="006C40C1">
        <w:t>lellt en kraftig satsning på biståndet. Vi föreslår att det svenska biståndet ökas med drygt 1,7 miljarder kronor under de två kommande åren så att enpr</w:t>
      </w:r>
      <w:r w:rsidRPr="006C40C1">
        <w:t>o</w:t>
      </w:r>
      <w:r w:rsidRPr="006C40C1">
        <w:t>centsmålet kan vara återställt senast 2006. Även i vår liberala miljöpolitik understryker vi vikten av global samverkan och föreslår ökade resurser till bl.a. det internationella miljösamarbetet samt miljöforskning. En europeisk koldioxidskatt bör inf</w:t>
      </w:r>
      <w:r w:rsidRPr="006C40C1">
        <w:t>ö</w:t>
      </w:r>
      <w:r w:rsidRPr="006C40C1">
        <w:t>ras.</w:t>
      </w:r>
    </w:p>
    <w:p w:rsidR="00AA5D77" w:rsidRPr="006C40C1" w:rsidRDefault="00AA5D77">
      <w:r w:rsidRPr="006C40C1">
        <w:t>Sammanfattningsvis anser vi således att riksdagen bör bifalla motionerna</w:t>
      </w:r>
      <w:r w:rsidRPr="006C40C1">
        <w:t xml:space="preserve"> Fi232 (fp) yrkandena 2–6 och 26 samt Sk382 (fp) yrkandena 1–4, 7</w:t>
      </w:r>
      <w:r w:rsidRPr="006C40C1">
        <w:noBreakHyphen/>
        <w:t>12, 14, 22, 24 och 26 med tillägg för den justering av statens inkomster som vi föro</w:t>
      </w:r>
      <w:r w:rsidRPr="006C40C1">
        <w:t>r</w:t>
      </w:r>
      <w:r w:rsidRPr="006C40C1">
        <w:t>dar för att kunna utvidga reglerna om framskjuten beskattning vid vissa a</w:t>
      </w:r>
      <w:r w:rsidRPr="006C40C1">
        <w:t>n</w:t>
      </w:r>
      <w:r w:rsidRPr="006C40C1">
        <w:t>delsbyten.</w:t>
      </w:r>
    </w:p>
    <w:p w:rsidR="00AA5D77" w:rsidRPr="006C40C1" w:rsidRDefault="00AA5D77">
      <w:pPr>
        <w:pStyle w:val="Normaltindrag"/>
      </w:pPr>
      <w:r w:rsidRPr="006C40C1">
        <w:t>Vi avstyrker regeringens förslag i berörda delar liksom de övriga motioner som är aktuella i detta sammanhang.</w:t>
      </w:r>
    </w:p>
    <w:p w:rsidR="00AA5D77" w:rsidRPr="006C40C1" w:rsidRDefault="00AA5D77">
      <w:pPr>
        <w:pStyle w:val="FiU1tabellrubrik2000"/>
        <w:keepNext/>
        <w:keepLines/>
        <w:spacing w:before="240"/>
        <w:outlineLvl w:val="0"/>
      </w:pPr>
    </w:p>
    <w:p w:rsidR="00AA5D77" w:rsidRPr="006C40C1" w:rsidRDefault="00AA5D77">
      <w:pPr>
        <w:pStyle w:val="FiU1tabellrubrik2000"/>
        <w:keepNext/>
        <w:keepLines/>
        <w:spacing w:before="240" w:line="240" w:lineRule="atLeast"/>
        <w:outlineLvl w:val="0"/>
      </w:pPr>
      <w:r w:rsidRPr="006C40C1">
        <w:t>Tabell. Folkpartiets förslag till utgiftstak och utgiftsramar för 2003</w:t>
      </w:r>
    </w:p>
    <w:p w:rsidR="00AA5D77" w:rsidRPr="006C40C1" w:rsidRDefault="00AA5D77">
      <w:pPr>
        <w:pStyle w:val="Tabell"/>
        <w:keepNext/>
        <w:keepLines/>
        <w:outlineLvl w:val="0"/>
        <w:rPr>
          <w:rFonts w:ascii="Times New Roman" w:hAnsi="Times New Roman"/>
          <w:spacing w:val="0"/>
          <w:sz w:val="14"/>
        </w:rPr>
      </w:pPr>
      <w:r w:rsidRPr="006C40C1">
        <w:rPr>
          <w:rFonts w:ascii="Times New Roman" w:hAnsi="Times New Roman"/>
          <w:spacing w:val="0"/>
          <w:sz w:val="14"/>
        </w:rPr>
        <w:t>Belopp i miljoner kronor</w:t>
      </w:r>
    </w:p>
    <w:p w:rsidR="00AA5D77" w:rsidRPr="006C40C1" w:rsidRDefault="006C40C1">
      <w:pPr>
        <w:keepNext/>
      </w:pPr>
      <w:r w:rsidRPr="006C40C1">
        <w:rPr>
          <w:noProof/>
        </w:rPr>
        <w:drawing>
          <wp:inline distT="0" distB="0" distL="0" distR="0">
            <wp:extent cx="3777615" cy="4756785"/>
            <wp:effectExtent l="0" t="0" r="0" b="0"/>
            <wp:docPr id="89" name="Bild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3777615" cy="4756785"/>
                    </a:xfrm>
                    <a:prstGeom prst="rect">
                      <a:avLst/>
                    </a:prstGeom>
                    <a:noFill/>
                    <a:ln>
                      <a:noFill/>
                    </a:ln>
                  </pic:spPr>
                </pic:pic>
              </a:graphicData>
            </a:graphic>
          </wp:inline>
        </w:drawing>
      </w:r>
    </w:p>
    <w:p w:rsidR="00AA5D77" w:rsidRPr="006C40C1" w:rsidRDefault="00AA5D77"/>
    <w:p w:rsidR="00AA5D77" w:rsidRPr="006C40C1" w:rsidRDefault="00AA5D77">
      <w:pPr>
        <w:pStyle w:val="Reservationspunkt"/>
        <w:rPr>
          <w:noProof w:val="0"/>
        </w:rPr>
      </w:pPr>
      <w:r w:rsidRPr="006C40C1">
        <w:rPr>
          <w:noProof w:val="0"/>
        </w:rPr>
        <w:br w:type="page"/>
      </w:r>
      <w:bookmarkStart w:id="1051" w:name="_Toc26191692"/>
      <w:r w:rsidRPr="006C40C1">
        <w:rPr>
          <w:noProof w:val="0"/>
        </w:rPr>
        <w:t>10.</w:t>
      </w:r>
      <w:r w:rsidRPr="006C40C1">
        <w:rPr>
          <w:noProof w:val="0"/>
        </w:rPr>
        <w:tab/>
        <w:t>Budgetförslagen för 2003 – avsnitten 2.4–2.12, 3 och 4.1, punkt 5 (kd)</w:t>
      </w:r>
      <w:bookmarkEnd w:id="1051"/>
    </w:p>
    <w:p w:rsidR="00AA5D77" w:rsidRPr="006C40C1" w:rsidRDefault="00AA5D77">
      <w:pPr>
        <w:pStyle w:val="Reservanter"/>
      </w:pPr>
      <w:r w:rsidRPr="006C40C1">
        <w:t>av Mats Odell (kd).</w:t>
      </w:r>
    </w:p>
    <w:p w:rsidR="00AA5D77" w:rsidRPr="006C40C1" w:rsidRDefault="00AA5D77">
      <w:pPr>
        <w:pStyle w:val="R4"/>
      </w:pPr>
      <w:r w:rsidRPr="006C40C1">
        <w:t>Förslag till riksdagsbeslut</w:t>
      </w:r>
    </w:p>
    <w:p w:rsidR="00AA5D77" w:rsidRPr="006C40C1" w:rsidRDefault="00AA5D77">
      <w:r w:rsidRPr="006C40C1">
        <w:t>Jag anser att utskottets förslag under punkt 5 borde ha följande lydelse:</w:t>
      </w:r>
    </w:p>
    <w:p w:rsidR="00AA5D77" w:rsidRPr="006C40C1" w:rsidRDefault="00AA5D77">
      <w:pPr>
        <w:pStyle w:val="R4"/>
      </w:pPr>
      <w:r w:rsidRPr="006C40C1">
        <w:t>5. Budgetförslagen för 2003</w:t>
      </w:r>
    </w:p>
    <w:p w:rsidR="00AA5D77" w:rsidRPr="006C40C1" w:rsidRDefault="00AA5D77">
      <w:pPr>
        <w:spacing w:before="120"/>
        <w:jc w:val="left"/>
      </w:pPr>
      <w:r w:rsidRPr="006C40C1">
        <w:rPr>
          <w:i/>
        </w:rPr>
        <w:t>a) Utgiftstak för staten 2002–2004 (avsnitt 2.5.1)</w:t>
      </w:r>
    </w:p>
    <w:p w:rsidR="00AA5D77" w:rsidRPr="006C40C1" w:rsidRDefault="00AA5D77">
      <w:pPr>
        <w:pStyle w:val="Reservantfrslag"/>
      </w:pPr>
      <w:r w:rsidRPr="006C40C1">
        <w:t>Riksdagen fastställer utgiftstaket för staten inklusive ålderspensionssystemet vid sidan av statsbudgeten till 814 miljarder kronor 2003 och 841 miljarder kronor 2004. Därmed bifaller riksdagen motion 2002/03:Fi233 av Alf  Sven</w:t>
      </w:r>
      <w:r w:rsidRPr="006C40C1">
        <w:t>s</w:t>
      </w:r>
      <w:r w:rsidRPr="006C40C1">
        <w:t xml:space="preserve">son m.fl. (kd) yrkande 5 och avslår proposition 2002/03:1 punkt 2 samt övriga motionsyrkanden som finns upptagna under punkt 5 a i efterföljande </w:t>
      </w:r>
      <w:r w:rsidRPr="006C40C1">
        <w:rPr>
          <w:i/>
        </w:rPr>
        <w:t>förtec</w:t>
      </w:r>
      <w:r w:rsidRPr="006C40C1">
        <w:rPr>
          <w:i/>
        </w:rPr>
        <w:t>k</w:t>
      </w:r>
      <w:r w:rsidRPr="006C40C1">
        <w:rPr>
          <w:i/>
        </w:rPr>
        <w:t>ning över av utskottet i punkt 5 avstyrkta motionsy</w:t>
      </w:r>
      <w:r w:rsidRPr="006C40C1">
        <w:rPr>
          <w:i/>
        </w:rPr>
        <w:t>r</w:t>
      </w:r>
      <w:r w:rsidRPr="006C40C1">
        <w:rPr>
          <w:i/>
        </w:rPr>
        <w:t>kanden.</w:t>
      </w:r>
    </w:p>
    <w:p w:rsidR="00AA5D77" w:rsidRPr="006C40C1" w:rsidRDefault="00AA5D77">
      <w:pPr>
        <w:spacing w:before="120"/>
        <w:jc w:val="left"/>
        <w:rPr>
          <w:i/>
        </w:rPr>
      </w:pPr>
      <w:r w:rsidRPr="006C40C1">
        <w:rPr>
          <w:i/>
        </w:rPr>
        <w:t>b) Beräkning av den offentliga sektorns utgifter åren 2003 och 2004 (avsnitt 2.5.2)</w:t>
      </w:r>
    </w:p>
    <w:p w:rsidR="00AA5D77" w:rsidRPr="006C40C1" w:rsidRDefault="00AA5D77">
      <w:pPr>
        <w:pStyle w:val="Normaltindrag"/>
        <w:tabs>
          <w:tab w:val="left" w:pos="1701"/>
          <w:tab w:val="left" w:pos="4962"/>
        </w:tabs>
        <w:ind w:firstLine="0"/>
      </w:pPr>
      <w:r w:rsidRPr="006C40C1">
        <w:t>Riksdagen godkänner den reviderade beräkningen av de offentliga utgifterna för åren 2003 och 2004 som redovisas i motion 2002/03:Fi233. Därmed b</w:t>
      </w:r>
      <w:r w:rsidRPr="006C40C1">
        <w:t>i</w:t>
      </w:r>
      <w:r w:rsidRPr="006C40C1">
        <w:t>faller riksdagen motion 2002/03:Fi233 av Alf  Svensson m.fl. (kd) yrkande 12</w:t>
      </w:r>
    </w:p>
    <w:p w:rsidR="00AA5D77" w:rsidRPr="006C40C1" w:rsidRDefault="00AA5D77">
      <w:pPr>
        <w:pStyle w:val="Reservantfrslag"/>
      </w:pPr>
      <w:r w:rsidRPr="006C40C1">
        <w:t xml:space="preserve">och avslår proposition 2002/03:1 punkt 3 samt övriga motionsyrkanden som finns upptagna under punkt 5 b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spacing w:before="120"/>
        <w:jc w:val="left"/>
        <w:rPr>
          <w:i/>
        </w:rPr>
      </w:pPr>
      <w:r w:rsidRPr="006C40C1">
        <w:rPr>
          <w:i/>
        </w:rPr>
        <w:t>c) Fördelning av statsbudgetens utgifter på utgiftsområden 2003 (avsnitt 2.6)</w:t>
      </w:r>
    </w:p>
    <w:p w:rsidR="00AA5D77" w:rsidRPr="006C40C1" w:rsidRDefault="00AA5D77">
      <w:pPr>
        <w:pStyle w:val="Reservantfrslag"/>
      </w:pPr>
      <w:r w:rsidRPr="006C40C1">
        <w:t>Riksdagen beslutar om fördelning av utgifterna för budgetåret 2003 på u</w:t>
      </w:r>
      <w:r w:rsidRPr="006C40C1">
        <w:t>t</w:t>
      </w:r>
      <w:r w:rsidRPr="006C40C1">
        <w:t>giftsområden enligt det med reservation 10 betecknade förslaget i efterfölja</w:t>
      </w:r>
      <w:r w:rsidRPr="006C40C1">
        <w:t>n</w:t>
      </w:r>
      <w:r w:rsidRPr="006C40C1">
        <w:t xml:space="preserve">de </w:t>
      </w:r>
      <w:r w:rsidRPr="006C40C1">
        <w:rPr>
          <w:i/>
        </w:rPr>
        <w:t>sammanställning över statsbudgetens utgifter och inkomster</w:t>
      </w:r>
      <w:r w:rsidRPr="006C40C1">
        <w:t>.</w:t>
      </w:r>
      <w:r w:rsidRPr="006C40C1">
        <w:rPr>
          <w:i/>
        </w:rPr>
        <w:t xml:space="preserve"> </w:t>
      </w:r>
      <w:r w:rsidRPr="006C40C1">
        <w:t xml:space="preserve">Därmed bifaller riksdagen motion 2002/03:Fi233 av Alf  Svensson m.fl. (kd) yrkande 8 och avslår proposition 2002/03:1 punkt 8, motion 2002/03:Fi230 av Britt Bohlin m.fl. (s, v, mp) yrkande 1 samt övriga motionsyrkanden som finns upptagna under punkt 5 c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spacing w:before="120"/>
        <w:jc w:val="left"/>
        <w:rPr>
          <w:i/>
        </w:rPr>
      </w:pPr>
      <w:r w:rsidRPr="006C40C1">
        <w:rPr>
          <w:i/>
        </w:rPr>
        <w:t>d) Förändringar av anslagsbehållni</w:t>
      </w:r>
      <w:r w:rsidRPr="006C40C1">
        <w:rPr>
          <w:i/>
        </w:rPr>
        <w:t>ngar för 2003 (avsnitt 2.8)</w:t>
      </w:r>
    </w:p>
    <w:p w:rsidR="00AA5D77" w:rsidRPr="006C40C1" w:rsidRDefault="00AA5D77">
      <w:pPr>
        <w:pStyle w:val="Reservantfrslag"/>
      </w:pPr>
      <w:r w:rsidRPr="006C40C1">
        <w:t>=utskottet</w:t>
      </w:r>
    </w:p>
    <w:p w:rsidR="00AA5D77" w:rsidRPr="006C40C1" w:rsidRDefault="00AA5D77">
      <w:pPr>
        <w:spacing w:before="120"/>
        <w:jc w:val="left"/>
        <w:rPr>
          <w:i/>
        </w:rPr>
      </w:pPr>
      <w:r w:rsidRPr="006C40C1">
        <w:rPr>
          <w:i/>
        </w:rPr>
        <w:t>e) Myndigheternas in- och utlåning i Riksgäldskontoret (avsnitt 2.9)</w:t>
      </w:r>
    </w:p>
    <w:p w:rsidR="00AA5D77" w:rsidRPr="006C40C1" w:rsidRDefault="00AA5D77">
      <w:pPr>
        <w:pStyle w:val="Reservantfrslag"/>
      </w:pPr>
      <w:r w:rsidRPr="006C40C1">
        <w:t xml:space="preserve">Riksdagen godkänner den beräkning av myndigheters m.fl. in- och utlåning i Riksgäldskontoret för 2003 som redovisas i reservation 10. Därmed bifaller riksdagen motion 2002/03:Fi233 av Alf Svensson m.fl. (kd) yrkande 11 och avslår proposition 2002/03:1 punkt 5 samt övriga motionsyrkanden som finns upptagna under punkt 5 e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spacing w:before="120"/>
        <w:jc w:val="left"/>
        <w:rPr>
          <w:i/>
        </w:rPr>
      </w:pPr>
      <w:r w:rsidRPr="006C40C1">
        <w:rPr>
          <w:i/>
        </w:rPr>
        <w:br w:type="page"/>
        <w:t>f) Kassamässig korrigering (avsnitt 2.10)</w:t>
      </w:r>
    </w:p>
    <w:p w:rsidR="00AA5D77" w:rsidRPr="006C40C1" w:rsidRDefault="00AA5D77">
      <w:pPr>
        <w:pStyle w:val="Reservantfrslag"/>
      </w:pPr>
      <w:r w:rsidRPr="006C40C1">
        <w:t>=utskottet</w:t>
      </w:r>
    </w:p>
    <w:p w:rsidR="00AA5D77" w:rsidRPr="006C40C1" w:rsidRDefault="00AA5D77">
      <w:pPr>
        <w:spacing w:before="120"/>
        <w:jc w:val="left"/>
        <w:rPr>
          <w:i/>
        </w:rPr>
      </w:pPr>
      <w:r w:rsidRPr="006C40C1">
        <w:rPr>
          <w:i/>
        </w:rPr>
        <w:t>g) Beskattning av förvärvsinkomster (avsnitt 3.3.1)</w:t>
      </w:r>
    </w:p>
    <w:p w:rsidR="00AA5D77" w:rsidRPr="006C40C1" w:rsidRDefault="00AA5D77">
      <w:pPr>
        <w:pStyle w:val="Reservantfrslag"/>
      </w:pPr>
      <w:r w:rsidRPr="006C40C1">
        <w:t xml:space="preserve">Riksdagen godkänner vad som anförs i reservation 10 om inkomstskatten för 2003. Därmed bifaller riksdagen motion 2002/03:Fi255 av Per Landgren m.fl. (kd) yrkandena 2–5 samt 8 och motion 2002/03:Fi256 av Alf  Svensson m.fl. (kd) yrkandena 8–11 och 33 samt avslår proposition 2002/03:1 punkt 27 i denna del och motion 2002/03:Fi230 av Britt Bohlin m.fl. (s, v, mp) yrkande 12 i denna del samt övriga motionsyrkanden som finns upptagna under punkt 5 g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spacing w:before="120"/>
        <w:jc w:val="left"/>
        <w:rPr>
          <w:i/>
        </w:rPr>
      </w:pPr>
      <w:r w:rsidRPr="006C40C1">
        <w:rPr>
          <w:i/>
        </w:rPr>
        <w:t>h) Det fasta beloppet vid beskattningen av förvärvsinkomster (avsnitt 3.3.2)</w:t>
      </w:r>
    </w:p>
    <w:p w:rsidR="00AA5D77" w:rsidRPr="006C40C1" w:rsidRDefault="00AA5D77">
      <w:pPr>
        <w:pStyle w:val="Reservantfrslag"/>
      </w:pPr>
      <w:r w:rsidRPr="006C40C1">
        <w:t>=utskottet</w:t>
      </w:r>
    </w:p>
    <w:p w:rsidR="00AA5D77" w:rsidRPr="006C40C1" w:rsidRDefault="00AA5D77">
      <w:pPr>
        <w:spacing w:before="120"/>
        <w:jc w:val="left"/>
        <w:rPr>
          <w:i/>
        </w:rPr>
      </w:pPr>
      <w:r w:rsidRPr="006C40C1">
        <w:rPr>
          <w:i/>
        </w:rPr>
        <w:t>i) Beskattning av sjömän i det nordiska dubbelbeskattningsavtalet (avsnitt 3.3.3)</w:t>
      </w:r>
    </w:p>
    <w:p w:rsidR="00AA5D77" w:rsidRPr="006C40C1" w:rsidRDefault="00AA5D77">
      <w:pPr>
        <w:pStyle w:val="Reservantfrslag"/>
      </w:pPr>
      <w:r w:rsidRPr="006C40C1">
        <w:t>=utskottet</w:t>
      </w:r>
    </w:p>
    <w:p w:rsidR="00AA5D77" w:rsidRPr="006C40C1" w:rsidRDefault="00AA5D77">
      <w:pPr>
        <w:spacing w:before="120"/>
        <w:jc w:val="left"/>
        <w:rPr>
          <w:i/>
        </w:rPr>
      </w:pPr>
      <w:r w:rsidRPr="006C40C1">
        <w:rPr>
          <w:i/>
        </w:rPr>
        <w:t>j) Förmånsbeskattning av miljövänliga bilar (avsnitt 3.3.4)</w:t>
      </w:r>
    </w:p>
    <w:p w:rsidR="00AA5D77" w:rsidRPr="006C40C1" w:rsidRDefault="00AA5D77">
      <w:pPr>
        <w:pStyle w:val="Reservantfrslag"/>
      </w:pPr>
      <w:r w:rsidRPr="006C40C1">
        <w:t>=utskottet</w:t>
      </w:r>
    </w:p>
    <w:p w:rsidR="00AA5D77" w:rsidRPr="006C40C1" w:rsidRDefault="00AA5D77">
      <w:pPr>
        <w:spacing w:before="120"/>
        <w:jc w:val="left"/>
        <w:rPr>
          <w:i/>
        </w:rPr>
      </w:pPr>
      <w:r w:rsidRPr="006C40C1">
        <w:rPr>
          <w:i/>
        </w:rPr>
        <w:t>k) Förändrade nivåer för socialavgifter (3.5)</w:t>
      </w:r>
    </w:p>
    <w:p w:rsidR="00AA5D77" w:rsidRPr="006C40C1" w:rsidRDefault="00AA5D77">
      <w:pPr>
        <w:pStyle w:val="Reservantfrslag"/>
      </w:pPr>
      <w:r w:rsidRPr="006C40C1">
        <w:t>Riksdagen godkänner vad som anförs i reservation 10 om social- och arbet</w:t>
      </w:r>
      <w:r w:rsidRPr="006C40C1">
        <w:t>s</w:t>
      </w:r>
      <w:r w:rsidRPr="006C40C1">
        <w:t xml:space="preserve">givaravgifter. Därmed bifaller riksdagen motion 2002/03:Fi256 av Alf  Svensson m.fl. (kd) yrkandena 15 och 16 samt motion 2002/03:Sk383 av Per Landgren m.fl. (kd) yrkande 5 och avslår proposition 2002/03:1 punkterna 28 och 29, båda i denna del samt övriga motionsyrkanden som finns upptagna under punkt 5 k i efterföljande </w:t>
      </w:r>
      <w:r w:rsidRPr="006C40C1">
        <w:rPr>
          <w:i/>
        </w:rPr>
        <w:t>förteckning över av utskottet i punkt 5 a</w:t>
      </w:r>
      <w:r w:rsidRPr="006C40C1">
        <w:rPr>
          <w:i/>
        </w:rPr>
        <w:t>v</w:t>
      </w:r>
      <w:r w:rsidRPr="006C40C1">
        <w:rPr>
          <w:i/>
        </w:rPr>
        <w:t>styrkta motionsyrka</w:t>
      </w:r>
      <w:r w:rsidRPr="006C40C1">
        <w:rPr>
          <w:i/>
        </w:rPr>
        <w:t>n</w:t>
      </w:r>
      <w:r w:rsidRPr="006C40C1">
        <w:rPr>
          <w:i/>
        </w:rPr>
        <w:t>den.</w:t>
      </w:r>
    </w:p>
    <w:p w:rsidR="00AA5D77" w:rsidRPr="006C40C1" w:rsidRDefault="00AA5D77">
      <w:pPr>
        <w:spacing w:before="120"/>
        <w:jc w:val="left"/>
        <w:rPr>
          <w:i/>
        </w:rPr>
      </w:pPr>
      <w:r w:rsidRPr="006C40C1">
        <w:rPr>
          <w:i/>
        </w:rPr>
        <w:t>l) Skatt på lågpriscigaretter (avsnitt 3.7.3)</w:t>
      </w:r>
    </w:p>
    <w:p w:rsidR="00AA5D77" w:rsidRPr="006C40C1" w:rsidRDefault="00AA5D77">
      <w:pPr>
        <w:pStyle w:val="Reservantfrslag"/>
      </w:pPr>
      <w:r w:rsidRPr="006C40C1">
        <w:t>= utskottet</w:t>
      </w:r>
    </w:p>
    <w:p w:rsidR="00AA5D77" w:rsidRPr="006C40C1" w:rsidRDefault="00AA5D77">
      <w:pPr>
        <w:spacing w:before="120"/>
        <w:jc w:val="left"/>
        <w:rPr>
          <w:i/>
        </w:rPr>
      </w:pPr>
      <w:r w:rsidRPr="006C40C1">
        <w:rPr>
          <w:i/>
        </w:rPr>
        <w:t>m) Privatinförsel av alkoholdrycker och tobaksvaror (avsnitt 3.7.4)</w:t>
      </w:r>
    </w:p>
    <w:p w:rsidR="00AA5D77" w:rsidRPr="006C40C1" w:rsidRDefault="00AA5D77">
      <w:pPr>
        <w:pStyle w:val="Reservantfrslag"/>
      </w:pPr>
      <w:r w:rsidRPr="006C40C1">
        <w:t>=utskottet</w:t>
      </w:r>
    </w:p>
    <w:p w:rsidR="00AA5D77" w:rsidRPr="006C40C1" w:rsidRDefault="00AA5D77">
      <w:pPr>
        <w:spacing w:before="120"/>
        <w:jc w:val="left"/>
        <w:rPr>
          <w:i/>
        </w:rPr>
      </w:pPr>
      <w:r w:rsidRPr="006C40C1">
        <w:rPr>
          <w:i/>
        </w:rPr>
        <w:t>n) En fortsatt grön skatteväxling – höjd koldioxidskatt och elskatt  (avsnitt 3.7.6)</w:t>
      </w:r>
    </w:p>
    <w:p w:rsidR="00AA5D77" w:rsidRPr="006C40C1" w:rsidRDefault="00AA5D77">
      <w:pPr>
        <w:pStyle w:val="Reservantfrslag"/>
      </w:pPr>
      <w:r w:rsidRPr="006C40C1">
        <w:t>Riksdagen godkänner vad som anförs i reservation 10 om höjd koldioxidskatt och elskatt. Därmed bifaller riksdagen motion 2002/03:Fi255 av Per Lan</w:t>
      </w:r>
      <w:r w:rsidRPr="006C40C1">
        <w:t>d</w:t>
      </w:r>
      <w:r w:rsidRPr="006C40C1">
        <w:t>gren m.fl. (kd) yrkande 7 samt motion 2002/03:Fi256 av Alf  Svensson m.fl. (kd) yrkande 32 och avslår proposition 2002/03:1 punkt 33 i denna del, m</w:t>
      </w:r>
      <w:r w:rsidRPr="006C40C1">
        <w:t>o</w:t>
      </w:r>
      <w:r w:rsidRPr="006C40C1">
        <w:t>tion 2002/03:Fi230 av Britt Bohlin m.fl. (s, v, mp) yrkande 12 i denna del samt övriga motionsyrkanden som finns upptagna under punkt 5 n i efterfö</w:t>
      </w:r>
      <w:r w:rsidRPr="006C40C1">
        <w:t>l</w:t>
      </w:r>
      <w:r w:rsidRPr="006C40C1">
        <w:t xml:space="preserve">jande </w:t>
      </w:r>
      <w:r w:rsidRPr="006C40C1">
        <w:rPr>
          <w:i/>
        </w:rPr>
        <w:t>förteckning över av utskottet i punkt 5 avstyrkta motionsy</w:t>
      </w:r>
      <w:r w:rsidRPr="006C40C1">
        <w:rPr>
          <w:i/>
        </w:rPr>
        <w:t>r</w:t>
      </w:r>
      <w:r w:rsidRPr="006C40C1">
        <w:rPr>
          <w:i/>
        </w:rPr>
        <w:t>kanden.</w:t>
      </w:r>
    </w:p>
    <w:p w:rsidR="00AA5D77" w:rsidRPr="006C40C1" w:rsidRDefault="00AA5D77">
      <w:pPr>
        <w:spacing w:before="120"/>
        <w:jc w:val="left"/>
      </w:pPr>
      <w:r w:rsidRPr="006C40C1">
        <w:rPr>
          <w:i/>
        </w:rPr>
        <w:t>o) Kraftvärmebeskat</w:t>
      </w:r>
      <w:r w:rsidRPr="006C40C1">
        <w:rPr>
          <w:i/>
        </w:rPr>
        <w:t>t</w:t>
      </w:r>
      <w:r w:rsidRPr="006C40C1">
        <w:rPr>
          <w:i/>
        </w:rPr>
        <w:t>ningen (avsnitt 3.7.7)</w:t>
      </w:r>
      <w:r w:rsidRPr="006C40C1">
        <w:rPr>
          <w:i/>
        </w:rPr>
        <w:br/>
      </w:r>
      <w:r w:rsidRPr="006C40C1">
        <w:t>=utskottet</w:t>
      </w:r>
    </w:p>
    <w:p w:rsidR="00AA5D77" w:rsidRPr="006C40C1" w:rsidRDefault="00AA5D77">
      <w:pPr>
        <w:spacing w:before="120"/>
      </w:pPr>
      <w:r w:rsidRPr="006C40C1">
        <w:rPr>
          <w:i/>
        </w:rPr>
        <w:t>p) Kalk- och cementbranschens koldio</w:t>
      </w:r>
      <w:r w:rsidRPr="006C40C1">
        <w:rPr>
          <w:i/>
        </w:rPr>
        <w:t>x</w:t>
      </w:r>
      <w:r w:rsidRPr="006C40C1">
        <w:rPr>
          <w:i/>
        </w:rPr>
        <w:t>idskatt (avsnitt 3.7.8)</w:t>
      </w:r>
    </w:p>
    <w:p w:rsidR="00AA5D77" w:rsidRPr="006C40C1" w:rsidRDefault="00AA5D77">
      <w:pPr>
        <w:pStyle w:val="Reservantfrslag"/>
      </w:pPr>
      <w:r w:rsidRPr="006C40C1">
        <w:t>=utskottet</w:t>
      </w:r>
    </w:p>
    <w:p w:rsidR="00AA5D77" w:rsidRPr="006C40C1" w:rsidRDefault="00AA5D77">
      <w:pPr>
        <w:spacing w:before="120"/>
        <w:rPr>
          <w:i/>
        </w:rPr>
      </w:pPr>
      <w:r w:rsidRPr="006C40C1">
        <w:rPr>
          <w:i/>
        </w:rPr>
        <w:t>q) Grön skatteväxling – höjd avfallsskatt (avsnitt 3.7.12)</w:t>
      </w:r>
    </w:p>
    <w:p w:rsidR="00AA5D77" w:rsidRPr="006C40C1" w:rsidRDefault="00AA5D77">
      <w:pPr>
        <w:pStyle w:val="Reservantfrslag"/>
      </w:pPr>
      <w:r w:rsidRPr="006C40C1">
        <w:t>=utskottet</w:t>
      </w:r>
    </w:p>
    <w:p w:rsidR="00AA5D77" w:rsidRPr="006C40C1" w:rsidRDefault="00AA5D77">
      <w:pPr>
        <w:spacing w:before="120"/>
        <w:rPr>
          <w:i/>
        </w:rPr>
      </w:pPr>
      <w:r w:rsidRPr="006C40C1">
        <w:rPr>
          <w:i/>
        </w:rPr>
        <w:t>r) Grön skatteväxlin – höjd naturgrusskatt (avsnitt 3.7.13)</w:t>
      </w:r>
    </w:p>
    <w:p w:rsidR="00AA5D77" w:rsidRPr="006C40C1" w:rsidRDefault="00AA5D77">
      <w:pPr>
        <w:pStyle w:val="Normaltindrag"/>
        <w:tabs>
          <w:tab w:val="left" w:pos="1701"/>
          <w:tab w:val="left" w:pos="4962"/>
        </w:tabs>
        <w:ind w:firstLine="0"/>
        <w:jc w:val="left"/>
      </w:pPr>
      <w:r w:rsidRPr="006C40C1">
        <w:t>=utskottet</w:t>
      </w:r>
    </w:p>
    <w:p w:rsidR="00AA5D77" w:rsidRPr="006C40C1" w:rsidRDefault="00AA5D77">
      <w:pPr>
        <w:spacing w:before="120"/>
        <w:rPr>
          <w:i/>
        </w:rPr>
      </w:pPr>
      <w:r w:rsidRPr="006C40C1">
        <w:rPr>
          <w:i/>
        </w:rPr>
        <w:t>s) Bredbandsinstallation (avsnitt 3.8.1)</w:t>
      </w:r>
    </w:p>
    <w:p w:rsidR="00AA5D77" w:rsidRPr="006C40C1" w:rsidRDefault="00AA5D77">
      <w:pPr>
        <w:pStyle w:val="Normaltindrag"/>
        <w:tabs>
          <w:tab w:val="left" w:pos="1701"/>
          <w:tab w:val="left" w:pos="4962"/>
        </w:tabs>
        <w:ind w:firstLine="0"/>
        <w:jc w:val="left"/>
      </w:pPr>
      <w:r w:rsidRPr="006C40C1">
        <w:t>=utskottet</w:t>
      </w:r>
    </w:p>
    <w:p w:rsidR="00AA5D77" w:rsidRPr="006C40C1" w:rsidRDefault="00AA5D77">
      <w:pPr>
        <w:spacing w:before="120"/>
        <w:rPr>
          <w:i/>
        </w:rPr>
      </w:pPr>
      <w:r w:rsidRPr="006C40C1">
        <w:rPr>
          <w:i/>
        </w:rPr>
        <w:t>t) Miljöförbättrande åtgärder på bostäder (avsnitt 3.8.2)</w:t>
      </w:r>
    </w:p>
    <w:p w:rsidR="00AA5D77" w:rsidRPr="006C40C1" w:rsidRDefault="00AA5D77">
      <w:pPr>
        <w:pStyle w:val="Normaltindrag"/>
        <w:tabs>
          <w:tab w:val="left" w:pos="1701"/>
          <w:tab w:val="left" w:pos="4962"/>
        </w:tabs>
        <w:ind w:firstLine="0"/>
        <w:jc w:val="left"/>
      </w:pPr>
      <w:r w:rsidRPr="006C40C1">
        <w:t>=utskottet</w:t>
      </w:r>
    </w:p>
    <w:p w:rsidR="00AA5D77" w:rsidRPr="006C40C1" w:rsidRDefault="00AA5D77">
      <w:pPr>
        <w:spacing w:before="120"/>
        <w:rPr>
          <w:i/>
        </w:rPr>
      </w:pPr>
      <w:r w:rsidRPr="006C40C1">
        <w:rPr>
          <w:i/>
        </w:rPr>
        <w:t>u) Beräkning av statsbudgetens inkomster för 2003 (avsnitt 3.10)</w:t>
      </w:r>
    </w:p>
    <w:p w:rsidR="00AA5D77" w:rsidRPr="006C40C1" w:rsidRDefault="00AA5D77">
      <w:pPr>
        <w:pStyle w:val="Reservantfrslag"/>
      </w:pPr>
      <w:r w:rsidRPr="006C40C1">
        <w:t xml:space="preserve">Riksdagen godkänner beräkningen av statsbudgetens inkomster för 2003 enligt det med reservation 10 betecknade förslaget i den </w:t>
      </w:r>
      <w:r w:rsidRPr="006C40C1">
        <w:rPr>
          <w:i/>
        </w:rPr>
        <w:t xml:space="preserve">sammanställning över statsbudgetens utgifter och inkomster </w:t>
      </w:r>
      <w:r w:rsidRPr="006C40C1">
        <w:t xml:space="preserve">som följer efter utskottets förslag till riksdagsbeslut. Därmed bifaller riksdagen delvis motion 2002/03:Fi233 av Alf Svensson m.fl. (kd) yrkande 6 i denna del och motion 2002/03:Fi256 av Alf Svensson m.fl. (kd) yrkandena 1 och 24 samt avslår proposition 2002/03:1 punkt 7 och övriga motionsyrkanden som finns upptagna under punkt 5 u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spacing w:before="120"/>
        <w:rPr>
          <w:i/>
        </w:rPr>
      </w:pPr>
      <w:r w:rsidRPr="006C40C1">
        <w:rPr>
          <w:i/>
        </w:rPr>
        <w:t>v) Ålderspensionssystemet vid sidan</w:t>
      </w:r>
      <w:r w:rsidRPr="006C40C1">
        <w:rPr>
          <w:i/>
        </w:rPr>
        <w:t xml:space="preserve"> av statsbudgeten (avsnitt 4.1.28)</w:t>
      </w:r>
    </w:p>
    <w:p w:rsidR="00AA5D77" w:rsidRPr="006C40C1" w:rsidRDefault="00AA5D77">
      <w:r w:rsidRPr="006C40C1">
        <w:t>=utskottet</w:t>
      </w:r>
    </w:p>
    <w:p w:rsidR="00AA5D77" w:rsidRPr="006C40C1" w:rsidRDefault="00AA5D77">
      <w:pPr>
        <w:spacing w:before="120"/>
      </w:pPr>
      <w:r w:rsidRPr="006C40C1">
        <w:rPr>
          <w:i/>
        </w:rPr>
        <w:t>x) Övriga motionsyrkanden om budgetförslagen för 2003</w:t>
      </w:r>
    </w:p>
    <w:p w:rsidR="00AA5D77" w:rsidRPr="006C40C1" w:rsidRDefault="00AA5D77">
      <w:pPr>
        <w:pStyle w:val="Reservantfrslag"/>
      </w:pPr>
      <w:r w:rsidRPr="006C40C1">
        <w:t>Riksdagen tillkännager för regeringen som sin mening vad som anförs i r</w:t>
      </w:r>
      <w:r w:rsidRPr="006C40C1">
        <w:t>e</w:t>
      </w:r>
      <w:r w:rsidRPr="006C40C1">
        <w:t>servation 10 om skattepolitikens inriktning, utökade reseavdrag, slopad skatt på aktieutdelningar, beskattningen av royalty, fastighetsskatt, förmögenhet</w:t>
      </w:r>
      <w:r w:rsidRPr="006C40C1">
        <w:t>s</w:t>
      </w:r>
      <w:r w:rsidRPr="006C40C1">
        <w:t>skatt, skattelättnad för studentbostäder och äldrebostäder, sänkt skatt på dri</w:t>
      </w:r>
      <w:r w:rsidRPr="006C40C1">
        <w:t>v</w:t>
      </w:r>
      <w:r w:rsidRPr="006C40C1">
        <w:t>medel, inledd avveckling av reklamskatten, sänkning av jordbrukets diese</w:t>
      </w:r>
      <w:r w:rsidRPr="006C40C1">
        <w:t>l</w:t>
      </w:r>
      <w:r w:rsidRPr="006C40C1">
        <w:t>skatt  samt renodling av det särskilda anställningsst</w:t>
      </w:r>
      <w:r w:rsidRPr="006C40C1">
        <w:t>ö</w:t>
      </w:r>
      <w:r w:rsidRPr="006C40C1">
        <w:t>det.</w:t>
      </w:r>
    </w:p>
    <w:p w:rsidR="00AA5D77" w:rsidRPr="006C40C1" w:rsidRDefault="00AA5D77">
      <w:r w:rsidRPr="006C40C1">
        <w:t xml:space="preserve">Därmed bifaller riksdagen motionerna </w:t>
      </w:r>
    </w:p>
    <w:p w:rsidR="00AA5D77" w:rsidRPr="006C40C1" w:rsidRDefault="00AA5D77">
      <w:pPr>
        <w:pStyle w:val="Normaltindrag"/>
        <w:tabs>
          <w:tab w:val="left" w:pos="1701"/>
          <w:tab w:val="left" w:pos="4962"/>
        </w:tabs>
        <w:ind w:firstLine="0"/>
      </w:pPr>
      <w:r w:rsidRPr="006C40C1">
        <w:t>2002/03:Fi229 av Ingvar Svensson (kd),</w:t>
      </w:r>
    </w:p>
    <w:p w:rsidR="00AA5D77" w:rsidRPr="006C40C1" w:rsidRDefault="00AA5D77">
      <w:pPr>
        <w:pStyle w:val="Normaltindrag"/>
        <w:tabs>
          <w:tab w:val="left" w:pos="1701"/>
          <w:tab w:val="left" w:pos="4962"/>
        </w:tabs>
        <w:ind w:firstLine="0"/>
      </w:pPr>
      <w:r w:rsidRPr="006C40C1">
        <w:t>2002/03:Fi233 av Alf  Svensson m.fl. (kd) yrkandena 7 och 11,</w:t>
      </w:r>
    </w:p>
    <w:p w:rsidR="00AA5D77" w:rsidRPr="006C40C1" w:rsidRDefault="00AA5D77">
      <w:pPr>
        <w:pStyle w:val="Normaltindrag"/>
        <w:tabs>
          <w:tab w:val="left" w:pos="1701"/>
          <w:tab w:val="left" w:pos="4962"/>
        </w:tabs>
        <w:ind w:firstLine="0"/>
        <w:jc w:val="left"/>
      </w:pPr>
      <w:r w:rsidRPr="006C40C1">
        <w:t>2002/03:Fi254 av Per Landgren m.fl. (kd) yrkandena 1–3,</w:t>
      </w:r>
    </w:p>
    <w:p w:rsidR="00AA5D77" w:rsidRPr="006C40C1" w:rsidRDefault="00AA5D77">
      <w:pPr>
        <w:pStyle w:val="Normaltindrag"/>
        <w:tabs>
          <w:tab w:val="left" w:pos="1701"/>
          <w:tab w:val="left" w:pos="4962"/>
        </w:tabs>
        <w:ind w:firstLine="0"/>
      </w:pPr>
      <w:r w:rsidRPr="006C40C1">
        <w:t>2002/03:Fi255 av Per Landgren m.fl. (kd) yrkandena 1, 6 och 7,</w:t>
      </w:r>
    </w:p>
    <w:p w:rsidR="00AA5D77" w:rsidRPr="006C40C1" w:rsidRDefault="00AA5D77">
      <w:pPr>
        <w:pStyle w:val="Normaltindrag"/>
        <w:tabs>
          <w:tab w:val="left" w:pos="1701"/>
          <w:tab w:val="left" w:pos="4962"/>
        </w:tabs>
        <w:ind w:firstLine="0"/>
        <w:jc w:val="left"/>
      </w:pPr>
      <w:r w:rsidRPr="006C40C1">
        <w:t xml:space="preserve">2002/03:Fi256 av Alf  Svensson m.fl. (kd) yrkandena 2–7, 12–14, 17–23 och </w:t>
      </w:r>
    </w:p>
    <w:p w:rsidR="00AA5D77" w:rsidRPr="006C40C1" w:rsidRDefault="00AA5D77">
      <w:pPr>
        <w:pStyle w:val="Normaltindrag"/>
        <w:tabs>
          <w:tab w:val="left" w:pos="1701"/>
          <w:tab w:val="left" w:pos="4962"/>
        </w:tabs>
        <w:ind w:firstLine="0"/>
        <w:jc w:val="left"/>
      </w:pPr>
      <w:r w:rsidRPr="006C40C1">
        <w:t>26–31,</w:t>
      </w:r>
    </w:p>
    <w:p w:rsidR="00AA5D77" w:rsidRPr="006C40C1" w:rsidRDefault="00AA5D77">
      <w:pPr>
        <w:pStyle w:val="Normaltindrag"/>
        <w:tabs>
          <w:tab w:val="left" w:pos="1701"/>
          <w:tab w:val="left" w:pos="4962"/>
        </w:tabs>
        <w:ind w:firstLine="0"/>
        <w:jc w:val="left"/>
      </w:pPr>
      <w:r w:rsidRPr="006C40C1">
        <w:t>2002/03:Sk383 av Per Lan</w:t>
      </w:r>
      <w:r w:rsidRPr="006C40C1">
        <w:t>d</w:t>
      </w:r>
      <w:r w:rsidRPr="006C40C1">
        <w:t>gren m.fl. (kd) yrkandena 2, 3, 6–9, 12 och 14,</w:t>
      </w:r>
    </w:p>
    <w:p w:rsidR="00AA5D77" w:rsidRPr="006C40C1" w:rsidRDefault="00AA5D77">
      <w:pPr>
        <w:pStyle w:val="Normaltindrag"/>
        <w:tabs>
          <w:tab w:val="left" w:pos="1701"/>
          <w:tab w:val="left" w:pos="4962"/>
        </w:tabs>
        <w:ind w:firstLine="0"/>
        <w:jc w:val="left"/>
      </w:pPr>
      <w:r w:rsidRPr="006C40C1">
        <w:t>2002/03:MJ377 av Lars Gu</w:t>
      </w:r>
      <w:r w:rsidRPr="006C40C1">
        <w:t>s</w:t>
      </w:r>
      <w:r w:rsidRPr="006C40C1">
        <w:t>tafsson m.fl. (kd) yrkande 2,</w:t>
      </w:r>
    </w:p>
    <w:p w:rsidR="00AA5D77" w:rsidRPr="006C40C1" w:rsidRDefault="00AA5D77">
      <w:pPr>
        <w:pStyle w:val="Normaltindrag"/>
        <w:tabs>
          <w:tab w:val="left" w:pos="1701"/>
          <w:tab w:val="left" w:pos="4962"/>
        </w:tabs>
        <w:ind w:firstLine="0"/>
      </w:pPr>
      <w:r w:rsidRPr="006C40C1">
        <w:t>2002/03:MJ432 av Alf  Svensson m.fl. (kd) yrkande 23,</w:t>
      </w:r>
    </w:p>
    <w:p w:rsidR="00AA5D77" w:rsidRPr="006C40C1" w:rsidRDefault="00AA5D77">
      <w:pPr>
        <w:pStyle w:val="Normaltindrag"/>
        <w:tabs>
          <w:tab w:val="left" w:pos="1701"/>
          <w:tab w:val="left" w:pos="4962"/>
        </w:tabs>
        <w:ind w:firstLine="0"/>
        <w:jc w:val="left"/>
      </w:pPr>
      <w:r w:rsidRPr="006C40C1">
        <w:t>2002/03:N307 av Sven Gu</w:t>
      </w:r>
      <w:r w:rsidRPr="006C40C1">
        <w:t>n</w:t>
      </w:r>
      <w:r w:rsidRPr="006C40C1">
        <w:t>nar Persson m.fl. (kd) yrkande 3,</w:t>
      </w:r>
    </w:p>
    <w:p w:rsidR="00AA5D77" w:rsidRPr="006C40C1" w:rsidRDefault="00AA5D77">
      <w:pPr>
        <w:pStyle w:val="Normaltindrag"/>
        <w:tabs>
          <w:tab w:val="left" w:pos="1701"/>
          <w:tab w:val="left" w:pos="4962"/>
        </w:tabs>
        <w:ind w:firstLine="0"/>
        <w:jc w:val="left"/>
      </w:pPr>
      <w:r w:rsidRPr="006C40C1">
        <w:t>2002/03:Bo216 av Annelie Enochson (kd) yrkande 6 samt avslår övriga m</w:t>
      </w:r>
      <w:r w:rsidRPr="006C40C1">
        <w:t>o</w:t>
      </w:r>
      <w:r w:rsidRPr="006C40C1">
        <w:t xml:space="preserve">tionsyrkanden som finns upptagna i efterföljande </w:t>
      </w:r>
      <w:r w:rsidRPr="006C40C1">
        <w:rPr>
          <w:i/>
        </w:rPr>
        <w:t>förteckning över av utskottet i punkt 5 avstyrkta motionsyrkanden.</w:t>
      </w:r>
    </w:p>
    <w:p w:rsidR="00AA5D77" w:rsidRPr="006C40C1" w:rsidRDefault="00AA5D77">
      <w:pPr>
        <w:pStyle w:val="R4"/>
        <w:spacing w:before="500"/>
      </w:pPr>
      <w:r w:rsidRPr="006C40C1">
        <w:t>Ställningstagande</w:t>
      </w:r>
    </w:p>
    <w:p w:rsidR="00AA5D77" w:rsidRPr="006C40C1" w:rsidRDefault="00AA5D77">
      <w:pPr>
        <w:pStyle w:val="R2"/>
        <w:spacing w:before="250"/>
        <w:outlineLvl w:val="0"/>
      </w:pPr>
      <w:r w:rsidRPr="006C40C1">
        <w:t>Budgetpolitikens allmänna inriktning</w:t>
      </w:r>
    </w:p>
    <w:p w:rsidR="00AA5D77" w:rsidRPr="006C40C1" w:rsidRDefault="00AA5D77">
      <w:r w:rsidRPr="006C40C1">
        <w:t>Kristdemokraternas budgetalternativ tar sikte på att långsiktigt förbättra Sv</w:t>
      </w:r>
      <w:r w:rsidRPr="006C40C1">
        <w:t>e</w:t>
      </w:r>
      <w:r w:rsidRPr="006C40C1">
        <w:t>riges förutsättningar för tillväxt. Vi föreslår strukturella reformer och strat</w:t>
      </w:r>
      <w:r w:rsidRPr="006C40C1">
        <w:t>e</w:t>
      </w:r>
      <w:r w:rsidRPr="006C40C1">
        <w:t>giska skattesänkningar på arbete, sparande och företagande. Stabila och goda villkor för fler och växande företag kan då öka sysselsättningen, minska a</w:t>
      </w:r>
      <w:r w:rsidRPr="006C40C1">
        <w:t>r</w:t>
      </w:r>
      <w:r w:rsidRPr="006C40C1">
        <w:t>betslösheten och try</w:t>
      </w:r>
      <w:r w:rsidRPr="006C40C1">
        <w:t>g</w:t>
      </w:r>
      <w:r w:rsidRPr="006C40C1">
        <w:t>ga välfärden.</w:t>
      </w:r>
    </w:p>
    <w:p w:rsidR="00AA5D77" w:rsidRPr="006C40C1" w:rsidRDefault="00AA5D77">
      <w:pPr>
        <w:pStyle w:val="Normaltindrag"/>
      </w:pPr>
      <w:r w:rsidRPr="006C40C1">
        <w:t>Den statliga budgetpolitiken bör inriktas på ett bättre finansiellt sparande genom en stramare finanspolitik och på att minska statsskulden genom en snabbare utförsäljning av statliga företag. Genom en rad viktiga strukturr</w:t>
      </w:r>
      <w:r w:rsidRPr="006C40C1">
        <w:t>e</w:t>
      </w:r>
      <w:r w:rsidRPr="006C40C1">
        <w:t>former kombinerat med strategiska skattesänkningar finansierade med besp</w:t>
      </w:r>
      <w:r w:rsidRPr="006C40C1">
        <w:t>a</w:t>
      </w:r>
      <w:r w:rsidRPr="006C40C1">
        <w:t xml:space="preserve">ringar kommer vi att få till stånd mindre konjunkturkänsliga statsfinanser och bättre långsiktiga tillväxtmöjligheter. </w:t>
      </w:r>
    </w:p>
    <w:p w:rsidR="00AA5D77" w:rsidRPr="006C40C1" w:rsidRDefault="00AA5D77">
      <w:pPr>
        <w:pStyle w:val="Normaltindrag"/>
      </w:pPr>
      <w:r w:rsidRPr="006C40C1">
        <w:t>För att minska konjunkturkänsligheten i statens budget föreslår jag att r</w:t>
      </w:r>
      <w:r w:rsidRPr="006C40C1">
        <w:t>e</w:t>
      </w:r>
      <w:r w:rsidRPr="006C40C1">
        <w:t>geringen bör återkomma med förslag till riksdagen om hur nuvarande budge</w:t>
      </w:r>
      <w:r w:rsidRPr="006C40C1">
        <w:t>t</w:t>
      </w:r>
      <w:r w:rsidRPr="006C40C1">
        <w:t>politiska överskottsmål för offentlig sektor ska kompletteras med ett mål för statens finansiella sparande.</w:t>
      </w:r>
    </w:p>
    <w:p w:rsidR="00AA5D77" w:rsidRPr="006C40C1" w:rsidRDefault="00AA5D77">
      <w:pPr>
        <w:pStyle w:val="Normaltindrag"/>
      </w:pPr>
      <w:r w:rsidRPr="006C40C1">
        <w:t>Jag anser att det som anförs i Kristdemokraternas motion Fi233 om ett a</w:t>
      </w:r>
      <w:r w:rsidRPr="006C40C1">
        <w:t>n</w:t>
      </w:r>
      <w:r w:rsidRPr="006C40C1">
        <w:t>tal särskilt prioriterade områden bör styra inriktningen av budgetpolitiken. Sju områden ska vara särskilt prioriterade.</w:t>
      </w:r>
    </w:p>
    <w:p w:rsidR="00AA5D77" w:rsidRPr="006C40C1" w:rsidRDefault="00AA5D77">
      <w:pPr>
        <w:pStyle w:val="R2"/>
        <w:outlineLvl w:val="0"/>
      </w:pPr>
      <w:r w:rsidRPr="006C40C1">
        <w:t>Tillväxtpolitik</w:t>
      </w:r>
    </w:p>
    <w:p w:rsidR="00AA5D77" w:rsidRPr="006C40C1" w:rsidRDefault="00AA5D77">
      <w:r w:rsidRPr="006C40C1">
        <w:t>Den tillväxtpolitik som Kristdemokraterna förespråkar karakteriseras av en balanserad finanspolitik för sunda statsfinanser i kombination med strukt</w:t>
      </w:r>
      <w:r w:rsidRPr="006C40C1">
        <w:t>u</w:t>
      </w:r>
      <w:r w:rsidRPr="006C40C1">
        <w:t>rella åtgärder som förbättrar ekonomins funktionssätt. Bland de viktigaste av dessa åtgärder märks en allmän och obligatorisk arbetslöshetsförsäkring med en egenfinansieringsgrad på 33 % som kommer att skapa ett tydligare sa</w:t>
      </w:r>
      <w:r w:rsidRPr="006C40C1">
        <w:t>m</w:t>
      </w:r>
      <w:r w:rsidRPr="006C40C1">
        <w:t>band mellan lönebildning, arbetslöshet och avgifter för den enskilde. Andra åtgärder av betydelse för lönebildningen är en kraftig sänkning av skatten i vanliga inkomstlägen genom en höjning av grundavdraget i den kommunala beskat</w:t>
      </w:r>
      <w:r w:rsidRPr="006C40C1">
        <w:t>t</w:t>
      </w:r>
      <w:r w:rsidRPr="006C40C1">
        <w:t xml:space="preserve">ningen. Vidare införs ett statligt förvärvsavdrag på 5 </w:t>
      </w:r>
      <w:r w:rsidRPr="006C40C1">
        <w:t>%.</w:t>
      </w:r>
    </w:p>
    <w:p w:rsidR="00AA5D77" w:rsidRPr="006C40C1" w:rsidRDefault="00AA5D77">
      <w:pPr>
        <w:pStyle w:val="Normaltindrag"/>
      </w:pPr>
      <w:r w:rsidRPr="006C40C1">
        <w:t>Tjänstesektorn ges nya möjligheter att växa genom en 50-procentig skatt</w:t>
      </w:r>
      <w:r w:rsidRPr="006C40C1">
        <w:t>e</w:t>
      </w:r>
      <w:r w:rsidRPr="006C40C1">
        <w:t>reduktion för de privata hushållens köp av tjänster i det egna hemmet. Däru</w:t>
      </w:r>
      <w:r w:rsidRPr="006C40C1">
        <w:t>t</w:t>
      </w:r>
      <w:r w:rsidRPr="006C40C1">
        <w:t>över bör bl.a. arbetsgivaravgifterna sänkas med 7 procentenheter på lön</w:t>
      </w:r>
      <w:r w:rsidRPr="006C40C1">
        <w:t>e</w:t>
      </w:r>
      <w:r w:rsidRPr="006C40C1">
        <w:t>summor upp till 900 000 kr per år från 2004.</w:t>
      </w:r>
    </w:p>
    <w:p w:rsidR="00AA5D77" w:rsidRPr="006C40C1" w:rsidRDefault="00AA5D77">
      <w:pPr>
        <w:pStyle w:val="Normaltindrag"/>
      </w:pPr>
      <w:r w:rsidRPr="006C40C1">
        <w:t>Dessutom sänks dieselskatten kraftigt för jord- och skogsbruket i två steg ned till 53 öre per liter. Det motsvarar en sänkning med ca 2,60 kr per liter.</w:t>
      </w:r>
    </w:p>
    <w:p w:rsidR="00AA5D77" w:rsidRPr="006C40C1" w:rsidRDefault="00AA5D77">
      <w:pPr>
        <w:pStyle w:val="R2"/>
        <w:outlineLvl w:val="0"/>
      </w:pPr>
      <w:r w:rsidRPr="006C40C1">
        <w:t xml:space="preserve"> Skattepolitik</w:t>
      </w:r>
    </w:p>
    <w:p w:rsidR="00AA5D77" w:rsidRPr="006C40C1" w:rsidRDefault="00AA5D77">
      <w:r w:rsidRPr="006C40C1">
        <w:t>Kristdemokraterna ser det som en viktig uppgift att skapa en skattestruktur som gör att fler kan klara sig på sin egen lön och inte tvingas vara beroende av bidrag för att få hushållsekonomin att gå ihop. Därför föreslår vi en rad åtgärder som gör att inkomsttagare får bättre möjligheter att påverka och ta kontrollen över sin egen ekonomiska situation.</w:t>
      </w:r>
    </w:p>
    <w:p w:rsidR="00AA5D77" w:rsidRPr="006C40C1" w:rsidRDefault="00AA5D77">
      <w:pPr>
        <w:pStyle w:val="Normaltindrag"/>
      </w:pPr>
      <w:r w:rsidRPr="006C40C1">
        <w:t>Grundavdraget i den kommunala beskattningen höjs nästa år till 26 500 kr. Därigenom sänks inkomstskatten för alla med sammanlagt 16,8 miljarder kronor. Effekten för dem med lägst grundavdrag blir ca 385 kr/månad eller 4 600 kr/år.</w:t>
      </w:r>
    </w:p>
    <w:p w:rsidR="00AA5D77" w:rsidRPr="006C40C1" w:rsidRDefault="00AA5D77">
      <w:pPr>
        <w:pStyle w:val="Normaltindrag"/>
      </w:pPr>
      <w:r w:rsidRPr="006C40C1">
        <w:t>En skattereduktion bör göras för låg- och medelinkomsttagare på totalt 4 000 kr per person och år på pensionsgrundande förvärvsinkom</w:t>
      </w:r>
      <w:r w:rsidRPr="006C40C1">
        <w:t>s</w:t>
      </w:r>
      <w:r w:rsidRPr="006C40C1">
        <w:t>ter.</w:t>
      </w:r>
    </w:p>
    <w:p w:rsidR="00AA5D77" w:rsidRPr="006C40C1" w:rsidRDefault="00AA5D77">
      <w:pPr>
        <w:pStyle w:val="Normaltindrag"/>
      </w:pPr>
      <w:r w:rsidRPr="006C40C1">
        <w:t>I stället för regeringens förslag om kompensation för pensionsavgiften f</w:t>
      </w:r>
      <w:r w:rsidRPr="006C40C1">
        <w:t>ö</w:t>
      </w:r>
      <w:r w:rsidRPr="006C40C1">
        <w:t>reslås ett generellt statligt förvärvsavdrag på 5 %. Därigenom ges hushållen ett ökat ekonomiskt utrymme samtidigt som marginaleffekterna minskas.</w:t>
      </w:r>
    </w:p>
    <w:p w:rsidR="00AA5D77" w:rsidRPr="006C40C1" w:rsidRDefault="00AA5D77">
      <w:pPr>
        <w:pStyle w:val="Normaltindrag"/>
      </w:pPr>
      <w:r w:rsidRPr="006C40C1">
        <w:t>Kristdemokraterna föreslår också att regeringens värnskatt avskaffas. Värnskatten är ett brott både mot principerna i skattereformen 1990–91 och mot Sociald</w:t>
      </w:r>
      <w:r w:rsidRPr="006C40C1">
        <w:t>e</w:t>
      </w:r>
      <w:r w:rsidRPr="006C40C1">
        <w:t>mokraternas löfte att den skulle vara tillfällig.</w:t>
      </w:r>
    </w:p>
    <w:p w:rsidR="00AA5D77" w:rsidRPr="006C40C1" w:rsidRDefault="00AA5D77">
      <w:pPr>
        <w:pStyle w:val="Normaltindrag"/>
      </w:pPr>
      <w:r w:rsidRPr="006C40C1">
        <w:t>Den statliga fastighetsskatten avskaffas för småhus och bostadshyreshus. Reformen finansieras delvis genom att kommunerna ges rätt att ta ut avgifter för de kostnader man har som direkt härrör till de fastigheter som finns i kommunen. Därtill bör kapitalvinstskatten vid försäljning av privatbostäder höjas från 20 till 30 %. Inklusive den ökade kapitalvinstbeskattningen innebär förslagen ett minskat skatte- eller avgiftsuttag med ca 7 miljarder kronor.</w:t>
      </w:r>
    </w:p>
    <w:p w:rsidR="00AA5D77" w:rsidRPr="006C40C1" w:rsidRDefault="00AA5D77">
      <w:pPr>
        <w:pStyle w:val="Normaltindrag"/>
      </w:pPr>
      <w:r w:rsidRPr="006C40C1">
        <w:t xml:space="preserve"> Gränsen för reseavdraget till och från jobbet bör också sänkas från dagens 7 000 till 5 000 kr.</w:t>
      </w:r>
    </w:p>
    <w:p w:rsidR="00AA5D77" w:rsidRPr="006C40C1" w:rsidRDefault="00AA5D77">
      <w:pPr>
        <w:pStyle w:val="Normaltindrag"/>
        <w:rPr>
          <w:snapToGrid w:val="0"/>
          <w:lang w:eastAsia="sv-SE"/>
        </w:rPr>
      </w:pPr>
      <w:r w:rsidRPr="006C40C1">
        <w:rPr>
          <w:snapToGrid w:val="0"/>
          <w:lang w:eastAsia="sv-SE"/>
        </w:rPr>
        <w:t>Beräkningsramen för att undanröja s.k. pomperipossaeffekter enligt prop</w:t>
      </w:r>
      <w:r w:rsidRPr="006C40C1">
        <w:rPr>
          <w:snapToGrid w:val="0"/>
          <w:lang w:eastAsia="sv-SE"/>
        </w:rPr>
        <w:t>o</w:t>
      </w:r>
      <w:r w:rsidRPr="006C40C1">
        <w:rPr>
          <w:snapToGrid w:val="0"/>
          <w:lang w:eastAsia="sv-SE"/>
        </w:rPr>
        <w:t>sition 15 bör höjas till ca 300 miljoner kronor för att också inrymma ett åtgä</w:t>
      </w:r>
      <w:r w:rsidRPr="006C40C1">
        <w:rPr>
          <w:snapToGrid w:val="0"/>
          <w:lang w:eastAsia="sv-SE"/>
        </w:rPr>
        <w:t>r</w:t>
      </w:r>
      <w:r w:rsidRPr="006C40C1">
        <w:rPr>
          <w:snapToGrid w:val="0"/>
          <w:lang w:eastAsia="sv-SE"/>
        </w:rPr>
        <w:t>dande av de orimliga effekter som också uppstått vid försäljning av företag med annat vederlag än andelar i det köpande bol</w:t>
      </w:r>
      <w:r w:rsidRPr="006C40C1">
        <w:rPr>
          <w:snapToGrid w:val="0"/>
          <w:lang w:eastAsia="sv-SE"/>
        </w:rPr>
        <w:t>a</w:t>
      </w:r>
      <w:r w:rsidRPr="006C40C1">
        <w:rPr>
          <w:snapToGrid w:val="0"/>
          <w:lang w:eastAsia="sv-SE"/>
        </w:rPr>
        <w:t>get.</w:t>
      </w:r>
    </w:p>
    <w:p w:rsidR="00AA5D77" w:rsidRPr="006C40C1" w:rsidRDefault="00AA5D77">
      <w:pPr>
        <w:pStyle w:val="R2"/>
        <w:outlineLvl w:val="0"/>
      </w:pPr>
      <w:r w:rsidRPr="006C40C1">
        <w:t>En reformerad familjepolitik</w:t>
      </w:r>
    </w:p>
    <w:p w:rsidR="00AA5D77" w:rsidRPr="006C40C1" w:rsidRDefault="00AA5D77">
      <w:r w:rsidRPr="006C40C1">
        <w:t>Barnens och familjernas behov är utgångspunkten för familjepolitiken. Alla ska ha möjlighet att välja den barnomsorgsform som passar de egna förhå</w:t>
      </w:r>
      <w:r w:rsidRPr="006C40C1">
        <w:t>l</w:t>
      </w:r>
      <w:r w:rsidRPr="006C40C1">
        <w:t>landena bäst. Uppgiften för stat och kommun är att skapa ekonomiska och praktiska förutsättningar för detta. Eftersom behov och önskemål varierar över tid och mellan olika familjer måste samhällets stöd till barnfamiljer vara organiserat så att det kan användas på ett flexibelt sätt. Det gäller att hitta sådana modeller för valfrihet och mångfald som skapar de bästa förutsät</w:t>
      </w:r>
      <w:r w:rsidRPr="006C40C1">
        <w:t>t</w:t>
      </w:r>
      <w:r w:rsidRPr="006C40C1">
        <w:t xml:space="preserve">ningarna för föräldrarna och barnen. </w:t>
      </w:r>
    </w:p>
    <w:p w:rsidR="00AA5D77" w:rsidRPr="006C40C1" w:rsidRDefault="00AA5D77">
      <w:pPr>
        <w:pStyle w:val="Normaltindrag"/>
      </w:pPr>
      <w:r w:rsidRPr="006C40C1">
        <w:t>Genom att styra alla resurser till ett fåtal barnomsorgsformer har staten i praktiken tagit öve</w:t>
      </w:r>
      <w:r w:rsidRPr="006C40C1">
        <w:t>r beslut som familjerna själva borde fatta. Det familjepol</w:t>
      </w:r>
      <w:r w:rsidRPr="006C40C1">
        <w:t>i</w:t>
      </w:r>
      <w:r w:rsidRPr="006C40C1">
        <w:t>tiska system som byggts upp genom åren har flera brister. Fördelningspol</w:t>
      </w:r>
      <w:r w:rsidRPr="006C40C1">
        <w:t>i</w:t>
      </w:r>
      <w:r w:rsidRPr="006C40C1">
        <w:t>tiskt eftersom resurserna i stor utsträckning styrs mot redan resursstarka hu</w:t>
      </w:r>
      <w:r w:rsidRPr="006C40C1">
        <w:t>s</w:t>
      </w:r>
      <w:r w:rsidRPr="006C40C1">
        <w:t>håll genom exempelvis utformningen av föräldrapenningen, barnbidraget och maxtaxan. Från valfrihetssynpunkt genom att det familjepolitiska stödet inte medger flera alternativa barnomsorgsformer.</w:t>
      </w:r>
    </w:p>
    <w:p w:rsidR="00AA5D77" w:rsidRPr="006C40C1" w:rsidRDefault="00AA5D77">
      <w:pPr>
        <w:pStyle w:val="Normaltindrag"/>
      </w:pPr>
      <w:r w:rsidRPr="006C40C1">
        <w:t>Kristdemokraterna föreslår förändringar inom familjeområdet som bl.a. i</w:t>
      </w:r>
      <w:r w:rsidRPr="006C40C1">
        <w:t>n</w:t>
      </w:r>
      <w:r w:rsidRPr="006C40C1">
        <w:t>nebär att ett barnomsorgskonto på 80 000 kr för barn som fyller ett år införs. Garantinivån i föräldraförsäkringen höjs till 200 kr. Ersättningsnivån i föräl</w:t>
      </w:r>
      <w:r w:rsidRPr="006C40C1">
        <w:t>d</w:t>
      </w:r>
      <w:r w:rsidRPr="006C40C1">
        <w:t>raförsäkringen höjs till 90 % och ersättningstaket föreslås höjas till 11 pri</w:t>
      </w:r>
      <w:r w:rsidRPr="006C40C1">
        <w:t>s</w:t>
      </w:r>
      <w:r w:rsidRPr="006C40C1">
        <w:t>basbelopp. Viktiga förbättringar görs av bostadsbidraget för att gynna de sämst ställda barnfamiljerna. Förändringar görs också av SGI, dvs. berä</w:t>
      </w:r>
      <w:r w:rsidRPr="006C40C1">
        <w:t>k</w:t>
      </w:r>
      <w:r w:rsidRPr="006C40C1">
        <w:t>ningsgrunden för bl.a. föräldrapenningen så att ersättningsrätten bygger på de inkomster man faktiskt haft.</w:t>
      </w:r>
    </w:p>
    <w:p w:rsidR="00AA5D77" w:rsidRPr="006C40C1" w:rsidRDefault="00AA5D77">
      <w:pPr>
        <w:pStyle w:val="R2"/>
        <w:outlineLvl w:val="0"/>
      </w:pPr>
      <w:r w:rsidRPr="006C40C1">
        <w:t>Bättre pensioner</w:t>
      </w:r>
    </w:p>
    <w:p w:rsidR="00AA5D77" w:rsidRPr="006C40C1" w:rsidRDefault="00AA5D77">
      <w:r w:rsidRPr="006C40C1">
        <w:t xml:space="preserve">Regeringens okänsliga budgetsanering har drabbat många pensionärer hårt genom nedskärningarna och bristerna inom äldrevården samt de växande vårdköerna. Kristdemokraternas förslag leder till ökad rättvisa och en bättre ekonomisk situation för pensionärer. </w:t>
      </w:r>
    </w:p>
    <w:p w:rsidR="00AA5D77" w:rsidRPr="006C40C1" w:rsidRDefault="00AA5D77">
      <w:pPr>
        <w:pStyle w:val="Normaltindrag"/>
      </w:pPr>
      <w:r w:rsidRPr="006C40C1">
        <w:t>De ekonomiskt sämst ställda pensionärerna ska få 1 000 kr mer i månaden än vad de hade 2002. Detta motsvarar ca 700 kr efter skatt. År 2003 träder det nya pensionssystemet i kraft vad gäller den nya garantipensionen, som är högre än dagens folkpension och pensionstillskott. Alla pensionärer kommer att få sänkt skatt genom att det höjda grundavdrag som vi föreslår, till följd av pensionsreformen, omfattar hela pensionärskollektivet.</w:t>
      </w:r>
    </w:p>
    <w:p w:rsidR="00AA5D77" w:rsidRPr="006C40C1" w:rsidRDefault="00AA5D77">
      <w:pPr>
        <w:pStyle w:val="Normaltindrag"/>
      </w:pPr>
      <w:r w:rsidRPr="006C40C1">
        <w:t>Kristdemokraterna menar vidare att inkomstprövningen av bostadstillägget för pensionärer inte ska innehålla fritidsfastigheter. Omställningspensionen för efterleva</w:t>
      </w:r>
      <w:r w:rsidRPr="006C40C1">
        <w:t>n</w:t>
      </w:r>
      <w:r w:rsidRPr="006C40C1">
        <w:t>de ska återställas från 6 till 12 månader.</w:t>
      </w:r>
    </w:p>
    <w:p w:rsidR="00AA5D77" w:rsidRPr="006C40C1" w:rsidRDefault="00AA5D77">
      <w:pPr>
        <w:pStyle w:val="Rubrik2"/>
      </w:pPr>
      <w:bookmarkStart w:id="1052" w:name="_Toc26191693"/>
      <w:r w:rsidRPr="006C40C1">
        <w:t>Vården, omsorgen och utbildningsväsendet</w:t>
      </w:r>
      <w:bookmarkEnd w:id="1052"/>
    </w:p>
    <w:p w:rsidR="00AA5D77" w:rsidRPr="006C40C1" w:rsidRDefault="00AA5D77">
      <w:r w:rsidRPr="006C40C1">
        <w:t>Sjukvården och äldreomsorgen måste präglas av värdighet. Valfrihet, bättre utnyttjande av de ekonomiska resurserna men också mer pengar krävs för att skapa en värdig vård och omsorg. Kristdemokraternas förslag innebär att 3,5 miljarder kronor tillförs kommuner och landsting under de kommande två åren utöver regeringens förslag. Därtill kommer ett tillskott med 1 miljard kronor de närmaste två åren för den nationella vårdgarantin som Kristdem</w:t>
      </w:r>
      <w:r w:rsidRPr="006C40C1">
        <w:t>o</w:t>
      </w:r>
      <w:r w:rsidRPr="006C40C1">
        <w:t>kraterna föreslår tillsammans med Moderata samlingspartiet, Folkpartiet liber</w:t>
      </w:r>
      <w:r w:rsidRPr="006C40C1">
        <w:t>a</w:t>
      </w:r>
      <w:r w:rsidRPr="006C40C1">
        <w:t>lerna och Centerpartiet.</w:t>
      </w:r>
    </w:p>
    <w:p w:rsidR="00AA5D77" w:rsidRPr="006C40C1" w:rsidRDefault="00AA5D77">
      <w:pPr>
        <w:pStyle w:val="Normaltindrag"/>
      </w:pPr>
      <w:r w:rsidRPr="006C40C1">
        <w:t>Kommunerna bör själva få bestämma över sin verksamhet. Därför föreslår Kristdemokraterna att regeringens skolsatsning i stället bör utformas som en höjning av det generella statsbidraget till ko</w:t>
      </w:r>
      <w:r w:rsidRPr="006C40C1">
        <w:t>m</w:t>
      </w:r>
      <w:r w:rsidRPr="006C40C1">
        <w:t xml:space="preserve">muner. </w:t>
      </w:r>
    </w:p>
    <w:p w:rsidR="00AA5D77" w:rsidRPr="006C40C1" w:rsidRDefault="00AA5D77">
      <w:pPr>
        <w:pStyle w:val="Normaltindrag"/>
      </w:pPr>
      <w:r w:rsidRPr="006C40C1">
        <w:t>Villkoren för studerande bör förbättras. Höjning föreslås av studiebidraget för gymnasiestuderande. För högskolestuderande föreslår vi att bidragen ska utgöra en större andel av studiemedlen liksom att fribeloppet slopas. Även för vuxenstuderande förbättras studi</w:t>
      </w:r>
      <w:r w:rsidRPr="006C40C1">
        <w:t>e</w:t>
      </w:r>
      <w:r w:rsidRPr="006C40C1">
        <w:t>medlen.</w:t>
      </w:r>
    </w:p>
    <w:p w:rsidR="00AA5D77" w:rsidRPr="006C40C1" w:rsidRDefault="00AA5D77">
      <w:pPr>
        <w:pStyle w:val="Normaltindrag"/>
      </w:pPr>
      <w:r w:rsidRPr="006C40C1">
        <w:t xml:space="preserve">En helt ny rehabiliteringsförsäkring bör införas för att minska de höga ohälsotalen. Drygt 4 miljarder kronor satsas på detta de närmaste två åren. </w:t>
      </w:r>
    </w:p>
    <w:p w:rsidR="00AA5D77" w:rsidRPr="006C40C1" w:rsidRDefault="00AA5D77">
      <w:pPr>
        <w:pStyle w:val="Normaltindrag"/>
      </w:pPr>
      <w:r w:rsidRPr="006C40C1">
        <w:t>Ett förlängt särskilt stimulansbidrag inom äldreomsorgen bör gälla 2003 och 2004 för att i första hand förbättra situationen för anhörigvårdare.</w:t>
      </w:r>
    </w:p>
    <w:p w:rsidR="00AA5D77" w:rsidRPr="006C40C1" w:rsidRDefault="00AA5D77">
      <w:pPr>
        <w:pStyle w:val="R2"/>
        <w:outlineLvl w:val="0"/>
      </w:pPr>
      <w:r w:rsidRPr="006C40C1">
        <w:t>Ett återupprättat rättsväsende</w:t>
      </w:r>
    </w:p>
    <w:p w:rsidR="00AA5D77" w:rsidRPr="006C40C1" w:rsidRDefault="00AA5D77">
      <w:r w:rsidRPr="006C40C1">
        <w:t xml:space="preserve">Det krävs ökade resurser till rättsväsendet för att öka tryggheten, förebygga brott och hjälpa de kriminella att bryta sin kriminella bana. Vi vill jämfört med 2002 års nivå tillföra rättsväsendet, inklusive tull, kustbevakning och skattekontroll ytterligare 2,4 miljarder kronor den kommande tvåårsperioden, vilket är 1,7 miljarder kronor mer än regeringen. </w:t>
      </w:r>
    </w:p>
    <w:p w:rsidR="00AA5D77" w:rsidRPr="006C40C1" w:rsidRDefault="00AA5D77">
      <w:pPr>
        <w:pStyle w:val="Normaltindrag"/>
      </w:pPr>
      <w:r w:rsidRPr="006C40C1">
        <w:t>Förstärkningar sker i alla delar av rättskedjan. Det brottsförebyggande a</w:t>
      </w:r>
      <w:r w:rsidRPr="006C40C1">
        <w:t>r</w:t>
      </w:r>
      <w:r w:rsidRPr="006C40C1">
        <w:t>betet intensifieras. Närpolisverksamheten ska säkerställas och utvecklas. År 2007 ska det finnas 19 000 poliser. Antalet utbildningsplatser ska därför ökas kraftigt. Åklagarväsendet stärks för att klara ett ökat antal ärenden. Särskilda satsningar görs också på miljö- och ekobrottsåklagare. Domstolarna ska r</w:t>
      </w:r>
      <w:r w:rsidRPr="006C40C1">
        <w:t>e</w:t>
      </w:r>
      <w:r w:rsidRPr="006C40C1">
        <w:t xml:space="preserve">formeras och tillföras ökade resurser. Ökade resurser till kriminalvården ska möjliggöra meningsfulla insatser som kan leda till ett liv utan brottslighet. </w:t>
      </w:r>
    </w:p>
    <w:p w:rsidR="00AA5D77" w:rsidRPr="006C40C1" w:rsidRDefault="00AA5D77">
      <w:pPr>
        <w:pStyle w:val="R2"/>
        <w:outlineLvl w:val="0"/>
      </w:pPr>
      <w:r w:rsidRPr="006C40C1">
        <w:t>Upprustad infrastruktur</w:t>
      </w:r>
    </w:p>
    <w:p w:rsidR="00AA5D77" w:rsidRPr="006C40C1" w:rsidRDefault="00AA5D77">
      <w:r w:rsidRPr="006C40C1">
        <w:t xml:space="preserve">Kristdemokraterna satsar 4,3 miljarder kronor 2003 och 2004 på den nu snabbt förfallande svenska väg- och järnvägsinfrastrukturen. Medlen </w:t>
      </w:r>
      <w:r w:rsidRPr="006C40C1">
        <w:rPr>
          <w:snapToGrid w:val="0"/>
          <w:lang w:eastAsia="sv-SE"/>
        </w:rPr>
        <w:t>ska</w:t>
      </w:r>
      <w:r w:rsidRPr="006C40C1">
        <w:t xml:space="preserve"> användas såväl för investeringar som för förbättrat underhåll. Vi avstyrker  regeringens förslag till låneram i Riksgäldskontoret eftersom dessa investe</w:t>
      </w:r>
      <w:r w:rsidRPr="006C40C1">
        <w:t>r</w:t>
      </w:r>
      <w:r w:rsidRPr="006C40C1">
        <w:t xml:space="preserve">ingar inte ryms under utgiftstaket. Kristdemokraterna efterlyser ett program för investeringar i partnerskap med den privata sektorn. </w:t>
      </w:r>
    </w:p>
    <w:p w:rsidR="00AA5D77" w:rsidRPr="006C40C1" w:rsidRDefault="00AA5D77">
      <w:pPr>
        <w:pStyle w:val="Normaltindrag"/>
      </w:pPr>
      <w:r w:rsidRPr="006C40C1">
        <w:t>Anslagsmedel bör långsiktigt avsättas för investeringar i sjöfartens infr</w:t>
      </w:r>
      <w:r w:rsidRPr="006C40C1">
        <w:t>a</w:t>
      </w:r>
      <w:r w:rsidRPr="006C40C1">
        <w:t>struktur, för 2004 avsätts 100 miljoner kronor för detta ändamål.</w:t>
      </w:r>
    </w:p>
    <w:p w:rsidR="00AA5D77" w:rsidRPr="006C40C1" w:rsidRDefault="00AA5D77">
      <w:pPr>
        <w:pStyle w:val="Normaltindrag"/>
      </w:pPr>
      <w:r w:rsidRPr="006C40C1">
        <w:t>Kristdemokraterna föreslår vidare en  sänkning av dieselskatten med 25 öre per liter, vilket förbättrar den svenska transportsektorns förutsättningar att konkurrera med utländska åkare. Förslaget kommer även att medföra milj</w:t>
      </w:r>
      <w:r w:rsidRPr="006C40C1">
        <w:t>ö</w:t>
      </w:r>
      <w:r w:rsidRPr="006C40C1">
        <w:t xml:space="preserve">förbättringar då skattesänkningen avser den renare svenska dieseln. </w:t>
      </w:r>
    </w:p>
    <w:p w:rsidR="00AA5D77" w:rsidRPr="006C40C1" w:rsidRDefault="00AA5D77">
      <w:pPr>
        <w:pStyle w:val="R2"/>
        <w:outlineLvl w:val="0"/>
      </w:pPr>
      <w:r w:rsidRPr="006C40C1">
        <w:t>Finansiering av förslagen</w:t>
      </w:r>
    </w:p>
    <w:p w:rsidR="00AA5D77" w:rsidRPr="006C40C1" w:rsidRDefault="00AA5D77">
      <w:r w:rsidRPr="006C40C1">
        <w:t>Kristdemokraterna anser att det är nödvändigt med en budgeteringsmarginal som är större än den regeringen räknar med. De nya åtagandena i form av ökad budgeringsmarginal och utgiftsökningar samt skattesänkningarna avses bli finansierade genom utgiftsminskningar på statsbudgeten på netto 7 r</w:t>
      </w:r>
      <w:r w:rsidRPr="006C40C1">
        <w:t>e</w:t>
      </w:r>
      <w:r w:rsidRPr="006C40C1">
        <w:t>spektive 18 miljarder kronor åren 2003 och 2004. Exempel på utgiftsmins</w:t>
      </w:r>
      <w:r w:rsidRPr="006C40C1">
        <w:t>k</w:t>
      </w:r>
      <w:r w:rsidRPr="006C40C1">
        <w:t>ningar är en förändrad grund för beräkning av den sjukpenninggrundande inkomsten (SGI) liksom av arbetslöshetsersättningen. Ökad finansieringsgrad i a-kassan liksom flera andra reformer inom arbetsmarknadsområdet leder till minskade utgifter. Ytterligare utgiftsminskningar uppkommer till följd av en ny rehabiliteringsförsäkring och en ny trafikförsäkring. Kristdemokraterna räknar också med att den ökade utförsäljningen av statliga före</w:t>
      </w:r>
      <w:r w:rsidRPr="006C40C1">
        <w:t>tag ska leda till minskade utgifter för statsskuldsräntor. Besparingar görs även bl.a. på inv</w:t>
      </w:r>
      <w:r w:rsidRPr="006C40C1">
        <w:t>e</w:t>
      </w:r>
      <w:r w:rsidRPr="006C40C1">
        <w:t>steringar i försvarsmateriel, Regeringskansliet liksom på ett antal myndigh</w:t>
      </w:r>
      <w:r w:rsidRPr="006C40C1">
        <w:t>e</w:t>
      </w:r>
      <w:r w:rsidRPr="006C40C1">
        <w:t xml:space="preserve">ter. </w:t>
      </w:r>
    </w:p>
    <w:p w:rsidR="00AA5D77" w:rsidRPr="006C40C1" w:rsidRDefault="00AA5D77">
      <w:pPr>
        <w:pStyle w:val="Normaltindrag"/>
      </w:pPr>
      <w:r w:rsidRPr="006C40C1">
        <w:t>I det följande visas Kristdemokraternas förslag till fördelning på utgiftso</w:t>
      </w:r>
      <w:r w:rsidRPr="006C40C1">
        <w:t>m</w:t>
      </w:r>
      <w:r w:rsidRPr="006C40C1">
        <w:t>råden 2003.</w:t>
      </w:r>
    </w:p>
    <w:p w:rsidR="00AA5D77" w:rsidRPr="006C40C1" w:rsidRDefault="00AA5D77">
      <w:pPr>
        <w:pStyle w:val="Normaltindrag"/>
      </w:pPr>
      <w:r w:rsidRPr="006C40C1">
        <w:t xml:space="preserve">Sammanfattningsvis anser jag att Kristdemokraternas budgetförslag för 2003 bör ligga till grund för budgetpolitiken. Det innebär att jag tillstyrker motionerna </w:t>
      </w:r>
    </w:p>
    <w:p w:rsidR="00AA5D77" w:rsidRPr="006C40C1" w:rsidRDefault="00AA5D77">
      <w:pPr>
        <w:pStyle w:val="Normaltindrag"/>
        <w:tabs>
          <w:tab w:val="left" w:pos="1701"/>
          <w:tab w:val="left" w:pos="4962"/>
        </w:tabs>
        <w:ind w:firstLine="0"/>
      </w:pPr>
      <w:r w:rsidRPr="006C40C1">
        <w:t>2002/03:Fi229 av Ingvar Svensson (kd),</w:t>
      </w:r>
    </w:p>
    <w:p w:rsidR="00AA5D77" w:rsidRPr="006C40C1" w:rsidRDefault="00AA5D77">
      <w:pPr>
        <w:pStyle w:val="Normaltindrag"/>
        <w:tabs>
          <w:tab w:val="left" w:pos="1701"/>
          <w:tab w:val="left" w:pos="4962"/>
        </w:tabs>
        <w:ind w:firstLine="0"/>
      </w:pPr>
      <w:r w:rsidRPr="006C40C1">
        <w:t>2002/03:Fi233 av Alf  Svensson m.fl. (kd) yrkandena 7 och 11,</w:t>
      </w:r>
    </w:p>
    <w:p w:rsidR="00AA5D77" w:rsidRPr="006C40C1" w:rsidRDefault="00AA5D77">
      <w:pPr>
        <w:pStyle w:val="Normaltindrag"/>
        <w:tabs>
          <w:tab w:val="left" w:pos="1701"/>
          <w:tab w:val="left" w:pos="4962"/>
        </w:tabs>
        <w:ind w:firstLine="0"/>
        <w:jc w:val="left"/>
      </w:pPr>
      <w:r w:rsidRPr="006C40C1">
        <w:t>2002/03:Fi254 av Per Landgren m.fl. (kd) yrkandena 1–3,</w:t>
      </w:r>
    </w:p>
    <w:p w:rsidR="00AA5D77" w:rsidRPr="006C40C1" w:rsidRDefault="00AA5D77">
      <w:pPr>
        <w:pStyle w:val="Normaltindrag"/>
        <w:tabs>
          <w:tab w:val="left" w:pos="1701"/>
          <w:tab w:val="left" w:pos="4962"/>
        </w:tabs>
        <w:ind w:firstLine="0"/>
      </w:pPr>
      <w:r w:rsidRPr="006C40C1">
        <w:t>2002/03:Fi255 av Per Landgren m.fl. (kd) yrkandena 1, 6 och 7,</w:t>
      </w:r>
    </w:p>
    <w:p w:rsidR="00AA5D77" w:rsidRPr="006C40C1" w:rsidRDefault="00AA5D77">
      <w:pPr>
        <w:pStyle w:val="Normaltindrag"/>
        <w:tabs>
          <w:tab w:val="left" w:pos="1701"/>
          <w:tab w:val="left" w:pos="4962"/>
        </w:tabs>
        <w:ind w:firstLine="0"/>
        <w:jc w:val="left"/>
      </w:pPr>
      <w:r w:rsidRPr="006C40C1">
        <w:t xml:space="preserve">2002/03:Fi256 av Alf  Svensson m.fl. (kd) yrkandena 2–7, 12–14, 17–23 och </w:t>
      </w:r>
    </w:p>
    <w:p w:rsidR="00AA5D77" w:rsidRPr="006C40C1" w:rsidRDefault="00AA5D77">
      <w:pPr>
        <w:pStyle w:val="Normaltindrag"/>
        <w:tabs>
          <w:tab w:val="left" w:pos="1701"/>
          <w:tab w:val="left" w:pos="4962"/>
        </w:tabs>
        <w:ind w:firstLine="0"/>
        <w:jc w:val="left"/>
      </w:pPr>
      <w:r w:rsidRPr="006C40C1">
        <w:t>26–31,</w:t>
      </w:r>
    </w:p>
    <w:p w:rsidR="00AA5D77" w:rsidRPr="006C40C1" w:rsidRDefault="00AA5D77">
      <w:pPr>
        <w:pStyle w:val="Normaltindrag"/>
        <w:tabs>
          <w:tab w:val="left" w:pos="1701"/>
          <w:tab w:val="left" w:pos="4962"/>
        </w:tabs>
        <w:ind w:firstLine="0"/>
        <w:jc w:val="left"/>
      </w:pPr>
      <w:r w:rsidRPr="006C40C1">
        <w:t>2002/03:Sk383 av Per Lan</w:t>
      </w:r>
      <w:r w:rsidRPr="006C40C1">
        <w:t>d</w:t>
      </w:r>
      <w:r w:rsidRPr="006C40C1">
        <w:t>gren m.fl. (kd) yrkandena 2, 3, 6–9, 12 och 14,</w:t>
      </w:r>
    </w:p>
    <w:p w:rsidR="00AA5D77" w:rsidRPr="006C40C1" w:rsidRDefault="00AA5D77">
      <w:pPr>
        <w:pStyle w:val="Normaltindrag"/>
        <w:tabs>
          <w:tab w:val="left" w:pos="1701"/>
          <w:tab w:val="left" w:pos="4962"/>
        </w:tabs>
        <w:ind w:firstLine="0"/>
        <w:jc w:val="left"/>
      </w:pPr>
      <w:r w:rsidRPr="006C40C1">
        <w:t>2002/03:MJ377 av Lars Gu</w:t>
      </w:r>
      <w:r w:rsidRPr="006C40C1">
        <w:t>s</w:t>
      </w:r>
      <w:r w:rsidRPr="006C40C1">
        <w:t>tafsson m.fl. (kd) yrkande 2,</w:t>
      </w:r>
    </w:p>
    <w:p w:rsidR="00AA5D77" w:rsidRPr="006C40C1" w:rsidRDefault="00AA5D77">
      <w:pPr>
        <w:pStyle w:val="Normaltindrag"/>
        <w:tabs>
          <w:tab w:val="left" w:pos="1701"/>
          <w:tab w:val="left" w:pos="4962"/>
        </w:tabs>
        <w:ind w:firstLine="0"/>
      </w:pPr>
      <w:r w:rsidRPr="006C40C1">
        <w:t>2002/03:MJ432 av Alf  Svensson m.fl. (kd) yrkande 23,</w:t>
      </w:r>
    </w:p>
    <w:p w:rsidR="00AA5D77" w:rsidRPr="006C40C1" w:rsidRDefault="00AA5D77">
      <w:pPr>
        <w:pStyle w:val="Normaltindrag"/>
        <w:tabs>
          <w:tab w:val="left" w:pos="1701"/>
          <w:tab w:val="left" w:pos="4962"/>
        </w:tabs>
        <w:ind w:firstLine="0"/>
        <w:jc w:val="left"/>
      </w:pPr>
      <w:r w:rsidRPr="006C40C1">
        <w:t>2002/03:N307 av Sven Gu</w:t>
      </w:r>
      <w:r w:rsidRPr="006C40C1">
        <w:t>n</w:t>
      </w:r>
      <w:r w:rsidRPr="006C40C1">
        <w:t xml:space="preserve">nar Persson m.fl. (kd) yrkande 3 samt </w:t>
      </w:r>
    </w:p>
    <w:p w:rsidR="00AA5D77" w:rsidRPr="006C40C1" w:rsidRDefault="00AA5D77">
      <w:pPr>
        <w:pStyle w:val="Normaltindrag"/>
        <w:tabs>
          <w:tab w:val="left" w:pos="1701"/>
          <w:tab w:val="left" w:pos="4962"/>
        </w:tabs>
        <w:ind w:firstLine="0"/>
        <w:jc w:val="left"/>
      </w:pPr>
      <w:r w:rsidRPr="006C40C1">
        <w:t>2002/03:Bo216 av Annelie Enochson (kd) yrkande 6 med tillägg för den utökade beräkningsram vi förordar för att undanröja de s.k. pomperipossae</w:t>
      </w:r>
      <w:r w:rsidRPr="006C40C1">
        <w:t>f</w:t>
      </w:r>
      <w:r w:rsidRPr="006C40C1">
        <w:t xml:space="preserve">fekterna. </w:t>
      </w:r>
    </w:p>
    <w:p w:rsidR="00AA5D77" w:rsidRPr="006C40C1" w:rsidRDefault="00AA5D77">
      <w:pPr>
        <w:pStyle w:val="Normaltindrag"/>
      </w:pPr>
      <w:r w:rsidRPr="006C40C1">
        <w:t>Jag avstyrker regeringens förslag i berörda delar liksom de övriga m</w:t>
      </w:r>
      <w:r w:rsidRPr="006C40C1">
        <w:t>o</w:t>
      </w:r>
      <w:r w:rsidRPr="006C40C1">
        <w:t>tionsy</w:t>
      </w:r>
      <w:r w:rsidRPr="006C40C1">
        <w:t>r</w:t>
      </w:r>
      <w:r w:rsidRPr="006C40C1">
        <w:t>kandena som är aktuella i detta sammanhang.</w:t>
      </w:r>
    </w:p>
    <w:p w:rsidR="00AA5D77" w:rsidRPr="006C40C1" w:rsidRDefault="00AA5D77">
      <w:pPr>
        <w:pStyle w:val="Normaltindrag"/>
      </w:pPr>
    </w:p>
    <w:p w:rsidR="00AA5D77" w:rsidRPr="006C40C1" w:rsidRDefault="00AA5D77">
      <w:pPr>
        <w:pStyle w:val="FiU1tabellrubrik2000"/>
      </w:pPr>
      <w:r w:rsidRPr="006C40C1">
        <w:br w:type="page"/>
        <w:t>Tabell. Kristdemokraternas förslag till utgift</w:t>
      </w:r>
      <w:r w:rsidRPr="006C40C1">
        <w:t>s</w:t>
      </w:r>
      <w:r w:rsidRPr="006C40C1">
        <w:t>tak och utgiftsramar för 2003</w:t>
      </w:r>
    </w:p>
    <w:p w:rsidR="00AA5D77" w:rsidRPr="006C40C1" w:rsidRDefault="00AA5D77">
      <w:pPr>
        <w:pStyle w:val="Tabelltext"/>
        <w:keepNext/>
        <w:spacing w:after="40"/>
        <w:outlineLvl w:val="0"/>
        <w:rPr>
          <w:sz w:val="14"/>
        </w:rPr>
      </w:pPr>
      <w:r w:rsidRPr="006C40C1">
        <w:rPr>
          <w:sz w:val="14"/>
        </w:rPr>
        <w:t>Belopp i miljoner kronor</w:t>
      </w:r>
    </w:p>
    <w:p w:rsidR="00AA5D77" w:rsidRPr="006C40C1" w:rsidRDefault="006C40C1">
      <w:pPr>
        <w:pStyle w:val="Normaltindrag"/>
        <w:ind w:left="-227"/>
      </w:pPr>
      <w:r w:rsidRPr="006C40C1">
        <w:rPr>
          <w:noProof/>
        </w:rPr>
        <w:drawing>
          <wp:inline distT="0" distB="0" distL="0" distR="0">
            <wp:extent cx="3761105" cy="4707890"/>
            <wp:effectExtent l="0" t="0" r="0" b="0"/>
            <wp:docPr id="90" name="Bild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3761105" cy="4707890"/>
                    </a:xfrm>
                    <a:prstGeom prst="rect">
                      <a:avLst/>
                    </a:prstGeom>
                    <a:noFill/>
                    <a:ln>
                      <a:noFill/>
                    </a:ln>
                  </pic:spPr>
                </pic:pic>
              </a:graphicData>
            </a:graphic>
          </wp:inline>
        </w:drawing>
      </w:r>
    </w:p>
    <w:p w:rsidR="00AA5D77" w:rsidRPr="006C40C1" w:rsidRDefault="00AA5D77">
      <w:pPr>
        <w:pStyle w:val="Reservationspunkt"/>
        <w:rPr>
          <w:noProof w:val="0"/>
        </w:rPr>
      </w:pPr>
      <w:r w:rsidRPr="006C40C1">
        <w:rPr>
          <w:noProof w:val="0"/>
        </w:rPr>
        <w:br w:type="page"/>
      </w:r>
      <w:bookmarkStart w:id="1053" w:name="_Toc26191694"/>
      <w:r w:rsidRPr="006C40C1">
        <w:rPr>
          <w:noProof w:val="0"/>
        </w:rPr>
        <w:t>11.</w:t>
      </w:r>
      <w:r w:rsidRPr="006C40C1">
        <w:rPr>
          <w:noProof w:val="0"/>
        </w:rPr>
        <w:tab/>
        <w:t>Budgetförslagen för 2003 – avsnitten 2.4–2.12, 3 och 4.1, punkt 5 (c)</w:t>
      </w:r>
      <w:bookmarkEnd w:id="1053"/>
    </w:p>
    <w:p w:rsidR="00AA5D77" w:rsidRPr="006C40C1" w:rsidRDefault="00AA5D77">
      <w:pPr>
        <w:pStyle w:val="Reservanter"/>
      </w:pPr>
      <w:r w:rsidRPr="006C40C1">
        <w:t>av Lena Ek (c).</w:t>
      </w:r>
    </w:p>
    <w:p w:rsidR="00AA5D77" w:rsidRPr="006C40C1" w:rsidRDefault="00AA5D77">
      <w:pPr>
        <w:pStyle w:val="R4"/>
      </w:pPr>
      <w:r w:rsidRPr="006C40C1">
        <w:t>Förslag till riksdagsbeslut</w:t>
      </w:r>
    </w:p>
    <w:p w:rsidR="00AA5D77" w:rsidRPr="006C40C1" w:rsidRDefault="00AA5D77">
      <w:r w:rsidRPr="006C40C1">
        <w:t>Jag anser att utskottets förslag under punkt 5 borde ha följande lydelse:</w:t>
      </w:r>
    </w:p>
    <w:p w:rsidR="00AA5D77" w:rsidRPr="006C40C1" w:rsidRDefault="00AA5D77">
      <w:pPr>
        <w:pStyle w:val="R4"/>
      </w:pPr>
      <w:r w:rsidRPr="006C40C1">
        <w:t>5. Budgetförslagen för 2003</w:t>
      </w:r>
    </w:p>
    <w:p w:rsidR="00AA5D77" w:rsidRPr="006C40C1" w:rsidRDefault="00AA5D77">
      <w:pPr>
        <w:tabs>
          <w:tab w:val="left" w:pos="284"/>
          <w:tab w:val="num" w:pos="360"/>
        </w:tabs>
        <w:ind w:left="360" w:hanging="360"/>
        <w:rPr>
          <w:i/>
        </w:rPr>
      </w:pPr>
      <w:r w:rsidRPr="006C40C1">
        <w:rPr>
          <w:i/>
        </w:rPr>
        <w:t>a) Utgiftstak för staten 2002–2004 (avsnitt 2.5.1)</w:t>
      </w:r>
    </w:p>
    <w:p w:rsidR="00AA5D77" w:rsidRPr="006C40C1" w:rsidRDefault="00AA5D77">
      <w:pPr>
        <w:pStyle w:val="Reservantfrslag"/>
      </w:pPr>
      <w:r w:rsidRPr="006C40C1">
        <w:t xml:space="preserve">Riksdagen fastställer utgiftstaket för staten inklusive ålderspensionssystemet vid sidan av statsbudgeten till 784 miljarder kronor 2003 och 815 miljarder kronor 2004. Därmed bifaller riksdagen motion 2002/03:Fi234 av Maud Olofsson m.fl. (c) yrkande 3 och avslår proposition 2002/03:1 punkt 2 samt övriga motionsyrkanden som finns upptagna under punkt 5 a i efterföljande </w:t>
      </w:r>
      <w:r w:rsidRPr="006C40C1">
        <w:rPr>
          <w:i/>
        </w:rPr>
        <w:t>förteckning över av utskottet i punkt 5 avstyrkta motionsyrka</w:t>
      </w:r>
      <w:r w:rsidRPr="006C40C1">
        <w:rPr>
          <w:i/>
        </w:rPr>
        <w:t>n</w:t>
      </w:r>
      <w:r w:rsidRPr="006C40C1">
        <w:rPr>
          <w:i/>
        </w:rPr>
        <w:t>den.</w:t>
      </w:r>
    </w:p>
    <w:p w:rsidR="00AA5D77" w:rsidRPr="006C40C1" w:rsidRDefault="00AA5D77">
      <w:pPr>
        <w:pStyle w:val="Reservantfrslag"/>
        <w:spacing w:before="120"/>
        <w:rPr>
          <w:i/>
        </w:rPr>
      </w:pPr>
      <w:r w:rsidRPr="006C40C1">
        <w:rPr>
          <w:i/>
        </w:rPr>
        <w:t>b) Beräkning av den offentliga sektorns utgifter åren 2003 och 2004 (avsnitt 2.5.2)</w:t>
      </w:r>
    </w:p>
    <w:p w:rsidR="00AA5D77" w:rsidRPr="006C40C1" w:rsidRDefault="00AA5D77">
      <w:pPr>
        <w:pStyle w:val="Normaltindrag"/>
        <w:tabs>
          <w:tab w:val="left" w:pos="1701"/>
          <w:tab w:val="left" w:pos="4962"/>
        </w:tabs>
        <w:ind w:firstLine="0"/>
        <w:rPr>
          <w:b/>
        </w:rPr>
      </w:pPr>
      <w:r w:rsidRPr="006C40C1">
        <w:t>Riksdagen godkänner den reviderade beräkningen av de offentliga utgifterna för åren 2003 och 2004 som redovisas i reservation 11. Därmed bifaller rik</w:t>
      </w:r>
      <w:r w:rsidRPr="006C40C1">
        <w:t>s</w:t>
      </w:r>
      <w:r w:rsidRPr="006C40C1">
        <w:t>dagen delvis proposition 2002/03:1 punkt 3.</w:t>
      </w:r>
    </w:p>
    <w:p w:rsidR="00AA5D77" w:rsidRPr="006C40C1" w:rsidRDefault="00AA5D77">
      <w:pPr>
        <w:pStyle w:val="Reservantfrslag"/>
        <w:spacing w:before="120"/>
        <w:rPr>
          <w:i/>
        </w:rPr>
      </w:pPr>
      <w:r w:rsidRPr="006C40C1">
        <w:rPr>
          <w:i/>
        </w:rPr>
        <w:t>c) Fördelning av statsbudgetens utgifter på utgiftsområden 2003 (avsnitt 2.6)</w:t>
      </w:r>
    </w:p>
    <w:p w:rsidR="00AA5D77" w:rsidRPr="006C40C1" w:rsidRDefault="00AA5D77">
      <w:pPr>
        <w:pStyle w:val="Reservantfrslag"/>
      </w:pPr>
      <w:r w:rsidRPr="006C40C1">
        <w:t>Riksdagen beslutar om fördelning av utgifterna för budgetåret 2003 på u</w:t>
      </w:r>
      <w:r w:rsidRPr="006C40C1">
        <w:t>t</w:t>
      </w:r>
      <w:r w:rsidRPr="006C40C1">
        <w:t>giftsområden enligt det med reservation 11 betecknade förslaget i efterfölja</w:t>
      </w:r>
      <w:r w:rsidRPr="006C40C1">
        <w:t>n</w:t>
      </w:r>
      <w:r w:rsidRPr="006C40C1">
        <w:t xml:space="preserve">de </w:t>
      </w:r>
      <w:r w:rsidRPr="006C40C1">
        <w:rPr>
          <w:i/>
        </w:rPr>
        <w:t>sammanställning över statsbudgetens utgifter och inkomster</w:t>
      </w:r>
      <w:r w:rsidRPr="006C40C1">
        <w:t xml:space="preserve">. Därmed bifaller riksdagen motion 2002/03:Fi234 av Maud Olofsson m.fl. (c) yrkande 6 och avslår proposition 2002/03:1 punkt 8, motion 2002/03:Fi230 av Britt Bohlin m.fl. (s, v, mp) yrkande 1 samt övriga motionsyrkanden som finns upptagna under punkt 5 c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pStyle w:val="Reservantfrslag"/>
        <w:spacing w:before="120"/>
        <w:rPr>
          <w:i/>
        </w:rPr>
      </w:pPr>
      <w:r w:rsidRPr="006C40C1">
        <w:rPr>
          <w:i/>
        </w:rPr>
        <w:t>d) Förändringar av anslagsbehållnin</w:t>
      </w:r>
      <w:r w:rsidRPr="006C40C1">
        <w:rPr>
          <w:i/>
        </w:rPr>
        <w:t>gar för 2003 (avsnitt 2.8)</w:t>
      </w:r>
    </w:p>
    <w:p w:rsidR="00AA5D77" w:rsidRPr="006C40C1" w:rsidRDefault="00AA5D77">
      <w:pPr>
        <w:pStyle w:val="Normaltindrag"/>
        <w:tabs>
          <w:tab w:val="left" w:pos="1701"/>
          <w:tab w:val="left" w:pos="4962"/>
        </w:tabs>
        <w:ind w:firstLine="0"/>
      </w:pPr>
      <w:r w:rsidRPr="006C40C1">
        <w:t>=utskottet</w:t>
      </w:r>
    </w:p>
    <w:p w:rsidR="00AA5D77" w:rsidRPr="006C40C1" w:rsidRDefault="00AA5D77">
      <w:pPr>
        <w:pStyle w:val="Reservantfrslag"/>
        <w:spacing w:before="120"/>
        <w:rPr>
          <w:i/>
        </w:rPr>
      </w:pPr>
      <w:r w:rsidRPr="006C40C1">
        <w:rPr>
          <w:i/>
        </w:rPr>
        <w:t>e) Myndigheternas in- och utlåning i Riksgäldskontoret (avsnitt 2.9)</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f) Kassamässig korrigering (avsnitt 2.10)</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g) Beskattning av förvärvsinkomster (avsnitt 3.3.1)</w:t>
      </w:r>
    </w:p>
    <w:p w:rsidR="00AA5D77" w:rsidRPr="006C40C1" w:rsidRDefault="00AA5D77">
      <w:pPr>
        <w:pStyle w:val="Reservantfrslag"/>
      </w:pPr>
      <w:r w:rsidRPr="006C40C1">
        <w:t>Riksdagen godkänner vad som anförs i reservation 11 om inkomstskatten för 2003. Därmed bifaller riksdagen motion 2002/03:Fi286 av Maud Olofsson m.fl. (c) yrkandena 2–4 samt avslår proposition 2002/03:1 punkt 27 i denna del, motion 2002/03:Fi230 av Britt Bohlin m.fl. (s, v, mp) yrkande 12 i denna del och övriga motionsyrkanden som finns upptagna under punkt 5 g i efte</w:t>
      </w:r>
      <w:r w:rsidRPr="006C40C1">
        <w:t>r</w:t>
      </w:r>
      <w:r w:rsidRPr="006C40C1">
        <w:t xml:space="preserve">följande </w:t>
      </w:r>
      <w:r w:rsidRPr="006C40C1">
        <w:rPr>
          <w:i/>
        </w:rPr>
        <w:t>förteckning över av utskottet i punkt 5 avstyrkta motionsyrka</w:t>
      </w:r>
      <w:r w:rsidRPr="006C40C1">
        <w:rPr>
          <w:i/>
        </w:rPr>
        <w:t>n</w:t>
      </w:r>
      <w:r w:rsidRPr="006C40C1">
        <w:rPr>
          <w:i/>
        </w:rPr>
        <w:t>den.</w:t>
      </w:r>
    </w:p>
    <w:p w:rsidR="00AA5D77" w:rsidRPr="006C40C1" w:rsidRDefault="00AA5D77">
      <w:pPr>
        <w:pStyle w:val="Reservantfrslag"/>
        <w:spacing w:before="120"/>
        <w:rPr>
          <w:i/>
        </w:rPr>
      </w:pPr>
      <w:r w:rsidRPr="006C40C1">
        <w:rPr>
          <w:i/>
        </w:rPr>
        <w:t>h) Det fasta beloppet vid beskattningen av förvärvsinkomster (a</w:t>
      </w:r>
      <w:r w:rsidRPr="006C40C1">
        <w:rPr>
          <w:i/>
        </w:rPr>
        <w:t>v</w:t>
      </w:r>
      <w:r w:rsidRPr="006C40C1">
        <w:rPr>
          <w:i/>
        </w:rPr>
        <w:t>snitt 3.3.2)</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i) Beskattning av sjömän i det nordiska dubbelbeskattningsavtalet (avsnitt 3.3.3)</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j) Förmånsbeskattning av miljövänliga bilar (avsnitt 3.3.4)</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k) Förändrade nivåer för socialavgifter (3.5)</w:t>
      </w:r>
    </w:p>
    <w:p w:rsidR="00AA5D77" w:rsidRPr="006C40C1" w:rsidRDefault="00AA5D77">
      <w:pPr>
        <w:pStyle w:val="Reservantfrslag"/>
      </w:pPr>
      <w:r w:rsidRPr="006C40C1">
        <w:t>Riksdagen godkänner vad som anfört i reservation 11 om social- och arbet</w:t>
      </w:r>
      <w:r w:rsidRPr="006C40C1">
        <w:t>s</w:t>
      </w:r>
      <w:r w:rsidRPr="006C40C1">
        <w:t>givaravgifter. Därmed bifaller riksdagen motion 2002/03:Fi286 av Maud Olofsson m.fl. (c) yrkandena 18–20 och avslår proposition 2002/03:1 pun</w:t>
      </w:r>
      <w:r w:rsidRPr="006C40C1">
        <w:t>k</w:t>
      </w:r>
      <w:r w:rsidRPr="006C40C1">
        <w:t xml:space="preserve">terna 28 och 29, båda i denna del, samt övriga motionsyrkanden som finns upptagna under punkt 5 k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pStyle w:val="Reservantfrslag"/>
        <w:spacing w:before="120"/>
        <w:rPr>
          <w:i/>
        </w:rPr>
      </w:pPr>
      <w:r w:rsidRPr="006C40C1">
        <w:rPr>
          <w:i/>
        </w:rPr>
        <w:t>l) Skatt på lågpriscigaretter (avsnitt 3.7.3)</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m) Privatinförsel av alkoholdrycker och tobaksvaror (avsnitt 3.7.4)</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n) En fortsatt grön skatteväxling – höjd koldioxidskatt och elskatt  (avsnitt 3.7.6)</w:t>
      </w:r>
    </w:p>
    <w:p w:rsidR="00AA5D77" w:rsidRPr="006C40C1" w:rsidRDefault="00AA5D77">
      <w:pPr>
        <w:pStyle w:val="Reservantfrslag"/>
      </w:pPr>
      <w:r w:rsidRPr="006C40C1">
        <w:t>Riksdagen godkänner vad som anförs i reservation 11 om höjd koldioxidskatt och elskatt. Därmed bifaller riksdagen motion 2002/03:Fi286 av Maud Olof</w:t>
      </w:r>
      <w:r w:rsidRPr="006C40C1">
        <w:t>s</w:t>
      </w:r>
      <w:r w:rsidRPr="006C40C1">
        <w:t xml:space="preserve">son m.fl. (c) yrkandena 25 och 26 samt bifaller delvis proposition 2002/03:1 punkt 33 i denna del och motion 2002/03:Fi230 av Britt Bohlin m.fl. (s, v, mp) yrkande 12 i denna del samt övriga motionsyrkanden som finns upptagna under punkt 5 n i efterföljande </w:t>
      </w:r>
      <w:r w:rsidRPr="006C40C1">
        <w:rPr>
          <w:i/>
        </w:rPr>
        <w:t>förteckning över av utskottet i punkt 5 a</w:t>
      </w:r>
      <w:r w:rsidRPr="006C40C1">
        <w:rPr>
          <w:i/>
        </w:rPr>
        <w:t>v</w:t>
      </w:r>
      <w:r w:rsidRPr="006C40C1">
        <w:rPr>
          <w:i/>
        </w:rPr>
        <w:t>styrkta motionsyrka</w:t>
      </w:r>
      <w:r w:rsidRPr="006C40C1">
        <w:rPr>
          <w:i/>
        </w:rPr>
        <w:t>n</w:t>
      </w:r>
      <w:r w:rsidRPr="006C40C1">
        <w:rPr>
          <w:i/>
        </w:rPr>
        <w:t>den.</w:t>
      </w:r>
    </w:p>
    <w:p w:rsidR="00AA5D77" w:rsidRPr="006C40C1" w:rsidRDefault="00AA5D77">
      <w:pPr>
        <w:pStyle w:val="Reservantfrslag"/>
        <w:spacing w:before="120"/>
        <w:jc w:val="left"/>
        <w:rPr>
          <w:b/>
        </w:rPr>
      </w:pPr>
      <w:r w:rsidRPr="006C40C1">
        <w:rPr>
          <w:i/>
        </w:rPr>
        <w:t>o) Kraftvärmebeskattningen (avsnitt 3.7.7)</w:t>
      </w:r>
      <w:r w:rsidRPr="006C40C1">
        <w:rPr>
          <w:i/>
        </w:rPr>
        <w:br/>
      </w:r>
      <w:r w:rsidRPr="006C40C1">
        <w:t>=utskottet</w:t>
      </w:r>
    </w:p>
    <w:p w:rsidR="00AA5D77" w:rsidRPr="006C40C1" w:rsidRDefault="00AA5D77">
      <w:pPr>
        <w:pStyle w:val="Reservantfrslag"/>
        <w:spacing w:before="120"/>
        <w:rPr>
          <w:i/>
        </w:rPr>
      </w:pPr>
      <w:r w:rsidRPr="006C40C1">
        <w:rPr>
          <w:i/>
        </w:rPr>
        <w:t>p) Kalk- och cementbranschens koldioxidskatt (avsnitt 3.7.8)</w:t>
      </w:r>
    </w:p>
    <w:p w:rsidR="00AA5D77" w:rsidRPr="006C40C1" w:rsidRDefault="00AA5D77">
      <w:pPr>
        <w:pStyle w:val="Reservantfrslag"/>
      </w:pPr>
      <w:r w:rsidRPr="006C40C1">
        <w:t>=utskottet</w:t>
      </w:r>
    </w:p>
    <w:p w:rsidR="00AA5D77" w:rsidRPr="006C40C1" w:rsidRDefault="00AA5D77">
      <w:pPr>
        <w:pStyle w:val="Reservantfrslag"/>
        <w:spacing w:before="120"/>
        <w:rPr>
          <w:i/>
        </w:rPr>
      </w:pPr>
      <w:r w:rsidRPr="006C40C1">
        <w:rPr>
          <w:i/>
        </w:rPr>
        <w:t>q) Grön skatteväxling – höjd avfallsskatt (avsnitt 3.7.12)</w:t>
      </w:r>
    </w:p>
    <w:p w:rsidR="00AA5D77" w:rsidRPr="006C40C1" w:rsidRDefault="00AA5D77">
      <w:pPr>
        <w:pStyle w:val="Reservantfrslag"/>
      </w:pPr>
      <w:r w:rsidRPr="006C40C1">
        <w:t>Riksdagen godkänner vad som anförs i reservation 11 om höjd skatt på avfall. Därmed bifaller riksdagen motion 2002/03:Fi286 av Maud Olofsson m.fl. (c) yrkande 27 och avslår proposition 2002/03:1 punkt 34 i denna del, motion 2002/03:Fi230 av Britt Bohlin m.fl. (s, v, mp) yrkande 15 samt övriga m</w:t>
      </w:r>
      <w:r w:rsidRPr="006C40C1">
        <w:t>o</w:t>
      </w:r>
      <w:r w:rsidRPr="006C40C1">
        <w:t xml:space="preserve">tionsyrkanden som finns upptagna under punkt 5 q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pStyle w:val="Reservantfrslag"/>
        <w:spacing w:before="120"/>
        <w:rPr>
          <w:i/>
        </w:rPr>
      </w:pPr>
      <w:r w:rsidRPr="006C40C1">
        <w:rPr>
          <w:i/>
        </w:rPr>
        <w:t>r) Grön skatteväxling – höjd naturgrusskatt (avsnitt 3.7.13)</w:t>
      </w:r>
    </w:p>
    <w:p w:rsidR="00AA5D77" w:rsidRPr="006C40C1" w:rsidRDefault="00AA5D77">
      <w:pPr>
        <w:pStyle w:val="Normaltindrag"/>
        <w:tabs>
          <w:tab w:val="left" w:pos="1701"/>
          <w:tab w:val="left" w:pos="4962"/>
        </w:tabs>
        <w:ind w:firstLine="0"/>
        <w:jc w:val="left"/>
      </w:pPr>
      <w:r w:rsidRPr="006C40C1">
        <w:t>=utskottet</w:t>
      </w:r>
    </w:p>
    <w:p w:rsidR="00AA5D77" w:rsidRPr="006C40C1" w:rsidRDefault="00AA5D77">
      <w:pPr>
        <w:pStyle w:val="Reservantfrslag"/>
        <w:spacing w:before="120"/>
        <w:rPr>
          <w:i/>
        </w:rPr>
      </w:pPr>
      <w:r w:rsidRPr="006C40C1">
        <w:rPr>
          <w:i/>
        </w:rPr>
        <w:t>s) Bredbandsinstallation (avsnitt 3.8.1)</w:t>
      </w:r>
    </w:p>
    <w:p w:rsidR="00AA5D77" w:rsidRPr="006C40C1" w:rsidRDefault="00AA5D77">
      <w:pPr>
        <w:pStyle w:val="Reservantfrslag"/>
      </w:pPr>
      <w:r w:rsidRPr="006C40C1">
        <w:t>Riksdagen godkänner vad som anförs i reservation 11 om skattereduktion för utgifter för vissa anslutningar för tele- och datakommunikation. Därmed bifaller riksdagen motion 2002/03:Fi286 av Maud Olofsson m.fl. (c) yrkande 33 och avslår proposition 2002/03:1 punkt 30 i denna del samt övriga m</w:t>
      </w:r>
      <w:r w:rsidRPr="006C40C1">
        <w:t>o</w:t>
      </w:r>
      <w:r w:rsidRPr="006C40C1">
        <w:t xml:space="preserve">tionsyrkanden som finns upptagna under punkt 5 s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pStyle w:val="Reservantfrslag"/>
        <w:spacing w:before="120"/>
        <w:rPr>
          <w:i/>
        </w:rPr>
      </w:pPr>
      <w:r w:rsidRPr="006C40C1">
        <w:rPr>
          <w:i/>
        </w:rPr>
        <w:t>t) Miljöförbättrande åtgärder på bostäder (avsnitt 3.8.2)</w:t>
      </w:r>
    </w:p>
    <w:p w:rsidR="00AA5D77" w:rsidRPr="006C40C1" w:rsidRDefault="00AA5D77">
      <w:pPr>
        <w:pStyle w:val="Normaltindrag"/>
        <w:tabs>
          <w:tab w:val="left" w:pos="1701"/>
          <w:tab w:val="left" w:pos="4962"/>
        </w:tabs>
        <w:ind w:firstLine="0"/>
        <w:jc w:val="left"/>
      </w:pPr>
      <w:r w:rsidRPr="006C40C1">
        <w:t>=utskottet</w:t>
      </w:r>
    </w:p>
    <w:p w:rsidR="00AA5D77" w:rsidRPr="006C40C1" w:rsidRDefault="00AA5D77">
      <w:pPr>
        <w:pStyle w:val="Reservantfrslag"/>
        <w:spacing w:before="120"/>
        <w:rPr>
          <w:i/>
        </w:rPr>
      </w:pPr>
      <w:r w:rsidRPr="006C40C1">
        <w:rPr>
          <w:i/>
        </w:rPr>
        <w:t>u) Beräkning av statsbudgetens inkomster för 2003 (avsnitt 3.10)</w:t>
      </w:r>
    </w:p>
    <w:p w:rsidR="00AA5D77" w:rsidRPr="006C40C1" w:rsidRDefault="00AA5D77">
      <w:pPr>
        <w:pStyle w:val="Reservantfrslag"/>
      </w:pPr>
      <w:r w:rsidRPr="006C40C1">
        <w:t xml:space="preserve">Riksdagen godkänner beräkningen av statsbudgetens inkomster för 2003 enligt det med reservation 11 betecknade förslaget i den </w:t>
      </w:r>
      <w:r w:rsidRPr="006C40C1">
        <w:rPr>
          <w:i/>
        </w:rPr>
        <w:t xml:space="preserve">sammanställning över statsbudgetens utgifter och inkomster </w:t>
      </w:r>
      <w:r w:rsidRPr="006C40C1">
        <w:t xml:space="preserve">som följer efter utskottets förslag till riksdagsbeslut. Därmed bifaller riksdagen motion 2002/03:Fi234 av Maud Olofsson m.fl. (c) yrkande 11 och avslår proposition 2002/03:1 punkt 7 samt övriga motionsyrkanden som finns upptagna under punkt 5 u i efterföljande </w:t>
      </w:r>
      <w:r w:rsidRPr="006C40C1">
        <w:rPr>
          <w:i/>
        </w:rPr>
        <w:t>förteckning över av utskottet i punkt 5 avstyrkta motionsy</w:t>
      </w:r>
      <w:r w:rsidRPr="006C40C1">
        <w:rPr>
          <w:i/>
        </w:rPr>
        <w:t>r</w:t>
      </w:r>
      <w:r w:rsidRPr="006C40C1">
        <w:rPr>
          <w:i/>
        </w:rPr>
        <w:t>kanden.</w:t>
      </w:r>
    </w:p>
    <w:p w:rsidR="00AA5D77" w:rsidRPr="006C40C1" w:rsidRDefault="00AA5D77">
      <w:pPr>
        <w:pStyle w:val="Reservantfrslag"/>
        <w:spacing w:before="120"/>
        <w:rPr>
          <w:i/>
        </w:rPr>
      </w:pPr>
      <w:r w:rsidRPr="006C40C1">
        <w:rPr>
          <w:i/>
        </w:rPr>
        <w:t>v) Ålderspensionssystemet vid sidan av statsbudgeten (avsnitt 4.1.28)</w:t>
      </w:r>
    </w:p>
    <w:p w:rsidR="00AA5D77" w:rsidRPr="006C40C1" w:rsidRDefault="00AA5D77">
      <w:pPr>
        <w:spacing w:before="0"/>
      </w:pPr>
      <w:r w:rsidRPr="006C40C1">
        <w:t>=utskottet</w:t>
      </w:r>
    </w:p>
    <w:p w:rsidR="00AA5D77" w:rsidRPr="006C40C1" w:rsidRDefault="00AA5D77">
      <w:pPr>
        <w:pStyle w:val="Reservantfrslag"/>
        <w:spacing w:before="120"/>
        <w:rPr>
          <w:i/>
        </w:rPr>
      </w:pPr>
      <w:r w:rsidRPr="006C40C1">
        <w:rPr>
          <w:i/>
        </w:rPr>
        <w:t>x) Övriga motionsyrkanden om budgetförslagen för 2003</w:t>
      </w:r>
    </w:p>
    <w:p w:rsidR="00AA5D77" w:rsidRPr="006C40C1" w:rsidRDefault="00AA5D77">
      <w:pPr>
        <w:pStyle w:val="Reservantfrslag"/>
      </w:pPr>
      <w:r w:rsidRPr="006C40C1">
        <w:t>Riksdagen tillkännager för regeringen som sin mening vad som anförs i r</w:t>
      </w:r>
      <w:r w:rsidRPr="006C40C1">
        <w:t>e</w:t>
      </w:r>
      <w:r w:rsidRPr="006C40C1">
        <w:t>servation 11 om skattepolitikens inriktning, försäljning av statlig verksamhet, slopad skattereduktion för pensions- och fackföreningsavgift, avdragsgill pensionsavgift, höjt reseavdrag inklusive resor till barnomsorg, skatteredu</w:t>
      </w:r>
      <w:r w:rsidRPr="006C40C1">
        <w:t>k</w:t>
      </w:r>
      <w:r w:rsidRPr="006C40C1">
        <w:t>tion för hushållstjänster, ändrad förmögenhetsbeskattning, avdragsrätt för starta- eget-sparande och riskkapital, ändrad beskattning på aktier vid andel</w:t>
      </w:r>
      <w:r w:rsidRPr="006C40C1">
        <w:t>s</w:t>
      </w:r>
      <w:r w:rsidRPr="006C40C1">
        <w:t>byten, sänkt skatt på diesel för jordbruksmaskiner, slopad skatt på handel</w:t>
      </w:r>
      <w:r w:rsidRPr="006C40C1">
        <w:t>s</w:t>
      </w:r>
      <w:r w:rsidRPr="006C40C1">
        <w:t>gödsel samt översyn av rekla</w:t>
      </w:r>
      <w:r w:rsidRPr="006C40C1">
        <w:t>m</w:t>
      </w:r>
      <w:r w:rsidRPr="006C40C1">
        <w:t xml:space="preserve">skatten. </w:t>
      </w:r>
    </w:p>
    <w:p w:rsidR="00AA5D77" w:rsidRPr="006C40C1" w:rsidRDefault="00AA5D77">
      <w:pPr>
        <w:pStyle w:val="Reservantfrslag"/>
      </w:pPr>
      <w:r w:rsidRPr="006C40C1">
        <w:t>Därmed bifalle</w:t>
      </w:r>
      <w:r w:rsidRPr="006C40C1">
        <w:t>r riksdagen motionerna</w:t>
      </w:r>
    </w:p>
    <w:p w:rsidR="00AA5D77" w:rsidRPr="006C40C1" w:rsidRDefault="00AA5D77">
      <w:pPr>
        <w:pStyle w:val="Reservantfrslag"/>
      </w:pPr>
      <w:r w:rsidRPr="006C40C1">
        <w:t>2002/03:Fi234 av Maud Olofsson m.fl. (c) yrkandena 12 och 13,</w:t>
      </w:r>
    </w:p>
    <w:p w:rsidR="00AA5D77" w:rsidRPr="006C40C1" w:rsidRDefault="00AA5D77">
      <w:pPr>
        <w:pStyle w:val="Reservantfrslag"/>
      </w:pPr>
      <w:r w:rsidRPr="006C40C1">
        <w:t>2002/03:Fi286 av Maud Olofsson m.fl. (c) yrkandena 1, 4–9, 11, 13–17, 22, 23 och 28–31,</w:t>
      </w:r>
    </w:p>
    <w:p w:rsidR="00AA5D77" w:rsidRPr="006C40C1" w:rsidRDefault="00AA5D77">
      <w:pPr>
        <w:pStyle w:val="Reservantfrslag"/>
      </w:pPr>
      <w:r w:rsidRPr="006C40C1">
        <w:t xml:space="preserve">2002/03:MJ487 av Jan Andersson m.fl. (c) yrkande 2, </w:t>
      </w:r>
    </w:p>
    <w:p w:rsidR="00AA5D77" w:rsidRPr="006C40C1" w:rsidRDefault="00AA5D77">
      <w:pPr>
        <w:pStyle w:val="Reservantfrslag"/>
      </w:pPr>
      <w:r w:rsidRPr="006C40C1">
        <w:t>2002/03:Sk223 av Rigmor Stenmark (c) samt</w:t>
      </w:r>
    </w:p>
    <w:p w:rsidR="00AA5D77" w:rsidRPr="006C40C1" w:rsidRDefault="00AA5D77">
      <w:pPr>
        <w:pStyle w:val="Reservantfrslag"/>
      </w:pPr>
      <w:r w:rsidRPr="006C40C1">
        <w:t xml:space="preserve">2002/03:Sk346 av Jörgen Johansson och Jan Andersson (c) yrkande 2 och avslår övriga motionsyrkanden som finns upptagna i den </w:t>
      </w:r>
      <w:r w:rsidRPr="006C40C1">
        <w:rPr>
          <w:i/>
        </w:rPr>
        <w:t>förteckning över av utskottet i punkt 5 avstyrkta motionsyrkanden</w:t>
      </w:r>
      <w:r w:rsidRPr="006C40C1">
        <w:t xml:space="preserve"> som följer efter utskottets fö</w:t>
      </w:r>
      <w:r w:rsidRPr="006C40C1">
        <w:t>r</w:t>
      </w:r>
      <w:r w:rsidRPr="006C40C1">
        <w:t xml:space="preserve">slag till riksdagsbeslut. </w:t>
      </w:r>
    </w:p>
    <w:p w:rsidR="00AA5D77" w:rsidRPr="006C40C1" w:rsidRDefault="00AA5D77">
      <w:pPr>
        <w:pStyle w:val="R4"/>
      </w:pPr>
      <w:r w:rsidRPr="006C40C1">
        <w:t>Ställningstagande</w:t>
      </w:r>
    </w:p>
    <w:p w:rsidR="00AA5D77" w:rsidRPr="006C40C1" w:rsidRDefault="00AA5D77">
      <w:r w:rsidRPr="006C40C1">
        <w:t>Centerpartiet anser att en långsiktigt hållbar välfärd och ökad livskvalitet för människor förutsättter en politik som garanterar en uthållig ekonomisk til</w:t>
      </w:r>
      <w:r w:rsidRPr="006C40C1">
        <w:t>l</w:t>
      </w:r>
      <w:r w:rsidRPr="006C40C1">
        <w:t>växt. För att växla över till ett spår med snabbare tillväxt och bibehållen vä</w:t>
      </w:r>
      <w:r w:rsidRPr="006C40C1">
        <w:t>l</w:t>
      </w:r>
      <w:r w:rsidRPr="006C40C1">
        <w:t>färdsstat krävs satsningar för att radikalt förbättra klimatet för nyföretagande samt för små och medelstora företag. Människors självbestämmande måste också öka genom minskat beroende av det offentliga för den egna försör</w:t>
      </w:r>
      <w:r w:rsidRPr="006C40C1">
        <w:t>j</w:t>
      </w:r>
      <w:r w:rsidRPr="006C40C1">
        <w:t xml:space="preserve">ningen. Centerpartiets budgetförslag ger markant lägre utgifter än regeringens under de kommande åren. Denna stramhet i utgifterna används för att dels stimulera tillväxten genom sänkta skatter, dels amortera </w:t>
      </w:r>
      <w:r w:rsidRPr="006C40C1">
        <w:t>av statsskulden och öka det finansiella sparandet. På så sätt uppnås sparmålet på 2 % 2004. Den offentliga sektorns utgifter beräknas i Centerpartiets budgetalternativ till 1 193 miljarder kronor år 2003 och 1 229 mi</w:t>
      </w:r>
      <w:r w:rsidRPr="006C40C1">
        <w:t>l</w:t>
      </w:r>
      <w:r w:rsidRPr="006C40C1">
        <w:t>jarder kronor år 2004.</w:t>
      </w:r>
    </w:p>
    <w:p w:rsidR="00AA5D77" w:rsidRPr="006C40C1" w:rsidRDefault="00AA5D77">
      <w:pPr>
        <w:pStyle w:val="Normaltindrag"/>
      </w:pPr>
      <w:r w:rsidRPr="006C40C1">
        <w:t xml:space="preserve">På </w:t>
      </w:r>
      <w:r w:rsidRPr="006C40C1">
        <w:rPr>
          <w:i/>
        </w:rPr>
        <w:t>skattepolitikens</w:t>
      </w:r>
      <w:r w:rsidRPr="006C40C1">
        <w:t xml:space="preserve"> område prioriterar Centerpartiet skattesänkningar som gör det möjligt för fler att leva på sin lön, som gör det lönsamt att gå från bidragsberoende till förvärvsarbete, som sänker skatten på boende, som u</w:t>
      </w:r>
      <w:r w:rsidRPr="006C40C1">
        <w:t>n</w:t>
      </w:r>
      <w:r w:rsidRPr="006C40C1">
        <w:t xml:space="preserve">derlättar för företag att anställa och som bidrar till en uthållig tillväxt. </w:t>
      </w:r>
    </w:p>
    <w:p w:rsidR="00AA5D77" w:rsidRPr="006C40C1" w:rsidRDefault="00AA5D77">
      <w:pPr>
        <w:pStyle w:val="Normaltindrag"/>
      </w:pPr>
      <w:r w:rsidRPr="006C40C1">
        <w:t>Centerpartiet vill genomföra en inkomstskattereform inriktad mot att sänka skatten och samtidigt minska de negativa marginalskatteeffekterna för männ</w:t>
      </w:r>
      <w:r w:rsidRPr="006C40C1">
        <w:t>i</w:t>
      </w:r>
      <w:r w:rsidRPr="006C40C1">
        <w:t>skor med låga och medelstora inkomster. Från och med 2003 ersätts därför grundavdraget med en skatterabatt på 9 000 kr, lika för alla. För personer som bara betalar kommunalskatt motsvaras detta av effekten av ett grundavdrag på ca 30 000 kr. Vidare föreslås en förvärvsrabatt som fasas in med 10 % av arbetsinkomsten, inledningsvis upp till en årlig arbetsinkomst på 96 000 kr, fullt utbyggd till 108 000 kr. För personer med högre inkomster begränsas förvärvsraba</w:t>
      </w:r>
      <w:r w:rsidRPr="006C40C1">
        <w:t>t</w:t>
      </w:r>
      <w:r w:rsidRPr="006C40C1">
        <w:t>ten till halva maxbeloppet.</w:t>
      </w:r>
    </w:p>
    <w:p w:rsidR="00AA5D77" w:rsidRPr="006C40C1" w:rsidRDefault="00AA5D77">
      <w:pPr>
        <w:pStyle w:val="Normaltindrag"/>
      </w:pPr>
      <w:r w:rsidRPr="006C40C1">
        <w:t>Produktion av hus</w:t>
      </w:r>
      <w:r w:rsidRPr="006C40C1">
        <w:t xml:space="preserve">hållstjänster sker </w:t>
      </w:r>
      <w:r w:rsidRPr="006C40C1">
        <w:rPr>
          <w:snapToGrid w:val="0"/>
          <w:color w:val="000000"/>
          <w:lang w:eastAsia="sv-SE"/>
        </w:rPr>
        <w:t>i dag</w:t>
      </w:r>
      <w:r w:rsidRPr="006C40C1">
        <w:t xml:space="preserve"> nästan uteslutande inom en svart arbetsmarknad. Höga skattekilar motverkar skapandet av nya jobb och för</w:t>
      </w:r>
      <w:r w:rsidRPr="006C40C1">
        <w:t>e</w:t>
      </w:r>
      <w:r w:rsidRPr="006C40C1">
        <w:t>tag. Centerpartiet föreslår därför en skattereduktion på 50 % för arbetskostn</w:t>
      </w:r>
      <w:r w:rsidRPr="006C40C1">
        <w:t>a</w:t>
      </w:r>
      <w:r w:rsidRPr="006C40C1">
        <w:t xml:space="preserve">der på ROT-arbeten och hushållstjänster upp till 50 000 kr från 2004.        </w:t>
      </w:r>
    </w:p>
    <w:p w:rsidR="00AA5D77" w:rsidRPr="006C40C1" w:rsidRDefault="00AA5D77">
      <w:pPr>
        <w:pStyle w:val="Normaltindrag"/>
      </w:pPr>
      <w:r w:rsidRPr="006C40C1">
        <w:t xml:space="preserve">Ökade kostnader på drivmedel gör att Centerpartiet från 2004 vill se en höjning av reseavdraget från 16 till 20 kr per mil. Förutom arbetsresor bör också resor till och från barnomsorg göras avdragsgilla. </w:t>
      </w:r>
    </w:p>
    <w:p w:rsidR="00AA5D77" w:rsidRPr="006C40C1" w:rsidRDefault="00AA5D77">
      <w:pPr>
        <w:pStyle w:val="Normaltindrag"/>
      </w:pPr>
      <w:r w:rsidRPr="006C40C1">
        <w:t>Sambeskattningen av förmögenheter bör avskaffas fr.o.m. 2003 och då bör enligt Centerpartiet dessutom endast halva taxeringsvärdet för småhus tas upp till förmögenhetsbeskattning. Från 2003 bör beräkningen av fastighetsskatten ändras till att grundas på medianvärden för att undvika att höga försäljning</w:t>
      </w:r>
      <w:r w:rsidRPr="006C40C1">
        <w:t>s</w:t>
      </w:r>
      <w:r w:rsidRPr="006C40C1">
        <w:t>priser driver upp taxeringsvärdena. Därmed behövs inte den nuvarande b</w:t>
      </w:r>
      <w:r w:rsidRPr="006C40C1">
        <w:t>e</w:t>
      </w:r>
      <w:r w:rsidRPr="006C40C1">
        <w:t>gränsningsregeln. En åtskillnad mellan fritids- och fastboende vid taxeringen ökar möjligheterna för permanentboende i attraktiva fritidsområden att bo kvar. Från 2004 bör uttagsprocenten sänkas till 0,9. För att minska hyreskos</w:t>
      </w:r>
      <w:r w:rsidRPr="006C40C1">
        <w:t>t</w:t>
      </w:r>
      <w:r w:rsidRPr="006C40C1">
        <w:t>naderna bör uttagsskatten på fastighetsarbete i egen regi slopas och fastighet</w:t>
      </w:r>
      <w:r w:rsidRPr="006C40C1">
        <w:t>s</w:t>
      </w:r>
      <w:r w:rsidRPr="006C40C1">
        <w:t>skatten på flerf</w:t>
      </w:r>
      <w:r w:rsidRPr="006C40C1">
        <w:t>a</w:t>
      </w:r>
      <w:r w:rsidRPr="006C40C1">
        <w:t>miljshus sänkas i den takt ekonomin tillåter.</w:t>
      </w:r>
    </w:p>
    <w:p w:rsidR="00AA5D77" w:rsidRPr="006C40C1" w:rsidRDefault="00AA5D77">
      <w:pPr>
        <w:pStyle w:val="Normaltindrag"/>
      </w:pPr>
      <w:r w:rsidRPr="006C40C1">
        <w:t>Sverige har världens högsta skatter på arbetskraft. För att skapa fle</w:t>
      </w:r>
      <w:r w:rsidRPr="006C40C1">
        <w:t>r a</w:t>
      </w:r>
      <w:r w:rsidRPr="006C40C1">
        <w:t>r</w:t>
      </w:r>
      <w:r w:rsidRPr="006C40C1">
        <w:t>betstillfällen, särskilt i småföretag, vill Centerpartiet utöka arbetsgivares och egenföretagares avdragsrätt för arbetsgivar- och egenavgifter. Avdragsrätten bör höjas från 5 till 8 procentenheter av en årlig lönesumma på 852 000 kr för arbetsgivare och 180 000 kr för egenföretagare. Avdragsmöjligheterna bör på sikt utvidgas ytterligare. Centerpartiet vill också använda riktade sänkningar av arbetsgivaravgiften som ett medel för att skapa övergångsarbetsmarknader, där arbetslösa får chansen att prova j</w:t>
      </w:r>
      <w:r w:rsidRPr="006C40C1">
        <w:t>obb hos olika arbetsgivare och arbetsg</w:t>
      </w:r>
      <w:r w:rsidRPr="006C40C1">
        <w:t>i</w:t>
      </w:r>
      <w:r w:rsidRPr="006C40C1">
        <w:t>vare ges möjlighet att lära känna arbetss</w:t>
      </w:r>
      <w:r w:rsidRPr="006C40C1">
        <w:t>ö</w:t>
      </w:r>
      <w:r w:rsidRPr="006C40C1">
        <w:t>kande.</w:t>
      </w:r>
    </w:p>
    <w:p w:rsidR="00AA5D77" w:rsidRPr="006C40C1" w:rsidRDefault="00AA5D77">
      <w:pPr>
        <w:pStyle w:val="Normaltindrag"/>
      </w:pPr>
      <w:r w:rsidRPr="006C40C1">
        <w:t>Skattevillkoren för riskkapitalsparande är en viktig faktor för möjlighete</w:t>
      </w:r>
      <w:r w:rsidRPr="006C40C1">
        <w:t>r</w:t>
      </w:r>
      <w:r w:rsidRPr="006C40C1">
        <w:t>na till nyföretagande. Centerpartiet vill stimulera entreprenörskap genom att möjliggöra skattefritt sparande upp till 120 000 kr som grundplåt till det egna företaget. Som alternativ bör finnas en möjlighet att göra ett personligt ris</w:t>
      </w:r>
      <w:r w:rsidRPr="006C40C1">
        <w:t>k</w:t>
      </w:r>
      <w:r w:rsidRPr="006C40C1">
        <w:t>kapitalavdrag. Som ett led i att värna familjeföretagen vill Centerpartiet slopa arvsskatten på arbetande kapital i fåmansföretag. Vidare måste de orimliga beskattningsreglerna av vinster vid andelsbyten ändras så att aktieägaren kan välja beskattning antingen vid andelsbyte</w:t>
      </w:r>
      <w:r w:rsidRPr="006C40C1">
        <w:t xml:space="preserve">t eller vid försäljning. Centerpartiet avsätter 300 miljoner kronor för en sådan skattelättnad. </w:t>
      </w:r>
    </w:p>
    <w:p w:rsidR="00AA5D77" w:rsidRPr="006C40C1" w:rsidRDefault="00AA5D77">
      <w:pPr>
        <w:pStyle w:val="Normaltindrag"/>
      </w:pPr>
      <w:r w:rsidRPr="006C40C1">
        <w:t>Centerpartiet anser att ekonomiska styrmedel kan vara effektiva för att komma till rätta med miljöproblem. I det nuvarande systemet för skattevä</w:t>
      </w:r>
      <w:r w:rsidRPr="006C40C1">
        <w:t>x</w:t>
      </w:r>
      <w:r w:rsidRPr="006C40C1">
        <w:t>ling bidrar emellertid nedsättningarna i miljöbeskattningen för industrin till att försvåra övergången till en framtida handel med utsläppsrättigheter, vilket på sikt är ett viktigt marknadsekonomiskt vapen mot miljöförstöring. Cente</w:t>
      </w:r>
      <w:r w:rsidRPr="006C40C1">
        <w:t>r</w:t>
      </w:r>
      <w:r w:rsidRPr="006C40C1">
        <w:t>partiet vill därför påbörja en utfasning av industrins nedsättning av koldio</w:t>
      </w:r>
      <w:r w:rsidRPr="006C40C1">
        <w:t>x</w:t>
      </w:r>
      <w:r w:rsidRPr="006C40C1">
        <w:t>idskatten. På miljöskatteområdet bör också skattelättnaderna för biobränslen ökas, fastighetsskatten på vindkraftverk slopas och en skatt på förbränning av osorterat avfall införas. Centerpartiet anse</w:t>
      </w:r>
      <w:r w:rsidRPr="006C40C1">
        <w:t>r att konkurrensvillkoren för den gröna sektor som det svenska jordbruket utgör måste förbättras och föreslår därför att skatten på handelsgödsel slopas, liksom att dieselskatten för jord- och skogsbruksm</w:t>
      </w:r>
      <w:r w:rsidRPr="006C40C1">
        <w:t>a</w:t>
      </w:r>
      <w:r w:rsidRPr="006C40C1">
        <w:t xml:space="preserve">skiner förs ned till genomsnittlig EU-nivå. </w:t>
      </w:r>
    </w:p>
    <w:p w:rsidR="00AA5D77" w:rsidRPr="006C40C1" w:rsidRDefault="00AA5D77">
      <w:pPr>
        <w:pStyle w:val="Normaltindrag"/>
      </w:pPr>
      <w:r w:rsidRPr="006C40C1">
        <w:t xml:space="preserve">De av Centerpartiet föreslagna förändringarna på skatteområdet motsvarar nettosänkningar på 35 respektive 40 miljoner kronor för 2003 och 2004.  </w:t>
      </w:r>
    </w:p>
    <w:p w:rsidR="00AA5D77" w:rsidRPr="006C40C1" w:rsidRDefault="00AA5D77">
      <w:pPr>
        <w:pStyle w:val="Normaltindrag"/>
      </w:pPr>
      <w:r w:rsidRPr="006C40C1">
        <w:t>I det följande presenteras de områden, förutom skattepolitiken, som Ce</w:t>
      </w:r>
      <w:r w:rsidRPr="006C40C1">
        <w:t>n</w:t>
      </w:r>
      <w:r w:rsidRPr="006C40C1">
        <w:t xml:space="preserve">terpartiet prioriterar under de kommande åren. Centerpartiet vill </w:t>
      </w:r>
      <w:r w:rsidRPr="006C40C1">
        <w:rPr>
          <w:i/>
        </w:rPr>
        <w:t>stimulera företagandet</w:t>
      </w:r>
      <w:r w:rsidRPr="006C40C1">
        <w:t xml:space="preserve"> och föreslår, förutom ovan nämnda skattesänkningar, att en stor del av de onödiga och krångliga regler som svenska företagare brottas med tas bort. Företagarnas trygghet måste stärkas genom att de diskriminerande vil</w:t>
      </w:r>
      <w:r w:rsidRPr="006C40C1">
        <w:t>l</w:t>
      </w:r>
      <w:r w:rsidRPr="006C40C1">
        <w:t>kor som gäller för egenföretagare och deras familjer i socialförsäkringssyst</w:t>
      </w:r>
      <w:r w:rsidRPr="006C40C1">
        <w:t>e</w:t>
      </w:r>
      <w:r w:rsidRPr="006C40C1">
        <w:t>men måste åtgärdas. Även rättssäkerheten för småföretagare bör förbättras genom ett system där sjuklönedagarna kopplas till anta</w:t>
      </w:r>
      <w:r w:rsidRPr="006C40C1">
        <w:t>let anställda så att onödiga konkurser i fåmansföretag un</w:t>
      </w:r>
      <w:r w:rsidRPr="006C40C1">
        <w:t>d</w:t>
      </w:r>
      <w:r w:rsidRPr="006C40C1">
        <w:t xml:space="preserve">viks. </w:t>
      </w:r>
    </w:p>
    <w:p w:rsidR="00AA5D77" w:rsidRPr="006C40C1" w:rsidRDefault="00AA5D77">
      <w:pPr>
        <w:pStyle w:val="Normaltindrag"/>
      </w:pPr>
      <w:r w:rsidRPr="006C40C1">
        <w:t xml:space="preserve">På </w:t>
      </w:r>
      <w:r w:rsidRPr="006C40C1">
        <w:rPr>
          <w:i/>
        </w:rPr>
        <w:t>miljöområdet</w:t>
      </w:r>
      <w:r w:rsidRPr="006C40C1">
        <w:t xml:space="preserve"> välkomnar Centerpartiet att regeringen hörsammat part</w:t>
      </w:r>
      <w:r w:rsidRPr="006C40C1">
        <w:t>i</w:t>
      </w:r>
      <w:r w:rsidRPr="006C40C1">
        <w:t>ets förslag om främjande av export av svensk miljöteknik. Centerpartiet vill dock ta ytterligare steg genom att stimulera nätverksbildning mellan milj</w:t>
      </w:r>
      <w:r w:rsidRPr="006C40C1">
        <w:t>ö</w:t>
      </w:r>
      <w:r w:rsidRPr="006C40C1">
        <w:t>teknikföretag, myndigheter, universitet m.fl. för att stärka konkurrenskraften på området. Inom EU bör Sverige bl.a. verka för att ett institutionellt ramverk för miljöfrågorna skapas, att ett system för handel med utsläppsrättigheter utvecklas och att EU:s krav på en lägsta skattenivå på biod</w:t>
      </w:r>
      <w:r w:rsidRPr="006C40C1">
        <w:t>rivmedel slopas. Centerpartiet satsar också 353 miljoner kronor i riktat mi</w:t>
      </w:r>
      <w:r w:rsidRPr="006C40C1">
        <w:t>l</w:t>
      </w:r>
      <w:r w:rsidRPr="006C40C1">
        <w:t xml:space="preserve">jöbistånd. </w:t>
      </w:r>
    </w:p>
    <w:p w:rsidR="00AA5D77" w:rsidRPr="006C40C1" w:rsidRDefault="00AA5D77">
      <w:pPr>
        <w:pStyle w:val="Normaltindrag"/>
      </w:pPr>
      <w:r w:rsidRPr="006C40C1">
        <w:t>Under flera års tid har Centerpartiet kritiserat regeringens passivitet i a</w:t>
      </w:r>
      <w:r w:rsidRPr="006C40C1">
        <w:t>r</w:t>
      </w:r>
      <w:r w:rsidRPr="006C40C1">
        <w:t xml:space="preserve">betet med att </w:t>
      </w:r>
      <w:r w:rsidRPr="006C40C1">
        <w:rPr>
          <w:i/>
        </w:rPr>
        <w:t>minska sjukskrivningarna</w:t>
      </w:r>
      <w:r w:rsidRPr="006C40C1">
        <w:t>. Delmål bör preciseras till att sju</w:t>
      </w:r>
      <w:r w:rsidRPr="006C40C1">
        <w:t>k</w:t>
      </w:r>
      <w:r w:rsidRPr="006C40C1">
        <w:t>skrivningarna ska ha minskat med 20 % till 2004 och 40 % till 2006. Cente</w:t>
      </w:r>
      <w:r w:rsidRPr="006C40C1">
        <w:t>r</w:t>
      </w:r>
      <w:r w:rsidRPr="006C40C1">
        <w:t xml:space="preserve">partiet anser att Rehabiliteringsutredningens (SOU 2000:78) förslag utgör en god grund för hur en sådan minskning ska komma till stånd, men vill också bl.a. införa en rehabiliteringsgaranti. Garantin innebär att sjukskrivning efter 30 dagar ska kräva godkännande av två läkare och att den sjukskrivne ska ha en preliminär rehabiliteringsplan klar inom 6 veckor. </w:t>
      </w:r>
      <w:r w:rsidRPr="006C40C1">
        <w:t>Personer som riskerar att fastna i lång sjukskrivning fångas därigenom upp tidigt. Partiet vill också införa en nationell vårdgaranti som ger rätt till vård inom 3 mån</w:t>
      </w:r>
      <w:r w:rsidRPr="006C40C1">
        <w:t>a</w:t>
      </w:r>
      <w:r w:rsidRPr="006C40C1">
        <w:t xml:space="preserve">der. </w:t>
      </w:r>
    </w:p>
    <w:p w:rsidR="00AA5D77" w:rsidRPr="006C40C1" w:rsidRDefault="00AA5D77">
      <w:pPr>
        <w:pStyle w:val="Normaltindrag"/>
      </w:pPr>
      <w:r w:rsidRPr="006C40C1">
        <w:t xml:space="preserve">För att få </w:t>
      </w:r>
      <w:r w:rsidRPr="006C40C1">
        <w:rPr>
          <w:i/>
        </w:rPr>
        <w:t>fler människor i arbete</w:t>
      </w:r>
      <w:r w:rsidRPr="006C40C1">
        <w:t xml:space="preserve"> vill Centerpartiet för det första införa de övergångsarbetsmarknader för långtidsarbetslösa som diskuterats ovan. För det andra ska rätten till utbildning stärkas, dels genom att ge alla arbetslösa med kort utbildning möjlighet att komplettera till gymnasienivå, dels genom att utveckla yrkesutbildningarna, där lärlings- och KY-utbildningar utgör viktiga komplement till teoretiska utbildningar. Partiet avvisar regeringens syn på arbetsmarknaden som ett nollsummespel och ser i stället </w:t>
      </w:r>
      <w:r w:rsidRPr="006C40C1">
        <w:t>en bredare arbetskraftsinvandring som en möjlighet för företag att växa och utvecklas.</w:t>
      </w:r>
    </w:p>
    <w:p w:rsidR="00AA5D77" w:rsidRPr="006C40C1" w:rsidRDefault="00AA5D77">
      <w:pPr>
        <w:pStyle w:val="Normaltindrag"/>
      </w:pPr>
      <w:r w:rsidRPr="006C40C1">
        <w:t xml:space="preserve">Även </w:t>
      </w:r>
      <w:r w:rsidRPr="006C40C1">
        <w:rPr>
          <w:i/>
        </w:rPr>
        <w:t>goda kommunikationer</w:t>
      </w:r>
      <w:r w:rsidRPr="006C40C1">
        <w:t xml:space="preserve"> är en förutsättning för tillväxt och arbete i hela landet, och Centerpartiet anslår därför 1,7 miljarder kronor mer än r</w:t>
      </w:r>
      <w:r w:rsidRPr="006C40C1">
        <w:t>e</w:t>
      </w:r>
      <w:r w:rsidRPr="006C40C1">
        <w:t>geringen för att, i första hand, ta igen det eftersatta underhållet av svenska vägar och järnvägar.</w:t>
      </w:r>
    </w:p>
    <w:p w:rsidR="00AA5D77" w:rsidRPr="006C40C1" w:rsidRDefault="00AA5D77">
      <w:pPr>
        <w:pStyle w:val="Normaltindrag"/>
      </w:pPr>
      <w:r w:rsidRPr="006C40C1">
        <w:t xml:space="preserve">Centerpartiet har som mål att skapa ett decentraliserat kunskapssamhälle. Inom den </w:t>
      </w:r>
      <w:r w:rsidRPr="006C40C1">
        <w:rPr>
          <w:i/>
        </w:rPr>
        <w:t>högre utbildningen</w:t>
      </w:r>
      <w:r w:rsidRPr="006C40C1">
        <w:t xml:space="preserve"> måste den sociala snedrekryteringen brytas samt skuldbördan för studenter minska. Centerpartiet vill därför införa ett nytt studiemedelssystem där bidrag och lån utgör vardera 50 %. Utbyggnaden av högre utbildning och forskning i hela landet säkras genom att ytterligare 386 miljoner kronor tillförs, varav hälften reserveras för forskning vid högskolo</w:t>
      </w:r>
      <w:r w:rsidRPr="006C40C1">
        <w:t>r</w:t>
      </w:r>
      <w:r w:rsidRPr="006C40C1">
        <w:t xml:space="preserve">na och nya universitet. På </w:t>
      </w:r>
      <w:r w:rsidRPr="006C40C1">
        <w:rPr>
          <w:i/>
        </w:rPr>
        <w:t>skolans</w:t>
      </w:r>
      <w:r w:rsidRPr="006C40C1">
        <w:t xml:space="preserve"> område ersätts den tidsbestämda skolpli</w:t>
      </w:r>
      <w:r w:rsidRPr="006C40C1">
        <w:t>k</w:t>
      </w:r>
      <w:r w:rsidRPr="006C40C1">
        <w:t>ten med en individuell kunskapsrätt och ett kunskapskontrakt mell</w:t>
      </w:r>
      <w:r w:rsidRPr="006C40C1">
        <w:t>an lärare, elev och föräldrar som förbinder alla parter att ta ansvar för att eleven når kunskapsmålen. Makten i skolan ska i ökad utsträckning decentraliseras från politiker till skolor och lärare. Att hela landet får likvärdiga skolor garanteras genom inrättandet av ett nationellt kvalitetsinst</w:t>
      </w:r>
      <w:r w:rsidRPr="006C40C1">
        <w:t>i</w:t>
      </w:r>
      <w:r w:rsidRPr="006C40C1">
        <w:t>tut.</w:t>
      </w:r>
    </w:p>
    <w:p w:rsidR="00AA5D77" w:rsidRPr="006C40C1" w:rsidRDefault="00AA5D77">
      <w:pPr>
        <w:pStyle w:val="Normaltindrag"/>
      </w:pPr>
      <w:r w:rsidRPr="006C40C1">
        <w:t xml:space="preserve">Centerpartiets </w:t>
      </w:r>
      <w:r w:rsidRPr="006C40C1">
        <w:rPr>
          <w:i/>
        </w:rPr>
        <w:t>internationella engagemang</w:t>
      </w:r>
      <w:r w:rsidRPr="006C40C1">
        <w:t xml:space="preserve"> utmynnar i ståndpunkten att de viktigaste utvecklingsförutsättningarna för världens fattiga länder ligger i rättvis handel och stabiliserande institutioner, som även korrigerar marknaden för externa effekter i fråga om miljö och social påverkan. Men även ett o</w:t>
      </w:r>
      <w:r w:rsidRPr="006C40C1">
        <w:t>m</w:t>
      </w:r>
      <w:r w:rsidRPr="006C40C1">
        <w:t xml:space="preserve">fattande ekonomiskt bistånd är en nödvändighet. Partiet föreslår därför en stegvis höjning av biståndet så att enprocentsmålet av BNI nås 2005. </w:t>
      </w:r>
    </w:p>
    <w:p w:rsidR="00AA5D77" w:rsidRPr="006C40C1" w:rsidRDefault="00AA5D77">
      <w:pPr>
        <w:pStyle w:val="Normaltindrag"/>
      </w:pPr>
      <w:r w:rsidRPr="006C40C1">
        <w:t xml:space="preserve">De centrala tankegångarna i Centerpartiets </w:t>
      </w:r>
      <w:r w:rsidRPr="006C40C1">
        <w:rPr>
          <w:i/>
        </w:rPr>
        <w:t>familjepolitik</w:t>
      </w:r>
      <w:r w:rsidRPr="006C40C1">
        <w:t xml:space="preserve"> är att föräldrar och barn måste få mer tid tillsammans, att det ska vara möjligt att kombinera familje- och arbetsliv för både kvinnor och män samt att barnfamiljernas självbestämmande ska öka genom bättre ekonomiska resurser och genom en stärkt valfrihet i barnomsorgen. Centerpartiet vill därför fördubbla barnbidr</w:t>
      </w:r>
      <w:r w:rsidRPr="006C40C1">
        <w:t>a</w:t>
      </w:r>
      <w:r w:rsidRPr="006C40C1">
        <w:t>get för barn i åldern 1–5 år i fyra steg till 2006, samtidigt som golv och tak i föräldraförsäkringen, liksom ersättningen under garantidagarna, höjs. Föräl</w:t>
      </w:r>
      <w:r w:rsidRPr="006C40C1">
        <w:t>d</w:t>
      </w:r>
      <w:r w:rsidRPr="006C40C1">
        <w:t>rar ges lagstadgad rätt</w:t>
      </w:r>
      <w:r w:rsidRPr="006C40C1">
        <w:t xml:space="preserve"> att gå ned till halvtid under barnets första 8 år. Etabl</w:t>
      </w:r>
      <w:r w:rsidRPr="006C40C1">
        <w:t>e</w:t>
      </w:r>
      <w:r w:rsidRPr="006C40C1">
        <w:t>ringsfrihet bör införas inom barnomsorgen och möjligheterna att tidsdiffere</w:t>
      </w:r>
      <w:r w:rsidRPr="006C40C1">
        <w:t>n</w:t>
      </w:r>
      <w:r w:rsidRPr="006C40C1">
        <w:t>tiera maxtaxan förbättras. Centerpartiet vill också ha en jämställdhetsbonus som bel</w:t>
      </w:r>
      <w:r w:rsidRPr="006C40C1">
        <w:t>ö</w:t>
      </w:r>
      <w:r w:rsidRPr="006C40C1">
        <w:t xml:space="preserve">nar föräldrar som delar på föräldraledigheten. </w:t>
      </w:r>
    </w:p>
    <w:p w:rsidR="00AA5D77" w:rsidRPr="006C40C1" w:rsidRDefault="00AA5D77">
      <w:pPr>
        <w:pStyle w:val="Normaltindrag"/>
      </w:pPr>
      <w:r w:rsidRPr="006C40C1">
        <w:t>Förutom familjepolitiken syftar även många andra av Centerpartiets fö</w:t>
      </w:r>
      <w:r w:rsidRPr="006C40C1">
        <w:t>r</w:t>
      </w:r>
      <w:r w:rsidRPr="006C40C1">
        <w:t xml:space="preserve">slag till att skapa </w:t>
      </w:r>
      <w:r w:rsidRPr="006C40C1">
        <w:rPr>
          <w:i/>
        </w:rPr>
        <w:t>ökad jämställdhet</w:t>
      </w:r>
      <w:r w:rsidRPr="006C40C1">
        <w:t xml:space="preserve"> mellan kvinnor och män. Såväl inkoms</w:t>
      </w:r>
      <w:r w:rsidRPr="006C40C1">
        <w:t>t</w:t>
      </w:r>
      <w:r w:rsidRPr="006C40C1">
        <w:t>skattereformen som skattelättnaderna för riskkapitalsparande kommer att ge störst positiv effekt för kvinnor, liksom insatserna för rehabilitering, eftersom kvinnor har ungefär dubbelt så många sjukdagar som män. Rättsligt svarar besluten att överföra lönediskrimineringsmål till vanlig domstol och nollv</w:t>
      </w:r>
      <w:r w:rsidRPr="006C40C1">
        <w:t>i</w:t>
      </w:r>
      <w:r w:rsidRPr="006C40C1">
        <w:t xml:space="preserve">sionen för våld mot kvinnor och flickor för en stärkning av kvinnors ställning.  </w:t>
      </w:r>
    </w:p>
    <w:p w:rsidR="00AA5D77" w:rsidRPr="006C40C1" w:rsidRDefault="00AA5D77">
      <w:pPr>
        <w:pStyle w:val="Normaltindrag"/>
      </w:pPr>
      <w:r w:rsidRPr="006C40C1">
        <w:t xml:space="preserve">Centerpartiets vision av ett </w:t>
      </w:r>
      <w:r w:rsidRPr="006C40C1">
        <w:rPr>
          <w:i/>
        </w:rPr>
        <w:t>decentraliserat samhälle</w:t>
      </w:r>
      <w:r w:rsidRPr="006C40C1">
        <w:t>, där hela landet har rätt till samma villkor, kommer också till uttryck på andra områden. Den lokala sjävstyrelsen bör stärkas ekonomiskt, genom att den kommunala ska</w:t>
      </w:r>
      <w:r w:rsidRPr="006C40C1">
        <w:t>t</w:t>
      </w:r>
      <w:r w:rsidRPr="006C40C1">
        <w:t>tebasen ökas och minskar beroendet av statlig välvilja, och politiskt, genom att länen ges rätt att bilda direktvalda regionparlament. Statliga bolag ska åläggas att garantera service över hela landet, och statlig verksamhet motsv</w:t>
      </w:r>
      <w:r w:rsidRPr="006C40C1">
        <w:t>a</w:t>
      </w:r>
      <w:r w:rsidRPr="006C40C1">
        <w:t>rande 50 000 årsarbetstillfällen bör utlokaliseras. Särskilda resurser tillförs för att u</w:t>
      </w:r>
      <w:r w:rsidRPr="006C40C1">
        <w:t>tveckla landsbygdens näringsliv liksom för att öka ungdomars möjlighet att ta del av kulturupplevelser även utanför storst</w:t>
      </w:r>
      <w:r w:rsidRPr="006C40C1">
        <w:t>ä</w:t>
      </w:r>
      <w:r w:rsidRPr="006C40C1">
        <w:t xml:space="preserve">derna. </w:t>
      </w:r>
    </w:p>
    <w:p w:rsidR="00AA5D77" w:rsidRPr="006C40C1" w:rsidRDefault="00AA5D77">
      <w:pPr>
        <w:pStyle w:val="Normaltindrag"/>
      </w:pPr>
      <w:r w:rsidRPr="006C40C1">
        <w:t>Jag föreslår att riksdagen ställer sig bakom Centerpartiets förslag till nivå på utgiftstaket för staten under de två närmast efterföljande åren. Taken bör fastställas till 784 miljarder kronor år 2003 och 815 miljander kronor år 2004.</w:t>
      </w:r>
    </w:p>
    <w:p w:rsidR="00AA5D77" w:rsidRPr="006C40C1" w:rsidRDefault="00AA5D77">
      <w:pPr>
        <w:pStyle w:val="Normaltindrag"/>
      </w:pPr>
      <w:r w:rsidRPr="006C40C1">
        <w:t>I följande tabell visas Centerpartiets förslag till fördelning på utgiftsomr</w:t>
      </w:r>
      <w:r w:rsidRPr="006C40C1">
        <w:t>å</w:t>
      </w:r>
      <w:r w:rsidRPr="006C40C1">
        <w:t xml:space="preserve">den. Detta bör enligt min mening ligga till grund för riksdagens beslut om fördelningen år 2003. </w:t>
      </w:r>
    </w:p>
    <w:p w:rsidR="00AA5D77" w:rsidRPr="006C40C1" w:rsidRDefault="00AA5D77">
      <w:pPr>
        <w:pStyle w:val="Normaltindrag"/>
      </w:pPr>
      <w:r w:rsidRPr="006C40C1">
        <w:t>Jag ställer mig således bakom följande förslag som framförs i Centerpart</w:t>
      </w:r>
      <w:r w:rsidRPr="006C40C1">
        <w:t>i</w:t>
      </w:r>
      <w:r w:rsidRPr="006C40C1">
        <w:t>ets parti- och kommittémotioner Fi234 yrkandena 3, 5, 6 och 11–13, Fi286 yrkandena 1–9, 11, 13–20, 22–23, 25–31 och 33, N394 yrkande 3 samt MJ487 yrkande 2 och föreslår att riksdagen bifaller nämnda motionsyrka</w:t>
      </w:r>
      <w:r w:rsidRPr="006C40C1">
        <w:t>n</w:t>
      </w:r>
      <w:r w:rsidRPr="006C40C1">
        <w:t>den. Även motionerna Sk223 och Sk346 yrkande 2 om en översyn av rekla</w:t>
      </w:r>
      <w:r w:rsidRPr="006C40C1">
        <w:t>m</w:t>
      </w:r>
      <w:r w:rsidRPr="006C40C1">
        <w:t>skattereglerna tillstyrks.</w:t>
      </w:r>
    </w:p>
    <w:p w:rsidR="00AA5D77" w:rsidRPr="006C40C1" w:rsidRDefault="00AA5D77">
      <w:pPr>
        <w:pStyle w:val="Normaltindrag"/>
      </w:pPr>
      <w:r w:rsidRPr="006C40C1">
        <w:t>Vidare anser jag att riksdagen bör avslå regeringens förslag i berörda delar samt övriga motionsyrkanden som är aktuella i detta sammanhang i den mån de inte sammanfaller med Centerpartiets förslag.</w:t>
      </w:r>
    </w:p>
    <w:p w:rsidR="00AA5D77" w:rsidRPr="006C40C1" w:rsidRDefault="00AA5D77">
      <w:pPr>
        <w:pStyle w:val="FiU1tabellrubrik2000"/>
        <w:spacing w:line="240" w:lineRule="atLeast"/>
      </w:pPr>
      <w:r w:rsidRPr="006C40C1">
        <w:br w:type="page"/>
        <w:t>Tabell. Centerpartiets förslag till utgiftstak och utgifsramar för 2003</w:t>
      </w:r>
    </w:p>
    <w:p w:rsidR="00AA5D77" w:rsidRPr="006C40C1" w:rsidRDefault="00AA5D77">
      <w:pPr>
        <w:spacing w:before="0" w:line="200" w:lineRule="exact"/>
        <w:outlineLvl w:val="0"/>
        <w:rPr>
          <w:sz w:val="14"/>
        </w:rPr>
      </w:pPr>
      <w:r w:rsidRPr="006C40C1">
        <w:rPr>
          <w:sz w:val="14"/>
        </w:rPr>
        <w:t>Belopp i miljoner kronor</w:t>
      </w:r>
    </w:p>
    <w:p w:rsidR="00AA5D77" w:rsidRPr="006C40C1" w:rsidRDefault="006C40C1">
      <w:pPr>
        <w:pStyle w:val="Tabellfrklaring"/>
        <w:pBdr>
          <w:bottom w:val="single" w:sz="4" w:space="1" w:color="auto"/>
        </w:pBdr>
      </w:pPr>
      <w:r w:rsidRPr="006C40C1">
        <w:rPr>
          <w:noProof/>
        </w:rPr>
        <w:drawing>
          <wp:inline distT="0" distB="0" distL="0" distR="0">
            <wp:extent cx="3771900" cy="4713605"/>
            <wp:effectExtent l="0" t="0" r="0" b="0"/>
            <wp:docPr id="91" name="Bild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771900" cy="4713605"/>
                    </a:xfrm>
                    <a:prstGeom prst="rect">
                      <a:avLst/>
                    </a:prstGeom>
                    <a:noFill/>
                    <a:ln>
                      <a:noFill/>
                    </a:ln>
                  </pic:spPr>
                </pic:pic>
              </a:graphicData>
            </a:graphic>
          </wp:inline>
        </w:drawing>
      </w:r>
    </w:p>
    <w:p w:rsidR="00AA5D77" w:rsidRPr="006C40C1" w:rsidRDefault="00AA5D77">
      <w:pPr>
        <w:pStyle w:val="Reservationspunkt"/>
        <w:rPr>
          <w:noProof w:val="0"/>
        </w:rPr>
      </w:pPr>
      <w:r w:rsidRPr="006C40C1">
        <w:rPr>
          <w:noProof w:val="0"/>
        </w:rPr>
        <w:br w:type="page"/>
      </w:r>
      <w:bookmarkStart w:id="1054" w:name="_Toc530479583"/>
      <w:bookmarkStart w:id="1055" w:name="_Toc26191695"/>
      <w:r w:rsidRPr="006C40C1">
        <w:rPr>
          <w:noProof w:val="0"/>
        </w:rPr>
        <w:t>12.</w:t>
      </w:r>
      <w:r w:rsidRPr="006C40C1">
        <w:rPr>
          <w:noProof w:val="0"/>
        </w:rPr>
        <w:tab/>
        <w:t>Preliminär fördelning av utgifterna på utgiftsområden  2004 – avsnitt 4.2, punkt 7 (m)</w:t>
      </w:r>
      <w:bookmarkEnd w:id="1054"/>
      <w:bookmarkEnd w:id="1055"/>
    </w:p>
    <w:p w:rsidR="00AA5D77" w:rsidRPr="006C40C1" w:rsidRDefault="00AA5D77">
      <w:pPr>
        <w:pStyle w:val="Reservanter"/>
      </w:pPr>
      <w:r w:rsidRPr="006C40C1">
        <w:t>av Fredrik Reinfeldt, Gunnar Axén och Tomas Högström (alla m).</w:t>
      </w:r>
    </w:p>
    <w:p w:rsidR="00AA5D77" w:rsidRPr="006C40C1" w:rsidRDefault="00AA5D77">
      <w:pPr>
        <w:pStyle w:val="R4"/>
      </w:pPr>
      <w:r w:rsidRPr="006C40C1">
        <w:t>Förslag till riksdagsbeslut</w:t>
      </w:r>
    </w:p>
    <w:p w:rsidR="00AA5D77" w:rsidRPr="006C40C1" w:rsidRDefault="00AA5D77">
      <w:r w:rsidRPr="006C40C1">
        <w:t>Vi anser att utskottets förslag under punkt 7 borde ha följande lydelse:</w:t>
      </w:r>
    </w:p>
    <w:p w:rsidR="00AA5D77" w:rsidRPr="006C40C1" w:rsidRDefault="00AA5D77">
      <w:pPr>
        <w:pStyle w:val="Reservantfrslag"/>
      </w:pPr>
      <w:r w:rsidRPr="006C40C1">
        <w:t>7. Riksdagen godkänner den i reservation 12 föreslagna preliminära förde</w:t>
      </w:r>
      <w:r w:rsidRPr="006C40C1">
        <w:t>l</w:t>
      </w:r>
      <w:r w:rsidRPr="006C40C1">
        <w:t>ningen av utgifterna på utgiftsområden för 2004 som riktlinje för regeringens budgetarbete. Därmed bifaller riksdagen motion 2002/03:Fi231 av Bo Lun</w:t>
      </w:r>
      <w:r w:rsidRPr="006C40C1">
        <w:t>d</w:t>
      </w:r>
      <w:r w:rsidRPr="006C40C1">
        <w:t xml:space="preserve">gren m.fl. (m) yrkande 6 och avslår proposition 2002/03:1 punkt 10 samt motionerna </w:t>
      </w:r>
    </w:p>
    <w:p w:rsidR="00AA5D77" w:rsidRPr="006C40C1" w:rsidRDefault="00AA5D77">
      <w:pPr>
        <w:pStyle w:val="Reservantfrslag"/>
      </w:pPr>
      <w:r w:rsidRPr="006C40C1">
        <w:t>2002/03:Fi232 av Lars Leijonborg m.fl. (fp) yrkande 7,</w:t>
      </w:r>
    </w:p>
    <w:p w:rsidR="00AA5D77" w:rsidRPr="006C40C1" w:rsidRDefault="00AA5D77">
      <w:pPr>
        <w:pStyle w:val="Reservantfrslag"/>
      </w:pPr>
      <w:r w:rsidRPr="006C40C1">
        <w:t>2002/03:Fi233 av Alf  Svensson m.fl. (kd) yrkandena 7 i denna del och 9 samt 2002/03:Fi234 av Maud Olofsson m.fl. (c) yrkandena 7 och 8.</w:t>
      </w:r>
    </w:p>
    <w:p w:rsidR="00AA5D77" w:rsidRPr="006C40C1" w:rsidRDefault="00AA5D77">
      <w:pPr>
        <w:pStyle w:val="R4"/>
      </w:pPr>
      <w:r w:rsidRPr="006C40C1">
        <w:t>Ställningstagande</w:t>
      </w:r>
    </w:p>
    <w:p w:rsidR="00AA5D77" w:rsidRPr="006C40C1" w:rsidRDefault="00AA5D77">
      <w:r w:rsidRPr="006C40C1">
        <w:t xml:space="preserve">Vi biträder Moderata samlingspartiets förslag till preliminär fördelning av utgifterna på utgiftsområden för 2004. </w:t>
      </w:r>
    </w:p>
    <w:p w:rsidR="00AA5D77" w:rsidRPr="006C40C1" w:rsidRDefault="00AA5D77">
      <w:pPr>
        <w:pStyle w:val="Normaltindrag"/>
      </w:pPr>
      <w:r w:rsidRPr="006C40C1">
        <w:t xml:space="preserve">Med vårt budgetförslag vill vi uppnå de politiska mål som finns redovisade i vår motion Fi231 (m). Den offentliga sektorns utgifter och inkomster måste begränsas för att de offentliga finanserna ska bli mindre konjunkturkänsliga. </w:t>
      </w:r>
    </w:p>
    <w:p w:rsidR="00AA5D77" w:rsidRPr="006C40C1" w:rsidRDefault="00AA5D77">
      <w:pPr>
        <w:pStyle w:val="Normaltindrag"/>
      </w:pPr>
      <w:r w:rsidRPr="006C40C1">
        <w:t>Inom ramen för minskade offentliga utgifter omvandlar vi sammansät</w:t>
      </w:r>
      <w:r w:rsidRPr="006C40C1">
        <w:t>t</w:t>
      </w:r>
      <w:r w:rsidRPr="006C40C1">
        <w:t>ningen av den offentliga sektorns inkomster och utgifter. Vi föreslår förstär</w:t>
      </w:r>
      <w:r w:rsidRPr="006C40C1">
        <w:t>k</w:t>
      </w:r>
      <w:r w:rsidRPr="006C40C1">
        <w:t>ningar inom områden där det offentliga ska stå starkt och kunna vara en trygghet för dem som behöver mest stöd. Vi satsar också ökade resurser som går direkt till skolor och sjukvård i stället för att slussas via de stora välfärd</w:t>
      </w:r>
      <w:r w:rsidRPr="006C40C1">
        <w:t>s</w:t>
      </w:r>
      <w:r w:rsidRPr="006C40C1">
        <w:t xml:space="preserve">systemens byråkratier. Regeringens stora satsningar på ökade statsbidrag till kommuner och landsting har inte gett de resultat som man har påstått. Vi väljer därför att prioritera verksamheterna och den </w:t>
      </w:r>
      <w:r w:rsidRPr="006C40C1">
        <w:t xml:space="preserve">enskildes val i stället  för de gamla offentliga strukturerna. </w:t>
      </w:r>
    </w:p>
    <w:p w:rsidR="00AA5D77" w:rsidRPr="006C40C1" w:rsidRDefault="00AA5D77">
      <w:pPr>
        <w:pStyle w:val="Normaltindrag"/>
      </w:pPr>
      <w:r w:rsidRPr="006C40C1">
        <w:t>Vi ser till att staten kan uppfylla sitt ansvar för trygghet på gator och torg,  vi slår vakt om en modern infrastruktur, en god högre utbildning och fors</w:t>
      </w:r>
      <w:r w:rsidRPr="006C40C1">
        <w:t>k</w:t>
      </w:r>
      <w:r w:rsidRPr="006C40C1">
        <w:t>ning. Genom lägre skatter, bättre sjukvård och rehabilitering samt en offensiv arbetsmarknadspolitik kan vi minska på bidragsbehov och uppnå lägre kos</w:t>
      </w:r>
      <w:r w:rsidRPr="006C40C1">
        <w:t>t</w:t>
      </w:r>
      <w:r w:rsidRPr="006C40C1">
        <w:t xml:space="preserve">nader för bl.a. sjukförsäkringen. </w:t>
      </w:r>
    </w:p>
    <w:p w:rsidR="00AA5D77" w:rsidRPr="006C40C1" w:rsidRDefault="00AA5D77">
      <w:pPr>
        <w:pStyle w:val="Normaltindrag"/>
      </w:pPr>
      <w:r w:rsidRPr="006C40C1">
        <w:t>Våra utgiftsminskningar berör friska och arbetsföra som genom lägre skatter och sitt eget arbete kan utveckla sin trygghet samtidigt som vi slår vakt om de enskilda som är i störst behov av stöd. Vi sparar i de stora utgift</w:t>
      </w:r>
      <w:r w:rsidRPr="006C40C1">
        <w:t>s</w:t>
      </w:r>
      <w:r w:rsidRPr="006C40C1">
        <w:t xml:space="preserve">systemen och kan genom detta genomföra betydande skattesänkningar till förmån för att fler får ökad makt över välfärden. </w:t>
      </w:r>
    </w:p>
    <w:p w:rsidR="00AA5D77" w:rsidRPr="006C40C1" w:rsidRDefault="00AA5D77">
      <w:pPr>
        <w:pStyle w:val="Normaltindrag"/>
      </w:pPr>
      <w:r w:rsidRPr="006C40C1">
        <w:t>Utgiftstaket för den offentliga sektorn bör minskas med netto 108 milja</w:t>
      </w:r>
      <w:r w:rsidRPr="006C40C1">
        <w:t>r</w:t>
      </w:r>
      <w:r w:rsidRPr="006C40C1">
        <w:t>der kronor 2004 jämfört med regeringens förslag. Till detta kommer våra omfattande skattesänkningar på i första hand arbete och företagande som netto för 2004 uppgår till 48 miljarder kronor för den konsoliderade offentliga se</w:t>
      </w:r>
      <w:r w:rsidRPr="006C40C1">
        <w:t>k</w:t>
      </w:r>
      <w:r w:rsidRPr="006C40C1">
        <w:t>torn.</w:t>
      </w:r>
    </w:p>
    <w:p w:rsidR="00AA5D77" w:rsidRPr="006C40C1" w:rsidRDefault="00AA5D77">
      <w:pPr>
        <w:pStyle w:val="Normaltindrag"/>
      </w:pPr>
      <w:r w:rsidRPr="006C40C1">
        <w:t>Vi anser således att riksdagen bör bifalla vårt förslag i motion Fi231 (m) yrkande 6 och hänvisar till de närmare preciseringar som görs där. Regerin</w:t>
      </w:r>
      <w:r w:rsidRPr="006C40C1">
        <w:t>g</w:t>
      </w:r>
      <w:r w:rsidRPr="006C40C1">
        <w:t>ens förslag i denna del liksom övriga motion</w:t>
      </w:r>
      <w:r w:rsidRPr="006C40C1">
        <w:t>s</w:t>
      </w:r>
      <w:r w:rsidRPr="006C40C1">
        <w:t>yrkanden bör avslås.</w:t>
      </w:r>
    </w:p>
    <w:p w:rsidR="00AA5D77" w:rsidRPr="006C40C1" w:rsidRDefault="00AA5D77">
      <w:pPr>
        <w:pStyle w:val="Reservationspunkt"/>
        <w:rPr>
          <w:noProof w:val="0"/>
        </w:rPr>
      </w:pPr>
      <w:bookmarkStart w:id="1056" w:name="_Toc26191696"/>
      <w:r w:rsidRPr="006C40C1">
        <w:rPr>
          <w:noProof w:val="0"/>
        </w:rPr>
        <w:t>13. Preliminär fördelning av utgifterna på utgiftsområden 2004 – avsnitt 4.2, punkt 7 (fp)</w:t>
      </w:r>
      <w:bookmarkEnd w:id="1056"/>
    </w:p>
    <w:p w:rsidR="00AA5D77" w:rsidRPr="006C40C1" w:rsidRDefault="00AA5D77">
      <w:pPr>
        <w:ind w:left="426"/>
      </w:pPr>
      <w:r w:rsidRPr="006C40C1">
        <w:t>av Karin Pilsäter och Christer Nylander (båda fp).</w:t>
      </w:r>
    </w:p>
    <w:p w:rsidR="00AA5D77" w:rsidRPr="006C40C1" w:rsidRDefault="00AA5D77">
      <w:pPr>
        <w:pStyle w:val="R4"/>
      </w:pPr>
      <w:r w:rsidRPr="006C40C1">
        <w:t>Förslag till riksdagsbeslut</w:t>
      </w:r>
    </w:p>
    <w:p w:rsidR="00AA5D77" w:rsidRPr="006C40C1" w:rsidRDefault="00AA5D77">
      <w:r w:rsidRPr="006C40C1">
        <w:t>Vi anser att förslaget till riksdagsbeslut under punkt 7 bör ha följande lyde</w:t>
      </w:r>
      <w:r w:rsidRPr="006C40C1">
        <w:t>l</w:t>
      </w:r>
      <w:r w:rsidRPr="006C40C1">
        <w:t>se:6</w:t>
      </w:r>
    </w:p>
    <w:p w:rsidR="00AA5D77" w:rsidRPr="006C40C1" w:rsidRDefault="00AA5D77">
      <w:pPr>
        <w:spacing w:before="0"/>
      </w:pPr>
      <w:r w:rsidRPr="006C40C1">
        <w:t>7. Riksdagen godkänner den i reservation 13 redovisade preliminära förde</w:t>
      </w:r>
      <w:r w:rsidRPr="006C40C1">
        <w:t>l</w:t>
      </w:r>
      <w:r w:rsidRPr="006C40C1">
        <w:t>ningen av utgifter på utgiftsområden för år 2004 som riktlinje för regeringens budgeta</w:t>
      </w:r>
      <w:r w:rsidRPr="006C40C1">
        <w:t>r</w:t>
      </w:r>
      <w:r w:rsidRPr="006C40C1">
        <w:t xml:space="preserve">bete. Därmed bifaller riksdagen motion </w:t>
      </w:r>
    </w:p>
    <w:p w:rsidR="00AA5D77" w:rsidRPr="006C40C1" w:rsidRDefault="00AA5D77">
      <w:pPr>
        <w:spacing w:before="0"/>
      </w:pPr>
      <w:r w:rsidRPr="006C40C1">
        <w:t>2002/03:Fi232 av Lars Leijonborg m.fl. (fp) yrkande 7</w:t>
      </w:r>
    </w:p>
    <w:p w:rsidR="00AA5D77" w:rsidRPr="006C40C1" w:rsidRDefault="00AA5D77">
      <w:pPr>
        <w:spacing w:before="0"/>
      </w:pPr>
      <w:r w:rsidRPr="006C40C1">
        <w:t>och avslår proposition 2002/03:1 punkt 10 samt motionerna</w:t>
      </w:r>
    </w:p>
    <w:p w:rsidR="00AA5D77" w:rsidRPr="006C40C1" w:rsidRDefault="00AA5D77">
      <w:pPr>
        <w:pStyle w:val="Normaltindrag"/>
        <w:ind w:firstLine="0"/>
      </w:pPr>
      <w:r w:rsidRPr="006C40C1">
        <w:t>2002/03:Fi231 av Bo Lundgren m.fl. (m) yrkande 6,</w:t>
      </w:r>
    </w:p>
    <w:p w:rsidR="00AA5D77" w:rsidRPr="006C40C1" w:rsidRDefault="00AA5D77">
      <w:pPr>
        <w:pStyle w:val="Normaltindrag"/>
        <w:ind w:firstLine="0"/>
      </w:pPr>
      <w:r w:rsidRPr="006C40C1">
        <w:t>2002/03:Fi233 av Alf  Svensson m.fl. (kd) yrkandena 7 i denna del och 9 samt</w:t>
      </w:r>
    </w:p>
    <w:p w:rsidR="00AA5D77" w:rsidRPr="006C40C1" w:rsidRDefault="00AA5D77">
      <w:pPr>
        <w:pStyle w:val="Normaltindrag"/>
        <w:ind w:firstLine="0"/>
      </w:pPr>
      <w:r w:rsidRPr="006C40C1">
        <w:t>2002/03:Fi234 av Maud Olofsson m.fl. (c) yrkandena 7 och 8.</w:t>
      </w:r>
    </w:p>
    <w:p w:rsidR="00AA5D77" w:rsidRPr="006C40C1" w:rsidRDefault="00AA5D77">
      <w:pPr>
        <w:pStyle w:val="R4"/>
      </w:pPr>
      <w:r w:rsidRPr="006C40C1">
        <w:t>Ställningstagande</w:t>
      </w:r>
    </w:p>
    <w:p w:rsidR="00AA5D77" w:rsidRPr="006C40C1" w:rsidRDefault="00AA5D77">
      <w:r w:rsidRPr="006C40C1">
        <w:t>Vi anser att utgifterna preliminärt bör fördelas på utgiftsområden för 2004 på det sätt som föreslås i Folkpartiets motion Fi232. Regeringens förslag ang</w:t>
      </w:r>
      <w:r w:rsidRPr="006C40C1">
        <w:t>å</w:t>
      </w:r>
      <w:r w:rsidRPr="006C40C1">
        <w:t>ende anslagen på statsbudgeten inklusive ålderspensionssystemet vid sidan av statsbudgeten bör minskas med ca 16 miljarder kronor 2004. Viktiga delar av besparingarna är en reform av arbetsmarknadspolitiken med större självfina</w:t>
      </w:r>
      <w:r w:rsidRPr="006C40C1">
        <w:t>n</w:t>
      </w:r>
      <w:r w:rsidRPr="006C40C1">
        <w:t>sieringsgrad samt en omläggning av sjukförsäkringssystemet med bl.a. kra</w:t>
      </w:r>
      <w:r w:rsidRPr="006C40C1">
        <w:t>f</w:t>
      </w:r>
      <w:r w:rsidRPr="006C40C1">
        <w:t>tigt ökade rehabiliteringsinsatser så att fler långtidssjukskrivna kan återgå till jobbet. Dessutom föreslår vi att trafikförsäkringen bär ett större ansvar för vissa sjukpenningkostnader samt slopade lokala in</w:t>
      </w:r>
      <w:r w:rsidRPr="006C40C1">
        <w:t>vesteringsprogram. De prioriterade områdena under 2004 är framför allt vård och omsorg, barnf</w:t>
      </w:r>
      <w:r w:rsidRPr="006C40C1">
        <w:t>a</w:t>
      </w:r>
      <w:r w:rsidRPr="006C40C1">
        <w:t>miljer, bistånd samt investeringar i i</w:t>
      </w:r>
      <w:r w:rsidRPr="006C40C1">
        <w:t>n</w:t>
      </w:r>
      <w:r w:rsidRPr="006C40C1">
        <w:t>frastruktur och forskning.</w:t>
      </w:r>
    </w:p>
    <w:p w:rsidR="00AA5D77" w:rsidRPr="006C40C1" w:rsidRDefault="00AA5D77">
      <w:pPr>
        <w:pStyle w:val="Normaltindrag"/>
      </w:pPr>
      <w:r w:rsidRPr="006C40C1">
        <w:t>Vi ställer oss bakom förslaget i motion Fi230 (s, v, mp) om en utvidgad grön skatteväxling fr.o.m. 2003. Detta förslag bör enligt vår mening ko</w:t>
      </w:r>
      <w:r w:rsidRPr="006C40C1">
        <w:t>m</w:t>
      </w:r>
      <w:r w:rsidRPr="006C40C1">
        <w:t>pletteras med motsvarande justering av det generella statsbidraget till ko</w:t>
      </w:r>
      <w:r w:rsidRPr="006C40C1">
        <w:t>m</w:t>
      </w:r>
      <w:r w:rsidRPr="006C40C1">
        <w:t>munsektorn enligt finansi</w:t>
      </w:r>
      <w:r w:rsidRPr="006C40C1">
        <w:t>e</w:t>
      </w:r>
      <w:r w:rsidRPr="006C40C1">
        <w:t>ringsprincipen.</w:t>
      </w:r>
    </w:p>
    <w:p w:rsidR="00AA5D77" w:rsidRPr="006C40C1" w:rsidRDefault="00AA5D77">
      <w:pPr>
        <w:pStyle w:val="Normaltindrag"/>
      </w:pPr>
      <w:r w:rsidRPr="006C40C1">
        <w:t>Med det anförda tillstyrker vi förslagen i motion Fi232 (fp) yrkande 7 och hänvisar till de närmare preciseringar som görs i motionen. Regeringens förslag i denna del avstyrks (punkt 10) liksom motionerna Fi231 (m) yrka</w:t>
      </w:r>
      <w:r w:rsidRPr="006C40C1">
        <w:t>n</w:t>
      </w:r>
      <w:r w:rsidRPr="006C40C1">
        <w:t>de 6, Fi233 (kd) yrkandena 7 i denna del och 9 samt Fi234 (c) yrkandena 7 och 8.</w:t>
      </w:r>
    </w:p>
    <w:p w:rsidR="00AA5D77" w:rsidRPr="006C40C1" w:rsidRDefault="00AA5D77">
      <w:pPr>
        <w:pStyle w:val="Reservationspunkt"/>
        <w:rPr>
          <w:noProof w:val="0"/>
        </w:rPr>
      </w:pPr>
      <w:bookmarkStart w:id="1057" w:name="_Toc26191697"/>
      <w:r w:rsidRPr="006C40C1">
        <w:rPr>
          <w:noProof w:val="0"/>
        </w:rPr>
        <w:t>14. Preliminär fördelning av utgifterna på utgiftsområden 2004 – avsnitt 4.2, punkt 7 (kd)</w:t>
      </w:r>
      <w:bookmarkEnd w:id="1057"/>
    </w:p>
    <w:p w:rsidR="00AA5D77" w:rsidRPr="006C40C1" w:rsidRDefault="00AA5D77">
      <w:pPr>
        <w:pStyle w:val="Reservanter"/>
      </w:pPr>
      <w:r w:rsidRPr="006C40C1">
        <w:t>av Mats Odell (kd).</w:t>
      </w:r>
    </w:p>
    <w:p w:rsidR="00AA5D77" w:rsidRPr="006C40C1" w:rsidRDefault="00AA5D77">
      <w:pPr>
        <w:pStyle w:val="R4"/>
      </w:pPr>
      <w:r w:rsidRPr="006C40C1">
        <w:t>Förslag till riksdagsbeslut</w:t>
      </w:r>
    </w:p>
    <w:p w:rsidR="00AA5D77" w:rsidRPr="006C40C1" w:rsidRDefault="00AA5D77">
      <w:r w:rsidRPr="006C40C1">
        <w:t>Jag anser att utskottets förslag under punkt 7 borde ha följande lydelse:</w:t>
      </w:r>
    </w:p>
    <w:p w:rsidR="00AA5D77" w:rsidRPr="006C40C1" w:rsidRDefault="00AA5D77">
      <w:pPr>
        <w:pStyle w:val="Reservantfrslag"/>
      </w:pPr>
      <w:r w:rsidRPr="006C40C1">
        <w:t>7. Riksdagen godkänner den i reservation 14 föreslagna preliminära förde</w:t>
      </w:r>
      <w:r w:rsidRPr="006C40C1">
        <w:t>l</w:t>
      </w:r>
      <w:r w:rsidRPr="006C40C1">
        <w:t>ningen av utgifter på utgiftsområden för år 2004 som riktlinje för regeringens budgetarbete. Därmed bifaller riksdagen motion 2002/03:Fi233 av Alf Sven</w:t>
      </w:r>
      <w:r w:rsidRPr="006C40C1">
        <w:t>s</w:t>
      </w:r>
      <w:r w:rsidRPr="006C40C1">
        <w:t>son m.fl. (kd) yrkandena 7 och 9 och avslår proposition 2002/03:1 punkt 10 samt motionerna</w:t>
      </w:r>
    </w:p>
    <w:p w:rsidR="00AA5D77" w:rsidRPr="006C40C1" w:rsidRDefault="00AA5D77">
      <w:pPr>
        <w:pStyle w:val="Reservantfrslag"/>
        <w:outlineLvl w:val="0"/>
      </w:pPr>
      <w:r w:rsidRPr="006C40C1">
        <w:t xml:space="preserve">2002/03:Fi231 av Bo Lundgren m.fl. (m) yrkande 6, </w:t>
      </w:r>
    </w:p>
    <w:p w:rsidR="00AA5D77" w:rsidRPr="006C40C1" w:rsidRDefault="00AA5D77">
      <w:pPr>
        <w:pStyle w:val="Reservantfrslag"/>
      </w:pPr>
      <w:r w:rsidRPr="006C40C1">
        <w:t xml:space="preserve">2002/03:Fi232 av Lars Leijonborg m.fl. (fp) yrkande 7 samt </w:t>
      </w:r>
    </w:p>
    <w:p w:rsidR="00AA5D77" w:rsidRPr="006C40C1" w:rsidRDefault="00AA5D77">
      <w:pPr>
        <w:pStyle w:val="Normaltindrag"/>
        <w:ind w:firstLine="0"/>
      </w:pPr>
      <w:r w:rsidRPr="006C40C1">
        <w:t>2002/03:Fi234 av Maud Olofsson m.fl. (c) yrkandena 7 och 8.</w:t>
      </w:r>
    </w:p>
    <w:p w:rsidR="00AA5D77" w:rsidRPr="006C40C1" w:rsidRDefault="00AA5D77">
      <w:pPr>
        <w:pStyle w:val="R4"/>
      </w:pPr>
      <w:r w:rsidRPr="006C40C1">
        <w:t>Ställningstagande</w:t>
      </w:r>
    </w:p>
    <w:p w:rsidR="00AA5D77" w:rsidRPr="006C40C1" w:rsidRDefault="00AA5D77">
      <w:r w:rsidRPr="006C40C1">
        <w:t>Kristdemokraterna anser att den preliminära fördelningen av utgifterna på utgiftsområden för 2004 ska göras i enlighet med Kristdemokraternas motion Fi233. Det innebär att anslagen på statsbudgeten bör vara ca 18 miljarder kronor lägre än regeringens förslag för 2004. Genom den kristdemokratiska politiken, som vi anser att riksdagen bör ställa sig bakom, kan betydande utgiftsminskningar åstadkommas och omprioriteringar göras i enlighet med vad som i sin helhet redovisas i motion Fi233. Satsningar kan samti</w:t>
      </w:r>
      <w:r w:rsidRPr="006C40C1">
        <w:t>digt göras de kommande åren inom flera områden. Såväl garantinivån som ersättning</w:t>
      </w:r>
      <w:r w:rsidRPr="006C40C1">
        <w:t>s</w:t>
      </w:r>
      <w:r w:rsidRPr="006C40C1">
        <w:t>nivån i föräldraförsäkringen höjs. Pensionerna och u-landsbiståndet höjs. Resurser tillförs kommuner och landsting för att trygga behovet av vård och omsorg. Vi satsar också på rätt</w:t>
      </w:r>
      <w:r w:rsidRPr="006C40C1">
        <w:t>s</w:t>
      </w:r>
      <w:r w:rsidRPr="006C40C1">
        <w:t xml:space="preserve">väsendet och på vägar och järnvägar. </w:t>
      </w:r>
    </w:p>
    <w:p w:rsidR="00AA5D77" w:rsidRPr="006C40C1" w:rsidRDefault="00AA5D77">
      <w:pPr>
        <w:pStyle w:val="Normaltindrag"/>
      </w:pPr>
      <w:r w:rsidRPr="006C40C1">
        <w:t>Med det anförda föreslår jag att motion Fi233 (kd) yrkande 9 bör bifallas av riksdagen. Jag hänvisar till samtliga de närmare preciseringar som görs i motionerna. Propositionens förslag och övriga motioners för</w:t>
      </w:r>
      <w:r w:rsidRPr="006C40C1">
        <w:t>slag i motsvara</w:t>
      </w:r>
      <w:r w:rsidRPr="006C40C1">
        <w:t>n</w:t>
      </w:r>
      <w:r w:rsidRPr="006C40C1">
        <w:t xml:space="preserve">de delar bör avslås.  </w:t>
      </w:r>
    </w:p>
    <w:p w:rsidR="00AA5D77" w:rsidRPr="006C40C1" w:rsidRDefault="00AA5D77">
      <w:pPr>
        <w:pStyle w:val="Reservationspunkt"/>
        <w:rPr>
          <w:noProof w:val="0"/>
        </w:rPr>
      </w:pPr>
      <w:bookmarkStart w:id="1058" w:name="_Toc26191698"/>
      <w:r w:rsidRPr="006C40C1">
        <w:rPr>
          <w:noProof w:val="0"/>
        </w:rPr>
        <w:t>15.</w:t>
      </w:r>
      <w:r w:rsidRPr="006C40C1">
        <w:rPr>
          <w:noProof w:val="0"/>
        </w:rPr>
        <w:tab/>
        <w:t>Preliminär fördelning av utgifterna på utgiftsområden 2004 – avsnitt 4.2, punkt 7 (c)</w:t>
      </w:r>
      <w:bookmarkEnd w:id="1058"/>
    </w:p>
    <w:p w:rsidR="00AA5D77" w:rsidRPr="006C40C1" w:rsidRDefault="00AA5D77">
      <w:pPr>
        <w:pStyle w:val="Reservanter"/>
      </w:pPr>
      <w:r w:rsidRPr="006C40C1">
        <w:t>av Lena Ek (c).</w:t>
      </w:r>
    </w:p>
    <w:p w:rsidR="00AA5D77" w:rsidRPr="006C40C1" w:rsidRDefault="00AA5D77">
      <w:pPr>
        <w:pStyle w:val="R4"/>
        <w:outlineLvl w:val="0"/>
      </w:pPr>
      <w:r w:rsidRPr="006C40C1">
        <w:t>Förslag till riksdagsbeslut</w:t>
      </w:r>
    </w:p>
    <w:p w:rsidR="00AA5D77" w:rsidRPr="006C40C1" w:rsidRDefault="00AA5D77">
      <w:r w:rsidRPr="006C40C1">
        <w:t>Jag anser att utskottets förslag under punkt 7 borde ha följande lydelse:</w:t>
      </w:r>
    </w:p>
    <w:p w:rsidR="00AA5D77" w:rsidRPr="006C40C1" w:rsidRDefault="00AA5D77">
      <w:pPr>
        <w:pStyle w:val="Reservantfrslag"/>
      </w:pPr>
      <w:r w:rsidRPr="006C40C1">
        <w:t>7. Riksdagen godkänner den i reservation 15 föreslagna preliminära förde</w:t>
      </w:r>
      <w:r w:rsidRPr="006C40C1">
        <w:t>l</w:t>
      </w:r>
      <w:r w:rsidRPr="006C40C1">
        <w:t>ningen av utgifter på utgiftsområden för år 2004 som riktlinje för regeringens budgetarbete. Därmed bifaller riksdagen motion 2002/03:Fi234 av Maud Olofsson m.fl. (c) yrkandena 7 och 8 och avslår proposition 2002/03:1 punkt 10 samt motionerna</w:t>
      </w:r>
    </w:p>
    <w:p w:rsidR="00AA5D77" w:rsidRPr="006C40C1" w:rsidRDefault="00AA5D77">
      <w:pPr>
        <w:pStyle w:val="Reservantfrslag"/>
        <w:outlineLvl w:val="0"/>
      </w:pPr>
      <w:r w:rsidRPr="006C40C1">
        <w:t xml:space="preserve">2002/03:Fi231 av Bo Lundgren m.fl. (m) yrkande 6, </w:t>
      </w:r>
    </w:p>
    <w:p w:rsidR="00AA5D77" w:rsidRPr="006C40C1" w:rsidRDefault="00AA5D77">
      <w:pPr>
        <w:pStyle w:val="Reservantfrslag"/>
      </w:pPr>
      <w:r w:rsidRPr="006C40C1">
        <w:t xml:space="preserve">2002/03:Fi232 av Lars Leijonborg m.fl. (fp) yrkande 7 samt </w:t>
      </w:r>
    </w:p>
    <w:p w:rsidR="00AA5D77" w:rsidRPr="006C40C1" w:rsidRDefault="00AA5D77">
      <w:pPr>
        <w:pStyle w:val="Reservantfrslag"/>
      </w:pPr>
      <w:r w:rsidRPr="006C40C1">
        <w:t>2002/03:Fi233 av Alf Svensson m.fl. (kd) yrkandena 7 och 9.</w:t>
      </w:r>
    </w:p>
    <w:p w:rsidR="00AA5D77" w:rsidRPr="006C40C1" w:rsidRDefault="00AA5D77">
      <w:pPr>
        <w:pStyle w:val="R4"/>
        <w:outlineLvl w:val="0"/>
      </w:pPr>
      <w:r w:rsidRPr="006C40C1">
        <w:t>Ställningstagande</w:t>
      </w:r>
    </w:p>
    <w:p w:rsidR="00AA5D77" w:rsidRPr="006C40C1" w:rsidRDefault="00AA5D77">
      <w:r w:rsidRPr="006C40C1">
        <w:t>Jag anser att den preliminära fördelningen av utgifterna på utgiftsområden år 2004 ska göras på det sätt som föreslås i Centerpartiets motion Fi234. Det innebär att regeringens förslag angående anslagen på statsbudgeten inklusive ålderspensionssystemet vid sidan av statsbudgeten bör minskas med ca 46 miljarder kronor år 2004.</w:t>
      </w:r>
    </w:p>
    <w:p w:rsidR="00AA5D77" w:rsidRPr="006C40C1" w:rsidRDefault="00AA5D77">
      <w:pPr>
        <w:pStyle w:val="Normaltindrag"/>
      </w:pPr>
      <w:r w:rsidRPr="006C40C1">
        <w:t>Genom Centerpartiets politik kommer utgifterna för arbetslösheten att sjunka. Våra förslag om rehabiliterings- och vårdgaranti kommer att kraftigt minska kostnaderna för sjukpenning och förtidspensioner. Vi vill genomföra en inkomstskattereform som är avsedd att minska dagens höga marginale</w:t>
      </w:r>
      <w:r w:rsidRPr="006C40C1">
        <w:t>f</w:t>
      </w:r>
      <w:r w:rsidRPr="006C40C1">
        <w:t>fekter för låg- och medelinkomsttagare. Reformen kommer indirekt också att stärka kommunernas skattebas och minska deras beroende av statliga bidrag.</w:t>
      </w:r>
    </w:p>
    <w:p w:rsidR="00AA5D77" w:rsidRPr="006C40C1" w:rsidRDefault="00AA5D77">
      <w:pPr>
        <w:pStyle w:val="Normaltindrag"/>
      </w:pPr>
      <w:r w:rsidRPr="006C40C1">
        <w:t>Jag föreslår alltså att riksdagen bifaller motion Fi234 yrkandena 7 och 8 och avslår regeringens förslag i denna del (punkt 10) samt motionerna Fi231 (m) yrkande 6, Fi232 (fp) yrkande 7 och Fi233 (kd) yrkandena 7 och 8.</w:t>
      </w:r>
    </w:p>
    <w:p w:rsidR="00AA5D77" w:rsidRPr="006C40C1" w:rsidRDefault="00AA5D77">
      <w:pPr>
        <w:pStyle w:val="Reservationspunkt"/>
        <w:rPr>
          <w:noProof w:val="0"/>
        </w:rPr>
      </w:pPr>
      <w:bookmarkStart w:id="1059" w:name="_Toc26191699"/>
      <w:r w:rsidRPr="006C40C1">
        <w:rPr>
          <w:noProof w:val="0"/>
        </w:rPr>
        <w:t>16.</w:t>
      </w:r>
      <w:r w:rsidRPr="006C40C1">
        <w:rPr>
          <w:noProof w:val="0"/>
        </w:rPr>
        <w:tab/>
        <w:t>Försäljning av statliga tillgångar – avsnitt 5.1, punkt 13 (m, fp, kd, c)</w:t>
      </w:r>
      <w:bookmarkEnd w:id="1059"/>
    </w:p>
    <w:p w:rsidR="00AA5D77" w:rsidRPr="006C40C1" w:rsidRDefault="00AA5D77">
      <w:pPr>
        <w:pStyle w:val="Reservanter"/>
      </w:pPr>
      <w:r w:rsidRPr="006C40C1">
        <w:t xml:space="preserve">av Fredrik Reinfeldt (m), Karin Pilsäter (fp), Mats Odell (kd), Gunnar Axén (m), Christer Nylander (fp), Lena Ek (c) och Tomas Högström (m). </w:t>
      </w:r>
    </w:p>
    <w:p w:rsidR="00AA5D77" w:rsidRPr="006C40C1" w:rsidRDefault="00AA5D77">
      <w:pPr>
        <w:pStyle w:val="R4"/>
      </w:pPr>
      <w:r w:rsidRPr="006C40C1">
        <w:t>Förslag till riksdagsbeslut</w:t>
      </w:r>
    </w:p>
    <w:p w:rsidR="00AA5D77" w:rsidRPr="006C40C1" w:rsidRDefault="00AA5D77">
      <w:r w:rsidRPr="006C40C1">
        <w:t>Vi anser att utskottets förslag under punkt 13 borde ha följande lydelse:</w:t>
      </w:r>
    </w:p>
    <w:p w:rsidR="00AA5D77" w:rsidRPr="006C40C1" w:rsidRDefault="00AA5D77">
      <w:pPr>
        <w:pStyle w:val="Reservantfrslag"/>
      </w:pPr>
      <w:r w:rsidRPr="006C40C1">
        <w:t xml:space="preserve">13. Riksdagen tillkännager för regeringen som sin mening vad som anförs i reservation 16. Därmed bifaller riksdagen delvis motionerna </w:t>
      </w:r>
    </w:p>
    <w:p w:rsidR="00AA5D77" w:rsidRPr="006C40C1" w:rsidRDefault="00AA5D77">
      <w:pPr>
        <w:pStyle w:val="Reservantfrslag"/>
      </w:pPr>
      <w:r w:rsidRPr="006C40C1">
        <w:t>2002/03:Fi210 av Fredrik Reinfeldt m.fl. (m),</w:t>
      </w:r>
    </w:p>
    <w:p w:rsidR="00AA5D77" w:rsidRPr="006C40C1" w:rsidRDefault="00AA5D77">
      <w:pPr>
        <w:pStyle w:val="Reservantfrslag"/>
      </w:pPr>
      <w:r w:rsidRPr="006C40C1">
        <w:t>2002/03:Fi232 av Lars Leijo</w:t>
      </w:r>
      <w:r w:rsidRPr="006C40C1">
        <w:t>n</w:t>
      </w:r>
      <w:r w:rsidRPr="006C40C1">
        <w:t xml:space="preserve">borg m.fl. (fp) yrkande 24 samt </w:t>
      </w:r>
    </w:p>
    <w:p w:rsidR="00AA5D77" w:rsidRPr="006C40C1" w:rsidRDefault="00AA5D77">
      <w:pPr>
        <w:pStyle w:val="Reservantfrslag"/>
      </w:pPr>
      <w:r w:rsidRPr="006C40C1">
        <w:t>2002/03:Fi234 av Maud Olofsson m.fl. (c) yrkande 13.</w:t>
      </w:r>
    </w:p>
    <w:p w:rsidR="00AA5D77" w:rsidRPr="006C40C1" w:rsidRDefault="00AA5D77">
      <w:pPr>
        <w:pStyle w:val="R4"/>
      </w:pPr>
      <w:r w:rsidRPr="006C40C1">
        <w:t>Ställningstagande</w:t>
      </w:r>
    </w:p>
    <w:p w:rsidR="00AA5D77" w:rsidRPr="006C40C1" w:rsidRDefault="00AA5D77">
      <w:r w:rsidRPr="006C40C1">
        <w:t>Vi anser att statens främsta näringspolitiska uppgift är att ange ramar och regelsystem för näringslivets verksamhet och att bidra till att skapa förutsät</w:t>
      </w:r>
      <w:r w:rsidRPr="006C40C1">
        <w:t>t</w:t>
      </w:r>
      <w:r w:rsidRPr="006C40C1">
        <w:t>ningar för långsiktig tillväxt. Om staten samtidigt uppträder som ägare och som utformare av de regler som gäller för näringslivets verksamhet finns betydande risker för bl.a. konkurrenssnedvridning och icke optimala inv</w:t>
      </w:r>
      <w:r w:rsidRPr="006C40C1">
        <w:t>e</w:t>
      </w:r>
      <w:r w:rsidRPr="006C40C1">
        <w:t xml:space="preserve">steringsbeslut. Staten bör därför i stället ägna sig åt verksamhet som ingen annan kan sköta lika bra eller bättre. Endast i undantagsfall </w:t>
      </w:r>
      <w:r w:rsidRPr="006C40C1">
        <w:rPr>
          <w:snapToGrid w:val="0"/>
          <w:lang w:eastAsia="sv-SE"/>
        </w:rPr>
        <w:t>ska</w:t>
      </w:r>
      <w:r w:rsidRPr="006C40C1">
        <w:t xml:space="preserve"> staten vara ägare.</w:t>
      </w:r>
    </w:p>
    <w:p w:rsidR="00AA5D77" w:rsidRPr="006C40C1" w:rsidRDefault="00AA5D77">
      <w:pPr>
        <w:pStyle w:val="Normaltindrag"/>
      </w:pPr>
      <w:r w:rsidRPr="006C40C1">
        <w:t xml:space="preserve">Enligt vår mening måste grundprincipen vara den att konkurrensutsatt verksamhet </w:t>
      </w:r>
      <w:r w:rsidRPr="006C40C1">
        <w:rPr>
          <w:snapToGrid w:val="0"/>
          <w:lang w:eastAsia="sv-SE"/>
        </w:rPr>
        <w:t>ska</w:t>
      </w:r>
      <w:r w:rsidRPr="006C40C1">
        <w:t xml:space="preserve"> bedrivas i privat regi. En privatisering av statliga företag skapar en tydligare ägarroll, mer kommersiellt kompetenta företag och en ökad aktiespridning. Vi anser därmed att t.ex. Vasakronan AB, AB Vin &amp; Sprit och SBAB skyndsamt bör privatiseras. Vid en försäljning av statliga bolag </w:t>
      </w:r>
      <w:r w:rsidRPr="006C40C1">
        <w:rPr>
          <w:snapToGrid w:val="0"/>
          <w:lang w:eastAsia="sv-SE"/>
        </w:rPr>
        <w:t>ska</w:t>
      </w:r>
      <w:r w:rsidRPr="006C40C1">
        <w:t xml:space="preserve"> inkomsterna användas för en amortering av statsskulden. Detta sänker statens ränteutgifter.</w:t>
      </w:r>
    </w:p>
    <w:p w:rsidR="00AA5D77" w:rsidRPr="006C40C1" w:rsidRDefault="00AA5D77">
      <w:pPr>
        <w:pStyle w:val="NormaltindragNormalindragNormalIndrag"/>
        <w:ind w:left="0"/>
      </w:pPr>
      <w:r w:rsidRPr="006C40C1">
        <w:t>Vi föreslår att riksdagen delvis bifaller motionerna Fi210 (m), Fi232 (fp) yrkande 24 i denna del och Fi234 (c) yrkande 13 i de</w:t>
      </w:r>
      <w:r w:rsidRPr="006C40C1">
        <w:t>nna del.</w:t>
      </w:r>
    </w:p>
    <w:p w:rsidR="00AA5D77" w:rsidRPr="006C40C1" w:rsidRDefault="00AA5D77"/>
    <w:p w:rsidR="00AA5D77" w:rsidRPr="006C40C1" w:rsidRDefault="00AA5D77">
      <w:pPr>
        <w:sectPr w:rsidR="00000000" w:rsidRPr="006C40C1">
          <w:headerReference w:type="even" r:id="rId164"/>
          <w:headerReference w:type="default" r:id="rId165"/>
          <w:footerReference w:type="even" r:id="rId166"/>
          <w:footerReference w:type="default" r:id="rId167"/>
          <w:headerReference w:type="first" r:id="rId168"/>
          <w:footerReference w:type="first" r:id="rId169"/>
          <w:pgSz w:w="11906" w:h="16838" w:code="9"/>
          <w:pgMar w:top="850" w:right="4649" w:bottom="4507" w:left="1304" w:header="340" w:footer="227" w:gutter="0"/>
          <w:cols w:space="720"/>
          <w:titlePg/>
        </w:sectPr>
      </w:pPr>
    </w:p>
    <w:p w:rsidR="00AA5D77" w:rsidRPr="006C40C1" w:rsidRDefault="00AA5D77">
      <w:pPr>
        <w:pStyle w:val="Rubrik1"/>
        <w:rPr>
          <w:noProof w:val="0"/>
        </w:rPr>
      </w:pPr>
      <w:bookmarkStart w:id="1060" w:name="_Toc26191700"/>
      <w:r w:rsidRPr="006C40C1">
        <w:rPr>
          <w:noProof w:val="0"/>
        </w:rPr>
        <w:t>Särskilda yttranden</w:t>
      </w:r>
      <w:bookmarkEnd w:id="1060"/>
    </w:p>
    <w:p w:rsidR="00AA5D77" w:rsidRPr="006C40C1" w:rsidRDefault="00AA5D77">
      <w:pPr>
        <w:pStyle w:val="Rubrik3"/>
        <w:rPr>
          <w:noProof w:val="0"/>
        </w:rPr>
      </w:pPr>
      <w:bookmarkStart w:id="1061" w:name="_Toc23829795"/>
      <w:bookmarkStart w:id="1062" w:name="_Toc25564194"/>
      <w:bookmarkStart w:id="1063" w:name="_Toc26191701"/>
      <w:r w:rsidRPr="006C40C1">
        <w:rPr>
          <w:noProof w:val="0"/>
        </w:rPr>
        <w:t>1. Mål för budgetpolitiken – avsnitt 2.3, punkt 4 (m, fp, kd, c)</w:t>
      </w:r>
      <w:bookmarkEnd w:id="1062"/>
      <w:bookmarkEnd w:id="1063"/>
    </w:p>
    <w:p w:rsidR="00AA5D77" w:rsidRPr="006C40C1" w:rsidRDefault="00AA5D77">
      <w:pPr>
        <w:pStyle w:val="Reservanter"/>
      </w:pPr>
      <w:r w:rsidRPr="006C40C1">
        <w:t xml:space="preserve">av Fredrik Reinfeldt (m), Karin Pilsäter (fp), Mats Odell (kd), Gunnar Axén (m), Christer Nylander (fp), Lena Ek (c) och Tomas Högström (m). </w:t>
      </w:r>
    </w:p>
    <w:p w:rsidR="00AA5D77" w:rsidRPr="006C40C1" w:rsidRDefault="00AA5D77">
      <w:r w:rsidRPr="006C40C1">
        <w:t>Den nya budgetprocessen i staten prövas när den statliga budgeten utsätts för påfrestningar. Den offentliga sektorns överskott bärs upp av pensionsspara</w:t>
      </w:r>
      <w:r w:rsidRPr="006C40C1">
        <w:t>n</w:t>
      </w:r>
      <w:r w:rsidRPr="006C40C1">
        <w:t>det medan statens finanser går med underskott i stort sett samtliga år och utgiftstaket för staten riskerar att överskridas. Regeringen väljer att i detta läge töja på sunda budgetprinciper. Vi vill här peka på några aspekter där rege</w:t>
      </w:r>
      <w:r w:rsidRPr="006C40C1">
        <w:t>r</w:t>
      </w:r>
      <w:r w:rsidRPr="006C40C1">
        <w:t>ingens agerande kan ifrågasättas.</w:t>
      </w:r>
    </w:p>
    <w:p w:rsidR="00AA5D77" w:rsidRPr="006C40C1" w:rsidRDefault="00AA5D77">
      <w:pPr>
        <w:pStyle w:val="Rubrik4"/>
        <w:rPr>
          <w:noProof w:val="0"/>
        </w:rPr>
      </w:pPr>
      <w:bookmarkStart w:id="1064" w:name="_Toc26191702"/>
      <w:r w:rsidRPr="006C40C1">
        <w:rPr>
          <w:noProof w:val="0"/>
        </w:rPr>
        <w:t>Inget saldomål och utgiftstak för 2005, inget reviderat saldomål för 2003</w:t>
      </w:r>
      <w:bookmarkEnd w:id="1064"/>
      <w:r w:rsidRPr="006C40C1">
        <w:rPr>
          <w:noProof w:val="0"/>
        </w:rPr>
        <w:t xml:space="preserve"> </w:t>
      </w:r>
      <w:bookmarkEnd w:id="1061"/>
    </w:p>
    <w:p w:rsidR="00AA5D77" w:rsidRPr="006C40C1" w:rsidRDefault="00AA5D77">
      <w:r w:rsidRPr="006C40C1">
        <w:t>Regeringen lämnar inte något förslag om saldomål och utgiftstak för 2005 i budgetpropositionen. Tidigare behandlades dessa frågor i anslutning till den ekonomiska vårpropositionen men på förslag av Riksdagskommittén har riksdagen beslutat att utgiftsramarna för de kommande tre åren ska fastställas först i samband med behandlingen av budgetpropositionen. I vårpropositionen 2002 uppgav regeringen att den avsåg att i budgetpropositionen för 2003 lämna förslag om utgiftstak och saldomål för 2005 (prop. 2001/0</w:t>
      </w:r>
      <w:r w:rsidRPr="006C40C1">
        <w:t>2:100 s. 55).</w:t>
      </w:r>
    </w:p>
    <w:p w:rsidR="00AA5D77" w:rsidRPr="006C40C1" w:rsidRDefault="00AA5D77">
      <w:pPr>
        <w:pStyle w:val="Normaltindrag"/>
      </w:pPr>
      <w:r w:rsidRPr="006C40C1">
        <w:t>I den nu aktuella budgetpropositionen skriver regeringen (s. 79) att valet har inneburit att beredningstiden för ställningstagandet avseende den långsi</w:t>
      </w:r>
      <w:r w:rsidRPr="006C40C1">
        <w:t>k</w:t>
      </w:r>
      <w:r w:rsidRPr="006C40C1">
        <w:t>tiga budgetpolitiken inte varit tillräcklig. Regeringen säger sig därför sakna möjlighet att i budgetpropositionen lägga fram förslag till utgiftstak och sa</w:t>
      </w:r>
      <w:r w:rsidRPr="006C40C1">
        <w:t>l</w:t>
      </w:r>
      <w:r w:rsidRPr="006C40C1">
        <w:t xml:space="preserve">domål för 2005. </w:t>
      </w:r>
    </w:p>
    <w:p w:rsidR="00AA5D77" w:rsidRPr="006C40C1" w:rsidRDefault="00AA5D77">
      <w:pPr>
        <w:pStyle w:val="Normaltindrag"/>
      </w:pPr>
      <w:r w:rsidRPr="006C40C1">
        <w:t>Valet kan dock inte ha kommit som någon överraskning för regeringen. Regeringens underlåtenhet att föreslå utgiftstak för 2005 motverkar långsi</w:t>
      </w:r>
      <w:r w:rsidRPr="006C40C1">
        <w:t>k</w:t>
      </w:r>
      <w:r w:rsidRPr="006C40C1">
        <w:t>tigheten i den statliga budgetproce</w:t>
      </w:r>
      <w:r w:rsidRPr="006C40C1">
        <w:t>s</w:t>
      </w:r>
      <w:r w:rsidRPr="006C40C1">
        <w:t>sen.</w:t>
      </w:r>
    </w:p>
    <w:p w:rsidR="00AA5D77" w:rsidRPr="006C40C1" w:rsidRDefault="00AA5D77">
      <w:r w:rsidRPr="006C40C1">
        <w:t>Regeringen anförde också i vårpropositionen att den i sedvanlig ordning avsåg att återkomma till frågan om överskottsmålet för 2003 i budgetpropos</w:t>
      </w:r>
      <w:r w:rsidRPr="006C40C1">
        <w:t>i</w:t>
      </w:r>
      <w:r w:rsidRPr="006C40C1">
        <w:t>tionen för 2003 (prop. 2001/02:100 s. 59). Regeringen har dock i budgetpr</w:t>
      </w:r>
      <w:r w:rsidRPr="006C40C1">
        <w:t>o</w:t>
      </w:r>
      <w:r w:rsidRPr="006C40C1">
        <w:t>positionen utan närmare förklaring frångått den tidigare ordningen att föreslå ett preciserat saldomål för närmast efterföljande år. Vi anser att regeringen borde ha redovisat skälen för att man har frångått sin tidigare utfästelse att redovisa ett rev</w:t>
      </w:r>
      <w:r w:rsidRPr="006C40C1">
        <w:t>i</w:t>
      </w:r>
      <w:r w:rsidRPr="006C40C1">
        <w:t>derat saldomål för 2003.</w:t>
      </w:r>
    </w:p>
    <w:p w:rsidR="00AA5D77" w:rsidRPr="006C40C1" w:rsidRDefault="00AA5D77">
      <w:pPr>
        <w:pStyle w:val="Normaltindrag"/>
      </w:pPr>
      <w:r w:rsidRPr="006C40C1">
        <w:t xml:space="preserve">Regeringen gör i budgetpropositionen en bedömning av hur väl det s.k. strukturella överskottet överensstämmer med det långsiktiga målet om 2 % överskott under </w:t>
      </w:r>
      <w:r w:rsidRPr="006C40C1">
        <w:t>en konjunkturcykel. Regeringen skriver att BNP för 2003 och 2004 förutses ”ligga kvar på en nivå som understiger den svenska ekonomins potentiella produktionsnivå”. Annorlunda uttryckt innebär detta att de til</w:t>
      </w:r>
      <w:r w:rsidRPr="006C40C1">
        <w:t>l</w:t>
      </w:r>
      <w:r w:rsidRPr="006C40C1">
        <w:t>gängliga resurserna i samhället inte utnyttjas fullt ut. Om man tar hänsyn till detta och dessutom beaktar att statens och kommunernas skatteinkomster fördelar sig på ett annat sätt över åren efter en periodisering, bedömer rege</w:t>
      </w:r>
      <w:r w:rsidRPr="006C40C1">
        <w:t>r</w:t>
      </w:r>
      <w:r w:rsidRPr="006C40C1">
        <w:t>ingen ”det strukturella överskottet ligga i linje med det medelfristiga m</w:t>
      </w:r>
      <w:r w:rsidRPr="006C40C1">
        <w:t>ålet på 2 procent av BNP såväl 2003 som 2004”.</w:t>
      </w:r>
    </w:p>
    <w:p w:rsidR="00AA5D77" w:rsidRPr="006C40C1" w:rsidRDefault="00AA5D77">
      <w:pPr>
        <w:pStyle w:val="Normaltindrag"/>
      </w:pPr>
      <w:r w:rsidRPr="006C40C1">
        <w:t>En bedömning av det slag som regeringen gör skulle kunna ses som ett a</w:t>
      </w:r>
      <w:r w:rsidRPr="006C40C1">
        <w:t>l</w:t>
      </w:r>
      <w:r w:rsidRPr="006C40C1">
        <w:t>ternativ till uppföljningen av de för varje år preciserade överskottsmålen. Vi vill dock framhålla att en beräkning av det strukturella överskottet alltid rymmer ett betydande mått av godtycklighet. Ställs ett sådant vagt definierat begrepp i relation till det genomsnittliga konjunkturcykelmålet blir tolkningen inte lika entydig som när ett preciserat överskottsmål i efterhand jämförs med ett faktiskt uppnått resultat. Regeringen öppnar således för mer skönsmässiga tolkningar av huruvida budgetpolitikens m</w:t>
      </w:r>
      <w:r w:rsidRPr="006C40C1">
        <w:t>ål har uppnåtts.</w:t>
      </w:r>
    </w:p>
    <w:p w:rsidR="00AA5D77" w:rsidRPr="006C40C1" w:rsidRDefault="00AA5D77">
      <w:pPr>
        <w:pStyle w:val="Normaltindrag"/>
      </w:pPr>
      <w:r w:rsidRPr="006C40C1">
        <w:t>Vi förutsätter att regeringen fortsättningsvis kommer att redovisa precis</w:t>
      </w:r>
      <w:r w:rsidRPr="006C40C1">
        <w:t>e</w:t>
      </w:r>
      <w:r w:rsidRPr="006C40C1">
        <w:t>rade saldomål.</w:t>
      </w:r>
    </w:p>
    <w:p w:rsidR="00AA5D77" w:rsidRPr="006C40C1" w:rsidRDefault="00AA5D77">
      <w:pPr>
        <w:pStyle w:val="Rubrik4"/>
        <w:rPr>
          <w:noProof w:val="0"/>
        </w:rPr>
      </w:pPr>
      <w:bookmarkStart w:id="1065" w:name="_Toc23829796"/>
      <w:bookmarkStart w:id="1066" w:name="_Toc26191703"/>
      <w:r w:rsidRPr="006C40C1">
        <w:rPr>
          <w:noProof w:val="0"/>
        </w:rPr>
        <w:t>Liten budgeteringsmarginal</w:t>
      </w:r>
      <w:bookmarkEnd w:id="1065"/>
      <w:bookmarkEnd w:id="1066"/>
    </w:p>
    <w:p w:rsidR="00AA5D77" w:rsidRPr="006C40C1" w:rsidRDefault="00AA5D77">
      <w:r w:rsidRPr="006C40C1">
        <w:t xml:space="preserve">Budgetpropositionens förslag innebär en budgeteringsmarginal som för 2002 uppgår till 0,3 miljarder kronor, för 2003 till 0,4 miljarder kronor och för 2004 till 0,6 miljarder kronor. </w:t>
      </w:r>
    </w:p>
    <w:p w:rsidR="00AA5D77" w:rsidRPr="006C40C1" w:rsidRDefault="00AA5D77">
      <w:pPr>
        <w:pStyle w:val="Normaltindrag"/>
      </w:pPr>
      <w:r w:rsidRPr="006C40C1">
        <w:t xml:space="preserve">De nu redovisade nivåerna för budgeteringsmarginalen för 2002–2004 är extremt låga och har sedan systemet med utgiftstak infördes aldrig tidigare förts upp med så låga värden i någon budgetproposition eller vårproposition. Det framgår av efterföljande sammanställning vars uppgifter är hämtade ur de vårpropositioner och budgetpropositioner som har lagts fram sedan 1996. </w:t>
      </w:r>
    </w:p>
    <w:p w:rsidR="00AA5D77" w:rsidRPr="006C40C1" w:rsidRDefault="00AA5D77">
      <w:r w:rsidRPr="006C40C1">
        <w:rPr>
          <w:b/>
          <w:sz w:val="20"/>
        </w:rPr>
        <w:t>Nivån på budgeteringsmarginalen redovisad i budget- och vårprop</w:t>
      </w:r>
      <w:r w:rsidRPr="006C40C1">
        <w:rPr>
          <w:b/>
          <w:sz w:val="20"/>
        </w:rPr>
        <w:t>o</w:t>
      </w:r>
      <w:r w:rsidRPr="006C40C1">
        <w:rPr>
          <w:b/>
          <w:sz w:val="20"/>
        </w:rPr>
        <w:t>sitioner</w:t>
      </w:r>
    </w:p>
    <w:p w:rsidR="00AA5D77" w:rsidRPr="006C40C1" w:rsidRDefault="006C40C1">
      <w:pPr>
        <w:spacing w:line="240" w:lineRule="auto"/>
      </w:pPr>
      <w:r w:rsidRPr="006C40C1">
        <w:rPr>
          <w:noProof/>
        </w:rPr>
        <w:drawing>
          <wp:inline distT="0" distB="0" distL="0" distR="0">
            <wp:extent cx="3777615" cy="2296795"/>
            <wp:effectExtent l="0" t="0" r="0" b="0"/>
            <wp:docPr id="92" name="Bild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777615" cy="2296795"/>
                    </a:xfrm>
                    <a:prstGeom prst="rect">
                      <a:avLst/>
                    </a:prstGeom>
                    <a:noFill/>
                    <a:ln>
                      <a:noFill/>
                    </a:ln>
                  </pic:spPr>
                </pic:pic>
              </a:graphicData>
            </a:graphic>
          </wp:inline>
        </w:drawing>
      </w:r>
    </w:p>
    <w:p w:rsidR="00AA5D77" w:rsidRPr="006C40C1" w:rsidRDefault="00AA5D77"/>
    <w:p w:rsidR="00AA5D77" w:rsidRPr="006C40C1" w:rsidRDefault="00AA5D77">
      <w:r w:rsidRPr="006C40C1">
        <w:t>I den nu aktuella budgetpropositionen är budgeteringsmarginalen för 2002 angiven till 0,3 miljarder kronor. Av sammanställningen framgår att budget</w:t>
      </w:r>
      <w:r w:rsidRPr="006C40C1">
        <w:t>e</w:t>
      </w:r>
      <w:r w:rsidRPr="006C40C1">
        <w:t>ringsmarginalen för det aktuella året tidigare redovisats med belopp på mellan 0,6 och 8,9 miljarder kronor. För 2003 är budgeteringsmarginalen uppförd med 0,4 miljarder kronor mot tidigare med mellan 1,2 och 15,0 miljarder kronor. Och för 2004 är nivån på budgeteringsmarginalen 0,6 miljarder kr</w:t>
      </w:r>
      <w:r w:rsidRPr="006C40C1">
        <w:t>o</w:t>
      </w:r>
      <w:r w:rsidRPr="006C40C1">
        <w:t>nor mot tidigare 2,0 och 18 miljarder kronor. De förändringar som utskottets majoritet föreslår i detta betänkande påverkar budgeteringsmarginalen i b</w:t>
      </w:r>
      <w:r w:rsidRPr="006C40C1">
        <w:t>e</w:t>
      </w:r>
      <w:r w:rsidRPr="006C40C1">
        <w:t xml:space="preserve">gränsad omfattning, men innebär inte att utvecklingen mot allt </w:t>
      </w:r>
      <w:r w:rsidRPr="006C40C1">
        <w:t>mindre bu</w:t>
      </w:r>
      <w:r w:rsidRPr="006C40C1">
        <w:t>d</w:t>
      </w:r>
      <w:r w:rsidRPr="006C40C1">
        <w:t>geteringsmarginal bryts.</w:t>
      </w:r>
    </w:p>
    <w:p w:rsidR="00AA5D77" w:rsidRPr="006C40C1" w:rsidRDefault="00AA5D77">
      <w:pPr>
        <w:pStyle w:val="Normaltindrag"/>
      </w:pPr>
      <w:r w:rsidRPr="006C40C1">
        <w:t>Av propositionen framgår att prognosen för budgeteringsmarginalen för 2003 och 2004 är osäker och förutsätter att de snabbt ökande sjukskrivning</w:t>
      </w:r>
      <w:r w:rsidRPr="006C40C1">
        <w:t>s</w:t>
      </w:r>
      <w:r w:rsidRPr="006C40C1">
        <w:t>kostnaderna kan brytas. Även andra faktorer bidrar emellertid till osäkerh</w:t>
      </w:r>
      <w:r w:rsidRPr="006C40C1">
        <w:t>e</w:t>
      </w:r>
      <w:r w:rsidRPr="006C40C1">
        <w:t>ten. Så t.ex. har regeringen sedan vårpropositionen reviderat sin prognos över den öppna arbetslösheten. Mot tidigare 4,3 % öppen arbetslöshet för 2003 räknar regeringen nu med att arbetslösheten under nästa år ska begränsas till 3,9 %. Skulle emellertid arbetslösheten bli endast 1 ‰ högre och hamna på nivån 4,0 % kommer – allt annat lika – de takbegränsade utgifterna enligt budgetpropositionen att överskridas med 0,3 miljarder kron</w:t>
      </w:r>
      <w:r w:rsidRPr="006C40C1">
        <w:t>or enligt de kän</w:t>
      </w:r>
      <w:r w:rsidRPr="006C40C1">
        <w:t>s</w:t>
      </w:r>
      <w:r w:rsidRPr="006C40C1">
        <w:t>lighetsvärden som regeringen använder sig av (s. 84). En höjning av arbet</w:t>
      </w:r>
      <w:r w:rsidRPr="006C40C1">
        <w:t>s</w:t>
      </w:r>
      <w:r w:rsidRPr="006C40C1">
        <w:t>lösheten med 1 procentenhet ökar enligt dessa tumregler de takbegränsade utgifterna med drygt 7 miljarder kronor.</w:t>
      </w:r>
    </w:p>
    <w:p w:rsidR="00AA5D77" w:rsidRPr="006C40C1" w:rsidRDefault="00AA5D77">
      <w:pPr>
        <w:pStyle w:val="Normaltindrag"/>
      </w:pPr>
      <w:r w:rsidRPr="006C40C1">
        <w:t>Regeringen har använt budgeteringsmarginalen på ett felaktigt sätt och fö</w:t>
      </w:r>
      <w:r w:rsidRPr="006C40C1">
        <w:t>r</w:t>
      </w:r>
      <w:r w:rsidRPr="006C40C1">
        <w:t xml:space="preserve">satt sig själv i en mycket svår situation. Regeringen har i detta läge ägnat sig åt budgettrixande. </w:t>
      </w:r>
    </w:p>
    <w:p w:rsidR="00AA5D77" w:rsidRPr="006C40C1" w:rsidRDefault="00AA5D77">
      <w:pPr>
        <w:pStyle w:val="Rubrik4"/>
        <w:rPr>
          <w:noProof w:val="0"/>
        </w:rPr>
      </w:pPr>
      <w:bookmarkStart w:id="1067" w:name="_Toc23829798"/>
      <w:bookmarkStart w:id="1068" w:name="_Toc26191704"/>
      <w:r w:rsidRPr="006C40C1">
        <w:rPr>
          <w:noProof w:val="0"/>
        </w:rPr>
        <w:t>Skattenedsättningar</w:t>
      </w:r>
      <w:bookmarkEnd w:id="1067"/>
      <w:r w:rsidRPr="006C40C1">
        <w:rPr>
          <w:noProof w:val="0"/>
        </w:rPr>
        <w:t xml:space="preserve"> i stället för bidrag</w:t>
      </w:r>
      <w:bookmarkEnd w:id="1068"/>
    </w:p>
    <w:p w:rsidR="00AA5D77" w:rsidRPr="006C40C1" w:rsidRDefault="00AA5D77">
      <w:r w:rsidRPr="006C40C1">
        <w:t>En viktig princip i den statliga budgetprocessen är att inkomster och utgifter ska redovisas brutto. Bruttoredovisning innebär att budgeten blir tydligare och att olika åtgärder enklare kan prövas mot varandra. I syfte att kringgå utgift</w:t>
      </w:r>
      <w:r w:rsidRPr="006C40C1">
        <w:t>s</w:t>
      </w:r>
      <w:r w:rsidRPr="006C40C1">
        <w:t>taket redovisar regeringen vissa åtgärder på statsbudgetens inkomstsida trots att de kan anses vara bidrag och således borde behandlas som utgifter. R</w:t>
      </w:r>
      <w:r w:rsidRPr="006C40C1">
        <w:t>e</w:t>
      </w:r>
      <w:r w:rsidRPr="006C40C1">
        <w:t>geringen skriver i budgetpropositionen (prop. 2002/03:1, del 1 s. 112, likna</w:t>
      </w:r>
      <w:r w:rsidRPr="006C40C1">
        <w:t>n</w:t>
      </w:r>
      <w:r w:rsidRPr="006C40C1">
        <w:t>de skrivningar på s. 102 och 126, fetstil här):</w:t>
      </w:r>
    </w:p>
    <w:p w:rsidR="00AA5D77" w:rsidRPr="006C40C1" w:rsidRDefault="00AA5D77">
      <w:pPr>
        <w:pStyle w:val="Citat"/>
      </w:pPr>
      <w:r w:rsidRPr="006C40C1">
        <w:t>Sedan skattekontots införande 1998 har ett antal beslut fattats om att ge ekonomiskt stöd till skattskyldiga via krediteringar mot skattekontot. Samtliga dessa stöd redovisas med negativt tecken under inkomsthuvu</w:t>
      </w:r>
      <w:r w:rsidRPr="006C40C1">
        <w:t>d</w:t>
      </w:r>
      <w:r w:rsidRPr="006C40C1">
        <w:t xml:space="preserve">gruppen </w:t>
      </w:r>
      <w:r w:rsidRPr="006C40C1">
        <w:rPr>
          <w:i/>
        </w:rPr>
        <w:t>1700 Nedsättningar av skatter</w:t>
      </w:r>
      <w:r w:rsidRPr="006C40C1">
        <w:t xml:space="preserve"> på statsbudgetens inkomstsida. </w:t>
      </w:r>
      <w:r w:rsidRPr="006C40C1">
        <w:rPr>
          <w:b/>
        </w:rPr>
        <w:t>Emellertid är vissa av dessa nedsättningar att likställa med ett b</w:t>
      </w:r>
      <w:r w:rsidRPr="006C40C1">
        <w:rPr>
          <w:b/>
        </w:rPr>
        <w:t>i</w:t>
      </w:r>
      <w:r w:rsidRPr="006C40C1">
        <w:rPr>
          <w:b/>
        </w:rPr>
        <w:t>drag</w:t>
      </w:r>
      <w:r w:rsidRPr="006C40C1">
        <w:t>. Utmärkande för sådana stöd är att de inte har någon direkt kop</w:t>
      </w:r>
      <w:r w:rsidRPr="006C40C1">
        <w:t>p</w:t>
      </w:r>
      <w:r w:rsidRPr="006C40C1">
        <w:t>ling till skatteunderlaget. Även sådana nedsättningar som beror på att den slutliga skatten skulle bli negativ, exempelvis skattereduktionen för pe</w:t>
      </w:r>
      <w:r w:rsidRPr="006C40C1">
        <w:t>n</w:t>
      </w:r>
      <w:r w:rsidRPr="006C40C1">
        <w:t>sionärer med låga pensioner, är att likställa med ett bidrag. Följande ne</w:t>
      </w:r>
      <w:r w:rsidRPr="006C40C1">
        <w:t>d</w:t>
      </w:r>
      <w:r w:rsidRPr="006C40C1">
        <w:t>sättningar har bedömts vara likställda med bidrag, sysselsättningsstöd till kommuner</w:t>
      </w:r>
      <w:r w:rsidRPr="006C40C1">
        <w:t>, skattereduktion för pensionärer samt nedsättning för ko</w:t>
      </w:r>
      <w:r w:rsidRPr="006C40C1">
        <w:t>m</w:t>
      </w:r>
      <w:r w:rsidRPr="006C40C1">
        <w:t xml:space="preserve">muner avseende bredbandsanslutning, och </w:t>
      </w:r>
      <w:r w:rsidRPr="006C40C1">
        <w:rPr>
          <w:snapToGrid w:val="0"/>
          <w:lang w:eastAsia="sv-SE"/>
        </w:rPr>
        <w:t>ska</w:t>
      </w:r>
      <w:r w:rsidRPr="006C40C1">
        <w:t xml:space="preserve"> därför inte påverka ska</w:t>
      </w:r>
      <w:r w:rsidRPr="006C40C1">
        <w:t>t</w:t>
      </w:r>
      <w:r w:rsidRPr="006C40C1">
        <w:t xml:space="preserve">terna. </w:t>
      </w:r>
    </w:p>
    <w:p w:rsidR="00AA5D77" w:rsidRPr="006C40C1" w:rsidRDefault="00AA5D77">
      <w:r w:rsidRPr="006C40C1">
        <w:t>Egentliga bidrag som utformas som skattenedsättningar och redovisas i form av negativa poster på statsbudgetens inkomstsida motverkar en rättvisande prövning av olika åtgärder. Vi noterar att regeringen själv konstaterar att vissa nedsättningar bör likställas med bidrag. Regeringen borde ta till sig sitt eget konstaterande och följa bruttoredovisningsprincipen.</w:t>
      </w:r>
    </w:p>
    <w:p w:rsidR="00AA5D77" w:rsidRPr="006C40C1" w:rsidRDefault="00AA5D77">
      <w:pPr>
        <w:pStyle w:val="Rubrik4"/>
        <w:rPr>
          <w:noProof w:val="0"/>
        </w:rPr>
      </w:pPr>
      <w:bookmarkStart w:id="1069" w:name="_Toc23829801"/>
      <w:bookmarkStart w:id="1070" w:name="_Toc26191705"/>
      <w:r w:rsidRPr="006C40C1">
        <w:rPr>
          <w:noProof w:val="0"/>
        </w:rPr>
        <w:t>Förslag som påverkar statens inkomster kommer efter budgetpropositionen</w:t>
      </w:r>
      <w:bookmarkEnd w:id="1069"/>
      <w:bookmarkEnd w:id="1070"/>
    </w:p>
    <w:p w:rsidR="00AA5D77" w:rsidRPr="006C40C1" w:rsidRDefault="00AA5D77">
      <w:r w:rsidRPr="006C40C1">
        <w:t xml:space="preserve">Riksdagens och finansutskottets samlade behandling av budgetpropositionen bygger på att budgetpropositionen är fullständig. Om förslag som påverkar statsbudgeten läggs fram efter budgetpropositionen försvåras riksdagens arbete. </w:t>
      </w:r>
    </w:p>
    <w:p w:rsidR="00AA5D77" w:rsidRPr="006C40C1" w:rsidRDefault="00AA5D77">
      <w:pPr>
        <w:pStyle w:val="Normaltindrag"/>
      </w:pPr>
      <w:r w:rsidRPr="006C40C1">
        <w:t>Ett exempel är att regeringen i budgetpropositionens inkomstberäkning för 2003 avsatt 400 miljoner kronor för en skattelättnad på vissa byggtjänster (prop. 2002/03:1 s. 195). Helårseffekten från 2004 beräknas till 1,4 miljarder kronor. Propositionen med lagförslag har ännu inte avlämnats till riksd</w:t>
      </w:r>
      <w:r w:rsidRPr="006C40C1">
        <w:t>a</w:t>
      </w:r>
      <w:r w:rsidRPr="006C40C1">
        <w:t xml:space="preserve">gen. </w:t>
      </w:r>
    </w:p>
    <w:p w:rsidR="00AA5D77" w:rsidRPr="006C40C1" w:rsidRDefault="00AA5D77">
      <w:pPr>
        <w:pStyle w:val="Normaltindrag"/>
      </w:pPr>
      <w:r w:rsidRPr="006C40C1">
        <w:t xml:space="preserve">Hanteringen av frågan om framskjuten beskattning vid vissa andelsbyten visar också på de svårigheter som uppkommer när budgetpropositionen inte är fullständig. Utskottets majoritet väljer att avsätta ett visst, begränsat, belopp i statsbudgeten, vilket torde komma att begränsa skatteutskottets möjligheter att föreslå ändringar i regeringens lagförslag. </w:t>
      </w:r>
    </w:p>
    <w:p w:rsidR="00AA5D77" w:rsidRPr="006C40C1" w:rsidRDefault="00AA5D77">
      <w:pPr>
        <w:pStyle w:val="Rubrik4"/>
        <w:rPr>
          <w:noProof w:val="0"/>
        </w:rPr>
      </w:pPr>
      <w:bookmarkStart w:id="1071" w:name="_Toc26191706"/>
      <w:r w:rsidRPr="006C40C1">
        <w:rPr>
          <w:noProof w:val="0"/>
        </w:rPr>
        <w:t>Aviserade utgiftsbegränsningar år 2003 för ännu icke beslutade anslag</w:t>
      </w:r>
      <w:bookmarkEnd w:id="1071"/>
    </w:p>
    <w:p w:rsidR="00AA5D77" w:rsidRPr="006C40C1" w:rsidRDefault="00AA5D77">
      <w:r w:rsidRPr="006C40C1">
        <w:t>För 2003 har regeringen för avsikt att fatta beslut om utgifts</w:t>
      </w:r>
      <w:r w:rsidRPr="006C40C1">
        <w:softHyphen/>
        <w:t>begränsningar som beräknas minska utgifterna med sammantaget ca 1,9 miljarder kronor (prop. 2002/03:1 s. 88, 151). De områden som berörs är bl.a. utgifts</w:t>
      </w:r>
      <w:r w:rsidRPr="006C40C1">
        <w:softHyphen/>
        <w:t>område 6 Försvar samt beredskap mot sårbarhet (0,85 miljarder kronor), utgiftsområde 22 Kommunikationer (0,5 miljarder kronor) och utgifts</w:t>
      </w:r>
      <w:r w:rsidRPr="006C40C1">
        <w:softHyphen/>
        <w:t>område 16 Ut</w:t>
      </w:r>
      <w:r w:rsidRPr="006C40C1">
        <w:softHyphen/>
        <w:t>bildning och universitets</w:t>
      </w:r>
      <w:r w:rsidRPr="006C40C1">
        <w:softHyphen/>
        <w:t>forskning (0,2 miljarder kronor i utgifts</w:t>
      </w:r>
      <w:r w:rsidRPr="006C40C1">
        <w:softHyphen/>
        <w:t>begränsning för den kvalificerade yrkes</w:t>
      </w:r>
      <w:r w:rsidRPr="006C40C1">
        <w:softHyphen/>
        <w:t>utbildningen).</w:t>
      </w:r>
    </w:p>
    <w:p w:rsidR="00AA5D77" w:rsidRPr="006C40C1" w:rsidRDefault="00AA5D77">
      <w:pPr>
        <w:pStyle w:val="Normaltindrag"/>
      </w:pPr>
      <w:r w:rsidRPr="006C40C1">
        <w:t>Regeringen har rätt att besluta om utgiftsbegränsningar. Men när regerin</w:t>
      </w:r>
      <w:r w:rsidRPr="006C40C1">
        <w:t>g</w:t>
      </w:r>
      <w:r w:rsidRPr="006C40C1">
        <w:t>en redan i förväg anmäler att man avser att fatta beslut om utgiftsbegrän</w:t>
      </w:r>
      <w:r w:rsidRPr="006C40C1">
        <w:t>s</w:t>
      </w:r>
      <w:r w:rsidRPr="006C40C1">
        <w:t>ningar det kommande budgetåret måste dock tillvägagångssättet starkt ifråg</w:t>
      </w:r>
      <w:r w:rsidRPr="006C40C1">
        <w:t>a</w:t>
      </w:r>
      <w:r w:rsidRPr="006C40C1">
        <w:t>sättas. Om regeringen inte avser att utnyttja de medel som den ber riksdagen fatta beslut om vore det rimligare att regeringen redan i förslaget till anslag föreslog en lägre nivå. Som det nu beskrivs i budgetpropositionen ger rege</w:t>
      </w:r>
      <w:r w:rsidRPr="006C40C1">
        <w:t>r</w:t>
      </w:r>
      <w:r w:rsidRPr="006C40C1">
        <w:t>ingen med den ena handen och tar tillbaka med den andra. Regeringens bu</w:t>
      </w:r>
      <w:r w:rsidRPr="006C40C1">
        <w:t>d</w:t>
      </w:r>
      <w:r w:rsidRPr="006C40C1">
        <w:t>getförslag måste i ovan nämnda delar betraktas som missvis</w:t>
      </w:r>
      <w:r w:rsidRPr="006C40C1">
        <w:t>ande eftersom den planerade förbrukningen avviker från förslaget. Vi förutsätter att regeringen i fortsättningen inte ber riksdagen fatta beslut om anslag som den inte avser att förbruka.</w:t>
      </w:r>
    </w:p>
    <w:p w:rsidR="00AA5D77" w:rsidRPr="006C40C1" w:rsidRDefault="00AA5D77">
      <w:pPr>
        <w:pStyle w:val="Normaltindrag"/>
      </w:pPr>
    </w:p>
    <w:p w:rsidR="00AA5D77" w:rsidRPr="006C40C1" w:rsidRDefault="00AA5D77">
      <w:pPr>
        <w:pStyle w:val="NormaltindragNormalindragNormalIndrag"/>
        <w:ind w:left="0"/>
      </w:pPr>
    </w:p>
    <w:p w:rsidR="00AA5D77" w:rsidRPr="006C40C1" w:rsidRDefault="00AA5D77">
      <w:pPr>
        <w:pStyle w:val="Rubrik3"/>
        <w:rPr>
          <w:noProof w:val="0"/>
        </w:rPr>
      </w:pPr>
      <w:r w:rsidRPr="006C40C1">
        <w:rPr>
          <w:noProof w:val="0"/>
        </w:rPr>
        <w:br w:type="page"/>
        <w:t>2. Budgetförslagen för 2003 – avsnitten 2.4–2.12, 3 och 4.1, punkt 5 (fp)</w:t>
      </w:r>
    </w:p>
    <w:p w:rsidR="00AA5D77" w:rsidRPr="006C40C1" w:rsidRDefault="00AA5D77">
      <w:pPr>
        <w:pStyle w:val="Normaltindrag"/>
      </w:pPr>
      <w:r w:rsidRPr="006C40C1">
        <w:t>av Karin Pilsäter och Christer Nylander (båda fp).</w:t>
      </w:r>
    </w:p>
    <w:p w:rsidR="00AA5D77" w:rsidRPr="006C40C1" w:rsidRDefault="00AA5D77">
      <w:r w:rsidRPr="006C40C1">
        <w:t>En del av politikens villkor är att vi sällan anser att motståndaren gör en rät</w:t>
      </w:r>
      <w:r w:rsidRPr="006C40C1">
        <w:t>t</w:t>
      </w:r>
      <w:r w:rsidRPr="006C40C1">
        <w:t>visande och heltäckande bild av de förslag man lägger fram. Men ibland passeras gränsen för vad som kan anses acceptabelt. Det har enligt vår up</w:t>
      </w:r>
      <w:r w:rsidRPr="006C40C1">
        <w:t>p</w:t>
      </w:r>
      <w:r w:rsidRPr="006C40C1">
        <w:t>fattning skett i utskottsmajoritetens sammanfattande bedömning av budge</w:t>
      </w:r>
      <w:r w:rsidRPr="006C40C1">
        <w:t>t</w:t>
      </w:r>
      <w:r w:rsidRPr="006C40C1">
        <w:t>förslagen i den del som avser Folkpartiet liberalernas skatte- och avgiftsvä</w:t>
      </w:r>
      <w:r w:rsidRPr="006C40C1">
        <w:t>x</w:t>
      </w:r>
      <w:r w:rsidRPr="006C40C1">
        <w:t>ling.</w:t>
      </w:r>
    </w:p>
    <w:p w:rsidR="00AA5D77" w:rsidRPr="006C40C1" w:rsidRDefault="00AA5D77">
      <w:pPr>
        <w:pStyle w:val="Normaltindrag"/>
      </w:pPr>
      <w:r w:rsidRPr="006C40C1">
        <w:t>Utskottets majoritet påstår i betänkandet att Folkpartiets förslag till ökade premiekostnader för arbetslöshetskassan och trafikförsäkringen bara kompe</w:t>
      </w:r>
      <w:r w:rsidRPr="006C40C1">
        <w:t>n</w:t>
      </w:r>
      <w:r w:rsidRPr="006C40C1">
        <w:t>seras genom skattesänkningar för människor med höga inkomster. Man skr</w:t>
      </w:r>
      <w:r w:rsidRPr="006C40C1">
        <w:t>i</w:t>
      </w:r>
      <w:r w:rsidRPr="006C40C1">
        <w:t>ver: ”Om man för att förenkla resonemanget bortser från denna aspekt (vari</w:t>
      </w:r>
      <w:r w:rsidRPr="006C40C1">
        <w:t>e</w:t>
      </w:r>
      <w:r w:rsidRPr="006C40C1">
        <w:t>rande avgifter, vår anm.) blir avgiften för arbetslöshetsförsäkringen i princip densamma för alla löntagare.” Därefter genomförs en tämligen halsbrytande beräkning som skulle visa att löntagare med inkomster understigande 25 000 kr inte skulle kompenseras. ”Skatte- och avgiftsväxlingar som på ett så utpräglat sätt som detta missgynnar de sämst ställda i samhället</w:t>
      </w:r>
      <w:r w:rsidRPr="006C40C1">
        <w:t xml:space="preserve"> tar utsko</w:t>
      </w:r>
      <w:r w:rsidRPr="006C40C1">
        <w:t>t</w:t>
      </w:r>
      <w:r w:rsidRPr="006C40C1">
        <w:t>tet bestämt avstånd ifrån” skriver utskottsmajoriteten. Det är ett avståndst</w:t>
      </w:r>
      <w:r w:rsidRPr="006C40C1">
        <w:t>a</w:t>
      </w:r>
      <w:r w:rsidRPr="006C40C1">
        <w:t>gande som även vi skulle ha lätt att instämma i om någon lade fram ett sådant fö</w:t>
      </w:r>
      <w:r w:rsidRPr="006C40C1">
        <w:t>r</w:t>
      </w:r>
      <w:r w:rsidRPr="006C40C1">
        <w:t xml:space="preserve">slag. </w:t>
      </w:r>
    </w:p>
    <w:p w:rsidR="00AA5D77" w:rsidRPr="006C40C1" w:rsidRDefault="00AA5D77">
      <w:pPr>
        <w:pStyle w:val="Normaltindrag"/>
      </w:pPr>
      <w:r w:rsidRPr="006C40C1">
        <w:t>Av Folkpartiets förslag framgår dock klart och entydigt att avgiftshöjnin</w:t>
      </w:r>
      <w:r w:rsidRPr="006C40C1">
        <w:t>g</w:t>
      </w:r>
      <w:r w:rsidRPr="006C40C1">
        <w:t>en till dessa försäkringar kompenseras, för trafikförsäkringens del genom en generell skattereduktion och för arbetslöshetsförsäkringens del genom att försäkringsavgiften görs avdragsgill och att resterande del täcks genom fö</w:t>
      </w:r>
      <w:r w:rsidRPr="006C40C1">
        <w:t>r</w:t>
      </w:r>
      <w:r w:rsidRPr="006C40C1">
        <w:t xml:space="preserve">värvsavdrag. Avgift till den obligatoriska a-kassan blir inkomstrelaterad, precis som avdragsrätt och förvärvsavdrag. </w:t>
      </w:r>
    </w:p>
    <w:p w:rsidR="00AA5D77" w:rsidRPr="006C40C1" w:rsidRDefault="00AA5D77">
      <w:pPr>
        <w:pStyle w:val="Normaltindrag"/>
      </w:pPr>
      <w:r w:rsidRPr="006C40C1">
        <w:t>Det förenklade påståendet att avgiften i kronor räknat ska vara densamma för alla löntagare är direkt felaktigt och utan grund i Folkpartiets förslag och den kritik s</w:t>
      </w:r>
      <w:r w:rsidRPr="006C40C1">
        <w:t xml:space="preserve">om byggs upp från detta felaktiga påstående därför grundlös. </w:t>
      </w:r>
    </w:p>
    <w:p w:rsidR="00AA5D77" w:rsidRPr="006C40C1" w:rsidRDefault="00AA5D77">
      <w:pPr>
        <w:pStyle w:val="Normaltindrag"/>
      </w:pPr>
      <w:r w:rsidRPr="006C40C1">
        <w:t>Att som utskottsmajoriteten så till den grad förenkla sitt eget resonemang att förslagen helt förvanskas och därefter gå till angrepp på sin egen nidbild är visserligen ett klassiskt retoriskt grepp. Men för att travestera samma u</w:t>
      </w:r>
      <w:r w:rsidRPr="006C40C1">
        <w:t>t</w:t>
      </w:r>
      <w:r w:rsidRPr="006C40C1">
        <w:t>skottsmajoritet, ska en seriös diskussion kunna föras i dessa frågor är det nödvändigt att kritiken är underbyggd och dessutom framstår som rimlig. Så är inte fallet.</w:t>
      </w:r>
    </w:p>
    <w:p w:rsidR="00AA5D77" w:rsidRPr="006C40C1" w:rsidRDefault="00AA5D77">
      <w:pPr>
        <w:pStyle w:val="Normaltindrag"/>
        <w:ind w:firstLine="0"/>
        <w:sectPr w:rsidR="00000000" w:rsidRPr="006C40C1">
          <w:headerReference w:type="even" r:id="rId171"/>
          <w:headerReference w:type="default" r:id="rId172"/>
          <w:footerReference w:type="even" r:id="rId173"/>
          <w:footerReference w:type="default" r:id="rId174"/>
          <w:headerReference w:type="first" r:id="rId175"/>
          <w:footerReference w:type="first" r:id="rId176"/>
          <w:pgSz w:w="11906" w:h="16838" w:code="9"/>
          <w:pgMar w:top="907" w:right="4649" w:bottom="4508" w:left="1304" w:header="340" w:footer="227" w:gutter="0"/>
          <w:cols w:space="720"/>
          <w:titlePg/>
        </w:sectPr>
      </w:pPr>
    </w:p>
    <w:p w:rsidR="00AA5D77" w:rsidRPr="006C40C1" w:rsidRDefault="00AA5D77">
      <w:pPr>
        <w:pStyle w:val="Rubrik1"/>
        <w:spacing w:after="0"/>
        <w:rPr>
          <w:noProof w:val="0"/>
        </w:rPr>
      </w:pPr>
      <w:bookmarkStart w:id="1072" w:name="_Toc26191707"/>
      <w:r w:rsidRPr="006C40C1">
        <w:rPr>
          <w:noProof w:val="0"/>
        </w:rPr>
        <w:t>Förteckning över behandlade förslag</w:t>
      </w:r>
      <w:bookmarkEnd w:id="1072"/>
    </w:p>
    <w:p w:rsidR="00AA5D77" w:rsidRPr="006C40C1" w:rsidRDefault="00AA5D77"/>
    <w:p w:rsidR="00AA5D77" w:rsidRPr="006C40C1" w:rsidRDefault="00AA5D77">
      <w:pPr>
        <w:pStyle w:val="Rubrik2"/>
      </w:pPr>
      <w:bookmarkStart w:id="1073" w:name="_Toc26191708"/>
      <w:r w:rsidRPr="006C40C1">
        <w:t>Budgetpropositionen 2003</w:t>
      </w:r>
      <w:bookmarkEnd w:id="1073"/>
    </w:p>
    <w:p w:rsidR="00AA5D77" w:rsidRPr="006C40C1" w:rsidRDefault="00AA5D77">
      <w:r w:rsidRPr="006C40C1">
        <w:t>I proposition 2002/03:1 Budgetpropositionen för 2003 föreslår regeringen i förslag till statsbudget, finansplan m.m.</w:t>
      </w:r>
    </w:p>
    <w:p w:rsidR="00AA5D77" w:rsidRPr="006C40C1" w:rsidRDefault="00AA5D77">
      <w:pPr>
        <w:pStyle w:val="Ordfranden"/>
        <w:keepNext w:val="0"/>
        <w:spacing w:before="62"/>
        <w:rPr>
          <w:noProof w:val="0"/>
        </w:rPr>
      </w:pPr>
      <w:r w:rsidRPr="006C40C1">
        <w:rPr>
          <w:noProof w:val="0"/>
        </w:rPr>
        <w:t>när det gäller den ekonomiska politiken och förslag till statsbudget för bu</w:t>
      </w:r>
      <w:r w:rsidRPr="006C40C1">
        <w:rPr>
          <w:noProof w:val="0"/>
        </w:rPr>
        <w:t>d</w:t>
      </w:r>
      <w:r w:rsidRPr="006C40C1">
        <w:rPr>
          <w:noProof w:val="0"/>
        </w:rPr>
        <w:t>getåret 2003</w:t>
      </w:r>
    </w:p>
    <w:p w:rsidR="00AA5D77" w:rsidRPr="006C40C1" w:rsidRDefault="00AA5D77">
      <w:pPr>
        <w:pStyle w:val="Yrkanden"/>
        <w:ind w:left="284" w:hanging="284"/>
      </w:pPr>
      <w:r w:rsidRPr="006C40C1">
        <w:t>1.   att riksdagen godkänner de allmänna riktlinjer för den ekonomiska polit</w:t>
      </w:r>
      <w:r w:rsidRPr="006C40C1">
        <w:t>i</w:t>
      </w:r>
      <w:r w:rsidRPr="006C40C1">
        <w:t xml:space="preserve">ken som regeringen förordar (kapitel 1), </w:t>
      </w:r>
    </w:p>
    <w:p w:rsidR="00AA5D77" w:rsidRPr="006C40C1" w:rsidRDefault="00AA5D77">
      <w:pPr>
        <w:pStyle w:val="Yrkanden"/>
        <w:ind w:left="284" w:hanging="284"/>
      </w:pPr>
      <w:r w:rsidRPr="006C40C1">
        <w:t>2.   att riksdagen fastställer utgiftstaket för staten inklusive ålderspensionss</w:t>
      </w:r>
      <w:r w:rsidRPr="006C40C1">
        <w:t>y</w:t>
      </w:r>
      <w:r w:rsidRPr="006C40C1">
        <w:t>stemet vid sidan av statsbudgeten till 812 miljarder kronor 2002, 818 miljarder kronor 2003 och 852 miljarder kronor 2004 (a</w:t>
      </w:r>
      <w:r w:rsidRPr="006C40C1">
        <w:t>v</w:t>
      </w:r>
      <w:r w:rsidRPr="006C40C1">
        <w:t xml:space="preserve">snitt 4.1.1), </w:t>
      </w:r>
    </w:p>
    <w:p w:rsidR="00AA5D77" w:rsidRPr="006C40C1" w:rsidRDefault="00AA5D77">
      <w:pPr>
        <w:pStyle w:val="Yrkanden"/>
        <w:ind w:left="284" w:hanging="284"/>
      </w:pPr>
      <w:r w:rsidRPr="006C40C1">
        <w:t xml:space="preserve">3.   att riksdagen godkänner beräkningen av de offentliga utgifterna för 2003 och 2004 (avsnitt 4.1.2), </w:t>
      </w:r>
    </w:p>
    <w:p w:rsidR="00AA5D77" w:rsidRPr="006C40C1" w:rsidRDefault="00AA5D77">
      <w:pPr>
        <w:pStyle w:val="Yrkanden"/>
        <w:ind w:left="284" w:hanging="284"/>
      </w:pPr>
      <w:r w:rsidRPr="006C40C1">
        <w:t xml:space="preserve">4.  att riksdagen bemyndigar regeringen att under 2003 ta upp lån enligt lagen (1988:1387) om statens upplåning och skuldförvaltning (avsnitt 4.4.4), </w:t>
      </w:r>
    </w:p>
    <w:p w:rsidR="00AA5D77" w:rsidRPr="006C40C1" w:rsidRDefault="00AA5D77">
      <w:pPr>
        <w:pStyle w:val="Yrkanden"/>
        <w:ind w:left="284" w:hanging="284"/>
      </w:pPr>
      <w:r w:rsidRPr="006C40C1">
        <w:t>5.  att riksdagen godkänner beräkningen av myndigheters m.fl. in- och utl</w:t>
      </w:r>
      <w:r w:rsidRPr="006C40C1">
        <w:t>å</w:t>
      </w:r>
      <w:r w:rsidRPr="006C40C1">
        <w:t xml:space="preserve">ning i Riksgäldskontoret för 2003 (avsnitt 4.4.4), </w:t>
      </w:r>
    </w:p>
    <w:p w:rsidR="00AA5D77" w:rsidRPr="006C40C1" w:rsidRDefault="00AA5D77">
      <w:pPr>
        <w:pStyle w:val="Yrkanden"/>
        <w:ind w:left="284" w:hanging="284"/>
      </w:pPr>
      <w:r w:rsidRPr="006C40C1">
        <w:t xml:space="preserve">6.  att riksdagen godkänner beräkningen av den kassamässiga korrigeringen för 2003 (avsnitt 4.4.4), </w:t>
      </w:r>
    </w:p>
    <w:p w:rsidR="00AA5D77" w:rsidRPr="006C40C1" w:rsidRDefault="00AA5D77">
      <w:pPr>
        <w:pStyle w:val="Yrkanden"/>
        <w:ind w:left="284" w:hanging="284"/>
      </w:pPr>
      <w:r w:rsidRPr="006C40C1">
        <w:t xml:space="preserve">7.  att riksdagen godkänner beräkningen av statsbudgetens inkomster för 2003 (avsnitt 5.4 och bilaga 1), </w:t>
      </w:r>
    </w:p>
    <w:p w:rsidR="00AA5D77" w:rsidRPr="006C40C1" w:rsidRDefault="00AA5D77">
      <w:pPr>
        <w:pStyle w:val="Yrkanden"/>
        <w:ind w:left="284" w:hanging="284"/>
      </w:pPr>
      <w:r w:rsidRPr="006C40C1">
        <w:t xml:space="preserve">8.  att riksdagen beslutar om fördelning av utgifter för 2003 på utgiftsområden i enlighet med vad regeringen föreslår (avsnitt 6.2, tabell 6.5), </w:t>
      </w:r>
    </w:p>
    <w:p w:rsidR="00AA5D77" w:rsidRPr="006C40C1" w:rsidRDefault="00AA5D77">
      <w:pPr>
        <w:pStyle w:val="Yrkanden"/>
        <w:ind w:left="284" w:hanging="284"/>
      </w:pPr>
      <w:r w:rsidRPr="006C40C1">
        <w:t>9.  att riksdagen godkänner beräkningen av förändringar av anslagsbehål</w:t>
      </w:r>
      <w:r w:rsidRPr="006C40C1">
        <w:t>l</w:t>
      </w:r>
      <w:r w:rsidRPr="006C40C1">
        <w:t xml:space="preserve">ningar för 2003 (avsnitt 6.2, tabell 6.5), </w:t>
      </w:r>
    </w:p>
    <w:p w:rsidR="00AA5D77" w:rsidRPr="006C40C1" w:rsidRDefault="00AA5D77">
      <w:pPr>
        <w:pStyle w:val="Yrkanden"/>
        <w:ind w:left="284" w:hanging="284"/>
      </w:pPr>
      <w:r w:rsidRPr="006C40C1">
        <w:t>10. att riksdagen godkänner den preliminära fördelningen av utgifter på u</w:t>
      </w:r>
      <w:r w:rsidRPr="006C40C1">
        <w:t>t</w:t>
      </w:r>
      <w:r w:rsidRPr="006C40C1">
        <w:t xml:space="preserve">giftsområden för 2004 som riktlinje för regeringens budgetarbete (avsnitt 6.2, tabell 6.5), </w:t>
      </w:r>
    </w:p>
    <w:p w:rsidR="00AA5D77" w:rsidRPr="006C40C1" w:rsidRDefault="00AA5D77">
      <w:pPr>
        <w:pStyle w:val="Yrkanden"/>
        <w:ind w:left="284" w:hanging="284"/>
      </w:pPr>
      <w:r w:rsidRPr="006C40C1">
        <w:t>11. att riksdagen godkänner beräkningen av utgifterna för ålderspensionss</w:t>
      </w:r>
      <w:r w:rsidRPr="006C40C1">
        <w:t>y</w:t>
      </w:r>
      <w:r w:rsidRPr="006C40C1">
        <w:t xml:space="preserve">stemet vid sidan av statsbudgeten för 2003 (avsnitt 6.2, tabell 6.5), </w:t>
      </w:r>
    </w:p>
    <w:p w:rsidR="00AA5D77" w:rsidRPr="006C40C1" w:rsidRDefault="00AA5D77">
      <w:pPr>
        <w:pStyle w:val="Yrkanden"/>
        <w:ind w:left="284" w:hanging="284"/>
      </w:pPr>
      <w:r w:rsidRPr="006C40C1">
        <w:t>12. att riksdagen bemyndigar regeringen att för 2003 besluta om lån i Rik</w:t>
      </w:r>
      <w:r w:rsidRPr="006C40C1">
        <w:t>s</w:t>
      </w:r>
      <w:r w:rsidRPr="006C40C1">
        <w:t>gäldskontoret för investeringar i anläggningstillgångar som används i st</w:t>
      </w:r>
      <w:r w:rsidRPr="006C40C1">
        <w:t>a</w:t>
      </w:r>
      <w:r w:rsidRPr="006C40C1">
        <w:t xml:space="preserve">tens verksamhet intill ett belopp av 23 500 000 000 kronor (avsnitt 7.1), </w:t>
      </w:r>
    </w:p>
    <w:p w:rsidR="00AA5D77" w:rsidRPr="006C40C1" w:rsidRDefault="00AA5D77">
      <w:pPr>
        <w:pStyle w:val="Yrkanden"/>
        <w:ind w:left="284" w:hanging="284"/>
      </w:pPr>
      <w:r w:rsidRPr="006C40C1">
        <w:t xml:space="preserve">13. att riksdagen bemyndigar regeringen att för 2003 besluta om krediter för myndigheters räntekonton i Riksgäldskontoret intill ett belopp av 17 500 000 000 kronor (avsnitt 7.1), </w:t>
      </w:r>
    </w:p>
    <w:p w:rsidR="00AA5D77" w:rsidRPr="006C40C1" w:rsidRDefault="00AA5D77">
      <w:pPr>
        <w:pStyle w:val="Yrkanden"/>
        <w:ind w:left="284" w:hanging="284"/>
      </w:pPr>
      <w:r w:rsidRPr="006C40C1">
        <w:t>14. att riksdagen bemyndigar regeringen att för 2003 för Sjunde AP-fondens verksamhet dels besluta om lån i Riksgäldskontoret för investeringar i anläggningstillgångar som används i verksamheten intill ett belopp av 15 000 000 kronor, dels besluta om kredit på räntekonto i Riksgäldskont</w:t>
      </w:r>
      <w:r w:rsidRPr="006C40C1">
        <w:t>o</w:t>
      </w:r>
      <w:r w:rsidRPr="006C40C1">
        <w:t xml:space="preserve">ret intill ett belopp av 150 000 000 kronor (avsnitt 7.1), </w:t>
      </w:r>
    </w:p>
    <w:p w:rsidR="00AA5D77" w:rsidRPr="006C40C1" w:rsidRDefault="00AA5D77">
      <w:pPr>
        <w:pStyle w:val="Yrkanden"/>
        <w:ind w:left="284" w:hanging="284"/>
      </w:pPr>
      <w:r w:rsidRPr="006C40C1">
        <w:t>15. att riksdagen bemyndigar regeringen att under 2003, med de begränsnin</w:t>
      </w:r>
      <w:r w:rsidRPr="006C40C1">
        <w:t>g</w:t>
      </w:r>
      <w:r w:rsidRPr="006C40C1">
        <w:t>ar som följer av 6 § andra stycket lagen (1996:1059) om statsbudgeten, besluta att ett ramanslag, med undantag av anslag anvisade för fö</w:t>
      </w:r>
      <w:r w:rsidRPr="006C40C1">
        <w:t>r</w:t>
      </w:r>
      <w:r w:rsidRPr="006C40C1">
        <w:t>valt-ningsändamål, får överskridas om ett riksdagsbeslut om anslag på tilläggsbudget inte hinner inväntas samt om överskridandet ryms inom u</w:t>
      </w:r>
      <w:r w:rsidRPr="006C40C1">
        <w:t>t</w:t>
      </w:r>
      <w:r w:rsidRPr="006C40C1">
        <w:t xml:space="preserve">giftstaket för staten (avsnitt 7.4), </w:t>
      </w:r>
    </w:p>
    <w:p w:rsidR="00AA5D77" w:rsidRPr="006C40C1" w:rsidRDefault="00AA5D77">
      <w:pPr>
        <w:pStyle w:val="Yrkanden"/>
        <w:ind w:left="284" w:hanging="284"/>
      </w:pPr>
      <w:r w:rsidRPr="006C40C1">
        <w:t>27. att riksdagen antar regeringens förslag till lag om ändring i inkomstska</w:t>
      </w:r>
      <w:r w:rsidRPr="006C40C1">
        <w:t>t</w:t>
      </w:r>
      <w:r w:rsidRPr="006C40C1">
        <w:t xml:space="preserve">telagen (1999:1229) (avsnitten 3.1 och 8.2.1), </w:t>
      </w:r>
    </w:p>
    <w:p w:rsidR="00AA5D77" w:rsidRPr="006C40C1" w:rsidRDefault="00AA5D77">
      <w:pPr>
        <w:pStyle w:val="Yrkanden"/>
        <w:ind w:left="284" w:hanging="284"/>
      </w:pPr>
      <w:r w:rsidRPr="006C40C1">
        <w:t>28. att riksdagen antar regeringens förslag till  lag om ändring i socialavgift</w:t>
      </w:r>
      <w:r w:rsidRPr="006C40C1">
        <w:t>s</w:t>
      </w:r>
      <w:r w:rsidRPr="006C40C1">
        <w:t xml:space="preserve">lagen (2000:980) (avsnitten 3.2 och 8.2.2), </w:t>
      </w:r>
    </w:p>
    <w:p w:rsidR="00AA5D77" w:rsidRPr="006C40C1" w:rsidRDefault="00AA5D77">
      <w:pPr>
        <w:pStyle w:val="Yrkanden"/>
        <w:ind w:left="284" w:hanging="284"/>
      </w:pPr>
      <w:r w:rsidRPr="006C40C1">
        <w:t xml:space="preserve">29. att riksdagen antar regeringens förslag till  lag om ändring i lagen (1994:1920) om allmän löneavgift (avsnitten 3.3 och 8.2.2), </w:t>
      </w:r>
    </w:p>
    <w:p w:rsidR="00AA5D77" w:rsidRPr="006C40C1" w:rsidRDefault="00AA5D77">
      <w:pPr>
        <w:pStyle w:val="Yrkanden"/>
        <w:ind w:left="284" w:hanging="284"/>
      </w:pPr>
      <w:r w:rsidRPr="006C40C1">
        <w:t xml:space="preserve">30. att riksdagen antar regeringens förslag till  lag om ändring i lagen (2000:1380) om skattereduktion för utgifter för vissa anslutningar för tele- och datakommunikation (avsnitten 3.4 och 8.7.3), </w:t>
      </w:r>
    </w:p>
    <w:p w:rsidR="00AA5D77" w:rsidRPr="006C40C1" w:rsidRDefault="00AA5D77">
      <w:pPr>
        <w:pStyle w:val="Yrkanden"/>
        <w:ind w:left="284" w:hanging="284"/>
      </w:pPr>
      <w:r w:rsidRPr="006C40C1">
        <w:t>31. att riksdagen antar regeringens förslag till  lag om beräkning av viss i</w:t>
      </w:r>
      <w:r w:rsidRPr="006C40C1">
        <w:t>n</w:t>
      </w:r>
      <w:r w:rsidRPr="006C40C1">
        <w:t xml:space="preserve">komstskatt på förvärvsinkomster vid 2004 års taxering, m.m. (avsnitten 3.5 och 8.2.3), </w:t>
      </w:r>
    </w:p>
    <w:p w:rsidR="00AA5D77" w:rsidRPr="006C40C1" w:rsidRDefault="00AA5D77">
      <w:pPr>
        <w:pStyle w:val="Yrkanden"/>
        <w:ind w:left="284" w:hanging="284"/>
      </w:pPr>
      <w:r w:rsidRPr="006C40C1">
        <w:t xml:space="preserve">32. att riksdagen antar regeringens förslag till lag om ändring i lagen (1996:1512) om dubbelbeskattningsavtal mellan de nordiska länderna (avsnitten 3.6 och 8.2.4), </w:t>
      </w:r>
    </w:p>
    <w:p w:rsidR="00AA5D77" w:rsidRPr="006C40C1" w:rsidRDefault="00AA5D77">
      <w:pPr>
        <w:pStyle w:val="Yrkanden"/>
        <w:ind w:left="284" w:hanging="284"/>
      </w:pPr>
      <w:r w:rsidRPr="006C40C1">
        <w:t xml:space="preserve">33. att riksdagen antar regeringens förslag till lag om ändring i lagen (1994:1776) om skatt på energi (avsnitten 3.7, 8.4.1, 8.4.2 och 8.4.3), </w:t>
      </w:r>
    </w:p>
    <w:p w:rsidR="00AA5D77" w:rsidRPr="006C40C1" w:rsidRDefault="00AA5D77">
      <w:pPr>
        <w:pStyle w:val="Yrkanden"/>
        <w:ind w:left="284" w:hanging="284"/>
      </w:pPr>
      <w:r w:rsidRPr="006C40C1">
        <w:t xml:space="preserve">34. att riksdagen antar regeringens förslag till lag om ändring i lagen (1999:673) om skatt på avfall (avsnitten 3.8, 8.4.1 och 8.4.4), </w:t>
      </w:r>
    </w:p>
    <w:p w:rsidR="00AA5D77" w:rsidRPr="006C40C1" w:rsidRDefault="00AA5D77">
      <w:pPr>
        <w:pStyle w:val="Yrkanden"/>
        <w:ind w:left="284" w:hanging="284"/>
      </w:pPr>
      <w:r w:rsidRPr="006C40C1">
        <w:t xml:space="preserve">35. att riksdagen antar regeringens förslag till lag om ändring av lagen (1995:1667) om skatt på naturgrus (avsnitten 3.9 och 8.4.1), </w:t>
      </w:r>
    </w:p>
    <w:p w:rsidR="00AA5D77" w:rsidRPr="006C40C1" w:rsidRDefault="00AA5D77">
      <w:pPr>
        <w:pStyle w:val="Yrkanden"/>
        <w:ind w:left="284" w:hanging="284"/>
      </w:pPr>
      <w:r w:rsidRPr="006C40C1">
        <w:t xml:space="preserve">36. att riksdagen antar regeringens förslag till lag om ändring i lagen (1994:1563) om tobaksskatt (avsnitten 3.10 och 8.5.2), </w:t>
      </w:r>
    </w:p>
    <w:p w:rsidR="00AA5D77" w:rsidRPr="006C40C1" w:rsidRDefault="00AA5D77">
      <w:pPr>
        <w:pStyle w:val="Yrkanden"/>
        <w:ind w:left="284" w:hanging="284"/>
      </w:pPr>
      <w:r w:rsidRPr="006C40C1">
        <w:t xml:space="preserve">37. att riksdagen antar regeringens förslag till lag om ändring i lagen (1994:1565) om beskattning av viss privatinförsel (avsnitten 3.11 och 8.5.1), </w:t>
      </w:r>
    </w:p>
    <w:p w:rsidR="00AA5D77" w:rsidRPr="006C40C1" w:rsidRDefault="00AA5D77">
      <w:pPr>
        <w:pStyle w:val="Yrkanden"/>
        <w:ind w:left="284" w:hanging="284"/>
      </w:pPr>
      <w:r w:rsidRPr="006C40C1">
        <w:t xml:space="preserve">38. att riksdagen antar regeringens förslag till lag om ändring i lagen (1994:1551) om frihet från skatt vid import, m.m. (avsnitten 3.12 och 8.5.1). </w:t>
      </w:r>
    </w:p>
    <w:p w:rsidR="00AA5D77" w:rsidRPr="006C40C1" w:rsidRDefault="00AA5D77"/>
    <w:p w:rsidR="00AA5D77" w:rsidRPr="006C40C1" w:rsidRDefault="00AA5D77">
      <w:pPr>
        <w:pStyle w:val="Rubrik2"/>
      </w:pPr>
      <w:bookmarkStart w:id="1074" w:name="_Toc26191709"/>
      <w:r w:rsidRPr="006C40C1">
        <w:t>Motioner från allmänna motionstiden</w:t>
      </w:r>
      <w:bookmarkEnd w:id="1074"/>
    </w:p>
    <w:p w:rsidR="00AA5D77" w:rsidRPr="006C40C1" w:rsidRDefault="00AA5D77">
      <w:pPr>
        <w:pStyle w:val="Motioner"/>
      </w:pPr>
      <w:r w:rsidRPr="006C40C1">
        <w:t>2002/03:Fi203 av Marietta de Pourbaix-Lundin (m):</w:t>
      </w:r>
    </w:p>
    <w:p w:rsidR="00AA5D77" w:rsidRPr="006C40C1" w:rsidRDefault="00AA5D77">
      <w:r w:rsidRPr="006C40C1">
        <w:t xml:space="preserve">Riksdagen beslutar att avskaffa reklamskatten från den 1 januari 2003.  </w:t>
      </w:r>
    </w:p>
    <w:p w:rsidR="00AA5D77" w:rsidRPr="006C40C1" w:rsidRDefault="00AA5D77">
      <w:pPr>
        <w:pStyle w:val="Motioner"/>
      </w:pPr>
      <w:r w:rsidRPr="006C40C1">
        <w:t>2002/03:Fi205 av Cristina Husmark Pehrsson och Anne Marie Brodén (m):</w:t>
      </w:r>
    </w:p>
    <w:p w:rsidR="00AA5D77" w:rsidRPr="006C40C1" w:rsidRDefault="00AA5D77">
      <w:r w:rsidRPr="006C40C1">
        <w:t xml:space="preserve">Riksdagen tillkännager för regeringen som sin mening vad i motionen anförs om att avskaffa reklamskatten.  </w:t>
      </w:r>
    </w:p>
    <w:p w:rsidR="00AA5D77" w:rsidRPr="006C40C1" w:rsidRDefault="00AA5D77">
      <w:pPr>
        <w:pStyle w:val="Motioner"/>
      </w:pPr>
      <w:r w:rsidRPr="006C40C1">
        <w:t>2002/03:Fi207 av Lennart Hedquist m.fl. (m):</w:t>
      </w:r>
    </w:p>
    <w:p w:rsidR="00AA5D77" w:rsidRPr="006C40C1" w:rsidRDefault="00AA5D77">
      <w:pPr>
        <w:pStyle w:val="Yrkanden"/>
      </w:pPr>
      <w:r w:rsidRPr="006C40C1">
        <w:t xml:space="preserve">1. Riksdagen beslutar att skatten på vin med en alkoholhalt mellan 8,5 och 15,0 volymprocent ska vara 9 kr per liter från den 1 januari 2003 och för vin med annan alkoholhalt beräknas skatten utifrån detta. </w:t>
      </w:r>
    </w:p>
    <w:p w:rsidR="00AA5D77" w:rsidRPr="006C40C1" w:rsidRDefault="00AA5D77">
      <w:pPr>
        <w:pStyle w:val="Yrkanden"/>
      </w:pPr>
      <w:r w:rsidRPr="006C40C1">
        <w:t xml:space="preserve">2. Riksdagen beslutar att skatten på öl med en alkoholhalt överstigande 2,8 volymprocent ska tas ut per liter med 85 öre för varje volymprocent från den 1 januari 2003. </w:t>
      </w:r>
    </w:p>
    <w:p w:rsidR="00AA5D77" w:rsidRPr="006C40C1" w:rsidRDefault="00AA5D77">
      <w:pPr>
        <w:pStyle w:val="Yrkanden"/>
      </w:pPr>
      <w:r w:rsidRPr="006C40C1">
        <w:t xml:space="preserve">3. Riksdagen beslutar att skatten på etylalkohol ska vara 375 kr per liter från den 1 januari 2003. </w:t>
      </w:r>
    </w:p>
    <w:p w:rsidR="00AA5D77" w:rsidRPr="006C40C1" w:rsidRDefault="00AA5D77">
      <w:pPr>
        <w:pStyle w:val="Yrkanden"/>
      </w:pPr>
      <w:r w:rsidRPr="006C40C1">
        <w:t xml:space="preserve">4. Riksdagen beslutar om motsvarande ändringar i lagen (1994:1565) om beskattning av viss privatinförsel och i lagen (1994:1551) om frihet från skatt vid import m.m. </w:t>
      </w:r>
    </w:p>
    <w:p w:rsidR="00AA5D77" w:rsidRPr="006C40C1" w:rsidRDefault="00AA5D77">
      <w:pPr>
        <w:pStyle w:val="Motioner"/>
      </w:pPr>
      <w:r w:rsidRPr="006C40C1">
        <w:t>2002/03:Fi210 av Fredrik Reinfeldt m.fl. (m):</w:t>
      </w:r>
    </w:p>
    <w:p w:rsidR="00AA5D77" w:rsidRPr="006C40C1" w:rsidRDefault="00AA5D77">
      <w:pPr>
        <w:pStyle w:val="Yrkanden"/>
      </w:pPr>
      <w:r w:rsidRPr="006C40C1">
        <w:t>1. Riksdagen begär att regeringen privatiserar Statens Bostadsfinansiering</w:t>
      </w:r>
      <w:r w:rsidRPr="006C40C1">
        <w:t>s</w:t>
      </w:r>
      <w:r w:rsidRPr="006C40C1">
        <w:t xml:space="preserve">aktiebolag (SBAB) i enlighet med vad som anförs i motionen. </w:t>
      </w:r>
    </w:p>
    <w:p w:rsidR="00AA5D77" w:rsidRPr="006C40C1" w:rsidRDefault="00AA5D77">
      <w:pPr>
        <w:pStyle w:val="Motioner"/>
      </w:pPr>
      <w:r w:rsidRPr="006C40C1">
        <w:rPr>
          <w:i w:val="0"/>
        </w:rPr>
        <w:t>2. Riksdagen begär att regeringen privatiserar Vasakronan i enlighet med vad som anförs i motionen</w:t>
      </w:r>
      <w:r w:rsidRPr="006C40C1">
        <w:t>.</w:t>
      </w:r>
    </w:p>
    <w:p w:rsidR="00AA5D77" w:rsidRPr="006C40C1" w:rsidRDefault="00AA5D77">
      <w:pPr>
        <w:pStyle w:val="Motioner"/>
      </w:pPr>
      <w:r w:rsidRPr="006C40C1">
        <w:t>2002/03:Fi227 av Ulla Löfgren och Elizabeth N</w:t>
      </w:r>
      <w:r w:rsidRPr="006C40C1">
        <w:t>y</w:t>
      </w:r>
      <w:r w:rsidRPr="006C40C1">
        <w:t>ström (m):</w:t>
      </w:r>
    </w:p>
    <w:p w:rsidR="00AA5D77" w:rsidRPr="006C40C1" w:rsidRDefault="00AA5D77">
      <w:pPr>
        <w:pStyle w:val="Motioner"/>
        <w:rPr>
          <w:i w:val="0"/>
        </w:rPr>
      </w:pPr>
      <w:r w:rsidRPr="006C40C1">
        <w:rPr>
          <w:i w:val="0"/>
        </w:rPr>
        <w:t xml:space="preserve">Riksdagen beslutar att befria fartyg, äldre än 50 år och oavsett ägarform, från dieselskatt i likhet med reglerna för handelsflottan. </w:t>
      </w:r>
    </w:p>
    <w:p w:rsidR="00AA5D77" w:rsidRPr="006C40C1" w:rsidRDefault="00AA5D77">
      <w:pPr>
        <w:pStyle w:val="Motioner"/>
      </w:pPr>
      <w:r w:rsidRPr="006C40C1">
        <w:t>2002/03:Fi228 av Gu</w:t>
      </w:r>
      <w:r w:rsidRPr="006C40C1">
        <w:t>n</w:t>
      </w:r>
      <w:r w:rsidRPr="006C40C1">
        <w:t>nar Axén och Per Bill (m):</w:t>
      </w:r>
    </w:p>
    <w:p w:rsidR="00AA5D77" w:rsidRPr="006C40C1" w:rsidRDefault="00AA5D77">
      <w:pPr>
        <w:pStyle w:val="Yrkanden"/>
        <w:ind w:left="0" w:firstLine="0"/>
      </w:pPr>
      <w:r w:rsidRPr="006C40C1">
        <w:t xml:space="preserve">Riksdagen beslutar att i enlighet med vad som anförs i motionen avskaffa reklamskatten.  </w:t>
      </w:r>
    </w:p>
    <w:p w:rsidR="00AA5D77" w:rsidRPr="006C40C1" w:rsidRDefault="00AA5D77">
      <w:pPr>
        <w:pStyle w:val="Motioner"/>
      </w:pPr>
      <w:r w:rsidRPr="006C40C1">
        <w:t>2002/03:Fi229 av Ingvar Svensson (kd):</w:t>
      </w:r>
    </w:p>
    <w:p w:rsidR="00AA5D77" w:rsidRPr="006C40C1" w:rsidRDefault="00AA5D77">
      <w:r w:rsidRPr="006C40C1">
        <w:t xml:space="preserve">Riksdagen tillkännager för regeringen som sin mening vad i motionen anförs om att inleda en successiv avveckling av reklamskatten.  </w:t>
      </w:r>
    </w:p>
    <w:p w:rsidR="00AA5D77" w:rsidRPr="006C40C1" w:rsidRDefault="00AA5D77">
      <w:pPr>
        <w:pStyle w:val="Motioner"/>
      </w:pPr>
      <w:r w:rsidRPr="006C40C1">
        <w:t>2002/03:Fi230 av Britt Bohlin m.fl. (s, v, mp):</w:t>
      </w:r>
    </w:p>
    <w:p w:rsidR="00AA5D77" w:rsidRPr="006C40C1" w:rsidRDefault="00AA5D77">
      <w:pPr>
        <w:pStyle w:val="Yrkanden"/>
        <w:ind w:left="284" w:hanging="284"/>
      </w:pPr>
      <w:r w:rsidRPr="006C40C1">
        <w:t>1.</w:t>
      </w:r>
      <w:r w:rsidRPr="006C40C1">
        <w:tab/>
        <w:t>Riksdagen beslutar med följande ändringar i förhållande till regeringens förslag om ramar för utgiftsområden under budgetåret 2003.</w:t>
      </w:r>
    </w:p>
    <w:p w:rsidR="00AA5D77" w:rsidRPr="006C40C1" w:rsidRDefault="00AA5D77">
      <w:pPr>
        <w:pStyle w:val="Yrkanden"/>
        <w:pBdr>
          <w:top w:val="single" w:sz="4" w:space="1" w:color="auto"/>
          <w:bottom w:val="single" w:sz="4" w:space="1" w:color="auto"/>
        </w:pBdr>
        <w:tabs>
          <w:tab w:val="decimal" w:pos="1134"/>
          <w:tab w:val="decimal" w:pos="5670"/>
        </w:tabs>
        <w:ind w:left="357" w:right="142" w:firstLine="0"/>
        <w:rPr>
          <w:sz w:val="16"/>
        </w:rPr>
      </w:pPr>
      <w:r w:rsidRPr="006C40C1">
        <w:rPr>
          <w:sz w:val="16"/>
        </w:rPr>
        <w:t xml:space="preserve">Uo 8    </w:t>
      </w:r>
      <w:r w:rsidRPr="006C40C1">
        <w:rPr>
          <w:sz w:val="16"/>
        </w:rPr>
        <w:tab/>
        <w:t xml:space="preserve">Invandrare och flyktingar </w:t>
      </w:r>
      <w:r w:rsidRPr="006C40C1">
        <w:rPr>
          <w:sz w:val="16"/>
        </w:rPr>
        <w:tab/>
        <w:t xml:space="preserve">+ 100 000 kr </w:t>
      </w:r>
    </w:p>
    <w:p w:rsidR="00AA5D77" w:rsidRPr="006C40C1" w:rsidRDefault="00AA5D77">
      <w:pPr>
        <w:pStyle w:val="Yrkanden"/>
        <w:pBdr>
          <w:top w:val="single" w:sz="4" w:space="1" w:color="auto"/>
          <w:bottom w:val="single" w:sz="4" w:space="1" w:color="auto"/>
        </w:pBdr>
        <w:tabs>
          <w:tab w:val="left" w:pos="851"/>
          <w:tab w:val="decimal" w:pos="5670"/>
        </w:tabs>
        <w:ind w:left="357" w:right="142" w:firstLine="0"/>
        <w:rPr>
          <w:sz w:val="16"/>
        </w:rPr>
      </w:pPr>
      <w:r w:rsidRPr="006C40C1">
        <w:rPr>
          <w:sz w:val="16"/>
        </w:rPr>
        <w:t xml:space="preserve">Uo 9 </w:t>
      </w:r>
      <w:r w:rsidRPr="006C40C1">
        <w:rPr>
          <w:sz w:val="16"/>
        </w:rPr>
        <w:tab/>
        <w:t xml:space="preserve">Hälsovård, sjukvård och social omsorg </w:t>
      </w:r>
      <w:r w:rsidRPr="006C40C1">
        <w:rPr>
          <w:sz w:val="16"/>
        </w:rPr>
        <w:tab/>
        <w:t xml:space="preserve">+ 186 000 000 kr  </w:t>
      </w:r>
      <w:r w:rsidRPr="006C40C1">
        <w:rPr>
          <w:sz w:val="16"/>
        </w:rPr>
        <w:br/>
        <w:t xml:space="preserve">Uo 14 </w:t>
      </w:r>
      <w:r w:rsidRPr="006C40C1">
        <w:rPr>
          <w:sz w:val="16"/>
        </w:rPr>
        <w:tab/>
        <w:t xml:space="preserve">Arbetsliv </w:t>
      </w:r>
      <w:r w:rsidRPr="006C40C1">
        <w:rPr>
          <w:sz w:val="16"/>
        </w:rPr>
        <w:tab/>
        <w:t>+ 2 000 000 kr</w:t>
      </w:r>
      <w:r w:rsidRPr="006C40C1">
        <w:rPr>
          <w:sz w:val="16"/>
        </w:rPr>
        <w:br/>
        <w:t xml:space="preserve">Uo 15 </w:t>
      </w:r>
      <w:r w:rsidRPr="006C40C1">
        <w:rPr>
          <w:sz w:val="16"/>
        </w:rPr>
        <w:tab/>
        <w:t xml:space="preserve">Studiestöd </w:t>
      </w:r>
      <w:r w:rsidRPr="006C40C1">
        <w:rPr>
          <w:sz w:val="16"/>
        </w:rPr>
        <w:tab/>
        <w:t>- 250 000 000 kr</w:t>
      </w:r>
      <w:r w:rsidRPr="006C40C1">
        <w:rPr>
          <w:sz w:val="16"/>
        </w:rPr>
        <w:br/>
        <w:t xml:space="preserve">Uo 20 </w:t>
      </w:r>
      <w:r w:rsidRPr="006C40C1">
        <w:rPr>
          <w:sz w:val="16"/>
        </w:rPr>
        <w:tab/>
        <w:t xml:space="preserve">Allmän miljö- och naturvård </w:t>
      </w:r>
      <w:r w:rsidRPr="006C40C1">
        <w:rPr>
          <w:sz w:val="16"/>
        </w:rPr>
        <w:tab/>
        <w:t>+ 28 000 000 kr</w:t>
      </w:r>
      <w:r w:rsidRPr="006C40C1">
        <w:rPr>
          <w:sz w:val="16"/>
        </w:rPr>
        <w:br/>
        <w:t xml:space="preserve">Uo 23 </w:t>
      </w:r>
      <w:r w:rsidRPr="006C40C1">
        <w:rPr>
          <w:sz w:val="16"/>
        </w:rPr>
        <w:tab/>
        <w:t xml:space="preserve">Jord- och skogsbruk, fiske med anslutande näringar </w:t>
      </w:r>
      <w:r w:rsidRPr="006C40C1">
        <w:rPr>
          <w:sz w:val="16"/>
        </w:rPr>
        <w:tab/>
        <w:t xml:space="preserve">+ 20 500 000 kr </w:t>
      </w:r>
    </w:p>
    <w:p w:rsidR="00AA5D77" w:rsidRPr="006C40C1" w:rsidRDefault="00AA5D77">
      <w:pPr>
        <w:pStyle w:val="Yrkanden"/>
      </w:pPr>
      <w:r w:rsidRPr="006C40C1">
        <w:t>12. Riksdagen godkänner våra förslag till förändringar av koldioxidskatten, av energiskatten på el och av grundavdraget i inkomstbeskattningen i e</w:t>
      </w:r>
      <w:r w:rsidRPr="006C40C1">
        <w:t>n</w:t>
      </w:r>
      <w:r w:rsidRPr="006C40C1">
        <w:t xml:space="preserve">lighet med vad som anförs i motionen. </w:t>
      </w:r>
    </w:p>
    <w:p w:rsidR="00AA5D77" w:rsidRPr="006C40C1" w:rsidRDefault="00AA5D77">
      <w:pPr>
        <w:pStyle w:val="Yrkanden"/>
      </w:pPr>
      <w:r w:rsidRPr="006C40C1">
        <w:t xml:space="preserve">13. Riksdagen tillkännager för regeringen som sin mening vad i motionen anförs om behovet av eventuella höjningar av skatten på naturgrus m.m. </w:t>
      </w:r>
    </w:p>
    <w:p w:rsidR="00AA5D77" w:rsidRPr="006C40C1" w:rsidRDefault="00AA5D77">
      <w:pPr>
        <w:pStyle w:val="Yrkanden"/>
      </w:pPr>
      <w:r w:rsidRPr="006C40C1">
        <w:t xml:space="preserve">14. Riksdagen tillkännager för regeringen som sin mening vad i motionen anförs om uppföljning av effekterna av ändrad kraftvärmebeskattning och certifikatshandel. </w:t>
      </w:r>
    </w:p>
    <w:p w:rsidR="00AA5D77" w:rsidRPr="006C40C1" w:rsidRDefault="00AA5D77">
      <w:pPr>
        <w:pStyle w:val="Yrkanden"/>
      </w:pPr>
      <w:r w:rsidRPr="006C40C1">
        <w:t xml:space="preserve">15. Riksdagen tillkännager för regeringen som sin mening vad i motionen anförs om skatt på avfall. </w:t>
      </w:r>
    </w:p>
    <w:p w:rsidR="00AA5D77" w:rsidRPr="006C40C1" w:rsidRDefault="00AA5D77">
      <w:pPr>
        <w:pStyle w:val="Yrkanden"/>
      </w:pPr>
      <w:r w:rsidRPr="006C40C1">
        <w:t xml:space="preserve">16. Riksdagen begär att regeringen snarast lägger fram förslag till en särskild skattereduktion i enlighet med vad som anförs i motionen. </w:t>
      </w:r>
    </w:p>
    <w:p w:rsidR="00AA5D77" w:rsidRPr="006C40C1" w:rsidRDefault="00AA5D77">
      <w:pPr>
        <w:pStyle w:val="Yrkanden"/>
      </w:pPr>
      <w:r w:rsidRPr="006C40C1">
        <w:t xml:space="preserve">17. Riksdagen godkänner förslaget om förlängning av försöksperioden med sänkt förmånsvärde för miljöanpassade bilar i enlighet med vad som anförs i motionen. </w:t>
      </w:r>
    </w:p>
    <w:p w:rsidR="00AA5D77" w:rsidRPr="006C40C1" w:rsidRDefault="00AA5D77">
      <w:pPr>
        <w:pStyle w:val="Motioner"/>
      </w:pPr>
      <w:r w:rsidRPr="006C40C1">
        <w:t>2002/03:Fi231 av Bo Lundgren m.fl. (m):</w:t>
      </w:r>
    </w:p>
    <w:p w:rsidR="00AA5D77" w:rsidRPr="006C40C1" w:rsidRDefault="00AA5D77">
      <w:pPr>
        <w:pStyle w:val="Yrkanden"/>
      </w:pPr>
      <w:r w:rsidRPr="006C40C1">
        <w:t>1. Riksdagen godkänner de allmänna riktlinjerna för den ekonomiska polit</w:t>
      </w:r>
      <w:r w:rsidRPr="006C40C1">
        <w:t>i</w:t>
      </w:r>
      <w:r w:rsidRPr="006C40C1">
        <w:t xml:space="preserve">ken i enlighet med vad som anförs i motionen (avsnitt 7.1). </w:t>
      </w:r>
    </w:p>
    <w:p w:rsidR="00AA5D77" w:rsidRPr="006C40C1" w:rsidRDefault="00AA5D77">
      <w:pPr>
        <w:pStyle w:val="Yrkanden"/>
      </w:pPr>
      <w:r w:rsidRPr="006C40C1">
        <w:t xml:space="preserve">2. Riksdagen godkänner beräkningen av utgifterna för den offentliga sektorn till 1 197 miljarder kronor 2003 och 1 159 miljarder kronor 2004 i enlighet med vad som anförs i motionen (avsnitt 7.5.3). </w:t>
      </w:r>
    </w:p>
    <w:p w:rsidR="00AA5D77" w:rsidRPr="006C40C1" w:rsidRDefault="00AA5D77">
      <w:pPr>
        <w:pStyle w:val="Yrkanden"/>
      </w:pPr>
      <w:r w:rsidRPr="006C40C1">
        <w:t>3. Riksdagen fastställer utgiftstaket för staten inklusive ålderspensionssyst</w:t>
      </w:r>
      <w:r w:rsidRPr="006C40C1">
        <w:t>e</w:t>
      </w:r>
      <w:r w:rsidRPr="006C40C1">
        <w:t xml:space="preserve">met vid sidan av statsbudgeten till 863 miljarder kronor 2003 och 883 miljarder kronor 2004 i enlighet med vad som anförs i motionen (avsnitt 7.3.2). </w:t>
      </w:r>
    </w:p>
    <w:p w:rsidR="00AA5D77" w:rsidRPr="006C40C1" w:rsidRDefault="00AA5D77">
      <w:pPr>
        <w:pStyle w:val="Yrkanden"/>
      </w:pPr>
      <w:r w:rsidRPr="006C40C1">
        <w:t xml:space="preserve">4. Riksdagen godkänner beräkningen av statsbudgetens inkomster för 2003 (avsnitt 7.4.9). </w:t>
      </w:r>
    </w:p>
    <w:p w:rsidR="00AA5D77" w:rsidRPr="006C40C1" w:rsidRDefault="00AA5D77">
      <w:pPr>
        <w:pStyle w:val="Yrkanden"/>
      </w:pPr>
      <w:r w:rsidRPr="006C40C1">
        <w:t xml:space="preserve">5. Riksdagen beslutar om fördelning av utgifter för 2003 på utgiftsområden i enlighet med vad som anförs i motionen (avsnitt 7.5.3). </w:t>
      </w:r>
    </w:p>
    <w:p w:rsidR="00AA5D77" w:rsidRPr="006C40C1" w:rsidRDefault="00AA5D77">
      <w:pPr>
        <w:pStyle w:val="Yrkanden"/>
      </w:pPr>
      <w:r w:rsidRPr="006C40C1">
        <w:t>6. Riksdagen godkänner den preliminära fördelningen av utgifter på utgift</w:t>
      </w:r>
      <w:r w:rsidRPr="006C40C1">
        <w:t>s</w:t>
      </w:r>
      <w:r w:rsidRPr="006C40C1">
        <w:t xml:space="preserve">områden för 2004 i enlighet med vad som anförs i motionen (avsnitt 7.5.3). </w:t>
      </w:r>
    </w:p>
    <w:p w:rsidR="00AA5D77" w:rsidRPr="006C40C1" w:rsidRDefault="00AA5D77">
      <w:pPr>
        <w:pStyle w:val="Yrkanden"/>
      </w:pPr>
      <w:r w:rsidRPr="006C40C1">
        <w:t>8. Riksdagen tillkännager för regeringen som sin mening vad i motionen anförs om balans i den offentliga sektorns finanser och en lägre brutt</w:t>
      </w:r>
      <w:r w:rsidRPr="006C40C1">
        <w:t>o</w:t>
      </w:r>
      <w:r w:rsidRPr="006C40C1">
        <w:t xml:space="preserve">skuld (avsnitt 7.3). </w:t>
      </w:r>
    </w:p>
    <w:p w:rsidR="00AA5D77" w:rsidRPr="006C40C1" w:rsidRDefault="00AA5D77">
      <w:pPr>
        <w:pStyle w:val="Yrkanden"/>
      </w:pPr>
      <w:r w:rsidRPr="006C40C1">
        <w:t xml:space="preserve">9. Riksdagen tillkännager för regeringen som sin mening vad i motionen anförs om inriktningen av skattepolitiken (avsnitt 7.4.1). </w:t>
      </w:r>
    </w:p>
    <w:p w:rsidR="00AA5D77" w:rsidRPr="006C40C1" w:rsidRDefault="00AA5D77">
      <w:pPr>
        <w:pStyle w:val="Yrkanden"/>
      </w:pPr>
      <w:r w:rsidRPr="006C40C1">
        <w:t xml:space="preserve">11. Riksdagen tillkännager för regeringen som sin mening vad i motionen anförs om att arbete stimuleras genom lägre inkomstskatt. </w:t>
      </w:r>
    </w:p>
    <w:p w:rsidR="00AA5D77" w:rsidRPr="006C40C1" w:rsidRDefault="00AA5D77">
      <w:pPr>
        <w:pStyle w:val="Yrkanden"/>
      </w:pPr>
      <w:r w:rsidRPr="006C40C1">
        <w:t xml:space="preserve">12. Riksdagen tillkännager för regeringen som sin mening vad i motionen anförs om prioritering av de offentliga kärnuppgifterna och mindre bidrag (avsnitt 7.5.1) </w:t>
      </w:r>
    </w:p>
    <w:p w:rsidR="00AA5D77" w:rsidRPr="006C40C1" w:rsidRDefault="00AA5D77">
      <w:pPr>
        <w:pStyle w:val="Motioner"/>
      </w:pPr>
      <w:r w:rsidRPr="006C40C1">
        <w:t>2002/03:Fi232 av Lars Leijonborg m.fl. (fp):</w:t>
      </w:r>
    </w:p>
    <w:p w:rsidR="00AA5D77" w:rsidRPr="006C40C1" w:rsidRDefault="00AA5D77">
      <w:pPr>
        <w:pStyle w:val="Yrkanden"/>
      </w:pPr>
      <w:r w:rsidRPr="006C40C1">
        <w:t>1. Riksdagen godkänner de allmänna riktlinjerna för den ekonomiska polit</w:t>
      </w:r>
      <w:r w:rsidRPr="006C40C1">
        <w:t>i</w:t>
      </w:r>
      <w:r w:rsidRPr="006C40C1">
        <w:t xml:space="preserve">ken som Folkpartiet liberalerna förordar enligt vad som i motionen anförs. </w:t>
      </w:r>
    </w:p>
    <w:p w:rsidR="00AA5D77" w:rsidRPr="006C40C1" w:rsidRDefault="00AA5D77">
      <w:pPr>
        <w:pStyle w:val="Yrkanden"/>
      </w:pPr>
      <w:r w:rsidRPr="006C40C1">
        <w:t>2. Riksdagen fastställer utgiftstaket för staten inklusive ålderspensionssyst</w:t>
      </w:r>
      <w:r w:rsidRPr="006C40C1">
        <w:t>e</w:t>
      </w:r>
      <w:r w:rsidRPr="006C40C1">
        <w:t xml:space="preserve">met vid sidan av statsbudgeten till 813 miljarder kronor för år 2003 och till 846 miljarder kronor för år 2004. </w:t>
      </w:r>
    </w:p>
    <w:p w:rsidR="00AA5D77" w:rsidRPr="006C40C1" w:rsidRDefault="00AA5D77">
      <w:pPr>
        <w:pStyle w:val="Yrkanden"/>
      </w:pPr>
      <w:r w:rsidRPr="006C40C1">
        <w:t xml:space="preserve">3. Riksdagen godkänner beräkningen av de offentliga utgifterna för åren 2003–2004 som redovisas i motionen. </w:t>
      </w:r>
    </w:p>
    <w:p w:rsidR="00AA5D77" w:rsidRPr="006C40C1" w:rsidRDefault="00AA5D77">
      <w:pPr>
        <w:pStyle w:val="Yrkanden"/>
      </w:pPr>
      <w:r w:rsidRPr="006C40C1">
        <w:t>4. Riksdagen godkänner beräkningen av statsbudgetens inkomster för budge</w:t>
      </w:r>
      <w:r w:rsidRPr="006C40C1">
        <w:t>t</w:t>
      </w:r>
      <w:r w:rsidRPr="006C40C1">
        <w:t xml:space="preserve">året 2003 enligt vad som anförs i motionen (tabell 10). </w:t>
      </w:r>
    </w:p>
    <w:p w:rsidR="00AA5D77" w:rsidRPr="006C40C1" w:rsidRDefault="00AA5D77">
      <w:pPr>
        <w:pStyle w:val="Yrkanden"/>
      </w:pPr>
      <w:r w:rsidRPr="006C40C1">
        <w:t xml:space="preserve">5. Riksdagen godkänner beräkningen av förändringar av anslagsbehållningar för budgetåret 2003. </w:t>
      </w:r>
    </w:p>
    <w:p w:rsidR="00AA5D77" w:rsidRPr="006C40C1" w:rsidRDefault="00AA5D77">
      <w:pPr>
        <w:pStyle w:val="Yrkanden"/>
      </w:pPr>
      <w:r w:rsidRPr="006C40C1">
        <w:t xml:space="preserve">6. Riksdagen beslutar om fördelning av utgifterna för budgetåret 2003 på utgiftsområdena enligt vad som anförs i motionen (tabell 8). </w:t>
      </w:r>
    </w:p>
    <w:p w:rsidR="00AA5D77" w:rsidRPr="006C40C1" w:rsidRDefault="00AA5D77">
      <w:pPr>
        <w:pStyle w:val="Yrkanden"/>
      </w:pPr>
      <w:r w:rsidRPr="006C40C1">
        <w:t>7. Riksdagen godkänner den preliminära fördelningen av utgifterna på u</w:t>
      </w:r>
      <w:r w:rsidRPr="006C40C1">
        <w:t>t</w:t>
      </w:r>
      <w:r w:rsidRPr="006C40C1">
        <w:t>giftsområden för budgetåret 2004 som riktlinje för regeringens budgeta</w:t>
      </w:r>
      <w:r w:rsidRPr="006C40C1">
        <w:t>r</w:t>
      </w:r>
      <w:r w:rsidRPr="006C40C1">
        <w:t xml:space="preserve">bete enligt vad som anförs i motionen (tabell 8). </w:t>
      </w:r>
    </w:p>
    <w:p w:rsidR="00AA5D77" w:rsidRPr="006C40C1" w:rsidRDefault="00AA5D77">
      <w:pPr>
        <w:pStyle w:val="Yrkanden"/>
      </w:pPr>
      <w:r w:rsidRPr="006C40C1">
        <w:t xml:space="preserve">24. Riksdagen tillkännager för regeringen som sin mening vad i motionen anförs om avveckling av det statliga bolagsinnehavet. </w:t>
      </w:r>
    </w:p>
    <w:p w:rsidR="00AA5D77" w:rsidRPr="006C40C1" w:rsidRDefault="00AA5D77">
      <w:pPr>
        <w:pStyle w:val="Yrkanden"/>
      </w:pPr>
      <w:r w:rsidRPr="006C40C1">
        <w:t xml:space="preserve">26. Riksdagen beslutar att regeringens förslag till lag om ändring i lagen (2000:1380) om skattereduktion för utgifter för vissa anslutningar för tele- och datakommunikation avslås. </w:t>
      </w:r>
    </w:p>
    <w:p w:rsidR="00AA5D77" w:rsidRPr="006C40C1" w:rsidRDefault="00AA5D77">
      <w:pPr>
        <w:pStyle w:val="Motioner"/>
      </w:pPr>
      <w:r w:rsidRPr="006C40C1">
        <w:t>2002/03:Fi233 av Alf Svensson m.fl. (kd):</w:t>
      </w:r>
    </w:p>
    <w:p w:rsidR="00AA5D77" w:rsidRPr="006C40C1" w:rsidRDefault="00AA5D77">
      <w:pPr>
        <w:pStyle w:val="Yrkanden"/>
      </w:pPr>
      <w:r w:rsidRPr="006C40C1">
        <w:t>1. Riksdagen godkänner de grundläggande utgångspunkter för den ekonomi</w:t>
      </w:r>
      <w:r w:rsidRPr="006C40C1">
        <w:t>s</w:t>
      </w:r>
      <w:r w:rsidRPr="006C40C1">
        <w:t xml:space="preserve">ka politiken som Kristdemokraterna förordar (avsnitt 6.1). </w:t>
      </w:r>
    </w:p>
    <w:p w:rsidR="00AA5D77" w:rsidRPr="006C40C1" w:rsidRDefault="00AA5D77">
      <w:pPr>
        <w:pStyle w:val="Yrkanden"/>
      </w:pPr>
      <w:r w:rsidRPr="006C40C1">
        <w:t>2. Riksdagen godkänner det förslag till inriktning av den ekonomiska polit</w:t>
      </w:r>
      <w:r w:rsidRPr="006C40C1">
        <w:t>i</w:t>
      </w:r>
      <w:r w:rsidRPr="006C40C1">
        <w:t xml:space="preserve">ken som Kristdemokraterna förordar (avsnitt 6.2). </w:t>
      </w:r>
    </w:p>
    <w:p w:rsidR="00AA5D77" w:rsidRPr="006C40C1" w:rsidRDefault="00AA5D77">
      <w:pPr>
        <w:pStyle w:val="Yrkanden"/>
      </w:pPr>
      <w:r w:rsidRPr="006C40C1">
        <w:t xml:space="preserve">3. Riksdagen godkänner det övergripande mål för den ekonomiska politiken som Kristdemokraterna förordar (avsnitt 6.2.1). </w:t>
      </w:r>
    </w:p>
    <w:p w:rsidR="00AA5D77" w:rsidRPr="006C40C1" w:rsidRDefault="00AA5D77">
      <w:pPr>
        <w:pStyle w:val="Yrkanden"/>
      </w:pPr>
      <w:r w:rsidRPr="006C40C1">
        <w:t>5. Riksdagen fastställer utgiftstaket för staten inklusive ålderspensionssyst</w:t>
      </w:r>
      <w:r w:rsidRPr="006C40C1">
        <w:t>e</w:t>
      </w:r>
      <w:r w:rsidRPr="006C40C1">
        <w:t xml:space="preserve">met vid sidan av statsbudgeten till 814 miljarder kronor år 2003 och 841 miljarder kronor år 2004 (avsnitt 11.1).  </w:t>
      </w:r>
    </w:p>
    <w:p w:rsidR="00AA5D77" w:rsidRPr="006C40C1" w:rsidRDefault="00AA5D77">
      <w:pPr>
        <w:pStyle w:val="Yrkanden"/>
      </w:pPr>
      <w:r w:rsidRPr="006C40C1">
        <w:t xml:space="preserve">6. Riksdagen godkänner beräkningen av statsbudgetens inkomster för år 2003 (tabell 8.1, 8.2 och 10.1). </w:t>
      </w:r>
    </w:p>
    <w:p w:rsidR="00AA5D77" w:rsidRPr="006C40C1" w:rsidRDefault="00AA5D77">
      <w:pPr>
        <w:pStyle w:val="Yrkanden"/>
      </w:pPr>
      <w:r w:rsidRPr="006C40C1">
        <w:t>7. Riksdagen godkänner de prioriterade budgetområden för budgetpolitiken som anges i motionen som riktlinje för regeringens kommande budgeta</w:t>
      </w:r>
      <w:r w:rsidRPr="006C40C1">
        <w:t>r</w:t>
      </w:r>
      <w:r w:rsidRPr="006C40C1">
        <w:t xml:space="preserve">bete (avsnitten 8.1–8.7). </w:t>
      </w:r>
    </w:p>
    <w:p w:rsidR="00AA5D77" w:rsidRPr="006C40C1" w:rsidRDefault="00AA5D77">
      <w:pPr>
        <w:pStyle w:val="Yrkanden"/>
      </w:pPr>
      <w:r w:rsidRPr="006C40C1">
        <w:t xml:space="preserve">8. Riksdagen beslutar om fördelning av utgifter för år 2003 på utgiftsområden i enlighet med vad Kristdemokraterna föreslår (tabell 11.1). </w:t>
      </w:r>
    </w:p>
    <w:p w:rsidR="00AA5D77" w:rsidRPr="006C40C1" w:rsidRDefault="00AA5D77">
      <w:pPr>
        <w:pStyle w:val="Yrkanden"/>
      </w:pPr>
      <w:r w:rsidRPr="006C40C1">
        <w:t>9. Riksdagen godkänner den preliminära fördelningen av utgifter på utgift</w:t>
      </w:r>
      <w:r w:rsidRPr="006C40C1">
        <w:t>s</w:t>
      </w:r>
      <w:r w:rsidRPr="006C40C1">
        <w:t xml:space="preserve">områden för år 2004 som riktlinje för regeringens budgetarbete (avsnitt 11.1, tabell 11.1). </w:t>
      </w:r>
    </w:p>
    <w:p w:rsidR="00AA5D77" w:rsidRPr="006C40C1" w:rsidRDefault="00AA5D77">
      <w:pPr>
        <w:pStyle w:val="Yrkanden"/>
      </w:pPr>
      <w:r w:rsidRPr="006C40C1">
        <w:t>10. Riksdagen begär att regeringen lägger fram förslag till en långsiktig i</w:t>
      </w:r>
      <w:r w:rsidRPr="006C40C1">
        <w:t>n</w:t>
      </w:r>
      <w:r w:rsidRPr="006C40C1">
        <w:t>komst- och utgiftsstrategi i enlighet med vad som anförs i motionen (a</w:t>
      </w:r>
      <w:r w:rsidRPr="006C40C1">
        <w:t>v</w:t>
      </w:r>
      <w:r w:rsidRPr="006C40C1">
        <w:t xml:space="preserve">snitt 7.1.4). </w:t>
      </w:r>
    </w:p>
    <w:p w:rsidR="00AA5D77" w:rsidRPr="006C40C1" w:rsidRDefault="00AA5D77">
      <w:pPr>
        <w:pStyle w:val="Yrkanden"/>
      </w:pPr>
      <w:r w:rsidRPr="006C40C1">
        <w:t xml:space="preserve">11. Riksdagen godkänner beräkningen av myndigheters m.fl. förändrade nettoutlåning i Riksgäldskontoret för år 2003 (tabell 1.2). </w:t>
      </w:r>
    </w:p>
    <w:p w:rsidR="00AA5D77" w:rsidRPr="006C40C1" w:rsidRDefault="00AA5D77">
      <w:pPr>
        <w:pStyle w:val="Yrkanden"/>
      </w:pPr>
      <w:r w:rsidRPr="006C40C1">
        <w:t xml:space="preserve">12. Riksdagen godkänner beräkningen av de offentliga utgifterna för år 2003 och år 2004 (avsnitt 11.6, tabell 11.2).  </w:t>
      </w:r>
    </w:p>
    <w:p w:rsidR="00AA5D77" w:rsidRPr="006C40C1" w:rsidRDefault="00AA5D77">
      <w:pPr>
        <w:pStyle w:val="Motioner"/>
      </w:pPr>
      <w:r w:rsidRPr="006C40C1">
        <w:t>2002/03:Fi234 av Maud Olofsson m.fl. (c):</w:t>
      </w:r>
    </w:p>
    <w:p w:rsidR="00AA5D77" w:rsidRPr="006C40C1" w:rsidRDefault="00AA5D77">
      <w:pPr>
        <w:pStyle w:val="Yrkanden"/>
      </w:pPr>
      <w:r w:rsidRPr="006C40C1">
        <w:t xml:space="preserve">1. Riksdagen beslutar att godkänna de allmänna riktlinjer för den ekonomiska politiken som Centerpartiet förordar (avsnitt 4). </w:t>
      </w:r>
    </w:p>
    <w:p w:rsidR="00AA5D77" w:rsidRPr="006C40C1" w:rsidRDefault="00AA5D77">
      <w:pPr>
        <w:pStyle w:val="Yrkanden"/>
      </w:pPr>
      <w:r w:rsidRPr="006C40C1">
        <w:t xml:space="preserve">2. Riksdagen tillkännager för regeringen som sin mening vad i motionen anförs om ett reformprogram för Sverige (avsnitt 4.2). </w:t>
      </w:r>
    </w:p>
    <w:p w:rsidR="00AA5D77" w:rsidRPr="006C40C1" w:rsidRDefault="00AA5D77">
      <w:pPr>
        <w:pStyle w:val="Yrkanden"/>
      </w:pPr>
      <w:r w:rsidRPr="006C40C1">
        <w:t xml:space="preserve">3. Riksdagen beslutar att fastställa utgiftstaket för statens utgifter inklusive ålderspensionssystemet till 784 miljarder kronor år 2003 och 815 miljarder kronor år 2004 (avsnitt 5.1.1). </w:t>
      </w:r>
    </w:p>
    <w:p w:rsidR="00AA5D77" w:rsidRPr="006C40C1" w:rsidRDefault="00AA5D77">
      <w:pPr>
        <w:pStyle w:val="Yrkanden"/>
      </w:pPr>
      <w:r w:rsidRPr="006C40C1">
        <w:t xml:space="preserve">4. Riksdagen begär att regeringen låter utreda en bestämmelse i budgetlagen om strukturell balans i statens finanser (avsnitt 5.1.3). </w:t>
      </w:r>
    </w:p>
    <w:p w:rsidR="00AA5D77" w:rsidRPr="006C40C1" w:rsidRDefault="00AA5D77">
      <w:pPr>
        <w:pStyle w:val="Yrkanden"/>
      </w:pPr>
      <w:r w:rsidRPr="006C40C1">
        <w:t xml:space="preserve">5. Riksdagen tillkännager för regeringen som sin mening vad i motionen anförs om att regeringen framgent bör presentera förslag till utgiftstak och preliminär fördelning på utgiftsområden för tre år (avsnitt 5.1.4). </w:t>
      </w:r>
    </w:p>
    <w:p w:rsidR="00AA5D77" w:rsidRPr="006C40C1" w:rsidRDefault="00AA5D77">
      <w:pPr>
        <w:pStyle w:val="Yrkanden"/>
      </w:pPr>
      <w:r w:rsidRPr="006C40C1">
        <w:t xml:space="preserve">6. Riksdagen beslutar om fördelningen av utgifterna för budgetåret 2003 på utgiftsområden i enlighet med vad i motionen anförs (tabell avsnitt 5.1.5). </w:t>
      </w:r>
    </w:p>
    <w:p w:rsidR="00AA5D77" w:rsidRPr="006C40C1" w:rsidRDefault="00AA5D77">
      <w:pPr>
        <w:pStyle w:val="Yrkanden"/>
      </w:pPr>
      <w:r w:rsidRPr="006C40C1">
        <w:t>7. Riksdagen beslutar att godkänna den preliminära fördelningen av utgifterna på utgiftsområden för år 2004 som riktlinjer för regeringens arbete i enli</w:t>
      </w:r>
      <w:r w:rsidRPr="006C40C1">
        <w:t>g</w:t>
      </w:r>
      <w:r w:rsidRPr="006C40C1">
        <w:t xml:space="preserve">het med vad i motionen anförs (tabell avsnitt 5.1.5). </w:t>
      </w:r>
    </w:p>
    <w:p w:rsidR="00AA5D77" w:rsidRPr="006C40C1" w:rsidRDefault="00AA5D77">
      <w:pPr>
        <w:pStyle w:val="Yrkanden"/>
      </w:pPr>
      <w:r w:rsidRPr="006C40C1">
        <w:t xml:space="preserve">8. Riksdagen tillkännager för regeringen som sin mening vad i motionen anförs om planeringsförutsättningar för 2003 års vårproposition (avsnitt 5.2). </w:t>
      </w:r>
    </w:p>
    <w:p w:rsidR="00AA5D77" w:rsidRPr="006C40C1" w:rsidRDefault="00AA5D77">
      <w:pPr>
        <w:pStyle w:val="Yrkanden"/>
      </w:pPr>
      <w:r w:rsidRPr="006C40C1">
        <w:t xml:space="preserve">11. Riksdagen beslutar att godkänna beräkningen av statsbudgetens inkomster för budgetåret 2003 (tabell avsnitt 5.5). </w:t>
      </w:r>
    </w:p>
    <w:p w:rsidR="00AA5D77" w:rsidRPr="006C40C1" w:rsidRDefault="00AA5D77">
      <w:pPr>
        <w:pStyle w:val="Yrkanden"/>
      </w:pPr>
      <w:r w:rsidRPr="006C40C1">
        <w:t xml:space="preserve">12. Riksdagen tillkännager för regeringen som sin mening vad i motionen anförs om skattepolitikens inriktning (avsnitt 5.5.1). </w:t>
      </w:r>
    </w:p>
    <w:p w:rsidR="00AA5D77" w:rsidRPr="006C40C1" w:rsidRDefault="00AA5D77">
      <w:pPr>
        <w:pStyle w:val="Yrkanden"/>
      </w:pPr>
      <w:r w:rsidRPr="006C40C1">
        <w:t>13. Riksdagen tillkännager för regeringen som sin mening vad i motionen anförs om försäl</w:t>
      </w:r>
      <w:r w:rsidRPr="006C40C1">
        <w:t>j</w:t>
      </w:r>
      <w:r w:rsidRPr="006C40C1">
        <w:t xml:space="preserve">ning av statlig verksamhet (avsnitt 5.5.2). </w:t>
      </w:r>
    </w:p>
    <w:p w:rsidR="00AA5D77" w:rsidRPr="006C40C1" w:rsidRDefault="00AA5D77">
      <w:pPr>
        <w:pStyle w:val="Motioner"/>
      </w:pPr>
      <w:r w:rsidRPr="006C40C1">
        <w:t>2002/03:Fi243 av Christina Nenes och Göte Wahlström (s):</w:t>
      </w:r>
    </w:p>
    <w:p w:rsidR="00AA5D77" w:rsidRPr="006C40C1" w:rsidRDefault="00AA5D77">
      <w:r w:rsidRPr="006C40C1">
        <w:t xml:space="preserve">Riksdagen tillkännager för regeringen som sin mening vad i motionen anförs om behovet av rättvisa förutsättningar vad gäller utgivningen av lokal press.  </w:t>
      </w:r>
    </w:p>
    <w:p w:rsidR="00AA5D77" w:rsidRPr="006C40C1" w:rsidRDefault="00AA5D77">
      <w:pPr>
        <w:pStyle w:val="Motioner"/>
      </w:pPr>
      <w:r w:rsidRPr="006C40C1">
        <w:t>2002/03:Fi245 av Karin Enström (m):</w:t>
      </w:r>
    </w:p>
    <w:p w:rsidR="00AA5D77" w:rsidRPr="006C40C1" w:rsidRDefault="00AA5D77">
      <w:pPr>
        <w:pStyle w:val="Yrkanden"/>
      </w:pPr>
      <w:r w:rsidRPr="006C40C1">
        <w:t xml:space="preserve">1. Riksdagen tillkännager för regeringen som sin mening vad som i motionen anförs om ett omedelbart avskaffande av fastighetsskatten. </w:t>
      </w:r>
    </w:p>
    <w:p w:rsidR="00AA5D77" w:rsidRPr="006C40C1" w:rsidRDefault="00AA5D77">
      <w:pPr>
        <w:pStyle w:val="Yrkanden"/>
      </w:pPr>
      <w:r w:rsidRPr="006C40C1">
        <w:t xml:space="preserve">2. Riksdagen tillkännager för regeringen som sin mening vad i motionen anförs om ett omedelbart avskaffande av förmögenhetsskatten. </w:t>
      </w:r>
    </w:p>
    <w:p w:rsidR="00AA5D77" w:rsidRPr="006C40C1" w:rsidRDefault="00AA5D77">
      <w:pPr>
        <w:pStyle w:val="Motioner"/>
      </w:pPr>
      <w:r w:rsidRPr="006C40C1">
        <w:t>2002/03:Fi251 av Johan Pehrson (fp):</w:t>
      </w:r>
    </w:p>
    <w:p w:rsidR="00AA5D77" w:rsidRPr="006C40C1" w:rsidRDefault="00AA5D77">
      <w:r w:rsidRPr="006C40C1">
        <w:t xml:space="preserve">Riksdagen begär att regeringen återkommer med ett förslag på avveckling av reklamskatten.  </w:t>
      </w:r>
    </w:p>
    <w:p w:rsidR="00AA5D77" w:rsidRPr="006C40C1" w:rsidRDefault="00AA5D77">
      <w:pPr>
        <w:pStyle w:val="Motioner"/>
      </w:pPr>
      <w:r w:rsidRPr="006C40C1">
        <w:t>2002/03:Fi252 av Sven Bergström och Håkan Larsson (c):</w:t>
      </w:r>
    </w:p>
    <w:p w:rsidR="00AA5D77" w:rsidRPr="006C40C1" w:rsidRDefault="00AA5D77">
      <w:r w:rsidRPr="006C40C1">
        <w:t xml:space="preserve">Riksdagen tillkännager för regeringen som sin mening vad som i motionen anförs om att avveckla reklamskatten.  </w:t>
      </w:r>
    </w:p>
    <w:p w:rsidR="00AA5D77" w:rsidRPr="006C40C1" w:rsidRDefault="00AA5D77">
      <w:pPr>
        <w:pStyle w:val="Motioner"/>
      </w:pPr>
      <w:r w:rsidRPr="006C40C1">
        <w:t>2002/03:Fi254 av Per Landgren m.fl. (kd):</w:t>
      </w:r>
    </w:p>
    <w:p w:rsidR="00AA5D77" w:rsidRPr="006C40C1" w:rsidRDefault="00AA5D77">
      <w:pPr>
        <w:pStyle w:val="Yrkanden"/>
      </w:pPr>
      <w:r w:rsidRPr="006C40C1">
        <w:t xml:space="preserve">1. Riksdagen tillkännager för regeringen som sin mening vad i motionen anförs om att avskaffa den statliga fastighetsskatten. </w:t>
      </w:r>
    </w:p>
    <w:p w:rsidR="00AA5D77" w:rsidRPr="006C40C1" w:rsidRDefault="00AA5D77">
      <w:pPr>
        <w:pStyle w:val="Yrkanden"/>
      </w:pPr>
      <w:r w:rsidRPr="006C40C1">
        <w:t xml:space="preserve">2. Riksdagen tillkännager för regeringen som sin mening vad i motionen anförs om att införa en kommunal avgift för fastigheter. </w:t>
      </w:r>
    </w:p>
    <w:p w:rsidR="00AA5D77" w:rsidRPr="006C40C1" w:rsidRDefault="00AA5D77">
      <w:pPr>
        <w:pStyle w:val="Yrkanden"/>
      </w:pPr>
      <w:r w:rsidRPr="006C40C1">
        <w:t xml:space="preserve">3. Riksdagen tillkännager för regeringen som sin mening vad i motionen anförs om att höja reavinstskatten vid försäljning av bostäder. </w:t>
      </w:r>
    </w:p>
    <w:p w:rsidR="00AA5D77" w:rsidRPr="006C40C1" w:rsidRDefault="00AA5D77">
      <w:pPr>
        <w:pStyle w:val="Motioner"/>
      </w:pPr>
      <w:r w:rsidRPr="006C40C1">
        <w:t>2002/03:Fi255 av Per Landgren m.fl. (kd):</w:t>
      </w:r>
    </w:p>
    <w:p w:rsidR="00AA5D77" w:rsidRPr="006C40C1" w:rsidRDefault="00AA5D77">
      <w:pPr>
        <w:pStyle w:val="Yrkanden"/>
      </w:pPr>
      <w:r w:rsidRPr="006C40C1">
        <w:t xml:space="preserve">1. Riksdagen tillkännager för regeringen som sin mening vad i motionen anförs om att alla ska kunna leva på sin lön. </w:t>
      </w:r>
    </w:p>
    <w:p w:rsidR="00AA5D77" w:rsidRPr="006C40C1" w:rsidRDefault="00AA5D77">
      <w:pPr>
        <w:pStyle w:val="Yrkanden"/>
      </w:pPr>
      <w:r w:rsidRPr="006C40C1">
        <w:t xml:space="preserve">2. Riksdagen beslutar om ett höjt grundavdrag från år 2003 i enlighet med vad som i motionen anförs. </w:t>
      </w:r>
    </w:p>
    <w:p w:rsidR="00AA5D77" w:rsidRPr="006C40C1" w:rsidRDefault="00AA5D77">
      <w:pPr>
        <w:pStyle w:val="Yrkanden"/>
      </w:pPr>
      <w:r w:rsidRPr="006C40C1">
        <w:t xml:space="preserve">3. Riksdagen beslutar om en skattereduktion för låg- och medelinkomsttagare i enlighet med vad som anförs i motionen. </w:t>
      </w:r>
    </w:p>
    <w:p w:rsidR="00AA5D77" w:rsidRPr="006C40C1" w:rsidRDefault="00AA5D77">
      <w:pPr>
        <w:pStyle w:val="Yrkanden"/>
      </w:pPr>
      <w:r w:rsidRPr="006C40C1">
        <w:t xml:space="preserve">4. Riksdagen beslutar om ett generellt förvärvsavdrag i enlighet med vad som i motionen anförs. </w:t>
      </w:r>
    </w:p>
    <w:p w:rsidR="00AA5D77" w:rsidRPr="006C40C1" w:rsidRDefault="00AA5D77">
      <w:pPr>
        <w:pStyle w:val="Yrkanden"/>
      </w:pPr>
      <w:r w:rsidRPr="006C40C1">
        <w:t xml:space="preserve">5. Riksdagen beslutar att avskaffa den s.k. värnskatten i enlighet med vad som i motionen anförs. </w:t>
      </w:r>
    </w:p>
    <w:p w:rsidR="00AA5D77" w:rsidRPr="006C40C1" w:rsidRDefault="00AA5D77">
      <w:pPr>
        <w:pStyle w:val="Yrkanden"/>
      </w:pPr>
      <w:r w:rsidRPr="006C40C1">
        <w:t xml:space="preserve">6. Riksdagen beslutar om en sänkt gräns för reseavdrag i enlighet med vad som i motionen anförs. </w:t>
      </w:r>
    </w:p>
    <w:p w:rsidR="00AA5D77" w:rsidRPr="006C40C1" w:rsidRDefault="00AA5D77">
      <w:pPr>
        <w:pStyle w:val="Yrkanden"/>
      </w:pPr>
      <w:r w:rsidRPr="006C40C1">
        <w:t xml:space="preserve">7. Riksdagen beslutar om en grön skatteväxling i enlighet med vad som i motionen anförs. </w:t>
      </w:r>
    </w:p>
    <w:p w:rsidR="00AA5D77" w:rsidRPr="006C40C1" w:rsidRDefault="00AA5D77">
      <w:pPr>
        <w:pStyle w:val="Yrkanden"/>
      </w:pPr>
      <w:r w:rsidRPr="006C40C1">
        <w:t>8. Riksdagen beslutar avveckla kompensationen för den allmänna pension</w:t>
      </w:r>
      <w:r w:rsidRPr="006C40C1">
        <w:t>s</w:t>
      </w:r>
      <w:r w:rsidRPr="006C40C1">
        <w:t xml:space="preserve">avgiften i enlighet med vad som i motionen anförs. </w:t>
      </w:r>
    </w:p>
    <w:p w:rsidR="00AA5D77" w:rsidRPr="006C40C1" w:rsidRDefault="00AA5D77">
      <w:pPr>
        <w:pStyle w:val="Motioner"/>
      </w:pPr>
      <w:r w:rsidRPr="006C40C1">
        <w:t>2002/03:Fi256 av Alf Svensson m.fl. (kd):</w:t>
      </w:r>
    </w:p>
    <w:p w:rsidR="00AA5D77" w:rsidRPr="006C40C1" w:rsidRDefault="00AA5D77">
      <w:pPr>
        <w:pStyle w:val="Yrkanden"/>
      </w:pPr>
      <w:r w:rsidRPr="006C40C1">
        <w:t>1. Riksdagen beslutar att godkänna beräkningen av förändringarna av stat</w:t>
      </w:r>
      <w:r w:rsidRPr="006C40C1">
        <w:t>s</w:t>
      </w:r>
      <w:r w:rsidRPr="006C40C1">
        <w:t xml:space="preserve">budgetens inkomster för år 2003 i enlighet med redovisning i tabellerna 2 och 4. </w:t>
      </w:r>
    </w:p>
    <w:p w:rsidR="00AA5D77" w:rsidRPr="006C40C1" w:rsidRDefault="00AA5D77">
      <w:pPr>
        <w:pStyle w:val="Yrkanden"/>
      </w:pPr>
      <w:r w:rsidRPr="006C40C1">
        <w:t xml:space="preserve">2. Riksdagen tillkännager för regeringen som sin mening vad i motionen anförs om utgångspunkter för skattepolitiken. </w:t>
      </w:r>
    </w:p>
    <w:p w:rsidR="00AA5D77" w:rsidRPr="006C40C1" w:rsidRDefault="00AA5D77">
      <w:pPr>
        <w:pStyle w:val="Yrkanden"/>
      </w:pPr>
      <w:r w:rsidRPr="006C40C1">
        <w:t xml:space="preserve">3. Riksdagen tillkännager för regeringen som sin mening vad i motionen anförs om skatternas betydelse för samhällsutvecklingen. </w:t>
      </w:r>
    </w:p>
    <w:p w:rsidR="00AA5D77" w:rsidRPr="006C40C1" w:rsidRDefault="00AA5D77">
      <w:pPr>
        <w:pStyle w:val="Yrkanden"/>
      </w:pPr>
      <w:r w:rsidRPr="006C40C1">
        <w:t xml:space="preserve">4. Riksdagen tillkännager för regeringen som sin mening vad i motionen anförs om förutsättningarna för ekonomiskt oberoende och ett personligt ansvarstagande. </w:t>
      </w:r>
    </w:p>
    <w:p w:rsidR="00AA5D77" w:rsidRPr="006C40C1" w:rsidRDefault="00AA5D77">
      <w:pPr>
        <w:pStyle w:val="Yrkanden"/>
      </w:pPr>
      <w:r w:rsidRPr="006C40C1">
        <w:t xml:space="preserve">5. Riksdagen tillkännager för regeringen som sin mening vad i motionen anförs om skattepolitiken i ett internationellt perspektiv. </w:t>
      </w:r>
    </w:p>
    <w:p w:rsidR="00AA5D77" w:rsidRPr="006C40C1" w:rsidRDefault="00AA5D77">
      <w:pPr>
        <w:pStyle w:val="Yrkanden"/>
      </w:pPr>
      <w:r w:rsidRPr="006C40C1">
        <w:t xml:space="preserve">6. Riksdagen tillkännager för regeringen som sin mening vad i motionen anförs om skattepolitiken inom EU. </w:t>
      </w:r>
    </w:p>
    <w:p w:rsidR="00AA5D77" w:rsidRPr="006C40C1" w:rsidRDefault="00AA5D77">
      <w:pPr>
        <w:pStyle w:val="Yrkanden"/>
      </w:pPr>
      <w:r w:rsidRPr="006C40C1">
        <w:t xml:space="preserve">7. Riksdagen tillkännager för regeringen som sin mening vad i motionen anförs om ett skattesystem som inger förtroende. </w:t>
      </w:r>
    </w:p>
    <w:p w:rsidR="00AA5D77" w:rsidRPr="006C40C1" w:rsidRDefault="00AA5D77">
      <w:pPr>
        <w:pStyle w:val="Yrkanden"/>
      </w:pPr>
      <w:r w:rsidRPr="006C40C1">
        <w:t xml:space="preserve">8. Riksdagen beslutar om ett höjt grundavdrag från år 2003 i enlighet med vad som anförs i motionen. </w:t>
      </w:r>
    </w:p>
    <w:p w:rsidR="00AA5D77" w:rsidRPr="006C40C1" w:rsidRDefault="00AA5D77">
      <w:pPr>
        <w:pStyle w:val="Yrkanden"/>
      </w:pPr>
      <w:r w:rsidRPr="006C40C1">
        <w:t xml:space="preserve">9. Riksdagen beslutar om en skattereduktion för låg- och medelinkomsttagare i enlighet med vad som anförs i motionen. </w:t>
      </w:r>
    </w:p>
    <w:p w:rsidR="00AA5D77" w:rsidRPr="006C40C1" w:rsidRDefault="00AA5D77">
      <w:pPr>
        <w:pStyle w:val="Yrkanden"/>
      </w:pPr>
      <w:r w:rsidRPr="006C40C1">
        <w:t xml:space="preserve">10. Riksdagen beslutar om ett generellt förvärvsavdrag i enlighet med vad som anförs i motionen. </w:t>
      </w:r>
    </w:p>
    <w:p w:rsidR="00AA5D77" w:rsidRPr="006C40C1" w:rsidRDefault="00AA5D77">
      <w:pPr>
        <w:pStyle w:val="Yrkanden"/>
      </w:pPr>
      <w:r w:rsidRPr="006C40C1">
        <w:t xml:space="preserve">11. Riksdagen tillkännager för regeringen som sin mening vad i motionen anförs om avvecklad s.k. värnskatt. </w:t>
      </w:r>
    </w:p>
    <w:p w:rsidR="00AA5D77" w:rsidRPr="006C40C1" w:rsidRDefault="00AA5D77">
      <w:pPr>
        <w:pStyle w:val="Yrkanden"/>
      </w:pPr>
      <w:r w:rsidRPr="006C40C1">
        <w:t xml:space="preserve">12. Riksdagen beslutar om en sänkt gräns för reseavdrag i enlighet med vad som anförs i motionen. </w:t>
      </w:r>
    </w:p>
    <w:p w:rsidR="00AA5D77" w:rsidRPr="006C40C1" w:rsidRDefault="00AA5D77">
      <w:pPr>
        <w:pStyle w:val="Yrkanden"/>
      </w:pPr>
      <w:r w:rsidRPr="006C40C1">
        <w:t xml:space="preserve">13. Riksdagen tillkännager för regeringen som sin mening vad i motionen anförs om sänkta och frysta taxeringsvärden på fastigheter. </w:t>
      </w:r>
    </w:p>
    <w:p w:rsidR="00AA5D77" w:rsidRPr="006C40C1" w:rsidRDefault="00AA5D77">
      <w:pPr>
        <w:pStyle w:val="Yrkanden"/>
      </w:pPr>
      <w:r w:rsidRPr="006C40C1">
        <w:t xml:space="preserve">14. Riksdagen beslutar att avskaffa den statliga fastighetsskatten i enlighet med vad som anförs i motionen. </w:t>
      </w:r>
    </w:p>
    <w:p w:rsidR="00AA5D77" w:rsidRPr="006C40C1" w:rsidRDefault="00AA5D77">
      <w:pPr>
        <w:pStyle w:val="Yrkanden"/>
      </w:pPr>
      <w:r w:rsidRPr="006C40C1">
        <w:t xml:space="preserve">15. Riksdagen tillkännager för regeringen som sin mening vad i motionen anförs om sänkta arbetsgivaravgifter. </w:t>
      </w:r>
    </w:p>
    <w:p w:rsidR="00AA5D77" w:rsidRPr="006C40C1" w:rsidRDefault="00AA5D77">
      <w:pPr>
        <w:pStyle w:val="Yrkanden"/>
      </w:pPr>
      <w:r w:rsidRPr="006C40C1">
        <w:t>16. Riksdagen beslutar om ändrade arbetsgivaravgifter enligt vad som redov</w:t>
      </w:r>
      <w:r w:rsidRPr="006C40C1">
        <w:t>i</w:t>
      </w:r>
      <w:r w:rsidRPr="006C40C1">
        <w:t xml:space="preserve">sas i tabell 3. </w:t>
      </w:r>
    </w:p>
    <w:p w:rsidR="00AA5D77" w:rsidRPr="006C40C1" w:rsidRDefault="00AA5D77">
      <w:pPr>
        <w:pStyle w:val="Yrkanden"/>
      </w:pPr>
      <w:r w:rsidRPr="006C40C1">
        <w:t xml:space="preserve">17. Riksdagen beslutar sänka skatten på diesel med 31 öre per liter (inklusive moms). </w:t>
      </w:r>
    </w:p>
    <w:p w:rsidR="00AA5D77" w:rsidRPr="006C40C1" w:rsidRDefault="00AA5D77">
      <w:pPr>
        <w:pStyle w:val="Yrkanden"/>
      </w:pPr>
      <w:r w:rsidRPr="006C40C1">
        <w:t xml:space="preserve">18. Riksdagen beslutar sänka skatten på bensin med 31 öre per liter inklusive moms i stödområde A. </w:t>
      </w:r>
    </w:p>
    <w:p w:rsidR="00AA5D77" w:rsidRPr="006C40C1" w:rsidRDefault="00AA5D77">
      <w:pPr>
        <w:pStyle w:val="Yrkanden"/>
      </w:pPr>
      <w:r w:rsidRPr="006C40C1">
        <w:t xml:space="preserve">19. Riksdagen beslutar höja bolagskatten till 30 %. </w:t>
      </w:r>
    </w:p>
    <w:p w:rsidR="00AA5D77" w:rsidRPr="006C40C1" w:rsidRDefault="00AA5D77">
      <w:pPr>
        <w:pStyle w:val="Yrkanden"/>
      </w:pPr>
      <w:r w:rsidRPr="006C40C1">
        <w:t>20. Riksdagen beslutar avveckla dubbelbeskattningen på utdelningen på akt</w:t>
      </w:r>
      <w:r w:rsidRPr="006C40C1">
        <w:t>i</w:t>
      </w:r>
      <w:r w:rsidRPr="006C40C1">
        <w:t xml:space="preserve">er. </w:t>
      </w:r>
    </w:p>
    <w:p w:rsidR="00AA5D77" w:rsidRPr="006C40C1" w:rsidRDefault="00AA5D77">
      <w:pPr>
        <w:pStyle w:val="Yrkanden"/>
      </w:pPr>
      <w:r w:rsidRPr="006C40C1">
        <w:t xml:space="preserve">21. Riksdagen beslutar avskaffa sambeskattningen i förmögenhetsskatten. </w:t>
      </w:r>
    </w:p>
    <w:p w:rsidR="00AA5D77" w:rsidRPr="006C40C1" w:rsidRDefault="00AA5D77">
      <w:pPr>
        <w:pStyle w:val="Yrkanden"/>
      </w:pPr>
      <w:r w:rsidRPr="006C40C1">
        <w:t xml:space="preserve">22. Riksdagen tillkännager för regeringen som sin mening vad i motionen anförs om en avveckling av förmögenhetsskatten. </w:t>
      </w:r>
    </w:p>
    <w:p w:rsidR="00AA5D77" w:rsidRPr="006C40C1" w:rsidRDefault="00AA5D77">
      <w:pPr>
        <w:pStyle w:val="Yrkanden"/>
      </w:pPr>
      <w:r w:rsidRPr="006C40C1">
        <w:t xml:space="preserve">23. Riksdagen beslutar genomföra en grön skatteväxling i enlighet med vad som anförs i motionen. </w:t>
      </w:r>
    </w:p>
    <w:p w:rsidR="00AA5D77" w:rsidRPr="006C40C1" w:rsidRDefault="00AA5D77">
      <w:pPr>
        <w:pStyle w:val="Yrkanden"/>
      </w:pPr>
      <w:r w:rsidRPr="006C40C1">
        <w:t xml:space="preserve">24. Riksdagen tillkännager för regeringen som sin mening vad i motionen anförs om en effektivare skatteindrivning. </w:t>
      </w:r>
    </w:p>
    <w:p w:rsidR="00AA5D77" w:rsidRPr="006C40C1" w:rsidRDefault="00AA5D77">
      <w:pPr>
        <w:pStyle w:val="Yrkanden"/>
      </w:pPr>
      <w:r w:rsidRPr="006C40C1">
        <w:t>26. Riksdagen beslutar att halvera byggmomsen i enlighet med vad som a</w:t>
      </w:r>
      <w:r w:rsidRPr="006C40C1">
        <w:t>n</w:t>
      </w:r>
      <w:r w:rsidRPr="006C40C1">
        <w:t xml:space="preserve">förs i motionen. </w:t>
      </w:r>
    </w:p>
    <w:p w:rsidR="00AA5D77" w:rsidRPr="006C40C1" w:rsidRDefault="00AA5D77">
      <w:pPr>
        <w:pStyle w:val="Yrkanden"/>
      </w:pPr>
      <w:r w:rsidRPr="006C40C1">
        <w:t xml:space="preserve">27. Riksdagen beslutar att höja momsen på tidskrifter i enlighet med vad som anförs i motionen. </w:t>
      </w:r>
    </w:p>
    <w:p w:rsidR="00AA5D77" w:rsidRPr="006C40C1" w:rsidRDefault="00AA5D77">
      <w:pPr>
        <w:pStyle w:val="Yrkanden"/>
      </w:pPr>
      <w:r w:rsidRPr="006C40C1">
        <w:t xml:space="preserve">28. Riksdagen beslutar om bibehållna regler för anställningsstödet i enlighet med vad som anförs i motionen. </w:t>
      </w:r>
    </w:p>
    <w:p w:rsidR="00AA5D77" w:rsidRPr="006C40C1" w:rsidRDefault="00AA5D77">
      <w:pPr>
        <w:pStyle w:val="Yrkanden"/>
      </w:pPr>
      <w:r w:rsidRPr="006C40C1">
        <w:t xml:space="preserve">29. Riksdagen tillkännager för regeringen som sin mening vad i motionen anförs om en enhetlig kulturmoms. </w:t>
      </w:r>
    </w:p>
    <w:p w:rsidR="00AA5D77" w:rsidRPr="006C40C1" w:rsidRDefault="00AA5D77">
      <w:pPr>
        <w:pStyle w:val="Yrkanden"/>
      </w:pPr>
      <w:r w:rsidRPr="006C40C1">
        <w:t xml:space="preserve">30. Riksdagen beslutar att slopa energi- och koldioxidskatten på biodrivmedel i enlighet med vad som anförs i motionen. </w:t>
      </w:r>
    </w:p>
    <w:p w:rsidR="00AA5D77" w:rsidRPr="006C40C1" w:rsidRDefault="00AA5D77">
      <w:pPr>
        <w:pStyle w:val="Yrkanden"/>
      </w:pPr>
      <w:r w:rsidRPr="006C40C1">
        <w:t xml:space="preserve">31. Riksdagen beslutar att slopa energiskatten på biodrivmedel i enlighet med vad som anförs i motionen. </w:t>
      </w:r>
    </w:p>
    <w:p w:rsidR="00AA5D77" w:rsidRPr="006C40C1" w:rsidRDefault="00AA5D77">
      <w:pPr>
        <w:pStyle w:val="Yrkanden"/>
      </w:pPr>
      <w:r w:rsidRPr="006C40C1">
        <w:t>32. Riksdagen beslutar att höja elskatten med 0,5 öre utöver den av regerin</w:t>
      </w:r>
      <w:r w:rsidRPr="006C40C1">
        <w:t>g</w:t>
      </w:r>
      <w:r w:rsidRPr="006C40C1">
        <w:t xml:space="preserve">en föreslagna höjningen som ett led i en grön skatteväxling. </w:t>
      </w:r>
    </w:p>
    <w:p w:rsidR="00AA5D77" w:rsidRPr="006C40C1" w:rsidRDefault="00AA5D77">
      <w:pPr>
        <w:pStyle w:val="Yrkanden"/>
      </w:pPr>
      <w:r w:rsidRPr="006C40C1">
        <w:t xml:space="preserve">33. Riksdagen avslår regeringens förslag till grundavdragskonstruktion. </w:t>
      </w:r>
    </w:p>
    <w:p w:rsidR="00AA5D77" w:rsidRPr="006C40C1" w:rsidRDefault="00AA5D77">
      <w:pPr>
        <w:pStyle w:val="Motioner"/>
      </w:pPr>
      <w:r w:rsidRPr="006C40C1">
        <w:t>2002/03:Fi261 av Per Rosengren (v):</w:t>
      </w:r>
    </w:p>
    <w:p w:rsidR="00AA5D77" w:rsidRPr="006C40C1" w:rsidRDefault="00AA5D77">
      <w:r w:rsidRPr="006C40C1">
        <w:t xml:space="preserve">Riksdagen begär att regeringen låter utreda om vissa personer skattemässigt kommer att behandlas olika i förhållande till dem som faller inom ramen för andelsbyteslagen för vilka det planeras lagändring.  </w:t>
      </w:r>
    </w:p>
    <w:p w:rsidR="00AA5D77" w:rsidRPr="006C40C1" w:rsidRDefault="00AA5D77">
      <w:pPr>
        <w:pStyle w:val="Motioner"/>
      </w:pPr>
      <w:r w:rsidRPr="006C40C1">
        <w:t>2002/03:Fi268 av Carl-Axel Roslund (m):</w:t>
      </w:r>
    </w:p>
    <w:p w:rsidR="00AA5D77" w:rsidRPr="006C40C1" w:rsidRDefault="00AA5D77">
      <w:r w:rsidRPr="006C40C1">
        <w:t xml:space="preserve">Riksdagen tillkännager för regeringen som sin mening att reklamskatten avskaffas.  </w:t>
      </w:r>
    </w:p>
    <w:p w:rsidR="00AA5D77" w:rsidRPr="006C40C1" w:rsidRDefault="00AA5D77">
      <w:pPr>
        <w:pStyle w:val="Motioner"/>
      </w:pPr>
      <w:r w:rsidRPr="006C40C1">
        <w:br w:type="page"/>
        <w:t>2002/03:Fi277 av Kenth Högström m.fl. (s):</w:t>
      </w:r>
    </w:p>
    <w:p w:rsidR="00AA5D77" w:rsidRPr="006C40C1" w:rsidRDefault="00AA5D77">
      <w:r w:rsidRPr="006C40C1">
        <w:t>Riksdagen beslutar tillkännage för regeringen att en avveckling av rekla</w:t>
      </w:r>
      <w:r w:rsidRPr="006C40C1">
        <w:t>m</w:t>
      </w:r>
      <w:r w:rsidRPr="006C40C1">
        <w:t xml:space="preserve">skatten ska inledas i enlighet med vad som anges i motionen.  </w:t>
      </w:r>
    </w:p>
    <w:p w:rsidR="00AA5D77" w:rsidRPr="006C40C1" w:rsidRDefault="00AA5D77">
      <w:pPr>
        <w:pStyle w:val="Motioner"/>
      </w:pPr>
      <w:r w:rsidRPr="006C40C1">
        <w:t>2002/03:Fi286 av Maud Olofsson m.fl. (c):</w:t>
      </w:r>
    </w:p>
    <w:p w:rsidR="00AA5D77" w:rsidRPr="006C40C1" w:rsidRDefault="00AA5D77">
      <w:pPr>
        <w:pStyle w:val="Yrkanden"/>
      </w:pPr>
      <w:r w:rsidRPr="006C40C1">
        <w:t xml:space="preserve">1. Riksdagen tillkännager för regeringen som sin mening vad i motionen anförs om den framtida inriktningen av skattepolitiken. </w:t>
      </w:r>
    </w:p>
    <w:p w:rsidR="00AA5D77" w:rsidRPr="006C40C1" w:rsidRDefault="00AA5D77">
      <w:pPr>
        <w:pStyle w:val="Yrkanden"/>
      </w:pPr>
      <w:r w:rsidRPr="006C40C1">
        <w:t xml:space="preserve">2. Riksdagen beslutar att från 2003 avskaffa grundavdraget och ersätta detta med en skatterabatt, lika för alla, på 9 000 kr. </w:t>
      </w:r>
    </w:p>
    <w:p w:rsidR="00AA5D77" w:rsidRPr="006C40C1" w:rsidRDefault="00AA5D77">
      <w:pPr>
        <w:pStyle w:val="Yrkanden"/>
      </w:pPr>
      <w:r w:rsidRPr="006C40C1">
        <w:t xml:space="preserve">3. Riksdagen beslutar att från 2003 införa en förvärvsrabatt i enlighet med vad i motionen anförs. </w:t>
      </w:r>
    </w:p>
    <w:p w:rsidR="00AA5D77" w:rsidRPr="006C40C1" w:rsidRDefault="00AA5D77">
      <w:pPr>
        <w:pStyle w:val="Yrkanden"/>
      </w:pPr>
      <w:r w:rsidRPr="006C40C1">
        <w:t>4. Riksdagen beslutar slopa skattereduktionen för delar av den allmänna pe</w:t>
      </w:r>
      <w:r w:rsidRPr="006C40C1">
        <w:t>n</w:t>
      </w:r>
      <w:r w:rsidRPr="006C40C1">
        <w:t xml:space="preserve">sionsavgiften samt göra dessa avdragsgilla till 100 % i enlighet med vad i motionen anförs. </w:t>
      </w:r>
    </w:p>
    <w:p w:rsidR="00AA5D77" w:rsidRPr="006C40C1" w:rsidRDefault="00AA5D77">
      <w:pPr>
        <w:pStyle w:val="Yrkanden"/>
      </w:pPr>
      <w:r w:rsidRPr="006C40C1">
        <w:t xml:space="preserve">5. Riksdagen beslutar att slopa skattereduktionen för fackföreningsavgifter. </w:t>
      </w:r>
    </w:p>
    <w:p w:rsidR="00AA5D77" w:rsidRPr="006C40C1" w:rsidRDefault="00AA5D77">
      <w:pPr>
        <w:pStyle w:val="Yrkanden"/>
      </w:pPr>
      <w:r w:rsidRPr="006C40C1">
        <w:t>6. Riksdagen beslutar att inkludera resor till och från barnomsorg i reseavdr</w:t>
      </w:r>
      <w:r w:rsidRPr="006C40C1">
        <w:t>a</w:t>
      </w:r>
      <w:r w:rsidRPr="006C40C1">
        <w:t xml:space="preserve">get i enlighet med vad i motionen anförs. </w:t>
      </w:r>
    </w:p>
    <w:p w:rsidR="00AA5D77" w:rsidRPr="006C40C1" w:rsidRDefault="00AA5D77">
      <w:pPr>
        <w:pStyle w:val="Yrkanden"/>
      </w:pPr>
      <w:r w:rsidRPr="006C40C1">
        <w:t>7. Riksdagen beslutar om en skattereduktion för hushållsnära tjänster i enli</w:t>
      </w:r>
      <w:r w:rsidRPr="006C40C1">
        <w:t>g</w:t>
      </w:r>
      <w:r w:rsidRPr="006C40C1">
        <w:t xml:space="preserve">het med vad i motionen anförs. </w:t>
      </w:r>
    </w:p>
    <w:p w:rsidR="00AA5D77" w:rsidRPr="006C40C1" w:rsidRDefault="00AA5D77">
      <w:pPr>
        <w:pStyle w:val="Yrkanden"/>
      </w:pPr>
      <w:r w:rsidRPr="006C40C1">
        <w:t xml:space="preserve">8. Riksdagen beslutar att höja reseavdraget till 20 kr per mil i enlighet med vad i motionen anförs. </w:t>
      </w:r>
    </w:p>
    <w:p w:rsidR="00AA5D77" w:rsidRPr="006C40C1" w:rsidRDefault="00AA5D77">
      <w:pPr>
        <w:pStyle w:val="Yrkanden"/>
      </w:pPr>
      <w:r w:rsidRPr="006C40C1">
        <w:t xml:space="preserve">9. Riksdagen beslutar om en omräkning av 2003 års taxeringsvärden enligt en medianvärdesmodell i enlighet med vad i motionen anförs. </w:t>
      </w:r>
    </w:p>
    <w:p w:rsidR="00AA5D77" w:rsidRPr="006C40C1" w:rsidRDefault="00AA5D77">
      <w:pPr>
        <w:pStyle w:val="Yrkanden"/>
      </w:pPr>
      <w:r w:rsidRPr="006C40C1">
        <w:t>11. Riksdagen beslutar återta beslutet om en begränsningsregel i fastighetsb</w:t>
      </w:r>
      <w:r w:rsidRPr="006C40C1">
        <w:t>e</w:t>
      </w:r>
      <w:r w:rsidRPr="006C40C1">
        <w:t xml:space="preserve">skattningen. </w:t>
      </w:r>
    </w:p>
    <w:p w:rsidR="00AA5D77" w:rsidRPr="006C40C1" w:rsidRDefault="00AA5D77">
      <w:pPr>
        <w:pStyle w:val="Yrkanden"/>
      </w:pPr>
      <w:r w:rsidRPr="006C40C1">
        <w:t xml:space="preserve">13. Riksdagen beslutar att avskaffa sambeskattningen av förmögenhet fr.o.m. 2003 i enlighet med vad i motionen anförs. </w:t>
      </w:r>
    </w:p>
    <w:p w:rsidR="00AA5D77" w:rsidRPr="006C40C1" w:rsidRDefault="00AA5D77">
      <w:pPr>
        <w:pStyle w:val="Yrkanden"/>
      </w:pPr>
      <w:r w:rsidRPr="006C40C1">
        <w:t xml:space="preserve">14. Riksdagen beslutar att från 2003 ska endast halva taxeringsvärdet för småhus utgöra underlag för förmögenhetsbeskattning. </w:t>
      </w:r>
    </w:p>
    <w:p w:rsidR="00AA5D77" w:rsidRPr="006C40C1" w:rsidRDefault="00AA5D77">
      <w:pPr>
        <w:pStyle w:val="Yrkanden"/>
      </w:pPr>
      <w:r w:rsidRPr="006C40C1">
        <w:t xml:space="preserve">15. Riksdagen beslutar att slopa uttagsskatten på fastighetsarbete i egen regi. </w:t>
      </w:r>
    </w:p>
    <w:p w:rsidR="00AA5D77" w:rsidRPr="006C40C1" w:rsidRDefault="00AA5D77">
      <w:pPr>
        <w:pStyle w:val="Yrkanden"/>
      </w:pPr>
      <w:r w:rsidRPr="006C40C1">
        <w:t xml:space="preserve">16. Riksdagen beslutar att införa en avdragsrätt för starta-eget-sparande i enlighet med vad i motionen anförs. </w:t>
      </w:r>
    </w:p>
    <w:p w:rsidR="00AA5D77" w:rsidRPr="006C40C1" w:rsidRDefault="00AA5D77">
      <w:pPr>
        <w:pStyle w:val="Yrkanden"/>
      </w:pPr>
      <w:r w:rsidRPr="006C40C1">
        <w:t xml:space="preserve">17. Riksdagen beslutar att införa en avdragsrätt för personligt riskkapital i enlighet med vad i motionen anförs. </w:t>
      </w:r>
    </w:p>
    <w:p w:rsidR="00AA5D77" w:rsidRPr="006C40C1" w:rsidRDefault="00AA5D77">
      <w:pPr>
        <w:pStyle w:val="Yrkanden"/>
      </w:pPr>
      <w:r w:rsidRPr="006C40C1">
        <w:t>18. Riksdagen beslutar att reduktionen av arbetsgivaravgifter ska ske i enli</w:t>
      </w:r>
      <w:r w:rsidRPr="006C40C1">
        <w:t>g</w:t>
      </w:r>
      <w:r w:rsidRPr="006C40C1">
        <w:t xml:space="preserve">het med vad i motionen anförs. </w:t>
      </w:r>
    </w:p>
    <w:p w:rsidR="00AA5D77" w:rsidRPr="006C40C1" w:rsidRDefault="00AA5D77">
      <w:pPr>
        <w:pStyle w:val="Yrkanden"/>
      </w:pPr>
      <w:r w:rsidRPr="006C40C1">
        <w:t xml:space="preserve">19. Riksdagen beslutar att arbetsgivaravgiftsreduktionen beräknas på den årliga lönesumman i enlighet med vad i motionen anförs. </w:t>
      </w:r>
    </w:p>
    <w:p w:rsidR="00AA5D77" w:rsidRPr="006C40C1" w:rsidRDefault="00AA5D77">
      <w:pPr>
        <w:pStyle w:val="Yrkanden"/>
      </w:pPr>
      <w:r w:rsidRPr="006C40C1">
        <w:t xml:space="preserve">20. Riksdagen beslutar om riktade sänkningar av arbetsgivaravgiften från 2003 för inrättande av övergångsarbetsmarknader i enlighet med vad i motionen anförs. </w:t>
      </w:r>
    </w:p>
    <w:p w:rsidR="00AA5D77" w:rsidRPr="006C40C1" w:rsidRDefault="00AA5D77">
      <w:pPr>
        <w:pStyle w:val="Yrkanden"/>
      </w:pPr>
      <w:r w:rsidRPr="006C40C1">
        <w:t>22. Riksdagen beslutar att slopa arvsskatten för arbetande kapital i fåmansf</w:t>
      </w:r>
      <w:r w:rsidRPr="006C40C1">
        <w:t>ö</w:t>
      </w:r>
      <w:r w:rsidRPr="006C40C1">
        <w:t xml:space="preserve">retag. </w:t>
      </w:r>
    </w:p>
    <w:p w:rsidR="00AA5D77" w:rsidRPr="006C40C1" w:rsidRDefault="00AA5D77">
      <w:pPr>
        <w:pStyle w:val="Yrkanden"/>
      </w:pPr>
      <w:r w:rsidRPr="006C40C1">
        <w:t xml:space="preserve">23. Riksdagen beslutar att aktieägare ska kunna välja att betala skatt för aktier inbytta vid andelsbyten först vid försäljning, då vinsten på dessa aktier fastslagits. </w:t>
      </w:r>
    </w:p>
    <w:p w:rsidR="00AA5D77" w:rsidRPr="006C40C1" w:rsidRDefault="00AA5D77">
      <w:pPr>
        <w:pStyle w:val="Yrkanden"/>
      </w:pPr>
      <w:r w:rsidRPr="006C40C1">
        <w:t xml:space="preserve">25. Riksdagen beslutar att minska industrins nedsättning av koldioxidskatten med 2 miljarder kronor i enlighet med vad i motionen anförs. </w:t>
      </w:r>
    </w:p>
    <w:p w:rsidR="00AA5D77" w:rsidRPr="006C40C1" w:rsidRDefault="00AA5D77">
      <w:pPr>
        <w:pStyle w:val="Yrkanden"/>
      </w:pPr>
      <w:r w:rsidRPr="006C40C1">
        <w:t xml:space="preserve">26. Riksdagen beslutar att en kväveoxidskatt ska tas ut i enlighet med vad i motionen anförs. </w:t>
      </w:r>
    </w:p>
    <w:p w:rsidR="00AA5D77" w:rsidRPr="006C40C1" w:rsidRDefault="00AA5D77">
      <w:pPr>
        <w:pStyle w:val="Yrkanden"/>
      </w:pPr>
      <w:r w:rsidRPr="006C40C1">
        <w:t xml:space="preserve">27. Riksdagen beslutar att en skatt på förbränning av osorterat avfall ska tas ut i enlighet med vad i motionen anförs. </w:t>
      </w:r>
    </w:p>
    <w:p w:rsidR="00AA5D77" w:rsidRPr="006C40C1" w:rsidRDefault="00AA5D77">
      <w:pPr>
        <w:pStyle w:val="Yrkanden"/>
      </w:pPr>
      <w:r w:rsidRPr="006C40C1">
        <w:t>28. Riksdagen beslutar att slopa gränsen på 1 000 kr för att få del av nedsät</w:t>
      </w:r>
      <w:r w:rsidRPr="006C40C1">
        <w:t>t</w:t>
      </w:r>
      <w:r w:rsidRPr="006C40C1">
        <w:t xml:space="preserve">ningen på el- och eldningsoljeskatten. </w:t>
      </w:r>
    </w:p>
    <w:p w:rsidR="00AA5D77" w:rsidRPr="006C40C1" w:rsidRDefault="00AA5D77">
      <w:pPr>
        <w:pStyle w:val="Yrkanden"/>
      </w:pPr>
      <w:r w:rsidRPr="006C40C1">
        <w:t>29. Riksdagen beslutar att sänka skatten på diesel för jord- och skogsbruk</w:t>
      </w:r>
      <w:r w:rsidRPr="006C40C1">
        <w:t>s</w:t>
      </w:r>
      <w:r w:rsidRPr="006C40C1">
        <w:t xml:space="preserve">maskiner till 1 krona per liter. </w:t>
      </w:r>
    </w:p>
    <w:p w:rsidR="00AA5D77" w:rsidRPr="006C40C1" w:rsidRDefault="00AA5D77">
      <w:pPr>
        <w:pStyle w:val="Yrkanden"/>
      </w:pPr>
      <w:r w:rsidRPr="006C40C1">
        <w:t xml:space="preserve">30. Riksdagen beslutar att slopa kväveskatten på handelsgödsel. </w:t>
      </w:r>
    </w:p>
    <w:p w:rsidR="00AA5D77" w:rsidRPr="006C40C1" w:rsidRDefault="00AA5D77">
      <w:pPr>
        <w:pStyle w:val="Yrkanden"/>
      </w:pPr>
      <w:r w:rsidRPr="006C40C1">
        <w:t xml:space="preserve">31. Riksdagen beslutar att återta beslutet om sänkt moms i den del det avser tidskrifter. </w:t>
      </w:r>
    </w:p>
    <w:p w:rsidR="00AA5D77" w:rsidRPr="006C40C1" w:rsidRDefault="00AA5D77">
      <w:pPr>
        <w:pStyle w:val="Yrkanden"/>
      </w:pPr>
      <w:r w:rsidRPr="006C40C1">
        <w:t xml:space="preserve">33. Riksdagen beslutar att slopa skattelättnaden för utbyggnad av bredband. </w:t>
      </w:r>
    </w:p>
    <w:p w:rsidR="00AA5D77" w:rsidRPr="006C40C1" w:rsidRDefault="00AA5D77">
      <w:pPr>
        <w:pStyle w:val="Motioner"/>
      </w:pPr>
      <w:r w:rsidRPr="006C40C1">
        <w:t>2002/03:Fi287 av Lennart Hedquist m.fl. (m):</w:t>
      </w:r>
    </w:p>
    <w:p w:rsidR="00AA5D77" w:rsidRPr="006C40C1" w:rsidRDefault="00AA5D77">
      <w:pPr>
        <w:pStyle w:val="Yrkanden"/>
      </w:pPr>
      <w:r w:rsidRPr="006C40C1">
        <w:t>1. Riksdagen beslutar införa ett förvärvsavdrag med 13 % på pension</w:t>
      </w:r>
      <w:r w:rsidRPr="006C40C1">
        <w:t>s</w:t>
      </w:r>
      <w:r w:rsidRPr="006C40C1">
        <w:t xml:space="preserve">grundande inkomster mot kommunalskatt från inkomståret 2003. </w:t>
      </w:r>
    </w:p>
    <w:p w:rsidR="00AA5D77" w:rsidRPr="006C40C1" w:rsidRDefault="00AA5D77">
      <w:pPr>
        <w:pStyle w:val="Yrkanden"/>
      </w:pPr>
      <w:r w:rsidRPr="006C40C1">
        <w:t>2. Riksdagen beslutar införa ett grundavdrag att gälla enbart vid den komm</w:t>
      </w:r>
      <w:r w:rsidRPr="006C40C1">
        <w:t>u</w:t>
      </w:r>
      <w:r w:rsidRPr="006C40C1">
        <w:t xml:space="preserve">nala beskattningen från inkomståret 2003. </w:t>
      </w:r>
    </w:p>
    <w:p w:rsidR="00AA5D77" w:rsidRPr="006C40C1" w:rsidRDefault="00AA5D77">
      <w:pPr>
        <w:pStyle w:val="Yrkanden"/>
      </w:pPr>
      <w:r w:rsidRPr="006C40C1">
        <w:t xml:space="preserve">3. Riksdagen beslutar att skattesatsen för statlig inkomstskatt ska sättas till 20 % 2003. </w:t>
      </w:r>
    </w:p>
    <w:p w:rsidR="00AA5D77" w:rsidRPr="006C40C1" w:rsidRDefault="00AA5D77">
      <w:pPr>
        <w:pStyle w:val="Yrkanden"/>
      </w:pPr>
      <w:r w:rsidRPr="006C40C1">
        <w:t xml:space="preserve">4. Riksdagen beslutar höja gränsen för statlig inkomstskatt i enlighet med vad som anförs i motionen. </w:t>
      </w:r>
    </w:p>
    <w:p w:rsidR="00AA5D77" w:rsidRPr="006C40C1" w:rsidRDefault="00AA5D77">
      <w:pPr>
        <w:pStyle w:val="Yrkanden"/>
      </w:pPr>
      <w:r w:rsidRPr="006C40C1">
        <w:t>5. Riksdagen beslutar upphäva kompensationen för den allmänna pensionsa</w:t>
      </w:r>
      <w:r w:rsidRPr="006C40C1">
        <w:t>v</w:t>
      </w:r>
      <w:r w:rsidRPr="006C40C1">
        <w:t xml:space="preserve">giften inkomståret 2003. </w:t>
      </w:r>
    </w:p>
    <w:p w:rsidR="00AA5D77" w:rsidRPr="006C40C1" w:rsidRDefault="00AA5D77">
      <w:pPr>
        <w:pStyle w:val="Yrkanden"/>
      </w:pPr>
      <w:r w:rsidRPr="006C40C1">
        <w:t xml:space="preserve">6. Riksdagen beslutar att den allmänna pensionsavgiften blir avdragsgill mot inkomsten från inkomståret 2003. </w:t>
      </w:r>
    </w:p>
    <w:p w:rsidR="00AA5D77" w:rsidRPr="006C40C1" w:rsidRDefault="00AA5D77">
      <w:pPr>
        <w:pStyle w:val="Yrkanden"/>
      </w:pPr>
      <w:r w:rsidRPr="006C40C1">
        <w:t xml:space="preserve">7. Riksdagen beslutar införa ett grundavdrag med 12 000 kr per barn upp till 16 år i den kommunala beskattningen från inkomståret 2003 och 15 000 kr från inkomståret 2004. </w:t>
      </w:r>
    </w:p>
    <w:p w:rsidR="00AA5D77" w:rsidRPr="006C40C1" w:rsidRDefault="00AA5D77">
      <w:pPr>
        <w:pStyle w:val="Yrkanden"/>
      </w:pPr>
      <w:r w:rsidRPr="006C40C1">
        <w:t xml:space="preserve">8. Riksdagen beslutar höja reseavdrag för färd med bil till 2 kr per kilometer från inkomståret 2002. </w:t>
      </w:r>
    </w:p>
    <w:p w:rsidR="00AA5D77" w:rsidRPr="006C40C1" w:rsidRDefault="00AA5D77">
      <w:pPr>
        <w:pStyle w:val="Yrkanden"/>
      </w:pPr>
      <w:r w:rsidRPr="006C40C1">
        <w:t xml:space="preserve">9. Riksdagen beslutar höja avdraget för resor med förmånsbil till 10 kr per mil (7 kr per mil i dieseldrivna bilar). </w:t>
      </w:r>
    </w:p>
    <w:p w:rsidR="00AA5D77" w:rsidRPr="006C40C1" w:rsidRDefault="00AA5D77">
      <w:pPr>
        <w:pStyle w:val="Yrkanden"/>
      </w:pPr>
      <w:r w:rsidRPr="006C40C1">
        <w:t>10. Riksdagen beslutar sänka skatten på diesel för arbetsredskap i jord- och skogsbruk samt för entreprenadmaskiner till 53 öre per liter från den 1 j</w:t>
      </w:r>
      <w:r w:rsidRPr="006C40C1">
        <w:t>a</w:t>
      </w:r>
      <w:r w:rsidRPr="006C40C1">
        <w:t xml:space="preserve">nuari 2003. </w:t>
      </w:r>
    </w:p>
    <w:p w:rsidR="00AA5D77" w:rsidRPr="006C40C1" w:rsidRDefault="00AA5D77">
      <w:pPr>
        <w:pStyle w:val="Yrkanden"/>
      </w:pPr>
      <w:r w:rsidRPr="006C40C1">
        <w:t xml:space="preserve">11. Riksdagen beslutar att skatten på handelsgödsel tas bort från den 1 januari 2003. </w:t>
      </w:r>
    </w:p>
    <w:p w:rsidR="00AA5D77" w:rsidRPr="006C40C1" w:rsidRDefault="00AA5D77">
      <w:pPr>
        <w:pStyle w:val="Yrkanden"/>
      </w:pPr>
      <w:r w:rsidRPr="006C40C1">
        <w:t xml:space="preserve">12. Riksdagen beslutar att avslå regeringens förslag om höjd koldioxidskatt med 16 %. </w:t>
      </w:r>
    </w:p>
    <w:p w:rsidR="00AA5D77" w:rsidRPr="006C40C1" w:rsidRDefault="00AA5D77">
      <w:pPr>
        <w:pStyle w:val="Yrkanden"/>
      </w:pPr>
      <w:r w:rsidRPr="006C40C1">
        <w:t xml:space="preserve">13. Riksdagen beslutar avslå regeringens förslag om höjd elskatt med 2,1 öre per kWh. </w:t>
      </w:r>
    </w:p>
    <w:p w:rsidR="00AA5D77" w:rsidRPr="006C40C1" w:rsidRDefault="00AA5D77">
      <w:pPr>
        <w:pStyle w:val="Yrkanden"/>
      </w:pPr>
      <w:r w:rsidRPr="006C40C1">
        <w:t>14. Riksdagen beslutar att sänka skatten på bensin och diesel med 70 öre per liter inklusive moms i förhållande till regeringens förslag från den 1 janu</w:t>
      </w:r>
      <w:r w:rsidRPr="006C40C1">
        <w:t>a</w:t>
      </w:r>
      <w:r w:rsidRPr="006C40C1">
        <w:t xml:space="preserve">ri 2003. </w:t>
      </w:r>
    </w:p>
    <w:p w:rsidR="00AA5D77" w:rsidRPr="006C40C1" w:rsidRDefault="00AA5D77">
      <w:pPr>
        <w:pStyle w:val="Yrkanden"/>
      </w:pPr>
      <w:r w:rsidRPr="006C40C1">
        <w:t xml:space="preserve">15. Riksdagen beslutar övergå från effektskatt till skatt på producerad energi vid kärnkraftverk. </w:t>
      </w:r>
    </w:p>
    <w:p w:rsidR="00AA5D77" w:rsidRPr="006C40C1" w:rsidRDefault="00AA5D77">
      <w:pPr>
        <w:pStyle w:val="Yrkanden"/>
      </w:pPr>
      <w:r w:rsidRPr="006C40C1">
        <w:t>16. Riksdagen beslutar sänka den särskilda skatten på kärnkraftsel med mo</w:t>
      </w:r>
      <w:r w:rsidRPr="006C40C1">
        <w:t>t</w:t>
      </w:r>
      <w:r w:rsidRPr="006C40C1">
        <w:t xml:space="preserve">svarande 0,5 öre per kWh från den 1 januari 2003. </w:t>
      </w:r>
    </w:p>
    <w:p w:rsidR="00AA5D77" w:rsidRPr="006C40C1" w:rsidRDefault="00AA5D77">
      <w:pPr>
        <w:pStyle w:val="Yrkanden"/>
      </w:pPr>
      <w:r w:rsidRPr="006C40C1">
        <w:t xml:space="preserve">18. Riksdagen beslutar att 1997 års taxeringsvärden ska ligga till grund för beskattning av fastighet och förmögenhet i den mån de är lägre än dagens. </w:t>
      </w:r>
    </w:p>
    <w:p w:rsidR="00AA5D77" w:rsidRPr="006C40C1" w:rsidRDefault="00AA5D77">
      <w:pPr>
        <w:pStyle w:val="Yrkanden"/>
      </w:pPr>
      <w:r w:rsidRPr="006C40C1">
        <w:t xml:space="preserve">19. Riksdagen beslutar att fastighetsskatten för småhus ska utgå med 0,9 % 2002 och 0,8 % 2003. </w:t>
      </w:r>
    </w:p>
    <w:p w:rsidR="00AA5D77" w:rsidRPr="006C40C1" w:rsidRDefault="00AA5D77">
      <w:pPr>
        <w:pStyle w:val="Yrkanden"/>
      </w:pPr>
      <w:r w:rsidRPr="006C40C1">
        <w:t xml:space="preserve">21. Riksdagen beslutar upphäva begränsningsregeln och dämpningsregeln vid fastighetsbeskattning. </w:t>
      </w:r>
    </w:p>
    <w:p w:rsidR="00AA5D77" w:rsidRPr="006C40C1" w:rsidRDefault="00AA5D77">
      <w:pPr>
        <w:pStyle w:val="Yrkanden"/>
      </w:pPr>
      <w:r w:rsidRPr="006C40C1">
        <w:t xml:space="preserve">22. Riksdagen beslutar att sambeskattning vid förmögenhetsbeskattning ska upphöra 2003. </w:t>
      </w:r>
    </w:p>
    <w:p w:rsidR="00AA5D77" w:rsidRPr="006C40C1" w:rsidRDefault="00AA5D77">
      <w:pPr>
        <w:pStyle w:val="Yrkanden"/>
      </w:pPr>
      <w:r w:rsidRPr="006C40C1">
        <w:t xml:space="preserve">23. Riksdagen beslutar att fribeloppet vid förmögenhetsskatt sätts till 2 000 000 kr 2003. </w:t>
      </w:r>
    </w:p>
    <w:p w:rsidR="00AA5D77" w:rsidRPr="006C40C1" w:rsidRDefault="00AA5D77">
      <w:pPr>
        <w:pStyle w:val="Yrkanden"/>
      </w:pPr>
      <w:r w:rsidRPr="006C40C1">
        <w:t xml:space="preserve">24. Riksdagen beslutar upphäva förmögenhetsbeskattningen 2004. </w:t>
      </w:r>
    </w:p>
    <w:p w:rsidR="00AA5D77" w:rsidRPr="006C40C1" w:rsidRDefault="00AA5D77">
      <w:pPr>
        <w:pStyle w:val="Yrkanden"/>
      </w:pPr>
      <w:r w:rsidRPr="006C40C1">
        <w:t xml:space="preserve">26. Riksdagen beslutar att skatt på aktieutdelningar slopas fr.o.m. 2002 års vinster. </w:t>
      </w:r>
    </w:p>
    <w:p w:rsidR="00AA5D77" w:rsidRPr="006C40C1" w:rsidRDefault="00AA5D77">
      <w:pPr>
        <w:pStyle w:val="Yrkanden"/>
      </w:pPr>
      <w:r w:rsidRPr="006C40C1">
        <w:t xml:space="preserve">27. Riksdagen beslutar att beskattning av royaltyinkomster från uppfinningar och patent beskattas i inkomstslaget kapital från 2003. </w:t>
      </w:r>
    </w:p>
    <w:p w:rsidR="00AA5D77" w:rsidRPr="006C40C1" w:rsidRDefault="00AA5D77">
      <w:pPr>
        <w:pStyle w:val="Yrkanden"/>
      </w:pPr>
      <w:r w:rsidRPr="006C40C1">
        <w:t xml:space="preserve">28. Riksdagen beslutar slopa reklamskatten från 2003. </w:t>
      </w:r>
    </w:p>
    <w:p w:rsidR="00AA5D77" w:rsidRPr="006C40C1" w:rsidRDefault="00AA5D77">
      <w:pPr>
        <w:pStyle w:val="Yrkanden"/>
      </w:pPr>
      <w:r w:rsidRPr="006C40C1">
        <w:t xml:space="preserve">29. Riksdagen beslutar att en skattereduktion för privatpersoners betalning av arbetskostnaden på hushållsnära tjänster införs med en begränsning på 25 000 kr per år. </w:t>
      </w:r>
    </w:p>
    <w:p w:rsidR="00AA5D77" w:rsidRPr="006C40C1" w:rsidRDefault="00AA5D77">
      <w:pPr>
        <w:pStyle w:val="Yrkanden"/>
      </w:pPr>
      <w:r w:rsidRPr="006C40C1">
        <w:t xml:space="preserve">30. Riksdagen beslutar att skatten på vin med en alkoholhalt mellan 8,5 och 15,0 volymprocent ska vara 9 kr per liter. För vin med annan alkoholhalt beräknas skatten utifrån detta från den 1 januari 2003. </w:t>
      </w:r>
    </w:p>
    <w:p w:rsidR="00AA5D77" w:rsidRPr="006C40C1" w:rsidRDefault="00AA5D77">
      <w:pPr>
        <w:pStyle w:val="Yrkanden"/>
      </w:pPr>
      <w:r w:rsidRPr="006C40C1">
        <w:t xml:space="preserve">31. Riksdagen beslutar att skatten på öl med en alkoholhalt överstigande 2,8 volymprocent ska vara 85 öre per liter och volymprocent från den 1 januari 2003. </w:t>
      </w:r>
    </w:p>
    <w:p w:rsidR="00AA5D77" w:rsidRPr="006C40C1" w:rsidRDefault="00AA5D77">
      <w:pPr>
        <w:pStyle w:val="Yrkanden"/>
      </w:pPr>
      <w:r w:rsidRPr="006C40C1">
        <w:t xml:space="preserve">32. Riksdagen beslutar att skatten på etylakohol ska vara 375 kr per liter från den 1 januari 2003. </w:t>
      </w:r>
    </w:p>
    <w:p w:rsidR="00AA5D77" w:rsidRPr="006C40C1" w:rsidRDefault="00AA5D77">
      <w:pPr>
        <w:pStyle w:val="Yrkanden"/>
      </w:pPr>
      <w:r w:rsidRPr="006C40C1">
        <w:t xml:space="preserve">33. Riksdagen beslutar upphäva skattereduktionen för utländska experter. </w:t>
      </w:r>
    </w:p>
    <w:p w:rsidR="00AA5D77" w:rsidRPr="006C40C1" w:rsidRDefault="00AA5D77">
      <w:pPr>
        <w:pStyle w:val="Yrkanden"/>
      </w:pPr>
      <w:r w:rsidRPr="006C40C1">
        <w:t xml:space="preserve">34. Riksdagen beslutar upphäva skattereduktionen för rederinäringen. </w:t>
      </w:r>
    </w:p>
    <w:p w:rsidR="00AA5D77" w:rsidRPr="006C40C1" w:rsidRDefault="00AA5D77">
      <w:pPr>
        <w:pStyle w:val="Yrkanden"/>
      </w:pPr>
      <w:r w:rsidRPr="006C40C1">
        <w:t>35. Riksdagen beslutar att inte längre medge kreditering på skattekonto avs</w:t>
      </w:r>
      <w:r w:rsidRPr="006C40C1">
        <w:t>e</w:t>
      </w:r>
      <w:r w:rsidRPr="006C40C1">
        <w:t xml:space="preserve">ende anställningsstöd. </w:t>
      </w:r>
    </w:p>
    <w:p w:rsidR="00AA5D77" w:rsidRPr="006C40C1" w:rsidRDefault="00AA5D77">
      <w:pPr>
        <w:pStyle w:val="Yrkanden"/>
      </w:pPr>
      <w:r w:rsidRPr="006C40C1">
        <w:t>36. Riksdagen beslutar att inte medge skattereduktion för installation av bre</w:t>
      </w:r>
      <w:r w:rsidRPr="006C40C1">
        <w:t>d</w:t>
      </w:r>
      <w:r w:rsidRPr="006C40C1">
        <w:t xml:space="preserve">band. </w:t>
      </w:r>
    </w:p>
    <w:p w:rsidR="00AA5D77" w:rsidRPr="006C40C1" w:rsidRDefault="00AA5D77">
      <w:pPr>
        <w:pStyle w:val="Yrkanden"/>
      </w:pPr>
      <w:r w:rsidRPr="006C40C1">
        <w:t>37. Riksdagen beslutar att upphäva skattereduktionen för avgift till fackför</w:t>
      </w:r>
      <w:r w:rsidRPr="006C40C1">
        <w:softHyphen/>
        <w:t xml:space="preserve">-    </w:t>
      </w:r>
      <w:r w:rsidRPr="006C40C1">
        <w:t>e</w:t>
      </w:r>
      <w:r w:rsidRPr="006C40C1">
        <w:t xml:space="preserve">ning. </w:t>
      </w:r>
    </w:p>
    <w:p w:rsidR="00AA5D77" w:rsidRPr="006C40C1" w:rsidRDefault="00AA5D77">
      <w:pPr>
        <w:pStyle w:val="Yrkanden"/>
      </w:pPr>
      <w:r w:rsidRPr="006C40C1">
        <w:t xml:space="preserve">38. Riksdagen beslutar att avgift till arbetslöshetskassa görs avdragsgill mot inkomsten och upphäver därmed rätten till skattereduktion för densamma. </w:t>
      </w:r>
    </w:p>
    <w:p w:rsidR="00AA5D77" w:rsidRPr="006C40C1" w:rsidRDefault="00AA5D77">
      <w:pPr>
        <w:pStyle w:val="Yrkanden"/>
      </w:pPr>
      <w:r w:rsidRPr="006C40C1">
        <w:t>39. Riksdagen beslutar att företag inom sektorerna jordbruk, vattenbruk och fiske med driftsställe i stödområde A också ska omfattas av den extra ne</w:t>
      </w:r>
      <w:r w:rsidRPr="006C40C1">
        <w:t>d</w:t>
      </w:r>
      <w:r w:rsidRPr="006C40C1">
        <w:t xml:space="preserve">sättningen av arbetsgivaravgifterna. </w:t>
      </w:r>
    </w:p>
    <w:p w:rsidR="00AA5D77" w:rsidRPr="006C40C1" w:rsidRDefault="00AA5D77">
      <w:pPr>
        <w:pStyle w:val="Motioner"/>
      </w:pPr>
      <w:r w:rsidRPr="006C40C1">
        <w:t>2002/03:Sk223 av Rigmor Stenmark (c):</w:t>
      </w:r>
    </w:p>
    <w:p w:rsidR="00AA5D77" w:rsidRPr="006C40C1" w:rsidRDefault="00AA5D77">
      <w:r w:rsidRPr="006C40C1">
        <w:t xml:space="preserve">Riksdagen tillkännager för regeringen som sin mening vad i motionen anförs om en översyn av reklamskattebestämmelserna för idrottsföreningar.  </w:t>
      </w:r>
    </w:p>
    <w:p w:rsidR="00AA5D77" w:rsidRPr="006C40C1" w:rsidRDefault="00AA5D77">
      <w:pPr>
        <w:pStyle w:val="Motioner"/>
      </w:pPr>
      <w:r w:rsidRPr="006C40C1">
        <w:t>2002/03:Sk295 av Gunnar Andrén (fp):</w:t>
      </w:r>
    </w:p>
    <w:p w:rsidR="00AA5D77" w:rsidRPr="006C40C1" w:rsidRDefault="00AA5D77">
      <w:r w:rsidRPr="006C40C1">
        <w:t>Riksdagen begär att regeringen lägger fram förslag om i vilken takt rekla</w:t>
      </w:r>
      <w:r w:rsidRPr="006C40C1">
        <w:t>m</w:t>
      </w:r>
      <w:r w:rsidRPr="006C40C1">
        <w:t xml:space="preserve">skatten ska avskaffas.  </w:t>
      </w:r>
    </w:p>
    <w:p w:rsidR="00AA5D77" w:rsidRPr="006C40C1" w:rsidRDefault="00AA5D77">
      <w:pPr>
        <w:pStyle w:val="Motioner"/>
      </w:pPr>
      <w:r w:rsidRPr="006C40C1">
        <w:t>2002/03:Sk346 av Jörgen Johansson och Jan Andersson (c):</w:t>
      </w:r>
    </w:p>
    <w:p w:rsidR="00AA5D77" w:rsidRPr="006C40C1" w:rsidRDefault="00AA5D77">
      <w:pPr>
        <w:pStyle w:val="Yrkanden"/>
      </w:pPr>
      <w:r w:rsidRPr="006C40C1">
        <w:t xml:space="preserve">2. Riksdagen tillkännager för regeringen som sin mening vad i motionen anförs om att reklamskatten för ideella föreningar slopas för föreningar med en årsomsättning om maximalt 1 000 000 kr. </w:t>
      </w:r>
    </w:p>
    <w:p w:rsidR="00AA5D77" w:rsidRPr="006C40C1" w:rsidRDefault="00AA5D77">
      <w:pPr>
        <w:pStyle w:val="Motioner"/>
      </w:pPr>
      <w:r w:rsidRPr="006C40C1">
        <w:t>2002/03:Sk382 av Lars Leijonborg m.fl. (fp):</w:t>
      </w:r>
    </w:p>
    <w:p w:rsidR="00AA5D77" w:rsidRPr="006C40C1" w:rsidRDefault="00AA5D77">
      <w:pPr>
        <w:pStyle w:val="Yrkanden"/>
      </w:pPr>
      <w:r w:rsidRPr="006C40C1">
        <w:t xml:space="preserve">1. Riksdagen tillkännager för regeringen som sin mening vad i motionen anförs om skattepolitikens långsiktiga inriktning. </w:t>
      </w:r>
    </w:p>
    <w:p w:rsidR="00AA5D77" w:rsidRPr="006C40C1" w:rsidRDefault="00AA5D77">
      <w:pPr>
        <w:pStyle w:val="Yrkanden"/>
      </w:pPr>
      <w:r w:rsidRPr="006C40C1">
        <w:t xml:space="preserve">2. Riksdagen tillkännager för regeringen som sin mening vad i motionen anförs om en inkomstskattereform 2003–2004. </w:t>
      </w:r>
    </w:p>
    <w:p w:rsidR="00AA5D77" w:rsidRPr="006C40C1" w:rsidRDefault="00AA5D77">
      <w:pPr>
        <w:pStyle w:val="Yrkanden"/>
      </w:pPr>
      <w:r w:rsidRPr="006C40C1">
        <w:t xml:space="preserve">3. Riksdagen tillkännager för regeringen som sin mening vad i motionen anförs om avdragsgilla försäkringsavgifter. </w:t>
      </w:r>
    </w:p>
    <w:p w:rsidR="00AA5D77" w:rsidRPr="006C40C1" w:rsidRDefault="00AA5D77">
      <w:pPr>
        <w:pStyle w:val="Yrkanden"/>
      </w:pPr>
      <w:r w:rsidRPr="006C40C1">
        <w:t xml:space="preserve">4. Riksdagen tillkännager för regeringen som sin mening vad i motionen anförs om sänkt skatt för barnfamiljer. </w:t>
      </w:r>
    </w:p>
    <w:p w:rsidR="00AA5D77" w:rsidRPr="006C40C1" w:rsidRDefault="00AA5D77">
      <w:pPr>
        <w:pStyle w:val="Yrkanden"/>
      </w:pPr>
      <w:r w:rsidRPr="006C40C1">
        <w:t xml:space="preserve">7. Riksdagen tillkännager för regeringen som sin mening vad i motionen anförs om kompetenssparande och pensionssparande. </w:t>
      </w:r>
    </w:p>
    <w:p w:rsidR="00AA5D77" w:rsidRPr="006C40C1" w:rsidRDefault="00AA5D77">
      <w:pPr>
        <w:pStyle w:val="Yrkanden"/>
      </w:pPr>
      <w:r w:rsidRPr="006C40C1">
        <w:t xml:space="preserve">8. Riksdagen tillkännager för regeringen som sin mening vad i motionen anförs om sänkt fastighetsskatt. </w:t>
      </w:r>
    </w:p>
    <w:p w:rsidR="00AA5D77" w:rsidRPr="006C40C1" w:rsidRDefault="00AA5D77">
      <w:pPr>
        <w:pStyle w:val="Yrkanden"/>
      </w:pPr>
      <w:r w:rsidRPr="006C40C1">
        <w:t xml:space="preserve">9. Riksdagen tillkännager för regeringen som sin mening vad i motionen anförs om frysta taxeringsvärden. </w:t>
      </w:r>
    </w:p>
    <w:p w:rsidR="00AA5D77" w:rsidRPr="006C40C1" w:rsidRDefault="00AA5D77">
      <w:pPr>
        <w:pStyle w:val="Yrkanden"/>
      </w:pPr>
      <w:r w:rsidRPr="006C40C1">
        <w:t xml:space="preserve">10. Riksdagen tillkännager för regeringen som sin mening vad i motionen anförs om reavinst vid bostadsrätts- och fastighetsförsäljning. </w:t>
      </w:r>
    </w:p>
    <w:p w:rsidR="00AA5D77" w:rsidRPr="006C40C1" w:rsidRDefault="00AA5D77">
      <w:pPr>
        <w:pStyle w:val="Yrkanden"/>
      </w:pPr>
      <w:r w:rsidRPr="006C40C1">
        <w:t xml:space="preserve">11. Riksdagen tillkännager för regeringen som sin mening vad i motionen anförs om stegvis avskaffad förmögenhetsskatt. </w:t>
      </w:r>
    </w:p>
    <w:p w:rsidR="00AA5D77" w:rsidRPr="006C40C1" w:rsidRDefault="00AA5D77">
      <w:pPr>
        <w:pStyle w:val="Yrkanden"/>
      </w:pPr>
      <w:r w:rsidRPr="006C40C1">
        <w:t xml:space="preserve">12. Riksdagen tillkännager för regeringen som sin mening vad i motionen anförs om avskaffad sambeskattning av förmögenhet. </w:t>
      </w:r>
    </w:p>
    <w:p w:rsidR="00AA5D77" w:rsidRPr="006C40C1" w:rsidRDefault="00AA5D77">
      <w:pPr>
        <w:pStyle w:val="Yrkanden"/>
      </w:pPr>
      <w:r w:rsidRPr="006C40C1">
        <w:t xml:space="preserve">14. Riksdagen tillkännager för regeringen som sin mening vad i motionen anförs om införande av avdragsrätt för gåvor till internationellt bistånd. </w:t>
      </w:r>
    </w:p>
    <w:p w:rsidR="00AA5D77" w:rsidRPr="006C40C1" w:rsidRDefault="00AA5D77">
      <w:pPr>
        <w:pStyle w:val="Yrkanden"/>
      </w:pPr>
      <w:r w:rsidRPr="006C40C1">
        <w:t xml:space="preserve">22. Riksdagen tillkännager för regeringen som sin mening vad i motionen anförs om en bred översyn av pomperipossaeffekterna. </w:t>
      </w:r>
    </w:p>
    <w:p w:rsidR="00AA5D77" w:rsidRPr="006C40C1" w:rsidRDefault="00AA5D77">
      <w:pPr>
        <w:pStyle w:val="Yrkanden"/>
      </w:pPr>
      <w:r w:rsidRPr="006C40C1">
        <w:t xml:space="preserve">24. Riksdagen tillkännager för regeringen som sin mening vad i motionen anförs om avskaffande av dubbelbeskattning av aktieutdelning. </w:t>
      </w:r>
    </w:p>
    <w:p w:rsidR="00AA5D77" w:rsidRPr="006C40C1" w:rsidRDefault="00AA5D77">
      <w:pPr>
        <w:pStyle w:val="Yrkanden"/>
      </w:pPr>
      <w:r w:rsidRPr="006C40C1">
        <w:t xml:space="preserve">25. Riksdagen tillkännager för regeringen som sin mening vad i motionen anförs om sänkta arbetsgivaravgifter. </w:t>
      </w:r>
    </w:p>
    <w:p w:rsidR="00AA5D77" w:rsidRPr="006C40C1" w:rsidRDefault="00AA5D77">
      <w:pPr>
        <w:pStyle w:val="Yrkanden"/>
      </w:pPr>
      <w:r w:rsidRPr="006C40C1">
        <w:t xml:space="preserve">26. Riksdagen tillkännager för regeringen som sin mening vad i motionen anförs om grön skatteväxling. </w:t>
      </w:r>
    </w:p>
    <w:p w:rsidR="00AA5D77" w:rsidRPr="006C40C1" w:rsidRDefault="00AA5D77">
      <w:pPr>
        <w:pStyle w:val="Motioner"/>
      </w:pPr>
      <w:bookmarkStart w:id="1075" w:name="RangeStart"/>
      <w:bookmarkStart w:id="1076" w:name="RangeEnd"/>
      <w:bookmarkEnd w:id="1075"/>
      <w:r w:rsidRPr="006C40C1">
        <w:t>2002/03:Sk383 av Per Landgren m.fl. (kd):</w:t>
      </w:r>
    </w:p>
    <w:p w:rsidR="00AA5D77" w:rsidRPr="006C40C1" w:rsidRDefault="00AA5D77">
      <w:pPr>
        <w:pStyle w:val="Yrkanden"/>
      </w:pPr>
      <w:r w:rsidRPr="006C40C1">
        <w:t xml:space="preserve">2. Riksdagen beslutar att avveckla dubbelbeskattningen på utdelningen på aktier i enlighet med vad som anförs i motionen. </w:t>
      </w:r>
    </w:p>
    <w:p w:rsidR="00AA5D77" w:rsidRPr="006C40C1" w:rsidRDefault="00AA5D77">
      <w:pPr>
        <w:pStyle w:val="Yrkanden"/>
      </w:pPr>
      <w:r w:rsidRPr="006C40C1">
        <w:t>3. Riksdagen beslutar att slopa sambeskattningen i förmögenhetsbeskattnin</w:t>
      </w:r>
      <w:r w:rsidRPr="006C40C1">
        <w:t>g</w:t>
      </w:r>
      <w:r w:rsidRPr="006C40C1">
        <w:t xml:space="preserve">en i enlighet med vad som anförs i motionen. </w:t>
      </w:r>
    </w:p>
    <w:p w:rsidR="00AA5D77" w:rsidRPr="006C40C1" w:rsidRDefault="00AA5D77">
      <w:pPr>
        <w:pStyle w:val="Yrkanden"/>
      </w:pPr>
      <w:r w:rsidRPr="006C40C1">
        <w:t xml:space="preserve">5. Riksdagen tillkännager för regeringen som sin mening vad i motionen anförs om sänkta arbetsgivaravgifter. </w:t>
      </w:r>
    </w:p>
    <w:p w:rsidR="00AA5D77" w:rsidRPr="006C40C1" w:rsidRDefault="00AA5D77">
      <w:pPr>
        <w:pStyle w:val="Yrkanden"/>
      </w:pPr>
      <w:r w:rsidRPr="006C40C1">
        <w:t xml:space="preserve">6. Riksdagen beslutar om ett permanent riskkapitalavdrag i enlighet med vad som anförs i motionen. </w:t>
      </w:r>
    </w:p>
    <w:p w:rsidR="00AA5D77" w:rsidRPr="006C40C1" w:rsidRDefault="00AA5D77">
      <w:pPr>
        <w:pStyle w:val="Yrkanden"/>
      </w:pPr>
      <w:r w:rsidRPr="006C40C1">
        <w:t>7. Riksdagen beslutar om en sänkning av dieselskatten till 1 kr/liter (för jor</w:t>
      </w:r>
      <w:r w:rsidRPr="006C40C1">
        <w:t>d</w:t>
      </w:r>
      <w:r w:rsidRPr="006C40C1">
        <w:t xml:space="preserve">bruket) i enlighet med vad som anförs i motionen. </w:t>
      </w:r>
    </w:p>
    <w:p w:rsidR="00AA5D77" w:rsidRPr="006C40C1" w:rsidRDefault="00AA5D77">
      <w:pPr>
        <w:pStyle w:val="Yrkanden"/>
      </w:pPr>
      <w:r w:rsidRPr="006C40C1">
        <w:t xml:space="preserve">8. Riksdagen beslutar att sänka skatten på diesel med 31 öre/liter i enlighet med vad som anförs i motionen. </w:t>
      </w:r>
    </w:p>
    <w:p w:rsidR="00AA5D77" w:rsidRPr="006C40C1" w:rsidRDefault="00AA5D77">
      <w:pPr>
        <w:pStyle w:val="Yrkanden"/>
      </w:pPr>
      <w:r w:rsidRPr="006C40C1">
        <w:t xml:space="preserve">9. Riksdagen beslutar sänka skatten på bensin med 31 öre/liter i stödområde A i enlighet med vad som anförs i motionen. </w:t>
      </w:r>
    </w:p>
    <w:p w:rsidR="00AA5D77" w:rsidRPr="006C40C1" w:rsidRDefault="00AA5D77">
      <w:pPr>
        <w:pStyle w:val="Yrkanden"/>
      </w:pPr>
      <w:r w:rsidRPr="006C40C1">
        <w:t>12. Riksdagen beslutar att royalty på patenterade uppfinningar ska vara ska</w:t>
      </w:r>
      <w:r w:rsidRPr="006C40C1">
        <w:t>t</w:t>
      </w:r>
      <w:r w:rsidRPr="006C40C1">
        <w:t xml:space="preserve">tebefriade under två år i enlighet med vad som anförs i motionen. </w:t>
      </w:r>
    </w:p>
    <w:p w:rsidR="00AA5D77" w:rsidRPr="006C40C1" w:rsidRDefault="00AA5D77">
      <w:pPr>
        <w:pStyle w:val="Yrkanden"/>
      </w:pPr>
      <w:r w:rsidRPr="006C40C1">
        <w:t xml:space="preserve">14. Riksdagen beslutar höja bolagsskatten till 30 % i enlighet med vad som anförs i motionen. </w:t>
      </w:r>
    </w:p>
    <w:p w:rsidR="00AA5D77" w:rsidRPr="006C40C1" w:rsidRDefault="00AA5D77">
      <w:pPr>
        <w:pStyle w:val="Motioner"/>
      </w:pPr>
      <w:r w:rsidRPr="006C40C1">
        <w:br w:type="page"/>
        <w:t>2002/03:Sk397 av Ragnwi Marcelind (kd):</w:t>
      </w:r>
    </w:p>
    <w:p w:rsidR="00AA5D77" w:rsidRPr="006C40C1" w:rsidRDefault="00AA5D77">
      <w:r w:rsidRPr="006C40C1">
        <w:t xml:space="preserve">Riksdagen tillkännager för regeringen som sin mening vad i motionen anförs om att lagstifta om fastställande av minimipunktskatten på lågpriscigaretter till 100 %.  </w:t>
      </w:r>
    </w:p>
    <w:p w:rsidR="00AA5D77" w:rsidRPr="006C40C1" w:rsidRDefault="00AA5D77">
      <w:pPr>
        <w:pStyle w:val="Motioner"/>
      </w:pPr>
      <w:r w:rsidRPr="006C40C1">
        <w:t>2002/03:Sk417 av Lennart Hedquist m.fl. (m):</w:t>
      </w:r>
    </w:p>
    <w:p w:rsidR="00AA5D77" w:rsidRPr="006C40C1" w:rsidRDefault="00AA5D77">
      <w:pPr>
        <w:pStyle w:val="Yrkanden"/>
      </w:pPr>
      <w:r w:rsidRPr="006C40C1">
        <w:t xml:space="preserve">8. Riksdagen tillkännager för regeringen som sin mening vad i motionen anförs om avskaffande av reklamskatten. </w:t>
      </w:r>
    </w:p>
    <w:p w:rsidR="00AA5D77" w:rsidRPr="006C40C1" w:rsidRDefault="00AA5D77">
      <w:pPr>
        <w:pStyle w:val="Yrkanden"/>
      </w:pPr>
      <w:r w:rsidRPr="006C40C1">
        <w:t xml:space="preserve">14. Riksdagen beslutar att försäljning av fåmansbolag där likvid erhållits i aktier med villkor om att aktierna inte får säljas förrän vid senare tidpunkt från och med inkomståret 1999 fullt ut beskattas i inkomstslaget kapital. </w:t>
      </w:r>
    </w:p>
    <w:p w:rsidR="00AA5D77" w:rsidRPr="006C40C1" w:rsidRDefault="00AA5D77">
      <w:pPr>
        <w:pStyle w:val="Yrkanden"/>
      </w:pPr>
      <w:r w:rsidRPr="006C40C1">
        <w:t xml:space="preserve">15. Riksdagen begär att regeringen lägger fram förslag till avskaffande av den s.k. kontantbegränsningsregeln i IL 49:2. </w:t>
      </w:r>
    </w:p>
    <w:p w:rsidR="00AA5D77" w:rsidRPr="006C40C1" w:rsidRDefault="00AA5D77">
      <w:pPr>
        <w:pStyle w:val="Motioner"/>
      </w:pPr>
      <w:r w:rsidRPr="006C40C1">
        <w:t>2002/03:U324 av Ulf Holm m.fl. (mp):</w:t>
      </w:r>
    </w:p>
    <w:p w:rsidR="00AA5D77" w:rsidRPr="006C40C1" w:rsidRDefault="00AA5D77">
      <w:pPr>
        <w:pStyle w:val="Yrkanden"/>
      </w:pPr>
      <w:r w:rsidRPr="006C40C1">
        <w:t xml:space="preserve">13. Riksdagen tillkännager för regeringen som sin mening vad i motionen anförs om att regeringen ska verka för att EU ska utveckla systemet med gröna räkenskaper och att systemet med gröna nyckeltal införs även på EU-nivå. </w:t>
      </w:r>
    </w:p>
    <w:p w:rsidR="00AA5D77" w:rsidRPr="006C40C1" w:rsidRDefault="00AA5D77">
      <w:pPr>
        <w:pStyle w:val="Motioner"/>
      </w:pPr>
      <w:r w:rsidRPr="006C40C1">
        <w:t>2002/03:Kr297 av Kent Olsson m.fl. (m):</w:t>
      </w:r>
    </w:p>
    <w:p w:rsidR="00AA5D77" w:rsidRPr="006C40C1" w:rsidRDefault="00AA5D77">
      <w:pPr>
        <w:pStyle w:val="Yrkanden"/>
      </w:pPr>
      <w:r w:rsidRPr="006C40C1">
        <w:t>13. Riksdagen begär att regeringen lägger fram förslag om slopande av r</w:t>
      </w:r>
      <w:r w:rsidRPr="006C40C1">
        <w:t>e</w:t>
      </w:r>
      <w:r w:rsidRPr="006C40C1">
        <w:t xml:space="preserve">klamskatten i enlighet med vad som anförs i motionen. </w:t>
      </w:r>
    </w:p>
    <w:p w:rsidR="00AA5D77" w:rsidRPr="006C40C1" w:rsidRDefault="00AA5D77">
      <w:pPr>
        <w:pStyle w:val="Motioner"/>
      </w:pPr>
      <w:r w:rsidRPr="006C40C1">
        <w:t>2002/03:T288 av Ulla Löfgren och Anders G Högmark (m):</w:t>
      </w:r>
    </w:p>
    <w:p w:rsidR="00AA5D77" w:rsidRPr="006C40C1" w:rsidRDefault="00AA5D77">
      <w:pPr>
        <w:pStyle w:val="Yrkanden"/>
      </w:pPr>
      <w:r w:rsidRPr="006C40C1">
        <w:t xml:space="preserve">2. Riksdagen tillkännager för regeringen som sin mening vad i motionen anförs om åtgärder för att sänka kostnaderna för nybyggnad och underhåll av vägar. </w:t>
      </w:r>
    </w:p>
    <w:p w:rsidR="00AA5D77" w:rsidRPr="006C40C1" w:rsidRDefault="00AA5D77">
      <w:pPr>
        <w:pStyle w:val="Motioner"/>
      </w:pPr>
      <w:r w:rsidRPr="006C40C1">
        <w:t>2002/03:MJ268 av Per Westerberg m.fl. (m):</w:t>
      </w:r>
    </w:p>
    <w:p w:rsidR="00AA5D77" w:rsidRPr="006C40C1" w:rsidRDefault="00AA5D77">
      <w:pPr>
        <w:pStyle w:val="Yrkanden"/>
      </w:pPr>
      <w:r w:rsidRPr="006C40C1">
        <w:t xml:space="preserve">4. Riksdagen tillkännager för regeringen som sin mening vad i motionen anförs om sänkt dieselskatt i jord- och skogsbruket. </w:t>
      </w:r>
    </w:p>
    <w:p w:rsidR="00AA5D77" w:rsidRPr="006C40C1" w:rsidRDefault="00AA5D77">
      <w:pPr>
        <w:pStyle w:val="Yrkanden"/>
      </w:pPr>
      <w:r w:rsidRPr="006C40C1">
        <w:t xml:space="preserve">5. Riksdagen tillkännager för regeringen som sin mening vad i motionen anförs om handelsgödselskatten. </w:t>
      </w:r>
    </w:p>
    <w:p w:rsidR="00AA5D77" w:rsidRPr="006C40C1" w:rsidRDefault="00AA5D77">
      <w:pPr>
        <w:pStyle w:val="Motioner"/>
      </w:pPr>
      <w:r w:rsidRPr="006C40C1">
        <w:t>2002/03:MJ377 av Lars Gustafsson m.fl. (kd):</w:t>
      </w:r>
    </w:p>
    <w:p w:rsidR="00AA5D77" w:rsidRPr="006C40C1" w:rsidRDefault="00AA5D77">
      <w:pPr>
        <w:pStyle w:val="Yrkanden"/>
      </w:pPr>
      <w:r w:rsidRPr="006C40C1">
        <w:t xml:space="preserve">2. Riksdagen begär att regeringen lägger fram förslag till borttagande av vägavgifter och fordonsskatt för veteranlastbilar som ej regelmässigt går i yrkesmässig trafik. </w:t>
      </w:r>
    </w:p>
    <w:p w:rsidR="00AA5D77" w:rsidRPr="006C40C1" w:rsidRDefault="00AA5D77">
      <w:pPr>
        <w:pStyle w:val="Motioner"/>
      </w:pPr>
      <w:r w:rsidRPr="006C40C1">
        <w:t>2002/03:MJ420 av Per Westerberg m.fl. (m):</w:t>
      </w:r>
    </w:p>
    <w:p w:rsidR="00AA5D77" w:rsidRPr="006C40C1" w:rsidRDefault="00AA5D77">
      <w:pPr>
        <w:pStyle w:val="Yrkanden"/>
      </w:pPr>
      <w:r w:rsidRPr="006C40C1">
        <w:t xml:space="preserve">2. Riksdagen tillkännager för regeringen som sin mening vad i motionen anförs om att ekonomisk tillväxt och utveckling är en grundförutsättning för att uppnå en god miljösituation. </w:t>
      </w:r>
    </w:p>
    <w:p w:rsidR="00AA5D77" w:rsidRPr="006C40C1" w:rsidRDefault="00AA5D77">
      <w:pPr>
        <w:pStyle w:val="Motioner"/>
      </w:pPr>
      <w:r w:rsidRPr="006C40C1">
        <w:t>2002/03:MJ432 av Alf Svensson m.fl. (kd):</w:t>
      </w:r>
    </w:p>
    <w:p w:rsidR="00AA5D77" w:rsidRPr="006C40C1" w:rsidRDefault="00AA5D77">
      <w:pPr>
        <w:pStyle w:val="Yrkanden"/>
      </w:pPr>
      <w:r w:rsidRPr="006C40C1">
        <w:t>23. Riksdagen tillkännager för regeringen som sin mening vad i motionen anförs om ett mer miljörelaterat skatte- och avgiftssystem kopplat till g</w:t>
      </w:r>
      <w:r w:rsidRPr="006C40C1">
        <w:t>e</w:t>
      </w:r>
      <w:r w:rsidRPr="006C40C1">
        <w:t xml:space="preserve">nerella skattesänkningar på arbete. </w:t>
      </w:r>
    </w:p>
    <w:p w:rsidR="00AA5D77" w:rsidRPr="006C40C1" w:rsidRDefault="00AA5D77">
      <w:pPr>
        <w:pStyle w:val="Yrkanden"/>
      </w:pPr>
      <w:r w:rsidRPr="006C40C1">
        <w:t xml:space="preserve">24. Riksdagen tillkännager för regeringen som sin mening vad i motionen anförs om att inkludera icke-certifierade miljöledningssystem i regeringens gröna nyckeltal. </w:t>
      </w:r>
    </w:p>
    <w:p w:rsidR="00AA5D77" w:rsidRPr="006C40C1" w:rsidRDefault="00AA5D77">
      <w:pPr>
        <w:pStyle w:val="Motioner"/>
      </w:pPr>
      <w:r w:rsidRPr="006C40C1">
        <w:t>2002/03:MJ487 av Jan Andersson m.fl. (c):</w:t>
      </w:r>
    </w:p>
    <w:p w:rsidR="00AA5D77" w:rsidRPr="006C40C1" w:rsidRDefault="00AA5D77">
      <w:pPr>
        <w:pStyle w:val="Yrkanden"/>
      </w:pPr>
      <w:r w:rsidRPr="006C40C1">
        <w:t xml:space="preserve">2. Riksdagen tillkännager för regeringen som sin mening vad i motionen anförs om att ge svenskt lantbruk samma konkurrensvillkor som övriga EU-länder genom att ”ryggsäcken” lyfts av. </w:t>
      </w:r>
    </w:p>
    <w:p w:rsidR="00AA5D77" w:rsidRPr="006C40C1" w:rsidRDefault="00AA5D77">
      <w:pPr>
        <w:pStyle w:val="Motioner"/>
      </w:pPr>
      <w:r w:rsidRPr="006C40C1">
        <w:t>2002/03:N301 av Mikael Odenberg m.fl. (m):</w:t>
      </w:r>
    </w:p>
    <w:p w:rsidR="00AA5D77" w:rsidRPr="006C40C1" w:rsidRDefault="00AA5D77">
      <w:pPr>
        <w:pStyle w:val="Yrkanden"/>
      </w:pPr>
      <w:r w:rsidRPr="006C40C1">
        <w:t xml:space="preserve">9. Riksdagen avslår regeringens förslag om att höja energiskatten på el med 2,1 öre per kWh. </w:t>
      </w:r>
    </w:p>
    <w:p w:rsidR="00AA5D77" w:rsidRPr="006C40C1" w:rsidRDefault="00AA5D77">
      <w:pPr>
        <w:pStyle w:val="Motioner"/>
      </w:pPr>
      <w:r w:rsidRPr="006C40C1">
        <w:t>2002/03:N304 av Mikael Odenberg m.fl. (m):</w:t>
      </w:r>
    </w:p>
    <w:p w:rsidR="00AA5D77" w:rsidRPr="006C40C1" w:rsidRDefault="00AA5D77">
      <w:pPr>
        <w:pStyle w:val="Yrkanden"/>
      </w:pPr>
      <w:r w:rsidRPr="006C40C1">
        <w:t xml:space="preserve">4. Riksdagen beslutar om sänkta drivmedelsskatter och höjda reseavdrag i enlighet med vad som anförs i motionen. </w:t>
      </w:r>
    </w:p>
    <w:p w:rsidR="00AA5D77" w:rsidRPr="006C40C1" w:rsidRDefault="00AA5D77">
      <w:pPr>
        <w:pStyle w:val="Motioner"/>
      </w:pPr>
      <w:r w:rsidRPr="006C40C1">
        <w:t>2002/03:N307 av Sven Gunnar Persson m.fl. (kd):</w:t>
      </w:r>
    </w:p>
    <w:p w:rsidR="00AA5D77" w:rsidRPr="006C40C1" w:rsidRDefault="00AA5D77">
      <w:pPr>
        <w:pStyle w:val="Yrkanden"/>
      </w:pPr>
      <w:r w:rsidRPr="006C40C1">
        <w:t xml:space="preserve">3. Riksdagen beslutar att reducera drivmedelsskatten med 31 öre per liter på diesel och bensin. </w:t>
      </w:r>
    </w:p>
    <w:p w:rsidR="00AA5D77" w:rsidRPr="006C40C1" w:rsidRDefault="00AA5D77">
      <w:pPr>
        <w:pStyle w:val="Motioner"/>
      </w:pPr>
      <w:r w:rsidRPr="006C40C1">
        <w:t>2002/03:N394 av Åsa Torstensson m.fl. (c):</w:t>
      </w:r>
    </w:p>
    <w:p w:rsidR="00AA5D77" w:rsidRPr="006C40C1" w:rsidRDefault="00AA5D77">
      <w:pPr>
        <w:pStyle w:val="Yrkanden"/>
      </w:pPr>
      <w:r w:rsidRPr="006C40C1">
        <w:t>2. Riksdagen beslutar att anta regeringens förslag till ändring av lagen (1994:1776) om skatt på energi med den ändringen att skatteavdraget för bränslen som förbrukas för värmeproduktion i kraftvärmeverk endast medges för en bränslemängd som högst motsvarar den producerade e</w:t>
      </w:r>
      <w:r w:rsidRPr="006C40C1">
        <w:t>l</w:t>
      </w:r>
      <w:r w:rsidRPr="006C40C1">
        <w:t xml:space="preserve">energin. </w:t>
      </w:r>
    </w:p>
    <w:p w:rsidR="00AA5D77" w:rsidRPr="006C40C1" w:rsidRDefault="00AA5D77">
      <w:pPr>
        <w:pStyle w:val="Yrkanden"/>
      </w:pPr>
      <w:r w:rsidRPr="006C40C1">
        <w:t>3. Riksdagen begär hos regeringen en redovisning av energipolitiska kons</w:t>
      </w:r>
      <w:r w:rsidRPr="006C40C1">
        <w:t>e</w:t>
      </w:r>
      <w:r w:rsidRPr="006C40C1">
        <w:t>kvensberäkningar av förslagen till ändrade regler för beskattning av kraf</w:t>
      </w:r>
      <w:r w:rsidRPr="006C40C1">
        <w:t>t</w:t>
      </w:r>
      <w:r w:rsidRPr="006C40C1">
        <w:t xml:space="preserve">värmeverk. </w:t>
      </w:r>
    </w:p>
    <w:p w:rsidR="00AA5D77" w:rsidRPr="006C40C1" w:rsidRDefault="00AA5D77">
      <w:pPr>
        <w:pStyle w:val="Motioner"/>
      </w:pPr>
      <w:r w:rsidRPr="006C40C1">
        <w:t>2002/03:A315 av Anders G Högmark m.fl. (m):</w:t>
      </w:r>
    </w:p>
    <w:p w:rsidR="00AA5D77" w:rsidRPr="006C40C1" w:rsidRDefault="00AA5D77">
      <w:pPr>
        <w:pStyle w:val="Yrkanden"/>
      </w:pPr>
      <w:r w:rsidRPr="006C40C1">
        <w:t xml:space="preserve">2. Riksdagen beslutar avskaffa sambeskattningen av förmögenhet, i enlighet med vad som anförs i motionen. </w:t>
      </w:r>
    </w:p>
    <w:p w:rsidR="00AA5D77" w:rsidRPr="006C40C1" w:rsidRDefault="00AA5D77">
      <w:pPr>
        <w:pStyle w:val="Motioner"/>
      </w:pPr>
      <w:r w:rsidRPr="006C40C1">
        <w:t>2002/03:Bo216 av Annelie Enochson (kd):</w:t>
      </w:r>
    </w:p>
    <w:p w:rsidR="00AA5D77" w:rsidRPr="006C40C1" w:rsidRDefault="00AA5D77">
      <w:pPr>
        <w:pStyle w:val="Yrkanden"/>
      </w:pPr>
      <w:r w:rsidRPr="006C40C1">
        <w:t xml:space="preserve">6. Riksdagen tillkännager för regeringen som sin mening vad i motionen anförs om att avskaffa fastighetsskatten. </w:t>
      </w:r>
    </w:p>
    <w:bookmarkEnd w:id="1076"/>
    <w:p w:rsidR="00AA5D77" w:rsidRPr="006C40C1" w:rsidRDefault="00AA5D77">
      <w:pPr>
        <w:pStyle w:val="Yrkanden"/>
        <w:sectPr w:rsidR="00000000" w:rsidRPr="006C40C1">
          <w:headerReference w:type="even" r:id="rId177"/>
          <w:headerReference w:type="default" r:id="rId178"/>
          <w:footerReference w:type="even" r:id="rId179"/>
          <w:footerReference w:type="default" r:id="rId180"/>
          <w:headerReference w:type="first" r:id="rId181"/>
          <w:footerReference w:type="first" r:id="rId182"/>
          <w:pgSz w:w="11906" w:h="16838" w:code="9"/>
          <w:pgMar w:top="907" w:right="4649" w:bottom="4508" w:left="1304" w:header="340" w:footer="227" w:gutter="0"/>
          <w:cols w:space="720"/>
          <w:titlePg/>
        </w:sectPr>
      </w:pPr>
    </w:p>
    <w:tbl>
      <w:tblPr>
        <w:tblW w:w="0" w:type="auto"/>
        <w:tblInd w:w="-70" w:type="dxa"/>
        <w:tblLayout w:type="fixed"/>
        <w:tblCellMar>
          <w:left w:w="70" w:type="dxa"/>
          <w:right w:w="70" w:type="dxa"/>
        </w:tblCellMar>
        <w:tblLook w:val="0000" w:firstRow="0" w:lastRow="0" w:firstColumn="0" w:lastColumn="0" w:noHBand="0" w:noVBand="0"/>
      </w:tblPr>
      <w:tblGrid>
        <w:gridCol w:w="6036"/>
      </w:tblGrid>
      <w:tr w:rsidR="00000000" w:rsidRPr="006C40C1">
        <w:tblPrEx>
          <w:tblCellMar>
            <w:top w:w="0" w:type="dxa"/>
            <w:bottom w:w="0" w:type="dxa"/>
          </w:tblCellMar>
        </w:tblPrEx>
        <w:tc>
          <w:tcPr>
            <w:tcW w:w="6036" w:type="dxa"/>
          </w:tcPr>
          <w:p w:rsidR="00AA5D77" w:rsidRPr="006C40C1" w:rsidRDefault="00AA5D77">
            <w:pPr>
              <w:pStyle w:val="StatusSida1"/>
              <w:jc w:val="left"/>
            </w:pPr>
            <w:bookmarkStart w:id="1077" w:name="_Toc21512966"/>
            <w:bookmarkStart w:id="1078" w:name="_Toc21513343"/>
          </w:p>
        </w:tc>
      </w:tr>
    </w:tbl>
    <w:p w:rsidR="00AA5D77" w:rsidRPr="006C40C1" w:rsidRDefault="00AA5D77">
      <w:pPr>
        <w:pStyle w:val="Bilaga"/>
      </w:pPr>
      <w:r w:rsidRPr="006C40C1">
        <w:t>Bilaga 2</w:t>
      </w:r>
    </w:p>
    <w:p w:rsidR="00AA5D77" w:rsidRPr="006C40C1" w:rsidRDefault="00AA5D77">
      <w:pPr>
        <w:pStyle w:val="Rubrik1"/>
        <w:rPr>
          <w:noProof w:val="0"/>
        </w:rPr>
      </w:pPr>
      <w:bookmarkStart w:id="1079" w:name="_Toc26191710"/>
      <w:r w:rsidRPr="006C40C1">
        <w:rPr>
          <w:noProof w:val="0"/>
        </w:rPr>
        <w:t>Regeringens lagförslag</w:t>
      </w:r>
      <w:bookmarkEnd w:id="1079"/>
    </w:p>
    <w:p w:rsidR="00AA5D77" w:rsidRPr="006C40C1" w:rsidRDefault="00AA5D77">
      <w:pPr>
        <w:pStyle w:val="Rubrik2"/>
      </w:pPr>
      <w:bookmarkStart w:id="1080" w:name="_Toc26191711"/>
      <w:r w:rsidRPr="006C40C1">
        <w:t>Förslag till lag om ändring i inkomstskattelagen (1999:1229)</w:t>
      </w:r>
      <w:bookmarkEnd w:id="1077"/>
      <w:bookmarkEnd w:id="1078"/>
      <w:bookmarkEnd w:id="1080"/>
    </w:p>
    <w:p w:rsidR="00AA5D77" w:rsidRPr="006C40C1" w:rsidRDefault="00AA5D77">
      <w:pPr>
        <w:pStyle w:val="Normaltindrag"/>
      </w:pPr>
      <w:r w:rsidRPr="006C40C1">
        <w:t>Härigenom föreskrivs att 63 kap. 3 § inkomstskattelagen (1999:1229) skall ha fö</w:t>
      </w:r>
      <w:r w:rsidRPr="006C40C1">
        <w:t>l</w:t>
      </w:r>
      <w:r w:rsidRPr="006C40C1">
        <w:t>jande lydelse.</w:t>
      </w: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Nuvarande lydelse</w:t>
            </w:r>
          </w:p>
        </w:tc>
        <w:tc>
          <w:tcPr>
            <w:tcW w:w="3090" w:type="dxa"/>
          </w:tcPr>
          <w:p w:rsidR="00AA5D77" w:rsidRPr="006C40C1" w:rsidRDefault="00AA5D77">
            <w:pPr>
              <w:pStyle w:val="LagtextRubrik"/>
            </w:pPr>
          </w:p>
        </w:tc>
      </w:tr>
    </w:tbl>
    <w:p w:rsidR="00AA5D77" w:rsidRPr="006C40C1" w:rsidRDefault="00AA5D77">
      <w:pPr>
        <w:jc w:val="center"/>
      </w:pPr>
      <w:r w:rsidRPr="006C40C1">
        <w:rPr>
          <w:b/>
        </w:rPr>
        <w:t>63 kap.</w:t>
      </w:r>
    </w:p>
    <w:p w:rsidR="00AA5D77" w:rsidRPr="006C40C1" w:rsidRDefault="00AA5D77">
      <w:pPr>
        <w:jc w:val="center"/>
      </w:pPr>
      <w:r w:rsidRPr="006C40C1">
        <w:rPr>
          <w:b/>
        </w:rPr>
        <w:t>3 §</w:t>
      </w:r>
      <w:r w:rsidRPr="006C40C1">
        <w:rPr>
          <w:rStyle w:val="Fotnotsreferens"/>
          <w:b/>
        </w:rPr>
        <w:footnoteReference w:id="1"/>
      </w:r>
    </w:p>
    <w:p w:rsidR="00AA5D77" w:rsidRPr="006C40C1" w:rsidRDefault="00AA5D77">
      <w:pPr>
        <w:pStyle w:val="Normaltindrag"/>
      </w:pPr>
      <w:r w:rsidRPr="006C40C1">
        <w:t>För dem som är obegränsat skattskyldiga under hela beskattningsåret up</w:t>
      </w:r>
      <w:r w:rsidRPr="006C40C1">
        <w:t>p</w:t>
      </w:r>
      <w:r w:rsidRPr="006C40C1">
        <w:softHyphen/>
        <w:t>går grundavdraget till följande belopp.</w:t>
      </w: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rPr>
                <w:i/>
                <w:u w:val="single"/>
              </w:rPr>
              <w:t>Taxerad förvärvsinkomst</w:t>
            </w:r>
          </w:p>
        </w:tc>
        <w:tc>
          <w:tcPr>
            <w:tcW w:w="3090" w:type="dxa"/>
          </w:tcPr>
          <w:p w:rsidR="00AA5D77" w:rsidRPr="006C40C1" w:rsidRDefault="00AA5D77">
            <w:pPr>
              <w:pStyle w:val="Normaltindrag"/>
              <w:rPr>
                <w:u w:val="single"/>
              </w:rPr>
            </w:pPr>
            <w:r w:rsidRPr="006C40C1">
              <w:rPr>
                <w:i/>
                <w:u w:val="single"/>
              </w:rPr>
              <w:t>Grundavdrag</w:t>
            </w:r>
          </w:p>
        </w:tc>
      </w:tr>
      <w:tr w:rsidR="00000000" w:rsidRPr="006C40C1">
        <w:tblPrEx>
          <w:tblCellMar>
            <w:top w:w="0" w:type="dxa"/>
            <w:bottom w:w="0" w:type="dxa"/>
          </w:tblCellMar>
        </w:tblPrEx>
        <w:tc>
          <w:tcPr>
            <w:tcW w:w="3090" w:type="dxa"/>
          </w:tcPr>
          <w:p w:rsidR="00AA5D77" w:rsidRPr="006C40C1" w:rsidRDefault="00AA5D77">
            <w:pPr>
              <w:pStyle w:val="Brdtextmedindrag"/>
              <w:rPr>
                <w:i/>
              </w:rPr>
            </w:pPr>
          </w:p>
        </w:tc>
        <w:tc>
          <w:tcPr>
            <w:tcW w:w="3090" w:type="dxa"/>
          </w:tcPr>
          <w:p w:rsidR="00AA5D77" w:rsidRPr="006C40C1" w:rsidRDefault="00AA5D77">
            <w:pPr>
              <w:pStyle w:val="Brdtextmedindrag"/>
              <w:rPr>
                <w:i/>
              </w:rPr>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inte </w:t>
            </w:r>
            <w:r w:rsidRPr="006C40C1">
              <w:rPr>
                <w:i/>
              </w:rPr>
              <w:t>1,86</w:t>
            </w:r>
            <w:r w:rsidRPr="006C40C1">
              <w:t xml:space="preserve"> prisbasbelopp</w:t>
            </w:r>
          </w:p>
        </w:tc>
        <w:tc>
          <w:tcPr>
            <w:tcW w:w="3090" w:type="dxa"/>
          </w:tcPr>
          <w:p w:rsidR="00AA5D77" w:rsidRPr="006C40C1" w:rsidRDefault="00AA5D77">
            <w:pPr>
              <w:pStyle w:val="Normaltindrag"/>
            </w:pPr>
            <w:r w:rsidRPr="006C40C1">
              <w:t>0,403 prisbasbelopp</w:t>
            </w:r>
          </w:p>
        </w:tc>
      </w:tr>
      <w:tr w:rsidR="00000000" w:rsidRPr="006C40C1">
        <w:tblPrEx>
          <w:tblCellMar>
            <w:top w:w="0" w:type="dxa"/>
            <w:bottom w:w="0" w:type="dxa"/>
          </w:tblCellMar>
        </w:tblPrEx>
        <w:tc>
          <w:tcPr>
            <w:tcW w:w="3090" w:type="dxa"/>
          </w:tcPr>
          <w:p w:rsidR="00AA5D77" w:rsidRPr="006C40C1" w:rsidRDefault="00AA5D77">
            <w:pPr>
              <w:pStyle w:val="Brdtextmedindrag"/>
              <w:ind w:firstLine="0"/>
            </w:pPr>
          </w:p>
        </w:tc>
        <w:tc>
          <w:tcPr>
            <w:tcW w:w="3090" w:type="dxa"/>
          </w:tcPr>
          <w:p w:rsidR="00AA5D77" w:rsidRPr="006C40C1" w:rsidRDefault="00AA5D77">
            <w:pPr>
              <w:pStyle w:val="Brdtextmedindrag"/>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w:t>
            </w:r>
            <w:r w:rsidRPr="006C40C1">
              <w:rPr>
                <w:i/>
              </w:rPr>
              <w:t>1,86</w:t>
            </w:r>
            <w:r w:rsidRPr="006C40C1">
              <w:t xml:space="preserve"> men inte </w:t>
            </w:r>
            <w:r w:rsidRPr="006C40C1">
              <w:rPr>
                <w:i/>
              </w:rPr>
              <w:t>2,89</w:t>
            </w:r>
            <w:r w:rsidRPr="006C40C1">
              <w:t xml:space="preserve"> pri</w:t>
            </w:r>
            <w:r w:rsidRPr="006C40C1">
              <w:t>s</w:t>
            </w:r>
            <w:r w:rsidRPr="006C40C1">
              <w:softHyphen/>
              <w:t>basbelopp</w:t>
            </w:r>
          </w:p>
        </w:tc>
        <w:tc>
          <w:tcPr>
            <w:tcW w:w="3090" w:type="dxa"/>
          </w:tcPr>
          <w:p w:rsidR="00AA5D77" w:rsidRPr="006C40C1" w:rsidRDefault="00AA5D77">
            <w:pPr>
              <w:pStyle w:val="Normaltindrag"/>
            </w:pPr>
            <w:r w:rsidRPr="006C40C1">
              <w:t xml:space="preserve">0,403 prisbasbelopp ökat med </w:t>
            </w:r>
            <w:r w:rsidRPr="006C40C1">
              <w:rPr>
                <w:i/>
              </w:rPr>
              <w:t>25 </w:t>
            </w:r>
            <w:r w:rsidRPr="006C40C1">
              <w:t xml:space="preserve">procent av det belopp med vilket den taxerade förvärvsinkomsten överstiger </w:t>
            </w:r>
            <w:r w:rsidRPr="006C40C1">
              <w:rPr>
                <w:i/>
              </w:rPr>
              <w:t>1,86</w:t>
            </w:r>
            <w:r w:rsidRPr="006C40C1">
              <w:t xml:space="preserve"> pri</w:t>
            </w:r>
            <w:r w:rsidRPr="006C40C1">
              <w:t>s</w:t>
            </w:r>
            <w:r w:rsidRPr="006C40C1">
              <w:t>basbelopp</w:t>
            </w:r>
          </w:p>
        </w:tc>
      </w:tr>
      <w:tr w:rsidR="00000000" w:rsidRPr="006C40C1">
        <w:tblPrEx>
          <w:tblCellMar>
            <w:top w:w="0" w:type="dxa"/>
            <w:bottom w:w="0" w:type="dxa"/>
          </w:tblCellMar>
        </w:tblPrEx>
        <w:tc>
          <w:tcPr>
            <w:tcW w:w="3090" w:type="dxa"/>
          </w:tcPr>
          <w:p w:rsidR="00AA5D77" w:rsidRPr="006C40C1" w:rsidRDefault="00AA5D77">
            <w:pPr>
              <w:pStyle w:val="Brdtextmedindrag"/>
              <w:ind w:firstLine="0"/>
            </w:pPr>
          </w:p>
        </w:tc>
        <w:tc>
          <w:tcPr>
            <w:tcW w:w="3090" w:type="dxa"/>
          </w:tcPr>
          <w:p w:rsidR="00AA5D77" w:rsidRPr="006C40C1" w:rsidRDefault="00AA5D77">
            <w:pPr>
              <w:pStyle w:val="Brdtextmedindrag"/>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w:t>
            </w:r>
            <w:r w:rsidRPr="006C40C1">
              <w:rPr>
                <w:i/>
              </w:rPr>
              <w:t>2,89</w:t>
            </w:r>
            <w:r w:rsidRPr="006C40C1">
              <w:t xml:space="preserve"> men inte </w:t>
            </w:r>
            <w:r w:rsidRPr="006C40C1">
              <w:rPr>
                <w:i/>
              </w:rPr>
              <w:t>3,04</w:t>
            </w:r>
            <w:r w:rsidRPr="006C40C1">
              <w:t xml:space="preserve"> pris</w:t>
            </w:r>
            <w:r w:rsidRPr="006C40C1">
              <w:softHyphen/>
              <w:t>basbelopp</w:t>
            </w:r>
          </w:p>
        </w:tc>
        <w:tc>
          <w:tcPr>
            <w:tcW w:w="3090" w:type="dxa"/>
          </w:tcPr>
          <w:p w:rsidR="00AA5D77" w:rsidRPr="006C40C1" w:rsidRDefault="00AA5D77">
            <w:pPr>
              <w:pStyle w:val="Normaltindrag"/>
            </w:pPr>
            <w:r w:rsidRPr="006C40C1">
              <w:rPr>
                <w:i/>
              </w:rPr>
              <w:t>0,6605</w:t>
            </w:r>
            <w:r w:rsidRPr="006C40C1">
              <w:t xml:space="preserve"> pri</w:t>
            </w:r>
            <w:r w:rsidRPr="006C40C1">
              <w:t>s</w:t>
            </w:r>
            <w:r w:rsidRPr="006C40C1">
              <w:t>basbelopp</w:t>
            </w:r>
          </w:p>
        </w:tc>
      </w:tr>
      <w:tr w:rsidR="00000000" w:rsidRPr="006C40C1">
        <w:tblPrEx>
          <w:tblCellMar>
            <w:top w:w="0" w:type="dxa"/>
            <w:bottom w:w="0" w:type="dxa"/>
          </w:tblCellMar>
        </w:tblPrEx>
        <w:tc>
          <w:tcPr>
            <w:tcW w:w="3090" w:type="dxa"/>
          </w:tcPr>
          <w:p w:rsidR="00AA5D77" w:rsidRPr="006C40C1" w:rsidRDefault="00AA5D77">
            <w:pPr>
              <w:pStyle w:val="Brdtextmedindrag"/>
              <w:ind w:firstLine="0"/>
            </w:pPr>
          </w:p>
        </w:tc>
        <w:tc>
          <w:tcPr>
            <w:tcW w:w="3090" w:type="dxa"/>
          </w:tcPr>
          <w:p w:rsidR="00AA5D77" w:rsidRPr="006C40C1" w:rsidRDefault="00AA5D77">
            <w:pPr>
              <w:pStyle w:val="Brdtextmedindrag"/>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w:t>
            </w:r>
            <w:r w:rsidRPr="006C40C1">
              <w:rPr>
                <w:i/>
              </w:rPr>
              <w:t>3,04</w:t>
            </w:r>
            <w:r w:rsidRPr="006C40C1">
              <w:t xml:space="preserve"> men inte </w:t>
            </w:r>
            <w:r w:rsidRPr="006C40C1">
              <w:rPr>
                <w:i/>
              </w:rPr>
              <w:t>3,66</w:t>
            </w:r>
            <w:r w:rsidRPr="006C40C1">
              <w:t xml:space="preserve"> pris</w:t>
            </w:r>
            <w:r w:rsidRPr="006C40C1">
              <w:softHyphen/>
              <w:t>basbelopp</w:t>
            </w:r>
          </w:p>
        </w:tc>
        <w:tc>
          <w:tcPr>
            <w:tcW w:w="3090" w:type="dxa"/>
          </w:tcPr>
          <w:p w:rsidR="00AA5D77" w:rsidRPr="006C40C1" w:rsidRDefault="00AA5D77">
            <w:pPr>
              <w:pStyle w:val="Normaltindrag"/>
            </w:pPr>
            <w:r w:rsidRPr="006C40C1">
              <w:rPr>
                <w:i/>
              </w:rPr>
              <w:t>0,6605</w:t>
            </w:r>
            <w:r w:rsidRPr="006C40C1">
              <w:t xml:space="preserve"> prisbasbelopp minskat med 10 procent av det belopp med vilket den taxerade förvärvsinkom</w:t>
            </w:r>
            <w:r w:rsidRPr="006C40C1">
              <w:t>s</w:t>
            </w:r>
            <w:r w:rsidRPr="006C40C1">
              <w:t xml:space="preserve">ten överstiger </w:t>
            </w:r>
            <w:r w:rsidRPr="006C40C1">
              <w:rPr>
                <w:i/>
              </w:rPr>
              <w:t>3,04</w:t>
            </w:r>
            <w:r w:rsidRPr="006C40C1">
              <w:t xml:space="preserve"> prisba</w:t>
            </w:r>
            <w:r w:rsidRPr="006C40C1">
              <w:t>s</w:t>
            </w:r>
            <w:r w:rsidRPr="006C40C1">
              <w:t>belopp</w:t>
            </w:r>
          </w:p>
        </w:tc>
      </w:tr>
      <w:tr w:rsidR="00000000" w:rsidRPr="006C40C1">
        <w:tblPrEx>
          <w:tblCellMar>
            <w:top w:w="0" w:type="dxa"/>
            <w:bottom w:w="0" w:type="dxa"/>
          </w:tblCellMar>
        </w:tblPrEx>
        <w:tc>
          <w:tcPr>
            <w:tcW w:w="3090" w:type="dxa"/>
          </w:tcPr>
          <w:p w:rsidR="00AA5D77" w:rsidRPr="006C40C1" w:rsidRDefault="00AA5D77">
            <w:pPr>
              <w:pStyle w:val="Normaltindrag"/>
            </w:pPr>
          </w:p>
        </w:tc>
        <w:tc>
          <w:tcPr>
            <w:tcW w:w="3090" w:type="dxa"/>
          </w:tcPr>
          <w:p w:rsidR="00AA5D77" w:rsidRPr="006C40C1" w:rsidRDefault="00AA5D77">
            <w:pPr>
              <w:pStyle w:val="Normaltindrag"/>
              <w:rPr>
                <w:i/>
              </w:rPr>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rPr>
                <w:i/>
              </w:rPr>
              <w:t>överstiger 3,66 men inte 5,615 pri</w:t>
            </w:r>
            <w:r w:rsidRPr="006C40C1">
              <w:rPr>
                <w:i/>
              </w:rPr>
              <w:t>s</w:t>
            </w:r>
            <w:r w:rsidRPr="006C40C1">
              <w:rPr>
                <w:i/>
              </w:rPr>
              <w:t>basbelopp</w:t>
            </w:r>
          </w:p>
        </w:tc>
        <w:tc>
          <w:tcPr>
            <w:tcW w:w="3090" w:type="dxa"/>
          </w:tcPr>
          <w:p w:rsidR="00AA5D77" w:rsidRPr="006C40C1" w:rsidRDefault="00AA5D77">
            <w:pPr>
              <w:pStyle w:val="Normaltindrag"/>
              <w:rPr>
                <w:i/>
              </w:rPr>
            </w:pPr>
            <w:r w:rsidRPr="006C40C1">
              <w:rPr>
                <w:i/>
              </w:rPr>
              <w:t>0,5985 prisbasbelopp minskat med 14 procent av det belopp med vilket den taxerade förvärvsinkom</w:t>
            </w:r>
            <w:r w:rsidRPr="006C40C1">
              <w:rPr>
                <w:i/>
              </w:rPr>
              <w:t>s</w:t>
            </w:r>
            <w:r w:rsidRPr="006C40C1">
              <w:rPr>
                <w:i/>
              </w:rPr>
              <w:t>ten överstiger 3,66 prisbasbelopp</w:t>
            </w:r>
          </w:p>
        </w:tc>
      </w:tr>
      <w:tr w:rsidR="00000000" w:rsidRPr="006C40C1">
        <w:tblPrEx>
          <w:tblCellMar>
            <w:top w:w="0" w:type="dxa"/>
            <w:bottom w:w="0" w:type="dxa"/>
          </w:tblCellMar>
        </w:tblPrEx>
        <w:tc>
          <w:tcPr>
            <w:tcW w:w="3090" w:type="dxa"/>
          </w:tcPr>
          <w:p w:rsidR="00AA5D77" w:rsidRPr="006C40C1" w:rsidRDefault="00AA5D77">
            <w:pPr>
              <w:pStyle w:val="Brdtextmedindrag"/>
              <w:ind w:firstLine="0"/>
            </w:pPr>
          </w:p>
        </w:tc>
        <w:tc>
          <w:tcPr>
            <w:tcW w:w="3090" w:type="dxa"/>
          </w:tcPr>
          <w:p w:rsidR="00AA5D77" w:rsidRPr="006C40C1" w:rsidRDefault="00AA5D77">
            <w:pPr>
              <w:pStyle w:val="Brdtextmedindrag"/>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rPr>
                <w:i/>
              </w:rPr>
              <w:t>överstiger 5,615 men inte 6,41 prisbasbelopp</w:t>
            </w:r>
          </w:p>
        </w:tc>
        <w:tc>
          <w:tcPr>
            <w:tcW w:w="3090" w:type="dxa"/>
          </w:tcPr>
          <w:p w:rsidR="00AA5D77" w:rsidRPr="006C40C1" w:rsidRDefault="00AA5D77">
            <w:pPr>
              <w:pStyle w:val="Normaltindrag"/>
              <w:rPr>
                <w:i/>
              </w:rPr>
            </w:pPr>
            <w:r w:rsidRPr="006C40C1">
              <w:rPr>
                <w:i/>
              </w:rPr>
              <w:t>0,3248 prisbasbelopp minskat med 4 procent av det belopp med vilket den taxerade förvärvsinkom</w:t>
            </w:r>
            <w:r w:rsidRPr="006C40C1">
              <w:rPr>
                <w:i/>
              </w:rPr>
              <w:t>s</w:t>
            </w:r>
            <w:r w:rsidRPr="006C40C1">
              <w:rPr>
                <w:i/>
              </w:rPr>
              <w:t>ten överstiger 5,615 prisbasbelopp</w:t>
            </w:r>
          </w:p>
        </w:tc>
      </w:tr>
      <w:tr w:rsidR="00000000" w:rsidRPr="006C40C1">
        <w:tblPrEx>
          <w:tblCellMar>
            <w:top w:w="0" w:type="dxa"/>
            <w:bottom w:w="0" w:type="dxa"/>
          </w:tblCellMar>
        </w:tblPrEx>
        <w:tc>
          <w:tcPr>
            <w:tcW w:w="3090" w:type="dxa"/>
          </w:tcPr>
          <w:p w:rsidR="00AA5D77" w:rsidRPr="006C40C1" w:rsidRDefault="00AA5D77">
            <w:pPr>
              <w:pStyle w:val="Brdtextmedindrag"/>
              <w:ind w:firstLine="0"/>
            </w:pPr>
          </w:p>
        </w:tc>
        <w:tc>
          <w:tcPr>
            <w:tcW w:w="3090" w:type="dxa"/>
          </w:tcPr>
          <w:p w:rsidR="00AA5D77" w:rsidRPr="006C40C1" w:rsidRDefault="00AA5D77">
            <w:pPr>
              <w:pStyle w:val="Brdtextmedindrag"/>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w:t>
            </w:r>
            <w:r w:rsidRPr="006C40C1">
              <w:rPr>
                <w:i/>
              </w:rPr>
              <w:t>6,41</w:t>
            </w:r>
            <w:r w:rsidRPr="006C40C1">
              <w:t xml:space="preserve"> prisbasbelopp</w:t>
            </w:r>
          </w:p>
        </w:tc>
        <w:tc>
          <w:tcPr>
            <w:tcW w:w="3090" w:type="dxa"/>
          </w:tcPr>
          <w:p w:rsidR="00AA5D77" w:rsidRPr="006C40C1" w:rsidRDefault="00AA5D77">
            <w:pPr>
              <w:pStyle w:val="Normaltindrag"/>
            </w:pPr>
            <w:r w:rsidRPr="006C40C1">
              <w:t>0,293 prisba</w:t>
            </w:r>
            <w:r w:rsidRPr="006C40C1">
              <w:t>s</w:t>
            </w:r>
            <w:r w:rsidRPr="006C40C1">
              <w:t>belopp</w:t>
            </w:r>
          </w:p>
        </w:tc>
      </w:tr>
    </w:tbl>
    <w:p w:rsidR="00AA5D77" w:rsidRPr="006C40C1" w:rsidRDefault="00AA5D77">
      <w:pPr>
        <w:pStyle w:val="Normaltindrag"/>
      </w:pP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Föreslagen lydelse</w:t>
            </w:r>
          </w:p>
        </w:tc>
        <w:tc>
          <w:tcPr>
            <w:tcW w:w="3090" w:type="dxa"/>
          </w:tcPr>
          <w:p w:rsidR="00AA5D77" w:rsidRPr="006C40C1" w:rsidRDefault="00AA5D77">
            <w:pPr>
              <w:pStyle w:val="LagtextRubrik"/>
            </w:pPr>
          </w:p>
        </w:tc>
      </w:tr>
    </w:tbl>
    <w:p w:rsidR="00AA5D77" w:rsidRPr="006C40C1" w:rsidRDefault="00AA5D77">
      <w:pPr>
        <w:jc w:val="center"/>
      </w:pPr>
      <w:r w:rsidRPr="006C40C1">
        <w:rPr>
          <w:b/>
        </w:rPr>
        <w:t>63 kap.</w:t>
      </w:r>
    </w:p>
    <w:p w:rsidR="00AA5D77" w:rsidRPr="006C40C1" w:rsidRDefault="00AA5D77">
      <w:pPr>
        <w:jc w:val="center"/>
      </w:pPr>
      <w:r w:rsidRPr="006C40C1">
        <w:rPr>
          <w:b/>
        </w:rPr>
        <w:t>3 §</w:t>
      </w:r>
    </w:p>
    <w:p w:rsidR="00AA5D77" w:rsidRPr="006C40C1" w:rsidRDefault="00AA5D77">
      <w:pPr>
        <w:pStyle w:val="Normaltindrag"/>
      </w:pPr>
      <w:r w:rsidRPr="006C40C1">
        <w:t>För dem som är obegränsat skattskyldiga under hela beskattningsåret up</w:t>
      </w:r>
      <w:r w:rsidRPr="006C40C1">
        <w:t>p</w:t>
      </w:r>
      <w:r w:rsidRPr="006C40C1">
        <w:softHyphen/>
        <w:t>går grundavdraget till följande belopp.</w:t>
      </w: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rPr>
                <w:i/>
                <w:u w:val="single"/>
              </w:rPr>
              <w:t>Taxerad förvärvsinkomst</w:t>
            </w:r>
          </w:p>
        </w:tc>
        <w:tc>
          <w:tcPr>
            <w:tcW w:w="3090" w:type="dxa"/>
          </w:tcPr>
          <w:p w:rsidR="00AA5D77" w:rsidRPr="006C40C1" w:rsidRDefault="00AA5D77">
            <w:pPr>
              <w:pStyle w:val="Normaltindrag"/>
              <w:rPr>
                <w:u w:val="single"/>
              </w:rPr>
            </w:pPr>
            <w:r w:rsidRPr="006C40C1">
              <w:rPr>
                <w:i/>
                <w:u w:val="single"/>
              </w:rPr>
              <w:t>Grundavdrag</w:t>
            </w:r>
          </w:p>
        </w:tc>
      </w:tr>
      <w:tr w:rsidR="00000000" w:rsidRPr="006C40C1">
        <w:tblPrEx>
          <w:tblCellMar>
            <w:top w:w="0" w:type="dxa"/>
            <w:bottom w:w="0" w:type="dxa"/>
          </w:tblCellMar>
        </w:tblPrEx>
        <w:tc>
          <w:tcPr>
            <w:tcW w:w="3090" w:type="dxa"/>
          </w:tcPr>
          <w:p w:rsidR="00AA5D77" w:rsidRPr="006C40C1" w:rsidRDefault="00AA5D77">
            <w:pPr>
              <w:pStyle w:val="Brdtextmedindrag"/>
              <w:rPr>
                <w:i/>
              </w:rPr>
            </w:pPr>
          </w:p>
        </w:tc>
        <w:tc>
          <w:tcPr>
            <w:tcW w:w="3090" w:type="dxa"/>
          </w:tcPr>
          <w:p w:rsidR="00AA5D77" w:rsidRPr="006C40C1" w:rsidRDefault="00AA5D77">
            <w:pPr>
              <w:pStyle w:val="Brdtextmedindrag"/>
              <w:rPr>
                <w:i/>
              </w:rPr>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inte </w:t>
            </w:r>
            <w:r w:rsidRPr="006C40C1">
              <w:rPr>
                <w:i/>
              </w:rPr>
              <w:t>1,38</w:t>
            </w:r>
            <w:r w:rsidRPr="006C40C1">
              <w:t xml:space="preserve"> prisbasbelopp</w:t>
            </w:r>
          </w:p>
        </w:tc>
        <w:tc>
          <w:tcPr>
            <w:tcW w:w="3090" w:type="dxa"/>
          </w:tcPr>
          <w:p w:rsidR="00AA5D77" w:rsidRPr="006C40C1" w:rsidRDefault="00AA5D77">
            <w:pPr>
              <w:pStyle w:val="Normaltindrag"/>
            </w:pPr>
            <w:r w:rsidRPr="006C40C1">
              <w:t>0,403 prisbasbelopp</w:t>
            </w:r>
          </w:p>
        </w:tc>
      </w:tr>
      <w:tr w:rsidR="00000000" w:rsidRPr="006C40C1">
        <w:tblPrEx>
          <w:tblCellMar>
            <w:top w:w="0" w:type="dxa"/>
            <w:bottom w:w="0" w:type="dxa"/>
          </w:tblCellMar>
        </w:tblPrEx>
        <w:tc>
          <w:tcPr>
            <w:tcW w:w="3090" w:type="dxa"/>
          </w:tcPr>
          <w:p w:rsidR="00AA5D77" w:rsidRPr="006C40C1" w:rsidRDefault="00AA5D77">
            <w:pPr>
              <w:pStyle w:val="Brdtextmedindrag"/>
              <w:ind w:firstLine="0"/>
            </w:pPr>
          </w:p>
        </w:tc>
        <w:tc>
          <w:tcPr>
            <w:tcW w:w="3090" w:type="dxa"/>
          </w:tcPr>
          <w:p w:rsidR="00AA5D77" w:rsidRPr="006C40C1" w:rsidRDefault="00AA5D77">
            <w:pPr>
              <w:pStyle w:val="Brdtextmedindrag"/>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w:t>
            </w:r>
            <w:r w:rsidRPr="006C40C1">
              <w:rPr>
                <w:i/>
              </w:rPr>
              <w:t>1,38</w:t>
            </w:r>
            <w:r w:rsidRPr="006C40C1">
              <w:t xml:space="preserve"> men inte </w:t>
            </w:r>
            <w:r w:rsidRPr="006C40C1">
              <w:rPr>
                <w:i/>
              </w:rPr>
              <w:t>2,95</w:t>
            </w:r>
            <w:r w:rsidRPr="006C40C1">
              <w:t xml:space="preserve"> pri</w:t>
            </w:r>
            <w:r w:rsidRPr="006C40C1">
              <w:t>s</w:t>
            </w:r>
            <w:r w:rsidRPr="006C40C1">
              <w:softHyphen/>
              <w:t>basbelopp</w:t>
            </w:r>
          </w:p>
        </w:tc>
        <w:tc>
          <w:tcPr>
            <w:tcW w:w="3090" w:type="dxa"/>
          </w:tcPr>
          <w:p w:rsidR="00AA5D77" w:rsidRPr="006C40C1" w:rsidRDefault="00AA5D77">
            <w:pPr>
              <w:pStyle w:val="Normaltindrag"/>
            </w:pPr>
            <w:r w:rsidRPr="006C40C1">
              <w:t xml:space="preserve">0,403 prisbasbelopp ökat med </w:t>
            </w:r>
            <w:r w:rsidRPr="006C40C1">
              <w:rPr>
                <w:i/>
              </w:rPr>
              <w:t>17 </w:t>
            </w:r>
            <w:r w:rsidRPr="006C40C1">
              <w:t xml:space="preserve">procent av det belopp med vilket den taxerade förvärvsinkomsten överstiger </w:t>
            </w:r>
            <w:r w:rsidRPr="006C40C1">
              <w:rPr>
                <w:i/>
              </w:rPr>
              <w:t>1,38</w:t>
            </w:r>
            <w:r w:rsidRPr="006C40C1">
              <w:t xml:space="preserve"> pri</w:t>
            </w:r>
            <w:r w:rsidRPr="006C40C1">
              <w:t>s</w:t>
            </w:r>
            <w:r w:rsidRPr="006C40C1">
              <w:t>basbelopp</w:t>
            </w:r>
          </w:p>
        </w:tc>
      </w:tr>
      <w:tr w:rsidR="00000000" w:rsidRPr="006C40C1">
        <w:tblPrEx>
          <w:tblCellMar>
            <w:top w:w="0" w:type="dxa"/>
            <w:bottom w:w="0" w:type="dxa"/>
          </w:tblCellMar>
        </w:tblPrEx>
        <w:tc>
          <w:tcPr>
            <w:tcW w:w="3090" w:type="dxa"/>
          </w:tcPr>
          <w:p w:rsidR="00AA5D77" w:rsidRPr="006C40C1" w:rsidRDefault="00AA5D77">
            <w:pPr>
              <w:pStyle w:val="Brdtextmedindrag"/>
              <w:ind w:firstLine="0"/>
            </w:pPr>
          </w:p>
        </w:tc>
        <w:tc>
          <w:tcPr>
            <w:tcW w:w="3090" w:type="dxa"/>
          </w:tcPr>
          <w:p w:rsidR="00AA5D77" w:rsidRPr="006C40C1" w:rsidRDefault="00AA5D77">
            <w:pPr>
              <w:pStyle w:val="Brdtextmedindrag"/>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w:t>
            </w:r>
            <w:r w:rsidRPr="006C40C1">
              <w:rPr>
                <w:i/>
              </w:rPr>
              <w:t>2,95</w:t>
            </w:r>
            <w:r w:rsidRPr="006C40C1">
              <w:t xml:space="preserve"> men inte </w:t>
            </w:r>
            <w:r w:rsidRPr="006C40C1">
              <w:rPr>
                <w:i/>
              </w:rPr>
              <w:t>3,10</w:t>
            </w:r>
            <w:r w:rsidRPr="006C40C1">
              <w:t xml:space="preserve"> pris</w:t>
            </w:r>
            <w:r w:rsidRPr="006C40C1">
              <w:softHyphen/>
              <w:t>basbelopp</w:t>
            </w:r>
          </w:p>
        </w:tc>
        <w:tc>
          <w:tcPr>
            <w:tcW w:w="3090" w:type="dxa"/>
          </w:tcPr>
          <w:p w:rsidR="00AA5D77" w:rsidRPr="006C40C1" w:rsidRDefault="00AA5D77">
            <w:pPr>
              <w:pStyle w:val="Normaltindrag"/>
            </w:pPr>
            <w:r w:rsidRPr="006C40C1">
              <w:rPr>
                <w:i/>
              </w:rPr>
              <w:t>0,67</w:t>
            </w:r>
            <w:r w:rsidRPr="006C40C1">
              <w:t xml:space="preserve"> pri</w:t>
            </w:r>
            <w:r w:rsidRPr="006C40C1">
              <w:t>s</w:t>
            </w:r>
            <w:r w:rsidRPr="006C40C1">
              <w:t>basbelopp</w:t>
            </w:r>
          </w:p>
        </w:tc>
      </w:tr>
      <w:tr w:rsidR="00000000" w:rsidRPr="006C40C1">
        <w:tblPrEx>
          <w:tblCellMar>
            <w:top w:w="0" w:type="dxa"/>
            <w:bottom w:w="0" w:type="dxa"/>
          </w:tblCellMar>
        </w:tblPrEx>
        <w:tc>
          <w:tcPr>
            <w:tcW w:w="3090" w:type="dxa"/>
          </w:tcPr>
          <w:p w:rsidR="00AA5D77" w:rsidRPr="006C40C1" w:rsidRDefault="00AA5D77">
            <w:pPr>
              <w:pStyle w:val="Brdtextmedindrag"/>
              <w:ind w:firstLine="0"/>
            </w:pPr>
          </w:p>
        </w:tc>
        <w:tc>
          <w:tcPr>
            <w:tcW w:w="3090" w:type="dxa"/>
          </w:tcPr>
          <w:p w:rsidR="00AA5D77" w:rsidRPr="006C40C1" w:rsidRDefault="00AA5D77">
            <w:pPr>
              <w:pStyle w:val="Brdtextmedindrag"/>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w:t>
            </w:r>
            <w:r w:rsidRPr="006C40C1">
              <w:rPr>
                <w:i/>
              </w:rPr>
              <w:t>3,10</w:t>
            </w:r>
            <w:r w:rsidRPr="006C40C1">
              <w:t xml:space="preserve"> men inte </w:t>
            </w:r>
            <w:r w:rsidRPr="006C40C1">
              <w:rPr>
                <w:i/>
              </w:rPr>
              <w:t>6,87</w:t>
            </w:r>
            <w:r w:rsidRPr="006C40C1">
              <w:t xml:space="preserve"> pris</w:t>
            </w:r>
            <w:r w:rsidRPr="006C40C1">
              <w:softHyphen/>
              <w:t>basbelopp</w:t>
            </w:r>
          </w:p>
        </w:tc>
        <w:tc>
          <w:tcPr>
            <w:tcW w:w="3090" w:type="dxa"/>
          </w:tcPr>
          <w:p w:rsidR="00AA5D77" w:rsidRPr="006C40C1" w:rsidRDefault="00AA5D77">
            <w:pPr>
              <w:pStyle w:val="Normaltindrag"/>
            </w:pPr>
            <w:r w:rsidRPr="006C40C1">
              <w:rPr>
                <w:i/>
              </w:rPr>
              <w:t>0,67</w:t>
            </w:r>
            <w:r w:rsidRPr="006C40C1">
              <w:t xml:space="preserve"> prisbasbelopp minskat med 10 procent av det belopp med vilket den taxerade förvärvsinkomsten överstiger </w:t>
            </w:r>
            <w:r w:rsidRPr="006C40C1">
              <w:rPr>
                <w:i/>
              </w:rPr>
              <w:t>3,10</w:t>
            </w:r>
            <w:r w:rsidRPr="006C40C1">
              <w:t xml:space="preserve"> prisba</w:t>
            </w:r>
            <w:r w:rsidRPr="006C40C1">
              <w:t>s</w:t>
            </w:r>
            <w:r w:rsidRPr="006C40C1">
              <w:t>belopp</w:t>
            </w:r>
          </w:p>
        </w:tc>
      </w:tr>
      <w:tr w:rsidR="00000000" w:rsidRPr="006C40C1">
        <w:tblPrEx>
          <w:tblCellMar>
            <w:top w:w="0" w:type="dxa"/>
            <w:bottom w:w="0" w:type="dxa"/>
          </w:tblCellMar>
        </w:tblPrEx>
        <w:tc>
          <w:tcPr>
            <w:tcW w:w="3090" w:type="dxa"/>
          </w:tcPr>
          <w:p w:rsidR="00AA5D77" w:rsidRPr="006C40C1" w:rsidRDefault="00AA5D77">
            <w:pPr>
              <w:pStyle w:val="Brdtextmedindrag"/>
              <w:ind w:firstLine="0"/>
            </w:pPr>
          </w:p>
        </w:tc>
        <w:tc>
          <w:tcPr>
            <w:tcW w:w="3090" w:type="dxa"/>
          </w:tcPr>
          <w:p w:rsidR="00AA5D77" w:rsidRPr="006C40C1" w:rsidRDefault="00AA5D77">
            <w:pPr>
              <w:pStyle w:val="Brdtextmedindrag"/>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w:t>
            </w:r>
            <w:r w:rsidRPr="006C40C1">
              <w:rPr>
                <w:i/>
              </w:rPr>
              <w:t>6,87</w:t>
            </w:r>
            <w:r w:rsidRPr="006C40C1">
              <w:t xml:space="preserve"> pri</w:t>
            </w:r>
            <w:r w:rsidRPr="006C40C1">
              <w:t>s</w:t>
            </w:r>
            <w:r w:rsidRPr="006C40C1">
              <w:t>basbelopp</w:t>
            </w:r>
          </w:p>
        </w:tc>
        <w:tc>
          <w:tcPr>
            <w:tcW w:w="3090" w:type="dxa"/>
          </w:tcPr>
          <w:p w:rsidR="00AA5D77" w:rsidRPr="006C40C1" w:rsidRDefault="00AA5D77">
            <w:pPr>
              <w:pStyle w:val="Normaltindrag"/>
            </w:pPr>
            <w:r w:rsidRPr="006C40C1">
              <w:t xml:space="preserve">0,293 prisbasbelopp </w:t>
            </w:r>
          </w:p>
        </w:tc>
      </w:tr>
    </w:tbl>
    <w:p w:rsidR="00AA5D77" w:rsidRPr="006C40C1" w:rsidRDefault="00AA5D77">
      <w:r w:rsidRPr="006C40C1">
        <w:rPr>
          <w:u w:val="single"/>
        </w:rPr>
        <w:t>                              </w:t>
      </w:r>
    </w:p>
    <w:p w:rsidR="00AA5D77" w:rsidRPr="006C40C1" w:rsidRDefault="00AA5D77">
      <w:pPr>
        <w:pStyle w:val="Normaltindrag"/>
      </w:pPr>
      <w:r w:rsidRPr="006C40C1">
        <w:t>Denna lag träder i kraft den 1 januari 2003 och tillämpas första gången vid 2004 års taxering.</w:t>
      </w:r>
    </w:p>
    <w:p w:rsidR="00AA5D77" w:rsidRPr="006C40C1" w:rsidRDefault="00AA5D77">
      <w:pPr>
        <w:pStyle w:val="Rubrik2"/>
      </w:pPr>
      <w:r w:rsidRPr="006C40C1">
        <w:br w:type="page"/>
      </w:r>
      <w:bookmarkStart w:id="1081" w:name="_Toc21512967"/>
      <w:bookmarkStart w:id="1082" w:name="_Toc21513344"/>
      <w:bookmarkStart w:id="1083" w:name="_Toc26191712"/>
      <w:r w:rsidRPr="006C40C1">
        <w:t>Förslag till lag om ändring i socialavgiftslagen (2000:980)</w:t>
      </w:r>
      <w:bookmarkEnd w:id="1081"/>
      <w:bookmarkEnd w:id="1082"/>
      <w:bookmarkEnd w:id="1083"/>
    </w:p>
    <w:p w:rsidR="00AA5D77" w:rsidRPr="006C40C1" w:rsidRDefault="00AA5D77">
      <w:pPr>
        <w:pStyle w:val="Normaltindrag"/>
      </w:pPr>
      <w:r w:rsidRPr="006C40C1">
        <w:t>Härigenom föreskrivs att 2 kap. 26 § och 3 kap. 13 § socialavgiftslagen (2000:980) skall ha följande lydelse.</w:t>
      </w:r>
    </w:p>
    <w:p w:rsidR="00AA5D77" w:rsidRPr="006C40C1" w:rsidRDefault="00AA5D77">
      <w:pPr>
        <w:pStyle w:val="Normaltindrag"/>
      </w:pPr>
    </w:p>
    <w:p w:rsidR="00AA5D77" w:rsidRPr="006C40C1" w:rsidRDefault="00AA5D77">
      <w:pPr>
        <w:jc w:val="center"/>
      </w:pPr>
      <w:r w:rsidRPr="006C40C1">
        <w:rPr>
          <w:i/>
        </w:rPr>
        <w:t>Nuvarande lydelse</w:t>
      </w:r>
    </w:p>
    <w:p w:rsidR="00AA5D77" w:rsidRPr="006C40C1" w:rsidRDefault="00AA5D77">
      <w:pPr>
        <w:jc w:val="center"/>
      </w:pPr>
      <w:r w:rsidRPr="006C40C1">
        <w:rPr>
          <w:b/>
        </w:rPr>
        <w:t>2 kap.</w:t>
      </w:r>
    </w:p>
    <w:p w:rsidR="00AA5D77" w:rsidRPr="006C40C1" w:rsidRDefault="00AA5D77">
      <w:pPr>
        <w:jc w:val="center"/>
      </w:pPr>
      <w:r w:rsidRPr="006C40C1">
        <w:rPr>
          <w:b/>
        </w:rPr>
        <w:t>26 §</w:t>
      </w:r>
    </w:p>
    <w:p w:rsidR="00AA5D77" w:rsidRPr="006C40C1" w:rsidRDefault="00AA5D77">
      <w:pPr>
        <w:pStyle w:val="Normaltindrag"/>
      </w:pPr>
      <w:r w:rsidRPr="006C40C1">
        <w:t xml:space="preserve">Arbetsgivaravgifterna är </w:t>
      </w:r>
      <w:r w:rsidRPr="006C40C1">
        <w:rPr>
          <w:i/>
        </w:rPr>
        <w:t>30,13</w:t>
      </w:r>
      <w:r w:rsidRPr="006C40C1">
        <w:t xml:space="preserve"> procent av avgiftsunderlaget och utgörs av</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r w:rsidRPr="006C40C1">
              <w:t>1. sjukförsäkringsavgift</w:t>
            </w:r>
          </w:p>
        </w:tc>
        <w:tc>
          <w:tcPr>
            <w:tcW w:w="3090" w:type="dxa"/>
          </w:tcPr>
          <w:p w:rsidR="00AA5D77" w:rsidRPr="006C40C1" w:rsidRDefault="00AA5D77">
            <w:pPr>
              <w:rPr>
                <w:i/>
              </w:rPr>
            </w:pPr>
            <w:r w:rsidRPr="006C40C1">
              <w:rPr>
                <w:i/>
              </w:rPr>
              <w:t>8,80 %</w:t>
            </w:r>
          </w:p>
        </w:tc>
      </w:tr>
      <w:tr w:rsidR="00000000" w:rsidRPr="006C40C1">
        <w:tblPrEx>
          <w:tblCellMar>
            <w:top w:w="0" w:type="dxa"/>
            <w:bottom w:w="0" w:type="dxa"/>
          </w:tblCellMar>
        </w:tblPrEx>
        <w:tc>
          <w:tcPr>
            <w:tcW w:w="3090" w:type="dxa"/>
          </w:tcPr>
          <w:p w:rsidR="00AA5D77" w:rsidRPr="006C40C1" w:rsidRDefault="00AA5D77">
            <w:r w:rsidRPr="006C40C1">
              <w:t>2. föräldraförsäkringsavgift</w:t>
            </w:r>
          </w:p>
        </w:tc>
        <w:tc>
          <w:tcPr>
            <w:tcW w:w="3090" w:type="dxa"/>
          </w:tcPr>
          <w:p w:rsidR="00AA5D77" w:rsidRPr="006C40C1" w:rsidRDefault="00AA5D77">
            <w:pPr>
              <w:rPr>
                <w:i/>
              </w:rPr>
            </w:pPr>
            <w:r w:rsidRPr="006C40C1">
              <w:t>2,20 %</w:t>
            </w:r>
          </w:p>
        </w:tc>
      </w:tr>
      <w:tr w:rsidR="00000000" w:rsidRPr="006C40C1">
        <w:tblPrEx>
          <w:tblCellMar>
            <w:top w:w="0" w:type="dxa"/>
            <w:bottom w:w="0" w:type="dxa"/>
          </w:tblCellMar>
        </w:tblPrEx>
        <w:tc>
          <w:tcPr>
            <w:tcW w:w="3090" w:type="dxa"/>
          </w:tcPr>
          <w:p w:rsidR="00AA5D77" w:rsidRPr="006C40C1" w:rsidRDefault="00AA5D77">
            <w:r w:rsidRPr="006C40C1">
              <w:t>3. ålderspensionsavgift</w:t>
            </w:r>
          </w:p>
        </w:tc>
        <w:tc>
          <w:tcPr>
            <w:tcW w:w="3090" w:type="dxa"/>
          </w:tcPr>
          <w:p w:rsidR="00AA5D77" w:rsidRPr="006C40C1" w:rsidRDefault="00AA5D77">
            <w:pPr>
              <w:rPr>
                <w:i/>
              </w:rPr>
            </w:pPr>
            <w:r w:rsidRPr="006C40C1">
              <w:t>10,21 %</w:t>
            </w:r>
          </w:p>
        </w:tc>
      </w:tr>
      <w:tr w:rsidR="00000000" w:rsidRPr="006C40C1">
        <w:tblPrEx>
          <w:tblCellMar>
            <w:top w:w="0" w:type="dxa"/>
            <w:bottom w:w="0" w:type="dxa"/>
          </w:tblCellMar>
        </w:tblPrEx>
        <w:tc>
          <w:tcPr>
            <w:tcW w:w="3090" w:type="dxa"/>
          </w:tcPr>
          <w:p w:rsidR="00AA5D77" w:rsidRPr="006C40C1" w:rsidRDefault="00AA5D77">
            <w:r w:rsidRPr="006C40C1">
              <w:t>4. efterlevandepensionsavgift</w:t>
            </w:r>
          </w:p>
        </w:tc>
        <w:tc>
          <w:tcPr>
            <w:tcW w:w="3090" w:type="dxa"/>
          </w:tcPr>
          <w:p w:rsidR="00AA5D77" w:rsidRPr="006C40C1" w:rsidRDefault="00AA5D77">
            <w:pPr>
              <w:rPr>
                <w:i/>
              </w:rPr>
            </w:pPr>
            <w:r w:rsidRPr="006C40C1">
              <w:t>1,70 %</w:t>
            </w:r>
          </w:p>
        </w:tc>
      </w:tr>
      <w:tr w:rsidR="00000000" w:rsidRPr="006C40C1">
        <w:tblPrEx>
          <w:tblCellMar>
            <w:top w:w="0" w:type="dxa"/>
            <w:bottom w:w="0" w:type="dxa"/>
          </w:tblCellMar>
        </w:tblPrEx>
        <w:tc>
          <w:tcPr>
            <w:tcW w:w="3090" w:type="dxa"/>
          </w:tcPr>
          <w:p w:rsidR="00AA5D77" w:rsidRPr="006C40C1" w:rsidRDefault="00AA5D77">
            <w:r w:rsidRPr="006C40C1">
              <w:t>5. arbetsmarknadsavgift</w:t>
            </w:r>
          </w:p>
        </w:tc>
        <w:tc>
          <w:tcPr>
            <w:tcW w:w="3090" w:type="dxa"/>
          </w:tcPr>
          <w:p w:rsidR="00AA5D77" w:rsidRPr="006C40C1" w:rsidRDefault="00AA5D77">
            <w:pPr>
              <w:rPr>
                <w:i/>
              </w:rPr>
            </w:pPr>
            <w:r w:rsidRPr="006C40C1">
              <w:rPr>
                <w:i/>
              </w:rPr>
              <w:t>5,84 %</w:t>
            </w:r>
          </w:p>
        </w:tc>
      </w:tr>
      <w:tr w:rsidR="00000000" w:rsidRPr="006C40C1">
        <w:tblPrEx>
          <w:tblCellMar>
            <w:top w:w="0" w:type="dxa"/>
            <w:bottom w:w="0" w:type="dxa"/>
          </w:tblCellMar>
        </w:tblPrEx>
        <w:tc>
          <w:tcPr>
            <w:tcW w:w="3090" w:type="dxa"/>
          </w:tcPr>
          <w:p w:rsidR="00AA5D77" w:rsidRPr="006C40C1" w:rsidRDefault="00AA5D77">
            <w:r w:rsidRPr="006C40C1">
              <w:t>6. arbetsskadeavgift</w:t>
            </w:r>
          </w:p>
        </w:tc>
        <w:tc>
          <w:tcPr>
            <w:tcW w:w="3090" w:type="dxa"/>
          </w:tcPr>
          <w:p w:rsidR="00AA5D77" w:rsidRPr="006C40C1" w:rsidRDefault="00AA5D77">
            <w:pPr>
              <w:rPr>
                <w:i/>
              </w:rPr>
            </w:pPr>
            <w:r w:rsidRPr="006C40C1">
              <w:rPr>
                <w:i/>
              </w:rPr>
              <w:t>1,38 %</w:t>
            </w:r>
          </w:p>
        </w:tc>
      </w:tr>
    </w:tbl>
    <w:p w:rsidR="00AA5D77" w:rsidRPr="006C40C1" w:rsidRDefault="00AA5D77">
      <w:pPr>
        <w:pStyle w:val="Normaltindrag"/>
      </w:pPr>
    </w:p>
    <w:p w:rsidR="00AA5D77" w:rsidRPr="006C40C1" w:rsidRDefault="00AA5D77">
      <w:pPr>
        <w:jc w:val="center"/>
      </w:pPr>
      <w:r w:rsidRPr="006C40C1">
        <w:rPr>
          <w:i/>
        </w:rPr>
        <w:t>Föreslagen lydelse</w:t>
      </w:r>
    </w:p>
    <w:p w:rsidR="00AA5D77" w:rsidRPr="006C40C1" w:rsidRDefault="00AA5D77">
      <w:pPr>
        <w:pStyle w:val="Normaltindrag"/>
      </w:pPr>
    </w:p>
    <w:p w:rsidR="00AA5D77" w:rsidRPr="006C40C1" w:rsidRDefault="00AA5D77">
      <w:pPr>
        <w:jc w:val="center"/>
      </w:pPr>
      <w:r w:rsidRPr="006C40C1">
        <w:rPr>
          <w:b/>
        </w:rPr>
        <w:t>2 kap.</w:t>
      </w:r>
    </w:p>
    <w:p w:rsidR="00AA5D77" w:rsidRPr="006C40C1" w:rsidRDefault="00AA5D77">
      <w:pPr>
        <w:jc w:val="center"/>
      </w:pPr>
      <w:r w:rsidRPr="006C40C1">
        <w:rPr>
          <w:b/>
        </w:rPr>
        <w:t>26 §</w:t>
      </w:r>
    </w:p>
    <w:p w:rsidR="00AA5D77" w:rsidRPr="006C40C1" w:rsidRDefault="00AA5D77">
      <w:pPr>
        <w:pStyle w:val="Normaltindrag"/>
      </w:pPr>
      <w:r w:rsidRPr="006C40C1">
        <w:t xml:space="preserve">Arbetsgivaravgifterna är </w:t>
      </w:r>
      <w:r w:rsidRPr="006C40C1">
        <w:rPr>
          <w:i/>
        </w:rPr>
        <w:t xml:space="preserve">29,57 </w:t>
      </w:r>
      <w:r w:rsidRPr="006C40C1">
        <w:t>procent av avgiftsunderlaget och utgörs av</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r w:rsidRPr="006C40C1">
              <w:t>1. sjukförsäkringsavgift</w:t>
            </w:r>
          </w:p>
        </w:tc>
        <w:tc>
          <w:tcPr>
            <w:tcW w:w="3090" w:type="dxa"/>
          </w:tcPr>
          <w:p w:rsidR="00AA5D77" w:rsidRPr="006C40C1" w:rsidRDefault="00AA5D77">
            <w:pPr>
              <w:rPr>
                <w:i/>
              </w:rPr>
            </w:pPr>
            <w:r w:rsidRPr="006C40C1">
              <w:rPr>
                <w:i/>
              </w:rPr>
              <w:t>11,08 %</w:t>
            </w:r>
          </w:p>
        </w:tc>
      </w:tr>
      <w:tr w:rsidR="00000000" w:rsidRPr="006C40C1">
        <w:tblPrEx>
          <w:tblCellMar>
            <w:top w:w="0" w:type="dxa"/>
            <w:bottom w:w="0" w:type="dxa"/>
          </w:tblCellMar>
        </w:tblPrEx>
        <w:tc>
          <w:tcPr>
            <w:tcW w:w="3090" w:type="dxa"/>
          </w:tcPr>
          <w:p w:rsidR="00AA5D77" w:rsidRPr="006C40C1" w:rsidRDefault="00AA5D77">
            <w:r w:rsidRPr="006C40C1">
              <w:t>2. föräldraförsäkringsavgift</w:t>
            </w:r>
          </w:p>
        </w:tc>
        <w:tc>
          <w:tcPr>
            <w:tcW w:w="3090" w:type="dxa"/>
          </w:tcPr>
          <w:p w:rsidR="00AA5D77" w:rsidRPr="006C40C1" w:rsidRDefault="00AA5D77">
            <w:pPr>
              <w:rPr>
                <w:i/>
              </w:rPr>
            </w:pPr>
            <w:r w:rsidRPr="006C40C1">
              <w:t>2,20 %</w:t>
            </w:r>
          </w:p>
        </w:tc>
      </w:tr>
      <w:tr w:rsidR="00000000" w:rsidRPr="006C40C1">
        <w:tblPrEx>
          <w:tblCellMar>
            <w:top w:w="0" w:type="dxa"/>
            <w:bottom w:w="0" w:type="dxa"/>
          </w:tblCellMar>
        </w:tblPrEx>
        <w:tc>
          <w:tcPr>
            <w:tcW w:w="3090" w:type="dxa"/>
          </w:tcPr>
          <w:p w:rsidR="00AA5D77" w:rsidRPr="006C40C1" w:rsidRDefault="00AA5D77">
            <w:r w:rsidRPr="006C40C1">
              <w:t>3. ålderspensionsavgift</w:t>
            </w:r>
          </w:p>
        </w:tc>
        <w:tc>
          <w:tcPr>
            <w:tcW w:w="3090" w:type="dxa"/>
          </w:tcPr>
          <w:p w:rsidR="00AA5D77" w:rsidRPr="006C40C1" w:rsidRDefault="00AA5D77">
            <w:pPr>
              <w:rPr>
                <w:i/>
              </w:rPr>
            </w:pPr>
            <w:r w:rsidRPr="006C40C1">
              <w:t>10,21 %</w:t>
            </w:r>
          </w:p>
        </w:tc>
      </w:tr>
      <w:tr w:rsidR="00000000" w:rsidRPr="006C40C1">
        <w:tblPrEx>
          <w:tblCellMar>
            <w:top w:w="0" w:type="dxa"/>
            <w:bottom w:w="0" w:type="dxa"/>
          </w:tblCellMar>
        </w:tblPrEx>
        <w:tc>
          <w:tcPr>
            <w:tcW w:w="3090" w:type="dxa"/>
          </w:tcPr>
          <w:p w:rsidR="00AA5D77" w:rsidRPr="006C40C1" w:rsidRDefault="00AA5D77">
            <w:r w:rsidRPr="006C40C1">
              <w:t>4. efterlevandepensionsavgift</w:t>
            </w:r>
          </w:p>
        </w:tc>
        <w:tc>
          <w:tcPr>
            <w:tcW w:w="3090" w:type="dxa"/>
          </w:tcPr>
          <w:p w:rsidR="00AA5D77" w:rsidRPr="006C40C1" w:rsidRDefault="00AA5D77">
            <w:pPr>
              <w:rPr>
                <w:i/>
              </w:rPr>
            </w:pPr>
            <w:r w:rsidRPr="006C40C1">
              <w:t>1,70 %</w:t>
            </w:r>
          </w:p>
        </w:tc>
      </w:tr>
      <w:tr w:rsidR="00000000" w:rsidRPr="006C40C1">
        <w:tblPrEx>
          <w:tblCellMar>
            <w:top w:w="0" w:type="dxa"/>
            <w:bottom w:w="0" w:type="dxa"/>
          </w:tblCellMar>
        </w:tblPrEx>
        <w:tc>
          <w:tcPr>
            <w:tcW w:w="3090" w:type="dxa"/>
          </w:tcPr>
          <w:p w:rsidR="00AA5D77" w:rsidRPr="006C40C1" w:rsidRDefault="00AA5D77">
            <w:r w:rsidRPr="006C40C1">
              <w:t>5. arbetsmarknadsavgift</w:t>
            </w:r>
          </w:p>
        </w:tc>
        <w:tc>
          <w:tcPr>
            <w:tcW w:w="3090" w:type="dxa"/>
          </w:tcPr>
          <w:p w:rsidR="00AA5D77" w:rsidRPr="006C40C1" w:rsidRDefault="00AA5D77">
            <w:pPr>
              <w:rPr>
                <w:i/>
              </w:rPr>
            </w:pPr>
            <w:r w:rsidRPr="006C40C1">
              <w:rPr>
                <w:i/>
              </w:rPr>
              <w:t>3,70 %</w:t>
            </w:r>
          </w:p>
        </w:tc>
      </w:tr>
      <w:tr w:rsidR="00000000" w:rsidRPr="006C40C1">
        <w:tblPrEx>
          <w:tblCellMar>
            <w:top w:w="0" w:type="dxa"/>
            <w:bottom w:w="0" w:type="dxa"/>
          </w:tblCellMar>
        </w:tblPrEx>
        <w:tc>
          <w:tcPr>
            <w:tcW w:w="3090" w:type="dxa"/>
          </w:tcPr>
          <w:p w:rsidR="00AA5D77" w:rsidRPr="006C40C1" w:rsidRDefault="00AA5D77">
            <w:r w:rsidRPr="006C40C1">
              <w:t>6. arbetsskadeavgift</w:t>
            </w:r>
          </w:p>
        </w:tc>
        <w:tc>
          <w:tcPr>
            <w:tcW w:w="3090" w:type="dxa"/>
          </w:tcPr>
          <w:p w:rsidR="00AA5D77" w:rsidRPr="006C40C1" w:rsidRDefault="00AA5D77">
            <w:pPr>
              <w:rPr>
                <w:i/>
              </w:rPr>
            </w:pPr>
            <w:r w:rsidRPr="006C40C1">
              <w:rPr>
                <w:i/>
              </w:rPr>
              <w:t>0,68 %</w:t>
            </w:r>
          </w:p>
        </w:tc>
      </w:tr>
    </w:tbl>
    <w:p w:rsidR="00AA5D77" w:rsidRPr="006C40C1" w:rsidRDefault="00AA5D77"/>
    <w:p w:rsidR="00AA5D77" w:rsidRPr="006C40C1" w:rsidRDefault="00AA5D77">
      <w:pPr>
        <w:jc w:val="center"/>
      </w:pPr>
      <w:r w:rsidRPr="006C40C1">
        <w:br w:type="page"/>
      </w:r>
      <w:r w:rsidRPr="006C40C1">
        <w:rPr>
          <w:i/>
        </w:rPr>
        <w:t>Nuvarande lydelse</w:t>
      </w:r>
    </w:p>
    <w:p w:rsidR="00AA5D77" w:rsidRPr="006C40C1" w:rsidRDefault="00AA5D77">
      <w:pPr>
        <w:pStyle w:val="Normaltindrag"/>
        <w:jc w:val="center"/>
      </w:pPr>
    </w:p>
    <w:p w:rsidR="00AA5D77" w:rsidRPr="006C40C1" w:rsidRDefault="00AA5D77">
      <w:pPr>
        <w:jc w:val="center"/>
      </w:pPr>
      <w:r w:rsidRPr="006C40C1">
        <w:rPr>
          <w:b/>
        </w:rPr>
        <w:t>3 kap.</w:t>
      </w:r>
    </w:p>
    <w:p w:rsidR="00AA5D77" w:rsidRPr="006C40C1" w:rsidRDefault="00AA5D77">
      <w:pPr>
        <w:jc w:val="center"/>
      </w:pPr>
      <w:r w:rsidRPr="006C40C1">
        <w:rPr>
          <w:b/>
        </w:rPr>
        <w:t>13 §</w:t>
      </w:r>
    </w:p>
    <w:p w:rsidR="00AA5D77" w:rsidRPr="006C40C1" w:rsidRDefault="00AA5D77">
      <w:pPr>
        <w:pStyle w:val="Normaltindrag"/>
      </w:pPr>
      <w:r w:rsidRPr="006C40C1">
        <w:t xml:space="preserve">   Egenavgifterna är </w:t>
      </w:r>
      <w:r w:rsidRPr="006C40C1">
        <w:rPr>
          <w:i/>
        </w:rPr>
        <w:t xml:space="preserve">28,32 </w:t>
      </w:r>
      <w:r w:rsidRPr="006C40C1">
        <w:t>procent</w:t>
      </w:r>
      <w:r w:rsidRPr="006C40C1">
        <w:rPr>
          <w:i/>
        </w:rPr>
        <w:t xml:space="preserve"> </w:t>
      </w:r>
      <w:r w:rsidRPr="006C40C1">
        <w:t>av avgiftsunderlaget och utgörs av</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1. sjukförsäkringsavgift</w:t>
            </w:r>
          </w:p>
        </w:tc>
        <w:tc>
          <w:tcPr>
            <w:tcW w:w="3090" w:type="dxa"/>
          </w:tcPr>
          <w:p w:rsidR="00AA5D77" w:rsidRPr="006C40C1" w:rsidRDefault="00AA5D77">
            <w:pPr>
              <w:pStyle w:val="Normaltindrag"/>
            </w:pPr>
            <w:r w:rsidRPr="006C40C1">
              <w:rPr>
                <w:i/>
              </w:rPr>
              <w:t>9,53 %</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2. föräldraförsäkringsavgift</w:t>
            </w:r>
          </w:p>
        </w:tc>
        <w:tc>
          <w:tcPr>
            <w:tcW w:w="3090" w:type="dxa"/>
          </w:tcPr>
          <w:p w:rsidR="00AA5D77" w:rsidRPr="006C40C1" w:rsidRDefault="00AA5D77">
            <w:pPr>
              <w:pStyle w:val="Normaltindrag"/>
              <w:rPr>
                <w:i/>
              </w:rPr>
            </w:pPr>
            <w:r w:rsidRPr="006C40C1">
              <w:t>2,20 %</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3. ålderspensionsavgift</w:t>
            </w:r>
          </w:p>
        </w:tc>
        <w:tc>
          <w:tcPr>
            <w:tcW w:w="3090" w:type="dxa"/>
          </w:tcPr>
          <w:p w:rsidR="00AA5D77" w:rsidRPr="006C40C1" w:rsidRDefault="00AA5D77">
            <w:pPr>
              <w:pStyle w:val="Normaltindrag"/>
              <w:rPr>
                <w:i/>
              </w:rPr>
            </w:pPr>
            <w:r w:rsidRPr="006C40C1">
              <w:t>10,21 %</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4. efterlevandepensionsavgift</w:t>
            </w:r>
          </w:p>
        </w:tc>
        <w:tc>
          <w:tcPr>
            <w:tcW w:w="3090" w:type="dxa"/>
          </w:tcPr>
          <w:p w:rsidR="00AA5D77" w:rsidRPr="006C40C1" w:rsidRDefault="00AA5D77">
            <w:pPr>
              <w:pStyle w:val="Normaltindrag"/>
              <w:rPr>
                <w:i/>
              </w:rPr>
            </w:pPr>
            <w:r w:rsidRPr="006C40C1">
              <w:t>1,70 %</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5. arbetsmarknadsavgift</w:t>
            </w:r>
          </w:p>
        </w:tc>
        <w:tc>
          <w:tcPr>
            <w:tcW w:w="3090" w:type="dxa"/>
          </w:tcPr>
          <w:p w:rsidR="00AA5D77" w:rsidRPr="006C40C1" w:rsidRDefault="00AA5D77">
            <w:pPr>
              <w:pStyle w:val="Normaltindrag"/>
              <w:rPr>
                <w:i/>
              </w:rPr>
            </w:pPr>
            <w:r w:rsidRPr="006C40C1">
              <w:rPr>
                <w:i/>
              </w:rPr>
              <w:t>3,30 %</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6. arbetsskadeavgift</w:t>
            </w:r>
          </w:p>
        </w:tc>
        <w:tc>
          <w:tcPr>
            <w:tcW w:w="3090" w:type="dxa"/>
          </w:tcPr>
          <w:p w:rsidR="00AA5D77" w:rsidRPr="006C40C1" w:rsidRDefault="00AA5D77">
            <w:pPr>
              <w:pStyle w:val="Normaltindrag"/>
              <w:rPr>
                <w:i/>
              </w:rPr>
            </w:pPr>
            <w:r w:rsidRPr="006C40C1">
              <w:rPr>
                <w:i/>
              </w:rPr>
              <w:t>1,38 %</w:t>
            </w:r>
          </w:p>
        </w:tc>
      </w:tr>
    </w:tbl>
    <w:p w:rsidR="00AA5D77" w:rsidRPr="006C40C1" w:rsidRDefault="00AA5D77">
      <w:pPr>
        <w:pStyle w:val="Normaltindrag"/>
      </w:pPr>
    </w:p>
    <w:p w:rsidR="00AA5D77" w:rsidRPr="006C40C1" w:rsidRDefault="00AA5D77">
      <w:pPr>
        <w:pStyle w:val="Normaltindrag"/>
      </w:pPr>
    </w:p>
    <w:p w:rsidR="00AA5D77" w:rsidRPr="006C40C1" w:rsidRDefault="00AA5D77">
      <w:pPr>
        <w:jc w:val="center"/>
      </w:pPr>
      <w:r w:rsidRPr="006C40C1">
        <w:rPr>
          <w:i/>
        </w:rPr>
        <w:t>Föreslagen lydelse</w:t>
      </w:r>
    </w:p>
    <w:p w:rsidR="00AA5D77" w:rsidRPr="006C40C1" w:rsidRDefault="00AA5D77">
      <w:pPr>
        <w:jc w:val="center"/>
      </w:pPr>
      <w:r w:rsidRPr="006C40C1">
        <w:rPr>
          <w:b/>
        </w:rPr>
        <w:t>3 kap.</w:t>
      </w:r>
    </w:p>
    <w:p w:rsidR="00AA5D77" w:rsidRPr="006C40C1" w:rsidRDefault="00AA5D77">
      <w:pPr>
        <w:jc w:val="center"/>
      </w:pPr>
      <w:r w:rsidRPr="006C40C1">
        <w:rPr>
          <w:b/>
        </w:rPr>
        <w:t>13 §</w:t>
      </w:r>
    </w:p>
    <w:p w:rsidR="00AA5D77" w:rsidRPr="006C40C1" w:rsidRDefault="00AA5D77">
      <w:pPr>
        <w:pStyle w:val="Normaltindrag"/>
      </w:pPr>
      <w:r w:rsidRPr="006C40C1">
        <w:t xml:space="preserve">   Egenavgifterna är </w:t>
      </w:r>
      <w:r w:rsidRPr="006C40C1">
        <w:rPr>
          <w:i/>
        </w:rPr>
        <w:t>27,76</w:t>
      </w:r>
      <w:r w:rsidRPr="006C40C1">
        <w:t xml:space="preserve"> procent av avgiftsunderlaget och utgörs av</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1. sjukförsäkringsavgift</w:t>
            </w:r>
          </w:p>
        </w:tc>
        <w:tc>
          <w:tcPr>
            <w:tcW w:w="3090" w:type="dxa"/>
          </w:tcPr>
          <w:p w:rsidR="00AA5D77" w:rsidRPr="006C40C1" w:rsidRDefault="00AA5D77">
            <w:pPr>
              <w:pStyle w:val="Normaltindrag"/>
            </w:pPr>
            <w:r w:rsidRPr="006C40C1">
              <w:rPr>
                <w:i/>
              </w:rPr>
              <w:t>11,81 %</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2. föräldraförsäkringsavgift</w:t>
            </w:r>
          </w:p>
        </w:tc>
        <w:tc>
          <w:tcPr>
            <w:tcW w:w="3090" w:type="dxa"/>
          </w:tcPr>
          <w:p w:rsidR="00AA5D77" w:rsidRPr="006C40C1" w:rsidRDefault="00AA5D77">
            <w:pPr>
              <w:pStyle w:val="Normaltindrag"/>
              <w:rPr>
                <w:i/>
              </w:rPr>
            </w:pPr>
            <w:r w:rsidRPr="006C40C1">
              <w:t>2,20 %</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3. ålderspensionsavgift</w:t>
            </w:r>
          </w:p>
        </w:tc>
        <w:tc>
          <w:tcPr>
            <w:tcW w:w="3090" w:type="dxa"/>
          </w:tcPr>
          <w:p w:rsidR="00AA5D77" w:rsidRPr="006C40C1" w:rsidRDefault="00AA5D77">
            <w:pPr>
              <w:pStyle w:val="Normaltindrag"/>
              <w:rPr>
                <w:i/>
              </w:rPr>
            </w:pPr>
            <w:r w:rsidRPr="006C40C1">
              <w:t>10,21 %</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4. efterlevandepensionsavgift</w:t>
            </w:r>
          </w:p>
        </w:tc>
        <w:tc>
          <w:tcPr>
            <w:tcW w:w="3090" w:type="dxa"/>
          </w:tcPr>
          <w:p w:rsidR="00AA5D77" w:rsidRPr="006C40C1" w:rsidRDefault="00AA5D77">
            <w:pPr>
              <w:pStyle w:val="Normaltindrag"/>
              <w:rPr>
                <w:i/>
              </w:rPr>
            </w:pPr>
            <w:r w:rsidRPr="006C40C1">
              <w:t>1,70 %</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5. arbetsmarknadsavgift</w:t>
            </w:r>
          </w:p>
        </w:tc>
        <w:tc>
          <w:tcPr>
            <w:tcW w:w="3090" w:type="dxa"/>
          </w:tcPr>
          <w:p w:rsidR="00AA5D77" w:rsidRPr="006C40C1" w:rsidRDefault="00AA5D77">
            <w:pPr>
              <w:pStyle w:val="Normaltindrag"/>
              <w:rPr>
                <w:i/>
              </w:rPr>
            </w:pPr>
            <w:r w:rsidRPr="006C40C1">
              <w:rPr>
                <w:i/>
              </w:rPr>
              <w:t>1,16 %</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6. arbetsskadeavgift</w:t>
            </w:r>
          </w:p>
        </w:tc>
        <w:tc>
          <w:tcPr>
            <w:tcW w:w="3090" w:type="dxa"/>
          </w:tcPr>
          <w:p w:rsidR="00AA5D77" w:rsidRPr="006C40C1" w:rsidRDefault="00AA5D77">
            <w:pPr>
              <w:pStyle w:val="Normaltindrag"/>
              <w:rPr>
                <w:i/>
              </w:rPr>
            </w:pPr>
            <w:r w:rsidRPr="006C40C1">
              <w:rPr>
                <w:i/>
              </w:rPr>
              <w:t>0,68 %</w:t>
            </w:r>
          </w:p>
        </w:tc>
      </w:tr>
    </w:tbl>
    <w:p w:rsidR="00AA5D77" w:rsidRPr="006C40C1" w:rsidRDefault="00AA5D77">
      <w:r w:rsidRPr="006C40C1">
        <w:rPr>
          <w:u w:val="single"/>
        </w:rPr>
        <w:t>                              </w:t>
      </w:r>
    </w:p>
    <w:p w:rsidR="00AA5D77" w:rsidRPr="006C40C1" w:rsidRDefault="00AA5D77">
      <w:pPr>
        <w:pStyle w:val="Normaltindrag"/>
      </w:pPr>
      <w:r w:rsidRPr="006C40C1">
        <w:t>1. Denna lag träder i kraft den 1 januari 2003.</w:t>
      </w:r>
    </w:p>
    <w:p w:rsidR="00AA5D77" w:rsidRPr="006C40C1" w:rsidRDefault="00AA5D77">
      <w:pPr>
        <w:pStyle w:val="Normaltindrag"/>
      </w:pPr>
      <w:r w:rsidRPr="006C40C1">
        <w:t>2. De nya bestämmelserna i 2 kap. 26 § tillämpas på ersättning som betalas ut från och med den 1 januari 2003.</w:t>
      </w:r>
    </w:p>
    <w:p w:rsidR="00AA5D77" w:rsidRPr="006C40C1" w:rsidRDefault="00AA5D77">
      <w:pPr>
        <w:pStyle w:val="Normaltindrag"/>
      </w:pPr>
      <w:r w:rsidRPr="006C40C1">
        <w:t>3. De nya bestämmelserna i 3 kap. 13 § tillämpas på inkomst som uppbärs från och med den 1 januari 2003. Omfattar beskattningsåret tid såväl före som efter utgången av år 2002 skall, om den avgiftsskyldige inte visar annat, så stor del av beskattningsårets inkomst anses hänförlig till tiden efter utgången av år 2002 som svarar mot förhållandet mellan den del av beskattningsåret som infaller under denna tid och hela beskattningsåret.</w:t>
      </w:r>
    </w:p>
    <w:p w:rsidR="00AA5D77" w:rsidRPr="006C40C1" w:rsidRDefault="00AA5D77">
      <w:pPr>
        <w:pStyle w:val="Rubrik2"/>
      </w:pPr>
      <w:r w:rsidRPr="006C40C1">
        <w:br w:type="page"/>
      </w:r>
      <w:bookmarkStart w:id="1084" w:name="_Toc21512968"/>
      <w:bookmarkStart w:id="1085" w:name="_Toc21513345"/>
      <w:bookmarkStart w:id="1086" w:name="_Toc26191713"/>
      <w:r w:rsidRPr="006C40C1">
        <w:t>Förslag till lag om ändring i lagen (1994:1920) om allmän löneavgift</w:t>
      </w:r>
      <w:bookmarkEnd w:id="1084"/>
      <w:bookmarkEnd w:id="1085"/>
      <w:bookmarkEnd w:id="1086"/>
    </w:p>
    <w:p w:rsidR="00AA5D77" w:rsidRPr="006C40C1" w:rsidRDefault="00AA5D77">
      <w:pPr>
        <w:pStyle w:val="Normaltindrag"/>
      </w:pPr>
      <w:r w:rsidRPr="006C40C1">
        <w:t>Härigenom föreskrivs att 3 § lagen (1994:1920) om allmän löneavgift skall ha följande lydelse.</w:t>
      </w:r>
    </w:p>
    <w:p w:rsidR="00AA5D77" w:rsidRPr="006C40C1" w:rsidRDefault="00AA5D77"/>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Rubrik2"/>
              <w:rPr>
                <w:sz w:val="19"/>
              </w:rPr>
            </w:pPr>
            <w:r w:rsidRPr="006C40C1">
              <w:rPr>
                <w:sz w:val="19"/>
              </w:rPr>
              <w:t>Nuvarande lydelse</w:t>
            </w:r>
          </w:p>
        </w:tc>
        <w:tc>
          <w:tcPr>
            <w:tcW w:w="3090" w:type="dxa"/>
          </w:tcPr>
          <w:p w:rsidR="00AA5D77" w:rsidRPr="006C40C1" w:rsidRDefault="00AA5D77">
            <w:pPr>
              <w:pStyle w:val="LagRubrik2"/>
              <w:rPr>
                <w:sz w:val="19"/>
              </w:rPr>
            </w:pPr>
            <w:r w:rsidRPr="006C40C1">
              <w:rPr>
                <w:sz w:val="19"/>
              </w:rPr>
              <w:t>Föreslagen lydelse</w:t>
            </w:r>
          </w:p>
        </w:tc>
      </w:tr>
    </w:tbl>
    <w:p w:rsidR="00AA5D77" w:rsidRPr="006C40C1" w:rsidRDefault="00AA5D77">
      <w:pPr>
        <w:pStyle w:val="Normaltindrag"/>
      </w:pPr>
    </w:p>
    <w:p w:rsidR="00AA5D77" w:rsidRPr="006C40C1" w:rsidRDefault="00AA5D77">
      <w:pPr>
        <w:jc w:val="center"/>
      </w:pPr>
      <w:r w:rsidRPr="006C40C1">
        <w:rPr>
          <w:b/>
        </w:rPr>
        <w:t>3 §</w:t>
      </w:r>
      <w:r w:rsidRPr="006C40C1">
        <w:rPr>
          <w:rStyle w:val="Fotnotsreferens"/>
        </w:rPr>
        <w:footnoteReference w:id="2"/>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Allmän löneavgift tas ut med </w:t>
            </w:r>
            <w:r w:rsidRPr="006C40C1">
              <w:rPr>
                <w:i/>
              </w:rPr>
              <w:t xml:space="preserve">2,69 </w:t>
            </w:r>
            <w:r w:rsidRPr="006C40C1">
              <w:t xml:space="preserve">procent av underlaget och tillfaller staten. </w:t>
            </w:r>
          </w:p>
        </w:tc>
        <w:tc>
          <w:tcPr>
            <w:tcW w:w="3090" w:type="dxa"/>
          </w:tcPr>
          <w:p w:rsidR="00AA5D77" w:rsidRPr="006C40C1" w:rsidRDefault="00AA5D77">
            <w:pPr>
              <w:pStyle w:val="Normaltindrag"/>
            </w:pPr>
            <w:r w:rsidRPr="006C40C1">
              <w:t xml:space="preserve">Allmän löneavgift tas ut med </w:t>
            </w:r>
            <w:r w:rsidRPr="006C40C1">
              <w:rPr>
                <w:i/>
              </w:rPr>
              <w:t xml:space="preserve">3,25 </w:t>
            </w:r>
            <w:r w:rsidRPr="006C40C1">
              <w:t>procent av underlaget och tillfaller staten.</w:t>
            </w:r>
          </w:p>
        </w:tc>
      </w:tr>
    </w:tbl>
    <w:p w:rsidR="00AA5D77" w:rsidRPr="006C40C1" w:rsidRDefault="00AA5D77">
      <w:r w:rsidRPr="006C40C1">
        <w:rPr>
          <w:u w:val="single"/>
        </w:rPr>
        <w:t>                            </w:t>
      </w:r>
    </w:p>
    <w:p w:rsidR="00AA5D77" w:rsidRPr="006C40C1" w:rsidRDefault="00AA5D77">
      <w:pPr>
        <w:pStyle w:val="Normaltindrag"/>
      </w:pPr>
      <w:r w:rsidRPr="006C40C1">
        <w:t>1. Denna lag träder i kraft den 1 januari 2003.</w:t>
      </w:r>
    </w:p>
    <w:p w:rsidR="00AA5D77" w:rsidRPr="006C40C1" w:rsidRDefault="00AA5D77">
      <w:pPr>
        <w:pStyle w:val="Normaltindrag"/>
      </w:pPr>
      <w:r w:rsidRPr="006C40C1">
        <w:t>2. De nya bestämmelserna tillämpas på lön eller annan ersättning enligt 1 § som betalas ut från och med den 1 januari 2003.</w:t>
      </w:r>
    </w:p>
    <w:p w:rsidR="00AA5D77" w:rsidRPr="006C40C1" w:rsidRDefault="00AA5D77">
      <w:pPr>
        <w:pStyle w:val="Normaltindrag"/>
      </w:pPr>
      <w:r w:rsidRPr="006C40C1">
        <w:t>3. De nya bestämmelserna tillämpas också på inkomst enligt 2 § som up</w:t>
      </w:r>
      <w:r w:rsidRPr="006C40C1">
        <w:t>p</w:t>
      </w:r>
      <w:r w:rsidRPr="006C40C1">
        <w:t>bärs från och med den 1 januari 2003. Omfattar beskattningsåret tid såväl före som efter utgången av år 2002 skall, om den avgiftsskyldige inte visar annat, så stor del av beskattningsårets inkomst anses hänförlig till tiden efter utgån</w:t>
      </w:r>
      <w:r w:rsidRPr="006C40C1">
        <w:t>g</w:t>
      </w:r>
      <w:r w:rsidRPr="006C40C1">
        <w:t>en av år 2002 som svarar mot förhållandet mellan den del av beskatt</w:t>
      </w:r>
      <w:r w:rsidRPr="006C40C1">
        <w:softHyphen/>
        <w:t xml:space="preserve">ningsåret som infaller under denna tid och hela beskattningsåret. </w:t>
      </w:r>
    </w:p>
    <w:p w:rsidR="00AA5D77" w:rsidRPr="006C40C1" w:rsidRDefault="00AA5D77">
      <w:pPr>
        <w:pStyle w:val="Rubrik2"/>
      </w:pPr>
      <w:r w:rsidRPr="006C40C1">
        <w:br w:type="page"/>
      </w:r>
      <w:bookmarkStart w:id="1087" w:name="_Toc21512969"/>
      <w:bookmarkStart w:id="1088" w:name="_Toc21513346"/>
      <w:bookmarkStart w:id="1089" w:name="_Toc26191714"/>
      <w:r w:rsidRPr="006C40C1">
        <w:t>Förslag till lag om ändring i lagen (2000:1380) om skattereduktion för utgifter för vissa anslutningar för tele</w:t>
      </w:r>
      <w:r w:rsidRPr="006C40C1">
        <w:noBreakHyphen/>
        <w:t> och datakommunikation</w:t>
      </w:r>
      <w:bookmarkEnd w:id="1087"/>
      <w:bookmarkEnd w:id="1088"/>
      <w:bookmarkEnd w:id="1089"/>
    </w:p>
    <w:p w:rsidR="00AA5D77" w:rsidRPr="006C40C1" w:rsidRDefault="00AA5D77">
      <w:pPr>
        <w:pStyle w:val="Normaltindrag"/>
      </w:pPr>
      <w:r w:rsidRPr="006C40C1">
        <w:t>Härigenom föreskrivs att 3, 5 och 14 §§ lagen (2000:1380) om skatte</w:t>
      </w:r>
      <w:r w:rsidRPr="006C40C1">
        <w:softHyphen/>
        <w:t>reduktion för utgifter för vissa anslutningar för tele- och datakommunikation skall ha följande lydelse.</w:t>
      </w:r>
    </w:p>
    <w:p w:rsidR="00AA5D77" w:rsidRPr="006C40C1" w:rsidRDefault="00AA5D77"/>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Rubrik2"/>
              <w:rPr>
                <w:sz w:val="19"/>
              </w:rPr>
            </w:pPr>
            <w:r w:rsidRPr="006C40C1">
              <w:rPr>
                <w:sz w:val="19"/>
              </w:rPr>
              <w:t>Nuvarande lydelse</w:t>
            </w:r>
          </w:p>
        </w:tc>
        <w:tc>
          <w:tcPr>
            <w:tcW w:w="3090" w:type="dxa"/>
          </w:tcPr>
          <w:p w:rsidR="00AA5D77" w:rsidRPr="006C40C1" w:rsidRDefault="00AA5D77">
            <w:pPr>
              <w:pStyle w:val="LagRubrik2"/>
              <w:rPr>
                <w:sz w:val="19"/>
              </w:rPr>
            </w:pPr>
            <w:r w:rsidRPr="006C40C1">
              <w:rPr>
                <w:sz w:val="19"/>
              </w:rPr>
              <w:t>Föreslagen lydelse</w:t>
            </w:r>
          </w:p>
        </w:tc>
      </w:tr>
    </w:tbl>
    <w:p w:rsidR="00AA5D77" w:rsidRPr="006C40C1" w:rsidRDefault="00AA5D77">
      <w:pPr>
        <w:pStyle w:val="Normaltindrag"/>
      </w:pPr>
    </w:p>
    <w:p w:rsidR="00AA5D77" w:rsidRPr="006C40C1" w:rsidRDefault="00AA5D77">
      <w:pPr>
        <w:jc w:val="center"/>
      </w:pPr>
      <w:r w:rsidRPr="006C40C1">
        <w:rPr>
          <w:b/>
        </w:rPr>
        <w:t>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Skattereduktion skall göras vid debiteringen av slutlig skatt på grund av 2002 eller 2003 års taxering.</w:t>
            </w:r>
          </w:p>
        </w:tc>
        <w:tc>
          <w:tcPr>
            <w:tcW w:w="3090" w:type="dxa"/>
          </w:tcPr>
          <w:p w:rsidR="00AA5D77" w:rsidRPr="006C40C1" w:rsidRDefault="00AA5D77">
            <w:pPr>
              <w:pStyle w:val="Normaltindrag"/>
            </w:pPr>
            <w:r w:rsidRPr="006C40C1">
              <w:t>Skattereduktion skall göras vid debiteringen av slutlig skatt på grund av 2002</w:t>
            </w:r>
            <w:r w:rsidRPr="006C40C1">
              <w:rPr>
                <w:i/>
              </w:rPr>
              <w:t xml:space="preserve">, </w:t>
            </w:r>
            <w:r w:rsidRPr="006C40C1">
              <w:t xml:space="preserve">2003 eller </w:t>
            </w:r>
            <w:r w:rsidRPr="006C40C1">
              <w:rPr>
                <w:i/>
              </w:rPr>
              <w:t>2004</w:t>
            </w:r>
            <w:r w:rsidRPr="006C40C1">
              <w:t xml:space="preserve"> års tax</w:t>
            </w:r>
            <w:r w:rsidRPr="006C40C1">
              <w:t>e</w:t>
            </w:r>
            <w:r w:rsidRPr="006C40C1">
              <w:t>ring.</w:t>
            </w:r>
          </w:p>
        </w:tc>
      </w:tr>
    </w:tbl>
    <w:p w:rsidR="00AA5D77" w:rsidRPr="006C40C1" w:rsidRDefault="00AA5D77">
      <w:pPr>
        <w:pStyle w:val="Normaltindrag"/>
      </w:pPr>
    </w:p>
    <w:p w:rsidR="00AA5D77" w:rsidRPr="006C40C1" w:rsidRDefault="00AA5D77">
      <w:pPr>
        <w:jc w:val="center"/>
      </w:pPr>
      <w:r w:rsidRPr="006C40C1">
        <w:rPr>
          <w:b/>
        </w:rPr>
        <w:t>5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I underlaget för skattereduktionen ingår utgifter för en anslutning som tas i bruk under perioden den 1 januari 2001–den 31 december </w:t>
            </w:r>
            <w:r w:rsidRPr="006C40C1">
              <w:rPr>
                <w:i/>
              </w:rPr>
              <w:t>2002</w:t>
            </w:r>
            <w:r w:rsidRPr="006C40C1">
              <w:t xml:space="preserve"> och som är betalda senast vid tidpunkten för ansökan.</w:t>
            </w:r>
          </w:p>
        </w:tc>
        <w:tc>
          <w:tcPr>
            <w:tcW w:w="3090" w:type="dxa"/>
          </w:tcPr>
          <w:p w:rsidR="00AA5D77" w:rsidRPr="006C40C1" w:rsidRDefault="00AA5D77">
            <w:pPr>
              <w:pStyle w:val="Normaltindrag"/>
            </w:pPr>
            <w:r w:rsidRPr="006C40C1">
              <w:t xml:space="preserve">I underlaget för skattereduktionen ingår utgifter för en anslutning som tas i bruk under perioden den 1 januari 2001–den 31 december </w:t>
            </w:r>
            <w:r w:rsidRPr="006C40C1">
              <w:rPr>
                <w:i/>
              </w:rPr>
              <w:t>2003</w:t>
            </w:r>
            <w:r w:rsidRPr="006C40C1">
              <w:t xml:space="preserve"> och som är betalda senast vid tidpunkten för ansökan.</w:t>
            </w:r>
          </w:p>
        </w:tc>
      </w:tr>
    </w:tbl>
    <w:p w:rsidR="00AA5D77" w:rsidRPr="006C40C1" w:rsidRDefault="00AA5D77"/>
    <w:p w:rsidR="00AA5D77" w:rsidRPr="006C40C1" w:rsidRDefault="00AA5D77">
      <w:pPr>
        <w:jc w:val="center"/>
      </w:pPr>
      <w:r w:rsidRPr="006C40C1">
        <w:rPr>
          <w:b/>
        </w:rPr>
        <w:t>14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En ansökan om skattereduktion skall ha kommit in till skatte</w:t>
            </w:r>
            <w:r w:rsidRPr="006C40C1">
              <w:softHyphen/>
              <w:t xml:space="preserve">myndigheten senast den 1 mars </w:t>
            </w:r>
            <w:r w:rsidRPr="006C40C1">
              <w:rPr>
                <w:i/>
              </w:rPr>
              <w:t>2003</w:t>
            </w:r>
            <w:r w:rsidRPr="006C40C1">
              <w:t>. Om en ansökan har kommit in senast den 1 mars 2002, skall skatte</w:t>
            </w:r>
            <w:r w:rsidRPr="006C40C1">
              <w:softHyphen/>
              <w:t>reduktionen tillgodoräknas vid debi</w:t>
            </w:r>
            <w:r w:rsidRPr="006C40C1">
              <w:softHyphen/>
              <w:t>tering av slutlig skatt på grund av taxeringen samma år.</w:t>
            </w:r>
          </w:p>
        </w:tc>
        <w:tc>
          <w:tcPr>
            <w:tcW w:w="3090" w:type="dxa"/>
          </w:tcPr>
          <w:p w:rsidR="00AA5D77" w:rsidRPr="006C40C1" w:rsidRDefault="00AA5D77">
            <w:pPr>
              <w:pStyle w:val="Normaltindrag"/>
            </w:pPr>
            <w:r w:rsidRPr="006C40C1">
              <w:t>En ansökan om skattereduktion skall ha kommit in till skattemyndig</w:t>
            </w:r>
            <w:r w:rsidRPr="006C40C1">
              <w:softHyphen/>
              <w:t xml:space="preserve">heten senast den 1 mars </w:t>
            </w:r>
            <w:r w:rsidRPr="006C40C1">
              <w:rPr>
                <w:i/>
              </w:rPr>
              <w:t>2004</w:t>
            </w:r>
            <w:r w:rsidRPr="006C40C1">
              <w:t>. Om en ansökan har kommit in senast den 1 mars 2002</w:t>
            </w:r>
            <w:r w:rsidRPr="006C40C1">
              <w:rPr>
                <w:i/>
              </w:rPr>
              <w:t xml:space="preserve"> eller den 1 mars 2003</w:t>
            </w:r>
            <w:r w:rsidRPr="006C40C1">
              <w:t>, skall skattereduktionen tillgodo</w:t>
            </w:r>
            <w:r w:rsidRPr="006C40C1">
              <w:softHyphen/>
              <w:t>räknas vid debitering av slutlig skatt på grund av taxeringen samma år.</w:t>
            </w:r>
          </w:p>
        </w:tc>
      </w:tr>
    </w:tbl>
    <w:p w:rsidR="00AA5D77" w:rsidRPr="006C40C1" w:rsidRDefault="00AA5D77">
      <w:r w:rsidRPr="006C40C1">
        <w:rPr>
          <w:u w:val="single"/>
        </w:rPr>
        <w:t>                              </w:t>
      </w:r>
    </w:p>
    <w:p w:rsidR="00AA5D77" w:rsidRPr="006C40C1" w:rsidRDefault="00AA5D77">
      <w:pPr>
        <w:pStyle w:val="Normaltindrag"/>
      </w:pPr>
      <w:r w:rsidRPr="006C40C1">
        <w:t>Denna lag träder i kraft den 1 januari 2003.</w:t>
      </w:r>
    </w:p>
    <w:p w:rsidR="00AA5D77" w:rsidRPr="006C40C1" w:rsidRDefault="00AA5D77">
      <w:pPr>
        <w:pStyle w:val="Rubrik2"/>
      </w:pPr>
      <w:r w:rsidRPr="006C40C1">
        <w:br w:type="page"/>
      </w:r>
      <w:bookmarkStart w:id="1090" w:name="_Toc21512970"/>
      <w:bookmarkStart w:id="1091" w:name="_Toc21513347"/>
      <w:bookmarkStart w:id="1092" w:name="_Toc26191715"/>
      <w:r w:rsidRPr="006C40C1">
        <w:t>Förslag till lag om beräkning av viss inkomstskatt på förvärvsinkomster vid 2004 års taxering, m.m.</w:t>
      </w:r>
      <w:bookmarkEnd w:id="1090"/>
      <w:bookmarkEnd w:id="1091"/>
      <w:bookmarkEnd w:id="1092"/>
    </w:p>
    <w:p w:rsidR="00AA5D77" w:rsidRPr="006C40C1" w:rsidRDefault="00AA5D77">
      <w:pPr>
        <w:pStyle w:val="Normaltindrag"/>
      </w:pPr>
      <w:r w:rsidRPr="006C40C1">
        <w:t xml:space="preserve">Härigenom föreskrivs följande. </w:t>
      </w:r>
    </w:p>
    <w:p w:rsidR="00AA5D77" w:rsidRPr="006C40C1" w:rsidRDefault="00AA5D77">
      <w:pPr>
        <w:pStyle w:val="Normaltindrag"/>
      </w:pPr>
    </w:p>
    <w:p w:rsidR="00AA5D77" w:rsidRPr="006C40C1" w:rsidRDefault="00AA5D77">
      <w:r w:rsidRPr="006C40C1">
        <w:rPr>
          <w:b/>
        </w:rPr>
        <w:t>1 §</w:t>
      </w:r>
      <w:r w:rsidRPr="006C40C1">
        <w:t xml:space="preserve"> Vid 2004 års taxering skall för fysiska personer den del av den statliga inkomstskatten på förvärvsinkomst som enligt 65 kap. 5 § inkomstskattelagen (1999:1229) anges till ett fast belopp om 200 kronor i stället utgöra en ko</w:t>
      </w:r>
      <w:r w:rsidRPr="006C40C1">
        <w:t>m</w:t>
      </w:r>
      <w:r w:rsidRPr="006C40C1">
        <w:t>munal inkomstskatt. Vid tillämpning av lagen (1997:324) om begränsning av skatt skall denna skatt dock anses utgöra statlig inkomstskatt.</w:t>
      </w:r>
    </w:p>
    <w:p w:rsidR="00AA5D77" w:rsidRPr="006C40C1" w:rsidRDefault="00AA5D77"/>
    <w:p w:rsidR="00AA5D77" w:rsidRPr="006C40C1" w:rsidRDefault="00AA5D77">
      <w:r w:rsidRPr="006C40C1">
        <w:rPr>
          <w:b/>
        </w:rPr>
        <w:t>2 §</w:t>
      </w:r>
      <w:r w:rsidRPr="006C40C1">
        <w:t xml:space="preserve"> Av den sammanlagda inkomstskatten enligt 1 § skall 66,5 procent utgöra skatt till kommuner och 33,5 procent skatt till landsting. Därvid skall en kommun som inte ingår i ett landsting behandlas som om den även utgjorde ett landsting.</w:t>
      </w:r>
    </w:p>
    <w:p w:rsidR="00AA5D77" w:rsidRPr="006C40C1" w:rsidRDefault="00AA5D77">
      <w:pPr>
        <w:pStyle w:val="Normaltindrag"/>
      </w:pPr>
    </w:p>
    <w:p w:rsidR="00AA5D77" w:rsidRPr="006C40C1" w:rsidRDefault="00AA5D77">
      <w:r w:rsidRPr="006C40C1">
        <w:rPr>
          <w:b/>
        </w:rPr>
        <w:t>3 §</w:t>
      </w:r>
      <w:r w:rsidRPr="006C40C1">
        <w:t xml:space="preserve"> Ett totalt preliminärt belopp avseende den sammanlagda inkomstskatten skall fastställas av regeringen. Fördelning skall ske till kommunerna respekt</w:t>
      </w:r>
      <w:r w:rsidRPr="006C40C1">
        <w:t>i</w:t>
      </w:r>
      <w:r w:rsidRPr="006C40C1">
        <w:t>ve landstingen med ett enhetligt belopp per invånare den 1 november 2002. Utbetalning skall under 2003 göras av skattemyndigheten med en tolftedel per månad på sätt som närmare föreskrivs i 4 § fjärde stycket lagen (1965:269) med särskilda bestämmelser om kommuns och annan menighets utdebitering av skatt, m.m.</w:t>
      </w:r>
    </w:p>
    <w:p w:rsidR="00AA5D77" w:rsidRPr="006C40C1" w:rsidRDefault="00AA5D77">
      <w:pPr>
        <w:pStyle w:val="Normaltindrag"/>
      </w:pPr>
    </w:p>
    <w:p w:rsidR="00AA5D77" w:rsidRPr="006C40C1" w:rsidRDefault="00AA5D77">
      <w:r w:rsidRPr="006C40C1">
        <w:rPr>
          <w:b/>
        </w:rPr>
        <w:t>4 §</w:t>
      </w:r>
      <w:r w:rsidRPr="006C40C1">
        <w:t xml:space="preserve"> En slutavräkning av inkomstskatten skall ske när den årliga taxeringen år 2004 har avslutats. Därvid skall de bestämmelser tillämpas som gäller sluta</w:t>
      </w:r>
      <w:r w:rsidRPr="006C40C1">
        <w:t>v</w:t>
      </w:r>
      <w:r w:rsidRPr="006C40C1">
        <w:softHyphen/>
        <w:t>räkning av kommunalskattemedel enligt 4 § femte stycket lagen (1965:269) med särskilda bestämmelser om kommuns och annan menighets utdebitering av skatt, m.m.</w:t>
      </w:r>
    </w:p>
    <w:p w:rsidR="00AA5D77" w:rsidRPr="006C40C1" w:rsidRDefault="00AA5D77">
      <w:pPr>
        <w:pStyle w:val="Normaltindrag"/>
      </w:pPr>
    </w:p>
    <w:p w:rsidR="00AA5D77" w:rsidRPr="006C40C1" w:rsidRDefault="00AA5D77">
      <w:r w:rsidRPr="006C40C1">
        <w:rPr>
          <w:b/>
        </w:rPr>
        <w:t>5 §</w:t>
      </w:r>
      <w:r w:rsidRPr="006C40C1">
        <w:t xml:space="preserve"> Skattemyndighetens beslut enligt 3 och 4 §§ får överklagas hos regerin</w:t>
      </w:r>
      <w:r w:rsidRPr="006C40C1">
        <w:t>g</w:t>
      </w:r>
      <w:r w:rsidRPr="006C40C1">
        <w:t>en.</w:t>
      </w:r>
    </w:p>
    <w:p w:rsidR="00AA5D77" w:rsidRPr="006C40C1" w:rsidRDefault="00AA5D77">
      <w:r w:rsidRPr="006C40C1">
        <w:rPr>
          <w:u w:val="single"/>
        </w:rPr>
        <w:t>                              </w:t>
      </w:r>
    </w:p>
    <w:p w:rsidR="00AA5D77" w:rsidRPr="006C40C1" w:rsidRDefault="00AA5D77">
      <w:pPr>
        <w:pStyle w:val="Normaltindrag"/>
      </w:pPr>
      <w:r w:rsidRPr="006C40C1">
        <w:t>Denna lag träder i kraft den 1 januari 2003.</w:t>
      </w:r>
    </w:p>
    <w:p w:rsidR="00AA5D77" w:rsidRPr="006C40C1" w:rsidRDefault="00AA5D77">
      <w:pPr>
        <w:pStyle w:val="Rubrik2"/>
      </w:pPr>
      <w:r w:rsidRPr="006C40C1">
        <w:br w:type="page"/>
      </w:r>
      <w:bookmarkStart w:id="1093" w:name="_Toc21512971"/>
      <w:bookmarkStart w:id="1094" w:name="_Toc21513348"/>
      <w:bookmarkStart w:id="1095" w:name="_Toc26191716"/>
      <w:r w:rsidRPr="006C40C1">
        <w:t>Förslag till lag om ändring i lagen (1996:1512) om dubbelbe</w:t>
      </w:r>
      <w:r w:rsidRPr="006C40C1">
        <w:softHyphen/>
        <w:t>skatt</w:t>
      </w:r>
      <w:r w:rsidRPr="006C40C1">
        <w:softHyphen/>
        <w:t>ningsavtal mellan de nordiska länderna</w:t>
      </w:r>
      <w:bookmarkEnd w:id="1093"/>
      <w:bookmarkEnd w:id="1094"/>
      <w:bookmarkEnd w:id="1095"/>
    </w:p>
    <w:p w:rsidR="00AA5D77" w:rsidRPr="006C40C1" w:rsidRDefault="00AA5D77">
      <w:pPr>
        <w:pStyle w:val="Normaltindrag"/>
      </w:pPr>
      <w:r w:rsidRPr="006C40C1">
        <w:t>Härigenom föreskrivs att punkt 4 i övergångsbestämmelserna till lagen (1996:1512) om dubbelbeskattningsavtal mellan de nordiska länderna skall ha följande lydelse.</w:t>
      </w:r>
    </w:p>
    <w:p w:rsidR="00AA5D77" w:rsidRPr="006C40C1" w:rsidRDefault="00AA5D77">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Rubrik2"/>
              <w:rPr>
                <w:sz w:val="19"/>
              </w:rPr>
            </w:pPr>
            <w:r w:rsidRPr="006C40C1">
              <w:rPr>
                <w:sz w:val="19"/>
              </w:rPr>
              <w:t>Nuvarande lydelse</w:t>
            </w:r>
          </w:p>
        </w:tc>
        <w:tc>
          <w:tcPr>
            <w:tcW w:w="3090" w:type="dxa"/>
          </w:tcPr>
          <w:p w:rsidR="00AA5D77" w:rsidRPr="006C40C1" w:rsidRDefault="00AA5D77">
            <w:pPr>
              <w:pStyle w:val="LagRubrik2"/>
              <w:rPr>
                <w:sz w:val="19"/>
              </w:rPr>
            </w:pPr>
            <w:r w:rsidRPr="006C40C1">
              <w:rPr>
                <w:sz w:val="19"/>
              </w:rPr>
              <w:t>Föreslagen lydelse</w:t>
            </w:r>
          </w:p>
        </w:tc>
      </w:tr>
    </w:tbl>
    <w:p w:rsidR="00AA5D77" w:rsidRPr="006C40C1" w:rsidRDefault="00AA5D77">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4.</w:t>
            </w:r>
            <w:r w:rsidRPr="006C40C1">
              <w:rPr>
                <w:rStyle w:val="Fotnotsreferens"/>
              </w:rPr>
              <w:footnoteReference w:id="3"/>
            </w:r>
            <w:r w:rsidRPr="006C40C1">
              <w:t xml:space="preserve"> Bestämmelsen i artikel 31 punkt 3 i avtalet skall också tillämpas vid 2002 </w:t>
            </w:r>
            <w:r w:rsidRPr="006C40C1">
              <w:rPr>
                <w:i/>
              </w:rPr>
              <w:t>och 2003</w:t>
            </w:r>
            <w:r w:rsidRPr="006C40C1">
              <w:t xml:space="preserve"> års taxeringar. Vid 1999–</w:t>
            </w:r>
            <w:r w:rsidRPr="006C40C1">
              <w:rPr>
                <w:i/>
              </w:rPr>
              <w:t xml:space="preserve">2003 </w:t>
            </w:r>
            <w:r w:rsidRPr="006C40C1">
              <w:t>års taxeringar skall artikel 26 punkt 2 i avtalet inte gälla i fall då artikel 31 punkt 3 i avtalet tillämpas.</w:t>
            </w:r>
          </w:p>
        </w:tc>
        <w:tc>
          <w:tcPr>
            <w:tcW w:w="3090" w:type="dxa"/>
          </w:tcPr>
          <w:p w:rsidR="00AA5D77" w:rsidRPr="006C40C1" w:rsidRDefault="00AA5D77">
            <w:pPr>
              <w:pStyle w:val="Normaltindrag"/>
            </w:pPr>
            <w:r w:rsidRPr="006C40C1">
              <w:t>4. Bestämmelsen i artikel 31 punkt 3 i avtalet skall också tillämpas vid 2002-</w:t>
            </w:r>
            <w:r w:rsidRPr="006C40C1">
              <w:rPr>
                <w:i/>
              </w:rPr>
              <w:t>2004</w:t>
            </w:r>
            <w:r w:rsidRPr="006C40C1">
              <w:t xml:space="preserve"> års taxeringar. Vid 1999–</w:t>
            </w:r>
            <w:r w:rsidRPr="006C40C1">
              <w:rPr>
                <w:i/>
              </w:rPr>
              <w:t>2004</w:t>
            </w:r>
            <w:r w:rsidRPr="006C40C1">
              <w:t xml:space="preserve"> års taxeringar skall art</w:t>
            </w:r>
            <w:r w:rsidRPr="006C40C1">
              <w:t>i</w:t>
            </w:r>
            <w:r w:rsidRPr="006C40C1">
              <w:t>kel 26 punkt 2 i avtalet inte gälla i fall då artikel 31 punkt 3 i avtalet tillämpas.</w:t>
            </w:r>
          </w:p>
        </w:tc>
      </w:tr>
    </w:tbl>
    <w:p w:rsidR="00AA5D77" w:rsidRPr="006C40C1" w:rsidRDefault="00AA5D77">
      <w:pPr>
        <w:pStyle w:val="Normaltindrag"/>
      </w:pPr>
      <w:r w:rsidRPr="006C40C1">
        <w:t>Vad som föreskrivs i första stycket skall, oberoende av bestämmelserna i bilaga 2 till denna lag, också gälla för inkomst som person med hemvist i Sverige uppbär för arbete ombord på danskt skepp i internationell färjetrafik mellan Sverige och Danmark om</w:t>
      </w:r>
    </w:p>
    <w:p w:rsidR="00AA5D77" w:rsidRPr="006C40C1" w:rsidRDefault="00AA5D77">
      <w:pPr>
        <w:pStyle w:val="Normaltindrag"/>
      </w:pPr>
      <w:r w:rsidRPr="006C40C1">
        <w:t>– skeppet är registrerat i det danska internationella skeppsregistret (DIS),</w:t>
      </w:r>
    </w:p>
    <w:p w:rsidR="00AA5D77" w:rsidRPr="006C40C1" w:rsidRDefault="00AA5D77">
      <w:pPr>
        <w:pStyle w:val="Normaltindrag"/>
      </w:pPr>
      <w:r w:rsidRPr="006C40C1">
        <w:t>– arbetsgivaren har hemvist i Danmark, och</w:t>
      </w:r>
    </w:p>
    <w:p w:rsidR="00AA5D77" w:rsidRPr="006C40C1" w:rsidRDefault="00AA5D77">
      <w:pPr>
        <w:pStyle w:val="Normaltindrag"/>
      </w:pPr>
      <w:r w:rsidRPr="006C40C1">
        <w:t>– personen var anställd ombord på ett danskt skepp någon gång under j</w:t>
      </w:r>
      <w:r w:rsidRPr="006C40C1">
        <w:t>a</w:t>
      </w:r>
      <w:r w:rsidRPr="006C40C1">
        <w:t>nuari månad år 2001.</w:t>
      </w:r>
    </w:p>
    <w:p w:rsidR="00AA5D77" w:rsidRPr="006C40C1" w:rsidRDefault="00AA5D77">
      <w:r w:rsidRPr="006C40C1">
        <w:rPr>
          <w:u w:val="single"/>
        </w:rPr>
        <w:t>                              </w:t>
      </w:r>
    </w:p>
    <w:p w:rsidR="00AA5D77" w:rsidRPr="006C40C1" w:rsidRDefault="00AA5D77">
      <w:pPr>
        <w:pStyle w:val="Normaltindrag"/>
      </w:pPr>
      <w:r w:rsidRPr="006C40C1">
        <w:t>Denna lag träder i kraft den 1 januari 2003.</w:t>
      </w:r>
    </w:p>
    <w:p w:rsidR="00AA5D77" w:rsidRPr="006C40C1" w:rsidRDefault="00AA5D77">
      <w:pPr>
        <w:pStyle w:val="Rubrik2"/>
      </w:pPr>
      <w:r w:rsidRPr="006C40C1">
        <w:br w:type="page"/>
      </w:r>
      <w:bookmarkStart w:id="1096" w:name="_Toc21512972"/>
      <w:bookmarkStart w:id="1097" w:name="_Toc21513349"/>
      <w:bookmarkStart w:id="1098" w:name="_Toc26191717"/>
      <w:r w:rsidRPr="006C40C1">
        <w:t>Förslag till lag om ändring i lagen (1994:1776) om skatt på energi</w:t>
      </w:r>
      <w:bookmarkEnd w:id="1096"/>
      <w:bookmarkEnd w:id="1097"/>
      <w:bookmarkEnd w:id="1098"/>
    </w:p>
    <w:p w:rsidR="00AA5D77" w:rsidRPr="006C40C1" w:rsidRDefault="00AA5D77">
      <w:pPr>
        <w:pStyle w:val="Normaltindrag"/>
      </w:pPr>
      <w:r w:rsidRPr="006C40C1">
        <w:t xml:space="preserve">Härigenom föreskrivs i fråga om lagen (1994:1776) om skatt på energi </w:t>
      </w:r>
    </w:p>
    <w:p w:rsidR="00AA5D77" w:rsidRPr="006C40C1" w:rsidRDefault="00AA5D77">
      <w:pPr>
        <w:pStyle w:val="Normaltindrag"/>
      </w:pPr>
      <w:r w:rsidRPr="006C40C1">
        <w:rPr>
          <w:i/>
        </w:rPr>
        <w:t xml:space="preserve">dels </w:t>
      </w:r>
      <w:r w:rsidRPr="006C40C1">
        <w:t>att 2 kap. 1 och 10 §§, 6 a kap. 1, 2 och 3 §§, 9 kap. 5 och 9 §§ samt 11 kap. 3, 9 och 10 §§ skall ha följande lydelse,</w:t>
      </w:r>
    </w:p>
    <w:p w:rsidR="00AA5D77" w:rsidRPr="006C40C1" w:rsidRDefault="00AA5D77">
      <w:pPr>
        <w:pStyle w:val="Normaltindrag"/>
      </w:pPr>
      <w:r w:rsidRPr="006C40C1">
        <w:rPr>
          <w:i/>
        </w:rPr>
        <w:t>dels</w:t>
      </w:r>
      <w:r w:rsidRPr="006C40C1">
        <w:t xml:space="preserve"> att punkten 2 i övergångsbestämmelserna till lagen (1997:479) om ändring i nämnda lag skall ha följande lydelse.</w:t>
      </w:r>
    </w:p>
    <w:p w:rsidR="00AA5D77" w:rsidRPr="006C40C1" w:rsidRDefault="00AA5D77">
      <w:pPr>
        <w:pStyle w:val="Normaltindrag"/>
      </w:pPr>
    </w:p>
    <w:p w:rsidR="00AA5D77" w:rsidRPr="006C40C1" w:rsidRDefault="00AA5D77">
      <w:pPr>
        <w:jc w:val="center"/>
      </w:pPr>
      <w:r w:rsidRPr="006C40C1">
        <w:rPr>
          <w:b/>
        </w:rPr>
        <w:t xml:space="preserve">2 kap. </w:t>
      </w:r>
    </w:p>
    <w:p w:rsidR="00AA5D77" w:rsidRPr="006C40C1" w:rsidRDefault="00AA5D77">
      <w:pPr>
        <w:jc w:val="center"/>
      </w:pPr>
      <w:r w:rsidRPr="006C40C1">
        <w:rPr>
          <w:b/>
        </w:rPr>
        <w:t>1 §</w:t>
      </w:r>
      <w:r w:rsidRPr="006C40C1">
        <w:rPr>
          <w:rStyle w:val="Fotnotsreferens"/>
        </w:rPr>
        <w:footnoteReference w:id="4"/>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textRubrik"/>
            </w:pPr>
            <w:r w:rsidRPr="006C40C1">
              <w:t>Nuvarande lydelse</w:t>
            </w:r>
          </w:p>
        </w:tc>
        <w:tc>
          <w:tcPr>
            <w:tcW w:w="3090" w:type="dxa"/>
          </w:tcPr>
          <w:p w:rsidR="00AA5D77" w:rsidRPr="006C40C1" w:rsidRDefault="00AA5D77">
            <w:pPr>
              <w:pStyle w:val="LagRubrik2"/>
            </w:pPr>
          </w:p>
        </w:tc>
      </w:tr>
    </w:tbl>
    <w:p w:rsidR="00AA5D77" w:rsidRPr="006C40C1" w:rsidRDefault="00AA5D77">
      <w:pPr>
        <w:pStyle w:val="Normaltindrag"/>
      </w:pPr>
      <w:r w:rsidRPr="006C40C1">
        <w:t>Energiskatt och koldioxidskatt skall, om inte annat följer av andra stycket, betalas för följande bränslen med angivna belopp:</w:t>
      </w:r>
    </w:p>
    <w:p w:rsidR="00AA5D77" w:rsidRPr="006C40C1" w:rsidRDefault="00AA5D77">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302"/>
        <w:gridCol w:w="1276"/>
        <w:gridCol w:w="1881"/>
        <w:gridCol w:w="1430"/>
        <w:gridCol w:w="1321"/>
        <w:gridCol w:w="1320"/>
      </w:tblGrid>
      <w:tr w:rsidR="00000000" w:rsidRPr="006C40C1">
        <w:tblPrEx>
          <w:tblCellMar>
            <w:top w:w="0" w:type="dxa"/>
            <w:bottom w:w="0" w:type="dxa"/>
          </w:tblCellMar>
        </w:tblPrEx>
        <w:trPr>
          <w:jc w:val="right"/>
        </w:trPr>
        <w:tc>
          <w:tcPr>
            <w:tcW w:w="302" w:type="dxa"/>
            <w:tcBorders>
              <w:top w:val="single" w:sz="6" w:space="0" w:color="auto"/>
            </w:tcBorders>
          </w:tcPr>
          <w:p w:rsidR="00AA5D77" w:rsidRPr="006C40C1" w:rsidRDefault="00AA5D77">
            <w:pPr>
              <w:spacing w:before="0" w:line="200" w:lineRule="exact"/>
              <w:rPr>
                <w:sz w:val="16"/>
              </w:rPr>
            </w:pPr>
          </w:p>
        </w:tc>
        <w:tc>
          <w:tcPr>
            <w:tcW w:w="1276" w:type="dxa"/>
            <w:tcBorders>
              <w:top w:val="single" w:sz="6" w:space="0" w:color="auto"/>
            </w:tcBorders>
          </w:tcPr>
          <w:p w:rsidR="00AA5D77" w:rsidRPr="006C40C1" w:rsidRDefault="00AA5D77">
            <w:pPr>
              <w:spacing w:before="0" w:line="200" w:lineRule="exact"/>
              <w:rPr>
                <w:sz w:val="16"/>
              </w:rPr>
            </w:pPr>
            <w:r w:rsidRPr="006C40C1">
              <w:rPr>
                <w:sz w:val="16"/>
              </w:rPr>
              <w:t>KN-nr</w:t>
            </w:r>
          </w:p>
        </w:tc>
        <w:tc>
          <w:tcPr>
            <w:tcW w:w="1881" w:type="dxa"/>
            <w:tcBorders>
              <w:top w:val="single" w:sz="6" w:space="0" w:color="auto"/>
            </w:tcBorders>
          </w:tcPr>
          <w:p w:rsidR="00AA5D77" w:rsidRPr="006C40C1" w:rsidRDefault="00AA5D77">
            <w:pPr>
              <w:spacing w:before="0" w:line="200" w:lineRule="exact"/>
              <w:rPr>
                <w:sz w:val="16"/>
              </w:rPr>
            </w:pPr>
            <w:r w:rsidRPr="006C40C1">
              <w:rPr>
                <w:sz w:val="16"/>
              </w:rPr>
              <w:t>Slag av bränsle</w:t>
            </w:r>
          </w:p>
        </w:tc>
        <w:tc>
          <w:tcPr>
            <w:tcW w:w="1430" w:type="dxa"/>
            <w:tcBorders>
              <w:top w:val="single" w:sz="6" w:space="0" w:color="auto"/>
            </w:tcBorders>
          </w:tcPr>
          <w:p w:rsidR="00AA5D77" w:rsidRPr="006C40C1" w:rsidRDefault="00AA5D77">
            <w:pPr>
              <w:spacing w:before="0" w:line="200" w:lineRule="exact"/>
              <w:rPr>
                <w:sz w:val="16"/>
              </w:rPr>
            </w:pPr>
            <w:r w:rsidRPr="006C40C1">
              <w:rPr>
                <w:sz w:val="16"/>
              </w:rPr>
              <w:t>Skattebelopp</w:t>
            </w:r>
          </w:p>
        </w:tc>
        <w:tc>
          <w:tcPr>
            <w:tcW w:w="1321" w:type="dxa"/>
            <w:tcBorders>
              <w:top w:val="single" w:sz="6" w:space="0" w:color="auto"/>
            </w:tcBorders>
          </w:tcPr>
          <w:p w:rsidR="00AA5D77" w:rsidRPr="006C40C1" w:rsidRDefault="00AA5D77">
            <w:pPr>
              <w:spacing w:before="0" w:line="200" w:lineRule="exact"/>
              <w:rPr>
                <w:sz w:val="16"/>
              </w:rPr>
            </w:pPr>
          </w:p>
        </w:tc>
        <w:tc>
          <w:tcPr>
            <w:tcW w:w="1320" w:type="dxa"/>
            <w:tcBorders>
              <w:top w:val="single" w:sz="6" w:space="0" w:color="auto"/>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302" w:type="dxa"/>
            <w:tcBorders>
              <w:bottom w:val="single" w:sz="6" w:space="0" w:color="auto"/>
            </w:tcBorders>
          </w:tcPr>
          <w:p w:rsidR="00AA5D77" w:rsidRPr="006C40C1" w:rsidRDefault="00AA5D77">
            <w:pPr>
              <w:spacing w:before="0" w:line="200" w:lineRule="exact"/>
              <w:rPr>
                <w:sz w:val="16"/>
              </w:rPr>
            </w:pPr>
          </w:p>
        </w:tc>
        <w:tc>
          <w:tcPr>
            <w:tcW w:w="1276" w:type="dxa"/>
            <w:tcBorders>
              <w:bottom w:val="single" w:sz="6" w:space="0" w:color="auto"/>
            </w:tcBorders>
          </w:tcPr>
          <w:p w:rsidR="00AA5D77" w:rsidRPr="006C40C1" w:rsidRDefault="00AA5D77">
            <w:pPr>
              <w:spacing w:before="0" w:line="200" w:lineRule="exact"/>
              <w:rPr>
                <w:sz w:val="16"/>
              </w:rPr>
            </w:pPr>
          </w:p>
        </w:tc>
        <w:tc>
          <w:tcPr>
            <w:tcW w:w="1881" w:type="dxa"/>
            <w:tcBorders>
              <w:bottom w:val="single" w:sz="6" w:space="0" w:color="auto"/>
            </w:tcBorders>
          </w:tcPr>
          <w:p w:rsidR="00AA5D77" w:rsidRPr="006C40C1" w:rsidRDefault="00AA5D77">
            <w:pPr>
              <w:spacing w:before="0" w:line="200" w:lineRule="exact"/>
              <w:rPr>
                <w:sz w:val="16"/>
              </w:rPr>
            </w:pPr>
          </w:p>
        </w:tc>
        <w:tc>
          <w:tcPr>
            <w:tcW w:w="1430"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Energiskatt</w:t>
            </w:r>
          </w:p>
        </w:tc>
        <w:tc>
          <w:tcPr>
            <w:tcW w:w="1321"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Koldioxidskatt</w:t>
            </w:r>
          </w:p>
        </w:tc>
        <w:tc>
          <w:tcPr>
            <w:tcW w:w="1320"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Summa skatt</w:t>
            </w:r>
          </w:p>
        </w:tc>
      </w:tr>
      <w:tr w:rsidR="00000000" w:rsidRPr="006C40C1">
        <w:tblPrEx>
          <w:tblCellMar>
            <w:top w:w="0" w:type="dxa"/>
            <w:bottom w:w="0" w:type="dxa"/>
          </w:tblCellMar>
        </w:tblPrEx>
        <w:trPr>
          <w:jc w:val="right"/>
        </w:trPr>
        <w:tc>
          <w:tcPr>
            <w:tcW w:w="302" w:type="dxa"/>
          </w:tcPr>
          <w:p w:rsidR="00AA5D77" w:rsidRPr="006C40C1" w:rsidRDefault="00AA5D77">
            <w:pPr>
              <w:spacing w:before="0" w:line="200" w:lineRule="exact"/>
              <w:rPr>
                <w:sz w:val="16"/>
              </w:rPr>
            </w:pPr>
            <w:r w:rsidRPr="006C40C1">
              <w:rPr>
                <w:sz w:val="16"/>
              </w:rPr>
              <w:t>1.</w:t>
            </w:r>
          </w:p>
        </w:tc>
        <w:tc>
          <w:tcPr>
            <w:tcW w:w="1276" w:type="dxa"/>
          </w:tcPr>
          <w:p w:rsidR="00AA5D77" w:rsidRPr="006C40C1" w:rsidRDefault="00AA5D77">
            <w:pPr>
              <w:spacing w:before="0" w:line="200" w:lineRule="exact"/>
              <w:rPr>
                <w:sz w:val="16"/>
              </w:rPr>
            </w:pPr>
            <w:r w:rsidRPr="006C40C1">
              <w:rPr>
                <w:sz w:val="16"/>
              </w:rPr>
              <w:t>2710 00 26,</w:t>
            </w:r>
          </w:p>
          <w:p w:rsidR="00AA5D77" w:rsidRPr="006C40C1" w:rsidRDefault="00AA5D77">
            <w:pPr>
              <w:spacing w:before="0" w:line="200" w:lineRule="exact"/>
              <w:rPr>
                <w:sz w:val="16"/>
              </w:rPr>
            </w:pPr>
            <w:r w:rsidRPr="006C40C1">
              <w:rPr>
                <w:sz w:val="16"/>
              </w:rPr>
              <w:t>2710 00 27,</w:t>
            </w:r>
          </w:p>
          <w:p w:rsidR="00AA5D77" w:rsidRPr="006C40C1" w:rsidRDefault="00AA5D77">
            <w:pPr>
              <w:spacing w:before="0" w:line="200" w:lineRule="exact"/>
              <w:rPr>
                <w:sz w:val="16"/>
              </w:rPr>
            </w:pPr>
            <w:r w:rsidRPr="006C40C1">
              <w:rPr>
                <w:sz w:val="16"/>
              </w:rPr>
              <w:t>2710 00 29</w:t>
            </w:r>
          </w:p>
          <w:p w:rsidR="00AA5D77" w:rsidRPr="006C40C1" w:rsidRDefault="00AA5D77">
            <w:pPr>
              <w:spacing w:before="0" w:line="200" w:lineRule="exact"/>
              <w:rPr>
                <w:sz w:val="16"/>
              </w:rPr>
            </w:pPr>
            <w:r w:rsidRPr="006C40C1">
              <w:rPr>
                <w:sz w:val="16"/>
              </w:rPr>
              <w:t>eller</w:t>
            </w:r>
          </w:p>
          <w:p w:rsidR="00AA5D77" w:rsidRPr="006C40C1" w:rsidRDefault="00AA5D77">
            <w:pPr>
              <w:spacing w:before="0" w:line="200" w:lineRule="exact"/>
              <w:rPr>
                <w:sz w:val="16"/>
              </w:rPr>
            </w:pPr>
            <w:r w:rsidRPr="006C40C1">
              <w:rPr>
                <w:sz w:val="16"/>
              </w:rPr>
              <w:t>2710 00 32</w:t>
            </w:r>
          </w:p>
        </w:tc>
        <w:tc>
          <w:tcPr>
            <w:tcW w:w="1881" w:type="dxa"/>
          </w:tcPr>
          <w:p w:rsidR="00AA5D77" w:rsidRPr="006C40C1" w:rsidRDefault="00AA5D77">
            <w:pPr>
              <w:spacing w:before="0" w:line="200" w:lineRule="exact"/>
              <w:rPr>
                <w:sz w:val="16"/>
              </w:rPr>
            </w:pPr>
            <w:r w:rsidRPr="006C40C1">
              <w:rPr>
                <w:sz w:val="16"/>
              </w:rPr>
              <w:t>Bensin som</w:t>
            </w:r>
          </w:p>
          <w:p w:rsidR="00AA5D77" w:rsidRPr="006C40C1" w:rsidRDefault="00AA5D77">
            <w:pPr>
              <w:spacing w:before="0" w:line="200" w:lineRule="exact"/>
              <w:rPr>
                <w:sz w:val="16"/>
              </w:rPr>
            </w:pPr>
            <w:r w:rsidRPr="006C40C1">
              <w:rPr>
                <w:sz w:val="16"/>
              </w:rPr>
              <w:t>uppfyller krav för</w:t>
            </w:r>
          </w:p>
        </w:tc>
        <w:tc>
          <w:tcPr>
            <w:tcW w:w="1430" w:type="dxa"/>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a) miljöklass 1</w:t>
            </w:r>
          </w:p>
          <w:p w:rsidR="00AA5D77" w:rsidRPr="006C40C1" w:rsidRDefault="00AA5D77">
            <w:pPr>
              <w:spacing w:before="0" w:line="200" w:lineRule="exact"/>
              <w:rPr>
                <w:sz w:val="16"/>
              </w:rPr>
            </w:pPr>
            <w:r w:rsidRPr="006C40C1">
              <w:rPr>
                <w:sz w:val="16"/>
              </w:rPr>
              <w:t>– motorbensin</w:t>
            </w:r>
          </w:p>
          <w:p w:rsidR="00AA5D77" w:rsidRPr="006C40C1" w:rsidRDefault="00AA5D77">
            <w:pPr>
              <w:spacing w:before="0" w:line="200" w:lineRule="exact"/>
              <w:rPr>
                <w:sz w:val="16"/>
              </w:rPr>
            </w:pPr>
          </w:p>
        </w:tc>
        <w:tc>
          <w:tcPr>
            <w:tcW w:w="1430"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i/>
                <w:sz w:val="16"/>
              </w:rPr>
              <w:t>3</w:t>
            </w:r>
            <w:r w:rsidRPr="006C40C1">
              <w:rPr>
                <w:sz w:val="16"/>
              </w:rPr>
              <w:t xml:space="preserve"> kr</w:t>
            </w:r>
            <w:r w:rsidRPr="006C40C1">
              <w:rPr>
                <w:i/>
                <w:sz w:val="16"/>
              </w:rPr>
              <w:t xml:space="preserve"> 16</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1"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w:t>
            </w:r>
            <w:r w:rsidRPr="006C40C1">
              <w:rPr>
                <w:i/>
                <w:sz w:val="16"/>
              </w:rPr>
              <w:t xml:space="preserve"> kr 46</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0"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4 kr 62 öre</w:t>
            </w:r>
          </w:p>
          <w:p w:rsidR="00AA5D77" w:rsidRPr="006C40C1" w:rsidRDefault="00AA5D77">
            <w:pPr>
              <w:spacing w:before="0" w:line="200" w:lineRule="exact"/>
              <w:rPr>
                <w:sz w:val="16"/>
              </w:rPr>
            </w:pPr>
            <w:r w:rsidRPr="006C40C1">
              <w:rPr>
                <w:sz w:val="16"/>
              </w:rPr>
              <w:t>per liter</w:t>
            </w:r>
          </w:p>
        </w:tc>
      </w:tr>
      <w:tr w:rsidR="00000000" w:rsidRPr="006C40C1">
        <w:tblPrEx>
          <w:tblCellMar>
            <w:top w:w="0" w:type="dxa"/>
            <w:bottom w:w="0" w:type="dxa"/>
          </w:tblCellMar>
        </w:tblPrEx>
        <w:trPr>
          <w:jc w:val="right"/>
        </w:trPr>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 alkylatbensin</w:t>
            </w:r>
          </w:p>
          <w:p w:rsidR="00AA5D77" w:rsidRPr="006C40C1" w:rsidRDefault="00AA5D77">
            <w:pPr>
              <w:spacing w:before="0" w:line="200" w:lineRule="exact"/>
              <w:rPr>
                <w:sz w:val="16"/>
              </w:rPr>
            </w:pPr>
          </w:p>
        </w:tc>
        <w:tc>
          <w:tcPr>
            <w:tcW w:w="1430" w:type="dxa"/>
          </w:tcPr>
          <w:p w:rsidR="00AA5D77" w:rsidRPr="006C40C1" w:rsidRDefault="00AA5D77">
            <w:pPr>
              <w:spacing w:before="0" w:line="200" w:lineRule="exact"/>
              <w:rPr>
                <w:sz w:val="16"/>
              </w:rPr>
            </w:pPr>
            <w:r w:rsidRPr="006C40C1">
              <w:rPr>
                <w:sz w:val="16"/>
              </w:rPr>
              <w:t xml:space="preserve">1 kr </w:t>
            </w:r>
            <w:r w:rsidRPr="006C40C1">
              <w:rPr>
                <w:i/>
                <w:sz w:val="16"/>
              </w:rPr>
              <w:t>66</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1" w:type="dxa"/>
          </w:tcPr>
          <w:p w:rsidR="00AA5D77" w:rsidRPr="006C40C1" w:rsidRDefault="00AA5D77">
            <w:pPr>
              <w:spacing w:before="0" w:line="200" w:lineRule="exact"/>
              <w:rPr>
                <w:sz w:val="16"/>
              </w:rPr>
            </w:pPr>
            <w:r w:rsidRPr="006C40C1">
              <w:rPr>
                <w:sz w:val="16"/>
              </w:rPr>
              <w:t xml:space="preserve">1 kr </w:t>
            </w:r>
            <w:r w:rsidRPr="006C40C1">
              <w:rPr>
                <w:i/>
                <w:sz w:val="16"/>
              </w:rPr>
              <w:t>46</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0" w:type="dxa"/>
          </w:tcPr>
          <w:p w:rsidR="00AA5D77" w:rsidRPr="006C40C1" w:rsidRDefault="00AA5D77">
            <w:pPr>
              <w:spacing w:before="0" w:line="200" w:lineRule="exact"/>
              <w:rPr>
                <w:sz w:val="16"/>
              </w:rPr>
            </w:pPr>
            <w:r w:rsidRPr="006C40C1">
              <w:rPr>
                <w:sz w:val="16"/>
              </w:rPr>
              <w:t xml:space="preserve">3 kr </w:t>
            </w:r>
            <w:r w:rsidRPr="006C40C1">
              <w:rPr>
                <w:i/>
                <w:sz w:val="16"/>
              </w:rPr>
              <w:t>12</w:t>
            </w:r>
            <w:r w:rsidRPr="006C40C1">
              <w:rPr>
                <w:sz w:val="16"/>
              </w:rPr>
              <w:t xml:space="preserve"> öre</w:t>
            </w:r>
          </w:p>
          <w:p w:rsidR="00AA5D77" w:rsidRPr="006C40C1" w:rsidRDefault="00AA5D77">
            <w:pPr>
              <w:spacing w:before="0" w:line="200" w:lineRule="exact"/>
              <w:rPr>
                <w:sz w:val="16"/>
              </w:rPr>
            </w:pPr>
            <w:r w:rsidRPr="006C40C1">
              <w:rPr>
                <w:sz w:val="16"/>
              </w:rPr>
              <w:t>per liter</w:t>
            </w:r>
          </w:p>
        </w:tc>
      </w:tr>
      <w:tr w:rsidR="00000000" w:rsidRPr="006C40C1">
        <w:tblPrEx>
          <w:tblCellMar>
            <w:top w:w="0" w:type="dxa"/>
            <w:bottom w:w="0" w:type="dxa"/>
          </w:tblCellMar>
        </w:tblPrEx>
        <w:trPr>
          <w:jc w:val="right"/>
        </w:trPr>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b) miljöklass 2</w:t>
            </w:r>
          </w:p>
          <w:p w:rsidR="00AA5D77" w:rsidRPr="006C40C1" w:rsidRDefault="00AA5D77">
            <w:pPr>
              <w:spacing w:before="0" w:line="200" w:lineRule="exact"/>
              <w:rPr>
                <w:sz w:val="16"/>
              </w:rPr>
            </w:pPr>
          </w:p>
        </w:tc>
        <w:tc>
          <w:tcPr>
            <w:tcW w:w="1430" w:type="dxa"/>
          </w:tcPr>
          <w:p w:rsidR="00AA5D77" w:rsidRPr="006C40C1" w:rsidRDefault="00AA5D77">
            <w:pPr>
              <w:spacing w:before="0" w:line="200" w:lineRule="exact"/>
              <w:rPr>
                <w:sz w:val="16"/>
              </w:rPr>
            </w:pPr>
            <w:r w:rsidRPr="006C40C1">
              <w:rPr>
                <w:i/>
                <w:sz w:val="16"/>
              </w:rPr>
              <w:t>3</w:t>
            </w:r>
            <w:r w:rsidRPr="006C40C1">
              <w:rPr>
                <w:sz w:val="16"/>
              </w:rPr>
              <w:t xml:space="preserve"> kr </w:t>
            </w:r>
            <w:r w:rsidRPr="006C40C1">
              <w:rPr>
                <w:i/>
                <w:sz w:val="16"/>
              </w:rPr>
              <w:t>19</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1" w:type="dxa"/>
          </w:tcPr>
          <w:p w:rsidR="00AA5D77" w:rsidRPr="006C40C1" w:rsidRDefault="00AA5D77">
            <w:pPr>
              <w:spacing w:before="0" w:line="200" w:lineRule="exact"/>
              <w:rPr>
                <w:sz w:val="16"/>
              </w:rPr>
            </w:pPr>
            <w:r w:rsidRPr="006C40C1">
              <w:rPr>
                <w:sz w:val="16"/>
              </w:rPr>
              <w:t>1</w:t>
            </w:r>
            <w:r w:rsidRPr="006C40C1">
              <w:rPr>
                <w:i/>
                <w:sz w:val="16"/>
              </w:rPr>
              <w:t xml:space="preserve"> kr 46 </w:t>
            </w:r>
            <w:r w:rsidRPr="006C40C1">
              <w:rPr>
                <w:sz w:val="16"/>
              </w:rPr>
              <w:t>öre</w:t>
            </w:r>
          </w:p>
          <w:p w:rsidR="00AA5D77" w:rsidRPr="006C40C1" w:rsidRDefault="00AA5D77">
            <w:pPr>
              <w:spacing w:before="0" w:line="200" w:lineRule="exact"/>
              <w:rPr>
                <w:sz w:val="16"/>
              </w:rPr>
            </w:pPr>
            <w:r w:rsidRPr="006C40C1">
              <w:rPr>
                <w:sz w:val="16"/>
              </w:rPr>
              <w:t>per liter</w:t>
            </w:r>
          </w:p>
        </w:tc>
        <w:tc>
          <w:tcPr>
            <w:tcW w:w="1320" w:type="dxa"/>
          </w:tcPr>
          <w:p w:rsidR="00AA5D77" w:rsidRPr="006C40C1" w:rsidRDefault="00AA5D77">
            <w:pPr>
              <w:spacing w:before="0" w:line="200" w:lineRule="exact"/>
              <w:rPr>
                <w:sz w:val="16"/>
              </w:rPr>
            </w:pPr>
            <w:r w:rsidRPr="006C40C1">
              <w:rPr>
                <w:sz w:val="16"/>
              </w:rPr>
              <w:t xml:space="preserve">4 kr </w:t>
            </w:r>
            <w:r w:rsidRPr="006C40C1">
              <w:rPr>
                <w:i/>
                <w:sz w:val="16"/>
              </w:rPr>
              <w:t>65</w:t>
            </w:r>
            <w:r w:rsidRPr="006C40C1">
              <w:rPr>
                <w:sz w:val="16"/>
              </w:rPr>
              <w:t xml:space="preserve"> öre</w:t>
            </w:r>
          </w:p>
          <w:p w:rsidR="00AA5D77" w:rsidRPr="006C40C1" w:rsidRDefault="00AA5D77">
            <w:pPr>
              <w:pStyle w:val="TabellAnslag"/>
              <w:spacing w:before="0" w:after="0"/>
              <w:rPr>
                <w:rFonts w:ascii="OrigGarmnd BT" w:hAnsi="OrigGarmnd BT"/>
                <w:spacing w:val="0"/>
                <w:sz w:val="16"/>
              </w:rPr>
            </w:pPr>
            <w:r w:rsidRPr="006C40C1">
              <w:rPr>
                <w:rFonts w:ascii="OrigGarmnd BT" w:hAnsi="OrigGarmnd BT"/>
                <w:spacing w:val="0"/>
                <w:sz w:val="16"/>
              </w:rPr>
              <w:t>per liter</w:t>
            </w:r>
          </w:p>
        </w:tc>
      </w:tr>
      <w:tr w:rsidR="00000000" w:rsidRPr="006C40C1">
        <w:tblPrEx>
          <w:tblCellMar>
            <w:top w:w="0" w:type="dxa"/>
            <w:bottom w:w="0" w:type="dxa"/>
          </w:tblCellMar>
        </w:tblPrEx>
        <w:trPr>
          <w:jc w:val="right"/>
        </w:trPr>
        <w:tc>
          <w:tcPr>
            <w:tcW w:w="302" w:type="dxa"/>
          </w:tcPr>
          <w:p w:rsidR="00AA5D77" w:rsidRPr="006C40C1" w:rsidRDefault="00AA5D77">
            <w:pPr>
              <w:spacing w:before="0" w:line="200" w:lineRule="exact"/>
              <w:rPr>
                <w:sz w:val="16"/>
              </w:rPr>
            </w:pPr>
            <w:r w:rsidRPr="006C40C1">
              <w:rPr>
                <w:sz w:val="16"/>
              </w:rPr>
              <w:t>2.</w:t>
            </w:r>
          </w:p>
        </w:tc>
        <w:tc>
          <w:tcPr>
            <w:tcW w:w="1276" w:type="dxa"/>
          </w:tcPr>
          <w:p w:rsidR="00AA5D77" w:rsidRPr="006C40C1" w:rsidRDefault="00AA5D77">
            <w:pPr>
              <w:spacing w:before="0" w:line="200" w:lineRule="exact"/>
              <w:rPr>
                <w:sz w:val="16"/>
              </w:rPr>
            </w:pPr>
            <w:r w:rsidRPr="006C40C1">
              <w:rPr>
                <w:sz w:val="16"/>
              </w:rPr>
              <w:t>2710 00 26,</w:t>
            </w:r>
          </w:p>
          <w:p w:rsidR="00AA5D77" w:rsidRPr="006C40C1" w:rsidRDefault="00AA5D77">
            <w:pPr>
              <w:spacing w:before="0" w:line="200" w:lineRule="exact"/>
              <w:rPr>
                <w:sz w:val="16"/>
              </w:rPr>
            </w:pPr>
            <w:r w:rsidRPr="006C40C1">
              <w:rPr>
                <w:sz w:val="16"/>
              </w:rPr>
              <w:t>2710 00 34</w:t>
            </w:r>
          </w:p>
          <w:p w:rsidR="00AA5D77" w:rsidRPr="006C40C1" w:rsidRDefault="00AA5D77">
            <w:pPr>
              <w:spacing w:before="0" w:line="200" w:lineRule="exact"/>
              <w:rPr>
                <w:sz w:val="16"/>
              </w:rPr>
            </w:pPr>
            <w:r w:rsidRPr="006C40C1">
              <w:rPr>
                <w:sz w:val="16"/>
              </w:rPr>
              <w:t>eller</w:t>
            </w:r>
          </w:p>
          <w:p w:rsidR="00AA5D77" w:rsidRPr="006C40C1" w:rsidRDefault="00AA5D77">
            <w:pPr>
              <w:spacing w:before="0" w:line="200" w:lineRule="exact"/>
              <w:rPr>
                <w:sz w:val="16"/>
              </w:rPr>
            </w:pPr>
            <w:r w:rsidRPr="006C40C1">
              <w:rPr>
                <w:sz w:val="16"/>
              </w:rPr>
              <w:t>2710 00 36</w:t>
            </w:r>
          </w:p>
        </w:tc>
        <w:tc>
          <w:tcPr>
            <w:tcW w:w="1881" w:type="dxa"/>
          </w:tcPr>
          <w:p w:rsidR="00AA5D77" w:rsidRPr="006C40C1" w:rsidRDefault="00AA5D77">
            <w:pPr>
              <w:spacing w:before="0" w:line="200" w:lineRule="exact"/>
              <w:rPr>
                <w:sz w:val="16"/>
              </w:rPr>
            </w:pPr>
            <w:r w:rsidRPr="006C40C1">
              <w:rPr>
                <w:sz w:val="16"/>
              </w:rPr>
              <w:t>Annan bensin</w:t>
            </w:r>
          </w:p>
          <w:p w:rsidR="00AA5D77" w:rsidRPr="006C40C1" w:rsidRDefault="00AA5D77">
            <w:pPr>
              <w:spacing w:before="0" w:line="200" w:lineRule="exact"/>
              <w:rPr>
                <w:sz w:val="16"/>
              </w:rPr>
            </w:pPr>
            <w:r w:rsidRPr="006C40C1">
              <w:rPr>
                <w:sz w:val="16"/>
              </w:rPr>
              <w:t>än som avses</w:t>
            </w:r>
          </w:p>
          <w:p w:rsidR="00AA5D77" w:rsidRPr="006C40C1" w:rsidRDefault="00AA5D77">
            <w:pPr>
              <w:spacing w:before="0" w:line="200" w:lineRule="exact"/>
              <w:rPr>
                <w:sz w:val="16"/>
              </w:rPr>
            </w:pPr>
            <w:r w:rsidRPr="006C40C1">
              <w:rPr>
                <w:sz w:val="16"/>
              </w:rPr>
              <w:t>under 1</w:t>
            </w:r>
          </w:p>
        </w:tc>
        <w:tc>
          <w:tcPr>
            <w:tcW w:w="1430" w:type="dxa"/>
          </w:tcPr>
          <w:p w:rsidR="00AA5D77" w:rsidRPr="006C40C1" w:rsidRDefault="00AA5D77">
            <w:pPr>
              <w:spacing w:before="0" w:line="200" w:lineRule="exact"/>
              <w:rPr>
                <w:sz w:val="16"/>
              </w:rPr>
            </w:pPr>
            <w:r w:rsidRPr="006C40C1">
              <w:rPr>
                <w:i/>
                <w:sz w:val="16"/>
              </w:rPr>
              <w:t>3</w:t>
            </w:r>
            <w:r w:rsidRPr="006C40C1">
              <w:rPr>
                <w:sz w:val="16"/>
              </w:rPr>
              <w:t xml:space="preserve"> kr </w:t>
            </w:r>
            <w:r w:rsidRPr="006C40C1">
              <w:rPr>
                <w:i/>
                <w:sz w:val="16"/>
              </w:rPr>
              <w:t>8</w:t>
            </w:r>
            <w:r w:rsidRPr="006C40C1">
              <w:rPr>
                <w:sz w:val="16"/>
              </w:rPr>
              <w:t>4 öre</w:t>
            </w:r>
          </w:p>
          <w:p w:rsidR="00AA5D77" w:rsidRPr="006C40C1" w:rsidRDefault="00AA5D77">
            <w:pPr>
              <w:spacing w:before="0" w:line="200" w:lineRule="exact"/>
              <w:rPr>
                <w:sz w:val="16"/>
              </w:rPr>
            </w:pPr>
            <w:r w:rsidRPr="006C40C1">
              <w:rPr>
                <w:rFonts w:ascii="OrigGarmnd BT" w:hAnsi="OrigGarmnd BT"/>
                <w:sz w:val="16"/>
              </w:rPr>
              <w:t>per liter</w:t>
            </w:r>
          </w:p>
        </w:tc>
        <w:tc>
          <w:tcPr>
            <w:tcW w:w="1321" w:type="dxa"/>
          </w:tcPr>
          <w:p w:rsidR="00AA5D77" w:rsidRPr="006C40C1" w:rsidRDefault="00AA5D77">
            <w:pPr>
              <w:spacing w:before="0" w:line="200" w:lineRule="exact"/>
              <w:rPr>
                <w:sz w:val="16"/>
              </w:rPr>
            </w:pPr>
            <w:r w:rsidRPr="006C40C1">
              <w:rPr>
                <w:i/>
                <w:sz w:val="16"/>
              </w:rPr>
              <w:t>1 kr 46</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0" w:type="dxa"/>
          </w:tcPr>
          <w:p w:rsidR="00AA5D77" w:rsidRPr="006C40C1" w:rsidRDefault="00AA5D77">
            <w:pPr>
              <w:spacing w:before="0" w:line="200" w:lineRule="exact"/>
              <w:rPr>
                <w:sz w:val="16"/>
              </w:rPr>
            </w:pPr>
            <w:r w:rsidRPr="006C40C1">
              <w:rPr>
                <w:i/>
                <w:sz w:val="16"/>
              </w:rPr>
              <w:t>5</w:t>
            </w:r>
            <w:r w:rsidRPr="006C40C1">
              <w:rPr>
                <w:sz w:val="16"/>
              </w:rPr>
              <w:t xml:space="preserve"> kr </w:t>
            </w:r>
            <w:r w:rsidRPr="006C40C1">
              <w:rPr>
                <w:i/>
                <w:sz w:val="16"/>
              </w:rPr>
              <w:t>30</w:t>
            </w:r>
            <w:r w:rsidRPr="006C40C1">
              <w:rPr>
                <w:sz w:val="16"/>
              </w:rPr>
              <w:t xml:space="preserve"> öre</w:t>
            </w:r>
          </w:p>
          <w:p w:rsidR="00AA5D77" w:rsidRPr="006C40C1" w:rsidRDefault="00AA5D77">
            <w:pPr>
              <w:spacing w:before="0" w:line="200" w:lineRule="exact"/>
              <w:rPr>
                <w:sz w:val="16"/>
              </w:rPr>
            </w:pPr>
            <w:r w:rsidRPr="006C40C1">
              <w:rPr>
                <w:rFonts w:ascii="OrigGarmnd BT" w:hAnsi="OrigGarmnd BT"/>
                <w:sz w:val="16"/>
              </w:rPr>
              <w:t>per liter</w:t>
            </w:r>
          </w:p>
        </w:tc>
      </w:tr>
      <w:tr w:rsidR="00000000" w:rsidRPr="006C40C1">
        <w:tblPrEx>
          <w:tblCellMar>
            <w:top w:w="0" w:type="dxa"/>
            <w:bottom w:w="0" w:type="dxa"/>
          </w:tblCellMar>
        </w:tblPrEx>
        <w:trPr>
          <w:jc w:val="right"/>
        </w:trPr>
        <w:tc>
          <w:tcPr>
            <w:tcW w:w="302" w:type="dxa"/>
          </w:tcPr>
          <w:p w:rsidR="00AA5D77" w:rsidRPr="006C40C1" w:rsidRDefault="00AA5D77">
            <w:pPr>
              <w:spacing w:before="0" w:line="200" w:lineRule="exact"/>
              <w:rPr>
                <w:sz w:val="16"/>
              </w:rPr>
            </w:pPr>
            <w:r w:rsidRPr="006C40C1">
              <w:rPr>
                <w:sz w:val="16"/>
              </w:rPr>
              <w:t>3.</w:t>
            </w:r>
          </w:p>
        </w:tc>
        <w:tc>
          <w:tcPr>
            <w:tcW w:w="1276" w:type="dxa"/>
          </w:tcPr>
          <w:p w:rsidR="00AA5D77" w:rsidRPr="006C40C1" w:rsidRDefault="00AA5D77">
            <w:pPr>
              <w:spacing w:before="0" w:line="200" w:lineRule="exact"/>
              <w:rPr>
                <w:sz w:val="16"/>
              </w:rPr>
            </w:pPr>
            <w:r w:rsidRPr="006C40C1">
              <w:rPr>
                <w:sz w:val="16"/>
              </w:rPr>
              <w:t>2710 00 51,</w:t>
            </w:r>
          </w:p>
          <w:p w:rsidR="00AA5D77" w:rsidRPr="006C40C1" w:rsidRDefault="00AA5D77">
            <w:pPr>
              <w:spacing w:before="0" w:line="200" w:lineRule="exact"/>
              <w:rPr>
                <w:sz w:val="16"/>
              </w:rPr>
            </w:pPr>
            <w:r w:rsidRPr="006C40C1">
              <w:rPr>
                <w:sz w:val="16"/>
              </w:rPr>
              <w:t>2710 00 55,</w:t>
            </w:r>
          </w:p>
          <w:p w:rsidR="00AA5D77" w:rsidRPr="006C40C1" w:rsidRDefault="00AA5D77">
            <w:pPr>
              <w:spacing w:before="0" w:line="200" w:lineRule="exact"/>
              <w:rPr>
                <w:sz w:val="16"/>
              </w:rPr>
            </w:pPr>
            <w:r w:rsidRPr="006C40C1">
              <w:rPr>
                <w:sz w:val="16"/>
              </w:rPr>
              <w:t>2710 00 69</w:t>
            </w:r>
          </w:p>
          <w:p w:rsidR="00AA5D77" w:rsidRPr="006C40C1" w:rsidRDefault="00AA5D77">
            <w:pPr>
              <w:spacing w:before="0" w:line="200" w:lineRule="exact"/>
              <w:rPr>
                <w:sz w:val="16"/>
              </w:rPr>
            </w:pPr>
            <w:r w:rsidRPr="006C40C1">
              <w:rPr>
                <w:sz w:val="16"/>
              </w:rPr>
              <w:t>eller</w:t>
            </w:r>
          </w:p>
          <w:p w:rsidR="00AA5D77" w:rsidRPr="006C40C1" w:rsidRDefault="00AA5D77">
            <w:pPr>
              <w:spacing w:before="0" w:line="200" w:lineRule="exact"/>
              <w:rPr>
                <w:sz w:val="16"/>
              </w:rPr>
            </w:pPr>
            <w:r w:rsidRPr="006C40C1">
              <w:rPr>
                <w:sz w:val="16"/>
              </w:rPr>
              <w:t>2710 00 74–</w:t>
            </w:r>
          </w:p>
          <w:p w:rsidR="00AA5D77" w:rsidRPr="006C40C1" w:rsidRDefault="00AA5D77">
            <w:pPr>
              <w:spacing w:before="0" w:line="200" w:lineRule="exact"/>
              <w:rPr>
                <w:sz w:val="16"/>
              </w:rPr>
            </w:pPr>
            <w:r w:rsidRPr="006C40C1">
              <w:rPr>
                <w:sz w:val="16"/>
              </w:rPr>
              <w:t>2710 00 78</w:t>
            </w:r>
          </w:p>
        </w:tc>
        <w:tc>
          <w:tcPr>
            <w:tcW w:w="1881" w:type="dxa"/>
          </w:tcPr>
          <w:p w:rsidR="00AA5D77" w:rsidRPr="006C40C1" w:rsidRDefault="00AA5D77">
            <w:pPr>
              <w:spacing w:before="0" w:line="200" w:lineRule="exact"/>
              <w:rPr>
                <w:sz w:val="16"/>
              </w:rPr>
            </w:pPr>
            <w:r w:rsidRPr="006C40C1">
              <w:rPr>
                <w:sz w:val="16"/>
              </w:rPr>
              <w:t>Eldningsolja,</w:t>
            </w:r>
          </w:p>
          <w:p w:rsidR="00AA5D77" w:rsidRPr="006C40C1" w:rsidRDefault="00AA5D77">
            <w:pPr>
              <w:spacing w:before="0" w:line="200" w:lineRule="exact"/>
              <w:rPr>
                <w:sz w:val="16"/>
              </w:rPr>
            </w:pPr>
            <w:r w:rsidRPr="006C40C1">
              <w:rPr>
                <w:sz w:val="16"/>
              </w:rPr>
              <w:t>dieselbrännolja,</w:t>
            </w:r>
          </w:p>
          <w:p w:rsidR="00AA5D77" w:rsidRPr="006C40C1" w:rsidRDefault="00AA5D77">
            <w:pPr>
              <w:spacing w:before="0" w:line="200" w:lineRule="exact"/>
              <w:rPr>
                <w:sz w:val="16"/>
              </w:rPr>
            </w:pPr>
            <w:r w:rsidRPr="006C40C1">
              <w:rPr>
                <w:sz w:val="16"/>
              </w:rPr>
              <w:t>fotogen, m.m.</w:t>
            </w:r>
          </w:p>
          <w:p w:rsidR="00AA5D77" w:rsidRPr="006C40C1" w:rsidRDefault="00AA5D77">
            <w:pPr>
              <w:spacing w:before="0" w:line="200" w:lineRule="exact"/>
              <w:rPr>
                <w:sz w:val="16"/>
              </w:rPr>
            </w:pPr>
            <w:r w:rsidRPr="006C40C1">
              <w:rPr>
                <w:sz w:val="16"/>
              </w:rPr>
              <w:t>som</w:t>
            </w:r>
          </w:p>
        </w:tc>
        <w:tc>
          <w:tcPr>
            <w:tcW w:w="1430"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vertAlign w:val="superscript"/>
              </w:rPr>
            </w:pPr>
          </w:p>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a) har försetts med</w:t>
            </w:r>
          </w:p>
          <w:p w:rsidR="00AA5D77" w:rsidRPr="006C40C1" w:rsidRDefault="00AA5D77">
            <w:pPr>
              <w:spacing w:before="0" w:line="200" w:lineRule="exact"/>
              <w:rPr>
                <w:sz w:val="16"/>
              </w:rPr>
            </w:pPr>
            <w:r w:rsidRPr="006C40C1">
              <w:rPr>
                <w:sz w:val="16"/>
              </w:rPr>
              <w:t>märkämnen eller ger mindre än 85</w:t>
            </w:r>
          </w:p>
          <w:p w:rsidR="00AA5D77" w:rsidRPr="006C40C1" w:rsidRDefault="00AA5D77">
            <w:pPr>
              <w:spacing w:before="0" w:line="200" w:lineRule="exact"/>
              <w:rPr>
                <w:sz w:val="16"/>
              </w:rPr>
            </w:pPr>
            <w:r w:rsidRPr="006C40C1">
              <w:rPr>
                <w:sz w:val="16"/>
              </w:rPr>
              <w:t>volymprocent destillat</w:t>
            </w:r>
          </w:p>
          <w:p w:rsidR="00AA5D77" w:rsidRPr="006C40C1" w:rsidRDefault="00AA5D77">
            <w:pPr>
              <w:spacing w:before="0" w:line="200" w:lineRule="exact"/>
              <w:rPr>
                <w:sz w:val="16"/>
              </w:rPr>
            </w:pPr>
            <w:r w:rsidRPr="006C40C1">
              <w:rPr>
                <w:sz w:val="16"/>
              </w:rPr>
              <w:t>vid 350</w:t>
            </w:r>
            <w:r w:rsidRPr="006C40C1">
              <w:rPr>
                <w:sz w:val="16"/>
                <w:vertAlign w:val="superscript"/>
              </w:rPr>
              <w:t>o</w:t>
            </w:r>
            <w:r w:rsidRPr="006C40C1">
              <w:rPr>
                <w:sz w:val="16"/>
              </w:rPr>
              <w:t>C,</w:t>
            </w:r>
          </w:p>
        </w:tc>
        <w:tc>
          <w:tcPr>
            <w:tcW w:w="1430" w:type="dxa"/>
          </w:tcPr>
          <w:p w:rsidR="00AA5D77" w:rsidRPr="006C40C1" w:rsidRDefault="00AA5D77">
            <w:pPr>
              <w:spacing w:before="0" w:line="200" w:lineRule="exact"/>
              <w:rPr>
                <w:sz w:val="16"/>
              </w:rPr>
            </w:pPr>
            <w:r w:rsidRPr="006C40C1">
              <w:rPr>
                <w:i/>
                <w:sz w:val="16"/>
              </w:rPr>
              <w:t>707</w:t>
            </w:r>
            <w:r w:rsidRPr="006C40C1">
              <w:rPr>
                <w:sz w:val="16"/>
              </w:rPr>
              <w:t xml:space="preserve"> kr per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 xml:space="preserve">1 798 </w:t>
            </w:r>
            <w:r w:rsidRPr="006C40C1">
              <w:rPr>
                <w:sz w:val="16"/>
              </w:rPr>
              <w:t>kr per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2 505</w:t>
            </w:r>
            <w:r w:rsidRPr="006C40C1">
              <w:rPr>
                <w:sz w:val="16"/>
              </w:rPr>
              <w:t xml:space="preserve"> kr per m</w:t>
            </w:r>
            <w:r w:rsidRPr="006C40C1">
              <w:rPr>
                <w:sz w:val="16"/>
                <w:vertAlign w:val="superscript"/>
              </w:rPr>
              <w:t>3</w:t>
            </w:r>
          </w:p>
        </w:tc>
      </w:tr>
      <w:tr w:rsidR="00000000" w:rsidRPr="006C40C1">
        <w:tblPrEx>
          <w:tblCellMar>
            <w:top w:w="0" w:type="dxa"/>
            <w:bottom w:w="0" w:type="dxa"/>
          </w:tblCellMar>
        </w:tblPrEx>
        <w:trPr>
          <w:jc w:val="right"/>
        </w:trPr>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b) inte har försetts med</w:t>
            </w:r>
          </w:p>
          <w:p w:rsidR="00AA5D77" w:rsidRPr="006C40C1" w:rsidRDefault="00AA5D77">
            <w:pPr>
              <w:spacing w:before="0" w:line="200" w:lineRule="exact"/>
              <w:rPr>
                <w:sz w:val="16"/>
              </w:rPr>
            </w:pPr>
            <w:r w:rsidRPr="006C40C1">
              <w:rPr>
                <w:sz w:val="16"/>
              </w:rPr>
              <w:t>märkämnen och ger</w:t>
            </w:r>
          </w:p>
          <w:p w:rsidR="00AA5D77" w:rsidRPr="006C40C1" w:rsidRDefault="00AA5D77">
            <w:pPr>
              <w:spacing w:before="0" w:line="200" w:lineRule="exact"/>
              <w:rPr>
                <w:sz w:val="16"/>
              </w:rPr>
            </w:pPr>
            <w:r w:rsidRPr="006C40C1">
              <w:rPr>
                <w:sz w:val="16"/>
              </w:rPr>
              <w:t>minst 85 volymprocent</w:t>
            </w:r>
          </w:p>
          <w:p w:rsidR="00AA5D77" w:rsidRPr="006C40C1" w:rsidRDefault="00AA5D77">
            <w:pPr>
              <w:spacing w:before="0" w:line="200" w:lineRule="exact"/>
              <w:rPr>
                <w:sz w:val="16"/>
              </w:rPr>
            </w:pPr>
            <w:r w:rsidRPr="006C40C1">
              <w:rPr>
                <w:sz w:val="16"/>
              </w:rPr>
              <w:t>destillat vid 350</w:t>
            </w:r>
            <w:r w:rsidRPr="006C40C1">
              <w:rPr>
                <w:sz w:val="16"/>
                <w:vertAlign w:val="superscript"/>
              </w:rPr>
              <w:t>o</w:t>
            </w:r>
            <w:r w:rsidRPr="006C40C1">
              <w:rPr>
                <w:sz w:val="16"/>
              </w:rPr>
              <w:t>C,</w:t>
            </w:r>
          </w:p>
          <w:p w:rsidR="00AA5D77" w:rsidRPr="006C40C1" w:rsidRDefault="00AA5D77">
            <w:pPr>
              <w:spacing w:before="0" w:line="200" w:lineRule="exact"/>
              <w:rPr>
                <w:sz w:val="16"/>
              </w:rPr>
            </w:pPr>
            <w:r w:rsidRPr="006C40C1">
              <w:rPr>
                <w:sz w:val="16"/>
              </w:rPr>
              <w:t>tillhörig</w:t>
            </w:r>
          </w:p>
        </w:tc>
        <w:tc>
          <w:tcPr>
            <w:tcW w:w="1430" w:type="dxa"/>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tc>
      </w:tr>
    </w:tbl>
    <w:p w:rsidR="00AA5D77" w:rsidRPr="006C40C1" w:rsidRDefault="00AA5D77"/>
    <w:tbl>
      <w:tblPr>
        <w:tblW w:w="0" w:type="auto"/>
        <w:tblInd w:w="-18" w:type="dxa"/>
        <w:tblLayout w:type="fixed"/>
        <w:tblCellMar>
          <w:left w:w="70" w:type="dxa"/>
          <w:right w:w="70" w:type="dxa"/>
        </w:tblCellMar>
        <w:tblLook w:val="0000" w:firstRow="0" w:lastRow="0" w:firstColumn="0" w:lastColumn="0" w:noHBand="0" w:noVBand="0"/>
      </w:tblPr>
      <w:tblGrid>
        <w:gridCol w:w="302"/>
        <w:gridCol w:w="1276"/>
        <w:gridCol w:w="1881"/>
        <w:gridCol w:w="1253"/>
        <w:gridCol w:w="1321"/>
        <w:gridCol w:w="1320"/>
      </w:tblGrid>
      <w:tr w:rsidR="00000000" w:rsidRPr="006C40C1">
        <w:tblPrEx>
          <w:tblCellMar>
            <w:top w:w="0" w:type="dxa"/>
            <w:bottom w:w="0" w:type="dxa"/>
          </w:tblCellMar>
        </w:tblPrEx>
        <w:trPr>
          <w:tblHeader/>
        </w:trPr>
        <w:tc>
          <w:tcPr>
            <w:tcW w:w="302" w:type="dxa"/>
            <w:tcBorders>
              <w:top w:val="single" w:sz="6" w:space="0" w:color="auto"/>
            </w:tcBorders>
          </w:tcPr>
          <w:p w:rsidR="00AA5D77" w:rsidRPr="006C40C1" w:rsidRDefault="00AA5D77">
            <w:pPr>
              <w:spacing w:before="0" w:line="200" w:lineRule="exact"/>
              <w:rPr>
                <w:sz w:val="16"/>
              </w:rPr>
            </w:pPr>
          </w:p>
        </w:tc>
        <w:tc>
          <w:tcPr>
            <w:tcW w:w="1276" w:type="dxa"/>
            <w:tcBorders>
              <w:top w:val="single" w:sz="6" w:space="0" w:color="auto"/>
            </w:tcBorders>
          </w:tcPr>
          <w:p w:rsidR="00AA5D77" w:rsidRPr="006C40C1" w:rsidRDefault="00AA5D77">
            <w:pPr>
              <w:spacing w:before="0" w:line="200" w:lineRule="exact"/>
              <w:rPr>
                <w:sz w:val="16"/>
              </w:rPr>
            </w:pPr>
            <w:r w:rsidRPr="006C40C1">
              <w:rPr>
                <w:sz w:val="16"/>
              </w:rPr>
              <w:t>KN-nr</w:t>
            </w:r>
          </w:p>
        </w:tc>
        <w:tc>
          <w:tcPr>
            <w:tcW w:w="1881" w:type="dxa"/>
            <w:tcBorders>
              <w:top w:val="single" w:sz="6" w:space="0" w:color="auto"/>
            </w:tcBorders>
          </w:tcPr>
          <w:p w:rsidR="00AA5D77" w:rsidRPr="006C40C1" w:rsidRDefault="00AA5D77">
            <w:pPr>
              <w:spacing w:before="0" w:line="200" w:lineRule="exact"/>
              <w:rPr>
                <w:sz w:val="16"/>
              </w:rPr>
            </w:pPr>
            <w:r w:rsidRPr="006C40C1">
              <w:rPr>
                <w:sz w:val="16"/>
              </w:rPr>
              <w:t>Slag av bränsle</w:t>
            </w:r>
          </w:p>
        </w:tc>
        <w:tc>
          <w:tcPr>
            <w:tcW w:w="1253" w:type="dxa"/>
            <w:tcBorders>
              <w:top w:val="single" w:sz="6" w:space="0" w:color="auto"/>
            </w:tcBorders>
          </w:tcPr>
          <w:p w:rsidR="00AA5D77" w:rsidRPr="006C40C1" w:rsidRDefault="00AA5D77">
            <w:pPr>
              <w:spacing w:before="0" w:line="200" w:lineRule="exact"/>
              <w:rPr>
                <w:sz w:val="16"/>
              </w:rPr>
            </w:pPr>
            <w:r w:rsidRPr="006C40C1">
              <w:rPr>
                <w:sz w:val="16"/>
              </w:rPr>
              <w:t>Skattebelopp</w:t>
            </w:r>
          </w:p>
        </w:tc>
        <w:tc>
          <w:tcPr>
            <w:tcW w:w="1321" w:type="dxa"/>
            <w:tcBorders>
              <w:top w:val="single" w:sz="6" w:space="0" w:color="auto"/>
            </w:tcBorders>
          </w:tcPr>
          <w:p w:rsidR="00AA5D77" w:rsidRPr="006C40C1" w:rsidRDefault="00AA5D77">
            <w:pPr>
              <w:spacing w:before="0" w:line="200" w:lineRule="exact"/>
              <w:rPr>
                <w:sz w:val="16"/>
              </w:rPr>
            </w:pPr>
          </w:p>
        </w:tc>
        <w:tc>
          <w:tcPr>
            <w:tcW w:w="1320" w:type="dxa"/>
            <w:tcBorders>
              <w:top w:val="single" w:sz="6" w:space="0" w:color="auto"/>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tblHeader/>
        </w:trPr>
        <w:tc>
          <w:tcPr>
            <w:tcW w:w="302" w:type="dxa"/>
            <w:tcBorders>
              <w:bottom w:val="single" w:sz="6" w:space="0" w:color="auto"/>
            </w:tcBorders>
          </w:tcPr>
          <w:p w:rsidR="00AA5D77" w:rsidRPr="006C40C1" w:rsidRDefault="00AA5D77">
            <w:pPr>
              <w:spacing w:before="0" w:line="200" w:lineRule="exact"/>
              <w:rPr>
                <w:sz w:val="16"/>
              </w:rPr>
            </w:pPr>
          </w:p>
        </w:tc>
        <w:tc>
          <w:tcPr>
            <w:tcW w:w="1276" w:type="dxa"/>
            <w:tcBorders>
              <w:bottom w:val="single" w:sz="6" w:space="0" w:color="auto"/>
            </w:tcBorders>
          </w:tcPr>
          <w:p w:rsidR="00AA5D77" w:rsidRPr="006C40C1" w:rsidRDefault="00AA5D77">
            <w:pPr>
              <w:spacing w:before="0" w:line="200" w:lineRule="exact"/>
              <w:rPr>
                <w:sz w:val="16"/>
              </w:rPr>
            </w:pPr>
          </w:p>
        </w:tc>
        <w:tc>
          <w:tcPr>
            <w:tcW w:w="1881" w:type="dxa"/>
            <w:tcBorders>
              <w:bottom w:val="single" w:sz="6" w:space="0" w:color="auto"/>
            </w:tcBorders>
          </w:tcPr>
          <w:p w:rsidR="00AA5D77" w:rsidRPr="006C40C1" w:rsidRDefault="00AA5D77">
            <w:pPr>
              <w:spacing w:before="0" w:line="200" w:lineRule="exact"/>
              <w:rPr>
                <w:sz w:val="16"/>
              </w:rPr>
            </w:pPr>
          </w:p>
        </w:tc>
        <w:tc>
          <w:tcPr>
            <w:tcW w:w="1253"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Energiskatt</w:t>
            </w:r>
          </w:p>
        </w:tc>
        <w:tc>
          <w:tcPr>
            <w:tcW w:w="1321"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Koldioxidskatt</w:t>
            </w:r>
          </w:p>
        </w:tc>
        <w:tc>
          <w:tcPr>
            <w:tcW w:w="1320"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Summa skatt</w:t>
            </w:r>
          </w:p>
        </w:tc>
      </w:tr>
      <w:tr w:rsidR="00000000" w:rsidRPr="006C40C1">
        <w:tblPrEx>
          <w:tblCellMar>
            <w:top w:w="0" w:type="dxa"/>
            <w:bottom w:w="0" w:type="dxa"/>
          </w:tblCellMar>
        </w:tblPrEx>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miljöklass 1</w:t>
            </w:r>
          </w:p>
        </w:tc>
        <w:tc>
          <w:tcPr>
            <w:tcW w:w="1253" w:type="dxa"/>
          </w:tcPr>
          <w:p w:rsidR="00AA5D77" w:rsidRPr="006C40C1" w:rsidRDefault="00AA5D77">
            <w:pPr>
              <w:spacing w:before="0" w:line="200" w:lineRule="exact"/>
              <w:rPr>
                <w:sz w:val="16"/>
              </w:rPr>
            </w:pPr>
            <w:r w:rsidRPr="006C40C1">
              <w:rPr>
                <w:i/>
                <w:sz w:val="16"/>
              </w:rPr>
              <w:t>1 323</w:t>
            </w:r>
            <w:r w:rsidRPr="006C40C1">
              <w:rPr>
                <w:sz w:val="16"/>
              </w:rPr>
              <w:t xml:space="preserve"> kr per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1 798</w:t>
            </w:r>
            <w:r w:rsidRPr="006C40C1">
              <w:rPr>
                <w:sz w:val="16"/>
              </w:rPr>
              <w:t xml:space="preserve"> kr per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3 121</w:t>
            </w:r>
            <w:r w:rsidRPr="006C40C1">
              <w:rPr>
                <w:sz w:val="16"/>
              </w:rPr>
              <w:t xml:space="preserve"> kr per m</w:t>
            </w:r>
            <w:r w:rsidRPr="006C40C1">
              <w:rPr>
                <w:sz w:val="16"/>
                <w:vertAlign w:val="superscript"/>
              </w:rPr>
              <w:t>3</w:t>
            </w:r>
          </w:p>
        </w:tc>
      </w:tr>
      <w:tr w:rsidR="00000000" w:rsidRPr="006C40C1">
        <w:tblPrEx>
          <w:tblCellMar>
            <w:top w:w="0" w:type="dxa"/>
            <w:bottom w:w="0" w:type="dxa"/>
          </w:tblCellMar>
        </w:tblPrEx>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miljöklass 2</w:t>
            </w:r>
          </w:p>
        </w:tc>
        <w:tc>
          <w:tcPr>
            <w:tcW w:w="1253" w:type="dxa"/>
          </w:tcPr>
          <w:p w:rsidR="00AA5D77" w:rsidRPr="006C40C1" w:rsidRDefault="00AA5D77">
            <w:pPr>
              <w:spacing w:before="0" w:line="200" w:lineRule="exact"/>
              <w:rPr>
                <w:sz w:val="16"/>
              </w:rPr>
            </w:pPr>
            <w:r w:rsidRPr="006C40C1">
              <w:rPr>
                <w:i/>
                <w:sz w:val="16"/>
              </w:rPr>
              <w:t>1 557</w:t>
            </w:r>
            <w:r w:rsidRPr="006C40C1">
              <w:rPr>
                <w:sz w:val="16"/>
              </w:rPr>
              <w:t xml:space="preserve"> kr per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1 798</w:t>
            </w:r>
            <w:r w:rsidRPr="006C40C1">
              <w:rPr>
                <w:sz w:val="16"/>
              </w:rPr>
              <w:t xml:space="preserve"> kr per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3 355</w:t>
            </w:r>
            <w:r w:rsidRPr="006C40C1">
              <w:rPr>
                <w:sz w:val="16"/>
              </w:rPr>
              <w:t xml:space="preserve"> kr per m</w:t>
            </w:r>
            <w:r w:rsidRPr="006C40C1">
              <w:rPr>
                <w:sz w:val="16"/>
                <w:vertAlign w:val="superscript"/>
              </w:rPr>
              <w:t>3</w:t>
            </w:r>
          </w:p>
        </w:tc>
      </w:tr>
      <w:tr w:rsidR="00000000" w:rsidRPr="006C40C1">
        <w:tblPrEx>
          <w:tblCellMar>
            <w:top w:w="0" w:type="dxa"/>
            <w:bottom w:w="0" w:type="dxa"/>
          </w:tblCellMar>
        </w:tblPrEx>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miljöklass 3 eller inte tillhör någon miljöklass</w:t>
            </w:r>
          </w:p>
        </w:tc>
        <w:tc>
          <w:tcPr>
            <w:tcW w:w="1253" w:type="dxa"/>
          </w:tcPr>
          <w:p w:rsidR="00AA5D77" w:rsidRPr="006C40C1" w:rsidRDefault="00AA5D77">
            <w:pPr>
              <w:spacing w:before="0" w:line="200" w:lineRule="exact"/>
              <w:rPr>
                <w:sz w:val="16"/>
              </w:rPr>
            </w:pPr>
            <w:r w:rsidRPr="006C40C1">
              <w:rPr>
                <w:i/>
                <w:sz w:val="16"/>
              </w:rPr>
              <w:t>1 865</w:t>
            </w:r>
            <w:r w:rsidRPr="006C40C1">
              <w:rPr>
                <w:sz w:val="16"/>
              </w:rPr>
              <w:t xml:space="preserve"> kr per m</w:t>
            </w:r>
            <w:r w:rsidRPr="006C40C1">
              <w:rPr>
                <w:sz w:val="16"/>
                <w:vertAlign w:val="superscript"/>
              </w:rPr>
              <w:t>3</w:t>
            </w:r>
            <w:r w:rsidRPr="006C40C1">
              <w:rPr>
                <w:sz w:val="16"/>
              </w:rPr>
              <w:t xml:space="preserve"> </w:t>
            </w:r>
          </w:p>
        </w:tc>
        <w:tc>
          <w:tcPr>
            <w:tcW w:w="1321" w:type="dxa"/>
          </w:tcPr>
          <w:p w:rsidR="00AA5D77" w:rsidRPr="006C40C1" w:rsidRDefault="00AA5D77">
            <w:pPr>
              <w:spacing w:before="0" w:line="200" w:lineRule="exact"/>
              <w:rPr>
                <w:sz w:val="16"/>
              </w:rPr>
            </w:pPr>
            <w:r w:rsidRPr="006C40C1">
              <w:rPr>
                <w:i/>
                <w:sz w:val="16"/>
              </w:rPr>
              <w:t>1 798</w:t>
            </w:r>
            <w:r w:rsidRPr="006C40C1">
              <w:rPr>
                <w:sz w:val="16"/>
              </w:rPr>
              <w:t xml:space="preserve"> kr per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3 663</w:t>
            </w:r>
            <w:r w:rsidRPr="006C40C1">
              <w:rPr>
                <w:sz w:val="16"/>
              </w:rPr>
              <w:t xml:space="preserve"> kr per m</w:t>
            </w:r>
            <w:r w:rsidRPr="006C40C1">
              <w:rPr>
                <w:sz w:val="16"/>
                <w:vertAlign w:val="superscript"/>
              </w:rPr>
              <w:t>3</w:t>
            </w:r>
          </w:p>
        </w:tc>
      </w:tr>
      <w:tr w:rsidR="00000000" w:rsidRPr="006C40C1">
        <w:tblPrEx>
          <w:tblCellMar>
            <w:top w:w="0" w:type="dxa"/>
            <w:bottom w:w="0" w:type="dxa"/>
          </w:tblCellMar>
        </w:tblPrEx>
        <w:tc>
          <w:tcPr>
            <w:tcW w:w="302" w:type="dxa"/>
          </w:tcPr>
          <w:p w:rsidR="00AA5D77" w:rsidRPr="006C40C1" w:rsidRDefault="00AA5D77">
            <w:pPr>
              <w:spacing w:before="0" w:line="200" w:lineRule="exact"/>
              <w:rPr>
                <w:sz w:val="16"/>
              </w:rPr>
            </w:pPr>
            <w:r w:rsidRPr="006C40C1">
              <w:rPr>
                <w:sz w:val="16"/>
              </w:rPr>
              <w:t>4.</w:t>
            </w:r>
          </w:p>
        </w:tc>
        <w:tc>
          <w:tcPr>
            <w:tcW w:w="1276" w:type="dxa"/>
          </w:tcPr>
          <w:p w:rsidR="00AA5D77" w:rsidRPr="006C40C1" w:rsidRDefault="00AA5D77">
            <w:pPr>
              <w:spacing w:before="0" w:line="200" w:lineRule="exact"/>
              <w:rPr>
                <w:sz w:val="16"/>
              </w:rPr>
            </w:pPr>
            <w:r w:rsidRPr="006C40C1">
              <w:rPr>
                <w:sz w:val="16"/>
              </w:rPr>
              <w:t>ur 2711 12 11–2711 19 00</w:t>
            </w:r>
          </w:p>
        </w:tc>
        <w:tc>
          <w:tcPr>
            <w:tcW w:w="1881" w:type="dxa"/>
          </w:tcPr>
          <w:p w:rsidR="00AA5D77" w:rsidRPr="006C40C1" w:rsidRDefault="00AA5D77">
            <w:pPr>
              <w:spacing w:before="0" w:line="200" w:lineRule="exact"/>
              <w:rPr>
                <w:sz w:val="16"/>
              </w:rPr>
            </w:pPr>
            <w:r w:rsidRPr="006C40C1">
              <w:rPr>
                <w:sz w:val="16"/>
              </w:rPr>
              <w:t xml:space="preserve">Gasol som används för </w:t>
            </w:r>
          </w:p>
        </w:tc>
        <w:tc>
          <w:tcPr>
            <w:tcW w:w="1253" w:type="dxa"/>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a) drift av motordrivet fordon, fartyg eller luf</w:t>
            </w:r>
            <w:r w:rsidRPr="006C40C1">
              <w:rPr>
                <w:sz w:val="16"/>
              </w:rPr>
              <w:t>t</w:t>
            </w:r>
            <w:r w:rsidRPr="006C40C1">
              <w:rPr>
                <w:sz w:val="16"/>
              </w:rPr>
              <w:t>fartyg</w:t>
            </w:r>
          </w:p>
        </w:tc>
        <w:tc>
          <w:tcPr>
            <w:tcW w:w="1253" w:type="dxa"/>
          </w:tcPr>
          <w:p w:rsidR="00AA5D77" w:rsidRPr="006C40C1" w:rsidRDefault="00AA5D77">
            <w:pPr>
              <w:spacing w:before="0" w:line="200" w:lineRule="exact"/>
              <w:rPr>
                <w:sz w:val="16"/>
              </w:rPr>
            </w:pPr>
            <w:r w:rsidRPr="006C40C1">
              <w:rPr>
                <w:sz w:val="16"/>
              </w:rPr>
              <w:t xml:space="preserve">0 kr per </w:t>
            </w:r>
          </w:p>
          <w:p w:rsidR="00AA5D77" w:rsidRPr="006C40C1" w:rsidRDefault="00AA5D77">
            <w:pPr>
              <w:spacing w:before="0" w:line="200" w:lineRule="exact"/>
              <w:rPr>
                <w:sz w:val="16"/>
              </w:rPr>
            </w:pPr>
            <w:r w:rsidRPr="006C40C1">
              <w:rPr>
                <w:sz w:val="16"/>
              </w:rPr>
              <w:t>1 000 kg</w:t>
            </w:r>
          </w:p>
        </w:tc>
        <w:tc>
          <w:tcPr>
            <w:tcW w:w="1321" w:type="dxa"/>
          </w:tcPr>
          <w:p w:rsidR="00AA5D77" w:rsidRPr="006C40C1" w:rsidRDefault="00AA5D77">
            <w:pPr>
              <w:spacing w:before="0" w:line="200" w:lineRule="exact"/>
              <w:jc w:val="left"/>
              <w:rPr>
                <w:sz w:val="16"/>
              </w:rPr>
            </w:pPr>
            <w:r w:rsidRPr="006C40C1">
              <w:rPr>
                <w:i/>
                <w:sz w:val="16"/>
              </w:rPr>
              <w:t>1 298</w:t>
            </w:r>
            <w:r w:rsidRPr="006C40C1">
              <w:rPr>
                <w:sz w:val="16"/>
              </w:rPr>
              <w:t xml:space="preserve"> kr per </w:t>
            </w:r>
            <w:r w:rsidRPr="006C40C1">
              <w:rPr>
                <w:sz w:val="16"/>
              </w:rPr>
              <w:br/>
              <w:t>1 000 kg</w:t>
            </w:r>
          </w:p>
        </w:tc>
        <w:tc>
          <w:tcPr>
            <w:tcW w:w="1320" w:type="dxa"/>
          </w:tcPr>
          <w:p w:rsidR="00AA5D77" w:rsidRPr="006C40C1" w:rsidRDefault="00AA5D77">
            <w:pPr>
              <w:spacing w:before="0" w:line="200" w:lineRule="exact"/>
              <w:jc w:val="left"/>
              <w:rPr>
                <w:sz w:val="16"/>
              </w:rPr>
            </w:pPr>
            <w:r w:rsidRPr="006C40C1">
              <w:rPr>
                <w:i/>
                <w:sz w:val="16"/>
              </w:rPr>
              <w:t xml:space="preserve">1 298 </w:t>
            </w:r>
            <w:r w:rsidRPr="006C40C1">
              <w:rPr>
                <w:sz w:val="16"/>
              </w:rPr>
              <w:t>kr per</w:t>
            </w:r>
            <w:r w:rsidRPr="006C40C1">
              <w:rPr>
                <w:sz w:val="16"/>
              </w:rPr>
              <w:br/>
              <w:t>1 000 kg</w:t>
            </w:r>
          </w:p>
        </w:tc>
      </w:tr>
      <w:tr w:rsidR="00000000" w:rsidRPr="006C40C1">
        <w:tblPrEx>
          <w:tblCellMar>
            <w:top w:w="0" w:type="dxa"/>
            <w:bottom w:w="0" w:type="dxa"/>
          </w:tblCellMar>
        </w:tblPrEx>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b) annat ändamål än som avses under a</w:t>
            </w:r>
          </w:p>
        </w:tc>
        <w:tc>
          <w:tcPr>
            <w:tcW w:w="1253" w:type="dxa"/>
          </w:tcPr>
          <w:p w:rsidR="00AA5D77" w:rsidRPr="006C40C1" w:rsidRDefault="00AA5D77">
            <w:pPr>
              <w:spacing w:before="0" w:line="200" w:lineRule="exact"/>
              <w:rPr>
                <w:sz w:val="16"/>
              </w:rPr>
            </w:pPr>
            <w:r w:rsidRPr="006C40C1">
              <w:rPr>
                <w:i/>
                <w:sz w:val="16"/>
              </w:rPr>
              <w:t>138</w:t>
            </w:r>
            <w:r w:rsidRPr="006C40C1">
              <w:rPr>
                <w:sz w:val="16"/>
              </w:rPr>
              <w:t xml:space="preserve"> kr per </w:t>
            </w:r>
          </w:p>
          <w:p w:rsidR="00AA5D77" w:rsidRPr="006C40C1" w:rsidRDefault="00AA5D77">
            <w:pPr>
              <w:spacing w:before="0" w:line="200" w:lineRule="exact"/>
              <w:rPr>
                <w:sz w:val="16"/>
              </w:rPr>
            </w:pPr>
            <w:r w:rsidRPr="006C40C1">
              <w:rPr>
                <w:sz w:val="16"/>
              </w:rPr>
              <w:t>1 000 kg</w:t>
            </w:r>
          </w:p>
        </w:tc>
        <w:tc>
          <w:tcPr>
            <w:tcW w:w="1321" w:type="dxa"/>
          </w:tcPr>
          <w:p w:rsidR="00AA5D77" w:rsidRPr="006C40C1" w:rsidRDefault="00AA5D77">
            <w:pPr>
              <w:spacing w:before="0" w:line="200" w:lineRule="exact"/>
              <w:rPr>
                <w:sz w:val="16"/>
              </w:rPr>
            </w:pPr>
            <w:r w:rsidRPr="006C40C1">
              <w:rPr>
                <w:i/>
                <w:sz w:val="16"/>
              </w:rPr>
              <w:t xml:space="preserve">1 890 </w:t>
            </w:r>
            <w:r w:rsidRPr="006C40C1">
              <w:rPr>
                <w:sz w:val="16"/>
              </w:rPr>
              <w:t xml:space="preserve">kr per </w:t>
            </w:r>
          </w:p>
          <w:p w:rsidR="00AA5D77" w:rsidRPr="006C40C1" w:rsidRDefault="00AA5D77">
            <w:pPr>
              <w:spacing w:before="0" w:line="200" w:lineRule="exact"/>
              <w:rPr>
                <w:sz w:val="16"/>
              </w:rPr>
            </w:pPr>
            <w:r w:rsidRPr="006C40C1">
              <w:rPr>
                <w:sz w:val="16"/>
              </w:rPr>
              <w:t>1 000 kg</w:t>
            </w:r>
          </w:p>
        </w:tc>
        <w:tc>
          <w:tcPr>
            <w:tcW w:w="1320" w:type="dxa"/>
          </w:tcPr>
          <w:p w:rsidR="00AA5D77" w:rsidRPr="006C40C1" w:rsidRDefault="00AA5D77">
            <w:pPr>
              <w:spacing w:before="0" w:line="200" w:lineRule="exact"/>
              <w:rPr>
                <w:sz w:val="16"/>
              </w:rPr>
            </w:pPr>
            <w:r w:rsidRPr="006C40C1">
              <w:rPr>
                <w:i/>
                <w:sz w:val="16"/>
              </w:rPr>
              <w:t>2 028</w:t>
            </w:r>
            <w:r w:rsidRPr="006C40C1">
              <w:rPr>
                <w:sz w:val="16"/>
              </w:rPr>
              <w:t xml:space="preserve"> kr per </w:t>
            </w:r>
          </w:p>
          <w:p w:rsidR="00AA5D77" w:rsidRPr="006C40C1" w:rsidRDefault="00AA5D77">
            <w:pPr>
              <w:spacing w:before="0" w:line="200" w:lineRule="exact"/>
              <w:rPr>
                <w:sz w:val="16"/>
              </w:rPr>
            </w:pPr>
            <w:r w:rsidRPr="006C40C1">
              <w:rPr>
                <w:sz w:val="16"/>
              </w:rPr>
              <w:t>1 000 kg</w:t>
            </w:r>
          </w:p>
        </w:tc>
      </w:tr>
      <w:tr w:rsidR="00000000" w:rsidRPr="006C40C1">
        <w:tblPrEx>
          <w:tblCellMar>
            <w:top w:w="0" w:type="dxa"/>
            <w:bottom w:w="0" w:type="dxa"/>
          </w:tblCellMar>
        </w:tblPrEx>
        <w:tc>
          <w:tcPr>
            <w:tcW w:w="302" w:type="dxa"/>
          </w:tcPr>
          <w:p w:rsidR="00AA5D77" w:rsidRPr="006C40C1" w:rsidRDefault="00AA5D77">
            <w:pPr>
              <w:spacing w:before="0" w:line="200" w:lineRule="exact"/>
              <w:rPr>
                <w:sz w:val="16"/>
              </w:rPr>
            </w:pPr>
            <w:r w:rsidRPr="006C40C1">
              <w:rPr>
                <w:sz w:val="16"/>
              </w:rPr>
              <w:t>5.</w:t>
            </w:r>
          </w:p>
        </w:tc>
        <w:tc>
          <w:tcPr>
            <w:tcW w:w="1276" w:type="dxa"/>
          </w:tcPr>
          <w:p w:rsidR="00AA5D77" w:rsidRPr="006C40C1" w:rsidRDefault="00AA5D77">
            <w:pPr>
              <w:spacing w:before="0" w:line="200" w:lineRule="exact"/>
              <w:rPr>
                <w:sz w:val="16"/>
              </w:rPr>
            </w:pPr>
            <w:r w:rsidRPr="006C40C1">
              <w:rPr>
                <w:sz w:val="16"/>
              </w:rPr>
              <w:t>ur 2711 29 00</w:t>
            </w:r>
          </w:p>
        </w:tc>
        <w:tc>
          <w:tcPr>
            <w:tcW w:w="1881" w:type="dxa"/>
          </w:tcPr>
          <w:p w:rsidR="00AA5D77" w:rsidRPr="006C40C1" w:rsidRDefault="00AA5D77">
            <w:pPr>
              <w:spacing w:before="0" w:line="200" w:lineRule="exact"/>
              <w:rPr>
                <w:sz w:val="16"/>
              </w:rPr>
            </w:pPr>
            <w:r w:rsidRPr="006C40C1">
              <w:rPr>
                <w:sz w:val="16"/>
              </w:rPr>
              <w:t>Metan som används för</w:t>
            </w:r>
          </w:p>
        </w:tc>
        <w:tc>
          <w:tcPr>
            <w:tcW w:w="1253" w:type="dxa"/>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a) drift av motordrivet fordon, fartyg eller luf</w:t>
            </w:r>
            <w:r w:rsidRPr="006C40C1">
              <w:rPr>
                <w:sz w:val="16"/>
              </w:rPr>
              <w:t>t</w:t>
            </w:r>
            <w:r w:rsidRPr="006C40C1">
              <w:rPr>
                <w:sz w:val="16"/>
              </w:rPr>
              <w:t>fartyg</w:t>
            </w:r>
          </w:p>
        </w:tc>
        <w:tc>
          <w:tcPr>
            <w:tcW w:w="1253" w:type="dxa"/>
          </w:tcPr>
          <w:p w:rsidR="00AA5D77" w:rsidRPr="006C40C1" w:rsidRDefault="00AA5D77">
            <w:pPr>
              <w:spacing w:before="0" w:line="200" w:lineRule="exact"/>
              <w:rPr>
                <w:sz w:val="16"/>
              </w:rPr>
            </w:pPr>
            <w:r w:rsidRPr="006C40C1">
              <w:rPr>
                <w:sz w:val="16"/>
              </w:rPr>
              <w:t xml:space="preserve">0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1 067</w:t>
            </w:r>
            <w:r w:rsidRPr="006C40C1">
              <w:rPr>
                <w:sz w:val="16"/>
              </w:rPr>
              <w:t xml:space="preserve">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1 067</w:t>
            </w:r>
            <w:r w:rsidRPr="006C40C1">
              <w:rPr>
                <w:sz w:val="16"/>
              </w:rPr>
              <w:t xml:space="preserve">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b) annat ändamål än som avses under a</w:t>
            </w:r>
          </w:p>
        </w:tc>
        <w:tc>
          <w:tcPr>
            <w:tcW w:w="1253" w:type="dxa"/>
          </w:tcPr>
          <w:p w:rsidR="00AA5D77" w:rsidRPr="006C40C1" w:rsidRDefault="00AA5D77">
            <w:pPr>
              <w:spacing w:before="0" w:line="200" w:lineRule="exact"/>
              <w:rPr>
                <w:sz w:val="16"/>
              </w:rPr>
            </w:pPr>
            <w:r w:rsidRPr="006C40C1">
              <w:rPr>
                <w:i/>
                <w:sz w:val="16"/>
              </w:rPr>
              <w:t>229</w:t>
            </w:r>
            <w:r w:rsidRPr="006C40C1">
              <w:rPr>
                <w:sz w:val="16"/>
              </w:rPr>
              <w:t xml:space="preserve">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 xml:space="preserve">1 346 </w:t>
            </w:r>
            <w:r w:rsidRPr="006C40C1">
              <w:rPr>
                <w:sz w:val="16"/>
              </w:rPr>
              <w:t xml:space="preserve">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1 575</w:t>
            </w:r>
            <w:r w:rsidRPr="006C40C1">
              <w:rPr>
                <w:sz w:val="16"/>
              </w:rPr>
              <w:t xml:space="preserve">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c>
          <w:tcPr>
            <w:tcW w:w="302" w:type="dxa"/>
          </w:tcPr>
          <w:p w:rsidR="00AA5D77" w:rsidRPr="006C40C1" w:rsidRDefault="00AA5D77">
            <w:pPr>
              <w:spacing w:before="0" w:line="200" w:lineRule="exact"/>
              <w:rPr>
                <w:sz w:val="16"/>
              </w:rPr>
            </w:pPr>
            <w:r w:rsidRPr="006C40C1">
              <w:rPr>
                <w:sz w:val="16"/>
              </w:rPr>
              <w:t>6.</w:t>
            </w:r>
          </w:p>
        </w:tc>
        <w:tc>
          <w:tcPr>
            <w:tcW w:w="1276" w:type="dxa"/>
          </w:tcPr>
          <w:p w:rsidR="00AA5D77" w:rsidRPr="006C40C1" w:rsidRDefault="00AA5D77">
            <w:pPr>
              <w:spacing w:before="0" w:line="200" w:lineRule="exact"/>
              <w:rPr>
                <w:sz w:val="16"/>
              </w:rPr>
            </w:pPr>
            <w:r w:rsidRPr="006C40C1">
              <w:rPr>
                <w:sz w:val="16"/>
              </w:rPr>
              <w:t>2711 11 00, 2711 21 00</w:t>
            </w:r>
          </w:p>
        </w:tc>
        <w:tc>
          <w:tcPr>
            <w:tcW w:w="1881" w:type="dxa"/>
          </w:tcPr>
          <w:p w:rsidR="00AA5D77" w:rsidRPr="006C40C1" w:rsidRDefault="00AA5D77">
            <w:pPr>
              <w:spacing w:before="0" w:line="200" w:lineRule="exact"/>
              <w:rPr>
                <w:rFonts w:ascii="OrigGarmnd BT" w:hAnsi="OrigGarmnd BT"/>
                <w:sz w:val="16"/>
              </w:rPr>
            </w:pPr>
            <w:r w:rsidRPr="006C40C1">
              <w:rPr>
                <w:rFonts w:ascii="OrigGarmnd BT" w:hAnsi="OrigGarmnd BT"/>
                <w:sz w:val="16"/>
              </w:rPr>
              <w:t>Naturgas som används för</w:t>
            </w:r>
          </w:p>
        </w:tc>
        <w:tc>
          <w:tcPr>
            <w:tcW w:w="1253" w:type="dxa"/>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a) drift av motordrivet fordon, fartyg eller luf</w:t>
            </w:r>
            <w:r w:rsidRPr="006C40C1">
              <w:rPr>
                <w:sz w:val="16"/>
              </w:rPr>
              <w:t>t</w:t>
            </w:r>
            <w:r w:rsidRPr="006C40C1">
              <w:rPr>
                <w:sz w:val="16"/>
              </w:rPr>
              <w:t>fartyg</w:t>
            </w:r>
          </w:p>
        </w:tc>
        <w:tc>
          <w:tcPr>
            <w:tcW w:w="1253" w:type="dxa"/>
          </w:tcPr>
          <w:p w:rsidR="00AA5D77" w:rsidRPr="006C40C1" w:rsidRDefault="00AA5D77">
            <w:pPr>
              <w:spacing w:before="0" w:line="200" w:lineRule="exact"/>
              <w:rPr>
                <w:sz w:val="16"/>
              </w:rPr>
            </w:pPr>
            <w:r w:rsidRPr="006C40C1">
              <w:rPr>
                <w:sz w:val="16"/>
              </w:rPr>
              <w:t xml:space="preserve">0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1 067</w:t>
            </w:r>
            <w:r w:rsidRPr="006C40C1">
              <w:rPr>
                <w:sz w:val="16"/>
              </w:rPr>
              <w:t xml:space="preserve">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1 067</w:t>
            </w:r>
            <w:r w:rsidRPr="006C40C1">
              <w:rPr>
                <w:sz w:val="16"/>
              </w:rPr>
              <w:t xml:space="preserve">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c>
          <w:tcPr>
            <w:tcW w:w="302"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881" w:type="dxa"/>
          </w:tcPr>
          <w:p w:rsidR="00AA5D77" w:rsidRPr="006C40C1" w:rsidRDefault="00AA5D77">
            <w:pPr>
              <w:spacing w:before="0" w:line="200" w:lineRule="exact"/>
              <w:rPr>
                <w:sz w:val="16"/>
              </w:rPr>
            </w:pPr>
            <w:r w:rsidRPr="006C40C1">
              <w:rPr>
                <w:sz w:val="16"/>
              </w:rPr>
              <w:t>b) annat ändamål än som avses under a</w:t>
            </w:r>
          </w:p>
        </w:tc>
        <w:tc>
          <w:tcPr>
            <w:tcW w:w="1253" w:type="dxa"/>
          </w:tcPr>
          <w:p w:rsidR="00AA5D77" w:rsidRPr="006C40C1" w:rsidRDefault="00AA5D77">
            <w:pPr>
              <w:spacing w:before="0" w:line="200" w:lineRule="exact"/>
              <w:rPr>
                <w:sz w:val="16"/>
              </w:rPr>
            </w:pPr>
            <w:r w:rsidRPr="006C40C1">
              <w:rPr>
                <w:i/>
                <w:sz w:val="16"/>
              </w:rPr>
              <w:t>229</w:t>
            </w:r>
            <w:r w:rsidRPr="006C40C1">
              <w:rPr>
                <w:sz w:val="16"/>
              </w:rPr>
              <w:t xml:space="preserve">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 xml:space="preserve">1 346 </w:t>
            </w:r>
            <w:r w:rsidRPr="006C40C1">
              <w:rPr>
                <w:sz w:val="16"/>
              </w:rPr>
              <w:t xml:space="preserve">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 xml:space="preserve">1 575 </w:t>
            </w:r>
            <w:r w:rsidRPr="006C40C1">
              <w:rPr>
                <w:sz w:val="16"/>
              </w:rPr>
              <w:t xml:space="preserve">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c>
          <w:tcPr>
            <w:tcW w:w="302" w:type="dxa"/>
          </w:tcPr>
          <w:p w:rsidR="00AA5D77" w:rsidRPr="006C40C1" w:rsidRDefault="00AA5D77">
            <w:pPr>
              <w:spacing w:before="0" w:line="200" w:lineRule="exact"/>
              <w:rPr>
                <w:sz w:val="16"/>
              </w:rPr>
            </w:pPr>
            <w:r w:rsidRPr="006C40C1">
              <w:rPr>
                <w:sz w:val="16"/>
              </w:rPr>
              <w:t>7.</w:t>
            </w:r>
          </w:p>
        </w:tc>
        <w:tc>
          <w:tcPr>
            <w:tcW w:w="1276" w:type="dxa"/>
          </w:tcPr>
          <w:p w:rsidR="00AA5D77" w:rsidRPr="006C40C1" w:rsidRDefault="00AA5D77">
            <w:pPr>
              <w:spacing w:before="0" w:line="200" w:lineRule="exact"/>
              <w:rPr>
                <w:sz w:val="16"/>
              </w:rPr>
            </w:pPr>
            <w:r w:rsidRPr="006C40C1">
              <w:rPr>
                <w:sz w:val="16"/>
              </w:rPr>
              <w:t>2701, 2702 eller 2704</w:t>
            </w:r>
          </w:p>
        </w:tc>
        <w:tc>
          <w:tcPr>
            <w:tcW w:w="1881" w:type="dxa"/>
          </w:tcPr>
          <w:p w:rsidR="00AA5D77" w:rsidRPr="006C40C1" w:rsidRDefault="00AA5D77">
            <w:pPr>
              <w:spacing w:before="0" w:line="200" w:lineRule="exact"/>
              <w:rPr>
                <w:sz w:val="16"/>
              </w:rPr>
            </w:pPr>
            <w:r w:rsidRPr="006C40C1">
              <w:rPr>
                <w:sz w:val="16"/>
              </w:rPr>
              <w:t>Kolbränslen</w:t>
            </w:r>
          </w:p>
        </w:tc>
        <w:tc>
          <w:tcPr>
            <w:tcW w:w="1253" w:type="dxa"/>
          </w:tcPr>
          <w:p w:rsidR="00AA5D77" w:rsidRPr="006C40C1" w:rsidRDefault="00AA5D77">
            <w:pPr>
              <w:spacing w:before="0" w:line="200" w:lineRule="exact"/>
              <w:rPr>
                <w:sz w:val="16"/>
              </w:rPr>
            </w:pPr>
            <w:r w:rsidRPr="006C40C1">
              <w:rPr>
                <w:i/>
                <w:sz w:val="16"/>
              </w:rPr>
              <w:t xml:space="preserve">301 </w:t>
            </w:r>
            <w:r w:rsidRPr="006C40C1">
              <w:rPr>
                <w:sz w:val="16"/>
              </w:rPr>
              <w:t>kr per</w:t>
            </w:r>
          </w:p>
          <w:p w:rsidR="00AA5D77" w:rsidRPr="006C40C1" w:rsidRDefault="00AA5D77">
            <w:pPr>
              <w:spacing w:before="0" w:line="200" w:lineRule="exact"/>
              <w:rPr>
                <w:sz w:val="16"/>
              </w:rPr>
            </w:pPr>
            <w:r w:rsidRPr="006C40C1">
              <w:rPr>
                <w:rFonts w:ascii="OrigGarmnd BT" w:hAnsi="OrigGarmnd BT"/>
                <w:sz w:val="16"/>
              </w:rPr>
              <w:t>1 000 kg</w:t>
            </w:r>
          </w:p>
        </w:tc>
        <w:tc>
          <w:tcPr>
            <w:tcW w:w="1321" w:type="dxa"/>
          </w:tcPr>
          <w:p w:rsidR="00AA5D77" w:rsidRPr="006C40C1" w:rsidRDefault="00AA5D77">
            <w:pPr>
              <w:spacing w:before="0" w:line="200" w:lineRule="exact"/>
              <w:rPr>
                <w:sz w:val="16"/>
              </w:rPr>
            </w:pPr>
            <w:r w:rsidRPr="006C40C1">
              <w:rPr>
                <w:i/>
                <w:sz w:val="16"/>
              </w:rPr>
              <w:t xml:space="preserve">1 564 </w:t>
            </w:r>
            <w:r w:rsidRPr="006C40C1">
              <w:rPr>
                <w:sz w:val="16"/>
              </w:rPr>
              <w:t>kr per</w:t>
            </w:r>
          </w:p>
          <w:p w:rsidR="00AA5D77" w:rsidRPr="006C40C1" w:rsidRDefault="00AA5D77">
            <w:pPr>
              <w:spacing w:before="0" w:line="200" w:lineRule="exact"/>
              <w:rPr>
                <w:sz w:val="16"/>
              </w:rPr>
            </w:pPr>
            <w:r w:rsidRPr="006C40C1">
              <w:rPr>
                <w:sz w:val="16"/>
              </w:rPr>
              <w:t>1 000 kg</w:t>
            </w:r>
          </w:p>
        </w:tc>
        <w:tc>
          <w:tcPr>
            <w:tcW w:w="1320" w:type="dxa"/>
          </w:tcPr>
          <w:p w:rsidR="00AA5D77" w:rsidRPr="006C40C1" w:rsidRDefault="00AA5D77">
            <w:pPr>
              <w:spacing w:before="0" w:line="200" w:lineRule="exact"/>
              <w:rPr>
                <w:sz w:val="16"/>
              </w:rPr>
            </w:pPr>
            <w:r w:rsidRPr="006C40C1">
              <w:rPr>
                <w:i/>
                <w:sz w:val="16"/>
              </w:rPr>
              <w:t>1 865</w:t>
            </w:r>
            <w:r w:rsidRPr="006C40C1">
              <w:rPr>
                <w:sz w:val="16"/>
              </w:rPr>
              <w:t xml:space="preserve"> kr per</w:t>
            </w:r>
          </w:p>
          <w:p w:rsidR="00AA5D77" w:rsidRPr="006C40C1" w:rsidRDefault="00AA5D77">
            <w:pPr>
              <w:spacing w:before="0" w:line="200" w:lineRule="exact"/>
              <w:rPr>
                <w:sz w:val="16"/>
              </w:rPr>
            </w:pPr>
            <w:r w:rsidRPr="006C40C1">
              <w:rPr>
                <w:sz w:val="16"/>
              </w:rPr>
              <w:t>1 000 kg</w:t>
            </w:r>
          </w:p>
        </w:tc>
      </w:tr>
      <w:tr w:rsidR="00000000" w:rsidRPr="006C40C1">
        <w:tblPrEx>
          <w:tblCellMar>
            <w:top w:w="0" w:type="dxa"/>
            <w:bottom w:w="0" w:type="dxa"/>
          </w:tblCellMar>
        </w:tblPrEx>
        <w:tc>
          <w:tcPr>
            <w:tcW w:w="302" w:type="dxa"/>
            <w:tcBorders>
              <w:bottom w:val="single" w:sz="6" w:space="0" w:color="auto"/>
            </w:tcBorders>
          </w:tcPr>
          <w:p w:rsidR="00AA5D77" w:rsidRPr="006C40C1" w:rsidRDefault="00AA5D77">
            <w:pPr>
              <w:spacing w:before="0" w:line="200" w:lineRule="exact"/>
              <w:rPr>
                <w:sz w:val="16"/>
              </w:rPr>
            </w:pPr>
            <w:r w:rsidRPr="006C40C1">
              <w:rPr>
                <w:sz w:val="16"/>
              </w:rPr>
              <w:t>8.</w:t>
            </w:r>
          </w:p>
        </w:tc>
        <w:tc>
          <w:tcPr>
            <w:tcW w:w="1276" w:type="dxa"/>
            <w:tcBorders>
              <w:bottom w:val="single" w:sz="6" w:space="0" w:color="auto"/>
            </w:tcBorders>
          </w:tcPr>
          <w:p w:rsidR="00AA5D77" w:rsidRPr="006C40C1" w:rsidRDefault="00AA5D77">
            <w:pPr>
              <w:spacing w:before="0" w:line="200" w:lineRule="exact"/>
              <w:rPr>
                <w:sz w:val="16"/>
              </w:rPr>
            </w:pPr>
            <w:r w:rsidRPr="006C40C1">
              <w:rPr>
                <w:sz w:val="16"/>
              </w:rPr>
              <w:t>2713 11 00–2713 12 00</w:t>
            </w:r>
          </w:p>
        </w:tc>
        <w:tc>
          <w:tcPr>
            <w:tcW w:w="1881" w:type="dxa"/>
            <w:tcBorders>
              <w:bottom w:val="single" w:sz="6" w:space="0" w:color="auto"/>
            </w:tcBorders>
          </w:tcPr>
          <w:p w:rsidR="00AA5D77" w:rsidRPr="006C40C1" w:rsidRDefault="00AA5D77">
            <w:pPr>
              <w:spacing w:before="0" w:line="200" w:lineRule="exact"/>
              <w:rPr>
                <w:sz w:val="16"/>
              </w:rPr>
            </w:pPr>
            <w:r w:rsidRPr="006C40C1">
              <w:rPr>
                <w:sz w:val="16"/>
              </w:rPr>
              <w:t>Petroleumkoks</w:t>
            </w:r>
          </w:p>
        </w:tc>
        <w:tc>
          <w:tcPr>
            <w:tcW w:w="1253" w:type="dxa"/>
            <w:tcBorders>
              <w:bottom w:val="single" w:sz="6" w:space="0" w:color="auto"/>
            </w:tcBorders>
          </w:tcPr>
          <w:p w:rsidR="00AA5D77" w:rsidRPr="006C40C1" w:rsidRDefault="00AA5D77">
            <w:pPr>
              <w:spacing w:before="0" w:line="200" w:lineRule="exact"/>
              <w:rPr>
                <w:sz w:val="16"/>
              </w:rPr>
            </w:pPr>
            <w:r w:rsidRPr="006C40C1">
              <w:rPr>
                <w:i/>
                <w:sz w:val="16"/>
              </w:rPr>
              <w:t>301</w:t>
            </w:r>
            <w:r w:rsidRPr="006C40C1">
              <w:rPr>
                <w:sz w:val="16"/>
              </w:rPr>
              <w:t xml:space="preserve"> kr per</w:t>
            </w:r>
          </w:p>
          <w:p w:rsidR="00AA5D77" w:rsidRPr="006C40C1" w:rsidRDefault="00AA5D77">
            <w:pPr>
              <w:spacing w:before="0" w:line="200" w:lineRule="exact"/>
              <w:rPr>
                <w:sz w:val="16"/>
              </w:rPr>
            </w:pPr>
            <w:r w:rsidRPr="006C40C1">
              <w:rPr>
                <w:sz w:val="16"/>
              </w:rPr>
              <w:t>1 000 kg</w:t>
            </w:r>
          </w:p>
        </w:tc>
        <w:tc>
          <w:tcPr>
            <w:tcW w:w="1321" w:type="dxa"/>
            <w:tcBorders>
              <w:bottom w:val="single" w:sz="6" w:space="0" w:color="auto"/>
            </w:tcBorders>
          </w:tcPr>
          <w:p w:rsidR="00AA5D77" w:rsidRPr="006C40C1" w:rsidRDefault="00AA5D77">
            <w:pPr>
              <w:spacing w:before="0" w:line="200" w:lineRule="exact"/>
              <w:rPr>
                <w:sz w:val="16"/>
              </w:rPr>
            </w:pPr>
            <w:r w:rsidRPr="006C40C1">
              <w:rPr>
                <w:i/>
                <w:sz w:val="16"/>
              </w:rPr>
              <w:t>1 564</w:t>
            </w:r>
            <w:r w:rsidRPr="006C40C1">
              <w:rPr>
                <w:sz w:val="16"/>
              </w:rPr>
              <w:t xml:space="preserve"> kr per</w:t>
            </w:r>
          </w:p>
          <w:p w:rsidR="00AA5D77" w:rsidRPr="006C40C1" w:rsidRDefault="00AA5D77">
            <w:pPr>
              <w:spacing w:before="0" w:line="200" w:lineRule="exact"/>
              <w:rPr>
                <w:sz w:val="16"/>
              </w:rPr>
            </w:pPr>
            <w:r w:rsidRPr="006C40C1">
              <w:rPr>
                <w:sz w:val="16"/>
              </w:rPr>
              <w:t>1 000 kg</w:t>
            </w:r>
          </w:p>
        </w:tc>
        <w:tc>
          <w:tcPr>
            <w:tcW w:w="1320" w:type="dxa"/>
            <w:tcBorders>
              <w:bottom w:val="single" w:sz="6" w:space="0" w:color="auto"/>
            </w:tcBorders>
          </w:tcPr>
          <w:p w:rsidR="00AA5D77" w:rsidRPr="006C40C1" w:rsidRDefault="00AA5D77">
            <w:pPr>
              <w:spacing w:before="0" w:line="200" w:lineRule="exact"/>
              <w:rPr>
                <w:sz w:val="16"/>
              </w:rPr>
            </w:pPr>
            <w:r w:rsidRPr="006C40C1">
              <w:rPr>
                <w:i/>
                <w:sz w:val="16"/>
              </w:rPr>
              <w:t>1 865</w:t>
            </w:r>
            <w:r w:rsidRPr="006C40C1">
              <w:rPr>
                <w:sz w:val="16"/>
              </w:rPr>
              <w:t xml:space="preserve"> kr per</w:t>
            </w:r>
          </w:p>
          <w:p w:rsidR="00AA5D77" w:rsidRPr="006C40C1" w:rsidRDefault="00AA5D77">
            <w:pPr>
              <w:spacing w:before="0" w:line="200" w:lineRule="exact"/>
              <w:rPr>
                <w:sz w:val="16"/>
              </w:rPr>
            </w:pPr>
            <w:r w:rsidRPr="006C40C1">
              <w:rPr>
                <w:sz w:val="16"/>
              </w:rPr>
              <w:t>1 000 kg</w:t>
            </w:r>
          </w:p>
        </w:tc>
      </w:tr>
    </w:tbl>
    <w:p w:rsidR="00AA5D77" w:rsidRPr="006C40C1" w:rsidRDefault="00AA5D77">
      <w:pPr>
        <w:pStyle w:val="Normaltindrag"/>
      </w:pPr>
    </w:p>
    <w:p w:rsidR="00AA5D77" w:rsidRPr="006C40C1" w:rsidRDefault="00AA5D77">
      <w:pPr>
        <w:pStyle w:val="Normaltindrag"/>
      </w:pPr>
      <w:r w:rsidRPr="006C40C1">
        <w:t>I fall som avses i 4 kap. 1 § 7 och 8 och 12 § första stycket 4 tas skatt ut med ett belopp som motsvarar skillnaden mellan de skattebelopp som gäller för bränslets olika användningssätt.</w:t>
      </w:r>
    </w:p>
    <w:p w:rsidR="00AA5D77" w:rsidRPr="006C40C1" w:rsidRDefault="00AA5D77">
      <w:pPr>
        <w:pStyle w:val="Normaltindrag"/>
      </w:pPr>
      <w:r w:rsidRPr="006C40C1">
        <w:t xml:space="preserve">För kalenderåret </w:t>
      </w:r>
      <w:r w:rsidRPr="006C40C1">
        <w:rPr>
          <w:i/>
        </w:rPr>
        <w:t>2003</w:t>
      </w:r>
      <w:r w:rsidRPr="006C40C1">
        <w:t xml:space="preserve"> och efterföljande kalenderår skall de i första stycket angivna skattebeloppen räknas om enligt 10 §.</w:t>
      </w:r>
    </w:p>
    <w:p w:rsidR="00AA5D77" w:rsidRPr="006C40C1" w:rsidRDefault="00AA5D77"/>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textRubrik"/>
              <w:spacing w:after="120"/>
            </w:pPr>
            <w:r w:rsidRPr="006C40C1">
              <w:t xml:space="preserve">Föreslagen lydelse </w:t>
            </w:r>
          </w:p>
        </w:tc>
        <w:tc>
          <w:tcPr>
            <w:tcW w:w="3090" w:type="dxa"/>
          </w:tcPr>
          <w:p w:rsidR="00AA5D77" w:rsidRPr="006C40C1" w:rsidRDefault="00AA5D77">
            <w:pPr>
              <w:pStyle w:val="LagRubrik2"/>
            </w:pPr>
          </w:p>
        </w:tc>
      </w:tr>
    </w:tbl>
    <w:p w:rsidR="00AA5D77" w:rsidRPr="006C40C1" w:rsidRDefault="00AA5D77">
      <w:pPr>
        <w:pStyle w:val="Normaltindrag"/>
        <w:spacing w:after="60"/>
      </w:pPr>
      <w:r w:rsidRPr="006C40C1">
        <w:t>Energiskatt och koldioxidskatt skall, om inte annat följer av andra stycket, betalas för följande bränslen med angivna belopp:</w:t>
      </w:r>
    </w:p>
    <w:tbl>
      <w:tblPr>
        <w:tblW w:w="0" w:type="auto"/>
        <w:tblInd w:w="-142" w:type="dxa"/>
        <w:tblLayout w:type="fixed"/>
        <w:tblCellMar>
          <w:left w:w="70" w:type="dxa"/>
          <w:right w:w="70" w:type="dxa"/>
        </w:tblCellMar>
        <w:tblLook w:val="0000" w:firstRow="0" w:lastRow="0" w:firstColumn="0" w:lastColumn="0" w:noHBand="0" w:noVBand="0"/>
      </w:tblPr>
      <w:tblGrid>
        <w:gridCol w:w="284"/>
        <w:gridCol w:w="1276"/>
        <w:gridCol w:w="1663"/>
        <w:gridCol w:w="1430"/>
        <w:gridCol w:w="1321"/>
        <w:gridCol w:w="1320"/>
      </w:tblGrid>
      <w:tr w:rsidR="00000000" w:rsidRPr="006C40C1">
        <w:tblPrEx>
          <w:tblCellMar>
            <w:top w:w="0" w:type="dxa"/>
            <w:bottom w:w="0" w:type="dxa"/>
          </w:tblCellMar>
        </w:tblPrEx>
        <w:tc>
          <w:tcPr>
            <w:tcW w:w="284" w:type="dxa"/>
            <w:tcBorders>
              <w:top w:val="single" w:sz="6" w:space="0" w:color="auto"/>
            </w:tcBorders>
          </w:tcPr>
          <w:p w:rsidR="00AA5D77" w:rsidRPr="006C40C1" w:rsidRDefault="00AA5D77">
            <w:pPr>
              <w:spacing w:before="0"/>
              <w:rPr>
                <w:sz w:val="16"/>
              </w:rPr>
            </w:pPr>
          </w:p>
        </w:tc>
        <w:tc>
          <w:tcPr>
            <w:tcW w:w="1276" w:type="dxa"/>
            <w:tcBorders>
              <w:top w:val="single" w:sz="6" w:space="0" w:color="auto"/>
            </w:tcBorders>
          </w:tcPr>
          <w:p w:rsidR="00AA5D77" w:rsidRPr="006C40C1" w:rsidRDefault="00AA5D77">
            <w:pPr>
              <w:spacing w:before="0"/>
              <w:rPr>
                <w:sz w:val="16"/>
              </w:rPr>
            </w:pPr>
            <w:r w:rsidRPr="006C40C1">
              <w:rPr>
                <w:sz w:val="16"/>
              </w:rPr>
              <w:t>KN-nr</w:t>
            </w:r>
          </w:p>
        </w:tc>
        <w:tc>
          <w:tcPr>
            <w:tcW w:w="1663" w:type="dxa"/>
            <w:tcBorders>
              <w:top w:val="single" w:sz="6" w:space="0" w:color="auto"/>
            </w:tcBorders>
          </w:tcPr>
          <w:p w:rsidR="00AA5D77" w:rsidRPr="006C40C1" w:rsidRDefault="00AA5D77">
            <w:pPr>
              <w:spacing w:before="0"/>
              <w:rPr>
                <w:sz w:val="16"/>
              </w:rPr>
            </w:pPr>
            <w:r w:rsidRPr="006C40C1">
              <w:rPr>
                <w:sz w:val="16"/>
              </w:rPr>
              <w:t>Slag av bränsle</w:t>
            </w:r>
          </w:p>
        </w:tc>
        <w:tc>
          <w:tcPr>
            <w:tcW w:w="1430" w:type="dxa"/>
            <w:tcBorders>
              <w:top w:val="single" w:sz="6" w:space="0" w:color="auto"/>
            </w:tcBorders>
          </w:tcPr>
          <w:p w:rsidR="00AA5D77" w:rsidRPr="006C40C1" w:rsidRDefault="00AA5D77">
            <w:pPr>
              <w:spacing w:before="0"/>
              <w:rPr>
                <w:sz w:val="16"/>
              </w:rPr>
            </w:pPr>
            <w:r w:rsidRPr="006C40C1">
              <w:rPr>
                <w:sz w:val="16"/>
              </w:rPr>
              <w:t>Skattebelopp</w:t>
            </w:r>
          </w:p>
        </w:tc>
        <w:tc>
          <w:tcPr>
            <w:tcW w:w="1321" w:type="dxa"/>
            <w:tcBorders>
              <w:top w:val="single" w:sz="6" w:space="0" w:color="auto"/>
            </w:tcBorders>
          </w:tcPr>
          <w:p w:rsidR="00AA5D77" w:rsidRPr="006C40C1" w:rsidRDefault="00AA5D77">
            <w:pPr>
              <w:spacing w:before="0"/>
              <w:rPr>
                <w:sz w:val="16"/>
              </w:rPr>
            </w:pPr>
          </w:p>
        </w:tc>
        <w:tc>
          <w:tcPr>
            <w:tcW w:w="1320" w:type="dxa"/>
            <w:tcBorders>
              <w:top w:val="single" w:sz="6" w:space="0" w:color="auto"/>
            </w:tcBorders>
          </w:tcPr>
          <w:p w:rsidR="00AA5D77" w:rsidRPr="006C40C1" w:rsidRDefault="00AA5D77">
            <w:pPr>
              <w:spacing w:before="0"/>
              <w:rPr>
                <w:sz w:val="16"/>
              </w:rPr>
            </w:pPr>
          </w:p>
        </w:tc>
      </w:tr>
      <w:tr w:rsidR="00000000" w:rsidRPr="006C40C1">
        <w:tblPrEx>
          <w:tblCellMar>
            <w:top w:w="0" w:type="dxa"/>
            <w:bottom w:w="0" w:type="dxa"/>
          </w:tblCellMar>
        </w:tblPrEx>
        <w:tc>
          <w:tcPr>
            <w:tcW w:w="284" w:type="dxa"/>
            <w:tcBorders>
              <w:bottom w:val="single" w:sz="6" w:space="0" w:color="auto"/>
            </w:tcBorders>
          </w:tcPr>
          <w:p w:rsidR="00AA5D77" w:rsidRPr="006C40C1" w:rsidRDefault="00AA5D77">
            <w:pPr>
              <w:spacing w:before="0"/>
              <w:rPr>
                <w:sz w:val="16"/>
              </w:rPr>
            </w:pPr>
          </w:p>
        </w:tc>
        <w:tc>
          <w:tcPr>
            <w:tcW w:w="1276" w:type="dxa"/>
            <w:tcBorders>
              <w:bottom w:val="single" w:sz="6" w:space="0" w:color="auto"/>
            </w:tcBorders>
          </w:tcPr>
          <w:p w:rsidR="00AA5D77" w:rsidRPr="006C40C1" w:rsidRDefault="00AA5D77">
            <w:pPr>
              <w:spacing w:before="0"/>
              <w:rPr>
                <w:sz w:val="16"/>
              </w:rPr>
            </w:pPr>
          </w:p>
        </w:tc>
        <w:tc>
          <w:tcPr>
            <w:tcW w:w="1663" w:type="dxa"/>
            <w:tcBorders>
              <w:bottom w:val="single" w:sz="6" w:space="0" w:color="auto"/>
            </w:tcBorders>
          </w:tcPr>
          <w:p w:rsidR="00AA5D77" w:rsidRPr="006C40C1" w:rsidRDefault="00AA5D77">
            <w:pPr>
              <w:spacing w:before="0"/>
              <w:rPr>
                <w:sz w:val="16"/>
              </w:rPr>
            </w:pPr>
          </w:p>
        </w:tc>
        <w:tc>
          <w:tcPr>
            <w:tcW w:w="1430" w:type="dxa"/>
            <w:tcBorders>
              <w:top w:val="single" w:sz="6" w:space="0" w:color="auto"/>
              <w:bottom w:val="single" w:sz="6" w:space="0" w:color="auto"/>
            </w:tcBorders>
          </w:tcPr>
          <w:p w:rsidR="00AA5D77" w:rsidRPr="006C40C1" w:rsidRDefault="00AA5D77">
            <w:pPr>
              <w:spacing w:before="0"/>
              <w:rPr>
                <w:sz w:val="16"/>
              </w:rPr>
            </w:pPr>
            <w:r w:rsidRPr="006C40C1">
              <w:rPr>
                <w:sz w:val="16"/>
              </w:rPr>
              <w:t>Energiskatt</w:t>
            </w:r>
          </w:p>
        </w:tc>
        <w:tc>
          <w:tcPr>
            <w:tcW w:w="1321" w:type="dxa"/>
            <w:tcBorders>
              <w:top w:val="single" w:sz="6" w:space="0" w:color="auto"/>
              <w:bottom w:val="single" w:sz="6" w:space="0" w:color="auto"/>
            </w:tcBorders>
          </w:tcPr>
          <w:p w:rsidR="00AA5D77" w:rsidRPr="006C40C1" w:rsidRDefault="00AA5D77">
            <w:pPr>
              <w:spacing w:before="0"/>
              <w:rPr>
                <w:sz w:val="16"/>
              </w:rPr>
            </w:pPr>
            <w:r w:rsidRPr="006C40C1">
              <w:rPr>
                <w:sz w:val="16"/>
              </w:rPr>
              <w:t>Koldioxidskatt</w:t>
            </w:r>
          </w:p>
        </w:tc>
        <w:tc>
          <w:tcPr>
            <w:tcW w:w="1320" w:type="dxa"/>
            <w:tcBorders>
              <w:top w:val="single" w:sz="6" w:space="0" w:color="auto"/>
              <w:bottom w:val="single" w:sz="6" w:space="0" w:color="auto"/>
            </w:tcBorders>
          </w:tcPr>
          <w:p w:rsidR="00AA5D77" w:rsidRPr="006C40C1" w:rsidRDefault="00AA5D77">
            <w:pPr>
              <w:spacing w:before="0"/>
              <w:rPr>
                <w:sz w:val="16"/>
              </w:rPr>
            </w:pPr>
            <w:r w:rsidRPr="006C40C1">
              <w:rPr>
                <w:sz w:val="16"/>
              </w:rPr>
              <w:t>Summa skatt</w:t>
            </w:r>
          </w:p>
        </w:tc>
      </w:tr>
      <w:tr w:rsidR="00000000" w:rsidRPr="006C40C1">
        <w:tblPrEx>
          <w:tblCellMar>
            <w:top w:w="0" w:type="dxa"/>
            <w:bottom w:w="0" w:type="dxa"/>
          </w:tblCellMar>
        </w:tblPrEx>
        <w:tc>
          <w:tcPr>
            <w:tcW w:w="284" w:type="dxa"/>
          </w:tcPr>
          <w:p w:rsidR="00AA5D77" w:rsidRPr="006C40C1" w:rsidRDefault="00AA5D77">
            <w:pPr>
              <w:spacing w:before="0"/>
              <w:rPr>
                <w:sz w:val="16"/>
              </w:rPr>
            </w:pPr>
            <w:r w:rsidRPr="006C40C1">
              <w:rPr>
                <w:sz w:val="16"/>
              </w:rPr>
              <w:t>1.</w:t>
            </w:r>
          </w:p>
        </w:tc>
        <w:tc>
          <w:tcPr>
            <w:tcW w:w="1276" w:type="dxa"/>
          </w:tcPr>
          <w:p w:rsidR="00AA5D77" w:rsidRPr="006C40C1" w:rsidRDefault="00AA5D77">
            <w:pPr>
              <w:spacing w:before="0"/>
              <w:rPr>
                <w:sz w:val="16"/>
              </w:rPr>
            </w:pPr>
            <w:r w:rsidRPr="006C40C1">
              <w:rPr>
                <w:sz w:val="16"/>
              </w:rPr>
              <w:t>2710 00 26,</w:t>
            </w:r>
          </w:p>
          <w:p w:rsidR="00AA5D77" w:rsidRPr="006C40C1" w:rsidRDefault="00AA5D77">
            <w:pPr>
              <w:spacing w:before="0"/>
              <w:rPr>
                <w:sz w:val="16"/>
              </w:rPr>
            </w:pPr>
            <w:r w:rsidRPr="006C40C1">
              <w:rPr>
                <w:sz w:val="16"/>
              </w:rPr>
              <w:t>2710 00 27,</w:t>
            </w:r>
          </w:p>
          <w:p w:rsidR="00AA5D77" w:rsidRPr="006C40C1" w:rsidRDefault="00AA5D77">
            <w:pPr>
              <w:spacing w:before="0"/>
              <w:rPr>
                <w:sz w:val="16"/>
              </w:rPr>
            </w:pPr>
            <w:r w:rsidRPr="006C40C1">
              <w:rPr>
                <w:sz w:val="16"/>
              </w:rPr>
              <w:t>2710 00 29</w:t>
            </w:r>
          </w:p>
          <w:p w:rsidR="00AA5D77" w:rsidRPr="006C40C1" w:rsidRDefault="00AA5D77">
            <w:pPr>
              <w:spacing w:before="0"/>
              <w:rPr>
                <w:sz w:val="16"/>
              </w:rPr>
            </w:pPr>
            <w:r w:rsidRPr="006C40C1">
              <w:rPr>
                <w:sz w:val="16"/>
              </w:rPr>
              <w:t>eller</w:t>
            </w:r>
          </w:p>
          <w:p w:rsidR="00AA5D77" w:rsidRPr="006C40C1" w:rsidRDefault="00AA5D77">
            <w:pPr>
              <w:spacing w:before="0"/>
              <w:rPr>
                <w:sz w:val="16"/>
              </w:rPr>
            </w:pPr>
            <w:r w:rsidRPr="006C40C1">
              <w:rPr>
                <w:sz w:val="16"/>
              </w:rPr>
              <w:t>2710 00 32</w:t>
            </w:r>
          </w:p>
        </w:tc>
        <w:tc>
          <w:tcPr>
            <w:tcW w:w="1663" w:type="dxa"/>
          </w:tcPr>
          <w:p w:rsidR="00AA5D77" w:rsidRPr="006C40C1" w:rsidRDefault="00AA5D77">
            <w:pPr>
              <w:spacing w:before="0"/>
              <w:rPr>
                <w:sz w:val="16"/>
              </w:rPr>
            </w:pPr>
            <w:r w:rsidRPr="006C40C1">
              <w:rPr>
                <w:sz w:val="16"/>
              </w:rPr>
              <w:t>Bensin som</w:t>
            </w:r>
          </w:p>
          <w:p w:rsidR="00AA5D77" w:rsidRPr="006C40C1" w:rsidRDefault="00AA5D77">
            <w:pPr>
              <w:spacing w:before="0"/>
              <w:rPr>
                <w:sz w:val="16"/>
              </w:rPr>
            </w:pPr>
            <w:r w:rsidRPr="006C40C1">
              <w:rPr>
                <w:sz w:val="16"/>
              </w:rPr>
              <w:t>uppfyller krav för</w:t>
            </w:r>
          </w:p>
        </w:tc>
        <w:tc>
          <w:tcPr>
            <w:tcW w:w="1430" w:type="dxa"/>
          </w:tcPr>
          <w:p w:rsidR="00AA5D77" w:rsidRPr="006C40C1" w:rsidRDefault="00AA5D77">
            <w:pPr>
              <w:spacing w:before="0"/>
              <w:rPr>
                <w:sz w:val="16"/>
              </w:rPr>
            </w:pPr>
          </w:p>
        </w:tc>
        <w:tc>
          <w:tcPr>
            <w:tcW w:w="1321" w:type="dxa"/>
          </w:tcPr>
          <w:p w:rsidR="00AA5D77" w:rsidRPr="006C40C1" w:rsidRDefault="00AA5D77">
            <w:pPr>
              <w:spacing w:before="0"/>
              <w:rPr>
                <w:sz w:val="16"/>
              </w:rPr>
            </w:pPr>
          </w:p>
        </w:tc>
        <w:tc>
          <w:tcPr>
            <w:tcW w:w="1320" w:type="dxa"/>
          </w:tcPr>
          <w:p w:rsidR="00AA5D77" w:rsidRPr="006C40C1" w:rsidRDefault="00AA5D77">
            <w:pPr>
              <w:spacing w:before="0"/>
              <w:rPr>
                <w:sz w:val="16"/>
              </w:rPr>
            </w:pPr>
          </w:p>
        </w:tc>
      </w:tr>
    </w:tbl>
    <w:p w:rsidR="00AA5D77" w:rsidRPr="006C40C1" w:rsidRDefault="00AA5D77"/>
    <w:p w:rsidR="00AA5D77" w:rsidRPr="006C40C1" w:rsidRDefault="00AA5D77">
      <w:r w:rsidRPr="006C40C1">
        <w:br w:type="page"/>
      </w:r>
    </w:p>
    <w:tbl>
      <w:tblPr>
        <w:tblW w:w="0" w:type="auto"/>
        <w:jc w:val="right"/>
        <w:tblLayout w:type="fixed"/>
        <w:tblCellMar>
          <w:left w:w="70" w:type="dxa"/>
          <w:right w:w="70" w:type="dxa"/>
        </w:tblCellMar>
        <w:tblLook w:val="0000" w:firstRow="0" w:lastRow="0" w:firstColumn="0" w:lastColumn="0" w:noHBand="0" w:noVBand="0"/>
      </w:tblPr>
      <w:tblGrid>
        <w:gridCol w:w="284"/>
        <w:gridCol w:w="1276"/>
        <w:gridCol w:w="2023"/>
        <w:gridCol w:w="1430"/>
        <w:gridCol w:w="1321"/>
        <w:gridCol w:w="1320"/>
      </w:tblGrid>
      <w:tr w:rsidR="00000000" w:rsidRPr="006C40C1">
        <w:tblPrEx>
          <w:tblCellMar>
            <w:top w:w="0" w:type="dxa"/>
            <w:bottom w:w="0" w:type="dxa"/>
          </w:tblCellMar>
        </w:tblPrEx>
        <w:trPr>
          <w:tblHeader/>
          <w:jc w:val="right"/>
        </w:trPr>
        <w:tc>
          <w:tcPr>
            <w:tcW w:w="284" w:type="dxa"/>
            <w:tcBorders>
              <w:top w:val="single" w:sz="6" w:space="0" w:color="auto"/>
            </w:tcBorders>
          </w:tcPr>
          <w:p w:rsidR="00AA5D77" w:rsidRPr="006C40C1" w:rsidRDefault="00AA5D77">
            <w:pPr>
              <w:spacing w:before="0"/>
              <w:rPr>
                <w:sz w:val="16"/>
              </w:rPr>
            </w:pPr>
          </w:p>
        </w:tc>
        <w:tc>
          <w:tcPr>
            <w:tcW w:w="1276" w:type="dxa"/>
            <w:tcBorders>
              <w:top w:val="single" w:sz="6" w:space="0" w:color="auto"/>
            </w:tcBorders>
          </w:tcPr>
          <w:p w:rsidR="00AA5D77" w:rsidRPr="006C40C1" w:rsidRDefault="00AA5D77">
            <w:pPr>
              <w:spacing w:before="0"/>
              <w:rPr>
                <w:sz w:val="16"/>
              </w:rPr>
            </w:pPr>
            <w:r w:rsidRPr="006C40C1">
              <w:rPr>
                <w:sz w:val="16"/>
              </w:rPr>
              <w:t>KN-nr</w:t>
            </w:r>
          </w:p>
        </w:tc>
        <w:tc>
          <w:tcPr>
            <w:tcW w:w="2023" w:type="dxa"/>
            <w:tcBorders>
              <w:top w:val="single" w:sz="6" w:space="0" w:color="auto"/>
            </w:tcBorders>
          </w:tcPr>
          <w:p w:rsidR="00AA5D77" w:rsidRPr="006C40C1" w:rsidRDefault="00AA5D77">
            <w:pPr>
              <w:spacing w:before="0"/>
              <w:rPr>
                <w:sz w:val="16"/>
              </w:rPr>
            </w:pPr>
            <w:r w:rsidRPr="006C40C1">
              <w:rPr>
                <w:sz w:val="16"/>
              </w:rPr>
              <w:t>Slag av bränsle</w:t>
            </w:r>
          </w:p>
        </w:tc>
        <w:tc>
          <w:tcPr>
            <w:tcW w:w="1430" w:type="dxa"/>
            <w:tcBorders>
              <w:top w:val="single" w:sz="6" w:space="0" w:color="auto"/>
            </w:tcBorders>
          </w:tcPr>
          <w:p w:rsidR="00AA5D77" w:rsidRPr="006C40C1" w:rsidRDefault="00AA5D77">
            <w:pPr>
              <w:spacing w:before="0"/>
              <w:rPr>
                <w:sz w:val="16"/>
              </w:rPr>
            </w:pPr>
            <w:r w:rsidRPr="006C40C1">
              <w:rPr>
                <w:sz w:val="16"/>
              </w:rPr>
              <w:t>Skattebelopp</w:t>
            </w:r>
          </w:p>
        </w:tc>
        <w:tc>
          <w:tcPr>
            <w:tcW w:w="1321" w:type="dxa"/>
            <w:tcBorders>
              <w:top w:val="single" w:sz="6" w:space="0" w:color="auto"/>
            </w:tcBorders>
          </w:tcPr>
          <w:p w:rsidR="00AA5D77" w:rsidRPr="006C40C1" w:rsidRDefault="00AA5D77">
            <w:pPr>
              <w:spacing w:before="0"/>
              <w:rPr>
                <w:sz w:val="16"/>
              </w:rPr>
            </w:pPr>
          </w:p>
        </w:tc>
        <w:tc>
          <w:tcPr>
            <w:tcW w:w="1320" w:type="dxa"/>
            <w:tcBorders>
              <w:top w:val="single" w:sz="6" w:space="0" w:color="auto"/>
            </w:tcBorders>
          </w:tcPr>
          <w:p w:rsidR="00AA5D77" w:rsidRPr="006C40C1" w:rsidRDefault="00AA5D77">
            <w:pPr>
              <w:spacing w:before="0"/>
              <w:rPr>
                <w:sz w:val="16"/>
              </w:rPr>
            </w:pPr>
          </w:p>
        </w:tc>
      </w:tr>
      <w:tr w:rsidR="00000000" w:rsidRPr="006C40C1">
        <w:tblPrEx>
          <w:tblCellMar>
            <w:top w:w="0" w:type="dxa"/>
            <w:bottom w:w="0" w:type="dxa"/>
          </w:tblCellMar>
        </w:tblPrEx>
        <w:trPr>
          <w:jc w:val="right"/>
        </w:trPr>
        <w:tc>
          <w:tcPr>
            <w:tcW w:w="284" w:type="dxa"/>
            <w:tcBorders>
              <w:bottom w:val="single" w:sz="6" w:space="0" w:color="auto"/>
            </w:tcBorders>
          </w:tcPr>
          <w:p w:rsidR="00AA5D77" w:rsidRPr="006C40C1" w:rsidRDefault="00AA5D77">
            <w:pPr>
              <w:spacing w:before="0"/>
              <w:rPr>
                <w:sz w:val="16"/>
              </w:rPr>
            </w:pPr>
          </w:p>
        </w:tc>
        <w:tc>
          <w:tcPr>
            <w:tcW w:w="1276" w:type="dxa"/>
            <w:tcBorders>
              <w:bottom w:val="single" w:sz="6" w:space="0" w:color="auto"/>
            </w:tcBorders>
          </w:tcPr>
          <w:p w:rsidR="00AA5D77" w:rsidRPr="006C40C1" w:rsidRDefault="00AA5D77">
            <w:pPr>
              <w:spacing w:before="0"/>
              <w:rPr>
                <w:sz w:val="16"/>
              </w:rPr>
            </w:pPr>
          </w:p>
        </w:tc>
        <w:tc>
          <w:tcPr>
            <w:tcW w:w="2023" w:type="dxa"/>
            <w:tcBorders>
              <w:bottom w:val="single" w:sz="6" w:space="0" w:color="auto"/>
            </w:tcBorders>
          </w:tcPr>
          <w:p w:rsidR="00AA5D77" w:rsidRPr="006C40C1" w:rsidRDefault="00AA5D77">
            <w:pPr>
              <w:spacing w:before="0"/>
              <w:rPr>
                <w:sz w:val="16"/>
              </w:rPr>
            </w:pPr>
          </w:p>
        </w:tc>
        <w:tc>
          <w:tcPr>
            <w:tcW w:w="1430" w:type="dxa"/>
            <w:tcBorders>
              <w:top w:val="single" w:sz="6" w:space="0" w:color="auto"/>
              <w:bottom w:val="single" w:sz="6" w:space="0" w:color="auto"/>
            </w:tcBorders>
          </w:tcPr>
          <w:p w:rsidR="00AA5D77" w:rsidRPr="006C40C1" w:rsidRDefault="00AA5D77">
            <w:pPr>
              <w:spacing w:before="0"/>
              <w:rPr>
                <w:sz w:val="16"/>
              </w:rPr>
            </w:pPr>
            <w:r w:rsidRPr="006C40C1">
              <w:rPr>
                <w:sz w:val="16"/>
              </w:rPr>
              <w:t>Energiskatt</w:t>
            </w:r>
          </w:p>
        </w:tc>
        <w:tc>
          <w:tcPr>
            <w:tcW w:w="1321" w:type="dxa"/>
            <w:tcBorders>
              <w:top w:val="single" w:sz="6" w:space="0" w:color="auto"/>
              <w:bottom w:val="single" w:sz="6" w:space="0" w:color="auto"/>
            </w:tcBorders>
          </w:tcPr>
          <w:p w:rsidR="00AA5D77" w:rsidRPr="006C40C1" w:rsidRDefault="00AA5D77">
            <w:pPr>
              <w:spacing w:before="0"/>
              <w:rPr>
                <w:sz w:val="16"/>
              </w:rPr>
            </w:pPr>
            <w:r w:rsidRPr="006C40C1">
              <w:rPr>
                <w:sz w:val="16"/>
              </w:rPr>
              <w:t>Koldioxidskatt</w:t>
            </w:r>
          </w:p>
        </w:tc>
        <w:tc>
          <w:tcPr>
            <w:tcW w:w="1320" w:type="dxa"/>
            <w:tcBorders>
              <w:top w:val="single" w:sz="6" w:space="0" w:color="auto"/>
              <w:bottom w:val="single" w:sz="6" w:space="0" w:color="auto"/>
            </w:tcBorders>
          </w:tcPr>
          <w:p w:rsidR="00AA5D77" w:rsidRPr="006C40C1" w:rsidRDefault="00AA5D77">
            <w:pPr>
              <w:spacing w:before="0"/>
              <w:rPr>
                <w:sz w:val="16"/>
              </w:rPr>
            </w:pPr>
            <w:r w:rsidRPr="006C40C1">
              <w:rPr>
                <w:sz w:val="16"/>
              </w:rPr>
              <w:t>Summa skatt</w:t>
            </w: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p>
        </w:tc>
        <w:tc>
          <w:tcPr>
            <w:tcW w:w="1276" w:type="dxa"/>
          </w:tcPr>
          <w:p w:rsidR="00AA5D77" w:rsidRPr="006C40C1" w:rsidRDefault="00AA5D77">
            <w:pPr>
              <w:spacing w:before="0"/>
              <w:rPr>
                <w:sz w:val="16"/>
              </w:rPr>
            </w:pPr>
          </w:p>
        </w:tc>
        <w:tc>
          <w:tcPr>
            <w:tcW w:w="2023" w:type="dxa"/>
          </w:tcPr>
          <w:p w:rsidR="00AA5D77" w:rsidRPr="006C40C1" w:rsidRDefault="00AA5D77">
            <w:pPr>
              <w:spacing w:before="0"/>
              <w:rPr>
                <w:sz w:val="16"/>
              </w:rPr>
            </w:pPr>
            <w:r w:rsidRPr="006C40C1">
              <w:rPr>
                <w:sz w:val="16"/>
              </w:rPr>
              <w:t>a) miljöklass 1</w:t>
            </w:r>
          </w:p>
          <w:p w:rsidR="00AA5D77" w:rsidRPr="006C40C1" w:rsidRDefault="00AA5D77">
            <w:pPr>
              <w:spacing w:before="0"/>
              <w:rPr>
                <w:sz w:val="16"/>
              </w:rPr>
            </w:pPr>
            <w:r w:rsidRPr="006C40C1">
              <w:rPr>
                <w:sz w:val="16"/>
              </w:rPr>
              <w:t>– motorbensin</w:t>
            </w:r>
          </w:p>
          <w:p w:rsidR="00AA5D77" w:rsidRPr="006C40C1" w:rsidRDefault="00AA5D77">
            <w:pPr>
              <w:spacing w:before="0"/>
              <w:rPr>
                <w:sz w:val="16"/>
              </w:rPr>
            </w:pPr>
          </w:p>
          <w:p w:rsidR="00AA5D77" w:rsidRPr="006C40C1" w:rsidRDefault="00AA5D77">
            <w:pPr>
              <w:spacing w:before="0"/>
              <w:rPr>
                <w:sz w:val="16"/>
              </w:rPr>
            </w:pPr>
            <w:r w:rsidRPr="006C40C1">
              <w:rPr>
                <w:sz w:val="16"/>
              </w:rPr>
              <w:t>– alkylatbensin</w:t>
            </w:r>
          </w:p>
          <w:p w:rsidR="00AA5D77" w:rsidRPr="006C40C1" w:rsidRDefault="00AA5D77">
            <w:pPr>
              <w:spacing w:before="0"/>
              <w:rPr>
                <w:sz w:val="16"/>
              </w:rPr>
            </w:pPr>
          </w:p>
        </w:tc>
        <w:tc>
          <w:tcPr>
            <w:tcW w:w="1430" w:type="dxa"/>
          </w:tcPr>
          <w:p w:rsidR="00AA5D77" w:rsidRPr="006C40C1" w:rsidRDefault="00AA5D77">
            <w:pPr>
              <w:spacing w:before="0"/>
              <w:rPr>
                <w:sz w:val="16"/>
              </w:rPr>
            </w:pPr>
          </w:p>
          <w:p w:rsidR="00AA5D77" w:rsidRPr="006C40C1" w:rsidRDefault="00AA5D77">
            <w:pPr>
              <w:spacing w:before="0"/>
              <w:rPr>
                <w:sz w:val="16"/>
              </w:rPr>
            </w:pPr>
            <w:r w:rsidRPr="006C40C1">
              <w:rPr>
                <w:i/>
                <w:sz w:val="16"/>
              </w:rPr>
              <w:t>2</w:t>
            </w:r>
            <w:r w:rsidRPr="006C40C1">
              <w:rPr>
                <w:sz w:val="16"/>
              </w:rPr>
              <w:t xml:space="preserve"> kr</w:t>
            </w:r>
            <w:r w:rsidRPr="006C40C1">
              <w:rPr>
                <w:i/>
                <w:sz w:val="16"/>
              </w:rPr>
              <w:t xml:space="preserve"> 99</w:t>
            </w:r>
            <w:r w:rsidRPr="006C40C1">
              <w:rPr>
                <w:sz w:val="16"/>
              </w:rPr>
              <w:t xml:space="preserve"> öre</w:t>
            </w:r>
          </w:p>
          <w:p w:rsidR="00AA5D77" w:rsidRPr="006C40C1" w:rsidRDefault="00AA5D77">
            <w:pPr>
              <w:spacing w:before="0"/>
              <w:rPr>
                <w:sz w:val="16"/>
              </w:rPr>
            </w:pPr>
            <w:r w:rsidRPr="006C40C1">
              <w:rPr>
                <w:sz w:val="16"/>
              </w:rPr>
              <w:t>per liter</w:t>
            </w:r>
          </w:p>
          <w:p w:rsidR="00AA5D77" w:rsidRPr="006C40C1" w:rsidRDefault="00AA5D77">
            <w:pPr>
              <w:spacing w:before="0"/>
              <w:rPr>
                <w:sz w:val="16"/>
              </w:rPr>
            </w:pPr>
            <w:r w:rsidRPr="006C40C1">
              <w:rPr>
                <w:sz w:val="16"/>
              </w:rPr>
              <w:t xml:space="preserve">1 kr </w:t>
            </w:r>
            <w:r w:rsidRPr="006C40C1">
              <w:rPr>
                <w:i/>
                <w:sz w:val="16"/>
              </w:rPr>
              <w:t>49</w:t>
            </w:r>
            <w:r w:rsidRPr="006C40C1">
              <w:rPr>
                <w:sz w:val="16"/>
              </w:rPr>
              <w:t xml:space="preserve"> öre</w:t>
            </w:r>
          </w:p>
          <w:p w:rsidR="00AA5D77" w:rsidRPr="006C40C1" w:rsidRDefault="00AA5D77">
            <w:pPr>
              <w:spacing w:before="0"/>
              <w:rPr>
                <w:sz w:val="16"/>
              </w:rPr>
            </w:pPr>
            <w:r w:rsidRPr="006C40C1">
              <w:rPr>
                <w:sz w:val="16"/>
              </w:rPr>
              <w:t>per liter</w:t>
            </w:r>
          </w:p>
        </w:tc>
        <w:tc>
          <w:tcPr>
            <w:tcW w:w="1321" w:type="dxa"/>
          </w:tcPr>
          <w:p w:rsidR="00AA5D77" w:rsidRPr="006C40C1" w:rsidRDefault="00AA5D77">
            <w:pPr>
              <w:spacing w:before="0"/>
              <w:rPr>
                <w:sz w:val="16"/>
              </w:rPr>
            </w:pPr>
          </w:p>
          <w:p w:rsidR="00AA5D77" w:rsidRPr="006C40C1" w:rsidRDefault="00AA5D77">
            <w:pPr>
              <w:spacing w:before="0"/>
              <w:rPr>
                <w:sz w:val="16"/>
              </w:rPr>
            </w:pPr>
            <w:r w:rsidRPr="006C40C1">
              <w:rPr>
                <w:sz w:val="16"/>
              </w:rPr>
              <w:t>1 kr</w:t>
            </w:r>
            <w:r w:rsidRPr="006C40C1">
              <w:rPr>
                <w:i/>
                <w:sz w:val="16"/>
              </w:rPr>
              <w:t xml:space="preserve"> 72</w:t>
            </w:r>
            <w:r w:rsidRPr="006C40C1">
              <w:rPr>
                <w:sz w:val="16"/>
              </w:rPr>
              <w:t xml:space="preserve"> öre</w:t>
            </w:r>
          </w:p>
          <w:p w:rsidR="00AA5D77" w:rsidRPr="006C40C1" w:rsidRDefault="00AA5D77">
            <w:pPr>
              <w:spacing w:before="0"/>
              <w:rPr>
                <w:sz w:val="16"/>
              </w:rPr>
            </w:pPr>
            <w:r w:rsidRPr="006C40C1">
              <w:rPr>
                <w:sz w:val="16"/>
              </w:rPr>
              <w:t>per liter</w:t>
            </w:r>
          </w:p>
          <w:p w:rsidR="00AA5D77" w:rsidRPr="006C40C1" w:rsidRDefault="00AA5D77">
            <w:pPr>
              <w:spacing w:before="0"/>
              <w:rPr>
                <w:sz w:val="16"/>
              </w:rPr>
            </w:pPr>
            <w:r w:rsidRPr="006C40C1">
              <w:rPr>
                <w:sz w:val="16"/>
              </w:rPr>
              <w:t xml:space="preserve">1 kr </w:t>
            </w:r>
            <w:r w:rsidRPr="006C40C1">
              <w:rPr>
                <w:i/>
                <w:sz w:val="16"/>
              </w:rPr>
              <w:t>72</w:t>
            </w:r>
            <w:r w:rsidRPr="006C40C1">
              <w:rPr>
                <w:sz w:val="16"/>
              </w:rPr>
              <w:t xml:space="preserve"> öre</w:t>
            </w:r>
          </w:p>
          <w:p w:rsidR="00AA5D77" w:rsidRPr="006C40C1" w:rsidRDefault="00AA5D77">
            <w:pPr>
              <w:spacing w:before="0"/>
              <w:rPr>
                <w:sz w:val="16"/>
              </w:rPr>
            </w:pPr>
            <w:r w:rsidRPr="006C40C1">
              <w:rPr>
                <w:sz w:val="16"/>
              </w:rPr>
              <w:t>per liter</w:t>
            </w:r>
          </w:p>
        </w:tc>
        <w:tc>
          <w:tcPr>
            <w:tcW w:w="1320" w:type="dxa"/>
          </w:tcPr>
          <w:p w:rsidR="00AA5D77" w:rsidRPr="006C40C1" w:rsidRDefault="00AA5D77">
            <w:pPr>
              <w:spacing w:before="0"/>
              <w:rPr>
                <w:sz w:val="16"/>
              </w:rPr>
            </w:pPr>
          </w:p>
          <w:p w:rsidR="00AA5D77" w:rsidRPr="006C40C1" w:rsidRDefault="00AA5D77">
            <w:pPr>
              <w:spacing w:before="0"/>
              <w:rPr>
                <w:sz w:val="16"/>
              </w:rPr>
            </w:pPr>
            <w:r w:rsidRPr="006C40C1">
              <w:rPr>
                <w:sz w:val="16"/>
              </w:rPr>
              <w:t xml:space="preserve">4 kr </w:t>
            </w:r>
            <w:r w:rsidRPr="006C40C1">
              <w:rPr>
                <w:i/>
                <w:sz w:val="16"/>
              </w:rPr>
              <w:t>71</w:t>
            </w:r>
            <w:r w:rsidRPr="006C40C1">
              <w:rPr>
                <w:sz w:val="16"/>
              </w:rPr>
              <w:t xml:space="preserve"> öre</w:t>
            </w:r>
          </w:p>
          <w:p w:rsidR="00AA5D77" w:rsidRPr="006C40C1" w:rsidRDefault="00AA5D77">
            <w:pPr>
              <w:spacing w:before="0"/>
              <w:rPr>
                <w:sz w:val="16"/>
              </w:rPr>
            </w:pPr>
            <w:r w:rsidRPr="006C40C1">
              <w:rPr>
                <w:sz w:val="16"/>
              </w:rPr>
              <w:t>per liter</w:t>
            </w:r>
          </w:p>
          <w:p w:rsidR="00AA5D77" w:rsidRPr="006C40C1" w:rsidRDefault="00AA5D77">
            <w:pPr>
              <w:spacing w:before="0"/>
              <w:rPr>
                <w:sz w:val="16"/>
              </w:rPr>
            </w:pPr>
            <w:r w:rsidRPr="006C40C1">
              <w:rPr>
                <w:sz w:val="16"/>
              </w:rPr>
              <w:t xml:space="preserve">3 kr </w:t>
            </w:r>
            <w:r w:rsidRPr="006C40C1">
              <w:rPr>
                <w:i/>
                <w:sz w:val="16"/>
              </w:rPr>
              <w:t>21</w:t>
            </w:r>
            <w:r w:rsidRPr="006C40C1">
              <w:rPr>
                <w:sz w:val="16"/>
              </w:rPr>
              <w:t xml:space="preserve"> öre</w:t>
            </w:r>
          </w:p>
          <w:p w:rsidR="00AA5D77" w:rsidRPr="006C40C1" w:rsidRDefault="00AA5D77">
            <w:pPr>
              <w:spacing w:before="0"/>
              <w:rPr>
                <w:sz w:val="16"/>
              </w:rPr>
            </w:pPr>
            <w:r w:rsidRPr="006C40C1">
              <w:rPr>
                <w:sz w:val="16"/>
              </w:rPr>
              <w:t>per liter</w:t>
            </w: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p>
        </w:tc>
        <w:tc>
          <w:tcPr>
            <w:tcW w:w="1276" w:type="dxa"/>
          </w:tcPr>
          <w:p w:rsidR="00AA5D77" w:rsidRPr="006C40C1" w:rsidRDefault="00AA5D77">
            <w:pPr>
              <w:spacing w:before="0"/>
              <w:rPr>
                <w:sz w:val="16"/>
              </w:rPr>
            </w:pPr>
          </w:p>
        </w:tc>
        <w:tc>
          <w:tcPr>
            <w:tcW w:w="2023" w:type="dxa"/>
          </w:tcPr>
          <w:p w:rsidR="00AA5D77" w:rsidRPr="006C40C1" w:rsidRDefault="00AA5D77">
            <w:pPr>
              <w:spacing w:before="0"/>
              <w:rPr>
                <w:sz w:val="16"/>
              </w:rPr>
            </w:pPr>
            <w:r w:rsidRPr="006C40C1">
              <w:rPr>
                <w:sz w:val="16"/>
              </w:rPr>
              <w:t>b) miljöklass 2</w:t>
            </w:r>
          </w:p>
          <w:p w:rsidR="00AA5D77" w:rsidRPr="006C40C1" w:rsidRDefault="00AA5D77">
            <w:pPr>
              <w:spacing w:before="0"/>
              <w:rPr>
                <w:sz w:val="16"/>
              </w:rPr>
            </w:pPr>
          </w:p>
        </w:tc>
        <w:tc>
          <w:tcPr>
            <w:tcW w:w="1430" w:type="dxa"/>
          </w:tcPr>
          <w:p w:rsidR="00AA5D77" w:rsidRPr="006C40C1" w:rsidRDefault="00AA5D77">
            <w:pPr>
              <w:spacing w:before="0"/>
              <w:rPr>
                <w:sz w:val="16"/>
              </w:rPr>
            </w:pPr>
            <w:r w:rsidRPr="006C40C1">
              <w:rPr>
                <w:i/>
                <w:sz w:val="16"/>
              </w:rPr>
              <w:t>3</w:t>
            </w:r>
            <w:r w:rsidRPr="006C40C1">
              <w:rPr>
                <w:sz w:val="16"/>
              </w:rPr>
              <w:t xml:space="preserve"> kr </w:t>
            </w:r>
            <w:r w:rsidRPr="006C40C1">
              <w:rPr>
                <w:i/>
                <w:sz w:val="16"/>
              </w:rPr>
              <w:t>02</w:t>
            </w:r>
            <w:r w:rsidRPr="006C40C1">
              <w:rPr>
                <w:sz w:val="16"/>
              </w:rPr>
              <w:t xml:space="preserve"> öre</w:t>
            </w:r>
          </w:p>
          <w:p w:rsidR="00AA5D77" w:rsidRPr="006C40C1" w:rsidRDefault="00AA5D77">
            <w:pPr>
              <w:spacing w:before="0"/>
              <w:rPr>
                <w:sz w:val="16"/>
              </w:rPr>
            </w:pPr>
            <w:r w:rsidRPr="006C40C1">
              <w:rPr>
                <w:sz w:val="16"/>
              </w:rPr>
              <w:t>per liter</w:t>
            </w:r>
          </w:p>
        </w:tc>
        <w:tc>
          <w:tcPr>
            <w:tcW w:w="1321" w:type="dxa"/>
          </w:tcPr>
          <w:p w:rsidR="00AA5D77" w:rsidRPr="006C40C1" w:rsidRDefault="00AA5D77">
            <w:pPr>
              <w:spacing w:before="0"/>
              <w:rPr>
                <w:sz w:val="16"/>
              </w:rPr>
            </w:pPr>
            <w:r w:rsidRPr="006C40C1">
              <w:rPr>
                <w:sz w:val="16"/>
              </w:rPr>
              <w:t>1 kr</w:t>
            </w:r>
            <w:r w:rsidRPr="006C40C1">
              <w:rPr>
                <w:i/>
                <w:sz w:val="16"/>
              </w:rPr>
              <w:t xml:space="preserve"> 72 </w:t>
            </w:r>
            <w:r w:rsidRPr="006C40C1">
              <w:rPr>
                <w:sz w:val="16"/>
              </w:rPr>
              <w:t>öre</w:t>
            </w:r>
          </w:p>
          <w:p w:rsidR="00AA5D77" w:rsidRPr="006C40C1" w:rsidRDefault="00AA5D77">
            <w:pPr>
              <w:spacing w:before="0"/>
              <w:rPr>
                <w:sz w:val="16"/>
              </w:rPr>
            </w:pPr>
            <w:r w:rsidRPr="006C40C1">
              <w:rPr>
                <w:sz w:val="16"/>
              </w:rPr>
              <w:t>per liter</w:t>
            </w:r>
          </w:p>
        </w:tc>
        <w:tc>
          <w:tcPr>
            <w:tcW w:w="1320" w:type="dxa"/>
          </w:tcPr>
          <w:p w:rsidR="00AA5D77" w:rsidRPr="006C40C1" w:rsidRDefault="00AA5D77">
            <w:pPr>
              <w:spacing w:before="0"/>
              <w:rPr>
                <w:sz w:val="16"/>
              </w:rPr>
            </w:pPr>
            <w:r w:rsidRPr="006C40C1">
              <w:rPr>
                <w:i/>
                <w:sz w:val="16"/>
              </w:rPr>
              <w:t>4</w:t>
            </w:r>
            <w:r w:rsidRPr="006C40C1">
              <w:rPr>
                <w:sz w:val="16"/>
              </w:rPr>
              <w:t xml:space="preserve"> kr </w:t>
            </w:r>
            <w:r w:rsidRPr="006C40C1">
              <w:rPr>
                <w:i/>
                <w:sz w:val="16"/>
              </w:rPr>
              <w:t>74</w:t>
            </w:r>
            <w:r w:rsidRPr="006C40C1">
              <w:rPr>
                <w:sz w:val="16"/>
              </w:rPr>
              <w:t xml:space="preserve"> öre</w:t>
            </w:r>
          </w:p>
          <w:p w:rsidR="00AA5D77" w:rsidRPr="006C40C1" w:rsidRDefault="00AA5D77">
            <w:pPr>
              <w:spacing w:before="0"/>
              <w:rPr>
                <w:sz w:val="16"/>
              </w:rPr>
            </w:pPr>
            <w:r w:rsidRPr="006C40C1">
              <w:rPr>
                <w:sz w:val="16"/>
              </w:rPr>
              <w:t>per liter</w:t>
            </w: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r w:rsidRPr="006C40C1">
              <w:rPr>
                <w:sz w:val="16"/>
              </w:rPr>
              <w:t>2.</w:t>
            </w:r>
          </w:p>
        </w:tc>
        <w:tc>
          <w:tcPr>
            <w:tcW w:w="1276" w:type="dxa"/>
          </w:tcPr>
          <w:p w:rsidR="00AA5D77" w:rsidRPr="006C40C1" w:rsidRDefault="00AA5D77">
            <w:pPr>
              <w:spacing w:before="0"/>
              <w:rPr>
                <w:sz w:val="16"/>
              </w:rPr>
            </w:pPr>
            <w:r w:rsidRPr="006C40C1">
              <w:rPr>
                <w:sz w:val="16"/>
              </w:rPr>
              <w:t>2710 00 26,</w:t>
            </w:r>
          </w:p>
          <w:p w:rsidR="00AA5D77" w:rsidRPr="006C40C1" w:rsidRDefault="00AA5D77">
            <w:pPr>
              <w:spacing w:before="0"/>
              <w:rPr>
                <w:sz w:val="16"/>
              </w:rPr>
            </w:pPr>
            <w:r w:rsidRPr="006C40C1">
              <w:rPr>
                <w:sz w:val="16"/>
              </w:rPr>
              <w:t>2710 00 34</w:t>
            </w:r>
          </w:p>
          <w:p w:rsidR="00AA5D77" w:rsidRPr="006C40C1" w:rsidRDefault="00AA5D77">
            <w:pPr>
              <w:spacing w:before="0"/>
              <w:rPr>
                <w:sz w:val="16"/>
              </w:rPr>
            </w:pPr>
            <w:r w:rsidRPr="006C40C1">
              <w:rPr>
                <w:sz w:val="16"/>
              </w:rPr>
              <w:t>eller</w:t>
            </w:r>
          </w:p>
          <w:p w:rsidR="00AA5D77" w:rsidRPr="006C40C1" w:rsidRDefault="00AA5D77">
            <w:pPr>
              <w:spacing w:before="0"/>
              <w:rPr>
                <w:sz w:val="16"/>
              </w:rPr>
            </w:pPr>
            <w:r w:rsidRPr="006C40C1">
              <w:rPr>
                <w:sz w:val="16"/>
              </w:rPr>
              <w:t>2710 00 36</w:t>
            </w:r>
          </w:p>
        </w:tc>
        <w:tc>
          <w:tcPr>
            <w:tcW w:w="2023" w:type="dxa"/>
          </w:tcPr>
          <w:p w:rsidR="00AA5D77" w:rsidRPr="006C40C1" w:rsidRDefault="00AA5D77">
            <w:pPr>
              <w:spacing w:before="0"/>
              <w:rPr>
                <w:sz w:val="16"/>
              </w:rPr>
            </w:pPr>
            <w:r w:rsidRPr="006C40C1">
              <w:rPr>
                <w:sz w:val="16"/>
              </w:rPr>
              <w:t>Annan bensin</w:t>
            </w:r>
          </w:p>
          <w:p w:rsidR="00AA5D77" w:rsidRPr="006C40C1" w:rsidRDefault="00AA5D77">
            <w:pPr>
              <w:spacing w:before="0"/>
              <w:rPr>
                <w:sz w:val="16"/>
              </w:rPr>
            </w:pPr>
            <w:r w:rsidRPr="006C40C1">
              <w:rPr>
                <w:sz w:val="16"/>
              </w:rPr>
              <w:t>än som avses</w:t>
            </w:r>
          </w:p>
          <w:p w:rsidR="00AA5D77" w:rsidRPr="006C40C1" w:rsidRDefault="00AA5D77">
            <w:pPr>
              <w:spacing w:before="0"/>
              <w:rPr>
                <w:sz w:val="16"/>
              </w:rPr>
            </w:pPr>
            <w:r w:rsidRPr="006C40C1">
              <w:rPr>
                <w:sz w:val="16"/>
              </w:rPr>
              <w:t>under 1</w:t>
            </w:r>
          </w:p>
        </w:tc>
        <w:tc>
          <w:tcPr>
            <w:tcW w:w="1430" w:type="dxa"/>
          </w:tcPr>
          <w:p w:rsidR="00AA5D77" w:rsidRPr="006C40C1" w:rsidRDefault="00AA5D77">
            <w:pPr>
              <w:spacing w:before="0"/>
              <w:rPr>
                <w:sz w:val="16"/>
              </w:rPr>
            </w:pPr>
            <w:r w:rsidRPr="006C40C1">
              <w:rPr>
                <w:i/>
                <w:sz w:val="16"/>
              </w:rPr>
              <w:t>3</w:t>
            </w:r>
            <w:r w:rsidRPr="006C40C1">
              <w:rPr>
                <w:sz w:val="16"/>
              </w:rPr>
              <w:t xml:space="preserve"> kr </w:t>
            </w:r>
            <w:r w:rsidRPr="006C40C1">
              <w:rPr>
                <w:i/>
                <w:sz w:val="16"/>
              </w:rPr>
              <w:t>68</w:t>
            </w:r>
            <w:r w:rsidRPr="006C40C1">
              <w:rPr>
                <w:sz w:val="16"/>
              </w:rPr>
              <w:t xml:space="preserve"> öre</w:t>
            </w:r>
          </w:p>
          <w:p w:rsidR="00AA5D77" w:rsidRPr="006C40C1" w:rsidRDefault="00AA5D77">
            <w:pPr>
              <w:spacing w:before="0"/>
              <w:rPr>
                <w:sz w:val="16"/>
              </w:rPr>
            </w:pPr>
            <w:r w:rsidRPr="006C40C1">
              <w:rPr>
                <w:sz w:val="16"/>
              </w:rPr>
              <w:t>per liter</w:t>
            </w:r>
          </w:p>
        </w:tc>
        <w:tc>
          <w:tcPr>
            <w:tcW w:w="1321" w:type="dxa"/>
          </w:tcPr>
          <w:p w:rsidR="00AA5D77" w:rsidRPr="006C40C1" w:rsidRDefault="00AA5D77">
            <w:pPr>
              <w:spacing w:before="0"/>
              <w:rPr>
                <w:sz w:val="16"/>
              </w:rPr>
            </w:pPr>
            <w:r w:rsidRPr="006C40C1">
              <w:rPr>
                <w:sz w:val="16"/>
              </w:rPr>
              <w:t>1 kr</w:t>
            </w:r>
            <w:r w:rsidRPr="006C40C1">
              <w:rPr>
                <w:i/>
                <w:sz w:val="16"/>
              </w:rPr>
              <w:t xml:space="preserve"> 72</w:t>
            </w:r>
            <w:r w:rsidRPr="006C40C1">
              <w:rPr>
                <w:sz w:val="16"/>
              </w:rPr>
              <w:t xml:space="preserve"> öre</w:t>
            </w:r>
          </w:p>
          <w:p w:rsidR="00AA5D77" w:rsidRPr="006C40C1" w:rsidRDefault="00AA5D77">
            <w:pPr>
              <w:spacing w:before="0"/>
              <w:rPr>
                <w:sz w:val="16"/>
              </w:rPr>
            </w:pPr>
            <w:r w:rsidRPr="006C40C1">
              <w:rPr>
                <w:sz w:val="16"/>
              </w:rPr>
              <w:t>per liter</w:t>
            </w:r>
          </w:p>
        </w:tc>
        <w:tc>
          <w:tcPr>
            <w:tcW w:w="1320" w:type="dxa"/>
          </w:tcPr>
          <w:p w:rsidR="00AA5D77" w:rsidRPr="006C40C1" w:rsidRDefault="00AA5D77">
            <w:pPr>
              <w:spacing w:before="0"/>
              <w:rPr>
                <w:sz w:val="16"/>
              </w:rPr>
            </w:pPr>
            <w:r w:rsidRPr="006C40C1">
              <w:rPr>
                <w:i/>
                <w:sz w:val="16"/>
              </w:rPr>
              <w:t>5</w:t>
            </w:r>
            <w:r w:rsidRPr="006C40C1">
              <w:rPr>
                <w:sz w:val="16"/>
              </w:rPr>
              <w:t xml:space="preserve"> kr </w:t>
            </w:r>
            <w:r w:rsidRPr="006C40C1">
              <w:rPr>
                <w:i/>
                <w:sz w:val="16"/>
              </w:rPr>
              <w:t>40</w:t>
            </w:r>
            <w:r w:rsidRPr="006C40C1">
              <w:rPr>
                <w:sz w:val="16"/>
              </w:rPr>
              <w:t xml:space="preserve"> öre</w:t>
            </w:r>
          </w:p>
          <w:p w:rsidR="00AA5D77" w:rsidRPr="006C40C1" w:rsidRDefault="00AA5D77">
            <w:pPr>
              <w:spacing w:before="0"/>
              <w:rPr>
                <w:sz w:val="16"/>
              </w:rPr>
            </w:pPr>
            <w:r w:rsidRPr="006C40C1">
              <w:rPr>
                <w:sz w:val="16"/>
              </w:rPr>
              <w:t>per liter</w:t>
            </w: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r w:rsidRPr="006C40C1">
              <w:rPr>
                <w:sz w:val="16"/>
              </w:rPr>
              <w:t>3.</w:t>
            </w:r>
          </w:p>
        </w:tc>
        <w:tc>
          <w:tcPr>
            <w:tcW w:w="1276" w:type="dxa"/>
          </w:tcPr>
          <w:p w:rsidR="00AA5D77" w:rsidRPr="006C40C1" w:rsidRDefault="00AA5D77">
            <w:pPr>
              <w:spacing w:before="0"/>
              <w:rPr>
                <w:sz w:val="16"/>
              </w:rPr>
            </w:pPr>
            <w:r w:rsidRPr="006C40C1">
              <w:rPr>
                <w:sz w:val="16"/>
              </w:rPr>
              <w:t>2710 00 51,</w:t>
            </w:r>
          </w:p>
          <w:p w:rsidR="00AA5D77" w:rsidRPr="006C40C1" w:rsidRDefault="00AA5D77">
            <w:pPr>
              <w:spacing w:before="0"/>
              <w:rPr>
                <w:sz w:val="16"/>
              </w:rPr>
            </w:pPr>
            <w:r w:rsidRPr="006C40C1">
              <w:rPr>
                <w:sz w:val="16"/>
              </w:rPr>
              <w:t>2710 00 55,</w:t>
            </w:r>
          </w:p>
          <w:p w:rsidR="00AA5D77" w:rsidRPr="006C40C1" w:rsidRDefault="00AA5D77">
            <w:pPr>
              <w:spacing w:before="0"/>
              <w:rPr>
                <w:sz w:val="16"/>
              </w:rPr>
            </w:pPr>
            <w:r w:rsidRPr="006C40C1">
              <w:rPr>
                <w:sz w:val="16"/>
              </w:rPr>
              <w:t>2710 00 69</w:t>
            </w:r>
          </w:p>
          <w:p w:rsidR="00AA5D77" w:rsidRPr="006C40C1" w:rsidRDefault="00AA5D77">
            <w:pPr>
              <w:spacing w:before="0"/>
              <w:rPr>
                <w:sz w:val="16"/>
              </w:rPr>
            </w:pPr>
            <w:r w:rsidRPr="006C40C1">
              <w:rPr>
                <w:sz w:val="16"/>
              </w:rPr>
              <w:t>eller</w:t>
            </w:r>
          </w:p>
          <w:p w:rsidR="00AA5D77" w:rsidRPr="006C40C1" w:rsidRDefault="00AA5D77">
            <w:pPr>
              <w:spacing w:before="0"/>
              <w:rPr>
                <w:sz w:val="16"/>
              </w:rPr>
            </w:pPr>
            <w:r w:rsidRPr="006C40C1">
              <w:rPr>
                <w:sz w:val="16"/>
              </w:rPr>
              <w:t>2710 00 74–</w:t>
            </w:r>
          </w:p>
          <w:p w:rsidR="00AA5D77" w:rsidRPr="006C40C1" w:rsidRDefault="00AA5D77">
            <w:pPr>
              <w:spacing w:before="0"/>
              <w:rPr>
                <w:sz w:val="16"/>
              </w:rPr>
            </w:pPr>
            <w:r w:rsidRPr="006C40C1">
              <w:rPr>
                <w:sz w:val="16"/>
              </w:rPr>
              <w:t>2710 00 78</w:t>
            </w:r>
          </w:p>
        </w:tc>
        <w:tc>
          <w:tcPr>
            <w:tcW w:w="2023" w:type="dxa"/>
          </w:tcPr>
          <w:p w:rsidR="00AA5D77" w:rsidRPr="006C40C1" w:rsidRDefault="00AA5D77">
            <w:pPr>
              <w:spacing w:before="0"/>
              <w:rPr>
                <w:sz w:val="16"/>
              </w:rPr>
            </w:pPr>
            <w:r w:rsidRPr="006C40C1">
              <w:rPr>
                <w:sz w:val="16"/>
              </w:rPr>
              <w:t>Eldningsolja,</w:t>
            </w:r>
          </w:p>
          <w:p w:rsidR="00AA5D77" w:rsidRPr="006C40C1" w:rsidRDefault="00AA5D77">
            <w:pPr>
              <w:spacing w:before="0"/>
              <w:rPr>
                <w:sz w:val="16"/>
              </w:rPr>
            </w:pPr>
            <w:r w:rsidRPr="006C40C1">
              <w:rPr>
                <w:sz w:val="16"/>
              </w:rPr>
              <w:t>dieselbrännolja,</w:t>
            </w:r>
          </w:p>
          <w:p w:rsidR="00AA5D77" w:rsidRPr="006C40C1" w:rsidRDefault="00AA5D77">
            <w:pPr>
              <w:spacing w:before="0"/>
              <w:rPr>
                <w:sz w:val="16"/>
              </w:rPr>
            </w:pPr>
            <w:r w:rsidRPr="006C40C1">
              <w:rPr>
                <w:sz w:val="16"/>
              </w:rPr>
              <w:t>fotogen, m.m.</w:t>
            </w:r>
          </w:p>
          <w:p w:rsidR="00AA5D77" w:rsidRPr="006C40C1" w:rsidRDefault="00AA5D77">
            <w:pPr>
              <w:spacing w:before="0"/>
              <w:rPr>
                <w:sz w:val="16"/>
              </w:rPr>
            </w:pPr>
            <w:r w:rsidRPr="006C40C1">
              <w:rPr>
                <w:sz w:val="16"/>
              </w:rPr>
              <w:t>som</w:t>
            </w:r>
          </w:p>
        </w:tc>
        <w:tc>
          <w:tcPr>
            <w:tcW w:w="1430" w:type="dxa"/>
          </w:tcPr>
          <w:p w:rsidR="00AA5D77" w:rsidRPr="006C40C1" w:rsidRDefault="00AA5D77">
            <w:pPr>
              <w:spacing w:before="0"/>
              <w:rPr>
                <w:sz w:val="16"/>
              </w:rPr>
            </w:pPr>
          </w:p>
          <w:p w:rsidR="00AA5D77" w:rsidRPr="006C40C1" w:rsidRDefault="00AA5D77">
            <w:pPr>
              <w:spacing w:before="0"/>
              <w:rPr>
                <w:sz w:val="16"/>
              </w:rPr>
            </w:pPr>
          </w:p>
          <w:p w:rsidR="00AA5D77" w:rsidRPr="006C40C1" w:rsidRDefault="00AA5D77">
            <w:pPr>
              <w:spacing w:before="0"/>
              <w:rPr>
                <w:sz w:val="16"/>
              </w:rPr>
            </w:pPr>
          </w:p>
          <w:p w:rsidR="00AA5D77" w:rsidRPr="006C40C1" w:rsidRDefault="00AA5D77">
            <w:pPr>
              <w:spacing w:before="0"/>
              <w:rPr>
                <w:sz w:val="16"/>
              </w:rPr>
            </w:pPr>
          </w:p>
          <w:p w:rsidR="00AA5D77" w:rsidRPr="006C40C1" w:rsidRDefault="00AA5D77">
            <w:pPr>
              <w:spacing w:before="0"/>
              <w:rPr>
                <w:sz w:val="16"/>
                <w:vertAlign w:val="superscript"/>
              </w:rPr>
            </w:pPr>
          </w:p>
          <w:p w:rsidR="00AA5D77" w:rsidRPr="006C40C1" w:rsidRDefault="00AA5D77">
            <w:pPr>
              <w:spacing w:before="0"/>
              <w:rPr>
                <w:sz w:val="16"/>
              </w:rPr>
            </w:pPr>
          </w:p>
        </w:tc>
        <w:tc>
          <w:tcPr>
            <w:tcW w:w="1321" w:type="dxa"/>
          </w:tcPr>
          <w:p w:rsidR="00AA5D77" w:rsidRPr="006C40C1" w:rsidRDefault="00AA5D77">
            <w:pPr>
              <w:spacing w:before="0"/>
              <w:rPr>
                <w:sz w:val="16"/>
              </w:rPr>
            </w:pPr>
          </w:p>
          <w:p w:rsidR="00AA5D77" w:rsidRPr="006C40C1" w:rsidRDefault="00AA5D77">
            <w:pPr>
              <w:spacing w:before="0"/>
              <w:rPr>
                <w:sz w:val="16"/>
              </w:rPr>
            </w:pPr>
          </w:p>
          <w:p w:rsidR="00AA5D77" w:rsidRPr="006C40C1" w:rsidRDefault="00AA5D77">
            <w:pPr>
              <w:spacing w:before="0"/>
              <w:rPr>
                <w:sz w:val="16"/>
              </w:rPr>
            </w:pPr>
          </w:p>
          <w:p w:rsidR="00AA5D77" w:rsidRPr="006C40C1" w:rsidRDefault="00AA5D77">
            <w:pPr>
              <w:spacing w:before="0"/>
              <w:rPr>
                <w:sz w:val="16"/>
              </w:rPr>
            </w:pPr>
          </w:p>
          <w:p w:rsidR="00AA5D77" w:rsidRPr="006C40C1" w:rsidRDefault="00AA5D77">
            <w:pPr>
              <w:spacing w:before="0"/>
              <w:rPr>
                <w:sz w:val="16"/>
              </w:rPr>
            </w:pPr>
          </w:p>
        </w:tc>
        <w:tc>
          <w:tcPr>
            <w:tcW w:w="1320" w:type="dxa"/>
          </w:tcPr>
          <w:p w:rsidR="00AA5D77" w:rsidRPr="006C40C1" w:rsidRDefault="00AA5D77">
            <w:pPr>
              <w:spacing w:before="0"/>
              <w:rPr>
                <w:sz w:val="16"/>
              </w:rPr>
            </w:pPr>
          </w:p>
          <w:p w:rsidR="00AA5D77" w:rsidRPr="006C40C1" w:rsidRDefault="00AA5D77">
            <w:pPr>
              <w:spacing w:before="0"/>
              <w:rPr>
                <w:sz w:val="16"/>
              </w:rPr>
            </w:pPr>
          </w:p>
          <w:p w:rsidR="00AA5D77" w:rsidRPr="006C40C1" w:rsidRDefault="00AA5D77">
            <w:pPr>
              <w:spacing w:before="0"/>
              <w:rPr>
                <w:sz w:val="16"/>
              </w:rPr>
            </w:pPr>
          </w:p>
          <w:p w:rsidR="00AA5D77" w:rsidRPr="006C40C1" w:rsidRDefault="00AA5D77">
            <w:pPr>
              <w:spacing w:before="0"/>
              <w:rPr>
                <w:sz w:val="16"/>
              </w:rPr>
            </w:pPr>
          </w:p>
          <w:p w:rsidR="00AA5D77" w:rsidRPr="006C40C1" w:rsidRDefault="00AA5D77">
            <w:pPr>
              <w:spacing w:before="0"/>
              <w:rPr>
                <w:sz w:val="16"/>
              </w:rPr>
            </w:pP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p>
        </w:tc>
        <w:tc>
          <w:tcPr>
            <w:tcW w:w="1276" w:type="dxa"/>
          </w:tcPr>
          <w:p w:rsidR="00AA5D77" w:rsidRPr="006C40C1" w:rsidRDefault="00AA5D77">
            <w:pPr>
              <w:spacing w:before="0"/>
              <w:rPr>
                <w:sz w:val="16"/>
              </w:rPr>
            </w:pPr>
          </w:p>
        </w:tc>
        <w:tc>
          <w:tcPr>
            <w:tcW w:w="2023" w:type="dxa"/>
          </w:tcPr>
          <w:p w:rsidR="00AA5D77" w:rsidRPr="006C40C1" w:rsidRDefault="00AA5D77">
            <w:pPr>
              <w:spacing w:before="0"/>
              <w:rPr>
                <w:sz w:val="16"/>
              </w:rPr>
            </w:pPr>
            <w:r w:rsidRPr="006C40C1">
              <w:rPr>
                <w:sz w:val="16"/>
              </w:rPr>
              <w:t>a) har försetts med</w:t>
            </w:r>
          </w:p>
          <w:p w:rsidR="00AA5D77" w:rsidRPr="006C40C1" w:rsidRDefault="00AA5D77">
            <w:pPr>
              <w:spacing w:before="0"/>
              <w:rPr>
                <w:sz w:val="16"/>
              </w:rPr>
            </w:pPr>
            <w:r w:rsidRPr="006C40C1">
              <w:rPr>
                <w:sz w:val="16"/>
              </w:rPr>
              <w:t>märkämnen eller ger mindre än 85</w:t>
            </w:r>
          </w:p>
          <w:p w:rsidR="00AA5D77" w:rsidRPr="006C40C1" w:rsidRDefault="00AA5D77">
            <w:pPr>
              <w:spacing w:before="0"/>
              <w:rPr>
                <w:sz w:val="16"/>
              </w:rPr>
            </w:pPr>
            <w:r w:rsidRPr="006C40C1">
              <w:rPr>
                <w:sz w:val="16"/>
              </w:rPr>
              <w:t>volymprocent destillat</w:t>
            </w:r>
          </w:p>
          <w:p w:rsidR="00AA5D77" w:rsidRPr="006C40C1" w:rsidRDefault="00AA5D77">
            <w:pPr>
              <w:spacing w:before="0"/>
              <w:rPr>
                <w:sz w:val="16"/>
              </w:rPr>
            </w:pPr>
            <w:r w:rsidRPr="006C40C1">
              <w:rPr>
                <w:sz w:val="16"/>
              </w:rPr>
              <w:t>vid 350</w:t>
            </w:r>
            <w:r w:rsidRPr="006C40C1">
              <w:rPr>
                <w:sz w:val="16"/>
                <w:vertAlign w:val="superscript"/>
              </w:rPr>
              <w:t>o</w:t>
            </w:r>
            <w:r w:rsidRPr="006C40C1">
              <w:rPr>
                <w:sz w:val="16"/>
              </w:rPr>
              <w:t>C,</w:t>
            </w:r>
          </w:p>
        </w:tc>
        <w:tc>
          <w:tcPr>
            <w:tcW w:w="1430" w:type="dxa"/>
          </w:tcPr>
          <w:p w:rsidR="00AA5D77" w:rsidRPr="006C40C1" w:rsidRDefault="00AA5D77">
            <w:pPr>
              <w:spacing w:before="0"/>
              <w:rPr>
                <w:sz w:val="16"/>
              </w:rPr>
            </w:pPr>
            <w:r w:rsidRPr="006C40C1">
              <w:rPr>
                <w:i/>
                <w:sz w:val="16"/>
              </w:rPr>
              <w:t>720</w:t>
            </w:r>
            <w:r w:rsidRPr="006C40C1">
              <w:rPr>
                <w:sz w:val="16"/>
              </w:rPr>
              <w:t xml:space="preserve"> kr per m</w:t>
            </w:r>
            <w:r w:rsidRPr="006C40C1">
              <w:rPr>
                <w:sz w:val="16"/>
                <w:vertAlign w:val="superscript"/>
              </w:rPr>
              <w:t>3</w:t>
            </w:r>
          </w:p>
        </w:tc>
        <w:tc>
          <w:tcPr>
            <w:tcW w:w="1321" w:type="dxa"/>
          </w:tcPr>
          <w:p w:rsidR="00AA5D77" w:rsidRPr="006C40C1" w:rsidRDefault="00AA5D77">
            <w:pPr>
              <w:spacing w:before="0"/>
              <w:rPr>
                <w:sz w:val="16"/>
              </w:rPr>
            </w:pPr>
            <w:r w:rsidRPr="006C40C1">
              <w:rPr>
                <w:i/>
                <w:sz w:val="16"/>
              </w:rPr>
              <w:t xml:space="preserve">2 120 </w:t>
            </w:r>
            <w:r w:rsidRPr="006C40C1">
              <w:rPr>
                <w:sz w:val="16"/>
              </w:rPr>
              <w:t>kr per m</w:t>
            </w:r>
            <w:r w:rsidRPr="006C40C1">
              <w:rPr>
                <w:sz w:val="16"/>
                <w:vertAlign w:val="superscript"/>
              </w:rPr>
              <w:t>3</w:t>
            </w:r>
          </w:p>
        </w:tc>
        <w:tc>
          <w:tcPr>
            <w:tcW w:w="1320" w:type="dxa"/>
          </w:tcPr>
          <w:p w:rsidR="00AA5D77" w:rsidRPr="006C40C1" w:rsidRDefault="00AA5D77">
            <w:pPr>
              <w:spacing w:before="0"/>
              <w:rPr>
                <w:sz w:val="16"/>
              </w:rPr>
            </w:pPr>
            <w:r w:rsidRPr="006C40C1">
              <w:rPr>
                <w:i/>
                <w:sz w:val="16"/>
              </w:rPr>
              <w:t>2 840</w:t>
            </w:r>
            <w:r w:rsidRPr="006C40C1">
              <w:rPr>
                <w:sz w:val="16"/>
              </w:rPr>
              <w:t xml:space="preserve"> kr per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p>
        </w:tc>
        <w:tc>
          <w:tcPr>
            <w:tcW w:w="1276" w:type="dxa"/>
          </w:tcPr>
          <w:p w:rsidR="00AA5D77" w:rsidRPr="006C40C1" w:rsidRDefault="00AA5D77">
            <w:pPr>
              <w:spacing w:before="0"/>
              <w:rPr>
                <w:sz w:val="16"/>
              </w:rPr>
            </w:pPr>
          </w:p>
        </w:tc>
        <w:tc>
          <w:tcPr>
            <w:tcW w:w="2023" w:type="dxa"/>
          </w:tcPr>
          <w:p w:rsidR="00AA5D77" w:rsidRPr="006C40C1" w:rsidRDefault="00AA5D77">
            <w:pPr>
              <w:spacing w:before="0"/>
              <w:rPr>
                <w:sz w:val="16"/>
              </w:rPr>
            </w:pPr>
            <w:r w:rsidRPr="006C40C1">
              <w:rPr>
                <w:sz w:val="16"/>
              </w:rPr>
              <w:t>b) inte har försetts med</w:t>
            </w:r>
          </w:p>
          <w:p w:rsidR="00AA5D77" w:rsidRPr="006C40C1" w:rsidRDefault="00AA5D77">
            <w:pPr>
              <w:spacing w:before="0"/>
              <w:rPr>
                <w:sz w:val="16"/>
              </w:rPr>
            </w:pPr>
            <w:r w:rsidRPr="006C40C1">
              <w:rPr>
                <w:sz w:val="16"/>
              </w:rPr>
              <w:t>märkämnen och ger</w:t>
            </w:r>
          </w:p>
          <w:p w:rsidR="00AA5D77" w:rsidRPr="006C40C1" w:rsidRDefault="00AA5D77">
            <w:pPr>
              <w:spacing w:before="0"/>
              <w:rPr>
                <w:sz w:val="16"/>
              </w:rPr>
            </w:pPr>
            <w:r w:rsidRPr="006C40C1">
              <w:rPr>
                <w:sz w:val="16"/>
              </w:rPr>
              <w:t>minst 85 volymprocent</w:t>
            </w:r>
          </w:p>
          <w:p w:rsidR="00AA5D77" w:rsidRPr="006C40C1" w:rsidRDefault="00AA5D77">
            <w:pPr>
              <w:spacing w:before="0"/>
              <w:rPr>
                <w:sz w:val="16"/>
              </w:rPr>
            </w:pPr>
            <w:r w:rsidRPr="006C40C1">
              <w:rPr>
                <w:sz w:val="16"/>
              </w:rPr>
              <w:t>destillat vid 350</w:t>
            </w:r>
            <w:r w:rsidRPr="006C40C1">
              <w:rPr>
                <w:sz w:val="16"/>
                <w:vertAlign w:val="superscript"/>
              </w:rPr>
              <w:t>o</w:t>
            </w:r>
            <w:r w:rsidRPr="006C40C1">
              <w:rPr>
                <w:sz w:val="16"/>
              </w:rPr>
              <w:t>C,</w:t>
            </w:r>
          </w:p>
          <w:p w:rsidR="00AA5D77" w:rsidRPr="006C40C1" w:rsidRDefault="00AA5D77">
            <w:pPr>
              <w:spacing w:before="0"/>
              <w:rPr>
                <w:sz w:val="16"/>
              </w:rPr>
            </w:pPr>
            <w:r w:rsidRPr="006C40C1">
              <w:rPr>
                <w:sz w:val="16"/>
              </w:rPr>
              <w:t>tillhörig</w:t>
            </w:r>
          </w:p>
        </w:tc>
        <w:tc>
          <w:tcPr>
            <w:tcW w:w="1430" w:type="dxa"/>
          </w:tcPr>
          <w:p w:rsidR="00AA5D77" w:rsidRPr="006C40C1" w:rsidRDefault="00AA5D77">
            <w:pPr>
              <w:spacing w:before="0"/>
              <w:rPr>
                <w:sz w:val="16"/>
              </w:rPr>
            </w:pPr>
          </w:p>
        </w:tc>
        <w:tc>
          <w:tcPr>
            <w:tcW w:w="1321" w:type="dxa"/>
          </w:tcPr>
          <w:p w:rsidR="00AA5D77" w:rsidRPr="006C40C1" w:rsidRDefault="00AA5D77">
            <w:pPr>
              <w:spacing w:before="0"/>
              <w:rPr>
                <w:sz w:val="16"/>
              </w:rPr>
            </w:pPr>
          </w:p>
        </w:tc>
        <w:tc>
          <w:tcPr>
            <w:tcW w:w="1320" w:type="dxa"/>
          </w:tcPr>
          <w:p w:rsidR="00AA5D77" w:rsidRPr="006C40C1" w:rsidRDefault="00AA5D77">
            <w:pPr>
              <w:spacing w:before="0"/>
              <w:rPr>
                <w:sz w:val="16"/>
              </w:rPr>
            </w:pP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p>
        </w:tc>
        <w:tc>
          <w:tcPr>
            <w:tcW w:w="1276" w:type="dxa"/>
          </w:tcPr>
          <w:p w:rsidR="00AA5D77" w:rsidRPr="006C40C1" w:rsidRDefault="00AA5D77">
            <w:pPr>
              <w:spacing w:before="0"/>
              <w:rPr>
                <w:sz w:val="16"/>
              </w:rPr>
            </w:pPr>
          </w:p>
        </w:tc>
        <w:tc>
          <w:tcPr>
            <w:tcW w:w="2023" w:type="dxa"/>
          </w:tcPr>
          <w:p w:rsidR="00AA5D77" w:rsidRPr="006C40C1" w:rsidRDefault="00AA5D77">
            <w:pPr>
              <w:spacing w:before="0"/>
              <w:rPr>
                <w:sz w:val="16"/>
              </w:rPr>
            </w:pPr>
            <w:r w:rsidRPr="006C40C1">
              <w:rPr>
                <w:sz w:val="16"/>
              </w:rPr>
              <w:t>miljöklass 1</w:t>
            </w:r>
          </w:p>
        </w:tc>
        <w:tc>
          <w:tcPr>
            <w:tcW w:w="1430" w:type="dxa"/>
          </w:tcPr>
          <w:p w:rsidR="00AA5D77" w:rsidRPr="006C40C1" w:rsidRDefault="00AA5D77">
            <w:pPr>
              <w:spacing w:before="0"/>
              <w:rPr>
                <w:sz w:val="16"/>
              </w:rPr>
            </w:pPr>
            <w:r w:rsidRPr="006C40C1">
              <w:rPr>
                <w:i/>
                <w:sz w:val="16"/>
              </w:rPr>
              <w:t>1 058</w:t>
            </w:r>
            <w:r w:rsidRPr="006C40C1">
              <w:rPr>
                <w:sz w:val="16"/>
              </w:rPr>
              <w:t xml:space="preserve"> kr per m</w:t>
            </w:r>
            <w:r w:rsidRPr="006C40C1">
              <w:rPr>
                <w:sz w:val="16"/>
                <w:vertAlign w:val="superscript"/>
              </w:rPr>
              <w:t>3</w:t>
            </w:r>
          </w:p>
        </w:tc>
        <w:tc>
          <w:tcPr>
            <w:tcW w:w="1321" w:type="dxa"/>
          </w:tcPr>
          <w:p w:rsidR="00AA5D77" w:rsidRPr="006C40C1" w:rsidRDefault="00AA5D77">
            <w:pPr>
              <w:spacing w:before="0"/>
              <w:rPr>
                <w:sz w:val="16"/>
              </w:rPr>
            </w:pPr>
            <w:r w:rsidRPr="006C40C1">
              <w:rPr>
                <w:i/>
                <w:sz w:val="16"/>
              </w:rPr>
              <w:t xml:space="preserve">2 120 </w:t>
            </w:r>
            <w:r w:rsidRPr="006C40C1">
              <w:rPr>
                <w:sz w:val="16"/>
              </w:rPr>
              <w:t>kr per m</w:t>
            </w:r>
            <w:r w:rsidRPr="006C40C1">
              <w:rPr>
                <w:sz w:val="16"/>
                <w:vertAlign w:val="superscript"/>
              </w:rPr>
              <w:t>3</w:t>
            </w:r>
          </w:p>
        </w:tc>
        <w:tc>
          <w:tcPr>
            <w:tcW w:w="1320" w:type="dxa"/>
          </w:tcPr>
          <w:p w:rsidR="00AA5D77" w:rsidRPr="006C40C1" w:rsidRDefault="00AA5D77">
            <w:pPr>
              <w:spacing w:before="0"/>
              <w:rPr>
                <w:sz w:val="16"/>
              </w:rPr>
            </w:pPr>
            <w:r w:rsidRPr="006C40C1">
              <w:rPr>
                <w:i/>
                <w:sz w:val="16"/>
              </w:rPr>
              <w:t>3 178</w:t>
            </w:r>
            <w:r w:rsidRPr="006C40C1">
              <w:rPr>
                <w:sz w:val="16"/>
              </w:rPr>
              <w:t xml:space="preserve"> kr per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p>
        </w:tc>
        <w:tc>
          <w:tcPr>
            <w:tcW w:w="1276" w:type="dxa"/>
          </w:tcPr>
          <w:p w:rsidR="00AA5D77" w:rsidRPr="006C40C1" w:rsidRDefault="00AA5D77">
            <w:pPr>
              <w:spacing w:before="0"/>
              <w:rPr>
                <w:sz w:val="16"/>
              </w:rPr>
            </w:pPr>
          </w:p>
        </w:tc>
        <w:tc>
          <w:tcPr>
            <w:tcW w:w="2023" w:type="dxa"/>
          </w:tcPr>
          <w:p w:rsidR="00AA5D77" w:rsidRPr="006C40C1" w:rsidRDefault="00AA5D77">
            <w:pPr>
              <w:spacing w:before="0"/>
              <w:rPr>
                <w:sz w:val="16"/>
              </w:rPr>
            </w:pPr>
            <w:r w:rsidRPr="006C40C1">
              <w:rPr>
                <w:sz w:val="16"/>
              </w:rPr>
              <w:t>miljöklass 2</w:t>
            </w:r>
          </w:p>
        </w:tc>
        <w:tc>
          <w:tcPr>
            <w:tcW w:w="1430" w:type="dxa"/>
          </w:tcPr>
          <w:p w:rsidR="00AA5D77" w:rsidRPr="006C40C1" w:rsidRDefault="00AA5D77">
            <w:pPr>
              <w:spacing w:before="0"/>
              <w:rPr>
                <w:sz w:val="16"/>
              </w:rPr>
            </w:pPr>
            <w:r w:rsidRPr="006C40C1">
              <w:rPr>
                <w:i/>
                <w:sz w:val="16"/>
              </w:rPr>
              <w:t>1 297</w:t>
            </w:r>
            <w:r w:rsidRPr="006C40C1">
              <w:rPr>
                <w:sz w:val="16"/>
              </w:rPr>
              <w:t xml:space="preserve"> kr per m</w:t>
            </w:r>
            <w:r w:rsidRPr="006C40C1">
              <w:rPr>
                <w:sz w:val="16"/>
                <w:vertAlign w:val="superscript"/>
              </w:rPr>
              <w:t>3</w:t>
            </w:r>
          </w:p>
        </w:tc>
        <w:tc>
          <w:tcPr>
            <w:tcW w:w="1321" w:type="dxa"/>
          </w:tcPr>
          <w:p w:rsidR="00AA5D77" w:rsidRPr="006C40C1" w:rsidRDefault="00AA5D77">
            <w:pPr>
              <w:spacing w:before="0"/>
              <w:rPr>
                <w:sz w:val="16"/>
              </w:rPr>
            </w:pPr>
            <w:r w:rsidRPr="006C40C1">
              <w:rPr>
                <w:i/>
                <w:sz w:val="16"/>
              </w:rPr>
              <w:t xml:space="preserve">2 120 </w:t>
            </w:r>
            <w:r w:rsidRPr="006C40C1">
              <w:rPr>
                <w:sz w:val="16"/>
              </w:rPr>
              <w:t>kr per m</w:t>
            </w:r>
            <w:r w:rsidRPr="006C40C1">
              <w:rPr>
                <w:sz w:val="16"/>
                <w:vertAlign w:val="superscript"/>
              </w:rPr>
              <w:t>3</w:t>
            </w:r>
          </w:p>
        </w:tc>
        <w:tc>
          <w:tcPr>
            <w:tcW w:w="1320" w:type="dxa"/>
          </w:tcPr>
          <w:p w:rsidR="00AA5D77" w:rsidRPr="006C40C1" w:rsidRDefault="00AA5D77">
            <w:pPr>
              <w:spacing w:before="0"/>
              <w:rPr>
                <w:sz w:val="16"/>
              </w:rPr>
            </w:pPr>
            <w:r w:rsidRPr="006C40C1">
              <w:rPr>
                <w:i/>
                <w:sz w:val="16"/>
              </w:rPr>
              <w:t>3 417</w:t>
            </w:r>
            <w:r w:rsidRPr="006C40C1">
              <w:rPr>
                <w:sz w:val="16"/>
              </w:rPr>
              <w:t xml:space="preserve"> kr per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p>
        </w:tc>
        <w:tc>
          <w:tcPr>
            <w:tcW w:w="1276" w:type="dxa"/>
          </w:tcPr>
          <w:p w:rsidR="00AA5D77" w:rsidRPr="006C40C1" w:rsidRDefault="00AA5D77">
            <w:pPr>
              <w:spacing w:before="0"/>
              <w:rPr>
                <w:sz w:val="16"/>
              </w:rPr>
            </w:pPr>
          </w:p>
        </w:tc>
        <w:tc>
          <w:tcPr>
            <w:tcW w:w="2023" w:type="dxa"/>
          </w:tcPr>
          <w:p w:rsidR="00AA5D77" w:rsidRPr="006C40C1" w:rsidRDefault="00AA5D77">
            <w:pPr>
              <w:spacing w:before="0"/>
              <w:rPr>
                <w:sz w:val="16"/>
              </w:rPr>
            </w:pPr>
            <w:r w:rsidRPr="006C40C1">
              <w:rPr>
                <w:sz w:val="16"/>
              </w:rPr>
              <w:t>miljöklass 3 eller inte tillhör någon miljöklass</w:t>
            </w:r>
          </w:p>
        </w:tc>
        <w:tc>
          <w:tcPr>
            <w:tcW w:w="1430" w:type="dxa"/>
          </w:tcPr>
          <w:p w:rsidR="00AA5D77" w:rsidRPr="006C40C1" w:rsidRDefault="00AA5D77">
            <w:pPr>
              <w:spacing w:before="0"/>
              <w:rPr>
                <w:sz w:val="16"/>
              </w:rPr>
            </w:pPr>
            <w:r w:rsidRPr="006C40C1">
              <w:rPr>
                <w:i/>
                <w:sz w:val="16"/>
              </w:rPr>
              <w:t>1 610</w:t>
            </w:r>
            <w:r w:rsidRPr="006C40C1">
              <w:rPr>
                <w:sz w:val="16"/>
              </w:rPr>
              <w:t xml:space="preserve"> kr per m</w:t>
            </w:r>
            <w:r w:rsidRPr="006C40C1">
              <w:rPr>
                <w:sz w:val="16"/>
                <w:vertAlign w:val="superscript"/>
              </w:rPr>
              <w:t>3</w:t>
            </w:r>
            <w:r w:rsidRPr="006C40C1">
              <w:rPr>
                <w:sz w:val="16"/>
              </w:rPr>
              <w:t xml:space="preserve"> </w:t>
            </w:r>
          </w:p>
        </w:tc>
        <w:tc>
          <w:tcPr>
            <w:tcW w:w="1321" w:type="dxa"/>
          </w:tcPr>
          <w:p w:rsidR="00AA5D77" w:rsidRPr="006C40C1" w:rsidRDefault="00AA5D77">
            <w:pPr>
              <w:spacing w:before="0"/>
              <w:rPr>
                <w:sz w:val="16"/>
              </w:rPr>
            </w:pPr>
            <w:r w:rsidRPr="006C40C1">
              <w:rPr>
                <w:i/>
                <w:sz w:val="16"/>
              </w:rPr>
              <w:t xml:space="preserve">2 120 </w:t>
            </w:r>
            <w:r w:rsidRPr="006C40C1">
              <w:rPr>
                <w:sz w:val="16"/>
              </w:rPr>
              <w:t>kr per m</w:t>
            </w:r>
            <w:r w:rsidRPr="006C40C1">
              <w:rPr>
                <w:sz w:val="16"/>
                <w:vertAlign w:val="superscript"/>
              </w:rPr>
              <w:t>3</w:t>
            </w:r>
          </w:p>
        </w:tc>
        <w:tc>
          <w:tcPr>
            <w:tcW w:w="1320" w:type="dxa"/>
          </w:tcPr>
          <w:p w:rsidR="00AA5D77" w:rsidRPr="006C40C1" w:rsidRDefault="00AA5D77">
            <w:pPr>
              <w:spacing w:before="0"/>
              <w:rPr>
                <w:sz w:val="16"/>
              </w:rPr>
            </w:pPr>
            <w:r w:rsidRPr="006C40C1">
              <w:rPr>
                <w:i/>
                <w:sz w:val="16"/>
              </w:rPr>
              <w:t>3 730</w:t>
            </w:r>
            <w:r w:rsidRPr="006C40C1">
              <w:rPr>
                <w:sz w:val="16"/>
              </w:rPr>
              <w:t xml:space="preserve"> kr per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r w:rsidRPr="006C40C1">
              <w:rPr>
                <w:sz w:val="16"/>
              </w:rPr>
              <w:t>4.</w:t>
            </w:r>
          </w:p>
        </w:tc>
        <w:tc>
          <w:tcPr>
            <w:tcW w:w="1276" w:type="dxa"/>
          </w:tcPr>
          <w:p w:rsidR="00AA5D77" w:rsidRPr="006C40C1" w:rsidRDefault="00AA5D77">
            <w:pPr>
              <w:spacing w:before="0"/>
              <w:rPr>
                <w:sz w:val="16"/>
              </w:rPr>
            </w:pPr>
            <w:r w:rsidRPr="006C40C1">
              <w:rPr>
                <w:sz w:val="16"/>
              </w:rPr>
              <w:t>ur 2711 12 11–2711 19 00</w:t>
            </w:r>
          </w:p>
        </w:tc>
        <w:tc>
          <w:tcPr>
            <w:tcW w:w="2023" w:type="dxa"/>
          </w:tcPr>
          <w:p w:rsidR="00AA5D77" w:rsidRPr="006C40C1" w:rsidRDefault="00AA5D77">
            <w:pPr>
              <w:spacing w:before="0"/>
              <w:rPr>
                <w:sz w:val="16"/>
              </w:rPr>
            </w:pPr>
            <w:r w:rsidRPr="006C40C1">
              <w:rPr>
                <w:sz w:val="16"/>
              </w:rPr>
              <w:t xml:space="preserve">Gasol som används för </w:t>
            </w:r>
          </w:p>
        </w:tc>
        <w:tc>
          <w:tcPr>
            <w:tcW w:w="1430" w:type="dxa"/>
          </w:tcPr>
          <w:p w:rsidR="00AA5D77" w:rsidRPr="006C40C1" w:rsidRDefault="00AA5D77">
            <w:pPr>
              <w:spacing w:before="0"/>
              <w:rPr>
                <w:sz w:val="16"/>
              </w:rPr>
            </w:pPr>
          </w:p>
        </w:tc>
        <w:tc>
          <w:tcPr>
            <w:tcW w:w="1321" w:type="dxa"/>
          </w:tcPr>
          <w:p w:rsidR="00AA5D77" w:rsidRPr="006C40C1" w:rsidRDefault="00AA5D77">
            <w:pPr>
              <w:spacing w:before="0"/>
              <w:rPr>
                <w:sz w:val="16"/>
              </w:rPr>
            </w:pPr>
          </w:p>
        </w:tc>
        <w:tc>
          <w:tcPr>
            <w:tcW w:w="1320" w:type="dxa"/>
          </w:tcPr>
          <w:p w:rsidR="00AA5D77" w:rsidRPr="006C40C1" w:rsidRDefault="00AA5D77">
            <w:pPr>
              <w:spacing w:before="0"/>
              <w:rPr>
                <w:sz w:val="16"/>
              </w:rPr>
            </w:pP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p>
        </w:tc>
        <w:tc>
          <w:tcPr>
            <w:tcW w:w="1276" w:type="dxa"/>
          </w:tcPr>
          <w:p w:rsidR="00AA5D77" w:rsidRPr="006C40C1" w:rsidRDefault="00AA5D77">
            <w:pPr>
              <w:spacing w:before="0"/>
              <w:rPr>
                <w:sz w:val="16"/>
              </w:rPr>
            </w:pPr>
          </w:p>
        </w:tc>
        <w:tc>
          <w:tcPr>
            <w:tcW w:w="2023" w:type="dxa"/>
          </w:tcPr>
          <w:p w:rsidR="00AA5D77" w:rsidRPr="006C40C1" w:rsidRDefault="00AA5D77">
            <w:pPr>
              <w:spacing w:before="0"/>
              <w:rPr>
                <w:sz w:val="16"/>
              </w:rPr>
            </w:pPr>
            <w:r w:rsidRPr="006C40C1">
              <w:rPr>
                <w:sz w:val="16"/>
              </w:rPr>
              <w:t>a) drift av motordrivet fordon, fartyg eller luftfartyg</w:t>
            </w:r>
          </w:p>
        </w:tc>
        <w:tc>
          <w:tcPr>
            <w:tcW w:w="1430" w:type="dxa"/>
          </w:tcPr>
          <w:p w:rsidR="00AA5D77" w:rsidRPr="006C40C1" w:rsidRDefault="00AA5D77">
            <w:pPr>
              <w:spacing w:before="0"/>
              <w:rPr>
                <w:sz w:val="16"/>
              </w:rPr>
            </w:pPr>
            <w:r w:rsidRPr="006C40C1">
              <w:rPr>
                <w:sz w:val="16"/>
              </w:rPr>
              <w:t xml:space="preserve">0 kr per </w:t>
            </w:r>
          </w:p>
          <w:p w:rsidR="00AA5D77" w:rsidRPr="006C40C1" w:rsidRDefault="00AA5D77">
            <w:pPr>
              <w:spacing w:before="0"/>
              <w:rPr>
                <w:sz w:val="16"/>
              </w:rPr>
            </w:pPr>
            <w:r w:rsidRPr="006C40C1">
              <w:rPr>
                <w:sz w:val="16"/>
              </w:rPr>
              <w:t>1 000 kg</w:t>
            </w:r>
          </w:p>
        </w:tc>
        <w:tc>
          <w:tcPr>
            <w:tcW w:w="1321" w:type="dxa"/>
          </w:tcPr>
          <w:p w:rsidR="00AA5D77" w:rsidRPr="006C40C1" w:rsidRDefault="00AA5D77">
            <w:pPr>
              <w:spacing w:before="0"/>
              <w:jc w:val="left"/>
              <w:rPr>
                <w:sz w:val="16"/>
              </w:rPr>
            </w:pPr>
            <w:r w:rsidRPr="006C40C1">
              <w:rPr>
                <w:i/>
                <w:sz w:val="16"/>
              </w:rPr>
              <w:t>1 322</w:t>
            </w:r>
            <w:r w:rsidRPr="006C40C1">
              <w:rPr>
                <w:sz w:val="16"/>
              </w:rPr>
              <w:t xml:space="preserve"> kr per </w:t>
            </w:r>
            <w:r w:rsidRPr="006C40C1">
              <w:rPr>
                <w:sz w:val="16"/>
              </w:rPr>
              <w:br/>
              <w:t>1 000 kg</w:t>
            </w:r>
          </w:p>
        </w:tc>
        <w:tc>
          <w:tcPr>
            <w:tcW w:w="1320" w:type="dxa"/>
          </w:tcPr>
          <w:p w:rsidR="00AA5D77" w:rsidRPr="006C40C1" w:rsidRDefault="00AA5D77">
            <w:pPr>
              <w:spacing w:before="0"/>
              <w:jc w:val="left"/>
              <w:rPr>
                <w:sz w:val="16"/>
              </w:rPr>
            </w:pPr>
            <w:r w:rsidRPr="006C40C1">
              <w:rPr>
                <w:i/>
                <w:sz w:val="16"/>
              </w:rPr>
              <w:t xml:space="preserve">1 322 </w:t>
            </w:r>
            <w:r w:rsidRPr="006C40C1">
              <w:rPr>
                <w:sz w:val="16"/>
              </w:rPr>
              <w:t xml:space="preserve">kr per </w:t>
            </w:r>
            <w:r w:rsidRPr="006C40C1">
              <w:rPr>
                <w:sz w:val="16"/>
              </w:rPr>
              <w:br/>
              <w:t>1 000 kg</w:t>
            </w: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p>
        </w:tc>
        <w:tc>
          <w:tcPr>
            <w:tcW w:w="1276" w:type="dxa"/>
          </w:tcPr>
          <w:p w:rsidR="00AA5D77" w:rsidRPr="006C40C1" w:rsidRDefault="00AA5D77">
            <w:pPr>
              <w:spacing w:before="0"/>
              <w:rPr>
                <w:sz w:val="16"/>
              </w:rPr>
            </w:pPr>
          </w:p>
        </w:tc>
        <w:tc>
          <w:tcPr>
            <w:tcW w:w="2023" w:type="dxa"/>
          </w:tcPr>
          <w:p w:rsidR="00AA5D77" w:rsidRPr="006C40C1" w:rsidRDefault="00AA5D77">
            <w:pPr>
              <w:spacing w:before="0"/>
              <w:rPr>
                <w:sz w:val="16"/>
              </w:rPr>
            </w:pPr>
            <w:r w:rsidRPr="006C40C1">
              <w:rPr>
                <w:sz w:val="16"/>
              </w:rPr>
              <w:t>b) annat ändamål än som avses under a</w:t>
            </w:r>
          </w:p>
        </w:tc>
        <w:tc>
          <w:tcPr>
            <w:tcW w:w="1430" w:type="dxa"/>
          </w:tcPr>
          <w:p w:rsidR="00AA5D77" w:rsidRPr="006C40C1" w:rsidRDefault="00AA5D77">
            <w:pPr>
              <w:spacing w:before="0"/>
              <w:rPr>
                <w:sz w:val="16"/>
              </w:rPr>
            </w:pPr>
            <w:r w:rsidRPr="006C40C1">
              <w:rPr>
                <w:i/>
                <w:sz w:val="16"/>
              </w:rPr>
              <w:t>141</w:t>
            </w:r>
            <w:r w:rsidRPr="006C40C1">
              <w:rPr>
                <w:sz w:val="16"/>
              </w:rPr>
              <w:t xml:space="preserve"> kr per </w:t>
            </w:r>
          </w:p>
          <w:p w:rsidR="00AA5D77" w:rsidRPr="006C40C1" w:rsidRDefault="00AA5D77">
            <w:pPr>
              <w:spacing w:before="0"/>
              <w:rPr>
                <w:sz w:val="16"/>
              </w:rPr>
            </w:pPr>
            <w:r w:rsidRPr="006C40C1">
              <w:rPr>
                <w:sz w:val="16"/>
              </w:rPr>
              <w:t>1 000 kg</w:t>
            </w:r>
          </w:p>
        </w:tc>
        <w:tc>
          <w:tcPr>
            <w:tcW w:w="1321" w:type="dxa"/>
          </w:tcPr>
          <w:p w:rsidR="00AA5D77" w:rsidRPr="006C40C1" w:rsidRDefault="00AA5D77">
            <w:pPr>
              <w:spacing w:before="0"/>
              <w:rPr>
                <w:sz w:val="16"/>
              </w:rPr>
            </w:pPr>
            <w:r w:rsidRPr="006C40C1">
              <w:rPr>
                <w:i/>
                <w:sz w:val="16"/>
              </w:rPr>
              <w:t xml:space="preserve">2 229 </w:t>
            </w:r>
            <w:r w:rsidRPr="006C40C1">
              <w:rPr>
                <w:sz w:val="16"/>
              </w:rPr>
              <w:t xml:space="preserve">kr per </w:t>
            </w:r>
          </w:p>
          <w:p w:rsidR="00AA5D77" w:rsidRPr="006C40C1" w:rsidRDefault="00AA5D77">
            <w:pPr>
              <w:spacing w:before="0"/>
              <w:rPr>
                <w:sz w:val="16"/>
              </w:rPr>
            </w:pPr>
            <w:r w:rsidRPr="006C40C1">
              <w:rPr>
                <w:sz w:val="16"/>
              </w:rPr>
              <w:t>1 000 kg</w:t>
            </w:r>
          </w:p>
        </w:tc>
        <w:tc>
          <w:tcPr>
            <w:tcW w:w="1320" w:type="dxa"/>
          </w:tcPr>
          <w:p w:rsidR="00AA5D77" w:rsidRPr="006C40C1" w:rsidRDefault="00AA5D77">
            <w:pPr>
              <w:spacing w:before="0"/>
              <w:rPr>
                <w:sz w:val="16"/>
              </w:rPr>
            </w:pPr>
            <w:r w:rsidRPr="006C40C1">
              <w:rPr>
                <w:i/>
                <w:sz w:val="16"/>
              </w:rPr>
              <w:t>2 370</w:t>
            </w:r>
            <w:r w:rsidRPr="006C40C1">
              <w:rPr>
                <w:sz w:val="16"/>
              </w:rPr>
              <w:t xml:space="preserve"> kr per </w:t>
            </w:r>
          </w:p>
          <w:p w:rsidR="00AA5D77" w:rsidRPr="006C40C1" w:rsidRDefault="00AA5D77">
            <w:pPr>
              <w:spacing w:before="0"/>
              <w:rPr>
                <w:sz w:val="16"/>
              </w:rPr>
            </w:pPr>
            <w:r w:rsidRPr="006C40C1">
              <w:rPr>
                <w:sz w:val="16"/>
              </w:rPr>
              <w:t>1 000 kg</w:t>
            </w: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r w:rsidRPr="006C40C1">
              <w:rPr>
                <w:sz w:val="16"/>
              </w:rPr>
              <w:t>5.</w:t>
            </w:r>
          </w:p>
        </w:tc>
        <w:tc>
          <w:tcPr>
            <w:tcW w:w="1276" w:type="dxa"/>
          </w:tcPr>
          <w:p w:rsidR="00AA5D77" w:rsidRPr="006C40C1" w:rsidRDefault="00AA5D77">
            <w:pPr>
              <w:spacing w:before="0"/>
              <w:rPr>
                <w:sz w:val="16"/>
              </w:rPr>
            </w:pPr>
            <w:r w:rsidRPr="006C40C1">
              <w:rPr>
                <w:sz w:val="16"/>
              </w:rPr>
              <w:t>ur 2711 29 00</w:t>
            </w:r>
          </w:p>
        </w:tc>
        <w:tc>
          <w:tcPr>
            <w:tcW w:w="2023" w:type="dxa"/>
          </w:tcPr>
          <w:p w:rsidR="00AA5D77" w:rsidRPr="006C40C1" w:rsidRDefault="00AA5D77">
            <w:pPr>
              <w:spacing w:before="0"/>
              <w:rPr>
                <w:sz w:val="16"/>
              </w:rPr>
            </w:pPr>
            <w:r w:rsidRPr="006C40C1">
              <w:rPr>
                <w:sz w:val="16"/>
              </w:rPr>
              <w:t>Metan som används för</w:t>
            </w:r>
          </w:p>
        </w:tc>
        <w:tc>
          <w:tcPr>
            <w:tcW w:w="1430" w:type="dxa"/>
          </w:tcPr>
          <w:p w:rsidR="00AA5D77" w:rsidRPr="006C40C1" w:rsidRDefault="00AA5D77">
            <w:pPr>
              <w:spacing w:before="0"/>
              <w:rPr>
                <w:sz w:val="16"/>
              </w:rPr>
            </w:pPr>
          </w:p>
        </w:tc>
        <w:tc>
          <w:tcPr>
            <w:tcW w:w="1321" w:type="dxa"/>
          </w:tcPr>
          <w:p w:rsidR="00AA5D77" w:rsidRPr="006C40C1" w:rsidRDefault="00AA5D77">
            <w:pPr>
              <w:spacing w:before="0"/>
              <w:rPr>
                <w:sz w:val="16"/>
              </w:rPr>
            </w:pPr>
          </w:p>
        </w:tc>
        <w:tc>
          <w:tcPr>
            <w:tcW w:w="1320" w:type="dxa"/>
          </w:tcPr>
          <w:p w:rsidR="00AA5D77" w:rsidRPr="006C40C1" w:rsidRDefault="00AA5D77">
            <w:pPr>
              <w:spacing w:before="0"/>
              <w:rPr>
                <w:sz w:val="16"/>
              </w:rPr>
            </w:pP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p>
        </w:tc>
        <w:tc>
          <w:tcPr>
            <w:tcW w:w="1276" w:type="dxa"/>
          </w:tcPr>
          <w:p w:rsidR="00AA5D77" w:rsidRPr="006C40C1" w:rsidRDefault="00AA5D77">
            <w:pPr>
              <w:spacing w:before="0"/>
              <w:rPr>
                <w:sz w:val="16"/>
              </w:rPr>
            </w:pPr>
          </w:p>
        </w:tc>
        <w:tc>
          <w:tcPr>
            <w:tcW w:w="2023" w:type="dxa"/>
          </w:tcPr>
          <w:p w:rsidR="00AA5D77" w:rsidRPr="006C40C1" w:rsidRDefault="00AA5D77">
            <w:pPr>
              <w:spacing w:before="0"/>
              <w:rPr>
                <w:sz w:val="16"/>
              </w:rPr>
            </w:pPr>
            <w:r w:rsidRPr="006C40C1">
              <w:rPr>
                <w:sz w:val="16"/>
              </w:rPr>
              <w:t>a) drift av motordrivet fordon, fartyg eller luftfartyg</w:t>
            </w:r>
          </w:p>
        </w:tc>
        <w:tc>
          <w:tcPr>
            <w:tcW w:w="1430" w:type="dxa"/>
          </w:tcPr>
          <w:p w:rsidR="00AA5D77" w:rsidRPr="006C40C1" w:rsidRDefault="00AA5D77">
            <w:pPr>
              <w:spacing w:before="0"/>
              <w:rPr>
                <w:sz w:val="16"/>
              </w:rPr>
            </w:pPr>
            <w:r w:rsidRPr="006C40C1">
              <w:rPr>
                <w:sz w:val="16"/>
              </w:rPr>
              <w:t xml:space="preserve">0 kr per </w:t>
            </w:r>
          </w:p>
          <w:p w:rsidR="00AA5D77" w:rsidRPr="006C40C1" w:rsidRDefault="00AA5D77">
            <w:pPr>
              <w:spacing w:before="0"/>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rPr>
                <w:sz w:val="16"/>
              </w:rPr>
            </w:pPr>
            <w:r w:rsidRPr="006C40C1">
              <w:rPr>
                <w:i/>
                <w:sz w:val="16"/>
              </w:rPr>
              <w:t>1 087</w:t>
            </w:r>
            <w:r w:rsidRPr="006C40C1">
              <w:rPr>
                <w:sz w:val="16"/>
              </w:rPr>
              <w:t xml:space="preserve"> kr per </w:t>
            </w:r>
          </w:p>
          <w:p w:rsidR="00AA5D77" w:rsidRPr="006C40C1" w:rsidRDefault="00AA5D77">
            <w:pPr>
              <w:spacing w:before="0"/>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rPr>
                <w:sz w:val="16"/>
              </w:rPr>
            </w:pPr>
            <w:r w:rsidRPr="006C40C1">
              <w:rPr>
                <w:i/>
                <w:sz w:val="16"/>
              </w:rPr>
              <w:t>1 087</w:t>
            </w:r>
            <w:r w:rsidRPr="006C40C1">
              <w:rPr>
                <w:sz w:val="16"/>
              </w:rPr>
              <w:t xml:space="preserve"> kr per </w:t>
            </w:r>
          </w:p>
          <w:p w:rsidR="00AA5D77" w:rsidRPr="006C40C1" w:rsidRDefault="00AA5D77">
            <w:pPr>
              <w:spacing w:before="0"/>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rPr>
                <w:sz w:val="16"/>
              </w:rPr>
            </w:pPr>
          </w:p>
        </w:tc>
        <w:tc>
          <w:tcPr>
            <w:tcW w:w="1276" w:type="dxa"/>
          </w:tcPr>
          <w:p w:rsidR="00AA5D77" w:rsidRPr="006C40C1" w:rsidRDefault="00AA5D77">
            <w:pPr>
              <w:spacing w:before="0"/>
              <w:rPr>
                <w:sz w:val="16"/>
              </w:rPr>
            </w:pPr>
          </w:p>
        </w:tc>
        <w:tc>
          <w:tcPr>
            <w:tcW w:w="2023" w:type="dxa"/>
          </w:tcPr>
          <w:p w:rsidR="00AA5D77" w:rsidRPr="006C40C1" w:rsidRDefault="00AA5D77">
            <w:pPr>
              <w:spacing w:before="0"/>
              <w:rPr>
                <w:sz w:val="16"/>
              </w:rPr>
            </w:pPr>
            <w:r w:rsidRPr="006C40C1">
              <w:rPr>
                <w:sz w:val="16"/>
              </w:rPr>
              <w:t>b) annat ändamål än som avses under a</w:t>
            </w:r>
          </w:p>
        </w:tc>
        <w:tc>
          <w:tcPr>
            <w:tcW w:w="1430" w:type="dxa"/>
          </w:tcPr>
          <w:p w:rsidR="00AA5D77" w:rsidRPr="006C40C1" w:rsidRDefault="00AA5D77">
            <w:pPr>
              <w:spacing w:before="0"/>
              <w:rPr>
                <w:sz w:val="16"/>
              </w:rPr>
            </w:pPr>
            <w:r w:rsidRPr="006C40C1">
              <w:rPr>
                <w:i/>
                <w:sz w:val="16"/>
              </w:rPr>
              <w:t>233</w:t>
            </w:r>
            <w:r w:rsidRPr="006C40C1">
              <w:rPr>
                <w:sz w:val="16"/>
              </w:rPr>
              <w:t xml:space="preserve"> kr per </w:t>
            </w:r>
          </w:p>
          <w:p w:rsidR="00AA5D77" w:rsidRPr="006C40C1" w:rsidRDefault="00AA5D77">
            <w:pPr>
              <w:spacing w:before="0"/>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rPr>
                <w:sz w:val="16"/>
              </w:rPr>
            </w:pPr>
            <w:r w:rsidRPr="006C40C1">
              <w:rPr>
                <w:i/>
                <w:sz w:val="16"/>
              </w:rPr>
              <w:t xml:space="preserve">1 587 </w:t>
            </w:r>
            <w:r w:rsidRPr="006C40C1">
              <w:rPr>
                <w:sz w:val="16"/>
              </w:rPr>
              <w:t xml:space="preserve">kr per </w:t>
            </w:r>
          </w:p>
          <w:p w:rsidR="00AA5D77" w:rsidRPr="006C40C1" w:rsidRDefault="00AA5D77">
            <w:pPr>
              <w:spacing w:before="0"/>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rPr>
                <w:sz w:val="16"/>
              </w:rPr>
            </w:pPr>
            <w:r w:rsidRPr="006C40C1">
              <w:rPr>
                <w:i/>
                <w:sz w:val="16"/>
              </w:rPr>
              <w:t>1 820</w:t>
            </w:r>
            <w:r w:rsidRPr="006C40C1">
              <w:rPr>
                <w:sz w:val="16"/>
              </w:rPr>
              <w:t xml:space="preserve"> kr per </w:t>
            </w:r>
          </w:p>
          <w:p w:rsidR="00AA5D77" w:rsidRPr="006C40C1" w:rsidRDefault="00AA5D77">
            <w:pPr>
              <w:spacing w:before="0"/>
              <w:rPr>
                <w:sz w:val="16"/>
              </w:rPr>
            </w:pPr>
            <w:r w:rsidRPr="006C40C1">
              <w:rPr>
                <w:sz w:val="16"/>
              </w:rPr>
              <w:t>1 000 m</w:t>
            </w:r>
            <w:r w:rsidRPr="006C40C1">
              <w:rPr>
                <w:sz w:val="16"/>
                <w:vertAlign w:val="superscript"/>
              </w:rPr>
              <w:t>3</w:t>
            </w:r>
          </w:p>
        </w:tc>
      </w:tr>
    </w:tbl>
    <w:p w:rsidR="00AA5D77" w:rsidRPr="006C40C1" w:rsidRDefault="00AA5D77"/>
    <w:tbl>
      <w:tblPr>
        <w:tblW w:w="0" w:type="auto"/>
        <w:tblInd w:w="-142" w:type="dxa"/>
        <w:tblLayout w:type="fixed"/>
        <w:tblCellMar>
          <w:left w:w="70" w:type="dxa"/>
          <w:right w:w="70" w:type="dxa"/>
        </w:tblCellMar>
        <w:tblLook w:val="0000" w:firstRow="0" w:lastRow="0" w:firstColumn="0" w:lastColumn="0" w:noHBand="0" w:noVBand="0"/>
      </w:tblPr>
      <w:tblGrid>
        <w:gridCol w:w="284"/>
        <w:gridCol w:w="1276"/>
        <w:gridCol w:w="2023"/>
        <w:gridCol w:w="1056"/>
        <w:gridCol w:w="1321"/>
        <w:gridCol w:w="1320"/>
      </w:tblGrid>
      <w:tr w:rsidR="00000000" w:rsidRPr="006C40C1">
        <w:tblPrEx>
          <w:tblCellMar>
            <w:top w:w="0" w:type="dxa"/>
            <w:bottom w:w="0" w:type="dxa"/>
          </w:tblCellMar>
        </w:tblPrEx>
        <w:trPr>
          <w:tblHeader/>
        </w:trPr>
        <w:tc>
          <w:tcPr>
            <w:tcW w:w="284" w:type="dxa"/>
            <w:tcBorders>
              <w:top w:val="single" w:sz="6" w:space="0" w:color="auto"/>
            </w:tcBorders>
          </w:tcPr>
          <w:p w:rsidR="00AA5D77" w:rsidRPr="006C40C1" w:rsidRDefault="00AA5D77">
            <w:pPr>
              <w:spacing w:before="0"/>
              <w:rPr>
                <w:sz w:val="16"/>
              </w:rPr>
            </w:pPr>
          </w:p>
        </w:tc>
        <w:tc>
          <w:tcPr>
            <w:tcW w:w="1276" w:type="dxa"/>
            <w:tcBorders>
              <w:top w:val="single" w:sz="6" w:space="0" w:color="auto"/>
            </w:tcBorders>
          </w:tcPr>
          <w:p w:rsidR="00AA5D77" w:rsidRPr="006C40C1" w:rsidRDefault="00AA5D77">
            <w:pPr>
              <w:spacing w:before="0"/>
              <w:rPr>
                <w:sz w:val="16"/>
              </w:rPr>
            </w:pPr>
            <w:r w:rsidRPr="006C40C1">
              <w:rPr>
                <w:sz w:val="16"/>
              </w:rPr>
              <w:t>KN-nr</w:t>
            </w:r>
          </w:p>
        </w:tc>
        <w:tc>
          <w:tcPr>
            <w:tcW w:w="2023" w:type="dxa"/>
            <w:tcBorders>
              <w:top w:val="single" w:sz="6" w:space="0" w:color="auto"/>
            </w:tcBorders>
          </w:tcPr>
          <w:p w:rsidR="00AA5D77" w:rsidRPr="006C40C1" w:rsidRDefault="00AA5D77">
            <w:pPr>
              <w:spacing w:before="0"/>
              <w:rPr>
                <w:sz w:val="16"/>
              </w:rPr>
            </w:pPr>
            <w:r w:rsidRPr="006C40C1">
              <w:rPr>
                <w:sz w:val="16"/>
              </w:rPr>
              <w:t>Slag av bränsle</w:t>
            </w:r>
          </w:p>
        </w:tc>
        <w:tc>
          <w:tcPr>
            <w:tcW w:w="1056" w:type="dxa"/>
            <w:tcBorders>
              <w:top w:val="single" w:sz="6" w:space="0" w:color="auto"/>
            </w:tcBorders>
          </w:tcPr>
          <w:p w:rsidR="00AA5D77" w:rsidRPr="006C40C1" w:rsidRDefault="00AA5D77">
            <w:pPr>
              <w:spacing w:before="0"/>
              <w:rPr>
                <w:sz w:val="16"/>
              </w:rPr>
            </w:pPr>
            <w:r w:rsidRPr="006C40C1">
              <w:rPr>
                <w:sz w:val="16"/>
              </w:rPr>
              <w:t>Skattebelopp</w:t>
            </w:r>
          </w:p>
        </w:tc>
        <w:tc>
          <w:tcPr>
            <w:tcW w:w="1321" w:type="dxa"/>
            <w:tcBorders>
              <w:top w:val="single" w:sz="6" w:space="0" w:color="auto"/>
            </w:tcBorders>
          </w:tcPr>
          <w:p w:rsidR="00AA5D77" w:rsidRPr="006C40C1" w:rsidRDefault="00AA5D77">
            <w:pPr>
              <w:spacing w:before="0"/>
              <w:rPr>
                <w:sz w:val="16"/>
              </w:rPr>
            </w:pPr>
          </w:p>
        </w:tc>
        <w:tc>
          <w:tcPr>
            <w:tcW w:w="1320" w:type="dxa"/>
            <w:tcBorders>
              <w:top w:val="single" w:sz="6" w:space="0" w:color="auto"/>
            </w:tcBorders>
          </w:tcPr>
          <w:p w:rsidR="00AA5D77" w:rsidRPr="006C40C1" w:rsidRDefault="00AA5D77">
            <w:pPr>
              <w:spacing w:before="0"/>
              <w:rPr>
                <w:sz w:val="16"/>
              </w:rPr>
            </w:pPr>
          </w:p>
        </w:tc>
      </w:tr>
      <w:tr w:rsidR="00000000" w:rsidRPr="006C40C1">
        <w:tblPrEx>
          <w:tblCellMar>
            <w:top w:w="0" w:type="dxa"/>
            <w:bottom w:w="0" w:type="dxa"/>
          </w:tblCellMar>
        </w:tblPrEx>
        <w:trPr>
          <w:tblHeader/>
        </w:trPr>
        <w:tc>
          <w:tcPr>
            <w:tcW w:w="284" w:type="dxa"/>
            <w:tcBorders>
              <w:bottom w:val="single" w:sz="6" w:space="0" w:color="auto"/>
            </w:tcBorders>
          </w:tcPr>
          <w:p w:rsidR="00AA5D77" w:rsidRPr="006C40C1" w:rsidRDefault="00AA5D77">
            <w:pPr>
              <w:spacing w:before="0"/>
              <w:rPr>
                <w:sz w:val="16"/>
              </w:rPr>
            </w:pPr>
          </w:p>
        </w:tc>
        <w:tc>
          <w:tcPr>
            <w:tcW w:w="1276" w:type="dxa"/>
            <w:tcBorders>
              <w:bottom w:val="single" w:sz="6" w:space="0" w:color="auto"/>
            </w:tcBorders>
          </w:tcPr>
          <w:p w:rsidR="00AA5D77" w:rsidRPr="006C40C1" w:rsidRDefault="00AA5D77">
            <w:pPr>
              <w:spacing w:before="0"/>
              <w:rPr>
                <w:sz w:val="16"/>
              </w:rPr>
            </w:pPr>
          </w:p>
        </w:tc>
        <w:tc>
          <w:tcPr>
            <w:tcW w:w="2023" w:type="dxa"/>
            <w:tcBorders>
              <w:bottom w:val="single" w:sz="6" w:space="0" w:color="auto"/>
            </w:tcBorders>
          </w:tcPr>
          <w:p w:rsidR="00AA5D77" w:rsidRPr="006C40C1" w:rsidRDefault="00AA5D77">
            <w:pPr>
              <w:spacing w:before="0"/>
              <w:rPr>
                <w:sz w:val="16"/>
              </w:rPr>
            </w:pPr>
          </w:p>
        </w:tc>
        <w:tc>
          <w:tcPr>
            <w:tcW w:w="1056" w:type="dxa"/>
            <w:tcBorders>
              <w:top w:val="single" w:sz="6" w:space="0" w:color="auto"/>
              <w:bottom w:val="single" w:sz="6" w:space="0" w:color="auto"/>
            </w:tcBorders>
          </w:tcPr>
          <w:p w:rsidR="00AA5D77" w:rsidRPr="006C40C1" w:rsidRDefault="00AA5D77">
            <w:pPr>
              <w:spacing w:before="0"/>
              <w:rPr>
                <w:sz w:val="16"/>
              </w:rPr>
            </w:pPr>
            <w:r w:rsidRPr="006C40C1">
              <w:rPr>
                <w:sz w:val="16"/>
              </w:rPr>
              <w:t>Energiskatt</w:t>
            </w:r>
          </w:p>
        </w:tc>
        <w:tc>
          <w:tcPr>
            <w:tcW w:w="1321" w:type="dxa"/>
            <w:tcBorders>
              <w:top w:val="single" w:sz="6" w:space="0" w:color="auto"/>
              <w:bottom w:val="single" w:sz="6" w:space="0" w:color="auto"/>
            </w:tcBorders>
          </w:tcPr>
          <w:p w:rsidR="00AA5D77" w:rsidRPr="006C40C1" w:rsidRDefault="00AA5D77">
            <w:pPr>
              <w:spacing w:before="0"/>
              <w:rPr>
                <w:sz w:val="16"/>
              </w:rPr>
            </w:pPr>
            <w:r w:rsidRPr="006C40C1">
              <w:rPr>
                <w:sz w:val="16"/>
              </w:rPr>
              <w:t>Koldioxidskatt</w:t>
            </w:r>
          </w:p>
        </w:tc>
        <w:tc>
          <w:tcPr>
            <w:tcW w:w="1320" w:type="dxa"/>
            <w:tcBorders>
              <w:top w:val="single" w:sz="6" w:space="0" w:color="auto"/>
              <w:bottom w:val="single" w:sz="6" w:space="0" w:color="auto"/>
            </w:tcBorders>
          </w:tcPr>
          <w:p w:rsidR="00AA5D77" w:rsidRPr="006C40C1" w:rsidRDefault="00AA5D77">
            <w:pPr>
              <w:spacing w:before="0"/>
              <w:rPr>
                <w:sz w:val="16"/>
              </w:rPr>
            </w:pPr>
            <w:r w:rsidRPr="006C40C1">
              <w:rPr>
                <w:sz w:val="16"/>
              </w:rPr>
              <w:t>Summa skatt</w:t>
            </w:r>
          </w:p>
        </w:tc>
      </w:tr>
      <w:tr w:rsidR="00000000" w:rsidRPr="006C40C1">
        <w:tblPrEx>
          <w:tblCellMar>
            <w:top w:w="0" w:type="dxa"/>
            <w:bottom w:w="0" w:type="dxa"/>
          </w:tblCellMar>
        </w:tblPrEx>
        <w:tc>
          <w:tcPr>
            <w:tcW w:w="284" w:type="dxa"/>
          </w:tcPr>
          <w:p w:rsidR="00AA5D77" w:rsidRPr="006C40C1" w:rsidRDefault="00AA5D77">
            <w:pPr>
              <w:spacing w:before="0"/>
              <w:rPr>
                <w:sz w:val="16"/>
              </w:rPr>
            </w:pPr>
            <w:r w:rsidRPr="006C40C1">
              <w:rPr>
                <w:sz w:val="16"/>
              </w:rPr>
              <w:t>6.</w:t>
            </w:r>
          </w:p>
        </w:tc>
        <w:tc>
          <w:tcPr>
            <w:tcW w:w="1276" w:type="dxa"/>
          </w:tcPr>
          <w:p w:rsidR="00AA5D77" w:rsidRPr="006C40C1" w:rsidRDefault="00AA5D77">
            <w:pPr>
              <w:spacing w:before="0"/>
              <w:rPr>
                <w:sz w:val="16"/>
              </w:rPr>
            </w:pPr>
            <w:r w:rsidRPr="006C40C1">
              <w:rPr>
                <w:sz w:val="16"/>
              </w:rPr>
              <w:t>2711 11 00, 2711 21 00</w:t>
            </w:r>
          </w:p>
        </w:tc>
        <w:tc>
          <w:tcPr>
            <w:tcW w:w="2023" w:type="dxa"/>
          </w:tcPr>
          <w:p w:rsidR="00AA5D77" w:rsidRPr="006C40C1" w:rsidRDefault="00AA5D77">
            <w:pPr>
              <w:spacing w:before="0"/>
              <w:rPr>
                <w:sz w:val="16"/>
              </w:rPr>
            </w:pPr>
            <w:r w:rsidRPr="006C40C1">
              <w:rPr>
                <w:sz w:val="16"/>
              </w:rPr>
              <w:t>Naturgas som används för</w:t>
            </w:r>
          </w:p>
        </w:tc>
        <w:tc>
          <w:tcPr>
            <w:tcW w:w="1056" w:type="dxa"/>
          </w:tcPr>
          <w:p w:rsidR="00AA5D77" w:rsidRPr="006C40C1" w:rsidRDefault="00AA5D77">
            <w:pPr>
              <w:spacing w:before="0"/>
              <w:rPr>
                <w:sz w:val="16"/>
              </w:rPr>
            </w:pPr>
          </w:p>
        </w:tc>
        <w:tc>
          <w:tcPr>
            <w:tcW w:w="1321" w:type="dxa"/>
          </w:tcPr>
          <w:p w:rsidR="00AA5D77" w:rsidRPr="006C40C1" w:rsidRDefault="00AA5D77">
            <w:pPr>
              <w:spacing w:before="0"/>
              <w:rPr>
                <w:sz w:val="16"/>
              </w:rPr>
            </w:pPr>
          </w:p>
        </w:tc>
        <w:tc>
          <w:tcPr>
            <w:tcW w:w="1320" w:type="dxa"/>
          </w:tcPr>
          <w:p w:rsidR="00AA5D77" w:rsidRPr="006C40C1" w:rsidRDefault="00AA5D77">
            <w:pPr>
              <w:spacing w:before="0"/>
              <w:rPr>
                <w:sz w:val="16"/>
              </w:rPr>
            </w:pPr>
          </w:p>
        </w:tc>
      </w:tr>
      <w:tr w:rsidR="00000000" w:rsidRPr="006C40C1">
        <w:tblPrEx>
          <w:tblCellMar>
            <w:top w:w="0" w:type="dxa"/>
            <w:bottom w:w="0" w:type="dxa"/>
          </w:tblCellMar>
        </w:tblPrEx>
        <w:tc>
          <w:tcPr>
            <w:tcW w:w="284" w:type="dxa"/>
          </w:tcPr>
          <w:p w:rsidR="00AA5D77" w:rsidRPr="006C40C1" w:rsidRDefault="00AA5D77">
            <w:pPr>
              <w:spacing w:before="0"/>
              <w:rPr>
                <w:sz w:val="16"/>
              </w:rPr>
            </w:pPr>
          </w:p>
        </w:tc>
        <w:tc>
          <w:tcPr>
            <w:tcW w:w="1276" w:type="dxa"/>
          </w:tcPr>
          <w:p w:rsidR="00AA5D77" w:rsidRPr="006C40C1" w:rsidRDefault="00AA5D77">
            <w:pPr>
              <w:spacing w:before="0"/>
              <w:rPr>
                <w:sz w:val="16"/>
              </w:rPr>
            </w:pPr>
          </w:p>
        </w:tc>
        <w:tc>
          <w:tcPr>
            <w:tcW w:w="2023" w:type="dxa"/>
          </w:tcPr>
          <w:p w:rsidR="00AA5D77" w:rsidRPr="006C40C1" w:rsidRDefault="00AA5D77">
            <w:pPr>
              <w:spacing w:before="0"/>
              <w:rPr>
                <w:sz w:val="16"/>
              </w:rPr>
            </w:pPr>
            <w:r w:rsidRPr="006C40C1">
              <w:rPr>
                <w:sz w:val="16"/>
              </w:rPr>
              <w:t>a) drift av motordrivet fordon, fartyg eller luftfartyg</w:t>
            </w:r>
          </w:p>
        </w:tc>
        <w:tc>
          <w:tcPr>
            <w:tcW w:w="1056" w:type="dxa"/>
          </w:tcPr>
          <w:p w:rsidR="00AA5D77" w:rsidRPr="006C40C1" w:rsidRDefault="00AA5D77">
            <w:pPr>
              <w:spacing w:before="0"/>
              <w:rPr>
                <w:sz w:val="16"/>
              </w:rPr>
            </w:pPr>
            <w:r w:rsidRPr="006C40C1">
              <w:rPr>
                <w:sz w:val="16"/>
              </w:rPr>
              <w:t xml:space="preserve">0 kr per </w:t>
            </w:r>
          </w:p>
          <w:p w:rsidR="00AA5D77" w:rsidRPr="006C40C1" w:rsidRDefault="00AA5D77">
            <w:pPr>
              <w:spacing w:before="0"/>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rPr>
                <w:sz w:val="16"/>
              </w:rPr>
            </w:pPr>
            <w:r w:rsidRPr="006C40C1">
              <w:rPr>
                <w:i/>
                <w:sz w:val="16"/>
              </w:rPr>
              <w:t>1 087</w:t>
            </w:r>
            <w:r w:rsidRPr="006C40C1">
              <w:rPr>
                <w:sz w:val="16"/>
              </w:rPr>
              <w:t xml:space="preserve"> kr per </w:t>
            </w:r>
          </w:p>
          <w:p w:rsidR="00AA5D77" w:rsidRPr="006C40C1" w:rsidRDefault="00AA5D77">
            <w:pPr>
              <w:spacing w:before="0"/>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rPr>
                <w:sz w:val="16"/>
              </w:rPr>
            </w:pPr>
            <w:r w:rsidRPr="006C40C1">
              <w:rPr>
                <w:i/>
                <w:sz w:val="16"/>
              </w:rPr>
              <w:t>1 087</w:t>
            </w:r>
            <w:r w:rsidRPr="006C40C1">
              <w:rPr>
                <w:sz w:val="16"/>
              </w:rPr>
              <w:t xml:space="preserve"> kr per </w:t>
            </w:r>
          </w:p>
          <w:p w:rsidR="00AA5D77" w:rsidRPr="006C40C1" w:rsidRDefault="00AA5D77">
            <w:pPr>
              <w:spacing w:before="0"/>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c>
          <w:tcPr>
            <w:tcW w:w="284" w:type="dxa"/>
          </w:tcPr>
          <w:p w:rsidR="00AA5D77" w:rsidRPr="006C40C1" w:rsidRDefault="00AA5D77">
            <w:pPr>
              <w:spacing w:before="0"/>
              <w:rPr>
                <w:sz w:val="16"/>
              </w:rPr>
            </w:pPr>
          </w:p>
        </w:tc>
        <w:tc>
          <w:tcPr>
            <w:tcW w:w="1276" w:type="dxa"/>
          </w:tcPr>
          <w:p w:rsidR="00AA5D77" w:rsidRPr="006C40C1" w:rsidRDefault="00AA5D77">
            <w:pPr>
              <w:spacing w:before="0"/>
              <w:rPr>
                <w:sz w:val="16"/>
              </w:rPr>
            </w:pPr>
          </w:p>
        </w:tc>
        <w:tc>
          <w:tcPr>
            <w:tcW w:w="2023" w:type="dxa"/>
          </w:tcPr>
          <w:p w:rsidR="00AA5D77" w:rsidRPr="006C40C1" w:rsidRDefault="00AA5D77">
            <w:pPr>
              <w:spacing w:before="0"/>
              <w:rPr>
                <w:sz w:val="16"/>
              </w:rPr>
            </w:pPr>
            <w:r w:rsidRPr="006C40C1">
              <w:rPr>
                <w:sz w:val="16"/>
              </w:rPr>
              <w:t>b) annat ändamål än som avses under a</w:t>
            </w:r>
          </w:p>
        </w:tc>
        <w:tc>
          <w:tcPr>
            <w:tcW w:w="1056" w:type="dxa"/>
          </w:tcPr>
          <w:p w:rsidR="00AA5D77" w:rsidRPr="006C40C1" w:rsidRDefault="00AA5D77">
            <w:pPr>
              <w:spacing w:before="0"/>
              <w:rPr>
                <w:sz w:val="16"/>
              </w:rPr>
            </w:pPr>
            <w:r w:rsidRPr="006C40C1">
              <w:rPr>
                <w:i/>
                <w:sz w:val="16"/>
              </w:rPr>
              <w:t>233</w:t>
            </w:r>
            <w:r w:rsidRPr="006C40C1">
              <w:rPr>
                <w:sz w:val="16"/>
              </w:rPr>
              <w:t xml:space="preserve"> kr per </w:t>
            </w:r>
          </w:p>
          <w:p w:rsidR="00AA5D77" w:rsidRPr="006C40C1" w:rsidRDefault="00AA5D77">
            <w:pPr>
              <w:spacing w:before="0"/>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rPr>
                <w:sz w:val="16"/>
              </w:rPr>
            </w:pPr>
            <w:r w:rsidRPr="006C40C1">
              <w:rPr>
                <w:i/>
                <w:sz w:val="16"/>
              </w:rPr>
              <w:t xml:space="preserve">1 587 </w:t>
            </w:r>
            <w:r w:rsidRPr="006C40C1">
              <w:rPr>
                <w:sz w:val="16"/>
              </w:rPr>
              <w:t xml:space="preserve">kr per </w:t>
            </w:r>
          </w:p>
          <w:p w:rsidR="00AA5D77" w:rsidRPr="006C40C1" w:rsidRDefault="00AA5D77">
            <w:pPr>
              <w:spacing w:before="0"/>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rPr>
                <w:sz w:val="16"/>
              </w:rPr>
            </w:pPr>
            <w:r w:rsidRPr="006C40C1">
              <w:rPr>
                <w:i/>
                <w:sz w:val="16"/>
              </w:rPr>
              <w:t xml:space="preserve">1 820 </w:t>
            </w:r>
            <w:r w:rsidRPr="006C40C1">
              <w:rPr>
                <w:sz w:val="16"/>
              </w:rPr>
              <w:t xml:space="preserve">kr per </w:t>
            </w:r>
          </w:p>
          <w:p w:rsidR="00AA5D77" w:rsidRPr="006C40C1" w:rsidRDefault="00AA5D77">
            <w:pPr>
              <w:spacing w:before="0"/>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c>
          <w:tcPr>
            <w:tcW w:w="284" w:type="dxa"/>
          </w:tcPr>
          <w:p w:rsidR="00AA5D77" w:rsidRPr="006C40C1" w:rsidRDefault="00AA5D77">
            <w:pPr>
              <w:spacing w:before="0"/>
              <w:rPr>
                <w:sz w:val="16"/>
              </w:rPr>
            </w:pPr>
            <w:r w:rsidRPr="006C40C1">
              <w:rPr>
                <w:sz w:val="16"/>
              </w:rPr>
              <w:t>7.</w:t>
            </w:r>
          </w:p>
        </w:tc>
        <w:tc>
          <w:tcPr>
            <w:tcW w:w="1276" w:type="dxa"/>
          </w:tcPr>
          <w:p w:rsidR="00AA5D77" w:rsidRPr="006C40C1" w:rsidRDefault="00AA5D77">
            <w:pPr>
              <w:spacing w:before="0"/>
              <w:rPr>
                <w:sz w:val="16"/>
              </w:rPr>
            </w:pPr>
            <w:r w:rsidRPr="006C40C1">
              <w:rPr>
                <w:sz w:val="16"/>
              </w:rPr>
              <w:t>2701, 2702 eller 2704</w:t>
            </w:r>
          </w:p>
        </w:tc>
        <w:tc>
          <w:tcPr>
            <w:tcW w:w="2023" w:type="dxa"/>
          </w:tcPr>
          <w:p w:rsidR="00AA5D77" w:rsidRPr="006C40C1" w:rsidRDefault="00AA5D77">
            <w:pPr>
              <w:spacing w:before="0"/>
              <w:rPr>
                <w:sz w:val="16"/>
              </w:rPr>
            </w:pPr>
            <w:r w:rsidRPr="006C40C1">
              <w:rPr>
                <w:sz w:val="16"/>
              </w:rPr>
              <w:t>Kolbränslen</w:t>
            </w:r>
          </w:p>
        </w:tc>
        <w:tc>
          <w:tcPr>
            <w:tcW w:w="1056" w:type="dxa"/>
          </w:tcPr>
          <w:p w:rsidR="00AA5D77" w:rsidRPr="006C40C1" w:rsidRDefault="00AA5D77">
            <w:pPr>
              <w:spacing w:before="0"/>
              <w:rPr>
                <w:sz w:val="16"/>
              </w:rPr>
            </w:pPr>
            <w:r w:rsidRPr="006C40C1">
              <w:rPr>
                <w:i/>
                <w:sz w:val="16"/>
              </w:rPr>
              <w:t xml:space="preserve">307 </w:t>
            </w:r>
            <w:r w:rsidRPr="006C40C1">
              <w:rPr>
                <w:sz w:val="16"/>
              </w:rPr>
              <w:t>kr per</w:t>
            </w:r>
          </w:p>
          <w:p w:rsidR="00AA5D77" w:rsidRPr="006C40C1" w:rsidRDefault="00AA5D77">
            <w:pPr>
              <w:spacing w:before="0"/>
              <w:rPr>
                <w:sz w:val="16"/>
              </w:rPr>
            </w:pPr>
            <w:r w:rsidRPr="006C40C1">
              <w:rPr>
                <w:sz w:val="16"/>
              </w:rPr>
              <w:t>1 000 kg</w:t>
            </w:r>
          </w:p>
        </w:tc>
        <w:tc>
          <w:tcPr>
            <w:tcW w:w="1321" w:type="dxa"/>
          </w:tcPr>
          <w:p w:rsidR="00AA5D77" w:rsidRPr="006C40C1" w:rsidRDefault="00AA5D77">
            <w:pPr>
              <w:spacing w:before="0"/>
              <w:rPr>
                <w:sz w:val="16"/>
              </w:rPr>
            </w:pPr>
            <w:r w:rsidRPr="006C40C1">
              <w:rPr>
                <w:i/>
                <w:sz w:val="16"/>
              </w:rPr>
              <w:t xml:space="preserve">1 844 </w:t>
            </w:r>
            <w:r w:rsidRPr="006C40C1">
              <w:rPr>
                <w:sz w:val="16"/>
              </w:rPr>
              <w:t>kr per</w:t>
            </w:r>
          </w:p>
          <w:p w:rsidR="00AA5D77" w:rsidRPr="006C40C1" w:rsidRDefault="00AA5D77">
            <w:pPr>
              <w:spacing w:before="0"/>
              <w:rPr>
                <w:sz w:val="16"/>
              </w:rPr>
            </w:pPr>
            <w:r w:rsidRPr="006C40C1">
              <w:rPr>
                <w:sz w:val="16"/>
              </w:rPr>
              <w:t>1 000 kg</w:t>
            </w:r>
          </w:p>
        </w:tc>
        <w:tc>
          <w:tcPr>
            <w:tcW w:w="1320" w:type="dxa"/>
          </w:tcPr>
          <w:p w:rsidR="00AA5D77" w:rsidRPr="006C40C1" w:rsidRDefault="00AA5D77">
            <w:pPr>
              <w:spacing w:before="0"/>
              <w:rPr>
                <w:sz w:val="16"/>
              </w:rPr>
            </w:pPr>
            <w:r w:rsidRPr="006C40C1">
              <w:rPr>
                <w:i/>
                <w:sz w:val="16"/>
              </w:rPr>
              <w:t>2 151</w:t>
            </w:r>
            <w:r w:rsidRPr="006C40C1">
              <w:rPr>
                <w:sz w:val="16"/>
              </w:rPr>
              <w:t xml:space="preserve"> kr per</w:t>
            </w:r>
          </w:p>
          <w:p w:rsidR="00AA5D77" w:rsidRPr="006C40C1" w:rsidRDefault="00AA5D77">
            <w:pPr>
              <w:spacing w:before="0"/>
              <w:rPr>
                <w:sz w:val="16"/>
              </w:rPr>
            </w:pPr>
            <w:r w:rsidRPr="006C40C1">
              <w:rPr>
                <w:sz w:val="16"/>
              </w:rPr>
              <w:t>1 000 kg</w:t>
            </w:r>
          </w:p>
        </w:tc>
      </w:tr>
      <w:tr w:rsidR="00000000" w:rsidRPr="006C40C1">
        <w:tblPrEx>
          <w:tblCellMar>
            <w:top w:w="0" w:type="dxa"/>
            <w:bottom w:w="0" w:type="dxa"/>
          </w:tblCellMar>
        </w:tblPrEx>
        <w:tc>
          <w:tcPr>
            <w:tcW w:w="284" w:type="dxa"/>
            <w:tcBorders>
              <w:bottom w:val="single" w:sz="6" w:space="0" w:color="auto"/>
            </w:tcBorders>
          </w:tcPr>
          <w:p w:rsidR="00AA5D77" w:rsidRPr="006C40C1" w:rsidRDefault="00AA5D77">
            <w:pPr>
              <w:spacing w:before="0"/>
              <w:rPr>
                <w:sz w:val="16"/>
              </w:rPr>
            </w:pPr>
            <w:r w:rsidRPr="006C40C1">
              <w:rPr>
                <w:sz w:val="16"/>
              </w:rPr>
              <w:t>8.</w:t>
            </w:r>
          </w:p>
        </w:tc>
        <w:tc>
          <w:tcPr>
            <w:tcW w:w="1276" w:type="dxa"/>
            <w:tcBorders>
              <w:bottom w:val="single" w:sz="6" w:space="0" w:color="auto"/>
            </w:tcBorders>
          </w:tcPr>
          <w:p w:rsidR="00AA5D77" w:rsidRPr="006C40C1" w:rsidRDefault="00AA5D77">
            <w:pPr>
              <w:spacing w:before="0"/>
              <w:rPr>
                <w:sz w:val="16"/>
              </w:rPr>
            </w:pPr>
            <w:r w:rsidRPr="006C40C1">
              <w:rPr>
                <w:sz w:val="16"/>
              </w:rPr>
              <w:t>2713 11 00–2713 12 00</w:t>
            </w:r>
          </w:p>
        </w:tc>
        <w:tc>
          <w:tcPr>
            <w:tcW w:w="2023" w:type="dxa"/>
            <w:tcBorders>
              <w:bottom w:val="single" w:sz="6" w:space="0" w:color="auto"/>
            </w:tcBorders>
          </w:tcPr>
          <w:p w:rsidR="00AA5D77" w:rsidRPr="006C40C1" w:rsidRDefault="00AA5D77">
            <w:pPr>
              <w:spacing w:before="0"/>
              <w:rPr>
                <w:sz w:val="16"/>
              </w:rPr>
            </w:pPr>
            <w:r w:rsidRPr="006C40C1">
              <w:rPr>
                <w:sz w:val="16"/>
              </w:rPr>
              <w:t>Petroleumkoks</w:t>
            </w:r>
          </w:p>
        </w:tc>
        <w:tc>
          <w:tcPr>
            <w:tcW w:w="1056" w:type="dxa"/>
            <w:tcBorders>
              <w:bottom w:val="single" w:sz="6" w:space="0" w:color="auto"/>
            </w:tcBorders>
          </w:tcPr>
          <w:p w:rsidR="00AA5D77" w:rsidRPr="006C40C1" w:rsidRDefault="00AA5D77">
            <w:pPr>
              <w:spacing w:before="0"/>
              <w:rPr>
                <w:sz w:val="16"/>
              </w:rPr>
            </w:pPr>
            <w:r w:rsidRPr="006C40C1">
              <w:rPr>
                <w:i/>
                <w:sz w:val="16"/>
              </w:rPr>
              <w:t>307</w:t>
            </w:r>
            <w:r w:rsidRPr="006C40C1">
              <w:rPr>
                <w:sz w:val="16"/>
              </w:rPr>
              <w:t xml:space="preserve"> kr per</w:t>
            </w:r>
          </w:p>
          <w:p w:rsidR="00AA5D77" w:rsidRPr="006C40C1" w:rsidRDefault="00AA5D77">
            <w:pPr>
              <w:spacing w:before="0"/>
              <w:rPr>
                <w:sz w:val="16"/>
              </w:rPr>
            </w:pPr>
            <w:r w:rsidRPr="006C40C1">
              <w:rPr>
                <w:sz w:val="16"/>
              </w:rPr>
              <w:t>1 000 kg</w:t>
            </w:r>
          </w:p>
        </w:tc>
        <w:tc>
          <w:tcPr>
            <w:tcW w:w="1321" w:type="dxa"/>
            <w:tcBorders>
              <w:bottom w:val="single" w:sz="6" w:space="0" w:color="auto"/>
            </w:tcBorders>
          </w:tcPr>
          <w:p w:rsidR="00AA5D77" w:rsidRPr="006C40C1" w:rsidRDefault="00AA5D77">
            <w:pPr>
              <w:spacing w:before="0"/>
              <w:rPr>
                <w:sz w:val="16"/>
              </w:rPr>
            </w:pPr>
            <w:r w:rsidRPr="006C40C1">
              <w:rPr>
                <w:i/>
                <w:sz w:val="16"/>
              </w:rPr>
              <w:t xml:space="preserve">1 844 </w:t>
            </w:r>
            <w:r w:rsidRPr="006C40C1">
              <w:rPr>
                <w:sz w:val="16"/>
              </w:rPr>
              <w:t>kr per</w:t>
            </w:r>
          </w:p>
          <w:p w:rsidR="00AA5D77" w:rsidRPr="006C40C1" w:rsidRDefault="00AA5D77">
            <w:pPr>
              <w:spacing w:before="0"/>
              <w:rPr>
                <w:sz w:val="16"/>
              </w:rPr>
            </w:pPr>
            <w:r w:rsidRPr="006C40C1">
              <w:rPr>
                <w:sz w:val="16"/>
              </w:rPr>
              <w:t>1 000 kg</w:t>
            </w:r>
          </w:p>
        </w:tc>
        <w:tc>
          <w:tcPr>
            <w:tcW w:w="1320" w:type="dxa"/>
            <w:tcBorders>
              <w:bottom w:val="single" w:sz="6" w:space="0" w:color="auto"/>
            </w:tcBorders>
          </w:tcPr>
          <w:p w:rsidR="00AA5D77" w:rsidRPr="006C40C1" w:rsidRDefault="00AA5D77">
            <w:pPr>
              <w:spacing w:before="0"/>
              <w:rPr>
                <w:sz w:val="16"/>
              </w:rPr>
            </w:pPr>
            <w:r w:rsidRPr="006C40C1">
              <w:rPr>
                <w:i/>
                <w:sz w:val="16"/>
              </w:rPr>
              <w:t>2 151</w:t>
            </w:r>
            <w:r w:rsidRPr="006C40C1">
              <w:rPr>
                <w:sz w:val="16"/>
              </w:rPr>
              <w:t xml:space="preserve"> kr per</w:t>
            </w:r>
          </w:p>
          <w:p w:rsidR="00AA5D77" w:rsidRPr="006C40C1" w:rsidRDefault="00AA5D77">
            <w:pPr>
              <w:spacing w:before="0"/>
              <w:rPr>
                <w:sz w:val="16"/>
              </w:rPr>
            </w:pPr>
            <w:r w:rsidRPr="006C40C1">
              <w:rPr>
                <w:sz w:val="16"/>
              </w:rPr>
              <w:t>1 000 kg</w:t>
            </w:r>
          </w:p>
        </w:tc>
      </w:tr>
    </w:tbl>
    <w:p w:rsidR="00AA5D77" w:rsidRPr="006C40C1" w:rsidRDefault="00AA5D77">
      <w:pPr>
        <w:pStyle w:val="Normaltindrag"/>
      </w:pPr>
    </w:p>
    <w:p w:rsidR="00AA5D77" w:rsidRPr="006C40C1" w:rsidRDefault="00AA5D77">
      <w:pPr>
        <w:pStyle w:val="Normaltindrag"/>
      </w:pPr>
      <w:r w:rsidRPr="006C40C1">
        <w:t>I fall som avses i 4 kap. 1 § 7 och 8 och 12 § första stycket 4 tas skatt ut med ett belopp som motsvarar skillnaden mellan de skattebelopp som gäller för bränslets olika användningssätt.</w:t>
      </w:r>
    </w:p>
    <w:p w:rsidR="00AA5D77" w:rsidRPr="006C40C1" w:rsidRDefault="00AA5D77">
      <w:pPr>
        <w:pStyle w:val="Normaltindrag"/>
      </w:pPr>
      <w:r w:rsidRPr="006C40C1">
        <w:t xml:space="preserve">För kalenderåret </w:t>
      </w:r>
      <w:r w:rsidRPr="006C40C1">
        <w:rPr>
          <w:i/>
        </w:rPr>
        <w:t>2004</w:t>
      </w:r>
      <w:r w:rsidRPr="006C40C1">
        <w:t xml:space="preserve"> och efterföljande kalenderår skall de i första stycket angivna skattebeloppen räknas om enligt 10 §.</w:t>
      </w: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textRubrik"/>
            </w:pPr>
            <w:r w:rsidRPr="006C40C1">
              <w:t>Nuvarande lydelse</w:t>
            </w:r>
          </w:p>
        </w:tc>
        <w:tc>
          <w:tcPr>
            <w:tcW w:w="3090" w:type="dxa"/>
          </w:tcPr>
          <w:p w:rsidR="00AA5D77" w:rsidRPr="006C40C1" w:rsidRDefault="00AA5D77">
            <w:pPr>
              <w:pStyle w:val="LagtextRubrik"/>
            </w:pPr>
            <w:r w:rsidRPr="006C40C1">
              <w:t>Föreslagen lydelse</w:t>
            </w:r>
          </w:p>
        </w:tc>
      </w:tr>
    </w:tbl>
    <w:p w:rsidR="00AA5D77" w:rsidRPr="006C40C1" w:rsidRDefault="00AA5D77">
      <w:pPr>
        <w:jc w:val="center"/>
      </w:pPr>
      <w:r w:rsidRPr="006C40C1">
        <w:rPr>
          <w:b/>
        </w:rPr>
        <w:t>10 §</w:t>
      </w:r>
      <w:r w:rsidRPr="006C40C1">
        <w:rPr>
          <w:rStyle w:val="Fotnotsreferens"/>
        </w:rPr>
        <w:footnoteReference w:id="5"/>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För kalenderåret </w:t>
            </w:r>
            <w:r w:rsidRPr="006C40C1">
              <w:rPr>
                <w:i/>
              </w:rPr>
              <w:t>2003</w:t>
            </w:r>
            <w:r w:rsidRPr="006C40C1">
              <w:t xml:space="preserve"> och efte</w:t>
            </w:r>
            <w:r w:rsidRPr="006C40C1">
              <w:t>r</w:t>
            </w:r>
            <w:r w:rsidRPr="006C40C1">
              <w:softHyphen/>
              <w:t>följande kalenderår skall energiskatt och koldioxidskatt betalas med b</w:t>
            </w:r>
            <w:r w:rsidRPr="006C40C1">
              <w:t>e</w:t>
            </w:r>
            <w:r w:rsidRPr="006C40C1">
              <w:t>lopp som efter en årlig omräkning motsvarar de i 1 § angivna skatte</w:t>
            </w:r>
            <w:r w:rsidRPr="006C40C1">
              <w:softHyphen/>
              <w:t>beloppen multiplicerade med det jämförelsetal, uttryckt i procent, som anger förhållandet mellan det al</w:t>
            </w:r>
            <w:r w:rsidRPr="006C40C1">
              <w:t>l</w:t>
            </w:r>
            <w:r w:rsidRPr="006C40C1">
              <w:t xml:space="preserve">männa prisläget i juni månad året närmast före det år beräkningen avser och prisläget i juni </w:t>
            </w:r>
            <w:r w:rsidRPr="006C40C1">
              <w:rPr>
                <w:i/>
              </w:rPr>
              <w:t>2001</w:t>
            </w:r>
            <w:r w:rsidRPr="006C40C1">
              <w:t>.</w:t>
            </w:r>
          </w:p>
        </w:tc>
        <w:tc>
          <w:tcPr>
            <w:tcW w:w="3090" w:type="dxa"/>
          </w:tcPr>
          <w:p w:rsidR="00AA5D77" w:rsidRPr="006C40C1" w:rsidRDefault="00AA5D77">
            <w:pPr>
              <w:pStyle w:val="Normaltindrag"/>
            </w:pPr>
            <w:r w:rsidRPr="006C40C1">
              <w:t xml:space="preserve">För kalenderåret </w:t>
            </w:r>
            <w:r w:rsidRPr="006C40C1">
              <w:rPr>
                <w:i/>
              </w:rPr>
              <w:t>2004</w:t>
            </w:r>
            <w:r w:rsidRPr="006C40C1">
              <w:t xml:space="preserve"> och efte</w:t>
            </w:r>
            <w:r w:rsidRPr="006C40C1">
              <w:t>r</w:t>
            </w:r>
            <w:r w:rsidRPr="006C40C1">
              <w:t>följande kalenderår skall energi</w:t>
            </w:r>
            <w:r w:rsidRPr="006C40C1">
              <w:softHyphen/>
              <w:t>skatt och koldioxidskatt betalas med b</w:t>
            </w:r>
            <w:r w:rsidRPr="006C40C1">
              <w:t>e</w:t>
            </w:r>
            <w:r w:rsidRPr="006C40C1">
              <w:t>lopp som efter en årlig omräkning motsvarar de i 1 § angivna skatte</w:t>
            </w:r>
            <w:r w:rsidRPr="006C40C1">
              <w:softHyphen/>
              <w:t>beloppen multiplicerade med det jämförelsetal, uttryckt i procent, som anger förhållandet mellan det al</w:t>
            </w:r>
            <w:r w:rsidRPr="006C40C1">
              <w:t>l</w:t>
            </w:r>
            <w:r w:rsidRPr="006C40C1">
              <w:t>männa prisläget i juni månad året närmast före det år beräkningen a</w:t>
            </w:r>
            <w:r w:rsidRPr="006C40C1">
              <w:t>v</w:t>
            </w:r>
            <w:r w:rsidRPr="006C40C1">
              <w:softHyphen/>
              <w:t xml:space="preserve">ser och prisläget i juni </w:t>
            </w:r>
            <w:r w:rsidRPr="006C40C1">
              <w:rPr>
                <w:i/>
              </w:rPr>
              <w:t>2002</w:t>
            </w:r>
            <w:r w:rsidRPr="006C40C1">
              <w:t>.</w:t>
            </w:r>
          </w:p>
        </w:tc>
      </w:tr>
    </w:tbl>
    <w:p w:rsidR="00AA5D77" w:rsidRPr="006C40C1" w:rsidRDefault="00AA5D77">
      <w:pPr>
        <w:pStyle w:val="Normaltindrag"/>
      </w:pPr>
      <w:r w:rsidRPr="006C40C1">
        <w:t>Regeringen fastställer före november månads utgång de omräknade skatt</w:t>
      </w:r>
      <w:r w:rsidRPr="006C40C1">
        <w:t>e</w:t>
      </w:r>
      <w:r w:rsidRPr="006C40C1">
        <w:softHyphen/>
        <w:t>belopp som enligt denna lag skall tas ut för påföljande kalenderår. Beloppen a</w:t>
      </w:r>
      <w:r w:rsidRPr="006C40C1">
        <w:t>v</w:t>
      </w:r>
      <w:r w:rsidRPr="006C40C1">
        <w:t>rundas till hela kronor och ören.</w:t>
      </w:r>
    </w:p>
    <w:p w:rsidR="00AA5D77" w:rsidRPr="006C40C1" w:rsidRDefault="00AA5D77">
      <w:pPr>
        <w:pStyle w:val="Normaltindrag"/>
      </w:pPr>
    </w:p>
    <w:p w:rsidR="00AA5D77" w:rsidRPr="006C40C1" w:rsidRDefault="00AA5D77">
      <w:pPr>
        <w:jc w:val="center"/>
      </w:pPr>
      <w:r w:rsidRPr="006C40C1">
        <w:rPr>
          <w:b/>
        </w:rPr>
        <w:br w:type="page"/>
        <w:t>6 a kap.</w:t>
      </w:r>
    </w:p>
    <w:p w:rsidR="00AA5D77" w:rsidRPr="006C40C1" w:rsidRDefault="00AA5D77">
      <w:pPr>
        <w:jc w:val="center"/>
      </w:pPr>
      <w:r w:rsidRPr="006C40C1">
        <w:rPr>
          <w:b/>
        </w:rPr>
        <w:t>1 §</w:t>
      </w:r>
      <w:r w:rsidRPr="006C40C1">
        <w:rPr>
          <w:rStyle w:val="Fotnotsreferens"/>
        </w:rPr>
        <w:footnoteReference w:id="6"/>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textRubrik"/>
            </w:pPr>
            <w:r w:rsidRPr="006C40C1">
              <w:t>Nuvarande lydelse</w:t>
            </w:r>
          </w:p>
        </w:tc>
        <w:tc>
          <w:tcPr>
            <w:tcW w:w="3090" w:type="dxa"/>
          </w:tcPr>
          <w:p w:rsidR="00AA5D77" w:rsidRPr="006C40C1" w:rsidRDefault="00AA5D77">
            <w:pPr>
              <w:pStyle w:val="LagRubrik2"/>
            </w:pPr>
          </w:p>
        </w:tc>
      </w:tr>
    </w:tbl>
    <w:p w:rsidR="00AA5D77" w:rsidRPr="006C40C1" w:rsidRDefault="00AA5D77">
      <w:pPr>
        <w:pStyle w:val="Normaltindrag"/>
      </w:pPr>
      <w:r w:rsidRPr="006C40C1">
        <w:t>Bränsle som används för nedan angivna ändamål, i förekommande fall med undantag för vissa bränsleslag, skall helt eller delvis befrias från skatt enligt följande, om inte annat anges.</w:t>
      </w:r>
    </w:p>
    <w:p w:rsidR="00AA5D77" w:rsidRPr="006C40C1" w:rsidRDefault="00AA5D77">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6C40C1">
        <w:tblPrEx>
          <w:tblCellMar>
            <w:top w:w="0" w:type="dxa"/>
            <w:bottom w:w="0" w:type="dxa"/>
          </w:tblCellMar>
        </w:tblPrEx>
        <w:trPr>
          <w:jc w:val="right"/>
        </w:trPr>
        <w:tc>
          <w:tcPr>
            <w:tcW w:w="2270"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Ändamål</w:t>
            </w:r>
          </w:p>
          <w:p w:rsidR="00AA5D77" w:rsidRPr="006C40C1" w:rsidRDefault="00AA5D77">
            <w:pPr>
              <w:spacing w:before="0" w:line="200" w:lineRule="exact"/>
              <w:jc w:val="left"/>
              <w:rPr>
                <w:sz w:val="16"/>
              </w:rPr>
            </w:pPr>
          </w:p>
        </w:tc>
        <w:tc>
          <w:tcPr>
            <w:tcW w:w="1611"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Bränsle som inte ger befr</w:t>
            </w:r>
            <w:r w:rsidRPr="006C40C1">
              <w:rPr>
                <w:sz w:val="16"/>
              </w:rPr>
              <w:t>i</w:t>
            </w:r>
            <w:r w:rsidRPr="006C40C1">
              <w:rPr>
                <w:sz w:val="16"/>
              </w:rPr>
              <w:t>else</w:t>
            </w:r>
          </w:p>
        </w:tc>
        <w:tc>
          <w:tcPr>
            <w:tcW w:w="1213"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Befrielse från energ</w:t>
            </w:r>
            <w:r w:rsidRPr="006C40C1">
              <w:rPr>
                <w:sz w:val="16"/>
              </w:rPr>
              <w:t>i</w:t>
            </w:r>
            <w:r w:rsidRPr="006C40C1">
              <w:rPr>
                <w:sz w:val="16"/>
              </w:rPr>
              <w:t>skatt</w:t>
            </w:r>
          </w:p>
        </w:tc>
        <w:tc>
          <w:tcPr>
            <w:tcW w:w="1209"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Befrielse från koldio</w:t>
            </w:r>
            <w:r w:rsidRPr="006C40C1">
              <w:rPr>
                <w:sz w:val="16"/>
              </w:rPr>
              <w:t>x</w:t>
            </w:r>
            <w:r w:rsidRPr="006C40C1">
              <w:rPr>
                <w:sz w:val="16"/>
              </w:rPr>
              <w:t>id</w:t>
            </w:r>
            <w:r w:rsidRPr="006C40C1">
              <w:rPr>
                <w:sz w:val="16"/>
              </w:rPr>
              <w:softHyphen/>
              <w:t>skatt</w:t>
            </w:r>
          </w:p>
        </w:tc>
        <w:tc>
          <w:tcPr>
            <w:tcW w:w="1209"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Befrielse</w:t>
            </w:r>
          </w:p>
          <w:p w:rsidR="00AA5D77" w:rsidRPr="006C40C1" w:rsidRDefault="00AA5D77">
            <w:pPr>
              <w:spacing w:before="0" w:line="200" w:lineRule="exact"/>
              <w:rPr>
                <w:sz w:val="16"/>
              </w:rPr>
            </w:pPr>
            <w:r w:rsidRPr="006C40C1">
              <w:rPr>
                <w:sz w:val="16"/>
              </w:rPr>
              <w:t>från svave</w:t>
            </w:r>
            <w:r w:rsidRPr="006C40C1">
              <w:rPr>
                <w:sz w:val="16"/>
              </w:rPr>
              <w:t>l</w:t>
            </w:r>
            <w:r w:rsidRPr="006C40C1">
              <w:rPr>
                <w:sz w:val="16"/>
              </w:rPr>
              <w:t>skatt</w:t>
            </w:r>
          </w:p>
        </w:tc>
      </w:tr>
      <w:tr w:rsidR="00000000" w:rsidRPr="006C40C1">
        <w:tblPrEx>
          <w:tblCellMar>
            <w:top w:w="0" w:type="dxa"/>
            <w:bottom w:w="0" w:type="dxa"/>
          </w:tblCellMar>
        </w:tblPrEx>
        <w:trPr>
          <w:jc w:val="right"/>
        </w:trPr>
        <w:tc>
          <w:tcPr>
            <w:tcW w:w="2270" w:type="dxa"/>
            <w:tcBorders>
              <w:top w:val="single" w:sz="4" w:space="0" w:color="auto"/>
              <w:left w:val="nil"/>
              <w:right w:val="nil"/>
            </w:tcBorders>
          </w:tcPr>
          <w:p w:rsidR="00AA5D77" w:rsidRPr="006C40C1" w:rsidRDefault="00AA5D77">
            <w:pPr>
              <w:spacing w:before="0" w:line="200" w:lineRule="exact"/>
              <w:jc w:val="left"/>
              <w:rPr>
                <w:sz w:val="16"/>
              </w:rPr>
            </w:pPr>
          </w:p>
        </w:tc>
        <w:tc>
          <w:tcPr>
            <w:tcW w:w="1611" w:type="dxa"/>
            <w:tcBorders>
              <w:top w:val="single" w:sz="4" w:space="0" w:color="auto"/>
              <w:left w:val="nil"/>
              <w:right w:val="nil"/>
            </w:tcBorders>
          </w:tcPr>
          <w:p w:rsidR="00AA5D77" w:rsidRPr="006C40C1" w:rsidRDefault="00AA5D77">
            <w:pPr>
              <w:spacing w:before="0" w:line="200" w:lineRule="exact"/>
              <w:jc w:val="left"/>
              <w:rPr>
                <w:sz w:val="16"/>
              </w:rPr>
            </w:pPr>
          </w:p>
        </w:tc>
        <w:tc>
          <w:tcPr>
            <w:tcW w:w="1213"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left w:val="nil"/>
              <w:right w:val="nil"/>
            </w:tcBorders>
          </w:tcPr>
          <w:p w:rsidR="00AA5D77" w:rsidRPr="006C40C1" w:rsidRDefault="00AA5D77">
            <w:pPr>
              <w:spacing w:before="0" w:line="200" w:lineRule="exact"/>
              <w:jc w:val="left"/>
              <w:rPr>
                <w:sz w:val="16"/>
              </w:rPr>
            </w:pPr>
            <w:r w:rsidRPr="006C40C1">
              <w:rPr>
                <w:sz w:val="16"/>
              </w:rPr>
              <w:t>1. Förbrukning för annat änd</w:t>
            </w:r>
            <w:r w:rsidRPr="006C40C1">
              <w:rPr>
                <w:sz w:val="16"/>
              </w:rPr>
              <w:t>a</w:t>
            </w:r>
            <w:r w:rsidRPr="006C40C1">
              <w:rPr>
                <w:sz w:val="16"/>
              </w:rPr>
              <w:t>mål än motordrift eller up</w:t>
            </w:r>
            <w:r w:rsidRPr="006C40C1">
              <w:rPr>
                <w:sz w:val="16"/>
              </w:rPr>
              <w:t>p</w:t>
            </w:r>
            <w:r w:rsidRPr="006C40C1">
              <w:rPr>
                <w:sz w:val="16"/>
              </w:rPr>
              <w:t>värmning eller i en process där bränslet i allt väsentligt används för annat ändamål än motordrift eller up</w:t>
            </w:r>
            <w:r w:rsidRPr="006C40C1">
              <w:rPr>
                <w:sz w:val="16"/>
              </w:rPr>
              <w:t>p</w:t>
            </w:r>
            <w:r w:rsidRPr="006C40C1">
              <w:rPr>
                <w:sz w:val="16"/>
              </w:rPr>
              <w:t>värmning</w:t>
            </w:r>
          </w:p>
        </w:tc>
        <w:tc>
          <w:tcPr>
            <w:tcW w:w="1611" w:type="dxa"/>
            <w:tcBorders>
              <w:left w:val="nil"/>
              <w:right w:val="nil"/>
            </w:tcBorders>
          </w:tcPr>
          <w:p w:rsidR="00AA5D77" w:rsidRPr="006C40C1" w:rsidRDefault="00AA5D77">
            <w:pPr>
              <w:spacing w:before="0" w:line="200" w:lineRule="exact"/>
              <w:jc w:val="left"/>
              <w:rPr>
                <w:sz w:val="16"/>
              </w:rPr>
            </w:pPr>
          </w:p>
        </w:tc>
        <w:tc>
          <w:tcPr>
            <w:tcW w:w="1213" w:type="dxa"/>
            <w:tcBorders>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right w:val="nil"/>
            </w:tcBorders>
          </w:tcPr>
          <w:p w:rsidR="00AA5D77" w:rsidRPr="006C40C1" w:rsidRDefault="00AA5D77">
            <w:pPr>
              <w:spacing w:before="0" w:line="200" w:lineRule="exact"/>
              <w:rPr>
                <w:sz w:val="16"/>
              </w:rPr>
            </w:pPr>
            <w:r w:rsidRPr="006C40C1">
              <w:rPr>
                <w:sz w:val="16"/>
              </w:rPr>
              <w:t>100 pr</w:t>
            </w:r>
            <w:r w:rsidRPr="006C40C1">
              <w:rPr>
                <w:sz w:val="16"/>
              </w:rPr>
              <w:t>o</w:t>
            </w:r>
            <w:r w:rsidRPr="006C40C1">
              <w:rPr>
                <w:sz w:val="16"/>
              </w:rPr>
              <w:t>cent</w:t>
            </w:r>
          </w:p>
        </w:tc>
        <w:tc>
          <w:tcPr>
            <w:tcW w:w="1209" w:type="dxa"/>
            <w:tcBorders>
              <w:left w:val="nil"/>
              <w:right w:val="nil"/>
            </w:tcBorders>
          </w:tcPr>
          <w:p w:rsidR="00AA5D77" w:rsidRPr="006C40C1" w:rsidRDefault="00AA5D77">
            <w:pPr>
              <w:spacing w:before="0" w:line="200" w:lineRule="exact"/>
              <w:rPr>
                <w:sz w:val="16"/>
              </w:rPr>
            </w:pPr>
            <w:r w:rsidRPr="006C40C1">
              <w:rPr>
                <w:sz w:val="16"/>
              </w:rPr>
              <w:t>100 pr</w:t>
            </w:r>
            <w:r w:rsidRPr="006C40C1">
              <w:rPr>
                <w:sz w:val="16"/>
              </w:rPr>
              <w:t>o</w:t>
            </w:r>
            <w:r w:rsidRPr="006C40C1">
              <w:rPr>
                <w:sz w:val="16"/>
              </w:rPr>
              <w:t>cent</w:t>
            </w:r>
          </w:p>
        </w:tc>
      </w:tr>
      <w:tr w:rsidR="00000000" w:rsidRPr="006C40C1">
        <w:tblPrEx>
          <w:tblCellMar>
            <w:top w:w="0" w:type="dxa"/>
            <w:bottom w:w="0" w:type="dxa"/>
          </w:tblCellMar>
        </w:tblPrEx>
        <w:trPr>
          <w:jc w:val="right"/>
        </w:trPr>
        <w:tc>
          <w:tcPr>
            <w:tcW w:w="2270" w:type="dxa"/>
            <w:tcBorders>
              <w:left w:val="nil"/>
              <w:right w:val="nil"/>
            </w:tcBorders>
          </w:tcPr>
          <w:p w:rsidR="00AA5D77" w:rsidRPr="006C40C1" w:rsidRDefault="00AA5D77">
            <w:pPr>
              <w:spacing w:before="0" w:line="200" w:lineRule="exact"/>
              <w:jc w:val="left"/>
              <w:rPr>
                <w:sz w:val="16"/>
              </w:rPr>
            </w:pPr>
          </w:p>
        </w:tc>
        <w:tc>
          <w:tcPr>
            <w:tcW w:w="1611" w:type="dxa"/>
            <w:tcBorders>
              <w:left w:val="nil"/>
              <w:right w:val="nil"/>
            </w:tcBorders>
          </w:tcPr>
          <w:p w:rsidR="00AA5D77" w:rsidRPr="006C40C1" w:rsidRDefault="00AA5D77">
            <w:pPr>
              <w:spacing w:before="0" w:line="200" w:lineRule="exact"/>
              <w:jc w:val="left"/>
              <w:rPr>
                <w:sz w:val="16"/>
              </w:rPr>
            </w:pPr>
          </w:p>
        </w:tc>
        <w:tc>
          <w:tcPr>
            <w:tcW w:w="1213" w:type="dxa"/>
            <w:tcBorders>
              <w:left w:val="nil"/>
              <w:right w:val="nil"/>
            </w:tcBorders>
          </w:tcPr>
          <w:p w:rsidR="00AA5D77" w:rsidRPr="006C40C1" w:rsidRDefault="00AA5D77">
            <w:pPr>
              <w:spacing w:before="0" w:line="200" w:lineRule="exact"/>
              <w:rPr>
                <w:sz w:val="16"/>
              </w:rPr>
            </w:pPr>
          </w:p>
        </w:tc>
        <w:tc>
          <w:tcPr>
            <w:tcW w:w="1209" w:type="dxa"/>
            <w:tcBorders>
              <w:left w:val="nil"/>
              <w:right w:val="nil"/>
            </w:tcBorders>
          </w:tcPr>
          <w:p w:rsidR="00AA5D77" w:rsidRPr="006C40C1" w:rsidRDefault="00AA5D77">
            <w:pPr>
              <w:spacing w:before="0" w:line="200" w:lineRule="exact"/>
              <w:rPr>
                <w:sz w:val="16"/>
              </w:rPr>
            </w:pPr>
          </w:p>
        </w:tc>
        <w:tc>
          <w:tcPr>
            <w:tcW w:w="1209" w:type="dxa"/>
            <w:tcBorders>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left w:val="nil"/>
              <w:bottom w:val="nil"/>
            </w:tcBorders>
          </w:tcPr>
          <w:p w:rsidR="00AA5D77" w:rsidRPr="006C40C1" w:rsidRDefault="00AA5D77">
            <w:pPr>
              <w:spacing w:before="0" w:line="200" w:lineRule="exact"/>
              <w:jc w:val="left"/>
              <w:rPr>
                <w:sz w:val="16"/>
              </w:rPr>
            </w:pPr>
            <w:r w:rsidRPr="006C40C1">
              <w:rPr>
                <w:sz w:val="16"/>
              </w:rPr>
              <w:t>2. Förbrukning i tåg eller annat spårbundet färdm</w:t>
            </w:r>
            <w:r w:rsidRPr="006C40C1">
              <w:rPr>
                <w:sz w:val="16"/>
              </w:rPr>
              <w:t>e</w:t>
            </w:r>
            <w:r w:rsidRPr="006C40C1">
              <w:rPr>
                <w:sz w:val="16"/>
              </w:rPr>
              <w:t>del</w:t>
            </w:r>
          </w:p>
        </w:tc>
        <w:tc>
          <w:tcPr>
            <w:tcW w:w="1611" w:type="dxa"/>
            <w:tcBorders>
              <w:right w:val="nil"/>
            </w:tcBorders>
          </w:tcPr>
          <w:p w:rsidR="00AA5D77" w:rsidRPr="006C40C1" w:rsidRDefault="00AA5D77">
            <w:pPr>
              <w:spacing w:before="0" w:line="200" w:lineRule="exact"/>
              <w:jc w:val="left"/>
              <w:rPr>
                <w:sz w:val="16"/>
              </w:rPr>
            </w:pPr>
            <w:r w:rsidRPr="006C40C1">
              <w:rPr>
                <w:sz w:val="16"/>
              </w:rPr>
              <w:t>Bensin, bränsle som avses i 2 kap. 1 § första stycket 3 b</w:t>
            </w:r>
          </w:p>
        </w:tc>
        <w:tc>
          <w:tcPr>
            <w:tcW w:w="1213"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p>
        </w:tc>
        <w:tc>
          <w:tcPr>
            <w:tcW w:w="1611" w:type="dxa"/>
            <w:tcBorders>
              <w:top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tcBorders>
          </w:tcPr>
          <w:p w:rsidR="00AA5D77" w:rsidRPr="006C40C1" w:rsidRDefault="00AA5D77">
            <w:pPr>
              <w:spacing w:before="0" w:line="200" w:lineRule="exact"/>
              <w:jc w:val="left"/>
              <w:rPr>
                <w:sz w:val="16"/>
              </w:rPr>
            </w:pPr>
            <w:r w:rsidRPr="006C40C1">
              <w:rPr>
                <w:sz w:val="16"/>
              </w:rPr>
              <w:t>3. Förbrukning i skepp, när skeppet inte används för privat ändamål</w:t>
            </w:r>
          </w:p>
        </w:tc>
        <w:tc>
          <w:tcPr>
            <w:tcW w:w="1611" w:type="dxa"/>
            <w:tcBorders>
              <w:top w:val="nil"/>
              <w:right w:val="nil"/>
            </w:tcBorders>
          </w:tcPr>
          <w:p w:rsidR="00AA5D77" w:rsidRPr="006C40C1" w:rsidRDefault="00AA5D77">
            <w:pPr>
              <w:spacing w:before="0" w:line="200" w:lineRule="exact"/>
              <w:jc w:val="left"/>
              <w:rPr>
                <w:sz w:val="16"/>
              </w:rPr>
            </w:pPr>
            <w:r w:rsidRPr="006C40C1">
              <w:rPr>
                <w:sz w:val="16"/>
              </w:rPr>
              <w:t>Bensin, bränsle som avses i 2 kap. 1 § första stycket 3 b</w:t>
            </w:r>
          </w:p>
        </w:tc>
        <w:tc>
          <w:tcPr>
            <w:tcW w:w="1213" w:type="dxa"/>
            <w:tcBorders>
              <w:top w:val="nil"/>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left w:val="nil"/>
            </w:tcBorders>
          </w:tcPr>
          <w:p w:rsidR="00AA5D77" w:rsidRPr="006C40C1" w:rsidRDefault="00AA5D77">
            <w:pPr>
              <w:spacing w:before="0" w:line="200" w:lineRule="exact"/>
              <w:jc w:val="left"/>
              <w:rPr>
                <w:sz w:val="16"/>
              </w:rPr>
            </w:pPr>
          </w:p>
        </w:tc>
        <w:tc>
          <w:tcPr>
            <w:tcW w:w="1611" w:type="dxa"/>
            <w:tcBorders>
              <w:right w:val="nil"/>
            </w:tcBorders>
          </w:tcPr>
          <w:p w:rsidR="00AA5D77" w:rsidRPr="006C40C1" w:rsidRDefault="00AA5D77">
            <w:pPr>
              <w:spacing w:before="0" w:line="200" w:lineRule="exact"/>
              <w:jc w:val="left"/>
              <w:rPr>
                <w:sz w:val="16"/>
              </w:rPr>
            </w:pPr>
          </w:p>
        </w:tc>
        <w:tc>
          <w:tcPr>
            <w:tcW w:w="1213" w:type="dxa"/>
            <w:tcBorders>
              <w:left w:val="nil"/>
              <w:right w:val="nil"/>
            </w:tcBorders>
          </w:tcPr>
          <w:p w:rsidR="00AA5D77" w:rsidRPr="006C40C1" w:rsidRDefault="00AA5D77">
            <w:pPr>
              <w:spacing w:before="0" w:line="200" w:lineRule="exact"/>
              <w:rPr>
                <w:sz w:val="16"/>
              </w:rPr>
            </w:pPr>
          </w:p>
        </w:tc>
        <w:tc>
          <w:tcPr>
            <w:tcW w:w="1209" w:type="dxa"/>
            <w:tcBorders>
              <w:left w:val="nil"/>
              <w:right w:val="nil"/>
            </w:tcBorders>
          </w:tcPr>
          <w:p w:rsidR="00AA5D77" w:rsidRPr="006C40C1" w:rsidRDefault="00AA5D77">
            <w:pPr>
              <w:spacing w:before="0" w:line="200" w:lineRule="exact"/>
              <w:rPr>
                <w:sz w:val="16"/>
              </w:rPr>
            </w:pPr>
          </w:p>
        </w:tc>
        <w:tc>
          <w:tcPr>
            <w:tcW w:w="1209" w:type="dxa"/>
            <w:tcBorders>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left w:val="nil"/>
              <w:bottom w:val="nil"/>
            </w:tcBorders>
          </w:tcPr>
          <w:p w:rsidR="00AA5D77" w:rsidRPr="006C40C1" w:rsidRDefault="00AA5D77">
            <w:pPr>
              <w:spacing w:before="0" w:line="200" w:lineRule="exact"/>
              <w:jc w:val="left"/>
              <w:rPr>
                <w:sz w:val="16"/>
              </w:rPr>
            </w:pPr>
            <w:r w:rsidRPr="006C40C1">
              <w:rPr>
                <w:sz w:val="16"/>
              </w:rPr>
              <w:t>4. Förbrukning i båt för vilken medgivande enligt 2 kap. 9 § eller fartygstillstånd enligt fiskelagen (1993:787) medd</w:t>
            </w:r>
            <w:r w:rsidRPr="006C40C1">
              <w:rPr>
                <w:sz w:val="16"/>
              </w:rPr>
              <w:t>e</w:t>
            </w:r>
            <w:r w:rsidRPr="006C40C1">
              <w:rPr>
                <w:sz w:val="16"/>
              </w:rPr>
              <w:t>lats, när båten inte används för privat ändamål</w:t>
            </w:r>
          </w:p>
        </w:tc>
        <w:tc>
          <w:tcPr>
            <w:tcW w:w="1611" w:type="dxa"/>
            <w:tcBorders>
              <w:right w:val="nil"/>
            </w:tcBorders>
          </w:tcPr>
          <w:p w:rsidR="00AA5D77" w:rsidRPr="006C40C1" w:rsidRDefault="00AA5D77">
            <w:pPr>
              <w:spacing w:before="0" w:line="200" w:lineRule="exact"/>
              <w:jc w:val="left"/>
              <w:rPr>
                <w:sz w:val="16"/>
              </w:rPr>
            </w:pPr>
            <w:r w:rsidRPr="006C40C1">
              <w:rPr>
                <w:sz w:val="16"/>
              </w:rPr>
              <w:t>Bensin, bränsle som avses i 2 kap. 1 § första stycket 3 b</w:t>
            </w:r>
          </w:p>
        </w:tc>
        <w:tc>
          <w:tcPr>
            <w:tcW w:w="1213"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p>
        </w:tc>
        <w:tc>
          <w:tcPr>
            <w:tcW w:w="1611" w:type="dxa"/>
            <w:tcBorders>
              <w:top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 xml:space="preserve">5. Förbrukning i </w:t>
            </w:r>
          </w:p>
          <w:p w:rsidR="00AA5D77" w:rsidRPr="006C40C1" w:rsidRDefault="00AA5D77">
            <w:pPr>
              <w:spacing w:before="0" w:line="200" w:lineRule="exact"/>
              <w:jc w:val="left"/>
              <w:rPr>
                <w:sz w:val="16"/>
              </w:rPr>
            </w:pPr>
            <w:r w:rsidRPr="006C40C1">
              <w:rPr>
                <w:sz w:val="16"/>
              </w:rPr>
              <w:t>a) luftfartyg, när luftfartyget inte används för privat ä</w:t>
            </w:r>
            <w:r w:rsidRPr="006C40C1">
              <w:rPr>
                <w:sz w:val="16"/>
              </w:rPr>
              <w:t>n</w:t>
            </w:r>
            <w:r w:rsidRPr="006C40C1">
              <w:rPr>
                <w:sz w:val="16"/>
              </w:rPr>
              <w:t>damål</w:t>
            </w:r>
          </w:p>
        </w:tc>
        <w:tc>
          <w:tcPr>
            <w:tcW w:w="1611" w:type="dxa"/>
            <w:tcBorders>
              <w:top w:val="nil"/>
              <w:bottom w:val="nil"/>
              <w:right w:val="nil"/>
            </w:tcBorders>
          </w:tcPr>
          <w:p w:rsidR="00AA5D77" w:rsidRPr="006C40C1" w:rsidRDefault="00AA5D77">
            <w:pPr>
              <w:spacing w:before="0" w:line="200" w:lineRule="exact"/>
              <w:jc w:val="left"/>
              <w:rPr>
                <w:sz w:val="16"/>
              </w:rPr>
            </w:pPr>
          </w:p>
          <w:p w:rsidR="00AA5D77" w:rsidRPr="006C40C1" w:rsidRDefault="00AA5D77">
            <w:pPr>
              <w:spacing w:before="0" w:line="200" w:lineRule="exact"/>
              <w:jc w:val="left"/>
              <w:rPr>
                <w:sz w:val="16"/>
              </w:rPr>
            </w:pPr>
            <w:r w:rsidRPr="006C40C1">
              <w:rPr>
                <w:sz w:val="16"/>
              </w:rPr>
              <w:t>Annan bensin än flygbensin (KN-nr</w:t>
            </w:r>
          </w:p>
          <w:p w:rsidR="00AA5D77" w:rsidRPr="006C40C1" w:rsidRDefault="00AA5D77">
            <w:pPr>
              <w:spacing w:before="0" w:line="200" w:lineRule="exact"/>
              <w:jc w:val="left"/>
              <w:rPr>
                <w:sz w:val="16"/>
              </w:rPr>
            </w:pPr>
            <w:r w:rsidRPr="006C40C1">
              <w:rPr>
                <w:sz w:val="16"/>
              </w:rPr>
              <w:t>2710 00 26) och bränsle som avses i 2 kap. 1 § första stycket 3 b</w:t>
            </w:r>
          </w:p>
        </w:tc>
        <w:tc>
          <w:tcPr>
            <w:tcW w:w="1213" w:type="dxa"/>
            <w:tcBorders>
              <w:top w:val="nil"/>
              <w:left w:val="nil"/>
              <w:bottom w:val="nil"/>
              <w:right w:val="nil"/>
            </w:tcBorders>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p>
        </w:tc>
        <w:tc>
          <w:tcPr>
            <w:tcW w:w="1611" w:type="dxa"/>
            <w:tcBorders>
              <w:top w:val="nil"/>
              <w:left w:val="nil"/>
              <w:bottom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b) luftfartyg, när luftfartyget används för privat ändamål eller i luftfartygsmotorer i provbädd eller i liknande anordning</w:t>
            </w:r>
          </w:p>
        </w:tc>
        <w:tc>
          <w:tcPr>
            <w:tcW w:w="1611"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Andra bränslen än flygbensin och fly</w:t>
            </w:r>
            <w:r w:rsidRPr="006C40C1">
              <w:rPr>
                <w:sz w:val="16"/>
              </w:rPr>
              <w:t>g</w:t>
            </w:r>
            <w:r w:rsidRPr="006C40C1">
              <w:rPr>
                <w:sz w:val="16"/>
              </w:rPr>
              <w:t xml:space="preserve">fotogen (KN-nr </w:t>
            </w:r>
          </w:p>
          <w:p w:rsidR="00AA5D77" w:rsidRPr="006C40C1" w:rsidRDefault="00AA5D77">
            <w:pPr>
              <w:spacing w:before="0" w:line="200" w:lineRule="exact"/>
              <w:jc w:val="left"/>
              <w:rPr>
                <w:sz w:val="16"/>
              </w:rPr>
            </w:pPr>
            <w:r w:rsidRPr="006C40C1">
              <w:rPr>
                <w:sz w:val="16"/>
              </w:rPr>
              <w:t>2710 00 51)</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p>
        </w:tc>
        <w:tc>
          <w:tcPr>
            <w:tcW w:w="1611" w:type="dxa"/>
            <w:tcBorders>
              <w:top w:val="nil"/>
              <w:left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6. Förbrukning vid framställning av mineraloljeprodukter, ko</w:t>
            </w:r>
            <w:r w:rsidRPr="006C40C1">
              <w:rPr>
                <w:sz w:val="16"/>
              </w:rPr>
              <w:t>l</w:t>
            </w:r>
            <w:r w:rsidRPr="006C40C1">
              <w:rPr>
                <w:sz w:val="16"/>
              </w:rPr>
              <w:t>bränslen, petroleumkoks eller andra produkter för vilka skatt</w:t>
            </w:r>
            <w:r w:rsidRPr="006C40C1">
              <w:rPr>
                <w:sz w:val="16"/>
              </w:rPr>
              <w:t>e</w:t>
            </w:r>
            <w:r w:rsidRPr="006C40C1">
              <w:rPr>
                <w:sz w:val="16"/>
              </w:rPr>
              <w:t>plikt har inträtt för tillve</w:t>
            </w:r>
            <w:r w:rsidRPr="006C40C1">
              <w:rPr>
                <w:sz w:val="16"/>
              </w:rPr>
              <w:t>r</w:t>
            </w:r>
            <w:r w:rsidRPr="006C40C1">
              <w:rPr>
                <w:sz w:val="16"/>
              </w:rPr>
              <w:t>karen</w:t>
            </w:r>
          </w:p>
        </w:tc>
        <w:tc>
          <w:tcPr>
            <w:tcW w:w="1611" w:type="dxa"/>
            <w:tcBorders>
              <w:top w:val="nil"/>
              <w:left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p>
        </w:tc>
        <w:tc>
          <w:tcPr>
            <w:tcW w:w="1611" w:type="dxa"/>
            <w:tcBorders>
              <w:top w:val="nil"/>
              <w:left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bl>
    <w:p w:rsidR="00AA5D77" w:rsidRPr="006C40C1" w:rsidRDefault="00AA5D77"/>
    <w:tbl>
      <w:tblPr>
        <w:tblW w:w="0" w:type="auto"/>
        <w:tblInd w:w="-70" w:type="dxa"/>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6C40C1">
        <w:tblPrEx>
          <w:tblCellMar>
            <w:top w:w="0" w:type="dxa"/>
            <w:bottom w:w="0" w:type="dxa"/>
          </w:tblCellMar>
        </w:tblPrEx>
        <w:trPr>
          <w:tblHeader/>
        </w:trPr>
        <w:tc>
          <w:tcPr>
            <w:tcW w:w="2270"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Ändamål</w:t>
            </w:r>
          </w:p>
          <w:p w:rsidR="00AA5D77" w:rsidRPr="006C40C1" w:rsidRDefault="00AA5D77">
            <w:pPr>
              <w:spacing w:before="0" w:line="200" w:lineRule="exact"/>
              <w:jc w:val="left"/>
              <w:rPr>
                <w:sz w:val="16"/>
              </w:rPr>
            </w:pPr>
          </w:p>
        </w:tc>
        <w:tc>
          <w:tcPr>
            <w:tcW w:w="1611"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Bränsle som inte ger befr</w:t>
            </w:r>
            <w:r w:rsidRPr="006C40C1">
              <w:rPr>
                <w:sz w:val="16"/>
              </w:rPr>
              <w:t>i</w:t>
            </w:r>
            <w:r w:rsidRPr="006C40C1">
              <w:rPr>
                <w:sz w:val="16"/>
              </w:rPr>
              <w:t>else</w:t>
            </w:r>
          </w:p>
        </w:tc>
        <w:tc>
          <w:tcPr>
            <w:tcW w:w="1213"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Befrielse från energ</w:t>
            </w:r>
            <w:r w:rsidRPr="006C40C1">
              <w:rPr>
                <w:sz w:val="16"/>
              </w:rPr>
              <w:t>i</w:t>
            </w:r>
            <w:r w:rsidRPr="006C40C1">
              <w:rPr>
                <w:sz w:val="16"/>
              </w:rPr>
              <w:t>skatt</w:t>
            </w:r>
          </w:p>
        </w:tc>
        <w:tc>
          <w:tcPr>
            <w:tcW w:w="1209"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Befrielse från koldio</w:t>
            </w:r>
            <w:r w:rsidRPr="006C40C1">
              <w:rPr>
                <w:sz w:val="16"/>
              </w:rPr>
              <w:t>x</w:t>
            </w:r>
            <w:r w:rsidRPr="006C40C1">
              <w:rPr>
                <w:sz w:val="16"/>
              </w:rPr>
              <w:t>id</w:t>
            </w:r>
            <w:r w:rsidRPr="006C40C1">
              <w:rPr>
                <w:sz w:val="16"/>
              </w:rPr>
              <w:softHyphen/>
              <w:t>skatt</w:t>
            </w:r>
          </w:p>
        </w:tc>
        <w:tc>
          <w:tcPr>
            <w:tcW w:w="1209"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Befrielse</w:t>
            </w:r>
          </w:p>
          <w:p w:rsidR="00AA5D77" w:rsidRPr="006C40C1" w:rsidRDefault="00AA5D77">
            <w:pPr>
              <w:spacing w:before="0" w:line="200" w:lineRule="exact"/>
              <w:rPr>
                <w:sz w:val="16"/>
              </w:rPr>
            </w:pPr>
            <w:r w:rsidRPr="006C40C1">
              <w:rPr>
                <w:sz w:val="16"/>
              </w:rPr>
              <w:t>från svave</w:t>
            </w:r>
            <w:r w:rsidRPr="006C40C1">
              <w:rPr>
                <w:sz w:val="16"/>
              </w:rPr>
              <w:t>l</w:t>
            </w:r>
            <w:r w:rsidRPr="006C40C1">
              <w:rPr>
                <w:sz w:val="16"/>
              </w:rPr>
              <w:t>skatt</w:t>
            </w:r>
          </w:p>
        </w:tc>
      </w:tr>
      <w:tr w:rsidR="00000000" w:rsidRPr="006C40C1">
        <w:tblPrEx>
          <w:tblCellMar>
            <w:top w:w="0" w:type="dxa"/>
            <w:bottom w:w="0" w:type="dxa"/>
          </w:tblCellMar>
        </w:tblPrEx>
        <w:tc>
          <w:tcPr>
            <w:tcW w:w="2270" w:type="dxa"/>
            <w:tcBorders>
              <w:top w:val="single" w:sz="4" w:space="0" w:color="auto"/>
              <w:left w:val="nil"/>
              <w:right w:val="nil"/>
            </w:tcBorders>
          </w:tcPr>
          <w:p w:rsidR="00AA5D77" w:rsidRPr="006C40C1" w:rsidRDefault="00AA5D77">
            <w:pPr>
              <w:spacing w:before="0" w:line="200" w:lineRule="exact"/>
              <w:jc w:val="left"/>
              <w:rPr>
                <w:sz w:val="16"/>
              </w:rPr>
            </w:pPr>
          </w:p>
        </w:tc>
        <w:tc>
          <w:tcPr>
            <w:tcW w:w="1611" w:type="dxa"/>
            <w:tcBorders>
              <w:top w:val="single" w:sz="4" w:space="0" w:color="auto"/>
              <w:left w:val="nil"/>
              <w:right w:val="nil"/>
            </w:tcBorders>
          </w:tcPr>
          <w:p w:rsidR="00AA5D77" w:rsidRPr="006C40C1" w:rsidRDefault="00AA5D77">
            <w:pPr>
              <w:spacing w:before="0" w:line="200" w:lineRule="exact"/>
              <w:jc w:val="left"/>
              <w:rPr>
                <w:sz w:val="16"/>
              </w:rPr>
            </w:pPr>
          </w:p>
        </w:tc>
        <w:tc>
          <w:tcPr>
            <w:tcW w:w="1213"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7. Förbrukning vid fram-ställning av skattepliktig elek</w:t>
            </w:r>
            <w:r w:rsidRPr="006C40C1">
              <w:rPr>
                <w:sz w:val="16"/>
              </w:rPr>
              <w:t>t</w:t>
            </w:r>
            <w:r w:rsidRPr="006C40C1">
              <w:rPr>
                <w:sz w:val="16"/>
              </w:rPr>
              <w:t>risk kraft, med de begränsningar som följer av 3 §</w:t>
            </w:r>
          </w:p>
        </w:tc>
        <w:tc>
          <w:tcPr>
            <w:tcW w:w="1611" w:type="dxa"/>
            <w:tcBorders>
              <w:top w:val="nil"/>
              <w:bottom w:val="nil"/>
              <w:right w:val="nil"/>
            </w:tcBorders>
          </w:tcPr>
          <w:p w:rsidR="00AA5D77" w:rsidRPr="006C40C1" w:rsidRDefault="00AA5D77">
            <w:pPr>
              <w:spacing w:before="0" w:line="200" w:lineRule="exact"/>
              <w:jc w:val="left"/>
              <w:rPr>
                <w:sz w:val="16"/>
              </w:rPr>
            </w:pPr>
            <w:r w:rsidRPr="006C40C1">
              <w:rPr>
                <w:sz w:val="16"/>
              </w:rPr>
              <w:t>Bränsle som avses i 2 kap. 1 § första stycket 3 b</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p>
        </w:tc>
        <w:tc>
          <w:tcPr>
            <w:tcW w:w="1611" w:type="dxa"/>
            <w:tcBorders>
              <w:top w:val="nil"/>
              <w:bottom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8. Om skattebefrielse inte följer av tidigare punkter, förbrukning i metallurgiska processer</w:t>
            </w:r>
          </w:p>
        </w:tc>
        <w:tc>
          <w:tcPr>
            <w:tcW w:w="1611" w:type="dxa"/>
            <w:tcBorders>
              <w:top w:val="nil"/>
              <w:left w:val="nil"/>
              <w:right w:val="nil"/>
            </w:tcBorders>
          </w:tcPr>
          <w:p w:rsidR="00AA5D77" w:rsidRPr="006C40C1" w:rsidRDefault="00AA5D77">
            <w:pPr>
              <w:spacing w:before="0" w:line="200" w:lineRule="exact"/>
              <w:jc w:val="left"/>
              <w:rPr>
                <w:sz w:val="16"/>
              </w:rPr>
            </w:pPr>
            <w:r w:rsidRPr="006C40C1">
              <w:rPr>
                <w:sz w:val="16"/>
              </w:rPr>
              <w:t>Andra bränslen än kolbränslen och petroleu</w:t>
            </w:r>
            <w:r w:rsidRPr="006C40C1">
              <w:rPr>
                <w:sz w:val="16"/>
              </w:rPr>
              <w:t>m</w:t>
            </w:r>
            <w:r w:rsidRPr="006C40C1">
              <w:rPr>
                <w:sz w:val="16"/>
              </w:rPr>
              <w:t>koks</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c>
          <w:tcPr>
            <w:tcW w:w="2270" w:type="dxa"/>
            <w:tcBorders>
              <w:top w:val="nil"/>
              <w:left w:val="nil"/>
              <w:bottom w:val="nil"/>
              <w:right w:val="nil"/>
            </w:tcBorders>
          </w:tcPr>
          <w:p w:rsidR="00AA5D77" w:rsidRPr="006C40C1" w:rsidRDefault="00AA5D77">
            <w:pPr>
              <w:spacing w:before="0" w:line="200" w:lineRule="exact"/>
              <w:jc w:val="left"/>
              <w:rPr>
                <w:sz w:val="16"/>
              </w:rPr>
            </w:pPr>
          </w:p>
        </w:tc>
        <w:tc>
          <w:tcPr>
            <w:tcW w:w="1611" w:type="dxa"/>
            <w:tcBorders>
              <w:top w:val="nil"/>
              <w:left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9. Om skattebefrielse inte följer av tidigare punkter, förbrukning för annat ändamål än drift av motordrivna fordon vid tillver</w:t>
            </w:r>
            <w:r w:rsidRPr="006C40C1">
              <w:rPr>
                <w:sz w:val="16"/>
              </w:rPr>
              <w:t>k</w:t>
            </w:r>
            <w:r w:rsidRPr="006C40C1">
              <w:rPr>
                <w:sz w:val="16"/>
              </w:rPr>
              <w:t>ningsprocessen i industriell verksa</w:t>
            </w:r>
            <w:r w:rsidRPr="006C40C1">
              <w:rPr>
                <w:sz w:val="16"/>
              </w:rPr>
              <w:t>m</w:t>
            </w:r>
            <w:r w:rsidRPr="006C40C1">
              <w:rPr>
                <w:sz w:val="16"/>
              </w:rPr>
              <w:t>het</w:t>
            </w:r>
          </w:p>
        </w:tc>
        <w:tc>
          <w:tcPr>
            <w:tcW w:w="1611" w:type="dxa"/>
            <w:tcBorders>
              <w:top w:val="nil"/>
              <w:right w:val="nil"/>
            </w:tcBorders>
          </w:tcPr>
          <w:p w:rsidR="00AA5D77" w:rsidRPr="006C40C1" w:rsidRDefault="00AA5D77">
            <w:pPr>
              <w:spacing w:before="0" w:line="200" w:lineRule="exact"/>
              <w:jc w:val="left"/>
              <w:rPr>
                <w:sz w:val="16"/>
              </w:rPr>
            </w:pPr>
            <w:r w:rsidRPr="006C40C1">
              <w:rPr>
                <w:sz w:val="16"/>
              </w:rPr>
              <w:t>Bensin, råtallolja, bränsle som avses i 2 kap. 1 § första stycket 3 b</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i/>
                <w:sz w:val="16"/>
              </w:rPr>
              <w:t xml:space="preserve">70 </w:t>
            </w:r>
            <w:r w:rsidRPr="006C40C1">
              <w:rPr>
                <w:sz w:val="16"/>
              </w:rPr>
              <w:t>pr</w:t>
            </w:r>
            <w:r w:rsidRPr="006C40C1">
              <w:rPr>
                <w:sz w:val="16"/>
              </w:rPr>
              <w:t>o</w:t>
            </w:r>
            <w:r w:rsidRPr="006C40C1">
              <w:rPr>
                <w:sz w:val="16"/>
              </w:rPr>
              <w:t>cent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c>
          <w:tcPr>
            <w:tcW w:w="2270" w:type="dxa"/>
            <w:tcBorders>
              <w:top w:val="nil"/>
              <w:left w:val="nil"/>
            </w:tcBorders>
          </w:tcPr>
          <w:p w:rsidR="00AA5D77" w:rsidRPr="006C40C1" w:rsidRDefault="00AA5D77">
            <w:pPr>
              <w:spacing w:before="0" w:line="200" w:lineRule="exact"/>
              <w:jc w:val="left"/>
              <w:rPr>
                <w:sz w:val="16"/>
              </w:rPr>
            </w:pPr>
          </w:p>
        </w:tc>
        <w:tc>
          <w:tcPr>
            <w:tcW w:w="1611" w:type="dxa"/>
            <w:tcBorders>
              <w:top w:val="nil"/>
              <w:right w:val="nil"/>
            </w:tcBorders>
          </w:tcPr>
          <w:p w:rsidR="00AA5D77" w:rsidRPr="006C40C1" w:rsidRDefault="00AA5D77">
            <w:pPr>
              <w:spacing w:before="0" w:line="200" w:lineRule="exact"/>
              <w:jc w:val="left"/>
              <w:rPr>
                <w:sz w:val="16"/>
              </w:rPr>
            </w:pPr>
          </w:p>
        </w:tc>
        <w:tc>
          <w:tcPr>
            <w:tcW w:w="1213" w:type="dxa"/>
            <w:tcBorders>
              <w:top w:val="nil"/>
              <w:left w:val="nil"/>
              <w:right w:val="nil"/>
            </w:tcBorders>
          </w:tcPr>
          <w:p w:rsidR="00AA5D77" w:rsidRPr="006C40C1" w:rsidRDefault="00AA5D77">
            <w:pPr>
              <w:spacing w:before="0" w:line="200" w:lineRule="exact"/>
              <w:rPr>
                <w:sz w:val="16"/>
              </w:rPr>
            </w:pPr>
          </w:p>
        </w:tc>
        <w:tc>
          <w:tcPr>
            <w:tcW w:w="1209" w:type="dxa"/>
            <w:tcBorders>
              <w:top w:val="nil"/>
              <w:left w:val="nil"/>
              <w:right w:val="nil"/>
            </w:tcBorders>
          </w:tcPr>
          <w:p w:rsidR="00AA5D77" w:rsidRPr="006C40C1" w:rsidRDefault="00AA5D77">
            <w:pPr>
              <w:spacing w:before="0" w:line="200" w:lineRule="exact"/>
              <w:rPr>
                <w:i/>
                <w:sz w:val="16"/>
              </w:rPr>
            </w:pPr>
          </w:p>
        </w:tc>
        <w:tc>
          <w:tcPr>
            <w:tcW w:w="1209" w:type="dxa"/>
            <w:tcBorders>
              <w:top w:val="nil"/>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left w:val="nil"/>
              <w:bottom w:val="nil"/>
            </w:tcBorders>
          </w:tcPr>
          <w:p w:rsidR="00AA5D77" w:rsidRPr="006C40C1" w:rsidRDefault="00AA5D77">
            <w:pPr>
              <w:spacing w:before="0" w:line="200" w:lineRule="exact"/>
              <w:jc w:val="left"/>
              <w:rPr>
                <w:sz w:val="16"/>
              </w:rPr>
            </w:pPr>
            <w:r w:rsidRPr="006C40C1">
              <w:rPr>
                <w:sz w:val="16"/>
              </w:rPr>
              <w:t>10. Om skattebefrielse inte följer av tidigare punkter, förbrukning för annat ändamål än drift av motordrivna fordon vid växthu</w:t>
            </w:r>
            <w:r w:rsidRPr="006C40C1">
              <w:rPr>
                <w:sz w:val="16"/>
              </w:rPr>
              <w:t>s</w:t>
            </w:r>
            <w:r w:rsidRPr="006C40C1">
              <w:rPr>
                <w:sz w:val="16"/>
              </w:rPr>
              <w:t>uppvärmning i yrkesmässig växthu</w:t>
            </w:r>
            <w:r w:rsidRPr="006C40C1">
              <w:rPr>
                <w:sz w:val="16"/>
              </w:rPr>
              <w:t>s</w:t>
            </w:r>
            <w:r w:rsidRPr="006C40C1">
              <w:rPr>
                <w:sz w:val="16"/>
              </w:rPr>
              <w:t>odling</w:t>
            </w:r>
          </w:p>
        </w:tc>
        <w:tc>
          <w:tcPr>
            <w:tcW w:w="1611" w:type="dxa"/>
            <w:tcBorders>
              <w:right w:val="nil"/>
            </w:tcBorders>
          </w:tcPr>
          <w:p w:rsidR="00AA5D77" w:rsidRPr="006C40C1" w:rsidRDefault="00AA5D77">
            <w:pPr>
              <w:spacing w:before="0" w:line="200" w:lineRule="exact"/>
              <w:jc w:val="left"/>
              <w:rPr>
                <w:sz w:val="16"/>
              </w:rPr>
            </w:pPr>
            <w:r w:rsidRPr="006C40C1">
              <w:rPr>
                <w:sz w:val="16"/>
              </w:rPr>
              <w:t>Bensin, råtallolja, bränsle som avses i 2 kap. 1 § första stycket 3 b</w:t>
            </w:r>
          </w:p>
        </w:tc>
        <w:tc>
          <w:tcPr>
            <w:tcW w:w="1213"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i/>
                <w:sz w:val="16"/>
              </w:rPr>
              <w:t xml:space="preserve">70 </w:t>
            </w:r>
            <w:r w:rsidRPr="006C40C1">
              <w:rPr>
                <w:sz w:val="16"/>
              </w:rPr>
              <w:t>pr</w:t>
            </w:r>
            <w:r w:rsidRPr="006C40C1">
              <w:rPr>
                <w:sz w:val="16"/>
              </w:rPr>
              <w:t>o</w:t>
            </w:r>
            <w:r w:rsidRPr="006C40C1">
              <w:rPr>
                <w:sz w:val="16"/>
              </w:rPr>
              <w:t>cent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p>
        </w:tc>
        <w:tc>
          <w:tcPr>
            <w:tcW w:w="1611" w:type="dxa"/>
            <w:tcBorders>
              <w:top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i/>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11. Om skattebefrielse inte följer av tidigare punkter, förbrukning för annat ändamål än drift av motordrivna fordon i yrkesmä</w:t>
            </w:r>
            <w:r w:rsidRPr="006C40C1">
              <w:rPr>
                <w:sz w:val="16"/>
              </w:rPr>
              <w:t>s</w:t>
            </w:r>
            <w:r w:rsidRPr="006C40C1">
              <w:rPr>
                <w:sz w:val="16"/>
              </w:rPr>
              <w:t>sig jordbruks-, skogsbruks- eller vattenbruksverksa</w:t>
            </w:r>
            <w:r w:rsidRPr="006C40C1">
              <w:rPr>
                <w:sz w:val="16"/>
              </w:rPr>
              <w:t>m</w:t>
            </w:r>
            <w:r w:rsidRPr="006C40C1">
              <w:rPr>
                <w:sz w:val="16"/>
              </w:rPr>
              <w:t>het</w:t>
            </w:r>
          </w:p>
        </w:tc>
        <w:tc>
          <w:tcPr>
            <w:tcW w:w="1611" w:type="dxa"/>
            <w:tcBorders>
              <w:top w:val="nil"/>
              <w:bottom w:val="nil"/>
              <w:right w:val="nil"/>
            </w:tcBorders>
          </w:tcPr>
          <w:p w:rsidR="00AA5D77" w:rsidRPr="006C40C1" w:rsidRDefault="00AA5D77">
            <w:pPr>
              <w:spacing w:before="0" w:line="200" w:lineRule="exact"/>
              <w:jc w:val="left"/>
              <w:rPr>
                <w:sz w:val="16"/>
              </w:rPr>
            </w:pPr>
            <w:r w:rsidRPr="006C40C1">
              <w:rPr>
                <w:sz w:val="16"/>
              </w:rPr>
              <w:t>Bensin, råtallolja, bränsle som avses i 2 kap. 1 § första stycket 3 b</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i/>
                <w:sz w:val="16"/>
              </w:rPr>
              <w:t xml:space="preserve">70 </w:t>
            </w:r>
            <w:r w:rsidRPr="006C40C1">
              <w:rPr>
                <w:sz w:val="16"/>
              </w:rPr>
              <w:t>pr</w:t>
            </w:r>
            <w:r w:rsidRPr="006C40C1">
              <w:rPr>
                <w:sz w:val="16"/>
              </w:rPr>
              <w:t>o</w:t>
            </w:r>
            <w:r w:rsidRPr="006C40C1">
              <w:rPr>
                <w:sz w:val="16"/>
              </w:rPr>
              <w:t>cent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p>
        </w:tc>
        <w:tc>
          <w:tcPr>
            <w:tcW w:w="1611" w:type="dxa"/>
            <w:tcBorders>
              <w:top w:val="nil"/>
              <w:bottom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i/>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12. Om skattebefrielse inte följer av tidigare punkter, förbrukning i sodapannor, lutpannor, meta</w:t>
            </w:r>
            <w:r w:rsidRPr="006C40C1">
              <w:rPr>
                <w:sz w:val="16"/>
              </w:rPr>
              <w:t>l</w:t>
            </w:r>
            <w:r w:rsidRPr="006C40C1">
              <w:rPr>
                <w:sz w:val="16"/>
              </w:rPr>
              <w:t>lurgiska processer eller i proce</w:t>
            </w:r>
            <w:r w:rsidRPr="006C40C1">
              <w:rPr>
                <w:sz w:val="16"/>
              </w:rPr>
              <w:t>s</w:t>
            </w:r>
            <w:r w:rsidRPr="006C40C1">
              <w:rPr>
                <w:sz w:val="16"/>
              </w:rPr>
              <w:t>ser för framställning av andra mineraliska ämnen än m</w:t>
            </w:r>
            <w:r w:rsidRPr="006C40C1">
              <w:rPr>
                <w:sz w:val="16"/>
              </w:rPr>
              <w:t>e</w:t>
            </w:r>
            <w:r w:rsidRPr="006C40C1">
              <w:rPr>
                <w:sz w:val="16"/>
              </w:rPr>
              <w:t>taller</w:t>
            </w:r>
          </w:p>
        </w:tc>
        <w:tc>
          <w:tcPr>
            <w:tcW w:w="1611" w:type="dxa"/>
            <w:tcBorders>
              <w:top w:val="nil"/>
              <w:left w:val="nil"/>
              <w:bottom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top w:val="nil"/>
              <w:left w:val="nil"/>
              <w:right w:val="nil"/>
            </w:tcBorders>
          </w:tcPr>
          <w:p w:rsidR="00AA5D77" w:rsidRPr="006C40C1" w:rsidRDefault="00AA5D77">
            <w:pPr>
              <w:spacing w:before="0" w:line="200" w:lineRule="exact"/>
              <w:jc w:val="left"/>
              <w:rPr>
                <w:sz w:val="16"/>
              </w:rPr>
            </w:pPr>
          </w:p>
        </w:tc>
        <w:tc>
          <w:tcPr>
            <w:tcW w:w="1611" w:type="dxa"/>
            <w:tcBorders>
              <w:top w:val="nil"/>
              <w:left w:val="nil"/>
              <w:right w:val="nil"/>
            </w:tcBorders>
          </w:tcPr>
          <w:p w:rsidR="00AA5D77" w:rsidRPr="006C40C1" w:rsidRDefault="00AA5D77">
            <w:pPr>
              <w:spacing w:before="0" w:line="200" w:lineRule="exact"/>
              <w:jc w:val="left"/>
              <w:rPr>
                <w:sz w:val="16"/>
              </w:rPr>
            </w:pPr>
          </w:p>
        </w:tc>
        <w:tc>
          <w:tcPr>
            <w:tcW w:w="1213" w:type="dxa"/>
            <w:tcBorders>
              <w:top w:val="nil"/>
              <w:left w:val="nil"/>
              <w:right w:val="nil"/>
            </w:tcBorders>
          </w:tcPr>
          <w:p w:rsidR="00AA5D77" w:rsidRPr="006C40C1" w:rsidRDefault="00AA5D77">
            <w:pPr>
              <w:spacing w:before="0" w:line="200" w:lineRule="exact"/>
              <w:rPr>
                <w:sz w:val="16"/>
              </w:rPr>
            </w:pPr>
          </w:p>
        </w:tc>
        <w:tc>
          <w:tcPr>
            <w:tcW w:w="1209" w:type="dxa"/>
            <w:tcBorders>
              <w:top w:val="nil"/>
              <w:left w:val="nil"/>
              <w:right w:val="nil"/>
            </w:tcBorders>
          </w:tcPr>
          <w:p w:rsidR="00AA5D77" w:rsidRPr="006C40C1" w:rsidRDefault="00AA5D77">
            <w:pPr>
              <w:spacing w:before="0" w:line="200" w:lineRule="exact"/>
              <w:rPr>
                <w:sz w:val="16"/>
              </w:rPr>
            </w:pPr>
          </w:p>
        </w:tc>
        <w:tc>
          <w:tcPr>
            <w:tcW w:w="1209" w:type="dxa"/>
            <w:tcBorders>
              <w:top w:val="nil"/>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top w:val="nil"/>
              <w:left w:val="nil"/>
              <w:bottom w:val="single" w:sz="4" w:space="0" w:color="auto"/>
              <w:right w:val="nil"/>
            </w:tcBorders>
          </w:tcPr>
          <w:p w:rsidR="00AA5D77" w:rsidRPr="006C40C1" w:rsidRDefault="00AA5D77">
            <w:pPr>
              <w:spacing w:before="0" w:line="200" w:lineRule="exact"/>
              <w:jc w:val="left"/>
              <w:rPr>
                <w:sz w:val="16"/>
              </w:rPr>
            </w:pPr>
            <w:r w:rsidRPr="006C40C1">
              <w:rPr>
                <w:sz w:val="16"/>
              </w:rPr>
              <w:t>13. Förbrukning vid tillver</w:t>
            </w:r>
            <w:r w:rsidRPr="006C40C1">
              <w:rPr>
                <w:sz w:val="16"/>
              </w:rPr>
              <w:t>k</w:t>
            </w:r>
            <w:r w:rsidRPr="006C40C1">
              <w:rPr>
                <w:sz w:val="16"/>
              </w:rPr>
              <w:t>ningsprocessen i gruvindustriell verksamhet för drift av andra motordrivna fordon än perso</w:t>
            </w:r>
            <w:r w:rsidRPr="006C40C1">
              <w:rPr>
                <w:sz w:val="16"/>
              </w:rPr>
              <w:t>n</w:t>
            </w:r>
            <w:r w:rsidRPr="006C40C1">
              <w:rPr>
                <w:sz w:val="16"/>
              </w:rPr>
              <w:t>bilar, lastbilar och bussar</w:t>
            </w:r>
          </w:p>
        </w:tc>
        <w:tc>
          <w:tcPr>
            <w:tcW w:w="1611" w:type="dxa"/>
            <w:tcBorders>
              <w:top w:val="nil"/>
              <w:left w:val="nil"/>
              <w:bottom w:val="single" w:sz="4" w:space="0" w:color="auto"/>
              <w:right w:val="nil"/>
            </w:tcBorders>
          </w:tcPr>
          <w:p w:rsidR="00AA5D77" w:rsidRPr="006C40C1" w:rsidRDefault="00AA5D77">
            <w:pPr>
              <w:spacing w:before="0" w:line="200" w:lineRule="exact"/>
              <w:jc w:val="left"/>
              <w:rPr>
                <w:sz w:val="16"/>
              </w:rPr>
            </w:pPr>
            <w:r w:rsidRPr="006C40C1">
              <w:rPr>
                <w:sz w:val="16"/>
              </w:rPr>
              <w:t>Andra bränslen än bränsle som avses i 2 kap. 1 § första stycket 3 b</w:t>
            </w:r>
          </w:p>
        </w:tc>
        <w:tc>
          <w:tcPr>
            <w:tcW w:w="1213" w:type="dxa"/>
            <w:tcBorders>
              <w:top w:val="nil"/>
              <w:left w:val="nil"/>
              <w:bottom w:val="single" w:sz="4" w:space="0" w:color="auto"/>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single" w:sz="4" w:space="0" w:color="auto"/>
              <w:right w:val="nil"/>
            </w:tcBorders>
          </w:tcPr>
          <w:p w:rsidR="00AA5D77" w:rsidRPr="006C40C1" w:rsidRDefault="00AA5D77">
            <w:pPr>
              <w:spacing w:before="0" w:line="200" w:lineRule="exact"/>
              <w:rPr>
                <w:sz w:val="16"/>
              </w:rPr>
            </w:pPr>
            <w:r w:rsidRPr="006C40C1">
              <w:rPr>
                <w:i/>
                <w:sz w:val="16"/>
              </w:rPr>
              <w:t xml:space="preserve">70 </w:t>
            </w:r>
            <w:r w:rsidRPr="006C40C1">
              <w:rPr>
                <w:sz w:val="16"/>
              </w:rPr>
              <w:t>pr</w:t>
            </w:r>
            <w:r w:rsidRPr="006C40C1">
              <w:rPr>
                <w:sz w:val="16"/>
              </w:rPr>
              <w:t>o</w:t>
            </w:r>
            <w:r w:rsidRPr="006C40C1">
              <w:rPr>
                <w:sz w:val="16"/>
              </w:rPr>
              <w:t>cent</w:t>
            </w:r>
          </w:p>
        </w:tc>
        <w:tc>
          <w:tcPr>
            <w:tcW w:w="1209" w:type="dxa"/>
            <w:tcBorders>
              <w:top w:val="nil"/>
              <w:left w:val="nil"/>
              <w:bottom w:val="single" w:sz="4" w:space="0" w:color="auto"/>
              <w:right w:val="nil"/>
            </w:tcBorders>
          </w:tcPr>
          <w:p w:rsidR="00AA5D77" w:rsidRPr="006C40C1" w:rsidRDefault="00AA5D77">
            <w:pPr>
              <w:spacing w:before="0" w:line="200" w:lineRule="exact"/>
              <w:rPr>
                <w:sz w:val="16"/>
              </w:rPr>
            </w:pPr>
            <w:r w:rsidRPr="006C40C1">
              <w:rPr>
                <w:sz w:val="16"/>
              </w:rPr>
              <w:t>–</w:t>
            </w:r>
          </w:p>
        </w:tc>
      </w:tr>
    </w:tbl>
    <w:p w:rsidR="00AA5D77" w:rsidRPr="006C40C1" w:rsidRDefault="00AA5D77"/>
    <w:tbl>
      <w:tblPr>
        <w:tblW w:w="0" w:type="auto"/>
        <w:tblInd w:w="-170" w:type="dxa"/>
        <w:tblLayout w:type="fixed"/>
        <w:tblLook w:val="0000" w:firstRow="0" w:lastRow="0" w:firstColumn="0" w:lastColumn="0" w:noHBand="0" w:noVBand="0"/>
      </w:tblPr>
      <w:tblGrid>
        <w:gridCol w:w="3628"/>
        <w:gridCol w:w="3628"/>
      </w:tblGrid>
      <w:tr w:rsidR="00000000" w:rsidRPr="006C40C1">
        <w:tblPrEx>
          <w:tblCellMar>
            <w:top w:w="0" w:type="dxa"/>
            <w:bottom w:w="0" w:type="dxa"/>
          </w:tblCellMar>
        </w:tblPrEx>
        <w:tc>
          <w:tcPr>
            <w:tcW w:w="3628" w:type="dxa"/>
          </w:tcPr>
          <w:p w:rsidR="00AA5D77" w:rsidRPr="006C40C1" w:rsidRDefault="00AA5D77">
            <w:pPr>
              <w:pStyle w:val="LagtextRubrik"/>
            </w:pPr>
            <w:r w:rsidRPr="006C40C1">
              <w:t>Föreslagen lydelse</w:t>
            </w:r>
          </w:p>
        </w:tc>
        <w:tc>
          <w:tcPr>
            <w:tcW w:w="3628" w:type="dxa"/>
          </w:tcPr>
          <w:p w:rsidR="00AA5D77" w:rsidRPr="006C40C1" w:rsidRDefault="00AA5D77">
            <w:pPr>
              <w:spacing w:before="0"/>
              <w:rPr>
                <w:sz w:val="16"/>
              </w:rPr>
            </w:pPr>
          </w:p>
        </w:tc>
      </w:tr>
    </w:tbl>
    <w:p w:rsidR="00AA5D77" w:rsidRPr="006C40C1" w:rsidRDefault="00AA5D77">
      <w:pPr>
        <w:pStyle w:val="Normaltindrag"/>
        <w:spacing w:after="60"/>
      </w:pPr>
      <w:r w:rsidRPr="006C40C1">
        <w:t>Bränsle som används för nedan angivna ändamål, i förekommande fall med undantag för vissa bränsleslag, skall helt eller delvis befrias från skatt enligt följande, om inte annat anges.</w:t>
      </w:r>
    </w:p>
    <w:p w:rsidR="00AA5D77" w:rsidRPr="006C40C1" w:rsidRDefault="00AA5D77">
      <w:pPr>
        <w:pStyle w:val="Normaltindrag"/>
        <w:spacing w:after="60"/>
      </w:pPr>
      <w:r w:rsidRPr="006C40C1">
        <w:br w:type="page"/>
      </w:r>
    </w:p>
    <w:tbl>
      <w:tblPr>
        <w:tblW w:w="0" w:type="auto"/>
        <w:jc w:val="right"/>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6C40C1">
        <w:tblPrEx>
          <w:tblCellMar>
            <w:top w:w="0" w:type="dxa"/>
            <w:bottom w:w="0" w:type="dxa"/>
          </w:tblCellMar>
        </w:tblPrEx>
        <w:trPr>
          <w:tblHeader/>
          <w:jc w:val="right"/>
        </w:trPr>
        <w:tc>
          <w:tcPr>
            <w:tcW w:w="2270"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Ändamål</w:t>
            </w:r>
          </w:p>
          <w:p w:rsidR="00AA5D77" w:rsidRPr="006C40C1" w:rsidRDefault="00AA5D77">
            <w:pPr>
              <w:spacing w:before="0" w:line="200" w:lineRule="exact"/>
              <w:jc w:val="left"/>
              <w:rPr>
                <w:sz w:val="16"/>
              </w:rPr>
            </w:pPr>
          </w:p>
        </w:tc>
        <w:tc>
          <w:tcPr>
            <w:tcW w:w="1611"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Bränsle som inte ger befr</w:t>
            </w:r>
            <w:r w:rsidRPr="006C40C1">
              <w:rPr>
                <w:sz w:val="16"/>
              </w:rPr>
              <w:t>i</w:t>
            </w:r>
            <w:r w:rsidRPr="006C40C1">
              <w:rPr>
                <w:sz w:val="16"/>
              </w:rPr>
              <w:t>else</w:t>
            </w:r>
          </w:p>
        </w:tc>
        <w:tc>
          <w:tcPr>
            <w:tcW w:w="1213" w:type="dxa"/>
            <w:tcBorders>
              <w:top w:val="single" w:sz="4" w:space="0" w:color="auto"/>
              <w:left w:val="nil"/>
              <w:bottom w:val="single" w:sz="4" w:space="0" w:color="auto"/>
              <w:right w:val="nil"/>
            </w:tcBorders>
          </w:tcPr>
          <w:p w:rsidR="00AA5D77" w:rsidRPr="006C40C1" w:rsidRDefault="00AA5D77">
            <w:pPr>
              <w:spacing w:before="0" w:line="200" w:lineRule="exact"/>
              <w:rPr>
                <w:sz w:val="16"/>
              </w:rPr>
            </w:pPr>
            <w:r w:rsidRPr="006C40C1">
              <w:rPr>
                <w:sz w:val="16"/>
              </w:rPr>
              <w:t>Befrielse från energ</w:t>
            </w:r>
            <w:r w:rsidRPr="006C40C1">
              <w:rPr>
                <w:sz w:val="16"/>
              </w:rPr>
              <w:t>i</w:t>
            </w:r>
            <w:r w:rsidRPr="006C40C1">
              <w:rPr>
                <w:sz w:val="16"/>
              </w:rPr>
              <w:t>skatt</w:t>
            </w:r>
          </w:p>
        </w:tc>
        <w:tc>
          <w:tcPr>
            <w:tcW w:w="1209" w:type="dxa"/>
            <w:tcBorders>
              <w:top w:val="single" w:sz="4" w:space="0" w:color="auto"/>
              <w:left w:val="nil"/>
              <w:bottom w:val="single" w:sz="4" w:space="0" w:color="auto"/>
              <w:right w:val="nil"/>
            </w:tcBorders>
          </w:tcPr>
          <w:p w:rsidR="00AA5D77" w:rsidRPr="006C40C1" w:rsidRDefault="00AA5D77">
            <w:pPr>
              <w:spacing w:before="0" w:line="200" w:lineRule="exact"/>
              <w:rPr>
                <w:sz w:val="16"/>
              </w:rPr>
            </w:pPr>
            <w:r w:rsidRPr="006C40C1">
              <w:rPr>
                <w:sz w:val="16"/>
              </w:rPr>
              <w:t>Befrielse från koldio</w:t>
            </w:r>
            <w:r w:rsidRPr="006C40C1">
              <w:rPr>
                <w:sz w:val="16"/>
              </w:rPr>
              <w:t>x</w:t>
            </w:r>
            <w:r w:rsidRPr="006C40C1">
              <w:rPr>
                <w:sz w:val="16"/>
              </w:rPr>
              <w:t>id</w:t>
            </w:r>
            <w:r w:rsidRPr="006C40C1">
              <w:rPr>
                <w:sz w:val="16"/>
              </w:rPr>
              <w:softHyphen/>
              <w:t>skatt</w:t>
            </w:r>
          </w:p>
        </w:tc>
        <w:tc>
          <w:tcPr>
            <w:tcW w:w="1209" w:type="dxa"/>
            <w:tcBorders>
              <w:top w:val="single" w:sz="4" w:space="0" w:color="auto"/>
              <w:left w:val="nil"/>
              <w:bottom w:val="single" w:sz="4" w:space="0" w:color="auto"/>
              <w:right w:val="nil"/>
            </w:tcBorders>
          </w:tcPr>
          <w:p w:rsidR="00AA5D77" w:rsidRPr="006C40C1" w:rsidRDefault="00AA5D77">
            <w:pPr>
              <w:spacing w:before="0" w:line="200" w:lineRule="exact"/>
              <w:rPr>
                <w:sz w:val="16"/>
              </w:rPr>
            </w:pPr>
            <w:r w:rsidRPr="006C40C1">
              <w:rPr>
                <w:sz w:val="16"/>
              </w:rPr>
              <w:t>Befrielse från svave</w:t>
            </w:r>
            <w:r w:rsidRPr="006C40C1">
              <w:rPr>
                <w:sz w:val="16"/>
              </w:rPr>
              <w:t>l</w:t>
            </w:r>
            <w:r w:rsidRPr="006C40C1">
              <w:rPr>
                <w:sz w:val="16"/>
              </w:rPr>
              <w:t>skatt</w:t>
            </w:r>
          </w:p>
        </w:tc>
      </w:tr>
      <w:tr w:rsidR="00000000" w:rsidRPr="006C40C1">
        <w:tblPrEx>
          <w:tblCellMar>
            <w:top w:w="0" w:type="dxa"/>
            <w:bottom w:w="0" w:type="dxa"/>
          </w:tblCellMar>
        </w:tblPrEx>
        <w:trPr>
          <w:jc w:val="right"/>
        </w:trPr>
        <w:tc>
          <w:tcPr>
            <w:tcW w:w="2270" w:type="dxa"/>
            <w:tcBorders>
              <w:top w:val="single" w:sz="4" w:space="0" w:color="auto"/>
              <w:left w:val="nil"/>
              <w:right w:val="nil"/>
            </w:tcBorders>
          </w:tcPr>
          <w:p w:rsidR="00AA5D77" w:rsidRPr="006C40C1" w:rsidRDefault="00AA5D77">
            <w:pPr>
              <w:spacing w:before="0" w:line="200" w:lineRule="exact"/>
              <w:jc w:val="left"/>
              <w:rPr>
                <w:sz w:val="16"/>
              </w:rPr>
            </w:pPr>
          </w:p>
        </w:tc>
        <w:tc>
          <w:tcPr>
            <w:tcW w:w="1611" w:type="dxa"/>
            <w:tcBorders>
              <w:top w:val="single" w:sz="4" w:space="0" w:color="auto"/>
              <w:left w:val="nil"/>
              <w:right w:val="nil"/>
            </w:tcBorders>
          </w:tcPr>
          <w:p w:rsidR="00AA5D77" w:rsidRPr="006C40C1" w:rsidRDefault="00AA5D77">
            <w:pPr>
              <w:spacing w:before="0" w:line="200" w:lineRule="exact"/>
              <w:jc w:val="left"/>
              <w:rPr>
                <w:sz w:val="16"/>
              </w:rPr>
            </w:pPr>
          </w:p>
        </w:tc>
        <w:tc>
          <w:tcPr>
            <w:tcW w:w="1213"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left w:val="nil"/>
              <w:right w:val="nil"/>
            </w:tcBorders>
          </w:tcPr>
          <w:p w:rsidR="00AA5D77" w:rsidRPr="006C40C1" w:rsidRDefault="00AA5D77">
            <w:pPr>
              <w:spacing w:before="0" w:line="200" w:lineRule="exact"/>
              <w:jc w:val="left"/>
              <w:rPr>
                <w:sz w:val="16"/>
              </w:rPr>
            </w:pPr>
            <w:r w:rsidRPr="006C40C1">
              <w:rPr>
                <w:sz w:val="16"/>
              </w:rPr>
              <w:t>1. Förbrukning för annat änd</w:t>
            </w:r>
            <w:r w:rsidRPr="006C40C1">
              <w:rPr>
                <w:sz w:val="16"/>
              </w:rPr>
              <w:t>a</w:t>
            </w:r>
            <w:r w:rsidRPr="006C40C1">
              <w:rPr>
                <w:sz w:val="16"/>
              </w:rPr>
              <w:t>mål än motordrift eller up</w:t>
            </w:r>
            <w:r w:rsidRPr="006C40C1">
              <w:rPr>
                <w:sz w:val="16"/>
              </w:rPr>
              <w:t>p</w:t>
            </w:r>
            <w:r w:rsidRPr="006C40C1">
              <w:rPr>
                <w:sz w:val="16"/>
              </w:rPr>
              <w:t>värmning eller i en process där bränslet i allt väsentligt används för annat ändamål än motordrift eller up</w:t>
            </w:r>
            <w:r w:rsidRPr="006C40C1">
              <w:rPr>
                <w:sz w:val="16"/>
              </w:rPr>
              <w:t>p</w:t>
            </w:r>
            <w:r w:rsidRPr="006C40C1">
              <w:rPr>
                <w:sz w:val="16"/>
              </w:rPr>
              <w:t>värmning</w:t>
            </w:r>
          </w:p>
        </w:tc>
        <w:tc>
          <w:tcPr>
            <w:tcW w:w="1611" w:type="dxa"/>
            <w:tcBorders>
              <w:left w:val="nil"/>
              <w:right w:val="nil"/>
            </w:tcBorders>
          </w:tcPr>
          <w:p w:rsidR="00AA5D77" w:rsidRPr="006C40C1" w:rsidRDefault="00AA5D77">
            <w:pPr>
              <w:spacing w:before="0" w:line="200" w:lineRule="exact"/>
              <w:jc w:val="left"/>
              <w:rPr>
                <w:sz w:val="16"/>
              </w:rPr>
            </w:pPr>
          </w:p>
        </w:tc>
        <w:tc>
          <w:tcPr>
            <w:tcW w:w="1213" w:type="dxa"/>
            <w:tcBorders>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right w:val="nil"/>
            </w:tcBorders>
          </w:tcPr>
          <w:p w:rsidR="00AA5D77" w:rsidRPr="006C40C1" w:rsidRDefault="00AA5D77">
            <w:pPr>
              <w:spacing w:before="0" w:line="200" w:lineRule="exact"/>
              <w:rPr>
                <w:sz w:val="16"/>
              </w:rPr>
            </w:pPr>
            <w:r w:rsidRPr="006C40C1">
              <w:rPr>
                <w:sz w:val="16"/>
              </w:rPr>
              <w:t>100 pr</w:t>
            </w:r>
            <w:r w:rsidRPr="006C40C1">
              <w:rPr>
                <w:sz w:val="16"/>
              </w:rPr>
              <w:t>o</w:t>
            </w:r>
            <w:r w:rsidRPr="006C40C1">
              <w:rPr>
                <w:sz w:val="16"/>
              </w:rPr>
              <w:t>cent</w:t>
            </w:r>
          </w:p>
        </w:tc>
        <w:tc>
          <w:tcPr>
            <w:tcW w:w="1209" w:type="dxa"/>
            <w:tcBorders>
              <w:left w:val="nil"/>
              <w:right w:val="nil"/>
            </w:tcBorders>
          </w:tcPr>
          <w:p w:rsidR="00AA5D77" w:rsidRPr="006C40C1" w:rsidRDefault="00AA5D77">
            <w:pPr>
              <w:spacing w:before="0" w:line="200" w:lineRule="exact"/>
              <w:rPr>
                <w:sz w:val="16"/>
              </w:rPr>
            </w:pPr>
            <w:r w:rsidRPr="006C40C1">
              <w:rPr>
                <w:sz w:val="16"/>
              </w:rPr>
              <w:t>100 pr</w:t>
            </w:r>
            <w:r w:rsidRPr="006C40C1">
              <w:rPr>
                <w:sz w:val="16"/>
              </w:rPr>
              <w:t>o</w:t>
            </w:r>
            <w:r w:rsidRPr="006C40C1">
              <w:rPr>
                <w:sz w:val="16"/>
              </w:rPr>
              <w:t>cent</w:t>
            </w:r>
          </w:p>
        </w:tc>
      </w:tr>
      <w:tr w:rsidR="00000000" w:rsidRPr="006C40C1">
        <w:tblPrEx>
          <w:tblCellMar>
            <w:top w:w="0" w:type="dxa"/>
            <w:bottom w:w="0" w:type="dxa"/>
          </w:tblCellMar>
        </w:tblPrEx>
        <w:trPr>
          <w:jc w:val="right"/>
        </w:trPr>
        <w:tc>
          <w:tcPr>
            <w:tcW w:w="2270" w:type="dxa"/>
            <w:tcBorders>
              <w:left w:val="nil"/>
              <w:right w:val="nil"/>
            </w:tcBorders>
          </w:tcPr>
          <w:p w:rsidR="00AA5D77" w:rsidRPr="006C40C1" w:rsidRDefault="00AA5D77">
            <w:pPr>
              <w:spacing w:before="0" w:line="200" w:lineRule="exact"/>
              <w:jc w:val="left"/>
              <w:rPr>
                <w:sz w:val="16"/>
              </w:rPr>
            </w:pPr>
          </w:p>
        </w:tc>
        <w:tc>
          <w:tcPr>
            <w:tcW w:w="1611" w:type="dxa"/>
            <w:tcBorders>
              <w:left w:val="nil"/>
              <w:right w:val="nil"/>
            </w:tcBorders>
          </w:tcPr>
          <w:p w:rsidR="00AA5D77" w:rsidRPr="006C40C1" w:rsidRDefault="00AA5D77">
            <w:pPr>
              <w:spacing w:before="0" w:line="200" w:lineRule="exact"/>
              <w:jc w:val="left"/>
              <w:rPr>
                <w:sz w:val="16"/>
              </w:rPr>
            </w:pPr>
          </w:p>
        </w:tc>
        <w:tc>
          <w:tcPr>
            <w:tcW w:w="1213" w:type="dxa"/>
            <w:tcBorders>
              <w:left w:val="nil"/>
              <w:right w:val="nil"/>
            </w:tcBorders>
          </w:tcPr>
          <w:p w:rsidR="00AA5D77" w:rsidRPr="006C40C1" w:rsidRDefault="00AA5D77">
            <w:pPr>
              <w:spacing w:before="0" w:line="200" w:lineRule="exact"/>
              <w:rPr>
                <w:sz w:val="16"/>
              </w:rPr>
            </w:pPr>
          </w:p>
        </w:tc>
        <w:tc>
          <w:tcPr>
            <w:tcW w:w="1209" w:type="dxa"/>
            <w:tcBorders>
              <w:left w:val="nil"/>
              <w:right w:val="nil"/>
            </w:tcBorders>
          </w:tcPr>
          <w:p w:rsidR="00AA5D77" w:rsidRPr="006C40C1" w:rsidRDefault="00AA5D77">
            <w:pPr>
              <w:spacing w:before="0" w:line="200" w:lineRule="exact"/>
              <w:rPr>
                <w:sz w:val="16"/>
              </w:rPr>
            </w:pPr>
          </w:p>
        </w:tc>
        <w:tc>
          <w:tcPr>
            <w:tcW w:w="1209" w:type="dxa"/>
            <w:tcBorders>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left w:val="nil"/>
              <w:bottom w:val="nil"/>
            </w:tcBorders>
          </w:tcPr>
          <w:p w:rsidR="00AA5D77" w:rsidRPr="006C40C1" w:rsidRDefault="00AA5D77">
            <w:pPr>
              <w:spacing w:before="0" w:line="200" w:lineRule="exact"/>
              <w:jc w:val="left"/>
              <w:rPr>
                <w:sz w:val="16"/>
              </w:rPr>
            </w:pPr>
            <w:r w:rsidRPr="006C40C1">
              <w:rPr>
                <w:sz w:val="16"/>
              </w:rPr>
              <w:t>2. Förbrukning i tåg eller annat spårbundet färdm</w:t>
            </w:r>
            <w:r w:rsidRPr="006C40C1">
              <w:rPr>
                <w:sz w:val="16"/>
              </w:rPr>
              <w:t>e</w:t>
            </w:r>
            <w:r w:rsidRPr="006C40C1">
              <w:rPr>
                <w:sz w:val="16"/>
              </w:rPr>
              <w:t>del</w:t>
            </w:r>
          </w:p>
        </w:tc>
        <w:tc>
          <w:tcPr>
            <w:tcW w:w="1611" w:type="dxa"/>
            <w:tcBorders>
              <w:right w:val="nil"/>
            </w:tcBorders>
          </w:tcPr>
          <w:p w:rsidR="00AA5D77" w:rsidRPr="006C40C1" w:rsidRDefault="00AA5D77">
            <w:pPr>
              <w:spacing w:before="0" w:line="200" w:lineRule="exact"/>
              <w:jc w:val="left"/>
              <w:rPr>
                <w:sz w:val="16"/>
              </w:rPr>
            </w:pPr>
            <w:r w:rsidRPr="006C40C1">
              <w:rPr>
                <w:sz w:val="16"/>
              </w:rPr>
              <w:t>Bensin, bränsle som avses i 2 kap. 1 § första stycket 3 b</w:t>
            </w:r>
          </w:p>
        </w:tc>
        <w:tc>
          <w:tcPr>
            <w:tcW w:w="1213"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p>
        </w:tc>
        <w:tc>
          <w:tcPr>
            <w:tcW w:w="1611" w:type="dxa"/>
            <w:tcBorders>
              <w:top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tcBorders>
          </w:tcPr>
          <w:p w:rsidR="00AA5D77" w:rsidRPr="006C40C1" w:rsidRDefault="00AA5D77">
            <w:pPr>
              <w:spacing w:before="0" w:line="200" w:lineRule="exact"/>
              <w:jc w:val="left"/>
              <w:rPr>
                <w:sz w:val="16"/>
              </w:rPr>
            </w:pPr>
            <w:r w:rsidRPr="006C40C1">
              <w:rPr>
                <w:sz w:val="16"/>
              </w:rPr>
              <w:t>3. Förbrukning i skepp, när skeppet inte används för privat ändamål</w:t>
            </w:r>
          </w:p>
        </w:tc>
        <w:tc>
          <w:tcPr>
            <w:tcW w:w="1611" w:type="dxa"/>
            <w:tcBorders>
              <w:top w:val="nil"/>
              <w:right w:val="nil"/>
            </w:tcBorders>
          </w:tcPr>
          <w:p w:rsidR="00AA5D77" w:rsidRPr="006C40C1" w:rsidRDefault="00AA5D77">
            <w:pPr>
              <w:spacing w:before="0" w:line="200" w:lineRule="exact"/>
              <w:jc w:val="left"/>
              <w:rPr>
                <w:sz w:val="16"/>
              </w:rPr>
            </w:pPr>
            <w:r w:rsidRPr="006C40C1">
              <w:rPr>
                <w:sz w:val="16"/>
              </w:rPr>
              <w:t>Bensin, bränsle som avses i 2 kap. 1 § första stycket 3 b</w:t>
            </w:r>
          </w:p>
        </w:tc>
        <w:tc>
          <w:tcPr>
            <w:tcW w:w="1213" w:type="dxa"/>
            <w:tcBorders>
              <w:top w:val="nil"/>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left w:val="nil"/>
            </w:tcBorders>
          </w:tcPr>
          <w:p w:rsidR="00AA5D77" w:rsidRPr="006C40C1" w:rsidRDefault="00AA5D77">
            <w:pPr>
              <w:spacing w:before="0" w:line="200" w:lineRule="exact"/>
              <w:jc w:val="left"/>
              <w:rPr>
                <w:sz w:val="16"/>
              </w:rPr>
            </w:pPr>
          </w:p>
        </w:tc>
        <w:tc>
          <w:tcPr>
            <w:tcW w:w="1611" w:type="dxa"/>
            <w:tcBorders>
              <w:right w:val="nil"/>
            </w:tcBorders>
          </w:tcPr>
          <w:p w:rsidR="00AA5D77" w:rsidRPr="006C40C1" w:rsidRDefault="00AA5D77">
            <w:pPr>
              <w:spacing w:before="0" w:line="200" w:lineRule="exact"/>
              <w:jc w:val="left"/>
              <w:rPr>
                <w:sz w:val="16"/>
              </w:rPr>
            </w:pPr>
          </w:p>
        </w:tc>
        <w:tc>
          <w:tcPr>
            <w:tcW w:w="1213" w:type="dxa"/>
            <w:tcBorders>
              <w:left w:val="nil"/>
              <w:right w:val="nil"/>
            </w:tcBorders>
          </w:tcPr>
          <w:p w:rsidR="00AA5D77" w:rsidRPr="006C40C1" w:rsidRDefault="00AA5D77">
            <w:pPr>
              <w:spacing w:before="0" w:line="200" w:lineRule="exact"/>
              <w:rPr>
                <w:sz w:val="16"/>
              </w:rPr>
            </w:pPr>
          </w:p>
        </w:tc>
        <w:tc>
          <w:tcPr>
            <w:tcW w:w="1209" w:type="dxa"/>
            <w:tcBorders>
              <w:left w:val="nil"/>
              <w:right w:val="nil"/>
            </w:tcBorders>
          </w:tcPr>
          <w:p w:rsidR="00AA5D77" w:rsidRPr="006C40C1" w:rsidRDefault="00AA5D77">
            <w:pPr>
              <w:spacing w:before="0" w:line="200" w:lineRule="exact"/>
              <w:rPr>
                <w:sz w:val="16"/>
              </w:rPr>
            </w:pPr>
          </w:p>
        </w:tc>
        <w:tc>
          <w:tcPr>
            <w:tcW w:w="1209" w:type="dxa"/>
            <w:tcBorders>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left w:val="nil"/>
              <w:bottom w:val="nil"/>
            </w:tcBorders>
          </w:tcPr>
          <w:p w:rsidR="00AA5D77" w:rsidRPr="006C40C1" w:rsidRDefault="00AA5D77">
            <w:pPr>
              <w:spacing w:before="0" w:line="200" w:lineRule="exact"/>
              <w:jc w:val="left"/>
              <w:rPr>
                <w:sz w:val="16"/>
              </w:rPr>
            </w:pPr>
            <w:r w:rsidRPr="006C40C1">
              <w:rPr>
                <w:sz w:val="16"/>
              </w:rPr>
              <w:t>4. Förbrukning i båt för vilken medgivande enligt 2 kap. 9 § eller fartygstillstånd enligt fiskelagen (1993:787) medd</w:t>
            </w:r>
            <w:r w:rsidRPr="006C40C1">
              <w:rPr>
                <w:sz w:val="16"/>
              </w:rPr>
              <w:t>e</w:t>
            </w:r>
            <w:r w:rsidRPr="006C40C1">
              <w:rPr>
                <w:sz w:val="16"/>
              </w:rPr>
              <w:t>lats, när båten inte används för privat ändamål</w:t>
            </w:r>
          </w:p>
        </w:tc>
        <w:tc>
          <w:tcPr>
            <w:tcW w:w="1611" w:type="dxa"/>
            <w:tcBorders>
              <w:right w:val="nil"/>
            </w:tcBorders>
          </w:tcPr>
          <w:p w:rsidR="00AA5D77" w:rsidRPr="006C40C1" w:rsidRDefault="00AA5D77">
            <w:pPr>
              <w:spacing w:before="0" w:line="200" w:lineRule="exact"/>
              <w:jc w:val="left"/>
              <w:rPr>
                <w:sz w:val="16"/>
              </w:rPr>
            </w:pPr>
            <w:r w:rsidRPr="006C40C1">
              <w:rPr>
                <w:sz w:val="16"/>
              </w:rPr>
              <w:t>Bensin, bränsle som avses i 2 kap. 1 § första stycket 3 b</w:t>
            </w:r>
          </w:p>
        </w:tc>
        <w:tc>
          <w:tcPr>
            <w:tcW w:w="1213"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p>
        </w:tc>
        <w:tc>
          <w:tcPr>
            <w:tcW w:w="1611" w:type="dxa"/>
            <w:tcBorders>
              <w:top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 xml:space="preserve">5. Förbrukning i </w:t>
            </w:r>
          </w:p>
          <w:p w:rsidR="00AA5D77" w:rsidRPr="006C40C1" w:rsidRDefault="00AA5D77">
            <w:pPr>
              <w:spacing w:before="0" w:line="200" w:lineRule="exact"/>
              <w:jc w:val="left"/>
              <w:rPr>
                <w:sz w:val="16"/>
              </w:rPr>
            </w:pPr>
            <w:r w:rsidRPr="006C40C1">
              <w:rPr>
                <w:sz w:val="16"/>
              </w:rPr>
              <w:t>a) luftfartyg, när luftfartyget inte används för privat ä</w:t>
            </w:r>
            <w:r w:rsidRPr="006C40C1">
              <w:rPr>
                <w:sz w:val="16"/>
              </w:rPr>
              <w:t>n</w:t>
            </w:r>
            <w:r w:rsidRPr="006C40C1">
              <w:rPr>
                <w:sz w:val="16"/>
              </w:rPr>
              <w:t>damål</w:t>
            </w:r>
          </w:p>
        </w:tc>
        <w:tc>
          <w:tcPr>
            <w:tcW w:w="1611" w:type="dxa"/>
            <w:tcBorders>
              <w:top w:val="nil"/>
              <w:bottom w:val="nil"/>
              <w:right w:val="nil"/>
            </w:tcBorders>
          </w:tcPr>
          <w:p w:rsidR="00AA5D77" w:rsidRPr="006C40C1" w:rsidRDefault="00AA5D77">
            <w:pPr>
              <w:spacing w:before="0" w:line="200" w:lineRule="exact"/>
              <w:jc w:val="left"/>
              <w:rPr>
                <w:sz w:val="16"/>
              </w:rPr>
            </w:pPr>
          </w:p>
          <w:p w:rsidR="00AA5D77" w:rsidRPr="006C40C1" w:rsidRDefault="00AA5D77">
            <w:pPr>
              <w:spacing w:before="0" w:line="200" w:lineRule="exact"/>
              <w:jc w:val="left"/>
              <w:rPr>
                <w:sz w:val="16"/>
              </w:rPr>
            </w:pPr>
            <w:r w:rsidRPr="006C40C1">
              <w:rPr>
                <w:sz w:val="16"/>
              </w:rPr>
              <w:t>Annan bensin än flygbensin (KN-nr</w:t>
            </w:r>
          </w:p>
          <w:p w:rsidR="00AA5D77" w:rsidRPr="006C40C1" w:rsidRDefault="00AA5D77">
            <w:pPr>
              <w:spacing w:before="0" w:line="200" w:lineRule="exact"/>
              <w:jc w:val="left"/>
              <w:rPr>
                <w:sz w:val="16"/>
              </w:rPr>
            </w:pPr>
            <w:r w:rsidRPr="006C40C1">
              <w:rPr>
                <w:sz w:val="16"/>
              </w:rPr>
              <w:t>2710 00 26) och bränsle som avses i 2 kap. 1 § första stycket 3 b</w:t>
            </w:r>
          </w:p>
        </w:tc>
        <w:tc>
          <w:tcPr>
            <w:tcW w:w="1213" w:type="dxa"/>
            <w:tcBorders>
              <w:top w:val="nil"/>
              <w:left w:val="nil"/>
              <w:bottom w:val="nil"/>
              <w:right w:val="nil"/>
            </w:tcBorders>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p>
        </w:tc>
        <w:tc>
          <w:tcPr>
            <w:tcW w:w="1611" w:type="dxa"/>
            <w:tcBorders>
              <w:top w:val="nil"/>
              <w:left w:val="nil"/>
              <w:bottom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b) luftfartyg, när luftfartyget används för privat ändamål eller i luftfartygsmotorer i provbädd eller i liknande anordning</w:t>
            </w:r>
          </w:p>
        </w:tc>
        <w:tc>
          <w:tcPr>
            <w:tcW w:w="1611"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Andra bränslen än flygbensin och fly</w:t>
            </w:r>
            <w:r w:rsidRPr="006C40C1">
              <w:rPr>
                <w:sz w:val="16"/>
              </w:rPr>
              <w:t>g</w:t>
            </w:r>
            <w:r w:rsidRPr="006C40C1">
              <w:rPr>
                <w:sz w:val="16"/>
              </w:rPr>
              <w:t xml:space="preserve">fotogen (KN-nr </w:t>
            </w:r>
          </w:p>
          <w:p w:rsidR="00AA5D77" w:rsidRPr="006C40C1" w:rsidRDefault="00AA5D77">
            <w:pPr>
              <w:spacing w:before="0" w:line="200" w:lineRule="exact"/>
              <w:jc w:val="left"/>
              <w:rPr>
                <w:sz w:val="16"/>
              </w:rPr>
            </w:pPr>
            <w:r w:rsidRPr="006C40C1">
              <w:rPr>
                <w:sz w:val="16"/>
              </w:rPr>
              <w:t>2710 00 51)</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p>
        </w:tc>
        <w:tc>
          <w:tcPr>
            <w:tcW w:w="1611" w:type="dxa"/>
            <w:tcBorders>
              <w:top w:val="nil"/>
              <w:left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6. Förbrukning vid framställning av mineraloljeprodukter, ko</w:t>
            </w:r>
            <w:r w:rsidRPr="006C40C1">
              <w:rPr>
                <w:sz w:val="16"/>
              </w:rPr>
              <w:t>l</w:t>
            </w:r>
            <w:r w:rsidRPr="006C40C1">
              <w:rPr>
                <w:sz w:val="16"/>
              </w:rPr>
              <w:t>bränslen, petroleumkoks eller andra produkter för vilka skatt</w:t>
            </w:r>
            <w:r w:rsidRPr="006C40C1">
              <w:rPr>
                <w:sz w:val="16"/>
              </w:rPr>
              <w:t>e</w:t>
            </w:r>
            <w:r w:rsidRPr="006C40C1">
              <w:rPr>
                <w:sz w:val="16"/>
              </w:rPr>
              <w:t>plikt har inträtt för tillve</w:t>
            </w:r>
            <w:r w:rsidRPr="006C40C1">
              <w:rPr>
                <w:sz w:val="16"/>
              </w:rPr>
              <w:t>r</w:t>
            </w:r>
            <w:r w:rsidRPr="006C40C1">
              <w:rPr>
                <w:sz w:val="16"/>
              </w:rPr>
              <w:t>karen</w:t>
            </w:r>
          </w:p>
        </w:tc>
        <w:tc>
          <w:tcPr>
            <w:tcW w:w="1611" w:type="dxa"/>
            <w:tcBorders>
              <w:top w:val="nil"/>
              <w:left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p>
        </w:tc>
        <w:tc>
          <w:tcPr>
            <w:tcW w:w="1611" w:type="dxa"/>
            <w:tcBorders>
              <w:top w:val="nil"/>
              <w:left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7. Förbrukning vid fram-ställning av skattepliktig elek</w:t>
            </w:r>
            <w:r w:rsidRPr="006C40C1">
              <w:rPr>
                <w:sz w:val="16"/>
              </w:rPr>
              <w:t>t</w:t>
            </w:r>
            <w:r w:rsidRPr="006C40C1">
              <w:rPr>
                <w:sz w:val="16"/>
              </w:rPr>
              <w:t>risk kraft, med de begränsningar som följer av 3 §</w:t>
            </w:r>
          </w:p>
        </w:tc>
        <w:tc>
          <w:tcPr>
            <w:tcW w:w="1611" w:type="dxa"/>
            <w:tcBorders>
              <w:top w:val="nil"/>
              <w:bottom w:val="nil"/>
              <w:right w:val="nil"/>
            </w:tcBorders>
          </w:tcPr>
          <w:p w:rsidR="00AA5D77" w:rsidRPr="006C40C1" w:rsidRDefault="00AA5D77">
            <w:pPr>
              <w:spacing w:before="0" w:line="200" w:lineRule="exact"/>
              <w:jc w:val="left"/>
              <w:rPr>
                <w:sz w:val="16"/>
              </w:rPr>
            </w:pPr>
            <w:r w:rsidRPr="006C40C1">
              <w:rPr>
                <w:sz w:val="16"/>
              </w:rPr>
              <w:t>Bränsle som avses i 2 kap. 1 § första stycket 3 b</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p>
        </w:tc>
        <w:tc>
          <w:tcPr>
            <w:tcW w:w="1611" w:type="dxa"/>
            <w:tcBorders>
              <w:top w:val="nil"/>
              <w:bottom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8. Om skattebefrielse inte följer av tidigare punkter, förbrukning i metallurgiska processer</w:t>
            </w:r>
          </w:p>
        </w:tc>
        <w:tc>
          <w:tcPr>
            <w:tcW w:w="1611" w:type="dxa"/>
            <w:tcBorders>
              <w:top w:val="nil"/>
              <w:left w:val="nil"/>
              <w:right w:val="nil"/>
            </w:tcBorders>
          </w:tcPr>
          <w:p w:rsidR="00AA5D77" w:rsidRPr="006C40C1" w:rsidRDefault="00AA5D77">
            <w:pPr>
              <w:spacing w:before="0" w:line="200" w:lineRule="exact"/>
              <w:jc w:val="left"/>
              <w:rPr>
                <w:sz w:val="16"/>
              </w:rPr>
            </w:pPr>
            <w:r w:rsidRPr="006C40C1">
              <w:rPr>
                <w:sz w:val="16"/>
              </w:rPr>
              <w:t>Andra bränslen än kolbränslen och petroleu</w:t>
            </w:r>
            <w:r w:rsidRPr="006C40C1">
              <w:rPr>
                <w:sz w:val="16"/>
              </w:rPr>
              <w:t>m</w:t>
            </w:r>
            <w:r w:rsidRPr="006C40C1">
              <w:rPr>
                <w:sz w:val="16"/>
              </w:rPr>
              <w:t>koks</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p>
        </w:tc>
        <w:tc>
          <w:tcPr>
            <w:tcW w:w="1611" w:type="dxa"/>
            <w:tcBorders>
              <w:top w:val="nil"/>
              <w:left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bl>
    <w:p w:rsidR="00AA5D77" w:rsidRPr="006C40C1" w:rsidRDefault="00AA5D77"/>
    <w:p w:rsidR="00AA5D77" w:rsidRPr="006C40C1" w:rsidRDefault="00AA5D77">
      <w:r w:rsidRPr="006C40C1">
        <w:br w:type="page"/>
      </w:r>
    </w:p>
    <w:tbl>
      <w:tblPr>
        <w:tblW w:w="0" w:type="auto"/>
        <w:tblInd w:w="-70" w:type="dxa"/>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6C40C1">
        <w:tblPrEx>
          <w:tblCellMar>
            <w:top w:w="0" w:type="dxa"/>
            <w:bottom w:w="0" w:type="dxa"/>
          </w:tblCellMar>
        </w:tblPrEx>
        <w:trPr>
          <w:tblHeader/>
        </w:trPr>
        <w:tc>
          <w:tcPr>
            <w:tcW w:w="2270"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Ändamål</w:t>
            </w:r>
          </w:p>
          <w:p w:rsidR="00AA5D77" w:rsidRPr="006C40C1" w:rsidRDefault="00AA5D77">
            <w:pPr>
              <w:spacing w:before="0" w:line="200" w:lineRule="exact"/>
              <w:jc w:val="left"/>
              <w:rPr>
                <w:sz w:val="16"/>
              </w:rPr>
            </w:pPr>
          </w:p>
        </w:tc>
        <w:tc>
          <w:tcPr>
            <w:tcW w:w="1611"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Bränsle som inte ger befr</w:t>
            </w:r>
            <w:r w:rsidRPr="006C40C1">
              <w:rPr>
                <w:sz w:val="16"/>
              </w:rPr>
              <w:t>i</w:t>
            </w:r>
            <w:r w:rsidRPr="006C40C1">
              <w:rPr>
                <w:sz w:val="16"/>
              </w:rPr>
              <w:t>else</w:t>
            </w:r>
          </w:p>
        </w:tc>
        <w:tc>
          <w:tcPr>
            <w:tcW w:w="1213" w:type="dxa"/>
            <w:tcBorders>
              <w:top w:val="single" w:sz="4" w:space="0" w:color="auto"/>
              <w:left w:val="nil"/>
              <w:bottom w:val="single" w:sz="4" w:space="0" w:color="auto"/>
              <w:right w:val="nil"/>
            </w:tcBorders>
          </w:tcPr>
          <w:p w:rsidR="00AA5D77" w:rsidRPr="006C40C1" w:rsidRDefault="00AA5D77">
            <w:pPr>
              <w:spacing w:before="0" w:line="200" w:lineRule="exact"/>
              <w:rPr>
                <w:sz w:val="16"/>
              </w:rPr>
            </w:pPr>
            <w:r w:rsidRPr="006C40C1">
              <w:rPr>
                <w:sz w:val="16"/>
              </w:rPr>
              <w:t>Befrielse från energ</w:t>
            </w:r>
            <w:r w:rsidRPr="006C40C1">
              <w:rPr>
                <w:sz w:val="16"/>
              </w:rPr>
              <w:t>i</w:t>
            </w:r>
            <w:r w:rsidRPr="006C40C1">
              <w:rPr>
                <w:sz w:val="16"/>
              </w:rPr>
              <w:t>skatt</w:t>
            </w:r>
          </w:p>
        </w:tc>
        <w:tc>
          <w:tcPr>
            <w:tcW w:w="1209" w:type="dxa"/>
            <w:tcBorders>
              <w:top w:val="single" w:sz="4" w:space="0" w:color="auto"/>
              <w:left w:val="nil"/>
              <w:bottom w:val="single" w:sz="4" w:space="0" w:color="auto"/>
              <w:right w:val="nil"/>
            </w:tcBorders>
          </w:tcPr>
          <w:p w:rsidR="00AA5D77" w:rsidRPr="006C40C1" w:rsidRDefault="00AA5D77">
            <w:pPr>
              <w:spacing w:before="0" w:line="200" w:lineRule="exact"/>
              <w:rPr>
                <w:sz w:val="16"/>
              </w:rPr>
            </w:pPr>
            <w:r w:rsidRPr="006C40C1">
              <w:rPr>
                <w:sz w:val="16"/>
              </w:rPr>
              <w:t>Befrielse från koldio</w:t>
            </w:r>
            <w:r w:rsidRPr="006C40C1">
              <w:rPr>
                <w:sz w:val="16"/>
              </w:rPr>
              <w:t>x</w:t>
            </w:r>
            <w:r w:rsidRPr="006C40C1">
              <w:rPr>
                <w:sz w:val="16"/>
              </w:rPr>
              <w:t>id</w:t>
            </w:r>
            <w:r w:rsidRPr="006C40C1">
              <w:rPr>
                <w:sz w:val="16"/>
              </w:rPr>
              <w:softHyphen/>
              <w:t>skatt</w:t>
            </w:r>
          </w:p>
        </w:tc>
        <w:tc>
          <w:tcPr>
            <w:tcW w:w="1209" w:type="dxa"/>
            <w:tcBorders>
              <w:top w:val="single" w:sz="4" w:space="0" w:color="auto"/>
              <w:left w:val="nil"/>
              <w:bottom w:val="single" w:sz="4" w:space="0" w:color="auto"/>
              <w:right w:val="nil"/>
            </w:tcBorders>
          </w:tcPr>
          <w:p w:rsidR="00AA5D77" w:rsidRPr="006C40C1" w:rsidRDefault="00AA5D77">
            <w:pPr>
              <w:spacing w:before="0" w:line="200" w:lineRule="exact"/>
              <w:rPr>
                <w:sz w:val="16"/>
              </w:rPr>
            </w:pPr>
            <w:r w:rsidRPr="006C40C1">
              <w:rPr>
                <w:sz w:val="16"/>
              </w:rPr>
              <w:t>Befrielse från svave</w:t>
            </w:r>
            <w:r w:rsidRPr="006C40C1">
              <w:rPr>
                <w:sz w:val="16"/>
              </w:rPr>
              <w:t>l</w:t>
            </w:r>
            <w:r w:rsidRPr="006C40C1">
              <w:rPr>
                <w:sz w:val="16"/>
              </w:rPr>
              <w:t>skatt</w:t>
            </w:r>
          </w:p>
        </w:tc>
      </w:tr>
      <w:tr w:rsidR="00000000" w:rsidRPr="006C40C1">
        <w:tblPrEx>
          <w:tblCellMar>
            <w:top w:w="0" w:type="dxa"/>
            <w:bottom w:w="0" w:type="dxa"/>
          </w:tblCellMar>
        </w:tblPrEx>
        <w:tc>
          <w:tcPr>
            <w:tcW w:w="2270" w:type="dxa"/>
            <w:tcBorders>
              <w:top w:val="single" w:sz="4" w:space="0" w:color="auto"/>
              <w:left w:val="nil"/>
              <w:right w:val="nil"/>
            </w:tcBorders>
          </w:tcPr>
          <w:p w:rsidR="00AA5D77" w:rsidRPr="006C40C1" w:rsidRDefault="00AA5D77">
            <w:pPr>
              <w:spacing w:before="0" w:line="200" w:lineRule="exact"/>
              <w:jc w:val="left"/>
              <w:rPr>
                <w:sz w:val="16"/>
              </w:rPr>
            </w:pPr>
          </w:p>
        </w:tc>
        <w:tc>
          <w:tcPr>
            <w:tcW w:w="1611" w:type="dxa"/>
            <w:tcBorders>
              <w:top w:val="single" w:sz="4" w:space="0" w:color="auto"/>
              <w:left w:val="nil"/>
              <w:right w:val="nil"/>
            </w:tcBorders>
          </w:tcPr>
          <w:p w:rsidR="00AA5D77" w:rsidRPr="006C40C1" w:rsidRDefault="00AA5D77">
            <w:pPr>
              <w:spacing w:before="0" w:line="200" w:lineRule="exact"/>
              <w:jc w:val="left"/>
              <w:rPr>
                <w:sz w:val="16"/>
              </w:rPr>
            </w:pPr>
          </w:p>
        </w:tc>
        <w:tc>
          <w:tcPr>
            <w:tcW w:w="1213"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9. Om skattebefrielse inte följer av tidigare punkter, förbrukning för annat ändamål än drift av motordrivna fordon vid tillver</w:t>
            </w:r>
            <w:r w:rsidRPr="006C40C1">
              <w:rPr>
                <w:sz w:val="16"/>
              </w:rPr>
              <w:t>k</w:t>
            </w:r>
            <w:r w:rsidRPr="006C40C1">
              <w:rPr>
                <w:sz w:val="16"/>
              </w:rPr>
              <w:t>ningsprocessen i industriell verksa</w:t>
            </w:r>
            <w:r w:rsidRPr="006C40C1">
              <w:rPr>
                <w:sz w:val="16"/>
              </w:rPr>
              <w:t>m</w:t>
            </w:r>
            <w:r w:rsidRPr="006C40C1">
              <w:rPr>
                <w:sz w:val="16"/>
              </w:rPr>
              <w:t>het</w:t>
            </w:r>
          </w:p>
        </w:tc>
        <w:tc>
          <w:tcPr>
            <w:tcW w:w="1611" w:type="dxa"/>
            <w:tcBorders>
              <w:top w:val="nil"/>
              <w:right w:val="nil"/>
            </w:tcBorders>
          </w:tcPr>
          <w:p w:rsidR="00AA5D77" w:rsidRPr="006C40C1" w:rsidRDefault="00AA5D77">
            <w:pPr>
              <w:spacing w:before="0" w:line="200" w:lineRule="exact"/>
              <w:jc w:val="left"/>
              <w:rPr>
                <w:sz w:val="16"/>
              </w:rPr>
            </w:pPr>
            <w:r w:rsidRPr="006C40C1">
              <w:rPr>
                <w:sz w:val="16"/>
              </w:rPr>
              <w:t xml:space="preserve">Bensin, råtallolja, bränsle som avses i 2 kap. 1 § första stycket 3 b </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i/>
                <w:sz w:val="16"/>
              </w:rPr>
              <w:t xml:space="preserve">74 </w:t>
            </w:r>
            <w:r w:rsidRPr="006C40C1">
              <w:rPr>
                <w:sz w:val="16"/>
              </w:rPr>
              <w:t>pr</w:t>
            </w:r>
            <w:r w:rsidRPr="006C40C1">
              <w:rPr>
                <w:sz w:val="16"/>
              </w:rPr>
              <w:t>o</w:t>
            </w:r>
            <w:r w:rsidRPr="006C40C1">
              <w:rPr>
                <w:sz w:val="16"/>
              </w:rPr>
              <w:t>cent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c>
          <w:tcPr>
            <w:tcW w:w="2270" w:type="dxa"/>
            <w:tcBorders>
              <w:top w:val="nil"/>
              <w:left w:val="nil"/>
            </w:tcBorders>
          </w:tcPr>
          <w:p w:rsidR="00AA5D77" w:rsidRPr="006C40C1" w:rsidRDefault="00AA5D77">
            <w:pPr>
              <w:spacing w:before="0" w:line="200" w:lineRule="exact"/>
              <w:jc w:val="left"/>
              <w:rPr>
                <w:sz w:val="16"/>
              </w:rPr>
            </w:pPr>
          </w:p>
        </w:tc>
        <w:tc>
          <w:tcPr>
            <w:tcW w:w="1611" w:type="dxa"/>
            <w:tcBorders>
              <w:top w:val="nil"/>
              <w:right w:val="nil"/>
            </w:tcBorders>
          </w:tcPr>
          <w:p w:rsidR="00AA5D77" w:rsidRPr="006C40C1" w:rsidRDefault="00AA5D77">
            <w:pPr>
              <w:spacing w:before="0" w:line="200" w:lineRule="exact"/>
              <w:jc w:val="left"/>
              <w:rPr>
                <w:sz w:val="16"/>
              </w:rPr>
            </w:pPr>
          </w:p>
        </w:tc>
        <w:tc>
          <w:tcPr>
            <w:tcW w:w="1213" w:type="dxa"/>
            <w:tcBorders>
              <w:top w:val="nil"/>
              <w:left w:val="nil"/>
              <w:right w:val="nil"/>
            </w:tcBorders>
          </w:tcPr>
          <w:p w:rsidR="00AA5D77" w:rsidRPr="006C40C1" w:rsidRDefault="00AA5D77">
            <w:pPr>
              <w:spacing w:before="0" w:line="200" w:lineRule="exact"/>
              <w:rPr>
                <w:sz w:val="16"/>
              </w:rPr>
            </w:pPr>
          </w:p>
        </w:tc>
        <w:tc>
          <w:tcPr>
            <w:tcW w:w="1209" w:type="dxa"/>
            <w:tcBorders>
              <w:top w:val="nil"/>
              <w:left w:val="nil"/>
              <w:right w:val="nil"/>
            </w:tcBorders>
          </w:tcPr>
          <w:p w:rsidR="00AA5D77" w:rsidRPr="006C40C1" w:rsidRDefault="00AA5D77">
            <w:pPr>
              <w:spacing w:before="0" w:line="200" w:lineRule="exact"/>
              <w:rPr>
                <w:i/>
                <w:sz w:val="16"/>
              </w:rPr>
            </w:pPr>
          </w:p>
        </w:tc>
        <w:tc>
          <w:tcPr>
            <w:tcW w:w="1209" w:type="dxa"/>
            <w:tcBorders>
              <w:top w:val="nil"/>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left w:val="nil"/>
              <w:bottom w:val="nil"/>
            </w:tcBorders>
          </w:tcPr>
          <w:p w:rsidR="00AA5D77" w:rsidRPr="006C40C1" w:rsidRDefault="00AA5D77">
            <w:pPr>
              <w:spacing w:before="0" w:line="200" w:lineRule="exact"/>
              <w:jc w:val="left"/>
              <w:rPr>
                <w:sz w:val="16"/>
              </w:rPr>
            </w:pPr>
            <w:r w:rsidRPr="006C40C1">
              <w:rPr>
                <w:sz w:val="16"/>
              </w:rPr>
              <w:t>10. Om skattebefrielse inte följer av tidigare punkter, förbrukning för annat ändamål än drift av motordrivna fordon vid växthu</w:t>
            </w:r>
            <w:r w:rsidRPr="006C40C1">
              <w:rPr>
                <w:sz w:val="16"/>
              </w:rPr>
              <w:t>s</w:t>
            </w:r>
            <w:r w:rsidRPr="006C40C1">
              <w:rPr>
                <w:sz w:val="16"/>
              </w:rPr>
              <w:t>uppvärmning i yrkesmässig växthu</w:t>
            </w:r>
            <w:r w:rsidRPr="006C40C1">
              <w:rPr>
                <w:sz w:val="16"/>
              </w:rPr>
              <w:t>s</w:t>
            </w:r>
            <w:r w:rsidRPr="006C40C1">
              <w:rPr>
                <w:sz w:val="16"/>
              </w:rPr>
              <w:t>odling</w:t>
            </w:r>
          </w:p>
        </w:tc>
        <w:tc>
          <w:tcPr>
            <w:tcW w:w="1611" w:type="dxa"/>
            <w:tcBorders>
              <w:right w:val="nil"/>
            </w:tcBorders>
          </w:tcPr>
          <w:p w:rsidR="00AA5D77" w:rsidRPr="006C40C1" w:rsidRDefault="00AA5D77">
            <w:pPr>
              <w:spacing w:before="0" w:line="200" w:lineRule="exact"/>
              <w:jc w:val="left"/>
              <w:rPr>
                <w:sz w:val="16"/>
              </w:rPr>
            </w:pPr>
            <w:r w:rsidRPr="006C40C1">
              <w:rPr>
                <w:sz w:val="16"/>
              </w:rPr>
              <w:t xml:space="preserve">Bensin, råtallolja, bränsle som avses i 2 kap. 1 § första stycket 3 b </w:t>
            </w:r>
          </w:p>
        </w:tc>
        <w:tc>
          <w:tcPr>
            <w:tcW w:w="1213"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i/>
                <w:sz w:val="16"/>
              </w:rPr>
              <w:t xml:space="preserve">74 </w:t>
            </w:r>
            <w:r w:rsidRPr="006C40C1">
              <w:rPr>
                <w:sz w:val="16"/>
              </w:rPr>
              <w:t>pr</w:t>
            </w:r>
            <w:r w:rsidRPr="006C40C1">
              <w:rPr>
                <w:sz w:val="16"/>
              </w:rPr>
              <w:t>o</w:t>
            </w:r>
            <w:r w:rsidRPr="006C40C1">
              <w:rPr>
                <w:sz w:val="16"/>
              </w:rPr>
              <w:t>cent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p>
        </w:tc>
        <w:tc>
          <w:tcPr>
            <w:tcW w:w="1611" w:type="dxa"/>
            <w:tcBorders>
              <w:top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i/>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11. Om skattebefrielse inte följer av tidigare punkter, förbrukning för annat ändamål än drift av motordrivna fordon i yrkesmä</w:t>
            </w:r>
            <w:r w:rsidRPr="006C40C1">
              <w:rPr>
                <w:sz w:val="16"/>
              </w:rPr>
              <w:t>s</w:t>
            </w:r>
            <w:r w:rsidRPr="006C40C1">
              <w:rPr>
                <w:sz w:val="16"/>
              </w:rPr>
              <w:t>sig jordbruks-, skogsbruks- eller vattenbruksverksa</w:t>
            </w:r>
            <w:r w:rsidRPr="006C40C1">
              <w:rPr>
                <w:sz w:val="16"/>
              </w:rPr>
              <w:t>m</w:t>
            </w:r>
            <w:r w:rsidRPr="006C40C1">
              <w:rPr>
                <w:sz w:val="16"/>
              </w:rPr>
              <w:t>het</w:t>
            </w:r>
          </w:p>
        </w:tc>
        <w:tc>
          <w:tcPr>
            <w:tcW w:w="1611" w:type="dxa"/>
            <w:tcBorders>
              <w:top w:val="nil"/>
              <w:bottom w:val="nil"/>
              <w:right w:val="nil"/>
            </w:tcBorders>
          </w:tcPr>
          <w:p w:rsidR="00AA5D77" w:rsidRPr="006C40C1" w:rsidRDefault="00AA5D77">
            <w:pPr>
              <w:spacing w:before="0" w:line="200" w:lineRule="exact"/>
              <w:jc w:val="left"/>
              <w:rPr>
                <w:sz w:val="16"/>
              </w:rPr>
            </w:pPr>
            <w:r w:rsidRPr="006C40C1">
              <w:rPr>
                <w:sz w:val="16"/>
              </w:rPr>
              <w:t>Bensin, råtallolja, bränsle som avses i 2 kap. 1 § första stycket 3 b</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i/>
                <w:sz w:val="16"/>
              </w:rPr>
              <w:t xml:space="preserve">74 </w:t>
            </w:r>
            <w:r w:rsidRPr="006C40C1">
              <w:rPr>
                <w:sz w:val="16"/>
              </w:rPr>
              <w:t>pr</w:t>
            </w:r>
            <w:r w:rsidRPr="006C40C1">
              <w:rPr>
                <w:sz w:val="16"/>
              </w:rPr>
              <w:t>o</w:t>
            </w:r>
            <w:r w:rsidRPr="006C40C1">
              <w:rPr>
                <w:sz w:val="16"/>
              </w:rPr>
              <w:t>cent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p>
        </w:tc>
        <w:tc>
          <w:tcPr>
            <w:tcW w:w="1611" w:type="dxa"/>
            <w:tcBorders>
              <w:top w:val="nil"/>
              <w:bottom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i/>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12. Om skattebefrielse inte följer av tidigare punkter, förbrukning i sodapannor, lutpannor, meta</w:t>
            </w:r>
            <w:r w:rsidRPr="006C40C1">
              <w:rPr>
                <w:sz w:val="16"/>
              </w:rPr>
              <w:t>l</w:t>
            </w:r>
            <w:r w:rsidRPr="006C40C1">
              <w:rPr>
                <w:sz w:val="16"/>
              </w:rPr>
              <w:t>lurgiska processer eller i proce</w:t>
            </w:r>
            <w:r w:rsidRPr="006C40C1">
              <w:rPr>
                <w:sz w:val="16"/>
              </w:rPr>
              <w:t>s</w:t>
            </w:r>
            <w:r w:rsidRPr="006C40C1">
              <w:rPr>
                <w:sz w:val="16"/>
              </w:rPr>
              <w:t>ser för framställning av andra mineraliska ämnen än m</w:t>
            </w:r>
            <w:r w:rsidRPr="006C40C1">
              <w:rPr>
                <w:sz w:val="16"/>
              </w:rPr>
              <w:t>e</w:t>
            </w:r>
            <w:r w:rsidRPr="006C40C1">
              <w:rPr>
                <w:sz w:val="16"/>
              </w:rPr>
              <w:t>taller</w:t>
            </w:r>
          </w:p>
        </w:tc>
        <w:tc>
          <w:tcPr>
            <w:tcW w:w="1611" w:type="dxa"/>
            <w:tcBorders>
              <w:top w:val="nil"/>
              <w:left w:val="nil"/>
              <w:bottom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top w:val="nil"/>
              <w:left w:val="nil"/>
              <w:right w:val="nil"/>
            </w:tcBorders>
          </w:tcPr>
          <w:p w:rsidR="00AA5D77" w:rsidRPr="006C40C1" w:rsidRDefault="00AA5D77">
            <w:pPr>
              <w:spacing w:before="0" w:line="200" w:lineRule="exact"/>
              <w:jc w:val="left"/>
              <w:rPr>
                <w:sz w:val="16"/>
              </w:rPr>
            </w:pPr>
          </w:p>
        </w:tc>
        <w:tc>
          <w:tcPr>
            <w:tcW w:w="1611" w:type="dxa"/>
            <w:tcBorders>
              <w:top w:val="nil"/>
              <w:left w:val="nil"/>
              <w:right w:val="nil"/>
            </w:tcBorders>
          </w:tcPr>
          <w:p w:rsidR="00AA5D77" w:rsidRPr="006C40C1" w:rsidRDefault="00AA5D77">
            <w:pPr>
              <w:spacing w:before="0" w:line="200" w:lineRule="exact"/>
              <w:jc w:val="left"/>
              <w:rPr>
                <w:sz w:val="16"/>
              </w:rPr>
            </w:pPr>
          </w:p>
        </w:tc>
        <w:tc>
          <w:tcPr>
            <w:tcW w:w="1213" w:type="dxa"/>
            <w:tcBorders>
              <w:top w:val="nil"/>
              <w:left w:val="nil"/>
              <w:right w:val="nil"/>
            </w:tcBorders>
          </w:tcPr>
          <w:p w:rsidR="00AA5D77" w:rsidRPr="006C40C1" w:rsidRDefault="00AA5D77">
            <w:pPr>
              <w:spacing w:before="0" w:line="200" w:lineRule="exact"/>
              <w:rPr>
                <w:sz w:val="16"/>
              </w:rPr>
            </w:pPr>
          </w:p>
        </w:tc>
        <w:tc>
          <w:tcPr>
            <w:tcW w:w="1209" w:type="dxa"/>
            <w:tcBorders>
              <w:top w:val="nil"/>
              <w:left w:val="nil"/>
              <w:right w:val="nil"/>
            </w:tcBorders>
          </w:tcPr>
          <w:p w:rsidR="00AA5D77" w:rsidRPr="006C40C1" w:rsidRDefault="00AA5D77">
            <w:pPr>
              <w:spacing w:before="0" w:line="200" w:lineRule="exact"/>
              <w:rPr>
                <w:sz w:val="16"/>
              </w:rPr>
            </w:pPr>
          </w:p>
        </w:tc>
        <w:tc>
          <w:tcPr>
            <w:tcW w:w="1209" w:type="dxa"/>
            <w:tcBorders>
              <w:top w:val="nil"/>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top w:val="nil"/>
              <w:left w:val="nil"/>
              <w:bottom w:val="single" w:sz="4" w:space="0" w:color="auto"/>
              <w:right w:val="nil"/>
            </w:tcBorders>
          </w:tcPr>
          <w:p w:rsidR="00AA5D77" w:rsidRPr="006C40C1" w:rsidRDefault="00AA5D77">
            <w:pPr>
              <w:spacing w:before="0" w:line="200" w:lineRule="exact"/>
              <w:jc w:val="left"/>
              <w:rPr>
                <w:sz w:val="16"/>
              </w:rPr>
            </w:pPr>
            <w:r w:rsidRPr="006C40C1">
              <w:rPr>
                <w:sz w:val="16"/>
              </w:rPr>
              <w:t>13. Förbrukning vid tillver</w:t>
            </w:r>
            <w:r w:rsidRPr="006C40C1">
              <w:rPr>
                <w:sz w:val="16"/>
              </w:rPr>
              <w:t>k</w:t>
            </w:r>
            <w:r w:rsidRPr="006C40C1">
              <w:rPr>
                <w:sz w:val="16"/>
              </w:rPr>
              <w:t>ningsprocessen i gruvindustriell verksamhet för drift av andra motordrivna fordon än perso</w:t>
            </w:r>
            <w:r w:rsidRPr="006C40C1">
              <w:rPr>
                <w:sz w:val="16"/>
              </w:rPr>
              <w:t>n</w:t>
            </w:r>
            <w:r w:rsidRPr="006C40C1">
              <w:rPr>
                <w:sz w:val="16"/>
              </w:rPr>
              <w:t>bilar, lastbilar och bussar</w:t>
            </w:r>
          </w:p>
        </w:tc>
        <w:tc>
          <w:tcPr>
            <w:tcW w:w="1611" w:type="dxa"/>
            <w:tcBorders>
              <w:top w:val="nil"/>
              <w:left w:val="nil"/>
              <w:bottom w:val="single" w:sz="4" w:space="0" w:color="auto"/>
              <w:right w:val="nil"/>
            </w:tcBorders>
          </w:tcPr>
          <w:p w:rsidR="00AA5D77" w:rsidRPr="006C40C1" w:rsidRDefault="00AA5D77">
            <w:pPr>
              <w:spacing w:before="0" w:line="200" w:lineRule="exact"/>
              <w:jc w:val="left"/>
              <w:rPr>
                <w:sz w:val="16"/>
              </w:rPr>
            </w:pPr>
            <w:r w:rsidRPr="006C40C1">
              <w:rPr>
                <w:sz w:val="16"/>
              </w:rPr>
              <w:t>Andra bränslen än bränsle som avses i 2 kap. 1 § första stycket 3 b</w:t>
            </w:r>
          </w:p>
        </w:tc>
        <w:tc>
          <w:tcPr>
            <w:tcW w:w="1213" w:type="dxa"/>
            <w:tcBorders>
              <w:top w:val="nil"/>
              <w:left w:val="nil"/>
              <w:bottom w:val="single" w:sz="4" w:space="0" w:color="auto"/>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single" w:sz="4" w:space="0" w:color="auto"/>
              <w:right w:val="nil"/>
            </w:tcBorders>
          </w:tcPr>
          <w:p w:rsidR="00AA5D77" w:rsidRPr="006C40C1" w:rsidRDefault="00AA5D77">
            <w:pPr>
              <w:spacing w:before="0" w:line="200" w:lineRule="exact"/>
              <w:rPr>
                <w:sz w:val="16"/>
              </w:rPr>
            </w:pPr>
            <w:r w:rsidRPr="006C40C1">
              <w:rPr>
                <w:i/>
                <w:sz w:val="16"/>
              </w:rPr>
              <w:t xml:space="preserve">74 </w:t>
            </w:r>
            <w:r w:rsidRPr="006C40C1">
              <w:rPr>
                <w:sz w:val="16"/>
              </w:rPr>
              <w:t>pr</w:t>
            </w:r>
            <w:r w:rsidRPr="006C40C1">
              <w:rPr>
                <w:sz w:val="16"/>
              </w:rPr>
              <w:t>o</w:t>
            </w:r>
            <w:r w:rsidRPr="006C40C1">
              <w:rPr>
                <w:sz w:val="16"/>
              </w:rPr>
              <w:t>cent</w:t>
            </w:r>
          </w:p>
        </w:tc>
        <w:tc>
          <w:tcPr>
            <w:tcW w:w="1209" w:type="dxa"/>
            <w:tcBorders>
              <w:top w:val="nil"/>
              <w:left w:val="nil"/>
              <w:bottom w:val="single" w:sz="4" w:space="0" w:color="auto"/>
              <w:right w:val="nil"/>
            </w:tcBorders>
          </w:tcPr>
          <w:p w:rsidR="00AA5D77" w:rsidRPr="006C40C1" w:rsidRDefault="00AA5D77">
            <w:pPr>
              <w:spacing w:before="0" w:line="200" w:lineRule="exact"/>
              <w:rPr>
                <w:sz w:val="16"/>
              </w:rPr>
            </w:pPr>
            <w:r w:rsidRPr="006C40C1">
              <w:rPr>
                <w:sz w:val="16"/>
              </w:rPr>
              <w:t>–</w:t>
            </w:r>
          </w:p>
        </w:tc>
      </w:tr>
    </w:tbl>
    <w:p w:rsidR="00AA5D77" w:rsidRPr="006C40C1" w:rsidRDefault="00AA5D77"/>
    <w:tbl>
      <w:tblPr>
        <w:tblW w:w="0" w:type="auto"/>
        <w:tblInd w:w="-170" w:type="dxa"/>
        <w:tblLayout w:type="fixed"/>
        <w:tblLook w:val="0000" w:firstRow="0" w:lastRow="0" w:firstColumn="0" w:lastColumn="0" w:noHBand="0" w:noVBand="0"/>
      </w:tblPr>
      <w:tblGrid>
        <w:gridCol w:w="3062"/>
        <w:gridCol w:w="4194"/>
      </w:tblGrid>
      <w:tr w:rsidR="00000000" w:rsidRPr="006C40C1">
        <w:tblPrEx>
          <w:tblCellMar>
            <w:top w:w="0" w:type="dxa"/>
            <w:bottom w:w="0" w:type="dxa"/>
          </w:tblCellMar>
        </w:tblPrEx>
        <w:tc>
          <w:tcPr>
            <w:tcW w:w="3062" w:type="dxa"/>
          </w:tcPr>
          <w:p w:rsidR="00AA5D77" w:rsidRPr="006C40C1" w:rsidRDefault="00AA5D77">
            <w:pPr>
              <w:pStyle w:val="LagtextRubrik"/>
              <w:rPr>
                <w:sz w:val="16"/>
              </w:rPr>
            </w:pPr>
            <w:r w:rsidRPr="006C40C1">
              <w:t>Nuvarande</w:t>
            </w:r>
            <w:r w:rsidRPr="006C40C1">
              <w:rPr>
                <w:sz w:val="16"/>
              </w:rPr>
              <w:t xml:space="preserve"> lydelse</w:t>
            </w:r>
          </w:p>
        </w:tc>
        <w:tc>
          <w:tcPr>
            <w:tcW w:w="4194" w:type="dxa"/>
          </w:tcPr>
          <w:p w:rsidR="00AA5D77" w:rsidRPr="006C40C1" w:rsidRDefault="00AA5D77">
            <w:pPr>
              <w:pStyle w:val="LagtextRubrik"/>
              <w:rPr>
                <w:sz w:val="16"/>
              </w:rPr>
            </w:pPr>
            <w:r w:rsidRPr="006C40C1">
              <w:t>Föreslagen</w:t>
            </w:r>
            <w:r w:rsidRPr="006C40C1">
              <w:rPr>
                <w:sz w:val="16"/>
              </w:rPr>
              <w:t xml:space="preserve"> </w:t>
            </w:r>
            <w:r w:rsidRPr="006C40C1">
              <w:t>lydelse</w:t>
            </w:r>
          </w:p>
        </w:tc>
      </w:tr>
    </w:tbl>
    <w:p w:rsidR="00AA5D77" w:rsidRPr="006C40C1" w:rsidRDefault="00AA5D77">
      <w:pPr>
        <w:jc w:val="center"/>
      </w:pPr>
      <w:r w:rsidRPr="006C40C1">
        <w:rPr>
          <w:b/>
        </w:rPr>
        <w:t>2 §</w:t>
      </w:r>
      <w:r w:rsidRPr="006C40C1">
        <w:rPr>
          <w:rStyle w:val="Fotnotsreferens"/>
        </w:rPr>
        <w:footnoteReference w:id="7"/>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Om råtallolja förbrukas för änd</w:t>
            </w:r>
            <w:r w:rsidRPr="006C40C1">
              <w:t>a</w:t>
            </w:r>
            <w:r w:rsidRPr="006C40C1">
              <w:softHyphen/>
              <w:t>mål som anges i 1 § 9–11 medges befrielse från energiskatten med ett belopp som motsvarar den energ</w:t>
            </w:r>
            <w:r w:rsidRPr="006C40C1">
              <w:t>i</w:t>
            </w:r>
            <w:r w:rsidRPr="006C40C1">
              <w:softHyphen/>
              <w:t xml:space="preserve">skatt och </w:t>
            </w:r>
            <w:r w:rsidRPr="006C40C1">
              <w:rPr>
                <w:i/>
              </w:rPr>
              <w:t>70</w:t>
            </w:r>
            <w:r w:rsidRPr="006C40C1">
              <w:t xml:space="preserve"> procent av den kol</w:t>
            </w:r>
            <w:r w:rsidRPr="006C40C1">
              <w:softHyphen/>
              <w:t>dioxidskatt som tas ut på bränsle enligt 2 kap. 1 § första stycket 3 a.</w:t>
            </w:r>
          </w:p>
        </w:tc>
        <w:tc>
          <w:tcPr>
            <w:tcW w:w="3090" w:type="dxa"/>
          </w:tcPr>
          <w:p w:rsidR="00AA5D77" w:rsidRPr="006C40C1" w:rsidRDefault="00AA5D77">
            <w:pPr>
              <w:pStyle w:val="Normaltindrag"/>
            </w:pPr>
            <w:r w:rsidRPr="006C40C1">
              <w:t>Om råtallolja förbrukas för änd</w:t>
            </w:r>
            <w:r w:rsidRPr="006C40C1">
              <w:t>a</w:t>
            </w:r>
            <w:r w:rsidRPr="006C40C1">
              <w:softHyphen/>
              <w:t>mål som anges i 1 § 9–11 medges befrielse från energiskatten med ett belopp som motsvarar den energ</w:t>
            </w:r>
            <w:r w:rsidRPr="006C40C1">
              <w:t>i</w:t>
            </w:r>
            <w:r w:rsidRPr="006C40C1">
              <w:softHyphen/>
              <w:t xml:space="preserve">skatt och </w:t>
            </w:r>
            <w:r w:rsidRPr="006C40C1">
              <w:rPr>
                <w:i/>
              </w:rPr>
              <w:t>74</w:t>
            </w:r>
            <w:r w:rsidRPr="006C40C1">
              <w:t xml:space="preserve"> procent av den kol</w:t>
            </w:r>
            <w:r w:rsidRPr="006C40C1">
              <w:softHyphen/>
              <w:t>dioxidskatt som tas ut på bränsle enligt 2 kap. 1 § första stycket 3 a.</w:t>
            </w:r>
          </w:p>
        </w:tc>
      </w:tr>
    </w:tbl>
    <w:p w:rsidR="00AA5D77" w:rsidRPr="006C40C1" w:rsidRDefault="00AA5D77">
      <w:pPr>
        <w:pStyle w:val="Normaltindrag"/>
      </w:pPr>
    </w:p>
    <w:p w:rsidR="00AA5D77" w:rsidRPr="006C40C1" w:rsidRDefault="00AA5D77">
      <w:pPr>
        <w:jc w:val="center"/>
      </w:pPr>
      <w:r w:rsidRPr="006C40C1">
        <w:rPr>
          <w:b/>
        </w:rPr>
        <w:br w:type="page"/>
        <w:t>3 §</w:t>
      </w:r>
      <w:r w:rsidRPr="006C40C1">
        <w:rPr>
          <w:rStyle w:val="Fotnotsreferens"/>
        </w:rPr>
        <w:footnoteReference w:id="8"/>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Vid samtidig produktion av värme och skattepliktig elektrisk kraft i en kraftvärmeanläggning skall, för den del av bränslet som förbrukas för framställning av </w:t>
            </w:r>
            <w:r w:rsidRPr="006C40C1">
              <w:rPr>
                <w:i/>
              </w:rPr>
              <w:t>nyttiggjord</w:t>
            </w:r>
            <w:r w:rsidRPr="006C40C1">
              <w:t xml:space="preserve"> värme, skattebefrielsen enligt 1 § 7 </w:t>
            </w:r>
            <w:r w:rsidRPr="006C40C1">
              <w:rPr>
                <w:i/>
              </w:rPr>
              <w:t>inte avse</w:t>
            </w:r>
            <w:r w:rsidRPr="006C40C1">
              <w:t xml:space="preserve"> koldioxidskatt </w:t>
            </w:r>
            <w:r w:rsidRPr="006C40C1">
              <w:rPr>
                <w:i/>
              </w:rPr>
              <w:t>och när det gäller energiskatt endast utgöra 50 procent</w:t>
            </w:r>
            <w:r w:rsidRPr="006C40C1">
              <w:t>. Såvitt avser råtallolja skall befrielsen utgöra</w:t>
            </w:r>
            <w:r w:rsidRPr="006C40C1">
              <w:rPr>
                <w:i/>
              </w:rPr>
              <w:t xml:space="preserve"> endast 50 procent</w:t>
            </w:r>
            <w:r w:rsidRPr="006C40C1">
              <w:t xml:space="preserve"> av den energiskatt som tas ut på bränsle enligt 2 kap. 1 § första stycket 3 a.</w:t>
            </w:r>
          </w:p>
        </w:tc>
        <w:tc>
          <w:tcPr>
            <w:tcW w:w="3090" w:type="dxa"/>
          </w:tcPr>
          <w:p w:rsidR="00AA5D77" w:rsidRPr="006C40C1" w:rsidRDefault="00AA5D77">
            <w:pPr>
              <w:pStyle w:val="Normaltindrag"/>
              <w:rPr>
                <w:i/>
              </w:rPr>
            </w:pPr>
            <w:r w:rsidRPr="006C40C1">
              <w:t>Vid samtidig produktion av värme och skattepliktig elektrisk kraft i en kraftvärmeanläggning skall, för den del av bränslet som förbrukas för framställning av värme, skattebefriel</w:t>
            </w:r>
            <w:r w:rsidRPr="006C40C1">
              <w:softHyphen/>
              <w:t xml:space="preserve">sen enligt 1 § 7 </w:t>
            </w:r>
            <w:r w:rsidRPr="006C40C1">
              <w:rPr>
                <w:i/>
              </w:rPr>
              <w:t>när det gäller</w:t>
            </w:r>
            <w:r w:rsidRPr="006C40C1">
              <w:t xml:space="preserve"> kol</w:t>
            </w:r>
            <w:r w:rsidRPr="006C40C1">
              <w:softHyphen/>
              <w:t xml:space="preserve">dioxidskatt </w:t>
            </w:r>
            <w:r w:rsidRPr="006C40C1">
              <w:rPr>
                <w:i/>
              </w:rPr>
              <w:t>endast utgöra 74</w:t>
            </w:r>
            <w:r w:rsidRPr="006C40C1">
              <w:t xml:space="preserve"> procent. Såvitt avser råtallolja skall befrielsen utgöra </w:t>
            </w:r>
            <w:r w:rsidRPr="006C40C1">
              <w:rPr>
                <w:i/>
              </w:rPr>
              <w:t xml:space="preserve">100 procent </w:t>
            </w:r>
            <w:r w:rsidRPr="006C40C1">
              <w:t>av den energ</w:t>
            </w:r>
            <w:r w:rsidRPr="006C40C1">
              <w:t>i</w:t>
            </w:r>
            <w:r w:rsidRPr="006C40C1">
              <w:t xml:space="preserve">skatt </w:t>
            </w:r>
            <w:r w:rsidRPr="006C40C1">
              <w:rPr>
                <w:i/>
              </w:rPr>
              <w:t>och endast 74 procent av den kol</w:t>
            </w:r>
            <w:r w:rsidRPr="006C40C1">
              <w:rPr>
                <w:i/>
              </w:rPr>
              <w:softHyphen/>
              <w:t>dioxidskatt</w:t>
            </w:r>
            <w:r w:rsidRPr="006C40C1">
              <w:t xml:space="preserve"> som tas ut på bränsle enligt 2 kap. 1 § första stycket 3 a. </w:t>
            </w:r>
            <w:r w:rsidRPr="006C40C1">
              <w:rPr>
                <w:i/>
              </w:rPr>
              <w:t>Fördelning av bränslet som förbr</w:t>
            </w:r>
            <w:r w:rsidRPr="006C40C1">
              <w:rPr>
                <w:i/>
              </w:rPr>
              <w:t>u</w:t>
            </w:r>
            <w:r w:rsidRPr="006C40C1">
              <w:rPr>
                <w:i/>
              </w:rPr>
              <w:t>kas för framställning av värme r</w:t>
            </w:r>
            <w:r w:rsidRPr="006C40C1">
              <w:rPr>
                <w:i/>
              </w:rPr>
              <w:t>e</w:t>
            </w:r>
            <w:r w:rsidRPr="006C40C1">
              <w:rPr>
                <w:i/>
              </w:rPr>
              <w:t>spektive elektrisk kraft skall ske genom propor</w:t>
            </w:r>
            <w:r w:rsidRPr="006C40C1">
              <w:rPr>
                <w:i/>
              </w:rPr>
              <w:softHyphen/>
              <w:t>tionering i förhållande till respektive energiproduktion. Detsamma gäller om elektrisk kraft framställs i en sammankopplad a</w:t>
            </w:r>
            <w:r w:rsidRPr="006C40C1">
              <w:rPr>
                <w:i/>
              </w:rPr>
              <w:t>n</w:t>
            </w:r>
            <w:r w:rsidRPr="006C40C1">
              <w:rPr>
                <w:i/>
              </w:rPr>
              <w:t>läggning vid s</w:t>
            </w:r>
            <w:r w:rsidRPr="006C40C1">
              <w:rPr>
                <w:i/>
              </w:rPr>
              <w:t>am</w:t>
            </w:r>
            <w:r w:rsidRPr="006C40C1">
              <w:rPr>
                <w:i/>
              </w:rPr>
              <w:softHyphen/>
              <w:t>tidig kraftvärme- respektive kon</w:t>
            </w:r>
            <w:r w:rsidRPr="006C40C1">
              <w:rPr>
                <w:i/>
              </w:rPr>
              <w:softHyphen/>
              <w:t>denskraftproduktion. Om olika bräns</w:t>
            </w:r>
            <w:r w:rsidRPr="006C40C1">
              <w:rPr>
                <w:i/>
              </w:rPr>
              <w:softHyphen/>
              <w:t xml:space="preserve">len förbrukas skall proportioneringen avse varje bränsle för sig. </w:t>
            </w:r>
          </w:p>
          <w:p w:rsidR="00AA5D77" w:rsidRPr="006C40C1" w:rsidRDefault="00AA5D77">
            <w:pPr>
              <w:pStyle w:val="Normaltindrag"/>
            </w:pPr>
            <w:r w:rsidRPr="006C40C1">
              <w:rPr>
                <w:i/>
              </w:rPr>
              <w:t>Bestämmelserna i första stycket gäl</w:t>
            </w:r>
            <w:r w:rsidRPr="006C40C1">
              <w:rPr>
                <w:i/>
              </w:rPr>
              <w:softHyphen/>
              <w:t>ler inte för energiskatt och kold</w:t>
            </w:r>
            <w:r w:rsidRPr="006C40C1">
              <w:rPr>
                <w:i/>
              </w:rPr>
              <w:t>i</w:t>
            </w:r>
            <w:r w:rsidRPr="006C40C1">
              <w:rPr>
                <w:i/>
              </w:rPr>
              <w:t>oxid</w:t>
            </w:r>
            <w:r w:rsidRPr="006C40C1">
              <w:rPr>
                <w:i/>
              </w:rPr>
              <w:softHyphen/>
              <w:t>skatt på bränslen som förbrukas för framställning av ånga eller he</w:t>
            </w:r>
            <w:r w:rsidRPr="006C40C1">
              <w:rPr>
                <w:i/>
              </w:rPr>
              <w:t>t</w:t>
            </w:r>
            <w:r w:rsidRPr="006C40C1">
              <w:rPr>
                <w:i/>
              </w:rPr>
              <w:t>vatten som tappas av från ång- eller het</w:t>
            </w:r>
            <w:r w:rsidRPr="006C40C1">
              <w:rPr>
                <w:i/>
              </w:rPr>
              <w:softHyphen/>
              <w:t>vattensystemet före ångturbinen eller annan utrustning för utvinning av mekanisk energi ur ånga eller het</w:t>
            </w:r>
            <w:r w:rsidRPr="006C40C1">
              <w:rPr>
                <w:i/>
              </w:rPr>
              <w:softHyphen/>
              <w:t>vatten i en kraftvärmeanläggning.</w:t>
            </w:r>
          </w:p>
        </w:tc>
      </w:tr>
    </w:tbl>
    <w:p w:rsidR="00AA5D77" w:rsidRPr="006C40C1" w:rsidRDefault="00AA5D77"/>
    <w:p w:rsidR="00AA5D77" w:rsidRPr="006C40C1" w:rsidRDefault="00AA5D77">
      <w:pPr>
        <w:jc w:val="center"/>
        <w:rPr>
          <w:b/>
        </w:rPr>
      </w:pPr>
      <w:r w:rsidRPr="006C40C1">
        <w:rPr>
          <w:b/>
        </w:rPr>
        <w:br w:type="page"/>
        <w:t>9 kap.</w:t>
      </w:r>
    </w:p>
    <w:p w:rsidR="00AA5D77" w:rsidRPr="006C40C1" w:rsidRDefault="00AA5D77">
      <w:pPr>
        <w:jc w:val="center"/>
      </w:pPr>
      <w:r w:rsidRPr="006C40C1">
        <w:rPr>
          <w:b/>
        </w:rPr>
        <w:t>5 §</w:t>
      </w:r>
      <w:r w:rsidRPr="006C40C1">
        <w:rPr>
          <w:rStyle w:val="Fotnotsreferens"/>
        </w:rPr>
        <w:footnoteReference w:id="9"/>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Om värme har levererats för til</w:t>
            </w:r>
            <w:r w:rsidRPr="006C40C1">
              <w:t>l</w:t>
            </w:r>
            <w:r w:rsidRPr="006C40C1">
              <w:softHyphen/>
              <w:t>verkningsprocessen i industriell verksamhet eller för yrkesmässig jordbruks-, skogsbruks- eller vatte</w:t>
            </w:r>
            <w:r w:rsidRPr="006C40C1">
              <w:t>n</w:t>
            </w:r>
            <w:r w:rsidRPr="006C40C1">
              <w:softHyphen/>
              <w:t>bruksverksamhet, medger beskat</w:t>
            </w:r>
            <w:r w:rsidRPr="006C40C1">
              <w:t>t</w:t>
            </w:r>
            <w:r w:rsidRPr="006C40C1">
              <w:softHyphen/>
              <w:t>ningsmyndigheten efter ansökan av den som framställt värmen återb</w:t>
            </w:r>
            <w:r w:rsidRPr="006C40C1">
              <w:t>e</w:t>
            </w:r>
            <w:r w:rsidRPr="006C40C1">
              <w:t>tal</w:t>
            </w:r>
            <w:r w:rsidRPr="006C40C1">
              <w:softHyphen/>
              <w:t xml:space="preserve">ning av </w:t>
            </w:r>
          </w:p>
          <w:p w:rsidR="00AA5D77" w:rsidRPr="006C40C1" w:rsidRDefault="00AA5D77">
            <w:pPr>
              <w:pStyle w:val="Normaltindrag"/>
            </w:pPr>
            <w:r w:rsidRPr="006C40C1">
              <w:t xml:space="preserve">1. energiskatten på elektrisk kraft, och </w:t>
            </w:r>
          </w:p>
          <w:p w:rsidR="00AA5D77" w:rsidRPr="006C40C1" w:rsidRDefault="00AA5D77">
            <w:pPr>
              <w:pStyle w:val="Normaltindrag"/>
            </w:pPr>
            <w:r w:rsidRPr="006C40C1">
              <w:t xml:space="preserve">2. energiskatten och </w:t>
            </w:r>
            <w:r w:rsidRPr="006C40C1">
              <w:rPr>
                <w:i/>
              </w:rPr>
              <w:t>70</w:t>
            </w:r>
            <w:r w:rsidRPr="006C40C1">
              <w:t xml:space="preserve"> procent av koldioxidskatten på bränsle, dock inte bensin, råtallolja eller bränsle som avses i 2 kap. 1 § första stycket 3 b, </w:t>
            </w:r>
          </w:p>
          <w:p w:rsidR="00AA5D77" w:rsidRPr="006C40C1" w:rsidRDefault="00AA5D77">
            <w:pPr>
              <w:pStyle w:val="Normaltindrag"/>
            </w:pPr>
            <w:r w:rsidRPr="006C40C1">
              <w:t xml:space="preserve">som förbrukats vid framställning av värmen. </w:t>
            </w:r>
          </w:p>
        </w:tc>
        <w:tc>
          <w:tcPr>
            <w:tcW w:w="3090" w:type="dxa"/>
          </w:tcPr>
          <w:p w:rsidR="00AA5D77" w:rsidRPr="006C40C1" w:rsidRDefault="00AA5D77">
            <w:pPr>
              <w:pStyle w:val="Normaltindrag"/>
            </w:pPr>
            <w:r w:rsidRPr="006C40C1">
              <w:t>Om värme har levererats för till</w:t>
            </w:r>
            <w:r w:rsidRPr="006C40C1">
              <w:softHyphen/>
              <w:t>verkningsprocessen i industriell verksamhet eller för yrkesmässig jordbruks-, skogsbruks- eller vatten</w:t>
            </w:r>
            <w:r w:rsidRPr="006C40C1">
              <w:softHyphen/>
              <w:t>bruksverksamhet, medger beskatt</w:t>
            </w:r>
            <w:r w:rsidRPr="006C40C1">
              <w:softHyphen/>
              <w:t>ningsmyndigheten efter ansökan av den som framställt värmen återbetal</w:t>
            </w:r>
            <w:r w:rsidRPr="006C40C1">
              <w:softHyphen/>
              <w:t xml:space="preserve">ning av </w:t>
            </w:r>
          </w:p>
          <w:p w:rsidR="00AA5D77" w:rsidRPr="006C40C1" w:rsidRDefault="00AA5D77">
            <w:pPr>
              <w:pStyle w:val="Normaltindrag"/>
            </w:pPr>
            <w:r w:rsidRPr="006C40C1">
              <w:t xml:space="preserve">1. energiskatten på elektrisk kraft, och </w:t>
            </w:r>
          </w:p>
          <w:p w:rsidR="00AA5D77" w:rsidRPr="006C40C1" w:rsidRDefault="00AA5D77">
            <w:pPr>
              <w:pStyle w:val="Normaltindrag"/>
            </w:pPr>
            <w:r w:rsidRPr="006C40C1">
              <w:t xml:space="preserve">2. energiskatten och </w:t>
            </w:r>
            <w:r w:rsidRPr="006C40C1">
              <w:rPr>
                <w:i/>
              </w:rPr>
              <w:t>74</w:t>
            </w:r>
            <w:r w:rsidRPr="006C40C1">
              <w:t xml:space="preserve"> procent av koldioxidskatten på bränsle, dock inte bensin, råtallolja eller bränsle som avses i 2 kap. 1 § första stycket 3 b, </w:t>
            </w:r>
          </w:p>
          <w:p w:rsidR="00AA5D77" w:rsidRPr="006C40C1" w:rsidRDefault="00AA5D77">
            <w:pPr>
              <w:pStyle w:val="Normaltindrag"/>
            </w:pPr>
            <w:r w:rsidRPr="006C40C1">
              <w:t xml:space="preserve">som förbrukats vid framställning av värmen. </w:t>
            </w:r>
            <w:r w:rsidRPr="006C40C1">
              <w:rPr>
                <w:i/>
              </w:rPr>
              <w:t>Om elektrisk kraft och ett eller flera bränslen förbrukas samt</w:t>
            </w:r>
            <w:r w:rsidRPr="006C40C1">
              <w:rPr>
                <w:i/>
              </w:rPr>
              <w:t>i</w:t>
            </w:r>
            <w:r w:rsidRPr="006C40C1">
              <w:rPr>
                <w:i/>
              </w:rPr>
              <w:t>digt för denna värmeframställning skall energislagen vid beräkning av åter</w:t>
            </w:r>
            <w:r w:rsidRPr="006C40C1">
              <w:rPr>
                <w:i/>
              </w:rPr>
              <w:softHyphen/>
              <w:t>betalningen fördelas genom propor</w:t>
            </w:r>
            <w:r w:rsidRPr="006C40C1">
              <w:rPr>
                <w:i/>
              </w:rPr>
              <w:softHyphen/>
              <w:t>tionering i förhållande till respektive energislag. På motsv</w:t>
            </w:r>
            <w:r w:rsidRPr="006C40C1">
              <w:rPr>
                <w:i/>
              </w:rPr>
              <w:t>a</w:t>
            </w:r>
            <w:r w:rsidRPr="006C40C1">
              <w:rPr>
                <w:i/>
              </w:rPr>
              <w:t>rande sätt skall proportionering ske vid samtidig fram</w:t>
            </w:r>
            <w:r w:rsidRPr="006C40C1">
              <w:rPr>
                <w:i/>
              </w:rPr>
              <w:softHyphen/>
              <w:t>ställning av värme och elektrisk kraft.</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Bestämmelserna i första stycket 2 tillämpas även på råtallolja, dock att återbetalning av energiskatt medges till ett belopp som motsvarar den energiskatt och </w:t>
            </w:r>
            <w:r w:rsidRPr="006C40C1">
              <w:rPr>
                <w:i/>
              </w:rPr>
              <w:t>70</w:t>
            </w:r>
            <w:r w:rsidRPr="006C40C1">
              <w:t xml:space="preserve"> procent av den koldioxidskatt som tas ut på bränsle som avses i 2 kap. 1 § första stycket 3 a.</w:t>
            </w:r>
          </w:p>
        </w:tc>
        <w:tc>
          <w:tcPr>
            <w:tcW w:w="3090" w:type="dxa"/>
          </w:tcPr>
          <w:p w:rsidR="00AA5D77" w:rsidRPr="006C40C1" w:rsidRDefault="00AA5D77">
            <w:pPr>
              <w:pStyle w:val="Normaltindrag"/>
            </w:pPr>
            <w:r w:rsidRPr="006C40C1">
              <w:t xml:space="preserve">Bestämmelserna i första stycket 2 tillämpas även på råtallolja, dock att återbetalning av energiskatt medges till ett belopp som motsvarar den energiskatt och </w:t>
            </w:r>
            <w:r w:rsidRPr="006C40C1">
              <w:rPr>
                <w:i/>
              </w:rPr>
              <w:t>74</w:t>
            </w:r>
            <w:r w:rsidRPr="006C40C1">
              <w:t xml:space="preserve"> procent av den koldioxidskatt som tas ut på bränsle som avses i 2 kap. 1 § första stycket 3 a.</w:t>
            </w:r>
          </w:p>
        </w:tc>
      </w:tr>
    </w:tbl>
    <w:p w:rsidR="00AA5D77" w:rsidRPr="006C40C1" w:rsidRDefault="00AA5D77">
      <w:pPr>
        <w:pStyle w:val="Normaltindrag"/>
      </w:pPr>
      <w:r w:rsidRPr="006C40C1">
        <w:t>Har beslut om preliminär skattesats meddelats enligt 9 kap. 9 b § medges återbetalning enligt den lägre koldioxidskattesats eller, beträffande råtallolja, energiskattesats som följer av beslutet.</w:t>
      </w:r>
    </w:p>
    <w:p w:rsidR="00AA5D77" w:rsidRPr="006C40C1" w:rsidRDefault="00AA5D77">
      <w:pPr>
        <w:pStyle w:val="Normaltindrag"/>
        <w:jc w:val="center"/>
      </w:pPr>
    </w:p>
    <w:p w:rsidR="00AA5D77" w:rsidRPr="006C40C1" w:rsidRDefault="00AA5D77">
      <w:pPr>
        <w:jc w:val="center"/>
      </w:pPr>
      <w:r w:rsidRPr="006C40C1">
        <w:rPr>
          <w:b/>
        </w:rPr>
        <w:br w:type="page"/>
        <w:t>9 §</w:t>
      </w:r>
      <w:r w:rsidRPr="006C40C1">
        <w:rPr>
          <w:rStyle w:val="Fotnotsreferens"/>
        </w:rPr>
        <w:footnoteReference w:id="10"/>
      </w:r>
    </w:p>
    <w:p w:rsidR="00AA5D77" w:rsidRPr="006C40C1" w:rsidRDefault="00AA5D77">
      <w:pPr>
        <w:pStyle w:val="Normaltindrag"/>
      </w:pPr>
      <w:r w:rsidRPr="006C40C1">
        <w:t>Utöver möjligheterna till avdrag enligt 7 kap. 1 § första stycket 4, köp av bränsle befriat från skatt enligt 8 kap. 1 § eller till återbetalning enligt 9 kap. 2 § gäller följande. Har bränsle, dock inte bensin eller bränsle som avses i 2 kap. 1 § första stycket 3 b, förbrukats vid tillverkningsprocessen i industriell verksamhet eller i yrkesmässig jordbruks-, skogsbruks- eller vatten</w:t>
      </w:r>
      <w:r w:rsidRPr="006C40C1">
        <w:softHyphen/>
        <w:t>bruksverksamhet, medger beskattningsmyndigheten efter ansökan nedsätt</w:t>
      </w:r>
      <w:r w:rsidRPr="006C40C1">
        <w:softHyphen/>
        <w:t>ning av koldioxidskatten eller, beträffande råtallolja, energiskatten för den del av skatten som överstiger 0,8 procent av de framställda produkternas försäl</w:t>
      </w:r>
      <w:r w:rsidRPr="006C40C1">
        <w:t>j</w:t>
      </w:r>
      <w:r w:rsidRPr="006C40C1">
        <w:t>ningsvärde. Nedsättning medges med sådant belopp att den överskjutande skattebelastningen inte överstiger 24 procent av det överskjutande skatteb</w:t>
      </w:r>
      <w:r w:rsidRPr="006C40C1">
        <w:t>e</w:t>
      </w:r>
      <w:r w:rsidRPr="006C40C1">
        <w:t>loppet för bränslet. Nedsättning får dock inte medges för skatt på bränsle som förbrukats för drift av motordrivna fordon.</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Bestämmelserna i första stycket gäller även mottagare av värme</w:t>
            </w:r>
            <w:r w:rsidRPr="006C40C1">
              <w:softHyphen/>
              <w:t>leveranser om värmen har använts vid tillverkningsprocessen i in</w:t>
            </w:r>
            <w:r w:rsidRPr="006C40C1">
              <w:softHyphen/>
              <w:t>dustriell verksamhet eller i yrkes</w:t>
            </w:r>
            <w:r w:rsidRPr="006C40C1">
              <w:softHyphen/>
              <w:t>mässig jordbruks-, skogsbruks- eller vattenbruksverksamhet. I sådana fall avses med bränsle det bränsle som förbrukats för framställning av vä</w:t>
            </w:r>
            <w:r w:rsidRPr="006C40C1">
              <w:t>r</w:t>
            </w:r>
            <w:r w:rsidRPr="006C40C1">
              <w:t>men.</w:t>
            </w:r>
          </w:p>
        </w:tc>
        <w:tc>
          <w:tcPr>
            <w:tcW w:w="3090" w:type="dxa"/>
          </w:tcPr>
          <w:p w:rsidR="00AA5D77" w:rsidRPr="006C40C1" w:rsidRDefault="00AA5D77">
            <w:pPr>
              <w:pStyle w:val="Normaltindrag"/>
            </w:pPr>
            <w:r w:rsidRPr="006C40C1">
              <w:t>Bestämmelserna i första stycket gäller även mottagare av värme</w:t>
            </w:r>
            <w:r w:rsidRPr="006C40C1">
              <w:softHyphen/>
              <w:t>leveranser om värmen har använts vid tillverkningsprocessen i in</w:t>
            </w:r>
            <w:r w:rsidRPr="006C40C1">
              <w:softHyphen/>
              <w:t>dustriell verksamhet eller i yrkes</w:t>
            </w:r>
            <w:r w:rsidRPr="006C40C1">
              <w:softHyphen/>
              <w:t>mässig jordbruks-, skogsbruks- eller vattenbruksverksamhet. I sådana fall avses med bränsle det bränsle som förbrukats för framställning av vä</w:t>
            </w:r>
            <w:r w:rsidRPr="006C40C1">
              <w:t>r</w:t>
            </w:r>
            <w:r w:rsidRPr="006C40C1">
              <w:t xml:space="preserve">men. </w:t>
            </w:r>
            <w:r w:rsidRPr="006C40C1">
              <w:rPr>
                <w:i/>
              </w:rPr>
              <w:t>Om olika bränslen förbrukas samtidigt för denna värmeframställ</w:t>
            </w:r>
            <w:r w:rsidRPr="006C40C1">
              <w:rPr>
                <w:i/>
              </w:rPr>
              <w:softHyphen/>
              <w:t>ning skall bränslena vid beräkning av nedsättningen fördelas genom propor</w:t>
            </w:r>
            <w:r w:rsidRPr="006C40C1">
              <w:rPr>
                <w:i/>
              </w:rPr>
              <w:softHyphen/>
              <w:t>tionering i förhållande till respektive bränsle. På motsvarande sätt skall proportionering ske vid samtidig fram</w:t>
            </w:r>
            <w:r w:rsidRPr="006C40C1">
              <w:rPr>
                <w:i/>
              </w:rPr>
              <w:softHyphen/>
              <w:t xml:space="preserve">ställning av </w:t>
            </w:r>
            <w:r w:rsidRPr="006C40C1">
              <w:rPr>
                <w:i/>
              </w:rPr>
              <w:t>värme och elektrisk kraft.</w:t>
            </w:r>
          </w:p>
        </w:tc>
      </w:tr>
    </w:tbl>
    <w:p w:rsidR="00AA5D77" w:rsidRPr="006C40C1" w:rsidRDefault="00AA5D77">
      <w:pPr>
        <w:pStyle w:val="Normaltindrag"/>
      </w:pPr>
      <w:r w:rsidRPr="006C40C1">
        <w:t>Vid beräkning av nedsättning enligt första eller andra stycket får den ko</w:t>
      </w:r>
      <w:r w:rsidRPr="006C40C1">
        <w:t>l</w:t>
      </w:r>
      <w:r w:rsidRPr="006C40C1">
        <w:t>dioxidskatt som är hänförlig till följande bränslen dock inte sättas ned mer än att den motsvarar minst</w:t>
      </w:r>
    </w:p>
    <w:p w:rsidR="00AA5D77" w:rsidRPr="006C40C1" w:rsidRDefault="00AA5D77">
      <w:pPr>
        <w:pStyle w:val="Normaltindrag"/>
      </w:pPr>
      <w:r w:rsidRPr="006C40C1">
        <w:t>a) 160 kronor per kubikmeter dieselbrännolja (KN-nr 2710 00 69) eller fotogen (KN-nr 2710 00 51 eller 2710 00 55),</w:t>
      </w:r>
    </w:p>
    <w:p w:rsidR="00AA5D77" w:rsidRPr="006C40C1" w:rsidRDefault="00AA5D77">
      <w:pPr>
        <w:pStyle w:val="Normaltindrag"/>
      </w:pPr>
      <w:r w:rsidRPr="006C40C1">
        <w:t>b) 125 kronor per kubikmeter eldningsolja (KN-nr 2710 00 74–2710 00 78), och</w:t>
      </w:r>
    </w:p>
    <w:p w:rsidR="00AA5D77" w:rsidRPr="006C40C1" w:rsidRDefault="00AA5D77">
      <w:pPr>
        <w:pStyle w:val="Normaltindrag"/>
      </w:pPr>
      <w:r w:rsidRPr="006C40C1">
        <w:t>c) 320 kronor per 1 000 kilogram gasol som förbrukats för drift av statio-nära motorer.</w:t>
      </w:r>
    </w:p>
    <w:p w:rsidR="00AA5D77" w:rsidRPr="006C40C1" w:rsidRDefault="00AA5D77">
      <w:pPr>
        <w:pStyle w:val="Normaltindrag"/>
      </w:pPr>
      <w:r w:rsidRPr="006C40C1">
        <w:t>Vad som i tredje stycket föreskrivs om dieselbrännolja, fotogen, eldnings-olja och gasol tillämpas även på bränsle för vilket motsvarande skatt skall betalas enligt 2 kap. 3 och 4 §§.</w:t>
      </w:r>
    </w:p>
    <w:p w:rsidR="00AA5D77" w:rsidRPr="006C40C1" w:rsidRDefault="00AA5D77">
      <w:pPr>
        <w:pStyle w:val="Normaltindrag"/>
      </w:pPr>
      <w:r w:rsidRPr="006C40C1">
        <w:t>Ansökan om nedsättning enligt första eller andra stycket skall omfatta en period om ett kalenderår och skall lämnas in till beskattningsmyndigheten senast inom ett år efter kalenderårets utgång.</w:t>
      </w:r>
    </w:p>
    <w:p w:rsidR="00AA5D77" w:rsidRPr="006C40C1" w:rsidRDefault="00AA5D77">
      <w:pPr>
        <w:pStyle w:val="Normaltindrag"/>
        <w:spacing w:before="120"/>
        <w:jc w:val="center"/>
      </w:pPr>
      <w:r w:rsidRPr="006C40C1">
        <w:rPr>
          <w:b/>
        </w:rPr>
        <w:t xml:space="preserve">11 kap. </w:t>
      </w:r>
    </w:p>
    <w:p w:rsidR="00AA5D77" w:rsidRPr="006C40C1" w:rsidRDefault="00AA5D77">
      <w:pPr>
        <w:jc w:val="center"/>
      </w:pPr>
      <w:r w:rsidRPr="006C40C1">
        <w:rPr>
          <w:b/>
        </w:rPr>
        <w:t>3 §</w:t>
      </w:r>
      <w:r w:rsidRPr="006C40C1">
        <w:rPr>
          <w:rStyle w:val="Fotnotsreferens"/>
        </w:rPr>
        <w:footnoteReference w:id="11"/>
      </w:r>
    </w:p>
    <w:p w:rsidR="00AA5D77" w:rsidRPr="006C40C1" w:rsidRDefault="00AA5D77">
      <w:pPr>
        <w:pStyle w:val="Normaltindrag"/>
      </w:pPr>
      <w:r w:rsidRPr="006C40C1">
        <w:t>Energiskatten utgör</w:t>
      </w:r>
    </w:p>
    <w:p w:rsidR="00AA5D77" w:rsidRPr="006C40C1" w:rsidRDefault="00AA5D77">
      <w:pPr>
        <w:pStyle w:val="Normaltindrag"/>
      </w:pPr>
      <w:r w:rsidRPr="006C40C1">
        <w:t>1. 0 öre per kilowattimme för elektrisk kraft som förbrukas i industriell verksamhet i tillverkningsprocessen eller vid yrkesmässig växthusodling,</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2. </w:t>
            </w:r>
            <w:r w:rsidRPr="006C40C1">
              <w:rPr>
                <w:i/>
              </w:rPr>
              <w:t>14,0</w:t>
            </w:r>
            <w:r w:rsidRPr="006C40C1">
              <w:t xml:space="preserve"> öre per kilowattimme för annan elektrisk kraft än som avses under 1 och som förbrukas i ko</w:t>
            </w:r>
            <w:r w:rsidRPr="006C40C1">
              <w:t>m</w:t>
            </w:r>
            <w:r w:rsidRPr="006C40C1">
              <w:softHyphen/>
              <w:t>muner som anges i 4 §,</w:t>
            </w:r>
          </w:p>
          <w:p w:rsidR="00AA5D77" w:rsidRPr="006C40C1" w:rsidRDefault="00AA5D77">
            <w:pPr>
              <w:pStyle w:val="Normaltindrag"/>
            </w:pPr>
            <w:r w:rsidRPr="006C40C1">
              <w:t xml:space="preserve">3. </w:t>
            </w:r>
            <w:r w:rsidRPr="006C40C1">
              <w:rPr>
                <w:i/>
              </w:rPr>
              <w:t>17,4</w:t>
            </w:r>
            <w:r w:rsidRPr="006C40C1">
              <w:t xml:space="preserve"> öre per kilowattimme för elektrisk kraft som förbrukas för el-, gas-, värme- eller vattenförsörjning i andra kommuner än de som anges i 4 §, och </w:t>
            </w:r>
          </w:p>
          <w:p w:rsidR="00AA5D77" w:rsidRPr="006C40C1" w:rsidRDefault="00AA5D77">
            <w:pPr>
              <w:pStyle w:val="Normaltindrag"/>
            </w:pPr>
            <w:r w:rsidRPr="006C40C1">
              <w:t xml:space="preserve">4. </w:t>
            </w:r>
            <w:r w:rsidRPr="006C40C1">
              <w:rPr>
                <w:i/>
              </w:rPr>
              <w:t>19,8</w:t>
            </w:r>
            <w:r w:rsidRPr="006C40C1">
              <w:t xml:space="preserve"> öre per kilowattimme för elektrisk kraft som förbrukas i övriga fall. </w:t>
            </w:r>
          </w:p>
          <w:p w:rsidR="00AA5D77" w:rsidRPr="006C40C1" w:rsidRDefault="00AA5D77">
            <w:pPr>
              <w:pStyle w:val="Normaltindrag"/>
            </w:pPr>
            <w:r w:rsidRPr="006C40C1">
              <w:t>För elektrisk kraft som under t</w:t>
            </w:r>
            <w:r w:rsidRPr="006C40C1">
              <w:t>i</w:t>
            </w:r>
            <w:r w:rsidRPr="006C40C1">
              <w:t>den den 1 november–den 31 mars förbrukas i elektriska pannor som ingår i en elpanneanläggning vars installerade effekt överstiger 2 meg</w:t>
            </w:r>
            <w:r w:rsidRPr="006C40C1">
              <w:t>a</w:t>
            </w:r>
            <w:r w:rsidRPr="006C40C1">
              <w:softHyphen/>
              <w:t xml:space="preserve">watt, utgör dock energiskatten </w:t>
            </w:r>
          </w:p>
          <w:p w:rsidR="00AA5D77" w:rsidRPr="006C40C1" w:rsidRDefault="00AA5D77">
            <w:pPr>
              <w:pStyle w:val="Normaltindrag"/>
            </w:pPr>
            <w:r w:rsidRPr="006C40C1">
              <w:t xml:space="preserve">1. </w:t>
            </w:r>
            <w:r w:rsidRPr="006C40C1">
              <w:rPr>
                <w:i/>
              </w:rPr>
              <w:t>16,4</w:t>
            </w:r>
            <w:r w:rsidRPr="006C40C1">
              <w:t xml:space="preserve"> öre per kilowattimme vid förbrukning i kommuner som anges i 4 § för annat ändamål än industriell verksamhet i tillverkningsprocessen eller yrke</w:t>
            </w:r>
            <w:r w:rsidRPr="006C40C1">
              <w:t>s</w:t>
            </w:r>
            <w:r w:rsidRPr="006C40C1">
              <w:t>mässig växthusodling, och</w:t>
            </w:r>
          </w:p>
          <w:p w:rsidR="00AA5D77" w:rsidRPr="006C40C1" w:rsidRDefault="00AA5D77">
            <w:pPr>
              <w:pStyle w:val="Normaltindrag"/>
            </w:pPr>
            <w:r w:rsidRPr="006C40C1">
              <w:t xml:space="preserve">2. </w:t>
            </w:r>
            <w:r w:rsidRPr="006C40C1">
              <w:rPr>
                <w:i/>
              </w:rPr>
              <w:t xml:space="preserve">19,8 </w:t>
            </w:r>
            <w:r w:rsidRPr="006C40C1">
              <w:t>öre per kilowattimme vid förbrukning för el-, gas-, värme- eller vattenförsörjning i andra kommuner än de som anges i 4 §.</w:t>
            </w:r>
          </w:p>
          <w:p w:rsidR="00AA5D77" w:rsidRPr="006C40C1" w:rsidRDefault="00AA5D77">
            <w:pPr>
              <w:pStyle w:val="Normaltindrag"/>
            </w:pPr>
            <w:r w:rsidRPr="006C40C1">
              <w:t xml:space="preserve">För kalenderåret </w:t>
            </w:r>
            <w:r w:rsidRPr="006C40C1">
              <w:rPr>
                <w:i/>
              </w:rPr>
              <w:t>2003</w:t>
            </w:r>
            <w:r w:rsidRPr="006C40C1">
              <w:t xml:space="preserve"> och efte</w:t>
            </w:r>
            <w:r w:rsidRPr="006C40C1">
              <w:t>r</w:t>
            </w:r>
            <w:r w:rsidRPr="006C40C1">
              <w:softHyphen/>
              <w:t>följande kalenderår skall de i första och andra styckena angivna skatte</w:t>
            </w:r>
            <w:r w:rsidRPr="006C40C1">
              <w:softHyphen/>
              <w:t>beloppen räknas om på det sätt som i fråga om skatt på bränslen anges i 2 kap. 10 §. Belopp som anges i tiondels ören skall dock avrundas till hela t</w:t>
            </w:r>
            <w:r w:rsidRPr="006C40C1">
              <w:t>i</w:t>
            </w:r>
            <w:r w:rsidRPr="006C40C1">
              <w:t>ondels ören.</w:t>
            </w:r>
          </w:p>
        </w:tc>
        <w:tc>
          <w:tcPr>
            <w:tcW w:w="3090" w:type="dxa"/>
          </w:tcPr>
          <w:p w:rsidR="00AA5D77" w:rsidRPr="006C40C1" w:rsidRDefault="00AA5D77">
            <w:pPr>
              <w:pStyle w:val="Normaltindrag"/>
            </w:pPr>
            <w:r w:rsidRPr="006C40C1">
              <w:t xml:space="preserve">2. </w:t>
            </w:r>
            <w:r w:rsidRPr="006C40C1">
              <w:rPr>
                <w:i/>
              </w:rPr>
              <w:t>16,4</w:t>
            </w:r>
            <w:r w:rsidRPr="006C40C1">
              <w:t xml:space="preserve"> öre per kilowattimme för annan elektrisk kraft än som  avses under 1 och som förbrukas i ko</w:t>
            </w:r>
            <w:r w:rsidRPr="006C40C1">
              <w:t>m</w:t>
            </w:r>
            <w:r w:rsidRPr="006C40C1">
              <w:softHyphen/>
              <w:t>muner som anges i 4 §,</w:t>
            </w:r>
          </w:p>
          <w:p w:rsidR="00AA5D77" w:rsidRPr="006C40C1" w:rsidRDefault="00AA5D77">
            <w:pPr>
              <w:pStyle w:val="Normaltindrag"/>
            </w:pPr>
            <w:r w:rsidRPr="006C40C1">
              <w:t xml:space="preserve">3. </w:t>
            </w:r>
            <w:r w:rsidRPr="006C40C1">
              <w:rPr>
                <w:i/>
              </w:rPr>
              <w:t>19,8</w:t>
            </w:r>
            <w:r w:rsidRPr="006C40C1">
              <w:t xml:space="preserve"> öre per kilowattimme för elektrisk kraft som förbrukas för el-, gas-, värme- eller vattenförsörjning i andra kommuner  än de som anges i 4 §, och</w:t>
            </w:r>
          </w:p>
          <w:p w:rsidR="00AA5D77" w:rsidRPr="006C40C1" w:rsidRDefault="00AA5D77">
            <w:pPr>
              <w:pStyle w:val="Normaltindrag"/>
            </w:pPr>
            <w:r w:rsidRPr="006C40C1">
              <w:t xml:space="preserve">4. </w:t>
            </w:r>
            <w:r w:rsidRPr="006C40C1">
              <w:rPr>
                <w:i/>
              </w:rPr>
              <w:t>22,3</w:t>
            </w:r>
            <w:r w:rsidRPr="006C40C1">
              <w:t xml:space="preserve"> öre per kilowattimme för elektrisk kraft som förbrukas i övriga fall.</w:t>
            </w:r>
          </w:p>
          <w:p w:rsidR="00AA5D77" w:rsidRPr="006C40C1" w:rsidRDefault="00AA5D77">
            <w:pPr>
              <w:pStyle w:val="Normaltindrag"/>
            </w:pPr>
            <w:r w:rsidRPr="006C40C1">
              <w:t>För elektrisk kraft som under t</w:t>
            </w:r>
            <w:r w:rsidRPr="006C40C1">
              <w:t>i</w:t>
            </w:r>
            <w:r w:rsidRPr="006C40C1">
              <w:t>den den 1 november–den 31 mars förbrukas i elektriska pannor som ingår i en elpanneanläggning  vars installerade effekt överstiger 2 m</w:t>
            </w:r>
            <w:r w:rsidRPr="006C40C1">
              <w:t>e</w:t>
            </w:r>
            <w:r w:rsidRPr="006C40C1">
              <w:t>ga</w:t>
            </w:r>
            <w:r w:rsidRPr="006C40C1">
              <w:softHyphen/>
              <w:t xml:space="preserve">watt, utgör dock energiskatten </w:t>
            </w:r>
          </w:p>
          <w:p w:rsidR="00AA5D77" w:rsidRPr="006C40C1" w:rsidRDefault="00AA5D77">
            <w:pPr>
              <w:pStyle w:val="Normaltindrag"/>
            </w:pPr>
            <w:r w:rsidRPr="006C40C1">
              <w:t xml:space="preserve">1. </w:t>
            </w:r>
            <w:r w:rsidRPr="006C40C1">
              <w:rPr>
                <w:i/>
              </w:rPr>
              <w:t>18,8</w:t>
            </w:r>
            <w:r w:rsidRPr="006C40C1">
              <w:t xml:space="preserve"> öre per kilowattimme vid förbrukning i kommuner som anges i 4 § för annat ändamål än industriell verksamhet i tillverkningsprocessen eller yrke</w:t>
            </w:r>
            <w:r w:rsidRPr="006C40C1">
              <w:t>s</w:t>
            </w:r>
            <w:r w:rsidRPr="006C40C1">
              <w:t>mässig växthusodling, och</w:t>
            </w:r>
          </w:p>
          <w:p w:rsidR="00AA5D77" w:rsidRPr="006C40C1" w:rsidRDefault="00AA5D77">
            <w:pPr>
              <w:pStyle w:val="Normaltindrag"/>
            </w:pPr>
            <w:r w:rsidRPr="006C40C1">
              <w:t xml:space="preserve">2. </w:t>
            </w:r>
            <w:r w:rsidRPr="006C40C1">
              <w:rPr>
                <w:i/>
              </w:rPr>
              <w:t>22,3</w:t>
            </w:r>
            <w:r w:rsidRPr="006C40C1">
              <w:t xml:space="preserve"> öre per kilowattimme vid förbrukning för el-, gas-, värme- eller vattenförsörjning i andra kommuner än de som anges i 4 §.</w:t>
            </w:r>
          </w:p>
          <w:p w:rsidR="00AA5D77" w:rsidRPr="006C40C1" w:rsidRDefault="00AA5D77">
            <w:pPr>
              <w:pStyle w:val="Normaltindrag"/>
            </w:pPr>
            <w:r w:rsidRPr="006C40C1">
              <w:t xml:space="preserve">För kalenderåret </w:t>
            </w:r>
            <w:r w:rsidRPr="006C40C1">
              <w:rPr>
                <w:i/>
              </w:rPr>
              <w:t>2004</w:t>
            </w:r>
            <w:r w:rsidRPr="006C40C1">
              <w:t xml:space="preserve"> och efte</w:t>
            </w:r>
            <w:r w:rsidRPr="006C40C1">
              <w:t>r</w:t>
            </w:r>
            <w:r w:rsidRPr="006C40C1">
              <w:softHyphen/>
              <w:t>följande kalenderår skall de i första och andra styckena angivna skatte</w:t>
            </w:r>
            <w:r w:rsidRPr="006C40C1">
              <w:softHyphen/>
              <w:t>beloppen räknas om på det sätt som i fråga om skatt på bränslen anges i 2 kap. 10 §. Belopp som anges i tiondels ören skall dock avrundas till hela  t</w:t>
            </w:r>
            <w:r w:rsidRPr="006C40C1">
              <w:t>i</w:t>
            </w:r>
            <w:r w:rsidRPr="006C40C1">
              <w:t>ondels ören.</w:t>
            </w:r>
          </w:p>
        </w:tc>
      </w:tr>
    </w:tbl>
    <w:p w:rsidR="00AA5D77" w:rsidRPr="006C40C1" w:rsidRDefault="00AA5D77">
      <w:pPr>
        <w:pStyle w:val="Normaltindrag"/>
      </w:pPr>
    </w:p>
    <w:p w:rsidR="00AA5D77" w:rsidRPr="006C40C1" w:rsidRDefault="00AA5D77">
      <w:pPr>
        <w:jc w:val="center"/>
      </w:pPr>
      <w:r w:rsidRPr="006C40C1">
        <w:rPr>
          <w:b/>
        </w:rPr>
        <w:t>9 §</w:t>
      </w:r>
      <w:r w:rsidRPr="006C40C1">
        <w:rPr>
          <w:rStyle w:val="Fotnotsreferens"/>
        </w:rPr>
        <w:footnoteReference w:id="12"/>
      </w:r>
    </w:p>
    <w:p w:rsidR="00AA5D77" w:rsidRPr="006C40C1" w:rsidRDefault="00AA5D77">
      <w:pPr>
        <w:pStyle w:val="Normaltindrag"/>
      </w:pPr>
      <w:r w:rsidRPr="006C40C1">
        <w:t>Den som är skattskyldig för energiskatt på elektrisk kraft får göra avdrag för skatt på elektrisk kraft som</w:t>
      </w:r>
    </w:p>
    <w:p w:rsidR="00AA5D77" w:rsidRPr="006C40C1" w:rsidRDefault="00AA5D77">
      <w:pPr>
        <w:pStyle w:val="Normaltindrag"/>
      </w:pPr>
      <w:r w:rsidRPr="006C40C1">
        <w:t>1. förbrukats eller sålts för förbrukning i tåg eller annat spårbundet tran</w:t>
      </w:r>
      <w:r w:rsidRPr="006C40C1">
        <w:t>s</w:t>
      </w:r>
      <w:r w:rsidRPr="006C40C1">
        <w:t>portmedel eller för motordrift eller uppvärmning i omedelbart samband med sådan förbrukning,</w:t>
      </w:r>
    </w:p>
    <w:p w:rsidR="00AA5D77" w:rsidRPr="006C40C1" w:rsidRDefault="00AA5D77">
      <w:pPr>
        <w:pStyle w:val="Normaltindrag"/>
      </w:pPr>
      <w:r w:rsidRPr="006C40C1">
        <w:t>2. förbrukats eller sålts för förbrukning för annat ändamål än motordrift eller uppvärmning eller för användning i omedelbart samband med sådan förbrukning,</w:t>
      </w:r>
    </w:p>
    <w:p w:rsidR="00AA5D77" w:rsidRPr="006C40C1" w:rsidRDefault="00AA5D77">
      <w:pPr>
        <w:pStyle w:val="Normaltindrag"/>
      </w:pPr>
      <w:r w:rsidRPr="006C40C1">
        <w:t>3. förbrukats eller sålts för förbrukning vid sådan framställning av pr</w:t>
      </w:r>
      <w:r w:rsidRPr="006C40C1">
        <w:t>o</w:t>
      </w:r>
      <w:r w:rsidRPr="006C40C1">
        <w:t>dukter som avses i 6 a kap. 1 § 6,</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rPr>
                <w:i/>
              </w:rPr>
            </w:pPr>
            <w:r w:rsidRPr="006C40C1">
              <w:rPr>
                <w:i/>
              </w:rPr>
              <w:t>4. framställts i en kraftvärme</w:t>
            </w:r>
            <w:r w:rsidRPr="006C40C1">
              <w:rPr>
                <w:i/>
              </w:rPr>
              <w:softHyphen/>
              <w:t xml:space="preserve">anläggning och förbrukats för el-, gas-, värme- eller vattenförsörjning i den egna verksamheten i den mån avdrag  inte  har  gjorts  enligt 7 kap. </w:t>
            </w:r>
          </w:p>
          <w:p w:rsidR="00AA5D77" w:rsidRPr="006C40C1" w:rsidRDefault="00AA5D77">
            <w:pPr>
              <w:pStyle w:val="Normaltindrag"/>
              <w:ind w:firstLine="0"/>
            </w:pPr>
            <w:r w:rsidRPr="006C40C1">
              <w:rPr>
                <w:i/>
              </w:rPr>
              <w:t>1 § första stycket 4 i fall som avses i 6 a kap. 1 § 7,</w:t>
            </w:r>
            <w:r w:rsidRPr="006C40C1">
              <w:t xml:space="preserve"> </w:t>
            </w:r>
          </w:p>
        </w:tc>
        <w:tc>
          <w:tcPr>
            <w:tcW w:w="3090" w:type="dxa"/>
          </w:tcPr>
          <w:p w:rsidR="00AA5D77" w:rsidRPr="006C40C1" w:rsidRDefault="00AA5D77">
            <w:pPr>
              <w:pStyle w:val="Normaltindrag"/>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rPr>
                <w:i/>
              </w:rPr>
              <w:t xml:space="preserve">5. </w:t>
            </w:r>
            <w:r w:rsidRPr="006C40C1">
              <w:t>förbrukats eller sålts för för</w:t>
            </w:r>
            <w:r w:rsidRPr="006C40C1">
              <w:softHyphen/>
              <w:t>brukning vid sådan överföring av elektrisk kraft på det elektriska nätet som utförs av den som ansvarar för förvaltningen av nätet i syfte att upprätthålla nätets funktion.</w:t>
            </w:r>
          </w:p>
        </w:tc>
        <w:tc>
          <w:tcPr>
            <w:tcW w:w="3090" w:type="dxa"/>
          </w:tcPr>
          <w:p w:rsidR="00AA5D77" w:rsidRPr="006C40C1" w:rsidRDefault="00AA5D77">
            <w:pPr>
              <w:pStyle w:val="Normaltindrag"/>
            </w:pPr>
            <w:r w:rsidRPr="006C40C1">
              <w:rPr>
                <w:i/>
              </w:rPr>
              <w:t>4</w:t>
            </w:r>
            <w:r w:rsidRPr="006C40C1">
              <w:t>. förbrukats eller sålts för för</w:t>
            </w:r>
            <w:r w:rsidRPr="006C40C1">
              <w:softHyphen/>
              <w:t>brukning vid sådan överföring av elektrisk kraft på det elektriska nätet som utförs av den som ansvarar för förvaltningen av nätet i syfte att upprätthålla nätets funktion.</w:t>
            </w:r>
          </w:p>
        </w:tc>
      </w:tr>
    </w:tbl>
    <w:p w:rsidR="00AA5D77" w:rsidRPr="006C40C1" w:rsidRDefault="00AA5D77"/>
    <w:p w:rsidR="00AA5D77" w:rsidRPr="006C40C1" w:rsidRDefault="00AA5D77">
      <w:pPr>
        <w:jc w:val="center"/>
      </w:pPr>
      <w:r w:rsidRPr="006C40C1">
        <w:rPr>
          <w:b/>
        </w:rPr>
        <w:t>10 §</w:t>
      </w:r>
      <w:r w:rsidRPr="006C40C1">
        <w:rPr>
          <w:rStyle w:val="Fotnotsreferens"/>
        </w:rPr>
        <w:footnoteReference w:id="13"/>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Avdrag får göras även för energi</w:t>
            </w:r>
            <w:r w:rsidRPr="006C40C1">
              <w:softHyphen/>
              <w:t xml:space="preserve">skatt och koldioxidskatt på </w:t>
            </w:r>
          </w:p>
          <w:p w:rsidR="00AA5D77" w:rsidRPr="006C40C1" w:rsidRDefault="00AA5D77">
            <w:pPr>
              <w:pStyle w:val="Normaltindrag"/>
            </w:pPr>
            <w:r w:rsidRPr="006C40C1">
              <w:rPr>
                <w:i/>
              </w:rPr>
              <w:t>1. bränsle som beskattas enligt 2 kap. 1 § första stycket 3 b, om bränslet förbrukats vid framställning av skatte</w:t>
            </w:r>
            <w:r w:rsidRPr="006C40C1">
              <w:rPr>
                <w:i/>
              </w:rPr>
              <w:softHyphen/>
              <w:t>pliktig elektrisk kraft i en gas</w:t>
            </w:r>
            <w:r w:rsidRPr="006C40C1">
              <w:rPr>
                <w:i/>
              </w:rPr>
              <w:softHyphen/>
              <w:t>turbinanläggning som har en sammanlagd installerad generator</w:t>
            </w:r>
            <w:r w:rsidRPr="006C40C1">
              <w:rPr>
                <w:i/>
              </w:rPr>
              <w:softHyphen/>
              <w:t xml:space="preserve">effekt av minst fem megawatt, under förutsättning att värme inte samtidigt nyttiggjorts, </w:t>
            </w:r>
          </w:p>
          <w:p w:rsidR="00AA5D77" w:rsidRPr="006C40C1" w:rsidRDefault="00AA5D77">
            <w:pPr>
              <w:pStyle w:val="Normaltindrag"/>
            </w:pPr>
            <w:r w:rsidRPr="006C40C1">
              <w:rPr>
                <w:i/>
              </w:rPr>
              <w:t>2. annat bränsle än som avses u</w:t>
            </w:r>
            <w:r w:rsidRPr="006C40C1">
              <w:rPr>
                <w:i/>
              </w:rPr>
              <w:t>n</w:t>
            </w:r>
            <w:r w:rsidRPr="006C40C1">
              <w:rPr>
                <w:i/>
              </w:rPr>
              <w:t xml:space="preserve">der 1, dock inte råtallolja, om bränslet förbrukats vid framställning av skattepliktig elektrisk kraft, med de begränsningar som följer av andra och femte styckena. </w:t>
            </w:r>
          </w:p>
          <w:p w:rsidR="00AA5D77" w:rsidRPr="006C40C1" w:rsidRDefault="00AA5D77">
            <w:pPr>
              <w:pStyle w:val="Normaltindrag"/>
            </w:pPr>
            <w:r w:rsidRPr="006C40C1">
              <w:rPr>
                <w:i/>
              </w:rPr>
              <w:t>Avdrag enligt första stycket 2 får vid samtidig produktion av värme och skattepliktig elektrisk kraft i en kraft</w:t>
            </w:r>
            <w:r w:rsidRPr="006C40C1">
              <w:rPr>
                <w:i/>
              </w:rPr>
              <w:softHyphen/>
              <w:t>värmeanläggning göras för energiskatt och koldioxidskatt på den del av bränslet som förbrukats för fram</w:t>
            </w:r>
            <w:r w:rsidRPr="006C40C1">
              <w:rPr>
                <w:i/>
              </w:rPr>
              <w:softHyphen/>
              <w:t>ställning av skattepliktig elek</w:t>
            </w:r>
            <w:r w:rsidRPr="006C40C1">
              <w:rPr>
                <w:i/>
              </w:rPr>
              <w:t>t</w:t>
            </w:r>
            <w:r w:rsidRPr="006C40C1">
              <w:rPr>
                <w:i/>
              </w:rPr>
              <w:t>risk kraft och för hälften av energ</w:t>
            </w:r>
            <w:r w:rsidRPr="006C40C1">
              <w:rPr>
                <w:i/>
              </w:rPr>
              <w:t>i</w:t>
            </w:r>
            <w:r w:rsidRPr="006C40C1">
              <w:rPr>
                <w:i/>
              </w:rPr>
              <w:t>skatten på den del av bränslet som förbrukats för framställning av ny</w:t>
            </w:r>
            <w:r w:rsidRPr="006C40C1">
              <w:rPr>
                <w:i/>
              </w:rPr>
              <w:t>t</w:t>
            </w:r>
            <w:r w:rsidRPr="006C40C1">
              <w:rPr>
                <w:i/>
              </w:rPr>
              <w:t xml:space="preserve">tiggjord värme. </w:t>
            </w:r>
          </w:p>
          <w:p w:rsidR="00AA5D77" w:rsidRPr="006C40C1" w:rsidRDefault="00AA5D77">
            <w:pPr>
              <w:pStyle w:val="Normaltindrag"/>
            </w:pPr>
            <w:r w:rsidRPr="006C40C1">
              <w:rPr>
                <w:i/>
              </w:rPr>
              <w:t>Avdrag får göras även för energi</w:t>
            </w:r>
            <w:r w:rsidRPr="006C40C1">
              <w:rPr>
                <w:i/>
              </w:rPr>
              <w:softHyphen/>
              <w:t>skatt på råtallolja om den förbrukats vid framställning av skattepliktig elektrisk kraft, med de begränsningar som följer av fjärde och femte styc</w:t>
            </w:r>
            <w:r w:rsidRPr="006C40C1">
              <w:rPr>
                <w:i/>
              </w:rPr>
              <w:t>k</w:t>
            </w:r>
            <w:r w:rsidRPr="006C40C1">
              <w:rPr>
                <w:i/>
              </w:rPr>
              <w:t xml:space="preserve">ena. </w:t>
            </w:r>
          </w:p>
          <w:p w:rsidR="00AA5D77" w:rsidRPr="006C40C1" w:rsidRDefault="00AA5D77">
            <w:pPr>
              <w:pStyle w:val="Normaltindrag"/>
            </w:pPr>
            <w:r w:rsidRPr="006C40C1">
              <w:rPr>
                <w:i/>
              </w:rPr>
              <w:t>Avdrag enligt tredje stycket får vid samtidig produktion av värme och skattepliktig elektrisk kraft i en kraftvärmeanläggning göras för hela energiskatten på den del av bränslet som förbrukats för framställning av skattepliktig elektrisk kraft och för energiskatt med ett belopp som mot</w:t>
            </w:r>
            <w:r w:rsidRPr="006C40C1">
              <w:rPr>
                <w:i/>
              </w:rPr>
              <w:softHyphen/>
              <w:t>svarar hälften av den energiskatt som tas ut på bränsle som avses i 2 kap. 1 § första stycket 3 a på den del av bränslet som förbrukats för fra</w:t>
            </w:r>
            <w:r w:rsidRPr="006C40C1">
              <w:rPr>
                <w:i/>
              </w:rPr>
              <w:t>m</w:t>
            </w:r>
            <w:r w:rsidRPr="006C40C1">
              <w:rPr>
                <w:i/>
              </w:rPr>
              <w:t xml:space="preserve">ställning av nyttiggjord värme. </w:t>
            </w:r>
          </w:p>
        </w:tc>
        <w:tc>
          <w:tcPr>
            <w:tcW w:w="3090" w:type="dxa"/>
          </w:tcPr>
          <w:p w:rsidR="00AA5D77" w:rsidRPr="006C40C1" w:rsidRDefault="00AA5D77">
            <w:pPr>
              <w:pStyle w:val="Normaltindrag"/>
            </w:pPr>
            <w:r w:rsidRPr="006C40C1">
              <w:t>Avdrag får göras även för energ</w:t>
            </w:r>
            <w:r w:rsidRPr="006C40C1">
              <w:t>i</w:t>
            </w:r>
            <w:r w:rsidRPr="006C40C1">
              <w:t xml:space="preserve">skatt och koldioxidskatt på </w:t>
            </w:r>
            <w:r w:rsidRPr="006C40C1">
              <w:rPr>
                <w:i/>
              </w:rPr>
              <w:t>bränsle som förbrukats på ett sätt som ger rätt till skattebefrielse enligt 6 a kap. 1 § 7 och 3 och 4 §§.</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Avdrag enligt </w:t>
            </w:r>
            <w:r w:rsidRPr="006C40C1">
              <w:rPr>
                <w:i/>
              </w:rPr>
              <w:t>första–fjärde</w:t>
            </w:r>
            <w:r w:rsidRPr="006C40C1">
              <w:t xml:space="preserve"> </w:t>
            </w:r>
            <w:r w:rsidRPr="006C40C1">
              <w:rPr>
                <w:i/>
              </w:rPr>
              <w:t>styc</w:t>
            </w:r>
            <w:r w:rsidRPr="006C40C1">
              <w:rPr>
                <w:i/>
              </w:rPr>
              <w:t>k</w:t>
            </w:r>
            <w:r w:rsidRPr="006C40C1">
              <w:rPr>
                <w:i/>
              </w:rPr>
              <w:t>ena</w:t>
            </w:r>
            <w:r w:rsidRPr="006C40C1">
              <w:t xml:space="preserve"> får göras endast i den mån a</w:t>
            </w:r>
            <w:r w:rsidRPr="006C40C1">
              <w:t>v</w:t>
            </w:r>
            <w:r w:rsidRPr="006C40C1">
              <w:t xml:space="preserve">drag inte gjorts enligt </w:t>
            </w:r>
            <w:r w:rsidRPr="006C40C1">
              <w:rPr>
                <w:i/>
              </w:rPr>
              <w:t xml:space="preserve">9 § första stycket 4 eller </w:t>
            </w:r>
            <w:r w:rsidRPr="006C40C1">
              <w:t xml:space="preserve">7 kap. 1 § första stycket 4 i fall som avses i 6 a kap.   1 § 7 eller </w:t>
            </w:r>
            <w:r w:rsidRPr="006C40C1">
              <w:rPr>
                <w:i/>
              </w:rPr>
              <w:t xml:space="preserve">2, </w:t>
            </w:r>
            <w:r w:rsidRPr="006C40C1">
              <w:t>3 eller 4 §.</w:t>
            </w:r>
          </w:p>
        </w:tc>
        <w:tc>
          <w:tcPr>
            <w:tcW w:w="3090" w:type="dxa"/>
          </w:tcPr>
          <w:p w:rsidR="00AA5D77" w:rsidRPr="006C40C1" w:rsidRDefault="00AA5D77">
            <w:pPr>
              <w:pStyle w:val="Normaltindrag"/>
            </w:pPr>
            <w:r w:rsidRPr="006C40C1">
              <w:t xml:space="preserve">Avdrag enligt </w:t>
            </w:r>
            <w:r w:rsidRPr="006C40C1">
              <w:rPr>
                <w:i/>
              </w:rPr>
              <w:t xml:space="preserve">första stycket </w:t>
            </w:r>
            <w:r w:rsidRPr="006C40C1">
              <w:t>får göras endast i den mån avdrag inte gjorts enligt 7 kap. 1 § första stycket 4 i fall som avses i 6 a kap. 1 § 7 eller 3 eller 4 §.</w:t>
            </w:r>
          </w:p>
        </w:tc>
      </w:tr>
    </w:tbl>
    <w:p w:rsidR="00AA5D77" w:rsidRPr="006C40C1" w:rsidRDefault="00AA5D77">
      <w:pPr>
        <w:pStyle w:val="Normaltindrag"/>
      </w:pPr>
      <w:r w:rsidRPr="006C40C1">
        <w:t>Den som yrkesmässigt levererar elektrisk kraft som i Sverige framställts i ett vindkraftverk får göra avdrag med ett belopp som svarar mot 18,1 öre per kilowattimme.</w:t>
      </w:r>
    </w:p>
    <w:p w:rsidR="00AA5D77" w:rsidRPr="006C40C1" w:rsidRDefault="00AA5D77">
      <w:pPr>
        <w:pStyle w:val="Normaltindrag"/>
        <w:jc w:val="center"/>
        <w:rPr>
          <w:b/>
        </w:rPr>
      </w:pPr>
      <w:r w:rsidRPr="006C40C1">
        <w:rPr>
          <w:b/>
        </w:rPr>
        <w:br w:type="page"/>
      </w:r>
    </w:p>
    <w:p w:rsidR="00AA5D77" w:rsidRPr="006C40C1" w:rsidRDefault="00AA5D77">
      <w:pPr>
        <w:pStyle w:val="Normaltindrag"/>
        <w:jc w:val="center"/>
      </w:pPr>
      <w:r w:rsidRPr="006C40C1">
        <w:rPr>
          <w:b/>
        </w:rPr>
        <w:t>Övergångsbestämmelserna</w:t>
      </w:r>
    </w:p>
    <w:p w:rsidR="00AA5D77" w:rsidRPr="006C40C1" w:rsidRDefault="00AA5D77">
      <w:pPr>
        <w:jc w:val="center"/>
      </w:pPr>
      <w:r w:rsidRPr="006C40C1">
        <w:rPr>
          <w:b/>
        </w:rPr>
        <w:t>2</w:t>
      </w:r>
      <w:r w:rsidRPr="006C40C1">
        <w:rPr>
          <w:rStyle w:val="Fotnotsreferens"/>
        </w:rPr>
        <w:footnoteReference w:id="14"/>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För tid fram till den 1 januari </w:t>
            </w:r>
            <w:r w:rsidRPr="006C40C1">
              <w:rPr>
                <w:i/>
              </w:rPr>
              <w:t>2003</w:t>
            </w:r>
            <w:r w:rsidRPr="006C40C1">
              <w:t xml:space="preserve"> medger beskattningsmyndi</w:t>
            </w:r>
            <w:r w:rsidRPr="006C40C1">
              <w:t>g</w:t>
            </w:r>
            <w:r w:rsidRPr="006C40C1">
              <w:t>heten efter ansökan, utöver vad som framgår av den nya lydelsen av 9 kap. 9 §, att vid industriell fram</w:t>
            </w:r>
            <w:r w:rsidRPr="006C40C1">
              <w:softHyphen/>
              <w:t>ställning av produkter av andra min</w:t>
            </w:r>
            <w:r w:rsidRPr="006C40C1">
              <w:t>e</w:t>
            </w:r>
            <w:r w:rsidRPr="006C40C1">
              <w:t>raliska ämnen än metaller koldio</w:t>
            </w:r>
            <w:r w:rsidRPr="006C40C1">
              <w:t>x</w:t>
            </w:r>
            <w:r w:rsidRPr="006C40C1">
              <w:t>idskatten på annat bränsle än sådant som beskattas som mineral</w:t>
            </w:r>
            <w:r w:rsidRPr="006C40C1">
              <w:softHyphen/>
              <w:t>oljeprodukt och som förbrukats för annat ändamål än drift av motordri</w:t>
            </w:r>
            <w:r w:rsidRPr="006C40C1">
              <w:t>v</w:t>
            </w:r>
            <w:r w:rsidRPr="006C40C1">
              <w:t>na fordon tas ut med sådant belopp att skatten för den som bedriver framställningen inte överstiger 1,2 procent av de framställda produkte</w:t>
            </w:r>
            <w:r w:rsidRPr="006C40C1">
              <w:t>r</w:t>
            </w:r>
            <w:r w:rsidRPr="006C40C1">
              <w:t>nas försälj</w:t>
            </w:r>
            <w:r w:rsidRPr="006C40C1">
              <w:softHyphen/>
              <w:t>ningsvärde.</w:t>
            </w:r>
          </w:p>
        </w:tc>
        <w:tc>
          <w:tcPr>
            <w:tcW w:w="3090" w:type="dxa"/>
          </w:tcPr>
          <w:p w:rsidR="00AA5D77" w:rsidRPr="006C40C1" w:rsidRDefault="00AA5D77">
            <w:pPr>
              <w:pStyle w:val="Normaltindrag"/>
            </w:pPr>
            <w:r w:rsidRPr="006C40C1">
              <w:t xml:space="preserve">För tid fram </w:t>
            </w:r>
            <w:r w:rsidRPr="006C40C1">
              <w:t xml:space="preserve">till den 1 januari </w:t>
            </w:r>
            <w:r w:rsidRPr="006C40C1">
              <w:rPr>
                <w:i/>
              </w:rPr>
              <w:t>2004</w:t>
            </w:r>
            <w:r w:rsidRPr="006C40C1">
              <w:t xml:space="preserve"> medger beskattningsmyndi</w:t>
            </w:r>
            <w:r w:rsidRPr="006C40C1">
              <w:t>g</w:t>
            </w:r>
            <w:r w:rsidRPr="006C40C1">
              <w:t>heten efter ansökan, utöver vad som fram</w:t>
            </w:r>
            <w:r w:rsidRPr="006C40C1">
              <w:softHyphen/>
              <w:t>går av den nya lydelsen av 9 kap. 9 §, att vid industriell fra</w:t>
            </w:r>
            <w:r w:rsidRPr="006C40C1">
              <w:t>m</w:t>
            </w:r>
            <w:r w:rsidRPr="006C40C1">
              <w:t>ställning av produkter av andra min</w:t>
            </w:r>
            <w:r w:rsidRPr="006C40C1">
              <w:t>e</w:t>
            </w:r>
            <w:r w:rsidRPr="006C40C1">
              <w:t>raliska ämnen än metaller koldio</w:t>
            </w:r>
            <w:r w:rsidRPr="006C40C1">
              <w:t>x</w:t>
            </w:r>
            <w:r w:rsidRPr="006C40C1">
              <w:t>idskatten på annat bränsle än sådant som beskattas som mineraloljepr</w:t>
            </w:r>
            <w:r w:rsidRPr="006C40C1">
              <w:t>o</w:t>
            </w:r>
            <w:r w:rsidRPr="006C40C1">
              <w:t>dukt och som förbrukats för annat ändamål än drift av motordrivna fordon tas ut med sådant belopp att skatten för den som bedriver fram</w:t>
            </w:r>
            <w:r w:rsidRPr="006C40C1">
              <w:softHyphen/>
              <w:t>ställningen inte överstiger 1,2 pro</w:t>
            </w:r>
            <w:r w:rsidRPr="006C40C1">
              <w:softHyphen/>
              <w:t>cent av de framställda produkternas försäljningsv</w:t>
            </w:r>
            <w:r w:rsidRPr="006C40C1">
              <w:t xml:space="preserve">ärde. </w:t>
            </w:r>
          </w:p>
        </w:tc>
      </w:tr>
    </w:tbl>
    <w:p w:rsidR="00AA5D77" w:rsidRPr="006C40C1" w:rsidRDefault="00AA5D77">
      <w:pPr>
        <w:pStyle w:val="Normaltindrag"/>
      </w:pPr>
      <w:r w:rsidRPr="006C40C1">
        <w:t>Ansökan om nedsättning enligt första stycket skall omfatta en period om ett kalenderår och skall lämnas in till beskattningsmyndigheten senast inom ett år efter kalenderårets utgång.</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Bestämmelserna i 9 kap. 9 a och </w:t>
            </w:r>
            <w:r w:rsidRPr="006C40C1">
              <w:rPr>
                <w:i/>
              </w:rPr>
              <w:t>b</w:t>
            </w:r>
            <w:r w:rsidRPr="006C40C1">
              <w:t xml:space="preserve"> §§ </w:t>
            </w:r>
            <w:r w:rsidRPr="006C40C1">
              <w:rPr>
                <w:i/>
              </w:rPr>
              <w:t>lagen (1994:1776) om skatt på energi</w:t>
            </w:r>
            <w:r w:rsidRPr="006C40C1">
              <w:t xml:space="preserve"> tillämpas även på sådan ned</w:t>
            </w:r>
            <w:r w:rsidRPr="006C40C1">
              <w:softHyphen/>
              <w:t>sättning som avses i första stycket.</w:t>
            </w:r>
          </w:p>
        </w:tc>
        <w:tc>
          <w:tcPr>
            <w:tcW w:w="3090" w:type="dxa"/>
          </w:tcPr>
          <w:p w:rsidR="00AA5D77" w:rsidRPr="006C40C1" w:rsidRDefault="00AA5D77">
            <w:pPr>
              <w:pStyle w:val="Normaltindrag"/>
            </w:pPr>
            <w:r w:rsidRPr="006C40C1">
              <w:t xml:space="preserve">Bestämmelserna i 9 kap. 9 a och </w:t>
            </w:r>
            <w:r w:rsidRPr="006C40C1">
              <w:rPr>
                <w:i/>
              </w:rPr>
              <w:t>9 b</w:t>
            </w:r>
            <w:r w:rsidRPr="006C40C1">
              <w:t xml:space="preserve"> §§ tillämpas även på sådan ned</w:t>
            </w:r>
            <w:r w:rsidRPr="006C40C1">
              <w:softHyphen/>
              <w:t>sättning som avses i första stycket.</w:t>
            </w:r>
          </w:p>
        </w:tc>
      </w:tr>
    </w:tbl>
    <w:p w:rsidR="00AA5D77" w:rsidRPr="006C40C1" w:rsidRDefault="00AA5D77">
      <w:r w:rsidRPr="006C40C1">
        <w:rPr>
          <w:u w:val="single"/>
        </w:rPr>
        <w:t>                              </w:t>
      </w:r>
    </w:p>
    <w:p w:rsidR="00AA5D77" w:rsidRPr="006C40C1" w:rsidRDefault="00AA5D77">
      <w:pPr>
        <w:pStyle w:val="Normaltindrag"/>
      </w:pPr>
      <w:r w:rsidRPr="006C40C1">
        <w:t xml:space="preserve">1. Denna lag träder i kraft den 1 januari 2003. </w:t>
      </w:r>
    </w:p>
    <w:p w:rsidR="00AA5D77" w:rsidRPr="006C40C1" w:rsidRDefault="00AA5D77">
      <w:pPr>
        <w:pStyle w:val="Normaltindrag"/>
      </w:pPr>
      <w:r w:rsidRPr="006C40C1">
        <w:t>2. Äldre bestämmelser gäller fortfarande i fråga om förhållanden som hä</w:t>
      </w:r>
      <w:r w:rsidRPr="006C40C1">
        <w:t>n</w:t>
      </w:r>
      <w:r w:rsidRPr="006C40C1">
        <w:t>för sig till tiden före ikraftträdandet.</w:t>
      </w:r>
    </w:p>
    <w:p w:rsidR="00AA5D77" w:rsidRPr="006C40C1" w:rsidRDefault="00AA5D77">
      <w:pPr>
        <w:pStyle w:val="Normaltindrag"/>
      </w:pPr>
      <w:r w:rsidRPr="006C40C1">
        <w:t>3. Den som är skattskyldig för energiskatt på elektrisk kraft får göra avdrag för skatt på elektrisk kraft som under tiden den 1 januari–den 30 april 2003 framställts i en kraftvärmeanläggning och förbrukats i anläggningen för vä</w:t>
      </w:r>
      <w:r w:rsidRPr="006C40C1">
        <w:t>r</w:t>
      </w:r>
      <w:r w:rsidRPr="006C40C1">
        <w:t>meförsörjning, dock inte förbrukats i elpannor eller värmepumpar, i den mån avdrag inte har gjorts enligt 7 kap. 1 § första stycket 4 i fall som avses i 6 a kap. 1 § 7.</w:t>
      </w:r>
    </w:p>
    <w:p w:rsidR="00AA5D77" w:rsidRPr="006C40C1" w:rsidRDefault="00AA5D77">
      <w:pPr>
        <w:pStyle w:val="Rubrik2"/>
      </w:pPr>
      <w:r w:rsidRPr="006C40C1">
        <w:br w:type="page"/>
      </w:r>
      <w:bookmarkStart w:id="1099" w:name="_Toc21512973"/>
      <w:bookmarkStart w:id="1100" w:name="_Toc21513350"/>
      <w:bookmarkStart w:id="1101" w:name="_Toc26191718"/>
      <w:r w:rsidRPr="006C40C1">
        <w:t>Förslag till lag om ändring i lagen (1999:673) om skatt på avfall</w:t>
      </w:r>
      <w:bookmarkEnd w:id="1099"/>
      <w:bookmarkEnd w:id="1100"/>
      <w:bookmarkEnd w:id="1101"/>
    </w:p>
    <w:p w:rsidR="00AA5D77" w:rsidRPr="006C40C1" w:rsidRDefault="00AA5D77">
      <w:pPr>
        <w:pStyle w:val="Normaltindrag"/>
      </w:pPr>
      <w:r w:rsidRPr="006C40C1">
        <w:t>Härigenom föreskrivs att 4 och 10 §§ lagen (1999:673) om skatt på avfall skall ha följande lydelse.</w:t>
      </w:r>
    </w:p>
    <w:p w:rsidR="00AA5D77" w:rsidRPr="006C40C1" w:rsidRDefault="00AA5D77"/>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Rubrik2"/>
              <w:rPr>
                <w:sz w:val="19"/>
              </w:rPr>
            </w:pPr>
            <w:r w:rsidRPr="006C40C1">
              <w:rPr>
                <w:sz w:val="19"/>
              </w:rPr>
              <w:t>Nuvarande lydelse</w:t>
            </w:r>
          </w:p>
        </w:tc>
        <w:tc>
          <w:tcPr>
            <w:tcW w:w="3090" w:type="dxa"/>
          </w:tcPr>
          <w:p w:rsidR="00AA5D77" w:rsidRPr="006C40C1" w:rsidRDefault="00AA5D77">
            <w:pPr>
              <w:pStyle w:val="LagRubrik2"/>
              <w:rPr>
                <w:sz w:val="19"/>
              </w:rPr>
            </w:pPr>
            <w:r w:rsidRPr="006C40C1">
              <w:rPr>
                <w:sz w:val="19"/>
              </w:rPr>
              <w:t>Föreslagen lydelse</w:t>
            </w:r>
          </w:p>
        </w:tc>
      </w:tr>
    </w:tbl>
    <w:p w:rsidR="00AA5D77" w:rsidRPr="006C40C1" w:rsidRDefault="00AA5D77">
      <w:pPr>
        <w:pStyle w:val="Normaltindrag"/>
      </w:pPr>
    </w:p>
    <w:p w:rsidR="00AA5D77" w:rsidRPr="006C40C1" w:rsidRDefault="00AA5D77">
      <w:pPr>
        <w:jc w:val="center"/>
      </w:pPr>
      <w:r w:rsidRPr="006C40C1">
        <w:rPr>
          <w:b/>
        </w:rPr>
        <w:t>4 §</w:t>
      </w:r>
      <w:r w:rsidRPr="006C40C1">
        <w:rPr>
          <w:rStyle w:val="Fotnotsreferens"/>
          <w:b/>
        </w:rPr>
        <w:footnoteReference w:id="15"/>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Avfallsskatt skall betalas med </w:t>
            </w:r>
            <w:r w:rsidRPr="006C40C1">
              <w:rPr>
                <w:i/>
              </w:rPr>
              <w:t>288 </w:t>
            </w:r>
            <w:r w:rsidRPr="006C40C1">
              <w:t>kronor per ton avfall.</w:t>
            </w:r>
          </w:p>
        </w:tc>
        <w:tc>
          <w:tcPr>
            <w:tcW w:w="3090" w:type="dxa"/>
          </w:tcPr>
          <w:p w:rsidR="00AA5D77" w:rsidRPr="006C40C1" w:rsidRDefault="00AA5D77">
            <w:pPr>
              <w:pStyle w:val="Normaltindrag"/>
            </w:pPr>
            <w:r w:rsidRPr="006C40C1">
              <w:t xml:space="preserve">Avfallsskatt skall betalas med </w:t>
            </w:r>
            <w:r w:rsidRPr="006C40C1">
              <w:rPr>
                <w:i/>
              </w:rPr>
              <w:t>370 </w:t>
            </w:r>
            <w:r w:rsidRPr="006C40C1">
              <w:t>kronor per ton avfall.</w:t>
            </w:r>
          </w:p>
        </w:tc>
      </w:tr>
    </w:tbl>
    <w:p w:rsidR="00AA5D77" w:rsidRPr="006C40C1" w:rsidRDefault="00AA5D77">
      <w:pPr>
        <w:pStyle w:val="Normaltindrag"/>
      </w:pPr>
    </w:p>
    <w:p w:rsidR="00AA5D77" w:rsidRPr="006C40C1" w:rsidRDefault="00AA5D77">
      <w:pPr>
        <w:jc w:val="center"/>
      </w:pPr>
      <w:r w:rsidRPr="006C40C1">
        <w:rPr>
          <w:b/>
        </w:rPr>
        <w:t>10 §</w:t>
      </w:r>
      <w:r w:rsidRPr="006C40C1">
        <w:rPr>
          <w:rStyle w:val="Fotnotsreferens"/>
        </w:rPr>
        <w:footnoteReference w:id="16"/>
      </w:r>
    </w:p>
    <w:p w:rsidR="00AA5D77" w:rsidRPr="006C40C1" w:rsidRDefault="00AA5D77">
      <w:pPr>
        <w:pStyle w:val="Normaltindrag"/>
      </w:pPr>
      <w:r w:rsidRPr="006C40C1">
        <w:t xml:space="preserve">Den som är skattskyldig får göra avdrag för skatt på </w:t>
      </w:r>
    </w:p>
    <w:p w:rsidR="00AA5D77" w:rsidRPr="006C40C1" w:rsidRDefault="00AA5D77">
      <w:pPr>
        <w:pStyle w:val="Normaltindrag"/>
      </w:pPr>
      <w:r w:rsidRPr="006C40C1">
        <w:t>1. avfall som förts ut från anläggningen, dock inte lak- och reningsvatten och inte heller gas som har bildats vid nedbrytning av organiskt avfall,</w:t>
      </w:r>
    </w:p>
    <w:p w:rsidR="00AA5D77" w:rsidRPr="006C40C1" w:rsidRDefault="00AA5D77">
      <w:pPr>
        <w:pStyle w:val="Normaltindrag"/>
      </w:pPr>
      <w:r w:rsidRPr="006C40C1">
        <w:t>2. avfall som använts för driften av anläggningen,</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3. avfall som inom anläggningen använts för konstruktionsarbeten eller för att där åstadkomma en mi</w:t>
            </w:r>
            <w:r w:rsidRPr="006C40C1">
              <w:t>l</w:t>
            </w:r>
            <w:r w:rsidRPr="006C40C1">
              <w:t>jösäker deponering eller för</w:t>
            </w:r>
            <w:r w:rsidRPr="006C40C1">
              <w:softHyphen/>
              <w:t>varing.</w:t>
            </w:r>
          </w:p>
        </w:tc>
        <w:tc>
          <w:tcPr>
            <w:tcW w:w="3090" w:type="dxa"/>
          </w:tcPr>
          <w:p w:rsidR="00AA5D77" w:rsidRPr="006C40C1" w:rsidRDefault="00AA5D77">
            <w:pPr>
              <w:pStyle w:val="Normaltindrag"/>
            </w:pPr>
            <w:r w:rsidRPr="006C40C1">
              <w:t>3. avfall som inom anläggningen använts för konstruktionsarbeten eller för att där åstadkomma en mi</w:t>
            </w:r>
            <w:r w:rsidRPr="006C40C1">
              <w:t>l</w:t>
            </w:r>
            <w:r w:rsidRPr="006C40C1">
              <w:t>jösäker deponering eller för</w:t>
            </w:r>
            <w:r w:rsidRPr="006C40C1">
              <w:softHyphen/>
              <w:t xml:space="preserve">varing, </w:t>
            </w:r>
            <w:r w:rsidRPr="006C40C1">
              <w:rPr>
                <w:i/>
              </w:rPr>
              <w:t>dock inte när avfallet använts för mellantäckning</w:t>
            </w:r>
            <w:r w:rsidRPr="006C40C1">
              <w:t>,</w:t>
            </w:r>
          </w:p>
        </w:tc>
      </w:tr>
      <w:tr w:rsidR="00000000" w:rsidRPr="006C40C1">
        <w:tblPrEx>
          <w:tblCellMar>
            <w:top w:w="0" w:type="dxa"/>
            <w:bottom w:w="0" w:type="dxa"/>
          </w:tblCellMar>
        </w:tblPrEx>
        <w:tc>
          <w:tcPr>
            <w:tcW w:w="3090" w:type="dxa"/>
          </w:tcPr>
          <w:p w:rsidR="00AA5D77" w:rsidRPr="006C40C1" w:rsidRDefault="00AA5D77">
            <w:pPr>
              <w:pStyle w:val="Normaltindrag"/>
            </w:pPr>
          </w:p>
        </w:tc>
        <w:tc>
          <w:tcPr>
            <w:tcW w:w="3090" w:type="dxa"/>
          </w:tcPr>
          <w:p w:rsidR="00AA5D77" w:rsidRPr="006C40C1" w:rsidRDefault="00AA5D77">
            <w:pPr>
              <w:pStyle w:val="Normaltindrag"/>
            </w:pPr>
            <w:r w:rsidRPr="006C40C1">
              <w:rPr>
                <w:i/>
              </w:rPr>
              <w:t>4. avfall enligt 3 § första stycket 1 a som är avsett att inom anläg</w:t>
            </w:r>
            <w:r w:rsidRPr="006C40C1">
              <w:rPr>
                <w:i/>
              </w:rPr>
              <w:t>g</w:t>
            </w:r>
            <w:r w:rsidRPr="006C40C1">
              <w:rPr>
                <w:i/>
              </w:rPr>
              <w:t>ningen användas för sluttäckning, om det för</w:t>
            </w:r>
            <w:r w:rsidRPr="006C40C1">
              <w:rPr>
                <w:i/>
              </w:rPr>
              <w:softHyphen/>
              <w:t>varas skilt från annat avfall</w:t>
            </w:r>
            <w:r w:rsidRPr="006C40C1">
              <w:t>.</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rPr>
                <w:i/>
              </w:rPr>
              <w:t>Avdrag enligt första stycket 3 får dock inte göras för skatt på avfall som använts för mellantäckning.</w:t>
            </w:r>
          </w:p>
        </w:tc>
        <w:tc>
          <w:tcPr>
            <w:tcW w:w="3090" w:type="dxa"/>
          </w:tcPr>
          <w:p w:rsidR="00AA5D77" w:rsidRPr="006C40C1" w:rsidRDefault="00AA5D77">
            <w:pPr>
              <w:pStyle w:val="Normaltindrag"/>
            </w:pPr>
          </w:p>
        </w:tc>
      </w:tr>
    </w:tbl>
    <w:p w:rsidR="00AA5D77" w:rsidRPr="006C40C1" w:rsidRDefault="00AA5D77">
      <w:r w:rsidRPr="006C40C1">
        <w:rPr>
          <w:u w:val="single"/>
        </w:rPr>
        <w:t>                              </w:t>
      </w:r>
    </w:p>
    <w:p w:rsidR="00AA5D77" w:rsidRPr="006C40C1" w:rsidRDefault="00AA5D77">
      <w:pPr>
        <w:pStyle w:val="Normaltindrag"/>
      </w:pPr>
      <w:r w:rsidRPr="006C40C1">
        <w:t>Denna lag träder i kraft den 1 januari 2003. Äldre föreskrifter gäller fortf</w:t>
      </w:r>
      <w:r w:rsidRPr="006C40C1">
        <w:t>a</w:t>
      </w:r>
      <w:r w:rsidRPr="006C40C1">
        <w:t>rande i fråga om förhållanden som hänför sig till tiden före ikraftträdandet.</w:t>
      </w:r>
    </w:p>
    <w:p w:rsidR="00AA5D77" w:rsidRPr="006C40C1" w:rsidRDefault="00AA5D77">
      <w:pPr>
        <w:pStyle w:val="Rubrik2"/>
      </w:pPr>
      <w:r w:rsidRPr="006C40C1">
        <w:br w:type="page"/>
      </w:r>
      <w:bookmarkStart w:id="1102" w:name="_Toc21512974"/>
      <w:bookmarkStart w:id="1103" w:name="_Toc21513351"/>
      <w:bookmarkStart w:id="1104" w:name="_Toc26191719"/>
      <w:r w:rsidRPr="006C40C1">
        <w:t>Förslag till lag om ändring i lagen (1995:1667) om skatt på naturgrus</w:t>
      </w:r>
      <w:bookmarkEnd w:id="1102"/>
      <w:bookmarkEnd w:id="1103"/>
      <w:bookmarkEnd w:id="1104"/>
    </w:p>
    <w:p w:rsidR="00AA5D77" w:rsidRPr="006C40C1" w:rsidRDefault="00AA5D77">
      <w:pPr>
        <w:pStyle w:val="Normaltindrag"/>
      </w:pPr>
      <w:r w:rsidRPr="006C40C1">
        <w:t>Härigenom föreskrivs att 3 § lagen (1995:1667) om skatt på naturgrus skall ha följande lydelse.</w:t>
      </w:r>
    </w:p>
    <w:p w:rsidR="00AA5D77" w:rsidRPr="006C40C1" w:rsidRDefault="00AA5D77"/>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r w:rsidRPr="006C40C1">
              <w:rPr>
                <w:i/>
              </w:rPr>
              <w:t>Nuvarande lydelse</w:t>
            </w:r>
          </w:p>
        </w:tc>
        <w:tc>
          <w:tcPr>
            <w:tcW w:w="3090" w:type="dxa"/>
          </w:tcPr>
          <w:p w:rsidR="00AA5D77" w:rsidRPr="006C40C1" w:rsidRDefault="00AA5D77">
            <w:pPr>
              <w:pStyle w:val="Ordfranden"/>
              <w:spacing w:before="62"/>
              <w:rPr>
                <w:noProof w:val="0"/>
              </w:rPr>
            </w:pPr>
            <w:r w:rsidRPr="006C40C1">
              <w:rPr>
                <w:noProof w:val="0"/>
              </w:rPr>
              <w:t>Föreslagen lydelse</w:t>
            </w:r>
          </w:p>
        </w:tc>
      </w:tr>
    </w:tbl>
    <w:p w:rsidR="00AA5D77" w:rsidRPr="006C40C1" w:rsidRDefault="00AA5D77"/>
    <w:p w:rsidR="00AA5D77" w:rsidRPr="006C40C1" w:rsidRDefault="00AA5D77">
      <w:pPr>
        <w:jc w:val="center"/>
      </w:pPr>
      <w:r w:rsidRPr="006C40C1">
        <w:rPr>
          <w:b/>
        </w:rPr>
        <w:t>3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Skatten tas ut med </w:t>
            </w:r>
            <w:r w:rsidRPr="006C40C1">
              <w:rPr>
                <w:i/>
              </w:rPr>
              <w:t>fem</w:t>
            </w:r>
            <w:r w:rsidRPr="006C40C1">
              <w:t xml:space="preserve"> kronor per ton naturgrus.</w:t>
            </w:r>
          </w:p>
        </w:tc>
        <w:tc>
          <w:tcPr>
            <w:tcW w:w="3090" w:type="dxa"/>
          </w:tcPr>
          <w:p w:rsidR="00AA5D77" w:rsidRPr="006C40C1" w:rsidRDefault="00AA5D77">
            <w:pPr>
              <w:pStyle w:val="Normaltindrag"/>
            </w:pPr>
            <w:r w:rsidRPr="006C40C1">
              <w:t xml:space="preserve">Skatten tas ut med </w:t>
            </w:r>
            <w:r w:rsidRPr="006C40C1">
              <w:rPr>
                <w:i/>
              </w:rPr>
              <w:t>10</w:t>
            </w:r>
            <w:r w:rsidRPr="006C40C1">
              <w:t xml:space="preserve"> kronor per ton naturgrus.</w:t>
            </w:r>
          </w:p>
        </w:tc>
      </w:tr>
    </w:tbl>
    <w:p w:rsidR="00AA5D77" w:rsidRPr="006C40C1" w:rsidRDefault="00AA5D77">
      <w:r w:rsidRPr="006C40C1">
        <w:rPr>
          <w:u w:val="single"/>
        </w:rPr>
        <w:t>                              </w:t>
      </w:r>
    </w:p>
    <w:p w:rsidR="00AA5D77" w:rsidRPr="006C40C1" w:rsidRDefault="00AA5D77">
      <w:pPr>
        <w:pStyle w:val="Normaltindrag"/>
      </w:pPr>
      <w:r w:rsidRPr="006C40C1">
        <w:t>Denna lag träder i kraft den 1 januari 2003. Äldre föreskrifter gäller fort</w:t>
      </w:r>
      <w:r w:rsidRPr="006C40C1">
        <w:softHyphen/>
        <w:t>farande i fråga om förhållanden som hänför sig till tiden före ikraftträdandet.</w:t>
      </w:r>
    </w:p>
    <w:p w:rsidR="00AA5D77" w:rsidRPr="006C40C1" w:rsidRDefault="00AA5D77">
      <w:pPr>
        <w:pStyle w:val="Rubrik2"/>
      </w:pPr>
      <w:r w:rsidRPr="006C40C1">
        <w:br w:type="page"/>
      </w:r>
      <w:bookmarkStart w:id="1105" w:name="_Toc21512975"/>
      <w:bookmarkStart w:id="1106" w:name="_Toc21513352"/>
      <w:bookmarkStart w:id="1107" w:name="_Toc26191720"/>
      <w:r w:rsidRPr="006C40C1">
        <w:t>Förslag till lag om ändring i lagen (1994:1563) om tobaksskatt</w:t>
      </w:r>
      <w:bookmarkEnd w:id="1105"/>
      <w:bookmarkEnd w:id="1106"/>
      <w:bookmarkEnd w:id="1107"/>
    </w:p>
    <w:p w:rsidR="00AA5D77" w:rsidRPr="006C40C1" w:rsidRDefault="00AA5D77">
      <w:pPr>
        <w:pStyle w:val="Normaltindrag"/>
      </w:pPr>
      <w:r w:rsidRPr="006C40C1">
        <w:t>Härigenom föreskrivs att 2 § lagen (1994:1563) om tobaksskatt skall ha följande lydelse.</w:t>
      </w:r>
    </w:p>
    <w:p w:rsidR="00AA5D77" w:rsidRPr="006C40C1" w:rsidRDefault="00AA5D77">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Rubrik2"/>
              <w:rPr>
                <w:sz w:val="19"/>
              </w:rPr>
            </w:pPr>
            <w:r w:rsidRPr="006C40C1">
              <w:rPr>
                <w:sz w:val="19"/>
              </w:rPr>
              <w:t>Nuvarande lydelse</w:t>
            </w:r>
          </w:p>
        </w:tc>
        <w:tc>
          <w:tcPr>
            <w:tcW w:w="3090" w:type="dxa"/>
          </w:tcPr>
          <w:p w:rsidR="00AA5D77" w:rsidRPr="006C40C1" w:rsidRDefault="00AA5D77">
            <w:pPr>
              <w:pStyle w:val="LagRubrik2"/>
              <w:rPr>
                <w:sz w:val="19"/>
              </w:rPr>
            </w:pPr>
            <w:r w:rsidRPr="006C40C1">
              <w:rPr>
                <w:sz w:val="19"/>
              </w:rPr>
              <w:t>Föreslagen lydelse</w:t>
            </w:r>
          </w:p>
        </w:tc>
      </w:tr>
    </w:tbl>
    <w:p w:rsidR="00AA5D77" w:rsidRPr="006C40C1" w:rsidRDefault="00AA5D77">
      <w:pPr>
        <w:pStyle w:val="Normaltindrag"/>
      </w:pPr>
    </w:p>
    <w:p w:rsidR="00AA5D77" w:rsidRPr="006C40C1" w:rsidRDefault="00AA5D77">
      <w:pPr>
        <w:jc w:val="center"/>
      </w:pPr>
      <w:r w:rsidRPr="006C40C1">
        <w:rPr>
          <w:b/>
        </w:rPr>
        <w:t>2 §</w:t>
      </w:r>
      <w:r w:rsidRPr="006C40C1">
        <w:rPr>
          <w:rStyle w:val="Fotnotsreferens"/>
        </w:rPr>
        <w:footnoteReference w:id="17"/>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Skatt på cigaretter tas ut med 20 öre per styck och 39,2 procent av detaljhandelspriset.</w:t>
            </w:r>
          </w:p>
        </w:tc>
        <w:tc>
          <w:tcPr>
            <w:tcW w:w="3090" w:type="dxa"/>
          </w:tcPr>
          <w:p w:rsidR="00AA5D77" w:rsidRPr="006C40C1" w:rsidRDefault="00AA5D77">
            <w:pPr>
              <w:pStyle w:val="Normaltindrag"/>
            </w:pPr>
            <w:r w:rsidRPr="006C40C1">
              <w:t>Skatt på cigaretter tas ut med 20 öre per styck och 39,2 procent av detaljhandelspriset. S</w:t>
            </w:r>
            <w:r w:rsidRPr="006C40C1">
              <w:rPr>
                <w:i/>
              </w:rPr>
              <w:t>katt skall dock lägst tas ut med 90 procent av den sammanlagda skatten på cigaretter i den mest efterfrågade priskate</w:t>
            </w:r>
            <w:r w:rsidRPr="006C40C1">
              <w:rPr>
                <w:i/>
              </w:rPr>
              <w:softHyphen/>
              <w:t>gorin. Tillverkaren eller hans represen</w:t>
            </w:r>
            <w:r w:rsidRPr="006C40C1">
              <w:rPr>
                <w:i/>
              </w:rPr>
              <w:softHyphen/>
              <w:t>tant eller, i fråga om cigaretter som i</w:t>
            </w:r>
            <w:r w:rsidRPr="006C40C1">
              <w:rPr>
                <w:i/>
              </w:rPr>
              <w:t>m</w:t>
            </w:r>
            <w:r w:rsidRPr="006C40C1">
              <w:rPr>
                <w:i/>
              </w:rPr>
              <w:t>porteras från tredje land, impor</w:t>
            </w:r>
            <w:r w:rsidRPr="006C40C1">
              <w:rPr>
                <w:i/>
              </w:rPr>
              <w:softHyphen/>
              <w:t>tören skall senast den 31 oktober varje år till Riksskatteverket lämna uppgifter om försäljningen av cigaretter i de olika priskategorierna för tiden från och med den 1 oktober det föregåe</w:t>
            </w:r>
            <w:r w:rsidRPr="006C40C1">
              <w:rPr>
                <w:i/>
              </w:rPr>
              <w:t>n</w:t>
            </w:r>
            <w:r w:rsidRPr="006C40C1">
              <w:rPr>
                <w:i/>
              </w:rPr>
              <w:t>de året till och med den 30 septe</w:t>
            </w:r>
            <w:r w:rsidRPr="006C40C1">
              <w:rPr>
                <w:i/>
              </w:rPr>
              <w:t>m</w:t>
            </w:r>
            <w:r w:rsidRPr="006C40C1">
              <w:rPr>
                <w:i/>
              </w:rPr>
              <w:t>ber det innevarande året. Regeringen fast</w:t>
            </w:r>
            <w:r w:rsidRPr="006C40C1">
              <w:rPr>
                <w:i/>
              </w:rPr>
              <w:softHyphen/>
              <w:t>ställer senast d</w:t>
            </w:r>
            <w:r w:rsidRPr="006C40C1">
              <w:rPr>
                <w:i/>
              </w:rPr>
              <w:t>en 30 november det innevarande året den mest efte</w:t>
            </w:r>
            <w:r w:rsidRPr="006C40C1">
              <w:rPr>
                <w:i/>
              </w:rPr>
              <w:t>r</w:t>
            </w:r>
            <w:r w:rsidRPr="006C40C1">
              <w:rPr>
                <w:i/>
              </w:rPr>
              <w:t>frågade priskategorin av cigaretter och det skattebelopp som skall tas ut enligt andra meningen.</w:t>
            </w:r>
          </w:p>
        </w:tc>
      </w:tr>
    </w:tbl>
    <w:p w:rsidR="00AA5D77" w:rsidRPr="006C40C1" w:rsidRDefault="00AA5D77">
      <w:pPr>
        <w:pStyle w:val="Normaltindrag"/>
      </w:pPr>
      <w:r w:rsidRPr="006C40C1">
        <w:t>Cigaretter med en längd, exklusive filter eller munstycke, som överstiger 9 centimeter men inte 18 centimeter anses som två cigaretter. Är cigaretten längre anses varje påbörjad ytterligare längd av 9 centimeter som en cigarett.</w:t>
      </w:r>
    </w:p>
    <w:p w:rsidR="00AA5D77" w:rsidRPr="006C40C1" w:rsidRDefault="00AA5D77">
      <w:r w:rsidRPr="006C40C1">
        <w:rPr>
          <w:u w:val="single"/>
        </w:rPr>
        <w:t>                              </w:t>
      </w:r>
    </w:p>
    <w:p w:rsidR="00AA5D77" w:rsidRPr="006C40C1" w:rsidRDefault="00AA5D77">
      <w:pPr>
        <w:pStyle w:val="Normaltindrag"/>
      </w:pPr>
      <w:r w:rsidRPr="006C40C1">
        <w:t>1. Denna lag träder i kraft den 1 mars 2003.</w:t>
      </w:r>
    </w:p>
    <w:p w:rsidR="00AA5D77" w:rsidRPr="006C40C1" w:rsidRDefault="00AA5D77">
      <w:pPr>
        <w:pStyle w:val="Normaltindrag"/>
      </w:pPr>
      <w:r w:rsidRPr="006C40C1">
        <w:t>2. Äldre föreskrifter gäller fortfarande för förhållanden som hänför sig till tiden före ikraftträdandet.</w:t>
      </w:r>
    </w:p>
    <w:p w:rsidR="00AA5D77" w:rsidRPr="006C40C1" w:rsidRDefault="00AA5D77">
      <w:pPr>
        <w:pStyle w:val="Normaltindrag"/>
      </w:pPr>
      <w:r w:rsidRPr="006C40C1">
        <w:t>3. Skatten enligt 2 § första stycket andra meningen skall från och med den 1 mars och till och med den 31 december 2003 vara 84 öre per cigarett.</w:t>
      </w:r>
    </w:p>
    <w:p w:rsidR="00AA5D77" w:rsidRPr="006C40C1" w:rsidRDefault="00AA5D77">
      <w:pPr>
        <w:pStyle w:val="Rubrik2"/>
      </w:pPr>
      <w:r w:rsidRPr="006C40C1">
        <w:br w:type="page"/>
      </w:r>
      <w:bookmarkStart w:id="1108" w:name="_Toc21512976"/>
      <w:bookmarkStart w:id="1109" w:name="_Toc21513353"/>
      <w:bookmarkStart w:id="1110" w:name="_Toc26191721"/>
      <w:r w:rsidRPr="006C40C1">
        <w:t>Förslag till lag om ändring i lagen (1994:1565) om beskattning av viss privatinförsel</w:t>
      </w:r>
      <w:bookmarkEnd w:id="1108"/>
      <w:bookmarkEnd w:id="1109"/>
      <w:bookmarkEnd w:id="1110"/>
    </w:p>
    <w:p w:rsidR="00AA5D77" w:rsidRPr="006C40C1" w:rsidRDefault="00AA5D77">
      <w:pPr>
        <w:pStyle w:val="Normaltindrag"/>
      </w:pPr>
      <w:r w:rsidRPr="006C40C1">
        <w:t>Härigenom föreskrivs att 2 § lagen (1994:1565) om beskattning av viss privatinförsel skall ha följande lydelse.</w:t>
      </w:r>
    </w:p>
    <w:p w:rsidR="00AA5D77" w:rsidRPr="006C40C1" w:rsidRDefault="00AA5D77">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Rubrik2"/>
              <w:rPr>
                <w:sz w:val="19"/>
              </w:rPr>
            </w:pPr>
            <w:r w:rsidRPr="006C40C1">
              <w:rPr>
                <w:sz w:val="19"/>
              </w:rPr>
              <w:t>Nuvarande lydelse</w:t>
            </w:r>
          </w:p>
        </w:tc>
        <w:tc>
          <w:tcPr>
            <w:tcW w:w="3090" w:type="dxa"/>
          </w:tcPr>
          <w:p w:rsidR="00AA5D77" w:rsidRPr="006C40C1" w:rsidRDefault="00AA5D77">
            <w:pPr>
              <w:pStyle w:val="LagRubrik2"/>
              <w:rPr>
                <w:sz w:val="19"/>
              </w:rPr>
            </w:pPr>
            <w:r w:rsidRPr="006C40C1">
              <w:rPr>
                <w:sz w:val="19"/>
              </w:rPr>
              <w:t>Föreslagen lydelse</w:t>
            </w:r>
          </w:p>
        </w:tc>
      </w:tr>
    </w:tbl>
    <w:p w:rsidR="00AA5D77" w:rsidRPr="006C40C1" w:rsidRDefault="00AA5D77">
      <w:pPr>
        <w:pStyle w:val="Normaltindrag"/>
      </w:pPr>
    </w:p>
    <w:p w:rsidR="00AA5D77" w:rsidRPr="006C40C1" w:rsidRDefault="00AA5D77">
      <w:pPr>
        <w:jc w:val="center"/>
      </w:pPr>
      <w:r w:rsidRPr="006C40C1">
        <w:rPr>
          <w:b/>
        </w:rPr>
        <w:t>2 §</w:t>
      </w:r>
      <w:r w:rsidRPr="006C40C1">
        <w:rPr>
          <w:rStyle w:val="Fotnotsreferens"/>
        </w:rPr>
        <w:footnoteReference w:id="18"/>
      </w:r>
    </w:p>
    <w:p w:rsidR="00AA5D77" w:rsidRPr="006C40C1" w:rsidRDefault="00AA5D77">
      <w:pPr>
        <w:pStyle w:val="Normaltindrag"/>
      </w:pPr>
      <w:r w:rsidRPr="006C40C1">
        <w:t>Skatt enligt 1 § skall inte tas ut till den del införseln uppgår till högst fö</w:t>
      </w:r>
      <w:r w:rsidRPr="006C40C1">
        <w:t>l</w:t>
      </w:r>
      <w:r w:rsidRPr="006C40C1">
        <w:t>jande kvantiteter</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1. </w:t>
            </w:r>
            <w:r w:rsidRPr="006C40C1">
              <w:rPr>
                <w:i/>
              </w:rPr>
              <w:t>2</w:t>
            </w:r>
            <w:r w:rsidRPr="006C40C1">
              <w:t xml:space="preserve"> liter spritdryck,</w:t>
            </w:r>
          </w:p>
        </w:tc>
        <w:tc>
          <w:tcPr>
            <w:tcW w:w="3090" w:type="dxa"/>
          </w:tcPr>
          <w:p w:rsidR="00AA5D77" w:rsidRPr="006C40C1" w:rsidRDefault="00AA5D77">
            <w:pPr>
              <w:pStyle w:val="Normaltindrag"/>
            </w:pPr>
            <w:r w:rsidRPr="006C40C1">
              <w:t xml:space="preserve">1. </w:t>
            </w:r>
            <w:r w:rsidRPr="006C40C1">
              <w:rPr>
                <w:i/>
              </w:rPr>
              <w:t>5</w:t>
            </w:r>
            <w:r w:rsidRPr="006C40C1">
              <w:t xml:space="preserve"> liter spritdryck,</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2. 6 liter starkvin,</w:t>
            </w:r>
          </w:p>
        </w:tc>
        <w:tc>
          <w:tcPr>
            <w:tcW w:w="3090" w:type="dxa"/>
          </w:tcPr>
          <w:p w:rsidR="00AA5D77" w:rsidRPr="006C40C1" w:rsidRDefault="00AA5D77">
            <w:pPr>
              <w:pStyle w:val="Normaltindrag"/>
            </w:pPr>
            <w:r w:rsidRPr="006C40C1">
              <w:t>2. 6 liter starkvin,</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3. </w:t>
            </w:r>
            <w:r w:rsidRPr="006C40C1">
              <w:rPr>
                <w:i/>
              </w:rPr>
              <w:t>26</w:t>
            </w:r>
            <w:r w:rsidRPr="006C40C1">
              <w:t xml:space="preserve"> liter vin,</w:t>
            </w:r>
          </w:p>
        </w:tc>
        <w:tc>
          <w:tcPr>
            <w:tcW w:w="3090" w:type="dxa"/>
          </w:tcPr>
          <w:p w:rsidR="00AA5D77" w:rsidRPr="006C40C1" w:rsidRDefault="00AA5D77">
            <w:pPr>
              <w:pStyle w:val="Normaltindrag"/>
            </w:pPr>
            <w:r w:rsidRPr="006C40C1">
              <w:t xml:space="preserve">3. </w:t>
            </w:r>
            <w:r w:rsidRPr="006C40C1">
              <w:rPr>
                <w:i/>
              </w:rPr>
              <w:t>52</w:t>
            </w:r>
            <w:r w:rsidRPr="006C40C1">
              <w:t xml:space="preserve"> liter vin,</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4. </w:t>
            </w:r>
            <w:r w:rsidRPr="006C40C1">
              <w:rPr>
                <w:i/>
              </w:rPr>
              <w:t>32</w:t>
            </w:r>
            <w:r w:rsidRPr="006C40C1">
              <w:t xml:space="preserve"> liter starköl,</w:t>
            </w:r>
          </w:p>
        </w:tc>
        <w:tc>
          <w:tcPr>
            <w:tcW w:w="3090" w:type="dxa"/>
          </w:tcPr>
          <w:p w:rsidR="00AA5D77" w:rsidRPr="006C40C1" w:rsidRDefault="00AA5D77">
            <w:pPr>
              <w:pStyle w:val="Normaltindrag"/>
            </w:pPr>
            <w:r w:rsidRPr="006C40C1">
              <w:t xml:space="preserve">4. </w:t>
            </w:r>
            <w:r w:rsidRPr="006C40C1">
              <w:rPr>
                <w:i/>
              </w:rPr>
              <w:t>64</w:t>
            </w:r>
            <w:r w:rsidRPr="006C40C1">
              <w:t xml:space="preserve"> liter starköl,</w:t>
            </w:r>
          </w:p>
        </w:tc>
      </w:tr>
      <w:tr w:rsidR="00000000" w:rsidRPr="006C40C1">
        <w:tblPrEx>
          <w:tblCellMar>
            <w:top w:w="0" w:type="dxa"/>
            <w:bottom w:w="0" w:type="dxa"/>
          </w:tblCellMar>
        </w:tblPrEx>
        <w:tc>
          <w:tcPr>
            <w:tcW w:w="6180" w:type="dxa"/>
            <w:gridSpan w:val="2"/>
          </w:tcPr>
          <w:p w:rsidR="00AA5D77" w:rsidRPr="006C40C1" w:rsidRDefault="00AA5D77">
            <w:pPr>
              <w:pStyle w:val="Normaltindrag"/>
            </w:pPr>
            <w:r w:rsidRPr="006C40C1">
              <w:t>5. 400 cigaretter, 200 cigariller, 100 cigarrer eller 550 gram röktobak.</w:t>
            </w:r>
          </w:p>
        </w:tc>
      </w:tr>
    </w:tbl>
    <w:p w:rsidR="00AA5D77" w:rsidRPr="006C40C1" w:rsidRDefault="00AA5D77">
      <w:pPr>
        <w:pStyle w:val="Normaltindrag"/>
      </w:pPr>
      <w:r w:rsidRPr="006C40C1">
        <w:t>Bestämmelser om hinder för den som inte fyllt 20 år att föra in sprit</w:t>
      </w:r>
      <w:r w:rsidRPr="006C40C1">
        <w:softHyphen/>
        <w:t>drycker, vin och starköl i landet finns i 4 kap. 2 § alkohollagen (1994:1738). En bestämmelse om förbud för den som inte fyllt 18 år att föra in tobaksvaror i landet finns i 13 § tobakslagen (1993:581).</w:t>
      </w:r>
    </w:p>
    <w:p w:rsidR="00AA5D77" w:rsidRPr="006C40C1" w:rsidRDefault="00AA5D77">
      <w:r w:rsidRPr="006C40C1">
        <w:rPr>
          <w:u w:val="single"/>
        </w:rPr>
        <w:t>                              </w:t>
      </w:r>
    </w:p>
    <w:p w:rsidR="00AA5D77" w:rsidRPr="006C40C1" w:rsidRDefault="00AA5D77">
      <w:pPr>
        <w:pStyle w:val="Normaltindrag"/>
      </w:pPr>
      <w:r w:rsidRPr="006C40C1">
        <w:t>Denna lag träder i kraft den 1 januari 2003. Äldre föreskrifter gäller fort</w:t>
      </w:r>
      <w:r w:rsidRPr="006C40C1">
        <w:softHyphen/>
        <w:t>farande för varor som har förts in till Sverige före ikraftträdandet.</w:t>
      </w:r>
    </w:p>
    <w:p w:rsidR="00AA5D77" w:rsidRPr="006C40C1" w:rsidRDefault="00AA5D77">
      <w:pPr>
        <w:pStyle w:val="Rubrik2"/>
      </w:pPr>
      <w:r w:rsidRPr="006C40C1">
        <w:br w:type="page"/>
      </w:r>
      <w:bookmarkStart w:id="1111" w:name="_Toc21512977"/>
      <w:bookmarkStart w:id="1112" w:name="_Toc21513354"/>
      <w:bookmarkStart w:id="1113" w:name="_Toc26191722"/>
      <w:r w:rsidRPr="006C40C1">
        <w:t>Förslag till lag om ändring i lagen (1994:1551) om frihet från skatt vid i</w:t>
      </w:r>
      <w:r w:rsidRPr="006C40C1">
        <w:t>m</w:t>
      </w:r>
      <w:r w:rsidRPr="006C40C1">
        <w:t>port, m.m.</w:t>
      </w:r>
      <w:bookmarkEnd w:id="1111"/>
      <w:bookmarkEnd w:id="1112"/>
      <w:bookmarkEnd w:id="1113"/>
    </w:p>
    <w:p w:rsidR="00AA5D77" w:rsidRPr="006C40C1" w:rsidRDefault="00AA5D77">
      <w:pPr>
        <w:pStyle w:val="Normaltindrag"/>
      </w:pPr>
      <w:r w:rsidRPr="006C40C1">
        <w:t>Härigenom föreskrivs att 3 kap. 6 § lagen (1994:1551) om frihet från skatt vid import, m.m. skall ha följande lydelse.</w:t>
      </w:r>
    </w:p>
    <w:p w:rsidR="00AA5D77" w:rsidRPr="006C40C1" w:rsidRDefault="00AA5D77">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Rubrik2"/>
              <w:rPr>
                <w:sz w:val="19"/>
              </w:rPr>
            </w:pPr>
            <w:r w:rsidRPr="006C40C1">
              <w:rPr>
                <w:sz w:val="19"/>
              </w:rPr>
              <w:t>Nuvarande lydelse</w:t>
            </w:r>
          </w:p>
        </w:tc>
        <w:tc>
          <w:tcPr>
            <w:tcW w:w="3090" w:type="dxa"/>
          </w:tcPr>
          <w:p w:rsidR="00AA5D77" w:rsidRPr="006C40C1" w:rsidRDefault="00AA5D77">
            <w:pPr>
              <w:pStyle w:val="LagRubrik2"/>
              <w:rPr>
                <w:sz w:val="19"/>
              </w:rPr>
            </w:pPr>
            <w:r w:rsidRPr="006C40C1">
              <w:rPr>
                <w:sz w:val="19"/>
              </w:rPr>
              <w:t>Föreslagen lydelse</w:t>
            </w:r>
          </w:p>
        </w:tc>
      </w:tr>
    </w:tbl>
    <w:p w:rsidR="00AA5D77" w:rsidRPr="006C40C1" w:rsidRDefault="00AA5D77">
      <w:pPr>
        <w:pStyle w:val="Normaltindrag"/>
      </w:pPr>
    </w:p>
    <w:p w:rsidR="00AA5D77" w:rsidRPr="006C40C1" w:rsidRDefault="00AA5D77">
      <w:pPr>
        <w:jc w:val="center"/>
      </w:pPr>
      <w:r w:rsidRPr="006C40C1">
        <w:rPr>
          <w:b/>
        </w:rPr>
        <w:t>3 kap</w:t>
      </w:r>
    </w:p>
    <w:p w:rsidR="00AA5D77" w:rsidRPr="006C40C1" w:rsidRDefault="00AA5D77">
      <w:pPr>
        <w:jc w:val="center"/>
      </w:pPr>
      <w:r w:rsidRPr="006C40C1">
        <w:rPr>
          <w:b/>
        </w:rPr>
        <w:t>6 §</w:t>
      </w:r>
      <w:r w:rsidRPr="006C40C1">
        <w:rPr>
          <w:rStyle w:val="Fotnotsreferens"/>
        </w:rPr>
        <w:footnoteReference w:id="19"/>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Frihet från skatt enligt 5 § får medges för högst </w:t>
            </w:r>
            <w:r w:rsidRPr="006C40C1">
              <w:rPr>
                <w:i/>
              </w:rPr>
              <w:t>32</w:t>
            </w:r>
            <w:r w:rsidRPr="006C40C1">
              <w:t xml:space="preserve"> liter starköl.</w:t>
            </w:r>
          </w:p>
        </w:tc>
        <w:tc>
          <w:tcPr>
            <w:tcW w:w="3090" w:type="dxa"/>
          </w:tcPr>
          <w:p w:rsidR="00AA5D77" w:rsidRPr="006C40C1" w:rsidRDefault="00AA5D77">
            <w:pPr>
              <w:pStyle w:val="Normaltindrag"/>
            </w:pPr>
            <w:r w:rsidRPr="006C40C1">
              <w:t xml:space="preserve">Frihet från skatt enligt 5 § får medges för högst </w:t>
            </w:r>
            <w:r w:rsidRPr="006C40C1">
              <w:rPr>
                <w:i/>
              </w:rPr>
              <w:t>64</w:t>
            </w:r>
            <w:r w:rsidRPr="006C40C1">
              <w:t xml:space="preserve"> liter starköl.</w:t>
            </w:r>
          </w:p>
        </w:tc>
      </w:tr>
    </w:tbl>
    <w:p w:rsidR="00AA5D77" w:rsidRPr="006C40C1" w:rsidRDefault="00AA5D77">
      <w:r w:rsidRPr="006C40C1">
        <w:rPr>
          <w:u w:val="single"/>
        </w:rPr>
        <w:t>                              </w:t>
      </w:r>
    </w:p>
    <w:p w:rsidR="00AA5D77" w:rsidRPr="006C40C1" w:rsidRDefault="00AA5D77">
      <w:r w:rsidRPr="006C40C1">
        <w:t>Denna lag träder i kraft den 1 januari 2003. Äldre föreskrifter gäller fort</w:t>
      </w:r>
      <w:r w:rsidRPr="006C40C1">
        <w:softHyphen/>
        <w:t>farande för varor som dessförinnan anmälts eller borde ha anmälts till tullfö</w:t>
      </w:r>
      <w:r w:rsidRPr="006C40C1">
        <w:t>r</w:t>
      </w:r>
      <w:r w:rsidRPr="006C40C1">
        <w:t>farandet övergång till fri omsättning.</w:t>
      </w:r>
    </w:p>
    <w:p w:rsidR="00AA5D77" w:rsidRPr="006C40C1" w:rsidRDefault="00AA5D77">
      <w:pPr>
        <w:pStyle w:val="Bilaga"/>
      </w:pPr>
    </w:p>
    <w:p w:rsidR="00AA5D77" w:rsidRPr="006C40C1" w:rsidRDefault="00AA5D77"/>
    <w:p w:rsidR="00AA5D77" w:rsidRPr="006C40C1" w:rsidRDefault="00AA5D77"/>
    <w:p w:rsidR="00AA5D77" w:rsidRPr="006C40C1" w:rsidRDefault="00AA5D77">
      <w:pPr>
        <w:pStyle w:val="Normaltindrag"/>
        <w:sectPr w:rsidR="00000000" w:rsidRPr="006C40C1">
          <w:headerReference w:type="even" r:id="rId183"/>
          <w:headerReference w:type="default" r:id="rId184"/>
          <w:footerReference w:type="even" r:id="rId185"/>
          <w:footerReference w:type="default" r:id="rId186"/>
          <w:headerReference w:type="first" r:id="rId187"/>
          <w:footerReference w:type="first" r:id="rId188"/>
          <w:pgSz w:w="11906" w:h="16838" w:code="9"/>
          <w:pgMar w:top="907" w:right="4649" w:bottom="4508" w:left="1304" w:header="340" w:footer="227" w:gutter="0"/>
          <w:cols w:space="720"/>
          <w:titlePg/>
        </w:sectPr>
      </w:pPr>
    </w:p>
    <w:p w:rsidR="00AA5D77" w:rsidRPr="006C40C1" w:rsidRDefault="00AA5D77">
      <w:pPr>
        <w:pStyle w:val="Rubrik1"/>
        <w:spacing w:after="120"/>
        <w:rPr>
          <w:noProof w:val="0"/>
        </w:rPr>
      </w:pPr>
      <w:bookmarkStart w:id="1114" w:name="_Toc26191723"/>
      <w:r w:rsidRPr="006C40C1">
        <w:rPr>
          <w:noProof w:val="0"/>
        </w:rPr>
        <w:t>Utskottets lagförslag</w:t>
      </w:r>
      <w:bookmarkEnd w:id="1114"/>
    </w:p>
    <w:p w:rsidR="00AA5D77" w:rsidRPr="006C40C1" w:rsidRDefault="00AA5D77">
      <w:pPr>
        <w:pStyle w:val="Rubrik2"/>
      </w:pPr>
      <w:bookmarkStart w:id="1115" w:name="_Toc25551131"/>
      <w:bookmarkStart w:id="1116" w:name="_Toc26191724"/>
      <w:r w:rsidRPr="006C40C1">
        <w:t>Utskottets förslag om ändring i regeringens</w:t>
      </w:r>
      <w:r w:rsidRPr="006C40C1">
        <w:rPr>
          <w:i/>
        </w:rPr>
        <w:t xml:space="preserve"> </w:t>
      </w:r>
      <w:bookmarkStart w:id="1117" w:name="_Toc25551132"/>
      <w:bookmarkEnd w:id="1115"/>
      <w:r w:rsidRPr="006C40C1">
        <w:t>förslag om ändring i inkomstskattelagen (1999:1229)</w:t>
      </w:r>
      <w:bookmarkEnd w:id="1116"/>
      <w:bookmarkEnd w:id="1117"/>
    </w:p>
    <w:p w:rsidR="00AA5D77" w:rsidRPr="006C40C1" w:rsidRDefault="00AA5D77">
      <w:r w:rsidRPr="006C40C1">
        <w:t>Finansutskottet föreslår att regeringens förslag till lag om ändring i inkoms</w:t>
      </w:r>
      <w:r w:rsidRPr="006C40C1">
        <w:t>t</w:t>
      </w:r>
      <w:r w:rsidRPr="006C40C1">
        <w:t xml:space="preserve">skattelagen (1999:1229) antas med </w:t>
      </w:r>
    </w:p>
    <w:p w:rsidR="00AA5D77" w:rsidRPr="006C40C1" w:rsidRDefault="00AA5D77">
      <w:pPr>
        <w:pStyle w:val="Normaltindrag"/>
      </w:pPr>
      <w:r w:rsidRPr="006C40C1">
        <w:rPr>
          <w:i/>
        </w:rPr>
        <w:t>dels</w:t>
      </w:r>
      <w:r w:rsidRPr="006C40C1">
        <w:t xml:space="preserve"> den ändringen att 63 kap. 3 § erhåller följande som utskottets förslag betecknade lydelse,</w:t>
      </w:r>
    </w:p>
    <w:p w:rsidR="00AA5D77" w:rsidRPr="006C40C1" w:rsidRDefault="00AA5D77">
      <w:pPr>
        <w:pStyle w:val="Normaltindrag"/>
      </w:pPr>
      <w:r w:rsidRPr="006C40C1">
        <w:rPr>
          <w:i/>
        </w:rPr>
        <w:t>dels</w:t>
      </w:r>
      <w:r w:rsidRPr="006C40C1">
        <w:t xml:space="preserve"> den ändringen att punkt 3 i övergångsbestämmelserna till lagen (2001: 1175) om ändring i nämnda lag ska ha följande som utskottets förslag betec</w:t>
      </w:r>
      <w:r w:rsidRPr="006C40C1">
        <w:t>k</w:t>
      </w:r>
      <w:r w:rsidRPr="006C40C1">
        <w:t>nade lydelse,</w:t>
      </w:r>
    </w:p>
    <w:p w:rsidR="00AA5D77" w:rsidRPr="006C40C1" w:rsidRDefault="00AA5D77">
      <w:pPr>
        <w:pStyle w:val="Normaltindrag"/>
      </w:pPr>
      <w:r w:rsidRPr="006C40C1">
        <w:rPr>
          <w:i/>
        </w:rPr>
        <w:t>dels</w:t>
      </w:r>
      <w:r w:rsidRPr="006C40C1">
        <w:t xml:space="preserve"> den ändringen att ikraftträdandebestämmelsen erhåller följande som utskottets förslag betecknade lydelse.</w:t>
      </w:r>
    </w:p>
    <w:p w:rsidR="00AA5D77" w:rsidRPr="006C40C1" w:rsidRDefault="00AA5D77">
      <w:pPr>
        <w:pStyle w:val="Normaltindrag"/>
      </w:pPr>
    </w:p>
    <w:p w:rsidR="00AA5D77" w:rsidRPr="006C40C1" w:rsidRDefault="00AA5D77">
      <w:pPr>
        <w:jc w:val="center"/>
      </w:pPr>
      <w:r w:rsidRPr="006C40C1">
        <w:rPr>
          <w:b/>
        </w:rPr>
        <w:t>63 kap.</w:t>
      </w:r>
    </w:p>
    <w:p w:rsidR="00AA5D77" w:rsidRPr="006C40C1" w:rsidRDefault="00AA5D77">
      <w:pPr>
        <w:jc w:val="center"/>
      </w:pPr>
      <w:r w:rsidRPr="006C40C1">
        <w:rPr>
          <w:b/>
        </w:rPr>
        <w:t>3 §</w:t>
      </w:r>
      <w:r w:rsidRPr="006C40C1">
        <w:rPr>
          <w:rStyle w:val="Fotnotsreferens"/>
          <w:b/>
        </w:rPr>
        <w:footnoteReference w:id="20"/>
      </w: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Regeringens förslag</w:t>
            </w:r>
          </w:p>
        </w:tc>
        <w:tc>
          <w:tcPr>
            <w:tcW w:w="3090" w:type="dxa"/>
          </w:tcPr>
          <w:p w:rsidR="00AA5D77" w:rsidRPr="006C40C1" w:rsidRDefault="00AA5D77">
            <w:pPr>
              <w:pStyle w:val="LagtextRubrik"/>
            </w:pPr>
          </w:p>
        </w:tc>
      </w:tr>
    </w:tbl>
    <w:p w:rsidR="00AA5D77" w:rsidRPr="006C40C1" w:rsidRDefault="00AA5D77">
      <w:pPr>
        <w:pStyle w:val="Normaltindrag"/>
      </w:pPr>
      <w:r w:rsidRPr="006C40C1">
        <w:t>För dem som är obegränsat skattskyldiga under hela beskattningsåret up</w:t>
      </w:r>
      <w:r w:rsidRPr="006C40C1">
        <w:t>p</w:t>
      </w:r>
      <w:r w:rsidRPr="006C40C1">
        <w:softHyphen/>
        <w:t>går grundavdraget till följande belopp.</w:t>
      </w: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rPr>
                <w:i/>
                <w:u w:val="single"/>
              </w:rPr>
              <w:t>Taxerad förvärvsinkomst</w:t>
            </w:r>
          </w:p>
        </w:tc>
        <w:tc>
          <w:tcPr>
            <w:tcW w:w="3090" w:type="dxa"/>
          </w:tcPr>
          <w:p w:rsidR="00AA5D77" w:rsidRPr="006C40C1" w:rsidRDefault="00AA5D77">
            <w:pPr>
              <w:pStyle w:val="Normaltindrag"/>
              <w:rPr>
                <w:u w:val="single"/>
              </w:rPr>
            </w:pPr>
            <w:r w:rsidRPr="006C40C1">
              <w:rPr>
                <w:i/>
                <w:u w:val="single"/>
              </w:rPr>
              <w:t>Grundavdrag</w:t>
            </w:r>
          </w:p>
        </w:tc>
      </w:tr>
      <w:tr w:rsidR="00000000" w:rsidRPr="006C40C1">
        <w:tblPrEx>
          <w:tblCellMar>
            <w:top w:w="0" w:type="dxa"/>
            <w:bottom w:w="0" w:type="dxa"/>
          </w:tblCellMar>
        </w:tblPrEx>
        <w:tc>
          <w:tcPr>
            <w:tcW w:w="3090" w:type="dxa"/>
          </w:tcPr>
          <w:p w:rsidR="00AA5D77" w:rsidRPr="006C40C1" w:rsidRDefault="00AA5D77">
            <w:pPr>
              <w:pStyle w:val="Brdtextmedindrag"/>
              <w:rPr>
                <w:i/>
              </w:rPr>
            </w:pPr>
          </w:p>
        </w:tc>
        <w:tc>
          <w:tcPr>
            <w:tcW w:w="3090" w:type="dxa"/>
          </w:tcPr>
          <w:p w:rsidR="00AA5D77" w:rsidRPr="006C40C1" w:rsidRDefault="00AA5D77">
            <w:pPr>
              <w:pStyle w:val="Brdtextmedindrag"/>
              <w:rPr>
                <w:i/>
              </w:rPr>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inte </w:t>
            </w:r>
            <w:r w:rsidRPr="006C40C1">
              <w:rPr>
                <w:i/>
              </w:rPr>
              <w:t>1,38</w:t>
            </w:r>
            <w:r w:rsidRPr="006C40C1">
              <w:t xml:space="preserve"> prisbasbelopp</w:t>
            </w:r>
          </w:p>
        </w:tc>
        <w:tc>
          <w:tcPr>
            <w:tcW w:w="3090" w:type="dxa"/>
          </w:tcPr>
          <w:p w:rsidR="00AA5D77" w:rsidRPr="006C40C1" w:rsidRDefault="00AA5D77">
            <w:pPr>
              <w:pStyle w:val="Normaltindrag"/>
            </w:pPr>
            <w:r w:rsidRPr="006C40C1">
              <w:rPr>
                <w:i/>
              </w:rPr>
              <w:t>0,403</w:t>
            </w:r>
            <w:r w:rsidRPr="006C40C1">
              <w:t xml:space="preserve"> prisbasbelopp</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w:t>
            </w:r>
            <w:r w:rsidRPr="006C40C1">
              <w:rPr>
                <w:i/>
              </w:rPr>
              <w:t>1,38</w:t>
            </w:r>
            <w:r w:rsidRPr="006C40C1">
              <w:t xml:space="preserve"> men inte </w:t>
            </w:r>
            <w:r w:rsidRPr="006C40C1">
              <w:rPr>
                <w:i/>
              </w:rPr>
              <w:t>2,95</w:t>
            </w:r>
            <w:r w:rsidRPr="006C40C1">
              <w:t xml:space="preserve"> pri</w:t>
            </w:r>
            <w:r w:rsidRPr="006C40C1">
              <w:t>s</w:t>
            </w:r>
            <w:r w:rsidRPr="006C40C1">
              <w:softHyphen/>
              <w:t>basbelopp</w:t>
            </w:r>
          </w:p>
        </w:tc>
        <w:tc>
          <w:tcPr>
            <w:tcW w:w="3090" w:type="dxa"/>
          </w:tcPr>
          <w:p w:rsidR="00AA5D77" w:rsidRPr="006C40C1" w:rsidRDefault="00AA5D77">
            <w:pPr>
              <w:pStyle w:val="Normaltindrag"/>
            </w:pPr>
            <w:r w:rsidRPr="006C40C1">
              <w:rPr>
                <w:i/>
              </w:rPr>
              <w:t>0,403</w:t>
            </w:r>
            <w:r w:rsidRPr="006C40C1">
              <w:t xml:space="preserve"> prisbasbelopp ökat med </w:t>
            </w:r>
            <w:r w:rsidRPr="006C40C1">
              <w:rPr>
                <w:i/>
              </w:rPr>
              <w:t>17 </w:t>
            </w:r>
            <w:r w:rsidRPr="006C40C1">
              <w:t>procent av det belopp med vilket den taxerade förvärvsinkomsten över</w:t>
            </w:r>
            <w:r w:rsidRPr="006C40C1">
              <w:softHyphen/>
              <w:t xml:space="preserve">stiger </w:t>
            </w:r>
            <w:r w:rsidRPr="006C40C1">
              <w:rPr>
                <w:i/>
              </w:rPr>
              <w:t>1,38</w:t>
            </w:r>
            <w:r w:rsidRPr="006C40C1">
              <w:t xml:space="preserve"> pri</w:t>
            </w:r>
            <w:r w:rsidRPr="006C40C1">
              <w:t>s</w:t>
            </w:r>
            <w:r w:rsidRPr="006C40C1">
              <w:t>basbelopp</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w:t>
            </w:r>
            <w:r w:rsidRPr="006C40C1">
              <w:rPr>
                <w:i/>
              </w:rPr>
              <w:t>2,95</w:t>
            </w:r>
            <w:r w:rsidRPr="006C40C1">
              <w:t xml:space="preserve"> men inte 3,10 pris</w:t>
            </w:r>
            <w:r w:rsidRPr="006C40C1">
              <w:softHyphen/>
              <w:t>basbelopp</w:t>
            </w:r>
          </w:p>
        </w:tc>
        <w:tc>
          <w:tcPr>
            <w:tcW w:w="3090" w:type="dxa"/>
          </w:tcPr>
          <w:p w:rsidR="00AA5D77" w:rsidRPr="006C40C1" w:rsidRDefault="00AA5D77">
            <w:pPr>
              <w:pStyle w:val="Normaltindrag"/>
            </w:pPr>
            <w:r w:rsidRPr="006C40C1">
              <w:t>0,67 pri</w:t>
            </w:r>
            <w:r w:rsidRPr="006C40C1">
              <w:t>s</w:t>
            </w:r>
            <w:r w:rsidRPr="006C40C1">
              <w:t>basbelopp</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överstiger 3,10 men inte 6,87 pris</w:t>
            </w:r>
            <w:r w:rsidRPr="006C40C1">
              <w:softHyphen/>
              <w:t>basbelopp</w:t>
            </w:r>
          </w:p>
        </w:tc>
        <w:tc>
          <w:tcPr>
            <w:tcW w:w="3090" w:type="dxa"/>
          </w:tcPr>
          <w:p w:rsidR="00AA5D77" w:rsidRPr="006C40C1" w:rsidRDefault="00AA5D77">
            <w:pPr>
              <w:pStyle w:val="Normaltindrag"/>
            </w:pPr>
            <w:r w:rsidRPr="006C40C1">
              <w:t>0,67 prisbasbelopp minskat med 10 procent av det belopp med vilket den taxerade förvärvsinkomsten överstiger 3,10 prisba</w:t>
            </w:r>
            <w:r w:rsidRPr="006C40C1">
              <w:t>s</w:t>
            </w:r>
            <w:r w:rsidRPr="006C40C1">
              <w:t>belopp</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överstiger 6,87 pri</w:t>
            </w:r>
            <w:r w:rsidRPr="006C40C1">
              <w:t>s</w:t>
            </w:r>
            <w:r w:rsidRPr="006C40C1">
              <w:t>basbelopp</w:t>
            </w:r>
          </w:p>
        </w:tc>
        <w:tc>
          <w:tcPr>
            <w:tcW w:w="3090" w:type="dxa"/>
          </w:tcPr>
          <w:p w:rsidR="00AA5D77" w:rsidRPr="006C40C1" w:rsidRDefault="00AA5D77">
            <w:pPr>
              <w:pStyle w:val="Normaltindrag"/>
            </w:pPr>
            <w:r w:rsidRPr="006C40C1">
              <w:t xml:space="preserve">0,293 prisbasbelopp </w:t>
            </w:r>
          </w:p>
        </w:tc>
      </w:tr>
    </w:tbl>
    <w:p w:rsidR="00AA5D77" w:rsidRPr="006C40C1" w:rsidRDefault="00AA5D77">
      <w:pPr>
        <w:pStyle w:val="Preformatted"/>
        <w:tabs>
          <w:tab w:val="clear" w:pos="9590"/>
        </w:tabs>
      </w:pPr>
    </w:p>
    <w:p w:rsidR="00AA5D77" w:rsidRPr="006C40C1" w:rsidRDefault="00AA5D77">
      <w:pPr>
        <w:pStyle w:val="Preformatted"/>
        <w:tabs>
          <w:tab w:val="clear" w:pos="9590"/>
        </w:tabs>
      </w:pPr>
    </w:p>
    <w:p w:rsidR="00AA5D77" w:rsidRPr="006C40C1" w:rsidRDefault="00AA5D77">
      <w:pPr>
        <w:pStyle w:val="Preformatted"/>
        <w:tabs>
          <w:tab w:val="clear" w:pos="9590"/>
        </w:tabs>
      </w:pPr>
      <w:r w:rsidRPr="006C40C1">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Utskottets förslag</w:t>
            </w:r>
          </w:p>
        </w:tc>
        <w:tc>
          <w:tcPr>
            <w:tcW w:w="3090" w:type="dxa"/>
          </w:tcPr>
          <w:p w:rsidR="00AA5D77" w:rsidRPr="006C40C1" w:rsidRDefault="00AA5D77">
            <w:pPr>
              <w:pStyle w:val="LagtextRubrik"/>
            </w:pPr>
          </w:p>
        </w:tc>
      </w:tr>
    </w:tbl>
    <w:p w:rsidR="00AA5D77" w:rsidRPr="006C40C1" w:rsidRDefault="00AA5D77">
      <w:pPr>
        <w:pStyle w:val="Normaltindrag"/>
      </w:pPr>
      <w:r w:rsidRPr="006C40C1">
        <w:t>För dem som är obegränsat skattskyldiga under hela beskattningsåret up</w:t>
      </w:r>
      <w:r w:rsidRPr="006C40C1">
        <w:t>p</w:t>
      </w:r>
      <w:r w:rsidRPr="006C40C1">
        <w:softHyphen/>
        <w:t>går grundavdraget till följande belopp.</w:t>
      </w: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rPr>
                <w:i/>
                <w:u w:val="single"/>
              </w:rPr>
              <w:t>Taxerad förvärvsinkomst</w:t>
            </w:r>
          </w:p>
        </w:tc>
        <w:tc>
          <w:tcPr>
            <w:tcW w:w="3090" w:type="dxa"/>
          </w:tcPr>
          <w:p w:rsidR="00AA5D77" w:rsidRPr="006C40C1" w:rsidRDefault="00AA5D77">
            <w:pPr>
              <w:pStyle w:val="Normaltindrag"/>
              <w:rPr>
                <w:u w:val="single"/>
              </w:rPr>
            </w:pPr>
            <w:r w:rsidRPr="006C40C1">
              <w:rPr>
                <w:i/>
                <w:u w:val="single"/>
              </w:rPr>
              <w:t>Grundavdrag</w:t>
            </w:r>
          </w:p>
        </w:tc>
      </w:tr>
      <w:tr w:rsidR="00000000" w:rsidRPr="006C40C1">
        <w:tblPrEx>
          <w:tblCellMar>
            <w:top w:w="0" w:type="dxa"/>
            <w:bottom w:w="0" w:type="dxa"/>
          </w:tblCellMar>
        </w:tblPrEx>
        <w:tc>
          <w:tcPr>
            <w:tcW w:w="3090" w:type="dxa"/>
          </w:tcPr>
          <w:p w:rsidR="00AA5D77" w:rsidRPr="006C40C1" w:rsidRDefault="00AA5D77">
            <w:pPr>
              <w:pStyle w:val="Brdtextmedindrag"/>
              <w:rPr>
                <w:i/>
              </w:rPr>
            </w:pPr>
          </w:p>
        </w:tc>
        <w:tc>
          <w:tcPr>
            <w:tcW w:w="3090" w:type="dxa"/>
          </w:tcPr>
          <w:p w:rsidR="00AA5D77" w:rsidRPr="006C40C1" w:rsidRDefault="00AA5D77">
            <w:pPr>
              <w:pStyle w:val="Brdtextmedindrag"/>
              <w:rPr>
                <w:i/>
              </w:rPr>
            </w:pP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inte </w:t>
            </w:r>
            <w:r w:rsidRPr="006C40C1">
              <w:rPr>
                <w:i/>
              </w:rPr>
              <w:t>1,49</w:t>
            </w:r>
            <w:r w:rsidRPr="006C40C1">
              <w:t xml:space="preserve"> prisbasb</w:t>
            </w:r>
            <w:r w:rsidRPr="006C40C1">
              <w:t>e</w:t>
            </w:r>
            <w:r w:rsidRPr="006C40C1">
              <w:t>lopp</w:t>
            </w:r>
          </w:p>
        </w:tc>
        <w:tc>
          <w:tcPr>
            <w:tcW w:w="3090" w:type="dxa"/>
          </w:tcPr>
          <w:p w:rsidR="00AA5D77" w:rsidRPr="006C40C1" w:rsidRDefault="00AA5D77">
            <w:pPr>
              <w:pStyle w:val="Normaltindrag"/>
            </w:pPr>
            <w:r w:rsidRPr="006C40C1">
              <w:rPr>
                <w:i/>
              </w:rPr>
              <w:t>0,423</w:t>
            </w:r>
            <w:r w:rsidRPr="006C40C1">
              <w:t xml:space="preserve"> prisbasbelopp</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w:t>
            </w:r>
            <w:r w:rsidRPr="006C40C1">
              <w:rPr>
                <w:i/>
              </w:rPr>
              <w:t>1,49</w:t>
            </w:r>
            <w:r w:rsidRPr="006C40C1">
              <w:t xml:space="preserve"> men inte </w:t>
            </w:r>
            <w:r w:rsidRPr="006C40C1">
              <w:rPr>
                <w:i/>
              </w:rPr>
              <w:t>2,72</w:t>
            </w:r>
            <w:r w:rsidRPr="006C40C1">
              <w:t xml:space="preserve"> pri</w:t>
            </w:r>
            <w:r w:rsidRPr="006C40C1">
              <w:t>s</w:t>
            </w:r>
            <w:r w:rsidRPr="006C40C1">
              <w:softHyphen/>
              <w:t>basbelopp</w:t>
            </w:r>
          </w:p>
        </w:tc>
        <w:tc>
          <w:tcPr>
            <w:tcW w:w="3090" w:type="dxa"/>
          </w:tcPr>
          <w:p w:rsidR="00AA5D77" w:rsidRPr="006C40C1" w:rsidRDefault="00AA5D77">
            <w:pPr>
              <w:pStyle w:val="Normaltindrag"/>
            </w:pPr>
            <w:r w:rsidRPr="006C40C1">
              <w:rPr>
                <w:i/>
              </w:rPr>
              <w:t>0,423</w:t>
            </w:r>
            <w:r w:rsidRPr="006C40C1">
              <w:t xml:space="preserve"> prisbasbelopp ökat med </w:t>
            </w:r>
            <w:r w:rsidRPr="006C40C1">
              <w:rPr>
                <w:i/>
              </w:rPr>
              <w:t>20 </w:t>
            </w:r>
            <w:r w:rsidRPr="006C40C1">
              <w:t xml:space="preserve">procent av det belopp med vilket den taxerade förvärvsinkomsten överstiger </w:t>
            </w:r>
            <w:r w:rsidRPr="006C40C1">
              <w:rPr>
                <w:i/>
              </w:rPr>
              <w:t>1,49</w:t>
            </w:r>
            <w:r w:rsidRPr="006C40C1">
              <w:t xml:space="preserve"> pri</w:t>
            </w:r>
            <w:r w:rsidRPr="006C40C1">
              <w:t>s</w:t>
            </w:r>
            <w:r w:rsidRPr="006C40C1">
              <w:t>basbelopp</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överstiger </w:t>
            </w:r>
            <w:r w:rsidRPr="006C40C1">
              <w:rPr>
                <w:i/>
              </w:rPr>
              <w:t>2,72</w:t>
            </w:r>
            <w:r w:rsidRPr="006C40C1">
              <w:t xml:space="preserve"> men inte 3,10 pris</w:t>
            </w:r>
            <w:r w:rsidRPr="006C40C1">
              <w:softHyphen/>
              <w:t>basbelopp</w:t>
            </w:r>
          </w:p>
        </w:tc>
        <w:tc>
          <w:tcPr>
            <w:tcW w:w="3090" w:type="dxa"/>
          </w:tcPr>
          <w:p w:rsidR="00AA5D77" w:rsidRPr="006C40C1" w:rsidRDefault="00AA5D77">
            <w:pPr>
              <w:pStyle w:val="Normaltindrag"/>
            </w:pPr>
            <w:r w:rsidRPr="006C40C1">
              <w:t>0,67 pri</w:t>
            </w:r>
            <w:r w:rsidRPr="006C40C1">
              <w:t>s</w:t>
            </w:r>
            <w:r w:rsidRPr="006C40C1">
              <w:t>basbelopp</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överstiger 3,10 men inte 6,87 pris</w:t>
            </w:r>
            <w:r w:rsidRPr="006C40C1">
              <w:softHyphen/>
              <w:t>basbelopp</w:t>
            </w:r>
          </w:p>
        </w:tc>
        <w:tc>
          <w:tcPr>
            <w:tcW w:w="3090" w:type="dxa"/>
          </w:tcPr>
          <w:p w:rsidR="00AA5D77" w:rsidRPr="006C40C1" w:rsidRDefault="00AA5D77">
            <w:pPr>
              <w:pStyle w:val="Normaltindrag"/>
            </w:pPr>
            <w:r w:rsidRPr="006C40C1">
              <w:t>0,67 prisbasbelopp minskat med 10 procent av det belopp med vilket den taxerade förvärvsinkomsten överstiger 3,10 prisba</w:t>
            </w:r>
            <w:r w:rsidRPr="006C40C1">
              <w:t>s</w:t>
            </w:r>
            <w:r w:rsidRPr="006C40C1">
              <w:t>belopp</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överstiger 6,87 pri</w:t>
            </w:r>
            <w:r w:rsidRPr="006C40C1">
              <w:t>s</w:t>
            </w:r>
            <w:r w:rsidRPr="006C40C1">
              <w:t>basbelopp</w:t>
            </w:r>
          </w:p>
        </w:tc>
        <w:tc>
          <w:tcPr>
            <w:tcW w:w="3090" w:type="dxa"/>
          </w:tcPr>
          <w:p w:rsidR="00AA5D77" w:rsidRPr="006C40C1" w:rsidRDefault="00AA5D77">
            <w:pPr>
              <w:pStyle w:val="Normaltindrag"/>
            </w:pPr>
            <w:r w:rsidRPr="006C40C1">
              <w:t xml:space="preserve">0,293 prisbasbelopp </w:t>
            </w:r>
          </w:p>
        </w:tc>
      </w:tr>
    </w:tbl>
    <w:p w:rsidR="00AA5D77" w:rsidRPr="006C40C1" w:rsidRDefault="00AA5D77">
      <w:pPr>
        <w:pStyle w:val="Preformatted"/>
        <w:tabs>
          <w:tab w:val="clear" w:pos="9590"/>
        </w:tabs>
      </w:pPr>
    </w:p>
    <w:p w:rsidR="00AA5D77" w:rsidRPr="006C40C1" w:rsidRDefault="00AA5D77">
      <w:pPr>
        <w:jc w:val="center"/>
      </w:pPr>
      <w:r w:rsidRPr="006C40C1">
        <w:rPr>
          <w:b/>
        </w:rPr>
        <w:t xml:space="preserve">Övergångsbestämmelserna </w:t>
      </w:r>
      <w:r w:rsidRPr="006C40C1">
        <w:rPr>
          <w:b/>
        </w:rPr>
        <w:br/>
        <w:t>till lagen (2001:1175) om ändring i inkomstskattelagen</w:t>
      </w:r>
    </w:p>
    <w:p w:rsidR="00AA5D77" w:rsidRPr="006C40C1" w:rsidRDefault="00AA5D77">
      <w:pPr>
        <w:pStyle w:val="Preformatted"/>
        <w:tabs>
          <w:tab w:val="clear" w:pos="9590"/>
        </w:tabs>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Nuvarande lydelse</w:t>
            </w:r>
          </w:p>
        </w:tc>
        <w:tc>
          <w:tcPr>
            <w:tcW w:w="3090" w:type="dxa"/>
          </w:tcPr>
          <w:p w:rsidR="00AA5D77" w:rsidRPr="006C40C1" w:rsidRDefault="00AA5D77">
            <w:pPr>
              <w:pStyle w:val="LagtextRubrik"/>
            </w:pPr>
            <w:r w:rsidRPr="006C40C1">
              <w:t>Utskottets förslag</w:t>
            </w:r>
          </w:p>
        </w:tc>
      </w:tr>
      <w:tr w:rsidR="00000000" w:rsidRPr="006C40C1">
        <w:tblPrEx>
          <w:tblCellMar>
            <w:top w:w="0" w:type="dxa"/>
            <w:bottom w:w="0" w:type="dxa"/>
          </w:tblCellMar>
        </w:tblPrEx>
        <w:trPr>
          <w:cantSplit/>
          <w:tblHeader/>
        </w:trPr>
        <w:tc>
          <w:tcPr>
            <w:tcW w:w="6180" w:type="dxa"/>
            <w:gridSpan w:val="2"/>
          </w:tcPr>
          <w:p w:rsidR="00AA5D77" w:rsidRPr="006C40C1" w:rsidRDefault="00AA5D77">
            <w:pPr>
              <w:pStyle w:val="LagtextIndrag"/>
            </w:pPr>
            <w:r w:rsidRPr="006C40C1">
              <w:t>1. Denna lag träder i kraft den 1 januari 2002.</w:t>
            </w:r>
          </w:p>
          <w:p w:rsidR="00AA5D77" w:rsidRPr="006C40C1" w:rsidRDefault="00AA5D77">
            <w:pPr>
              <w:pStyle w:val="LagtextIndrag"/>
            </w:pPr>
            <w:r w:rsidRPr="006C40C1">
              <w:t>2. De nya bestämmelserna tillä</w:t>
            </w:r>
            <w:r w:rsidRPr="006C40C1">
              <w:t>m</w:t>
            </w:r>
            <w:r w:rsidRPr="006C40C1">
              <w:t xml:space="preserve">pas första gången vid 2003 års taxering. </w:t>
            </w:r>
          </w:p>
        </w:tc>
      </w:tr>
      <w:tr w:rsidR="00000000" w:rsidRPr="006C40C1">
        <w:tblPrEx>
          <w:tblCellMar>
            <w:top w:w="0" w:type="dxa"/>
            <w:bottom w:w="0" w:type="dxa"/>
          </w:tblCellMar>
        </w:tblPrEx>
        <w:tc>
          <w:tcPr>
            <w:tcW w:w="3090" w:type="dxa"/>
          </w:tcPr>
          <w:p w:rsidR="00AA5D77" w:rsidRPr="006C40C1" w:rsidRDefault="00AA5D77">
            <w:pPr>
              <w:pStyle w:val="LagtextIndrag"/>
            </w:pPr>
            <w:r w:rsidRPr="006C40C1">
              <w:t xml:space="preserve">3. Bestämmelserna i 61 kap. 19 a § andra och tredje styckena tillämpas till och med </w:t>
            </w:r>
            <w:r w:rsidRPr="006C40C1">
              <w:rPr>
                <w:i/>
              </w:rPr>
              <w:t>2005</w:t>
            </w:r>
            <w:r w:rsidRPr="006C40C1">
              <w:t xml:space="preserve"> års taxering, dock skall bestämmelserna i andra stycket 2 och tredje stycket även tillämpas vid </w:t>
            </w:r>
            <w:r w:rsidRPr="006C40C1">
              <w:rPr>
                <w:i/>
              </w:rPr>
              <w:t>2006</w:t>
            </w:r>
            <w:r w:rsidRPr="006C40C1">
              <w:t xml:space="preserve"> års taxering. </w:t>
            </w:r>
          </w:p>
        </w:tc>
        <w:tc>
          <w:tcPr>
            <w:tcW w:w="3090" w:type="dxa"/>
          </w:tcPr>
          <w:p w:rsidR="00AA5D77" w:rsidRPr="006C40C1" w:rsidRDefault="00AA5D77">
            <w:pPr>
              <w:pStyle w:val="LagtextIndrag"/>
            </w:pPr>
            <w:r w:rsidRPr="006C40C1">
              <w:t xml:space="preserve">3. Bestämmelserna i 61 kap. 19 a § andra och tredje styckena tillämpas till och med </w:t>
            </w:r>
            <w:r w:rsidRPr="006C40C1">
              <w:rPr>
                <w:i/>
              </w:rPr>
              <w:t>2006</w:t>
            </w:r>
            <w:r w:rsidRPr="006C40C1">
              <w:t xml:space="preserve"> års taxering, dock skall bestämmelserna i andra stycket 2 och tredje stycket även tillämpas vid </w:t>
            </w:r>
            <w:r w:rsidRPr="006C40C1">
              <w:rPr>
                <w:i/>
              </w:rPr>
              <w:t>2007</w:t>
            </w:r>
            <w:r w:rsidRPr="006C40C1">
              <w:t xml:space="preserve"> års taxering. </w:t>
            </w:r>
          </w:p>
        </w:tc>
      </w:tr>
    </w:tbl>
    <w:p w:rsidR="00AA5D77" w:rsidRPr="006C40C1" w:rsidRDefault="00AA5D77">
      <w:pPr>
        <w:pStyle w:val="Rubrik2"/>
        <w:spacing w:before="360" w:after="240"/>
        <w:jc w:val="center"/>
        <w:rPr>
          <w:b/>
          <w:sz w:val="19"/>
        </w:rPr>
      </w:pPr>
      <w:bookmarkStart w:id="1118" w:name="_Toc26191725"/>
      <w:r w:rsidRPr="006C40C1">
        <w:rPr>
          <w:b/>
          <w:sz w:val="19"/>
        </w:rPr>
        <w:t>Ikraftträdandebestämmelsen</w:t>
      </w:r>
      <w:bookmarkEnd w:id="1118"/>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Regeringens förslag</w:t>
            </w:r>
          </w:p>
        </w:tc>
        <w:tc>
          <w:tcPr>
            <w:tcW w:w="3090" w:type="dxa"/>
          </w:tcPr>
          <w:p w:rsidR="00AA5D77" w:rsidRPr="006C40C1" w:rsidRDefault="00AA5D77">
            <w:pPr>
              <w:pStyle w:val="LagtextRubrik"/>
            </w:pPr>
            <w:r w:rsidRPr="006C40C1">
              <w:t>Utskottets förslag</w:t>
            </w:r>
          </w:p>
        </w:tc>
      </w:tr>
      <w:tr w:rsidR="00000000" w:rsidRPr="006C40C1">
        <w:tblPrEx>
          <w:tblCellMar>
            <w:top w:w="0" w:type="dxa"/>
            <w:bottom w:w="0" w:type="dxa"/>
          </w:tblCellMar>
        </w:tblPrEx>
        <w:tc>
          <w:tcPr>
            <w:tcW w:w="3090" w:type="dxa"/>
          </w:tcPr>
          <w:p w:rsidR="00AA5D77" w:rsidRPr="006C40C1" w:rsidRDefault="00AA5D77">
            <w:pPr>
              <w:pStyle w:val="LagtextIndrag"/>
            </w:pPr>
            <w:r w:rsidRPr="006C40C1">
              <w:t>Denna lag träder i kraft den 1 j</w:t>
            </w:r>
            <w:r w:rsidRPr="006C40C1">
              <w:t>a</w:t>
            </w:r>
            <w:r w:rsidRPr="006C40C1">
              <w:t>nuari 2003 och tillämpas första gången vid 2004 års taxering.</w:t>
            </w:r>
          </w:p>
        </w:tc>
        <w:tc>
          <w:tcPr>
            <w:tcW w:w="3090" w:type="dxa"/>
          </w:tcPr>
          <w:p w:rsidR="00AA5D77" w:rsidRPr="006C40C1" w:rsidRDefault="00AA5D77">
            <w:pPr>
              <w:pStyle w:val="LagtextIndrag"/>
            </w:pPr>
            <w:r w:rsidRPr="006C40C1">
              <w:rPr>
                <w:i/>
              </w:rPr>
              <w:t>1.</w:t>
            </w:r>
            <w:r w:rsidRPr="006C40C1">
              <w:t xml:space="preserve"> Denna lag träder i kraft den 1 januari 2003.</w:t>
            </w:r>
          </w:p>
          <w:p w:rsidR="00AA5D77" w:rsidRPr="006C40C1" w:rsidRDefault="00AA5D77">
            <w:pPr>
              <w:pStyle w:val="LagtextIndrag"/>
            </w:pPr>
            <w:r w:rsidRPr="006C40C1">
              <w:rPr>
                <w:i/>
              </w:rPr>
              <w:t>2</w:t>
            </w:r>
            <w:r w:rsidRPr="006C40C1">
              <w:t xml:space="preserve">. </w:t>
            </w:r>
            <w:r w:rsidRPr="006C40C1">
              <w:rPr>
                <w:i/>
              </w:rPr>
              <w:t>De nya bestämmelserna i 63 kap. 3 §</w:t>
            </w:r>
            <w:r w:rsidRPr="006C40C1">
              <w:t xml:space="preserve"> tillämpas första gången vid 2004 års taxering.</w:t>
            </w:r>
          </w:p>
        </w:tc>
      </w:tr>
    </w:tbl>
    <w:p w:rsidR="00AA5D77" w:rsidRPr="006C40C1" w:rsidRDefault="00AA5D77"/>
    <w:p w:rsidR="00AA5D77" w:rsidRPr="006C40C1" w:rsidRDefault="00AA5D77">
      <w:pPr>
        <w:pStyle w:val="Rubrik2"/>
      </w:pPr>
      <w:r w:rsidRPr="006C40C1">
        <w:br w:type="page"/>
      </w:r>
      <w:bookmarkStart w:id="1119" w:name="_Toc25551133"/>
      <w:bookmarkStart w:id="1120" w:name="_Toc26191726"/>
      <w:r w:rsidRPr="006C40C1">
        <w:t>Utskottets förslag om ändring i regeringens förslag om ändring i lagen (1994:1776) om skatt på energi</w:t>
      </w:r>
      <w:bookmarkEnd w:id="1119"/>
      <w:bookmarkEnd w:id="1120"/>
    </w:p>
    <w:p w:rsidR="00AA5D77" w:rsidRPr="006C40C1" w:rsidRDefault="00AA5D77">
      <w:r w:rsidRPr="006C40C1">
        <w:t xml:space="preserve">Finansutskottet föreslår att regeringens förslag till lag om ändring i lagen (1994:1776) om skatt på energi antas med </w:t>
      </w:r>
    </w:p>
    <w:p w:rsidR="00AA5D77" w:rsidRPr="006C40C1" w:rsidRDefault="00AA5D77">
      <w:pPr>
        <w:pStyle w:val="Normaltindrag"/>
        <w:rPr>
          <w:i/>
        </w:rPr>
      </w:pPr>
      <w:r w:rsidRPr="006C40C1">
        <w:rPr>
          <w:i/>
        </w:rPr>
        <w:t xml:space="preserve">dels </w:t>
      </w:r>
      <w:r w:rsidRPr="006C40C1">
        <w:t>den ändringen att 2 kap. 1 §, 6 a kap. 1 och 2 §§, 9 kap. 5 § och 11 kap. 3 § erhåller följande som utskottets förslag betecknade lydelse,</w:t>
      </w:r>
      <w:r w:rsidRPr="006C40C1">
        <w:rPr>
          <w:i/>
        </w:rPr>
        <w:t xml:space="preserve"> </w:t>
      </w:r>
    </w:p>
    <w:p w:rsidR="00AA5D77" w:rsidRPr="006C40C1" w:rsidRDefault="00AA5D77">
      <w:pPr>
        <w:pStyle w:val="Normaltindrag"/>
      </w:pPr>
      <w:r w:rsidRPr="006C40C1">
        <w:rPr>
          <w:i/>
        </w:rPr>
        <w:t xml:space="preserve">dels </w:t>
      </w:r>
      <w:r w:rsidRPr="006C40C1">
        <w:t>den ändringen att övergångsbestämmelserna erhåller följande som u</w:t>
      </w:r>
      <w:r w:rsidRPr="006C40C1">
        <w:t>t</w:t>
      </w:r>
      <w:r w:rsidRPr="006C40C1">
        <w:t>skottets förslag betecknade lydelse,</w:t>
      </w:r>
    </w:p>
    <w:p w:rsidR="00AA5D77" w:rsidRPr="006C40C1" w:rsidRDefault="00AA5D77">
      <w:pPr>
        <w:pStyle w:val="Normaltindrag"/>
        <w:rPr>
          <w:i/>
        </w:rPr>
      </w:pPr>
      <w:r w:rsidRPr="006C40C1">
        <w:rPr>
          <w:i/>
        </w:rPr>
        <w:t>dels</w:t>
      </w:r>
      <w:r w:rsidRPr="006C40C1">
        <w:t xml:space="preserve"> den ändringen att 6 a kap. 3 §, 9 kap. 9 § och 11 kap. 9 och 10 §§ u</w:t>
      </w:r>
      <w:r w:rsidRPr="006C40C1">
        <w:t>t</w:t>
      </w:r>
      <w:r w:rsidRPr="006C40C1">
        <w:t>går ur försl</w:t>
      </w:r>
      <w:r w:rsidRPr="006C40C1">
        <w:t>a</w:t>
      </w:r>
      <w:r w:rsidRPr="006C40C1">
        <w:t>get.</w:t>
      </w:r>
    </w:p>
    <w:p w:rsidR="00AA5D77" w:rsidRPr="006C40C1" w:rsidRDefault="00AA5D77">
      <w:pPr>
        <w:jc w:val="center"/>
      </w:pPr>
      <w:r w:rsidRPr="006C40C1">
        <w:rPr>
          <w:b/>
        </w:rPr>
        <w:t>2 kap.</w:t>
      </w:r>
    </w:p>
    <w:p w:rsidR="00AA5D77" w:rsidRPr="006C40C1" w:rsidRDefault="00AA5D77">
      <w:pPr>
        <w:jc w:val="center"/>
        <w:rPr>
          <w:b/>
        </w:rPr>
      </w:pPr>
      <w:r w:rsidRPr="006C40C1">
        <w:rPr>
          <w:b/>
        </w:rPr>
        <w:t>1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Regeringens förslag</w:t>
            </w:r>
          </w:p>
        </w:tc>
        <w:tc>
          <w:tcPr>
            <w:tcW w:w="3090" w:type="dxa"/>
          </w:tcPr>
          <w:p w:rsidR="00AA5D77" w:rsidRPr="006C40C1" w:rsidRDefault="00AA5D77">
            <w:pPr>
              <w:pStyle w:val="LagtextRubrik"/>
            </w:pPr>
          </w:p>
        </w:tc>
      </w:tr>
    </w:tbl>
    <w:p w:rsidR="00AA5D77" w:rsidRPr="006C40C1" w:rsidRDefault="00AA5D77">
      <w:pPr>
        <w:pStyle w:val="Normaltindrag"/>
      </w:pPr>
      <w:r w:rsidRPr="006C40C1">
        <w:t>Energiskatt och koldioxidskatt skall, om inte annat följer av andra stycket, betalas för följande bränslen med angivna belopp:</w:t>
      </w:r>
    </w:p>
    <w:p w:rsidR="00AA5D77" w:rsidRPr="006C40C1" w:rsidRDefault="00AA5D77">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284"/>
        <w:gridCol w:w="1276"/>
        <w:gridCol w:w="2198"/>
        <w:gridCol w:w="1134"/>
        <w:gridCol w:w="1321"/>
        <w:gridCol w:w="1320"/>
      </w:tblGrid>
      <w:tr w:rsidR="00000000" w:rsidRPr="006C40C1">
        <w:tblPrEx>
          <w:tblCellMar>
            <w:top w:w="0" w:type="dxa"/>
            <w:bottom w:w="0" w:type="dxa"/>
          </w:tblCellMar>
        </w:tblPrEx>
        <w:trPr>
          <w:jc w:val="right"/>
        </w:trPr>
        <w:tc>
          <w:tcPr>
            <w:tcW w:w="284" w:type="dxa"/>
            <w:tcBorders>
              <w:top w:val="single" w:sz="4" w:space="0" w:color="auto"/>
            </w:tcBorders>
          </w:tcPr>
          <w:p w:rsidR="00AA5D77" w:rsidRPr="006C40C1" w:rsidRDefault="00AA5D77">
            <w:pPr>
              <w:spacing w:before="0" w:line="200" w:lineRule="exact"/>
              <w:rPr>
                <w:sz w:val="16"/>
              </w:rPr>
            </w:pPr>
          </w:p>
        </w:tc>
        <w:tc>
          <w:tcPr>
            <w:tcW w:w="1276" w:type="dxa"/>
            <w:tcBorders>
              <w:top w:val="single" w:sz="4" w:space="0" w:color="auto"/>
            </w:tcBorders>
          </w:tcPr>
          <w:p w:rsidR="00AA5D77" w:rsidRPr="006C40C1" w:rsidRDefault="00AA5D77">
            <w:pPr>
              <w:spacing w:before="0" w:line="200" w:lineRule="exact"/>
              <w:rPr>
                <w:sz w:val="16"/>
              </w:rPr>
            </w:pPr>
            <w:r w:rsidRPr="006C40C1">
              <w:rPr>
                <w:sz w:val="16"/>
              </w:rPr>
              <w:t>KN-nr</w:t>
            </w:r>
          </w:p>
        </w:tc>
        <w:tc>
          <w:tcPr>
            <w:tcW w:w="2198" w:type="dxa"/>
            <w:tcBorders>
              <w:top w:val="single" w:sz="4" w:space="0" w:color="auto"/>
            </w:tcBorders>
          </w:tcPr>
          <w:p w:rsidR="00AA5D77" w:rsidRPr="006C40C1" w:rsidRDefault="00AA5D77">
            <w:pPr>
              <w:spacing w:before="0" w:line="200" w:lineRule="exact"/>
              <w:jc w:val="left"/>
              <w:rPr>
                <w:sz w:val="16"/>
              </w:rPr>
            </w:pPr>
            <w:r w:rsidRPr="006C40C1">
              <w:rPr>
                <w:sz w:val="16"/>
              </w:rPr>
              <w:t>Slag av bränsle</w:t>
            </w:r>
          </w:p>
        </w:tc>
        <w:tc>
          <w:tcPr>
            <w:tcW w:w="1134" w:type="dxa"/>
            <w:tcBorders>
              <w:top w:val="single" w:sz="4" w:space="0" w:color="auto"/>
            </w:tcBorders>
          </w:tcPr>
          <w:p w:rsidR="00AA5D77" w:rsidRPr="006C40C1" w:rsidRDefault="00AA5D77">
            <w:pPr>
              <w:spacing w:before="0" w:line="200" w:lineRule="exact"/>
              <w:rPr>
                <w:sz w:val="16"/>
              </w:rPr>
            </w:pPr>
            <w:r w:rsidRPr="006C40C1">
              <w:rPr>
                <w:sz w:val="16"/>
              </w:rPr>
              <w:t>Skattebelopp</w:t>
            </w:r>
          </w:p>
        </w:tc>
        <w:tc>
          <w:tcPr>
            <w:tcW w:w="1321" w:type="dxa"/>
            <w:tcBorders>
              <w:top w:val="single" w:sz="4" w:space="0" w:color="auto"/>
            </w:tcBorders>
          </w:tcPr>
          <w:p w:rsidR="00AA5D77" w:rsidRPr="006C40C1" w:rsidRDefault="00AA5D77">
            <w:pPr>
              <w:spacing w:before="0" w:line="200" w:lineRule="exact"/>
              <w:rPr>
                <w:sz w:val="16"/>
              </w:rPr>
            </w:pPr>
          </w:p>
        </w:tc>
        <w:tc>
          <w:tcPr>
            <w:tcW w:w="1320" w:type="dxa"/>
            <w:tcBorders>
              <w:top w:val="single" w:sz="4" w:space="0" w:color="auto"/>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84" w:type="dxa"/>
            <w:tcBorders>
              <w:bottom w:val="single" w:sz="4" w:space="0" w:color="auto"/>
            </w:tcBorders>
          </w:tcPr>
          <w:p w:rsidR="00AA5D77" w:rsidRPr="006C40C1" w:rsidRDefault="00AA5D77">
            <w:pPr>
              <w:spacing w:before="0" w:line="200" w:lineRule="exact"/>
              <w:rPr>
                <w:sz w:val="16"/>
              </w:rPr>
            </w:pPr>
          </w:p>
        </w:tc>
        <w:tc>
          <w:tcPr>
            <w:tcW w:w="1276" w:type="dxa"/>
            <w:tcBorders>
              <w:bottom w:val="single" w:sz="4" w:space="0" w:color="auto"/>
            </w:tcBorders>
          </w:tcPr>
          <w:p w:rsidR="00AA5D77" w:rsidRPr="006C40C1" w:rsidRDefault="00AA5D77">
            <w:pPr>
              <w:spacing w:before="0" w:line="200" w:lineRule="exact"/>
              <w:rPr>
                <w:sz w:val="16"/>
              </w:rPr>
            </w:pPr>
          </w:p>
        </w:tc>
        <w:tc>
          <w:tcPr>
            <w:tcW w:w="2198" w:type="dxa"/>
            <w:tcBorders>
              <w:bottom w:val="single" w:sz="4" w:space="0" w:color="auto"/>
            </w:tcBorders>
          </w:tcPr>
          <w:p w:rsidR="00AA5D77" w:rsidRPr="006C40C1" w:rsidRDefault="00AA5D77">
            <w:pPr>
              <w:spacing w:before="0" w:line="200" w:lineRule="exact"/>
              <w:jc w:val="left"/>
              <w:rPr>
                <w:sz w:val="16"/>
              </w:rPr>
            </w:pPr>
          </w:p>
        </w:tc>
        <w:tc>
          <w:tcPr>
            <w:tcW w:w="1134" w:type="dxa"/>
            <w:tcBorders>
              <w:bottom w:val="single" w:sz="4" w:space="0" w:color="auto"/>
            </w:tcBorders>
          </w:tcPr>
          <w:p w:rsidR="00AA5D77" w:rsidRPr="006C40C1" w:rsidRDefault="00AA5D77">
            <w:pPr>
              <w:spacing w:before="0" w:line="200" w:lineRule="exact"/>
              <w:rPr>
                <w:sz w:val="16"/>
              </w:rPr>
            </w:pPr>
            <w:r w:rsidRPr="006C40C1">
              <w:rPr>
                <w:sz w:val="16"/>
              </w:rPr>
              <w:t>Energiskatt</w:t>
            </w:r>
          </w:p>
        </w:tc>
        <w:tc>
          <w:tcPr>
            <w:tcW w:w="1321" w:type="dxa"/>
            <w:tcBorders>
              <w:bottom w:val="single" w:sz="4" w:space="0" w:color="auto"/>
            </w:tcBorders>
          </w:tcPr>
          <w:p w:rsidR="00AA5D77" w:rsidRPr="006C40C1" w:rsidRDefault="00AA5D77">
            <w:pPr>
              <w:spacing w:before="0" w:line="200" w:lineRule="exact"/>
              <w:rPr>
                <w:sz w:val="16"/>
              </w:rPr>
            </w:pPr>
            <w:r w:rsidRPr="006C40C1">
              <w:rPr>
                <w:sz w:val="16"/>
              </w:rPr>
              <w:t>Koldioxidskatt</w:t>
            </w:r>
          </w:p>
        </w:tc>
        <w:tc>
          <w:tcPr>
            <w:tcW w:w="1320" w:type="dxa"/>
            <w:tcBorders>
              <w:bottom w:val="single" w:sz="4" w:space="0" w:color="auto"/>
            </w:tcBorders>
          </w:tcPr>
          <w:p w:rsidR="00AA5D77" w:rsidRPr="006C40C1" w:rsidRDefault="00AA5D77">
            <w:pPr>
              <w:spacing w:before="0" w:line="200" w:lineRule="exact"/>
              <w:rPr>
                <w:sz w:val="16"/>
              </w:rPr>
            </w:pPr>
            <w:r w:rsidRPr="006C40C1">
              <w:rPr>
                <w:sz w:val="16"/>
              </w:rPr>
              <w:t>Summa skatt</w:t>
            </w:r>
          </w:p>
        </w:tc>
      </w:tr>
      <w:tr w:rsidR="00000000" w:rsidRPr="006C40C1">
        <w:tblPrEx>
          <w:tblCellMar>
            <w:top w:w="0" w:type="dxa"/>
            <w:bottom w:w="0" w:type="dxa"/>
          </w:tblCellMar>
        </w:tblPrEx>
        <w:trPr>
          <w:jc w:val="right"/>
        </w:trPr>
        <w:tc>
          <w:tcPr>
            <w:tcW w:w="284" w:type="dxa"/>
            <w:tcBorders>
              <w:top w:val="single" w:sz="4" w:space="0" w:color="auto"/>
            </w:tcBorders>
          </w:tcPr>
          <w:p w:rsidR="00AA5D77" w:rsidRPr="006C40C1" w:rsidRDefault="00AA5D77">
            <w:pPr>
              <w:spacing w:before="0" w:line="200" w:lineRule="exact"/>
              <w:rPr>
                <w:sz w:val="16"/>
              </w:rPr>
            </w:pPr>
            <w:r w:rsidRPr="006C40C1">
              <w:rPr>
                <w:sz w:val="16"/>
              </w:rPr>
              <w:t>1.</w:t>
            </w:r>
          </w:p>
        </w:tc>
        <w:tc>
          <w:tcPr>
            <w:tcW w:w="1276" w:type="dxa"/>
            <w:tcBorders>
              <w:top w:val="single" w:sz="4" w:space="0" w:color="auto"/>
            </w:tcBorders>
          </w:tcPr>
          <w:p w:rsidR="00AA5D77" w:rsidRPr="006C40C1" w:rsidRDefault="00AA5D77">
            <w:pPr>
              <w:spacing w:before="0" w:line="200" w:lineRule="exact"/>
              <w:rPr>
                <w:sz w:val="16"/>
              </w:rPr>
            </w:pPr>
            <w:r w:rsidRPr="006C40C1">
              <w:rPr>
                <w:sz w:val="16"/>
              </w:rPr>
              <w:t>2710 00 26,</w:t>
            </w:r>
          </w:p>
          <w:p w:rsidR="00AA5D77" w:rsidRPr="006C40C1" w:rsidRDefault="00AA5D77">
            <w:pPr>
              <w:spacing w:before="0" w:line="200" w:lineRule="exact"/>
              <w:rPr>
                <w:sz w:val="16"/>
              </w:rPr>
            </w:pPr>
            <w:r w:rsidRPr="006C40C1">
              <w:rPr>
                <w:sz w:val="16"/>
              </w:rPr>
              <w:t>2710 00 27,</w:t>
            </w:r>
          </w:p>
          <w:p w:rsidR="00AA5D77" w:rsidRPr="006C40C1" w:rsidRDefault="00AA5D77">
            <w:pPr>
              <w:spacing w:before="0" w:line="200" w:lineRule="exact"/>
              <w:rPr>
                <w:sz w:val="16"/>
              </w:rPr>
            </w:pPr>
            <w:r w:rsidRPr="006C40C1">
              <w:rPr>
                <w:sz w:val="16"/>
              </w:rPr>
              <w:t>2710 00 29</w:t>
            </w:r>
          </w:p>
          <w:p w:rsidR="00AA5D77" w:rsidRPr="006C40C1" w:rsidRDefault="00AA5D77">
            <w:pPr>
              <w:spacing w:before="0" w:line="200" w:lineRule="exact"/>
              <w:rPr>
                <w:sz w:val="16"/>
              </w:rPr>
            </w:pPr>
            <w:r w:rsidRPr="006C40C1">
              <w:rPr>
                <w:sz w:val="16"/>
              </w:rPr>
              <w:t>eller</w:t>
            </w:r>
          </w:p>
          <w:p w:rsidR="00AA5D77" w:rsidRPr="006C40C1" w:rsidRDefault="00AA5D77">
            <w:pPr>
              <w:spacing w:before="0" w:line="200" w:lineRule="exact"/>
              <w:rPr>
                <w:sz w:val="16"/>
              </w:rPr>
            </w:pPr>
            <w:r w:rsidRPr="006C40C1">
              <w:rPr>
                <w:sz w:val="16"/>
              </w:rPr>
              <w:t>2710 00 32</w:t>
            </w:r>
          </w:p>
        </w:tc>
        <w:tc>
          <w:tcPr>
            <w:tcW w:w="2198" w:type="dxa"/>
            <w:tcBorders>
              <w:top w:val="single" w:sz="4" w:space="0" w:color="auto"/>
            </w:tcBorders>
          </w:tcPr>
          <w:p w:rsidR="00AA5D77" w:rsidRPr="006C40C1" w:rsidRDefault="00AA5D77">
            <w:pPr>
              <w:spacing w:before="0" w:line="200" w:lineRule="exact"/>
              <w:jc w:val="left"/>
              <w:rPr>
                <w:sz w:val="16"/>
              </w:rPr>
            </w:pPr>
            <w:r w:rsidRPr="006C40C1">
              <w:rPr>
                <w:sz w:val="16"/>
              </w:rPr>
              <w:t>Bensin som</w:t>
            </w:r>
          </w:p>
          <w:p w:rsidR="00AA5D77" w:rsidRPr="006C40C1" w:rsidRDefault="00AA5D77">
            <w:pPr>
              <w:spacing w:before="0" w:line="200" w:lineRule="exact"/>
              <w:jc w:val="left"/>
              <w:rPr>
                <w:sz w:val="16"/>
              </w:rPr>
            </w:pPr>
            <w:r w:rsidRPr="006C40C1">
              <w:rPr>
                <w:sz w:val="16"/>
              </w:rPr>
              <w:t>uppfyller krav för</w:t>
            </w:r>
          </w:p>
        </w:tc>
        <w:tc>
          <w:tcPr>
            <w:tcW w:w="1134" w:type="dxa"/>
            <w:tcBorders>
              <w:top w:val="single" w:sz="4" w:space="0" w:color="auto"/>
            </w:tcBorders>
          </w:tcPr>
          <w:p w:rsidR="00AA5D77" w:rsidRPr="006C40C1" w:rsidRDefault="00AA5D77">
            <w:pPr>
              <w:spacing w:before="0" w:line="200" w:lineRule="exact"/>
              <w:rPr>
                <w:sz w:val="16"/>
              </w:rPr>
            </w:pPr>
          </w:p>
        </w:tc>
        <w:tc>
          <w:tcPr>
            <w:tcW w:w="1321" w:type="dxa"/>
            <w:tcBorders>
              <w:top w:val="single" w:sz="4" w:space="0" w:color="auto"/>
            </w:tcBorders>
          </w:tcPr>
          <w:p w:rsidR="00AA5D77" w:rsidRPr="006C40C1" w:rsidRDefault="00AA5D77">
            <w:pPr>
              <w:spacing w:before="0" w:line="200" w:lineRule="exact"/>
              <w:rPr>
                <w:sz w:val="16"/>
              </w:rPr>
            </w:pPr>
          </w:p>
        </w:tc>
        <w:tc>
          <w:tcPr>
            <w:tcW w:w="1320" w:type="dxa"/>
            <w:tcBorders>
              <w:top w:val="single" w:sz="4" w:space="0" w:color="auto"/>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198" w:type="dxa"/>
          </w:tcPr>
          <w:p w:rsidR="00AA5D77" w:rsidRPr="006C40C1" w:rsidRDefault="00AA5D77">
            <w:pPr>
              <w:spacing w:before="0" w:line="200" w:lineRule="exact"/>
              <w:jc w:val="left"/>
              <w:rPr>
                <w:sz w:val="16"/>
              </w:rPr>
            </w:pPr>
            <w:r w:rsidRPr="006C40C1">
              <w:rPr>
                <w:sz w:val="16"/>
              </w:rPr>
              <w:t>a) miljöklass 1</w:t>
            </w:r>
          </w:p>
          <w:p w:rsidR="00AA5D77" w:rsidRPr="006C40C1" w:rsidRDefault="00AA5D77">
            <w:pPr>
              <w:spacing w:before="0" w:line="200" w:lineRule="exact"/>
              <w:jc w:val="left"/>
              <w:rPr>
                <w:sz w:val="16"/>
              </w:rPr>
            </w:pPr>
            <w:r w:rsidRPr="006C40C1">
              <w:rPr>
                <w:sz w:val="16"/>
              </w:rPr>
              <w:t>– motorbensin</w:t>
            </w:r>
          </w:p>
          <w:p w:rsidR="00AA5D77" w:rsidRPr="006C40C1" w:rsidRDefault="00AA5D77">
            <w:pPr>
              <w:spacing w:before="0" w:line="200" w:lineRule="exact"/>
              <w:jc w:val="left"/>
              <w:rPr>
                <w:sz w:val="16"/>
              </w:rPr>
            </w:pPr>
          </w:p>
          <w:p w:rsidR="00AA5D77" w:rsidRPr="006C40C1" w:rsidRDefault="00AA5D77">
            <w:pPr>
              <w:spacing w:before="0" w:line="200" w:lineRule="exact"/>
              <w:jc w:val="left"/>
              <w:rPr>
                <w:sz w:val="16"/>
              </w:rPr>
            </w:pPr>
            <w:r w:rsidRPr="006C40C1">
              <w:rPr>
                <w:sz w:val="16"/>
              </w:rPr>
              <w:t>– alkylatbensin</w:t>
            </w:r>
          </w:p>
          <w:p w:rsidR="00AA5D77" w:rsidRPr="006C40C1" w:rsidRDefault="00AA5D77">
            <w:pPr>
              <w:spacing w:before="0" w:line="200" w:lineRule="exact"/>
              <w:jc w:val="left"/>
              <w:rPr>
                <w:sz w:val="16"/>
              </w:rPr>
            </w:pPr>
          </w:p>
        </w:tc>
        <w:tc>
          <w:tcPr>
            <w:tcW w:w="1134"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2 kr</w:t>
            </w:r>
            <w:r w:rsidRPr="006C40C1">
              <w:rPr>
                <w:i/>
                <w:sz w:val="16"/>
              </w:rPr>
              <w:t xml:space="preserve"> 99</w:t>
            </w:r>
            <w:r w:rsidRPr="006C40C1">
              <w:rPr>
                <w:sz w:val="16"/>
              </w:rPr>
              <w:t xml:space="preserve"> öre</w:t>
            </w:r>
          </w:p>
          <w:p w:rsidR="00AA5D77" w:rsidRPr="006C40C1" w:rsidRDefault="00AA5D77">
            <w:pPr>
              <w:spacing w:before="0" w:line="200" w:lineRule="exact"/>
              <w:rPr>
                <w:sz w:val="16"/>
              </w:rPr>
            </w:pPr>
            <w:r w:rsidRPr="006C40C1">
              <w:rPr>
                <w:sz w:val="16"/>
              </w:rPr>
              <w:t>per liter</w:t>
            </w:r>
          </w:p>
          <w:p w:rsidR="00AA5D77" w:rsidRPr="006C40C1" w:rsidRDefault="00AA5D77">
            <w:pPr>
              <w:spacing w:before="0" w:line="200" w:lineRule="exact"/>
              <w:rPr>
                <w:sz w:val="16"/>
              </w:rPr>
            </w:pPr>
            <w:r w:rsidRPr="006C40C1">
              <w:rPr>
                <w:sz w:val="16"/>
              </w:rPr>
              <w:t xml:space="preserve">1 kr </w:t>
            </w:r>
            <w:r w:rsidRPr="006C40C1">
              <w:rPr>
                <w:i/>
                <w:sz w:val="16"/>
              </w:rPr>
              <w:t>49</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1"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 kr</w:t>
            </w:r>
            <w:r w:rsidRPr="006C40C1">
              <w:rPr>
                <w:i/>
                <w:sz w:val="16"/>
              </w:rPr>
              <w:t xml:space="preserve"> 72</w:t>
            </w:r>
            <w:r w:rsidRPr="006C40C1">
              <w:rPr>
                <w:sz w:val="16"/>
              </w:rPr>
              <w:t xml:space="preserve"> öre</w:t>
            </w:r>
          </w:p>
          <w:p w:rsidR="00AA5D77" w:rsidRPr="006C40C1" w:rsidRDefault="00AA5D77">
            <w:pPr>
              <w:spacing w:before="0" w:line="200" w:lineRule="exact"/>
              <w:rPr>
                <w:sz w:val="16"/>
              </w:rPr>
            </w:pPr>
            <w:r w:rsidRPr="006C40C1">
              <w:rPr>
                <w:sz w:val="16"/>
              </w:rPr>
              <w:t>per liter</w:t>
            </w:r>
          </w:p>
          <w:p w:rsidR="00AA5D77" w:rsidRPr="006C40C1" w:rsidRDefault="00AA5D77">
            <w:pPr>
              <w:spacing w:before="0" w:line="200" w:lineRule="exact"/>
              <w:rPr>
                <w:sz w:val="16"/>
              </w:rPr>
            </w:pPr>
            <w:r w:rsidRPr="006C40C1">
              <w:rPr>
                <w:sz w:val="16"/>
              </w:rPr>
              <w:t xml:space="preserve">1 kr </w:t>
            </w:r>
            <w:r w:rsidRPr="006C40C1">
              <w:rPr>
                <w:i/>
                <w:sz w:val="16"/>
              </w:rPr>
              <w:t>72</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0"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4 kr 71 öre</w:t>
            </w:r>
          </w:p>
          <w:p w:rsidR="00AA5D77" w:rsidRPr="006C40C1" w:rsidRDefault="00AA5D77">
            <w:pPr>
              <w:spacing w:before="0" w:line="200" w:lineRule="exact"/>
              <w:rPr>
                <w:sz w:val="16"/>
              </w:rPr>
            </w:pPr>
            <w:r w:rsidRPr="006C40C1">
              <w:rPr>
                <w:sz w:val="16"/>
              </w:rPr>
              <w:t>per liter</w:t>
            </w:r>
          </w:p>
          <w:p w:rsidR="00AA5D77" w:rsidRPr="006C40C1" w:rsidRDefault="00AA5D77">
            <w:pPr>
              <w:spacing w:before="0" w:line="200" w:lineRule="exact"/>
              <w:rPr>
                <w:sz w:val="16"/>
              </w:rPr>
            </w:pPr>
            <w:r w:rsidRPr="006C40C1">
              <w:rPr>
                <w:sz w:val="16"/>
              </w:rPr>
              <w:t xml:space="preserve">3 kr </w:t>
            </w:r>
            <w:r w:rsidRPr="006C40C1">
              <w:rPr>
                <w:i/>
                <w:sz w:val="16"/>
              </w:rPr>
              <w:t>21</w:t>
            </w:r>
            <w:r w:rsidRPr="006C40C1">
              <w:rPr>
                <w:sz w:val="16"/>
              </w:rPr>
              <w:t xml:space="preserve"> öre</w:t>
            </w:r>
          </w:p>
          <w:p w:rsidR="00AA5D77" w:rsidRPr="006C40C1" w:rsidRDefault="00AA5D77">
            <w:pPr>
              <w:spacing w:before="0" w:line="200" w:lineRule="exact"/>
              <w:rPr>
                <w:sz w:val="16"/>
              </w:rPr>
            </w:pPr>
            <w:r w:rsidRPr="006C40C1">
              <w:rPr>
                <w:sz w:val="16"/>
              </w:rPr>
              <w:t>per liter</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198" w:type="dxa"/>
          </w:tcPr>
          <w:p w:rsidR="00AA5D77" w:rsidRPr="006C40C1" w:rsidRDefault="00AA5D77">
            <w:pPr>
              <w:spacing w:before="0" w:line="200" w:lineRule="exact"/>
              <w:jc w:val="left"/>
              <w:rPr>
                <w:sz w:val="16"/>
              </w:rPr>
            </w:pPr>
            <w:r w:rsidRPr="006C40C1">
              <w:rPr>
                <w:sz w:val="16"/>
              </w:rPr>
              <w:t>b) miljöklass 2</w:t>
            </w:r>
          </w:p>
          <w:p w:rsidR="00AA5D77" w:rsidRPr="006C40C1" w:rsidRDefault="00AA5D77">
            <w:pPr>
              <w:spacing w:before="0" w:line="200" w:lineRule="exact"/>
              <w:jc w:val="left"/>
              <w:rPr>
                <w:sz w:val="16"/>
              </w:rPr>
            </w:pPr>
          </w:p>
        </w:tc>
        <w:tc>
          <w:tcPr>
            <w:tcW w:w="1134" w:type="dxa"/>
          </w:tcPr>
          <w:p w:rsidR="00AA5D77" w:rsidRPr="006C40C1" w:rsidRDefault="00AA5D77">
            <w:pPr>
              <w:spacing w:before="0" w:line="200" w:lineRule="exact"/>
              <w:rPr>
                <w:sz w:val="16"/>
              </w:rPr>
            </w:pPr>
            <w:r w:rsidRPr="006C40C1">
              <w:rPr>
                <w:i/>
                <w:sz w:val="16"/>
              </w:rPr>
              <w:t>3</w:t>
            </w:r>
            <w:r w:rsidRPr="006C40C1">
              <w:rPr>
                <w:sz w:val="16"/>
              </w:rPr>
              <w:t xml:space="preserve"> kr </w:t>
            </w:r>
            <w:r w:rsidRPr="006C40C1">
              <w:rPr>
                <w:i/>
                <w:sz w:val="16"/>
              </w:rPr>
              <w:t>02</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1" w:type="dxa"/>
          </w:tcPr>
          <w:p w:rsidR="00AA5D77" w:rsidRPr="006C40C1" w:rsidRDefault="00AA5D77">
            <w:pPr>
              <w:spacing w:before="0" w:line="200" w:lineRule="exact"/>
              <w:rPr>
                <w:sz w:val="16"/>
              </w:rPr>
            </w:pPr>
            <w:r w:rsidRPr="006C40C1">
              <w:rPr>
                <w:sz w:val="16"/>
              </w:rPr>
              <w:t>1 kr</w:t>
            </w:r>
            <w:r w:rsidRPr="006C40C1">
              <w:rPr>
                <w:i/>
                <w:sz w:val="16"/>
              </w:rPr>
              <w:t xml:space="preserve"> 72 </w:t>
            </w:r>
            <w:r w:rsidRPr="006C40C1">
              <w:rPr>
                <w:sz w:val="16"/>
              </w:rPr>
              <w:t>öre</w:t>
            </w:r>
          </w:p>
          <w:p w:rsidR="00AA5D77" w:rsidRPr="006C40C1" w:rsidRDefault="00AA5D77">
            <w:pPr>
              <w:spacing w:before="0" w:line="200" w:lineRule="exact"/>
              <w:rPr>
                <w:sz w:val="16"/>
              </w:rPr>
            </w:pPr>
            <w:r w:rsidRPr="006C40C1">
              <w:rPr>
                <w:sz w:val="16"/>
              </w:rPr>
              <w:t>per liter</w:t>
            </w:r>
          </w:p>
        </w:tc>
        <w:tc>
          <w:tcPr>
            <w:tcW w:w="1320" w:type="dxa"/>
          </w:tcPr>
          <w:p w:rsidR="00AA5D77" w:rsidRPr="006C40C1" w:rsidRDefault="00AA5D77">
            <w:pPr>
              <w:spacing w:before="0" w:line="200" w:lineRule="exact"/>
              <w:rPr>
                <w:sz w:val="16"/>
              </w:rPr>
            </w:pPr>
            <w:r w:rsidRPr="006C40C1">
              <w:rPr>
                <w:sz w:val="16"/>
              </w:rPr>
              <w:t>4 kr 74 öre</w:t>
            </w:r>
          </w:p>
          <w:p w:rsidR="00AA5D77" w:rsidRPr="006C40C1" w:rsidRDefault="00AA5D77">
            <w:pPr>
              <w:spacing w:before="0" w:line="200" w:lineRule="exact"/>
              <w:rPr>
                <w:rFonts w:ascii="OrigGarmnd BT" w:hAnsi="OrigGarmnd BT"/>
                <w:sz w:val="16"/>
              </w:rPr>
            </w:pPr>
            <w:r w:rsidRPr="006C40C1">
              <w:rPr>
                <w:rFonts w:ascii="OrigGarmnd BT" w:hAnsi="OrigGarmnd BT"/>
                <w:sz w:val="16"/>
              </w:rPr>
              <w:t>per liter</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r w:rsidRPr="006C40C1">
              <w:rPr>
                <w:sz w:val="16"/>
              </w:rPr>
              <w:t>2.</w:t>
            </w:r>
          </w:p>
        </w:tc>
        <w:tc>
          <w:tcPr>
            <w:tcW w:w="1276" w:type="dxa"/>
          </w:tcPr>
          <w:p w:rsidR="00AA5D77" w:rsidRPr="006C40C1" w:rsidRDefault="00AA5D77">
            <w:pPr>
              <w:spacing w:before="0" w:line="200" w:lineRule="exact"/>
              <w:rPr>
                <w:sz w:val="16"/>
              </w:rPr>
            </w:pPr>
            <w:r w:rsidRPr="006C40C1">
              <w:rPr>
                <w:sz w:val="16"/>
              </w:rPr>
              <w:t>2710 00 26,</w:t>
            </w:r>
          </w:p>
          <w:p w:rsidR="00AA5D77" w:rsidRPr="006C40C1" w:rsidRDefault="00AA5D77">
            <w:pPr>
              <w:spacing w:before="0" w:line="200" w:lineRule="exact"/>
              <w:rPr>
                <w:sz w:val="16"/>
              </w:rPr>
            </w:pPr>
            <w:r w:rsidRPr="006C40C1">
              <w:rPr>
                <w:sz w:val="16"/>
              </w:rPr>
              <w:t>2710 00 34</w:t>
            </w:r>
          </w:p>
          <w:p w:rsidR="00AA5D77" w:rsidRPr="006C40C1" w:rsidRDefault="00AA5D77">
            <w:pPr>
              <w:spacing w:before="0" w:line="200" w:lineRule="exact"/>
              <w:rPr>
                <w:sz w:val="16"/>
              </w:rPr>
            </w:pPr>
            <w:r w:rsidRPr="006C40C1">
              <w:rPr>
                <w:sz w:val="16"/>
              </w:rPr>
              <w:t>eller</w:t>
            </w:r>
          </w:p>
          <w:p w:rsidR="00AA5D77" w:rsidRPr="006C40C1" w:rsidRDefault="00AA5D77">
            <w:pPr>
              <w:spacing w:before="0" w:line="200" w:lineRule="exact"/>
              <w:rPr>
                <w:sz w:val="16"/>
              </w:rPr>
            </w:pPr>
            <w:r w:rsidRPr="006C40C1">
              <w:rPr>
                <w:sz w:val="16"/>
              </w:rPr>
              <w:t>2710 00 36</w:t>
            </w:r>
          </w:p>
        </w:tc>
        <w:tc>
          <w:tcPr>
            <w:tcW w:w="2198" w:type="dxa"/>
          </w:tcPr>
          <w:p w:rsidR="00AA5D77" w:rsidRPr="006C40C1" w:rsidRDefault="00AA5D77">
            <w:pPr>
              <w:spacing w:before="0" w:line="200" w:lineRule="exact"/>
              <w:jc w:val="left"/>
              <w:rPr>
                <w:sz w:val="16"/>
              </w:rPr>
            </w:pPr>
            <w:r w:rsidRPr="006C40C1">
              <w:rPr>
                <w:sz w:val="16"/>
              </w:rPr>
              <w:t>Annan bensin</w:t>
            </w:r>
          </w:p>
          <w:p w:rsidR="00AA5D77" w:rsidRPr="006C40C1" w:rsidRDefault="00AA5D77">
            <w:pPr>
              <w:spacing w:before="0" w:line="200" w:lineRule="exact"/>
              <w:jc w:val="left"/>
              <w:rPr>
                <w:sz w:val="16"/>
              </w:rPr>
            </w:pPr>
            <w:r w:rsidRPr="006C40C1">
              <w:rPr>
                <w:sz w:val="16"/>
              </w:rPr>
              <w:t>än som avses</w:t>
            </w:r>
          </w:p>
          <w:p w:rsidR="00AA5D77" w:rsidRPr="006C40C1" w:rsidRDefault="00AA5D77">
            <w:pPr>
              <w:spacing w:before="0" w:line="200" w:lineRule="exact"/>
              <w:jc w:val="left"/>
              <w:rPr>
                <w:sz w:val="16"/>
              </w:rPr>
            </w:pPr>
            <w:r w:rsidRPr="006C40C1">
              <w:rPr>
                <w:sz w:val="16"/>
              </w:rPr>
              <w:t>under 1</w:t>
            </w:r>
          </w:p>
        </w:tc>
        <w:tc>
          <w:tcPr>
            <w:tcW w:w="1134" w:type="dxa"/>
          </w:tcPr>
          <w:p w:rsidR="00AA5D77" w:rsidRPr="006C40C1" w:rsidRDefault="00AA5D77">
            <w:pPr>
              <w:spacing w:before="0" w:line="200" w:lineRule="exact"/>
              <w:rPr>
                <w:sz w:val="16"/>
              </w:rPr>
            </w:pPr>
            <w:r w:rsidRPr="006C40C1">
              <w:rPr>
                <w:sz w:val="16"/>
              </w:rPr>
              <w:t xml:space="preserve">3 kr </w:t>
            </w:r>
            <w:r w:rsidRPr="006C40C1">
              <w:rPr>
                <w:i/>
                <w:sz w:val="16"/>
              </w:rPr>
              <w:t>68</w:t>
            </w:r>
            <w:r w:rsidRPr="006C40C1">
              <w:rPr>
                <w:sz w:val="16"/>
              </w:rPr>
              <w:t xml:space="preserve"> öre</w:t>
            </w:r>
          </w:p>
          <w:p w:rsidR="00AA5D77" w:rsidRPr="006C40C1" w:rsidRDefault="00AA5D77">
            <w:pPr>
              <w:spacing w:before="0" w:line="200" w:lineRule="exact"/>
              <w:rPr>
                <w:sz w:val="16"/>
              </w:rPr>
            </w:pPr>
            <w:r w:rsidRPr="006C40C1">
              <w:rPr>
                <w:rFonts w:ascii="OrigGarmnd BT" w:hAnsi="OrigGarmnd BT"/>
                <w:sz w:val="16"/>
              </w:rPr>
              <w:t>per liter</w:t>
            </w:r>
          </w:p>
        </w:tc>
        <w:tc>
          <w:tcPr>
            <w:tcW w:w="1321" w:type="dxa"/>
          </w:tcPr>
          <w:p w:rsidR="00AA5D77" w:rsidRPr="006C40C1" w:rsidRDefault="00AA5D77">
            <w:pPr>
              <w:spacing w:before="0" w:line="200" w:lineRule="exact"/>
              <w:rPr>
                <w:sz w:val="16"/>
              </w:rPr>
            </w:pPr>
            <w:r w:rsidRPr="006C40C1">
              <w:rPr>
                <w:sz w:val="16"/>
              </w:rPr>
              <w:t>1 kr</w:t>
            </w:r>
            <w:r w:rsidRPr="006C40C1">
              <w:rPr>
                <w:i/>
                <w:sz w:val="16"/>
              </w:rPr>
              <w:t xml:space="preserve"> 72</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0" w:type="dxa"/>
          </w:tcPr>
          <w:p w:rsidR="00AA5D77" w:rsidRPr="006C40C1" w:rsidRDefault="00AA5D77">
            <w:pPr>
              <w:spacing w:before="0" w:line="200" w:lineRule="exact"/>
              <w:rPr>
                <w:sz w:val="16"/>
              </w:rPr>
            </w:pPr>
            <w:r w:rsidRPr="006C40C1">
              <w:rPr>
                <w:sz w:val="16"/>
              </w:rPr>
              <w:t>5 kr 40 öre</w:t>
            </w:r>
          </w:p>
          <w:p w:rsidR="00AA5D77" w:rsidRPr="006C40C1" w:rsidRDefault="00AA5D77">
            <w:pPr>
              <w:spacing w:before="0" w:line="200" w:lineRule="exact"/>
              <w:rPr>
                <w:sz w:val="16"/>
              </w:rPr>
            </w:pPr>
            <w:r w:rsidRPr="006C40C1">
              <w:rPr>
                <w:rFonts w:ascii="OrigGarmnd BT" w:hAnsi="OrigGarmnd BT"/>
                <w:sz w:val="16"/>
              </w:rPr>
              <w:t>per liter</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r w:rsidRPr="006C40C1">
              <w:rPr>
                <w:sz w:val="16"/>
              </w:rPr>
              <w:t>3.</w:t>
            </w:r>
          </w:p>
        </w:tc>
        <w:tc>
          <w:tcPr>
            <w:tcW w:w="1276" w:type="dxa"/>
          </w:tcPr>
          <w:p w:rsidR="00AA5D77" w:rsidRPr="006C40C1" w:rsidRDefault="00AA5D77">
            <w:pPr>
              <w:spacing w:before="0" w:line="200" w:lineRule="exact"/>
              <w:rPr>
                <w:sz w:val="16"/>
              </w:rPr>
            </w:pPr>
            <w:r w:rsidRPr="006C40C1">
              <w:rPr>
                <w:sz w:val="16"/>
              </w:rPr>
              <w:t>2710 00 51,</w:t>
            </w:r>
          </w:p>
          <w:p w:rsidR="00AA5D77" w:rsidRPr="006C40C1" w:rsidRDefault="00AA5D77">
            <w:pPr>
              <w:spacing w:before="0" w:line="200" w:lineRule="exact"/>
              <w:rPr>
                <w:sz w:val="16"/>
              </w:rPr>
            </w:pPr>
            <w:r w:rsidRPr="006C40C1">
              <w:rPr>
                <w:sz w:val="16"/>
              </w:rPr>
              <w:t>2710 00 55,</w:t>
            </w:r>
          </w:p>
          <w:p w:rsidR="00AA5D77" w:rsidRPr="006C40C1" w:rsidRDefault="00AA5D77">
            <w:pPr>
              <w:spacing w:before="0" w:line="200" w:lineRule="exact"/>
              <w:rPr>
                <w:sz w:val="16"/>
              </w:rPr>
            </w:pPr>
            <w:r w:rsidRPr="006C40C1">
              <w:rPr>
                <w:sz w:val="16"/>
              </w:rPr>
              <w:t>2710 00 69</w:t>
            </w:r>
          </w:p>
          <w:p w:rsidR="00AA5D77" w:rsidRPr="006C40C1" w:rsidRDefault="00AA5D77">
            <w:pPr>
              <w:spacing w:before="0" w:line="200" w:lineRule="exact"/>
              <w:rPr>
                <w:sz w:val="16"/>
              </w:rPr>
            </w:pPr>
            <w:r w:rsidRPr="006C40C1">
              <w:rPr>
                <w:sz w:val="16"/>
              </w:rPr>
              <w:t>eller</w:t>
            </w:r>
          </w:p>
          <w:p w:rsidR="00AA5D77" w:rsidRPr="006C40C1" w:rsidRDefault="00AA5D77">
            <w:pPr>
              <w:spacing w:before="0" w:line="200" w:lineRule="exact"/>
              <w:rPr>
                <w:sz w:val="16"/>
              </w:rPr>
            </w:pPr>
            <w:r w:rsidRPr="006C40C1">
              <w:rPr>
                <w:sz w:val="16"/>
              </w:rPr>
              <w:t>2710 00 74–</w:t>
            </w:r>
          </w:p>
          <w:p w:rsidR="00AA5D77" w:rsidRPr="006C40C1" w:rsidRDefault="00AA5D77">
            <w:pPr>
              <w:spacing w:before="0" w:line="200" w:lineRule="exact"/>
              <w:rPr>
                <w:sz w:val="16"/>
              </w:rPr>
            </w:pPr>
            <w:r w:rsidRPr="006C40C1">
              <w:rPr>
                <w:sz w:val="16"/>
              </w:rPr>
              <w:t>2710 00 78</w:t>
            </w:r>
          </w:p>
        </w:tc>
        <w:tc>
          <w:tcPr>
            <w:tcW w:w="2198" w:type="dxa"/>
          </w:tcPr>
          <w:p w:rsidR="00AA5D77" w:rsidRPr="006C40C1" w:rsidRDefault="00AA5D77">
            <w:pPr>
              <w:spacing w:before="0" w:line="200" w:lineRule="exact"/>
              <w:jc w:val="left"/>
              <w:rPr>
                <w:sz w:val="16"/>
              </w:rPr>
            </w:pPr>
            <w:r w:rsidRPr="006C40C1">
              <w:rPr>
                <w:sz w:val="16"/>
              </w:rPr>
              <w:t>Eldningsolja,</w:t>
            </w:r>
          </w:p>
          <w:p w:rsidR="00AA5D77" w:rsidRPr="006C40C1" w:rsidRDefault="00AA5D77">
            <w:pPr>
              <w:spacing w:before="0" w:line="200" w:lineRule="exact"/>
              <w:jc w:val="left"/>
              <w:rPr>
                <w:sz w:val="16"/>
              </w:rPr>
            </w:pPr>
            <w:r w:rsidRPr="006C40C1">
              <w:rPr>
                <w:sz w:val="16"/>
              </w:rPr>
              <w:t>Dieselbrännolja,</w:t>
            </w:r>
          </w:p>
          <w:p w:rsidR="00AA5D77" w:rsidRPr="006C40C1" w:rsidRDefault="00AA5D77">
            <w:pPr>
              <w:spacing w:before="0" w:line="200" w:lineRule="exact"/>
              <w:jc w:val="left"/>
              <w:rPr>
                <w:sz w:val="16"/>
              </w:rPr>
            </w:pPr>
            <w:r w:rsidRPr="006C40C1">
              <w:rPr>
                <w:sz w:val="16"/>
              </w:rPr>
              <w:t>fotogen, m.m.</w:t>
            </w:r>
          </w:p>
          <w:p w:rsidR="00AA5D77" w:rsidRPr="006C40C1" w:rsidRDefault="00AA5D77">
            <w:pPr>
              <w:spacing w:before="0" w:line="200" w:lineRule="exact"/>
              <w:jc w:val="left"/>
              <w:rPr>
                <w:sz w:val="16"/>
              </w:rPr>
            </w:pPr>
            <w:r w:rsidRPr="006C40C1">
              <w:rPr>
                <w:sz w:val="16"/>
              </w:rPr>
              <w:t>som</w:t>
            </w:r>
          </w:p>
        </w:tc>
        <w:tc>
          <w:tcPr>
            <w:tcW w:w="1134"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vertAlign w:val="superscript"/>
              </w:rPr>
            </w:pPr>
          </w:p>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198" w:type="dxa"/>
          </w:tcPr>
          <w:p w:rsidR="00AA5D77" w:rsidRPr="006C40C1" w:rsidRDefault="00AA5D77">
            <w:pPr>
              <w:spacing w:before="0" w:line="200" w:lineRule="exact"/>
              <w:jc w:val="left"/>
              <w:rPr>
                <w:sz w:val="16"/>
              </w:rPr>
            </w:pPr>
            <w:r w:rsidRPr="006C40C1">
              <w:rPr>
                <w:sz w:val="16"/>
              </w:rPr>
              <w:t>a) har försetts med</w:t>
            </w:r>
          </w:p>
          <w:p w:rsidR="00AA5D77" w:rsidRPr="006C40C1" w:rsidRDefault="00AA5D77">
            <w:pPr>
              <w:spacing w:before="0" w:line="200" w:lineRule="exact"/>
              <w:jc w:val="left"/>
              <w:rPr>
                <w:sz w:val="16"/>
              </w:rPr>
            </w:pPr>
            <w:r w:rsidRPr="006C40C1">
              <w:rPr>
                <w:sz w:val="16"/>
              </w:rPr>
              <w:t>märkämnen eller ger mindre än 85 volymprocent destillat</w:t>
            </w:r>
          </w:p>
          <w:p w:rsidR="00AA5D77" w:rsidRPr="006C40C1" w:rsidRDefault="00AA5D77">
            <w:pPr>
              <w:spacing w:before="0" w:line="200" w:lineRule="exact"/>
              <w:jc w:val="left"/>
              <w:rPr>
                <w:sz w:val="16"/>
              </w:rPr>
            </w:pPr>
            <w:r w:rsidRPr="006C40C1">
              <w:rPr>
                <w:sz w:val="16"/>
              </w:rPr>
              <w:t xml:space="preserve">vid 350 </w:t>
            </w:r>
            <w:r w:rsidRPr="006C40C1">
              <w:rPr>
                <w:sz w:val="16"/>
                <w:vertAlign w:val="superscript"/>
              </w:rPr>
              <w:t>o</w:t>
            </w:r>
            <w:r w:rsidRPr="006C40C1">
              <w:rPr>
                <w:sz w:val="16"/>
              </w:rPr>
              <w:t>C,</w:t>
            </w:r>
          </w:p>
        </w:tc>
        <w:tc>
          <w:tcPr>
            <w:tcW w:w="1134" w:type="dxa"/>
          </w:tcPr>
          <w:p w:rsidR="00AA5D77" w:rsidRPr="006C40C1" w:rsidRDefault="00AA5D77">
            <w:pPr>
              <w:spacing w:before="0" w:line="200" w:lineRule="exact"/>
              <w:rPr>
                <w:sz w:val="16"/>
              </w:rPr>
            </w:pPr>
            <w:r w:rsidRPr="006C40C1">
              <w:rPr>
                <w:sz w:val="16"/>
              </w:rPr>
              <w:t>720 kr per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 xml:space="preserve">2 120 </w:t>
            </w:r>
            <w:r w:rsidRPr="006C40C1">
              <w:rPr>
                <w:sz w:val="16"/>
              </w:rPr>
              <w:t>kr per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2</w:t>
            </w:r>
            <w:r w:rsidRPr="006C40C1">
              <w:rPr>
                <w:sz w:val="16"/>
              </w:rPr>
              <w:t xml:space="preserve"> </w:t>
            </w:r>
            <w:r w:rsidRPr="006C40C1">
              <w:rPr>
                <w:i/>
                <w:sz w:val="16"/>
              </w:rPr>
              <w:t>840</w:t>
            </w:r>
            <w:r w:rsidRPr="006C40C1">
              <w:rPr>
                <w:sz w:val="16"/>
              </w:rPr>
              <w:t xml:space="preserve"> kr per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198" w:type="dxa"/>
          </w:tcPr>
          <w:p w:rsidR="00AA5D77" w:rsidRPr="006C40C1" w:rsidRDefault="00AA5D77">
            <w:pPr>
              <w:spacing w:before="0" w:line="200" w:lineRule="exact"/>
              <w:jc w:val="left"/>
              <w:rPr>
                <w:sz w:val="16"/>
              </w:rPr>
            </w:pPr>
            <w:r w:rsidRPr="006C40C1">
              <w:rPr>
                <w:sz w:val="16"/>
              </w:rPr>
              <w:t>b) inte har försetts med</w:t>
            </w:r>
          </w:p>
          <w:p w:rsidR="00AA5D77" w:rsidRPr="006C40C1" w:rsidRDefault="00AA5D77">
            <w:pPr>
              <w:spacing w:before="0" w:line="200" w:lineRule="exact"/>
              <w:jc w:val="left"/>
              <w:rPr>
                <w:sz w:val="16"/>
              </w:rPr>
            </w:pPr>
            <w:r w:rsidRPr="006C40C1">
              <w:rPr>
                <w:sz w:val="16"/>
              </w:rPr>
              <w:t>märkämnen och ger</w:t>
            </w:r>
          </w:p>
          <w:p w:rsidR="00AA5D77" w:rsidRPr="006C40C1" w:rsidRDefault="00AA5D77">
            <w:pPr>
              <w:spacing w:before="0" w:line="200" w:lineRule="exact"/>
              <w:jc w:val="left"/>
              <w:rPr>
                <w:sz w:val="16"/>
              </w:rPr>
            </w:pPr>
            <w:r w:rsidRPr="006C40C1">
              <w:rPr>
                <w:sz w:val="16"/>
              </w:rPr>
              <w:t>minst 85 volymprocent</w:t>
            </w:r>
          </w:p>
          <w:p w:rsidR="00AA5D77" w:rsidRPr="006C40C1" w:rsidRDefault="00AA5D77">
            <w:pPr>
              <w:spacing w:before="0" w:line="200" w:lineRule="exact"/>
              <w:jc w:val="left"/>
              <w:rPr>
                <w:sz w:val="16"/>
              </w:rPr>
            </w:pPr>
            <w:r w:rsidRPr="006C40C1">
              <w:rPr>
                <w:sz w:val="16"/>
              </w:rPr>
              <w:t xml:space="preserve">destillat vid 350 </w:t>
            </w:r>
            <w:r w:rsidRPr="006C40C1">
              <w:rPr>
                <w:sz w:val="16"/>
                <w:vertAlign w:val="superscript"/>
              </w:rPr>
              <w:t>o</w:t>
            </w:r>
            <w:r w:rsidRPr="006C40C1">
              <w:rPr>
                <w:sz w:val="16"/>
              </w:rPr>
              <w:t>C,</w:t>
            </w:r>
          </w:p>
          <w:p w:rsidR="00AA5D77" w:rsidRPr="006C40C1" w:rsidRDefault="00AA5D77">
            <w:pPr>
              <w:spacing w:before="0" w:line="200" w:lineRule="exact"/>
              <w:jc w:val="left"/>
              <w:rPr>
                <w:sz w:val="16"/>
              </w:rPr>
            </w:pPr>
            <w:r w:rsidRPr="006C40C1">
              <w:rPr>
                <w:sz w:val="16"/>
              </w:rPr>
              <w:t>tillhörig</w:t>
            </w:r>
          </w:p>
        </w:tc>
        <w:tc>
          <w:tcPr>
            <w:tcW w:w="1134" w:type="dxa"/>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p w:rsidR="00AA5D77" w:rsidRPr="006C40C1" w:rsidRDefault="00AA5D77">
            <w:pPr>
              <w:pStyle w:val="Normaltindrag"/>
            </w:pPr>
          </w:p>
          <w:p w:rsidR="00AA5D77" w:rsidRPr="006C40C1" w:rsidRDefault="00AA5D77">
            <w:pPr>
              <w:pStyle w:val="Normaltindrag"/>
            </w:pPr>
          </w:p>
          <w:p w:rsidR="00AA5D77" w:rsidRPr="006C40C1" w:rsidRDefault="00AA5D77">
            <w:pPr>
              <w:pStyle w:val="Normaltindrag"/>
            </w:pPr>
          </w:p>
          <w:p w:rsidR="00AA5D77" w:rsidRPr="006C40C1" w:rsidRDefault="00AA5D77">
            <w:pPr>
              <w:pStyle w:val="Normaltindrag"/>
            </w:pPr>
          </w:p>
        </w:tc>
      </w:tr>
    </w:tbl>
    <w:p w:rsidR="00AA5D77" w:rsidRPr="006C40C1" w:rsidRDefault="00AA5D77"/>
    <w:tbl>
      <w:tblPr>
        <w:tblW w:w="0" w:type="auto"/>
        <w:tblInd w:w="-142" w:type="dxa"/>
        <w:tblLayout w:type="fixed"/>
        <w:tblCellMar>
          <w:left w:w="70" w:type="dxa"/>
          <w:right w:w="70" w:type="dxa"/>
        </w:tblCellMar>
        <w:tblLook w:val="0000" w:firstRow="0" w:lastRow="0" w:firstColumn="0" w:lastColumn="0" w:noHBand="0" w:noVBand="0"/>
      </w:tblPr>
      <w:tblGrid>
        <w:gridCol w:w="284"/>
        <w:gridCol w:w="1276"/>
        <w:gridCol w:w="2023"/>
        <w:gridCol w:w="175"/>
        <w:gridCol w:w="1134"/>
        <w:gridCol w:w="1321"/>
        <w:gridCol w:w="1320"/>
      </w:tblGrid>
      <w:tr w:rsidR="00000000" w:rsidRPr="006C40C1">
        <w:tblPrEx>
          <w:tblCellMar>
            <w:top w:w="0" w:type="dxa"/>
            <w:bottom w:w="0" w:type="dxa"/>
          </w:tblCellMar>
        </w:tblPrEx>
        <w:tc>
          <w:tcPr>
            <w:tcW w:w="284" w:type="dxa"/>
            <w:tcBorders>
              <w:top w:val="single" w:sz="6" w:space="0" w:color="auto"/>
            </w:tcBorders>
          </w:tcPr>
          <w:p w:rsidR="00AA5D77" w:rsidRPr="006C40C1" w:rsidRDefault="00AA5D77">
            <w:pPr>
              <w:spacing w:before="0" w:line="200" w:lineRule="exact"/>
              <w:rPr>
                <w:sz w:val="16"/>
              </w:rPr>
            </w:pPr>
          </w:p>
        </w:tc>
        <w:tc>
          <w:tcPr>
            <w:tcW w:w="1276" w:type="dxa"/>
            <w:tcBorders>
              <w:top w:val="single" w:sz="6" w:space="0" w:color="auto"/>
            </w:tcBorders>
          </w:tcPr>
          <w:p w:rsidR="00AA5D77" w:rsidRPr="006C40C1" w:rsidRDefault="00AA5D77">
            <w:pPr>
              <w:spacing w:before="0" w:line="200" w:lineRule="exact"/>
              <w:rPr>
                <w:sz w:val="16"/>
              </w:rPr>
            </w:pPr>
            <w:r w:rsidRPr="006C40C1">
              <w:rPr>
                <w:sz w:val="16"/>
              </w:rPr>
              <w:t>KN-nr</w:t>
            </w:r>
          </w:p>
        </w:tc>
        <w:tc>
          <w:tcPr>
            <w:tcW w:w="2198" w:type="dxa"/>
            <w:gridSpan w:val="2"/>
            <w:tcBorders>
              <w:top w:val="single" w:sz="6" w:space="0" w:color="auto"/>
            </w:tcBorders>
          </w:tcPr>
          <w:p w:rsidR="00AA5D77" w:rsidRPr="006C40C1" w:rsidRDefault="00AA5D77">
            <w:pPr>
              <w:spacing w:before="0" w:line="200" w:lineRule="exact"/>
              <w:jc w:val="left"/>
              <w:rPr>
                <w:sz w:val="16"/>
              </w:rPr>
            </w:pPr>
            <w:r w:rsidRPr="006C40C1">
              <w:rPr>
                <w:sz w:val="16"/>
              </w:rPr>
              <w:t>Slag av bränsle</w:t>
            </w:r>
          </w:p>
        </w:tc>
        <w:tc>
          <w:tcPr>
            <w:tcW w:w="1134" w:type="dxa"/>
            <w:tcBorders>
              <w:top w:val="single" w:sz="6" w:space="0" w:color="auto"/>
            </w:tcBorders>
          </w:tcPr>
          <w:p w:rsidR="00AA5D77" w:rsidRPr="006C40C1" w:rsidRDefault="00AA5D77">
            <w:pPr>
              <w:spacing w:before="0" w:line="200" w:lineRule="exact"/>
              <w:rPr>
                <w:sz w:val="16"/>
              </w:rPr>
            </w:pPr>
            <w:r w:rsidRPr="006C40C1">
              <w:rPr>
                <w:sz w:val="16"/>
              </w:rPr>
              <w:t>Skattebelopp</w:t>
            </w:r>
          </w:p>
        </w:tc>
        <w:tc>
          <w:tcPr>
            <w:tcW w:w="1321" w:type="dxa"/>
            <w:tcBorders>
              <w:top w:val="single" w:sz="6" w:space="0" w:color="auto"/>
            </w:tcBorders>
          </w:tcPr>
          <w:p w:rsidR="00AA5D77" w:rsidRPr="006C40C1" w:rsidRDefault="00AA5D77">
            <w:pPr>
              <w:spacing w:before="0" w:line="200" w:lineRule="exact"/>
              <w:rPr>
                <w:sz w:val="16"/>
              </w:rPr>
            </w:pPr>
          </w:p>
        </w:tc>
        <w:tc>
          <w:tcPr>
            <w:tcW w:w="1320" w:type="dxa"/>
            <w:tcBorders>
              <w:top w:val="single" w:sz="6" w:space="0" w:color="auto"/>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84" w:type="dxa"/>
            <w:tcBorders>
              <w:bottom w:val="single" w:sz="6" w:space="0" w:color="auto"/>
            </w:tcBorders>
          </w:tcPr>
          <w:p w:rsidR="00AA5D77" w:rsidRPr="006C40C1" w:rsidRDefault="00AA5D77">
            <w:pPr>
              <w:spacing w:before="0" w:line="200" w:lineRule="exact"/>
              <w:rPr>
                <w:sz w:val="16"/>
              </w:rPr>
            </w:pPr>
          </w:p>
        </w:tc>
        <w:tc>
          <w:tcPr>
            <w:tcW w:w="1276" w:type="dxa"/>
            <w:tcBorders>
              <w:bottom w:val="single" w:sz="6" w:space="0" w:color="auto"/>
            </w:tcBorders>
          </w:tcPr>
          <w:p w:rsidR="00AA5D77" w:rsidRPr="006C40C1" w:rsidRDefault="00AA5D77">
            <w:pPr>
              <w:spacing w:before="0" w:line="200" w:lineRule="exact"/>
              <w:rPr>
                <w:sz w:val="16"/>
              </w:rPr>
            </w:pPr>
          </w:p>
        </w:tc>
        <w:tc>
          <w:tcPr>
            <w:tcW w:w="2198" w:type="dxa"/>
            <w:gridSpan w:val="2"/>
            <w:tcBorders>
              <w:bottom w:val="single" w:sz="6" w:space="0" w:color="auto"/>
            </w:tcBorders>
          </w:tcPr>
          <w:p w:rsidR="00AA5D77" w:rsidRPr="006C40C1" w:rsidRDefault="00AA5D77">
            <w:pPr>
              <w:spacing w:before="0" w:line="200" w:lineRule="exact"/>
              <w:jc w:val="left"/>
              <w:rPr>
                <w:sz w:val="16"/>
              </w:rPr>
            </w:pPr>
          </w:p>
        </w:tc>
        <w:tc>
          <w:tcPr>
            <w:tcW w:w="1134"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Energiskatt</w:t>
            </w:r>
          </w:p>
        </w:tc>
        <w:tc>
          <w:tcPr>
            <w:tcW w:w="1321"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Koldioxidskatt</w:t>
            </w:r>
          </w:p>
        </w:tc>
        <w:tc>
          <w:tcPr>
            <w:tcW w:w="1320"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Summa skatt</w:t>
            </w: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miljöklass 1</w:t>
            </w:r>
          </w:p>
        </w:tc>
        <w:tc>
          <w:tcPr>
            <w:tcW w:w="1309" w:type="dxa"/>
            <w:gridSpan w:val="2"/>
          </w:tcPr>
          <w:p w:rsidR="00AA5D77" w:rsidRPr="006C40C1" w:rsidRDefault="00AA5D77">
            <w:pPr>
              <w:spacing w:before="0" w:line="200" w:lineRule="exact"/>
              <w:rPr>
                <w:sz w:val="16"/>
              </w:rPr>
            </w:pPr>
            <w:r w:rsidRPr="006C40C1">
              <w:rPr>
                <w:i/>
                <w:sz w:val="16"/>
              </w:rPr>
              <w:t>1 058</w:t>
            </w:r>
            <w:r w:rsidRPr="006C40C1">
              <w:rPr>
                <w:sz w:val="16"/>
              </w:rPr>
              <w:t xml:space="preserve"> kr per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 xml:space="preserve">2 120 </w:t>
            </w:r>
            <w:r w:rsidRPr="006C40C1">
              <w:rPr>
                <w:sz w:val="16"/>
              </w:rPr>
              <w:t>kr per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sz w:val="16"/>
              </w:rPr>
              <w:t>3 178 kr per m</w:t>
            </w:r>
            <w:r w:rsidRPr="006C40C1">
              <w:rPr>
                <w:sz w:val="16"/>
                <w:vertAlign w:val="superscript"/>
              </w:rPr>
              <w:t>3</w:t>
            </w: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miljöklass 2</w:t>
            </w:r>
          </w:p>
        </w:tc>
        <w:tc>
          <w:tcPr>
            <w:tcW w:w="1309" w:type="dxa"/>
            <w:gridSpan w:val="2"/>
          </w:tcPr>
          <w:p w:rsidR="00AA5D77" w:rsidRPr="006C40C1" w:rsidRDefault="00AA5D77">
            <w:pPr>
              <w:spacing w:before="0" w:line="200" w:lineRule="exact"/>
              <w:rPr>
                <w:sz w:val="16"/>
              </w:rPr>
            </w:pPr>
            <w:r w:rsidRPr="006C40C1">
              <w:rPr>
                <w:i/>
                <w:sz w:val="16"/>
              </w:rPr>
              <w:t>1 297</w:t>
            </w:r>
            <w:r w:rsidRPr="006C40C1">
              <w:rPr>
                <w:sz w:val="16"/>
              </w:rPr>
              <w:t xml:space="preserve"> kr per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 xml:space="preserve">2 120 </w:t>
            </w:r>
            <w:r w:rsidRPr="006C40C1">
              <w:rPr>
                <w:sz w:val="16"/>
              </w:rPr>
              <w:t>kr per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sz w:val="16"/>
              </w:rPr>
              <w:t>3 417 kr per m</w:t>
            </w:r>
            <w:r w:rsidRPr="006C40C1">
              <w:rPr>
                <w:sz w:val="16"/>
                <w:vertAlign w:val="superscript"/>
              </w:rPr>
              <w:t>3</w:t>
            </w: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miljöklass 3 eller inte tillhör någon miljöklass</w:t>
            </w:r>
          </w:p>
        </w:tc>
        <w:tc>
          <w:tcPr>
            <w:tcW w:w="1309" w:type="dxa"/>
            <w:gridSpan w:val="2"/>
          </w:tcPr>
          <w:p w:rsidR="00AA5D77" w:rsidRPr="006C40C1" w:rsidRDefault="00AA5D77">
            <w:pPr>
              <w:spacing w:before="0" w:line="200" w:lineRule="exact"/>
              <w:rPr>
                <w:sz w:val="16"/>
              </w:rPr>
            </w:pPr>
            <w:r w:rsidRPr="006C40C1">
              <w:rPr>
                <w:i/>
                <w:sz w:val="16"/>
              </w:rPr>
              <w:t>1 610</w:t>
            </w:r>
            <w:r w:rsidRPr="006C40C1">
              <w:rPr>
                <w:sz w:val="16"/>
              </w:rPr>
              <w:t xml:space="preserve"> kr per m</w:t>
            </w:r>
            <w:r w:rsidRPr="006C40C1">
              <w:rPr>
                <w:sz w:val="16"/>
                <w:vertAlign w:val="superscript"/>
              </w:rPr>
              <w:t>3</w:t>
            </w:r>
            <w:r w:rsidRPr="006C40C1">
              <w:rPr>
                <w:sz w:val="16"/>
              </w:rPr>
              <w:t xml:space="preserve"> </w:t>
            </w:r>
          </w:p>
        </w:tc>
        <w:tc>
          <w:tcPr>
            <w:tcW w:w="1321" w:type="dxa"/>
          </w:tcPr>
          <w:p w:rsidR="00AA5D77" w:rsidRPr="006C40C1" w:rsidRDefault="00AA5D77">
            <w:pPr>
              <w:spacing w:before="0" w:line="200" w:lineRule="exact"/>
              <w:rPr>
                <w:sz w:val="16"/>
              </w:rPr>
            </w:pPr>
            <w:r w:rsidRPr="006C40C1">
              <w:rPr>
                <w:i/>
                <w:sz w:val="16"/>
              </w:rPr>
              <w:t xml:space="preserve">2 120 </w:t>
            </w:r>
            <w:r w:rsidRPr="006C40C1">
              <w:rPr>
                <w:sz w:val="16"/>
              </w:rPr>
              <w:t>kr per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sz w:val="16"/>
              </w:rPr>
              <w:t>3 730 kr per m</w:t>
            </w:r>
            <w:r w:rsidRPr="006C40C1">
              <w:rPr>
                <w:sz w:val="16"/>
                <w:vertAlign w:val="superscript"/>
              </w:rPr>
              <w:t>3</w:t>
            </w: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r w:rsidRPr="006C40C1">
              <w:rPr>
                <w:sz w:val="16"/>
              </w:rPr>
              <w:t>4.</w:t>
            </w:r>
          </w:p>
        </w:tc>
        <w:tc>
          <w:tcPr>
            <w:tcW w:w="1276" w:type="dxa"/>
          </w:tcPr>
          <w:p w:rsidR="00AA5D77" w:rsidRPr="006C40C1" w:rsidRDefault="00AA5D77">
            <w:pPr>
              <w:spacing w:before="0" w:line="200" w:lineRule="exact"/>
              <w:rPr>
                <w:sz w:val="16"/>
              </w:rPr>
            </w:pPr>
            <w:r w:rsidRPr="006C40C1">
              <w:rPr>
                <w:sz w:val="16"/>
              </w:rPr>
              <w:t>ur 2711 12 11–2711 19 00</w:t>
            </w:r>
          </w:p>
        </w:tc>
        <w:tc>
          <w:tcPr>
            <w:tcW w:w="2023" w:type="dxa"/>
          </w:tcPr>
          <w:p w:rsidR="00AA5D77" w:rsidRPr="006C40C1" w:rsidRDefault="00AA5D77">
            <w:pPr>
              <w:spacing w:before="0" w:line="200" w:lineRule="exact"/>
              <w:jc w:val="left"/>
              <w:rPr>
                <w:sz w:val="16"/>
              </w:rPr>
            </w:pPr>
            <w:r w:rsidRPr="006C40C1">
              <w:rPr>
                <w:sz w:val="16"/>
              </w:rPr>
              <w:t xml:space="preserve">Gasol som används för </w:t>
            </w:r>
          </w:p>
        </w:tc>
        <w:tc>
          <w:tcPr>
            <w:tcW w:w="1309" w:type="dxa"/>
            <w:gridSpan w:val="2"/>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a) drift av motordrivet fordon, fartyg eller luftfartyg</w:t>
            </w:r>
          </w:p>
        </w:tc>
        <w:tc>
          <w:tcPr>
            <w:tcW w:w="1309" w:type="dxa"/>
            <w:gridSpan w:val="2"/>
          </w:tcPr>
          <w:p w:rsidR="00AA5D77" w:rsidRPr="006C40C1" w:rsidRDefault="00AA5D77">
            <w:pPr>
              <w:spacing w:before="0" w:line="200" w:lineRule="exact"/>
              <w:rPr>
                <w:sz w:val="16"/>
              </w:rPr>
            </w:pPr>
            <w:r w:rsidRPr="006C40C1">
              <w:rPr>
                <w:sz w:val="16"/>
              </w:rPr>
              <w:t xml:space="preserve">0 kr per </w:t>
            </w:r>
          </w:p>
          <w:p w:rsidR="00AA5D77" w:rsidRPr="006C40C1" w:rsidRDefault="00AA5D77">
            <w:pPr>
              <w:spacing w:before="0" w:line="200" w:lineRule="exact"/>
              <w:rPr>
                <w:sz w:val="16"/>
              </w:rPr>
            </w:pPr>
            <w:r w:rsidRPr="006C40C1">
              <w:rPr>
                <w:sz w:val="16"/>
              </w:rPr>
              <w:t>1 000 kg</w:t>
            </w:r>
          </w:p>
        </w:tc>
        <w:tc>
          <w:tcPr>
            <w:tcW w:w="1321" w:type="dxa"/>
          </w:tcPr>
          <w:p w:rsidR="00AA5D77" w:rsidRPr="006C40C1" w:rsidRDefault="00AA5D77">
            <w:pPr>
              <w:spacing w:before="0" w:line="200" w:lineRule="exact"/>
              <w:jc w:val="left"/>
              <w:rPr>
                <w:sz w:val="16"/>
              </w:rPr>
            </w:pPr>
            <w:r w:rsidRPr="006C40C1">
              <w:rPr>
                <w:sz w:val="16"/>
              </w:rPr>
              <w:t xml:space="preserve">1 322 kr per </w:t>
            </w:r>
            <w:r w:rsidRPr="006C40C1">
              <w:rPr>
                <w:sz w:val="16"/>
              </w:rPr>
              <w:br/>
              <w:t>1 000 kg</w:t>
            </w:r>
          </w:p>
        </w:tc>
        <w:tc>
          <w:tcPr>
            <w:tcW w:w="1320" w:type="dxa"/>
          </w:tcPr>
          <w:p w:rsidR="00AA5D77" w:rsidRPr="006C40C1" w:rsidRDefault="00AA5D77">
            <w:pPr>
              <w:spacing w:before="0" w:line="200" w:lineRule="exact"/>
              <w:jc w:val="left"/>
              <w:rPr>
                <w:sz w:val="16"/>
              </w:rPr>
            </w:pPr>
            <w:r w:rsidRPr="006C40C1">
              <w:rPr>
                <w:sz w:val="16"/>
              </w:rPr>
              <w:t xml:space="preserve">1 322 kr per </w:t>
            </w:r>
            <w:r w:rsidRPr="006C40C1">
              <w:rPr>
                <w:sz w:val="16"/>
              </w:rPr>
              <w:br/>
              <w:t>1 000 kg</w:t>
            </w: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b) annat ändamål än som avses under a</w:t>
            </w:r>
          </w:p>
        </w:tc>
        <w:tc>
          <w:tcPr>
            <w:tcW w:w="1309" w:type="dxa"/>
            <w:gridSpan w:val="2"/>
          </w:tcPr>
          <w:p w:rsidR="00AA5D77" w:rsidRPr="006C40C1" w:rsidRDefault="00AA5D77">
            <w:pPr>
              <w:spacing w:before="0" w:line="200" w:lineRule="exact"/>
              <w:rPr>
                <w:sz w:val="16"/>
              </w:rPr>
            </w:pPr>
            <w:r w:rsidRPr="006C40C1">
              <w:rPr>
                <w:sz w:val="16"/>
              </w:rPr>
              <w:t xml:space="preserve">141 kr per </w:t>
            </w:r>
          </w:p>
          <w:p w:rsidR="00AA5D77" w:rsidRPr="006C40C1" w:rsidRDefault="00AA5D77">
            <w:pPr>
              <w:spacing w:before="0" w:line="200" w:lineRule="exact"/>
              <w:rPr>
                <w:sz w:val="16"/>
              </w:rPr>
            </w:pPr>
            <w:r w:rsidRPr="006C40C1">
              <w:rPr>
                <w:sz w:val="16"/>
              </w:rPr>
              <w:t>1 000 kg</w:t>
            </w:r>
          </w:p>
        </w:tc>
        <w:tc>
          <w:tcPr>
            <w:tcW w:w="1321" w:type="dxa"/>
          </w:tcPr>
          <w:p w:rsidR="00AA5D77" w:rsidRPr="006C40C1" w:rsidRDefault="00AA5D77">
            <w:pPr>
              <w:spacing w:before="0" w:line="200" w:lineRule="exact"/>
              <w:rPr>
                <w:sz w:val="16"/>
              </w:rPr>
            </w:pPr>
            <w:r w:rsidRPr="006C40C1">
              <w:rPr>
                <w:i/>
                <w:sz w:val="16"/>
              </w:rPr>
              <w:t xml:space="preserve">2 229 </w:t>
            </w:r>
            <w:r w:rsidRPr="006C40C1">
              <w:rPr>
                <w:sz w:val="16"/>
              </w:rPr>
              <w:t xml:space="preserve">kr per </w:t>
            </w:r>
          </w:p>
          <w:p w:rsidR="00AA5D77" w:rsidRPr="006C40C1" w:rsidRDefault="00AA5D77">
            <w:pPr>
              <w:spacing w:before="0" w:line="200" w:lineRule="exact"/>
              <w:rPr>
                <w:sz w:val="16"/>
              </w:rPr>
            </w:pPr>
            <w:r w:rsidRPr="006C40C1">
              <w:rPr>
                <w:sz w:val="16"/>
              </w:rPr>
              <w:t>1 000 kg</w:t>
            </w:r>
          </w:p>
        </w:tc>
        <w:tc>
          <w:tcPr>
            <w:tcW w:w="1320" w:type="dxa"/>
          </w:tcPr>
          <w:p w:rsidR="00AA5D77" w:rsidRPr="006C40C1" w:rsidRDefault="00AA5D77">
            <w:pPr>
              <w:spacing w:before="0" w:line="200" w:lineRule="exact"/>
              <w:rPr>
                <w:sz w:val="16"/>
              </w:rPr>
            </w:pPr>
            <w:r w:rsidRPr="006C40C1">
              <w:rPr>
                <w:i/>
                <w:sz w:val="16"/>
              </w:rPr>
              <w:t>2 370</w:t>
            </w:r>
            <w:r w:rsidRPr="006C40C1">
              <w:rPr>
                <w:sz w:val="16"/>
              </w:rPr>
              <w:t xml:space="preserve"> kr per </w:t>
            </w:r>
          </w:p>
          <w:p w:rsidR="00AA5D77" w:rsidRPr="006C40C1" w:rsidRDefault="00AA5D77">
            <w:pPr>
              <w:spacing w:before="0" w:line="200" w:lineRule="exact"/>
              <w:rPr>
                <w:sz w:val="16"/>
              </w:rPr>
            </w:pPr>
            <w:r w:rsidRPr="006C40C1">
              <w:rPr>
                <w:sz w:val="16"/>
              </w:rPr>
              <w:t>1 000 kg</w:t>
            </w: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r w:rsidRPr="006C40C1">
              <w:rPr>
                <w:sz w:val="16"/>
              </w:rPr>
              <w:t>5.</w:t>
            </w:r>
          </w:p>
        </w:tc>
        <w:tc>
          <w:tcPr>
            <w:tcW w:w="1276" w:type="dxa"/>
          </w:tcPr>
          <w:p w:rsidR="00AA5D77" w:rsidRPr="006C40C1" w:rsidRDefault="00AA5D77">
            <w:pPr>
              <w:spacing w:before="0" w:line="200" w:lineRule="exact"/>
              <w:rPr>
                <w:sz w:val="16"/>
              </w:rPr>
            </w:pPr>
            <w:r w:rsidRPr="006C40C1">
              <w:rPr>
                <w:sz w:val="16"/>
              </w:rPr>
              <w:t>ur 2711 29 00</w:t>
            </w:r>
          </w:p>
        </w:tc>
        <w:tc>
          <w:tcPr>
            <w:tcW w:w="2023" w:type="dxa"/>
          </w:tcPr>
          <w:p w:rsidR="00AA5D77" w:rsidRPr="006C40C1" w:rsidRDefault="00AA5D77">
            <w:pPr>
              <w:spacing w:before="0" w:line="200" w:lineRule="exact"/>
              <w:jc w:val="left"/>
              <w:rPr>
                <w:sz w:val="16"/>
              </w:rPr>
            </w:pPr>
            <w:r w:rsidRPr="006C40C1">
              <w:rPr>
                <w:sz w:val="16"/>
              </w:rPr>
              <w:t>Metan som används för</w:t>
            </w:r>
          </w:p>
        </w:tc>
        <w:tc>
          <w:tcPr>
            <w:tcW w:w="1309" w:type="dxa"/>
            <w:gridSpan w:val="2"/>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a) drift av motordrivet fordon, fartyg eller luftfartyg</w:t>
            </w:r>
          </w:p>
        </w:tc>
        <w:tc>
          <w:tcPr>
            <w:tcW w:w="1309" w:type="dxa"/>
            <w:gridSpan w:val="2"/>
          </w:tcPr>
          <w:p w:rsidR="00AA5D77" w:rsidRPr="006C40C1" w:rsidRDefault="00AA5D77">
            <w:pPr>
              <w:spacing w:before="0" w:line="200" w:lineRule="exact"/>
              <w:rPr>
                <w:sz w:val="16"/>
              </w:rPr>
            </w:pPr>
            <w:r w:rsidRPr="006C40C1">
              <w:rPr>
                <w:sz w:val="16"/>
              </w:rPr>
              <w:t xml:space="preserve">0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sz w:val="16"/>
              </w:rPr>
              <w:t xml:space="preserve">1 087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sz w:val="16"/>
              </w:rPr>
              <w:t xml:space="preserve">1 087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b) annat ändamål än som avses under a</w:t>
            </w:r>
          </w:p>
        </w:tc>
        <w:tc>
          <w:tcPr>
            <w:tcW w:w="1309" w:type="dxa"/>
            <w:gridSpan w:val="2"/>
          </w:tcPr>
          <w:p w:rsidR="00AA5D77" w:rsidRPr="006C40C1" w:rsidRDefault="00AA5D77">
            <w:pPr>
              <w:spacing w:before="0" w:line="200" w:lineRule="exact"/>
              <w:rPr>
                <w:sz w:val="16"/>
              </w:rPr>
            </w:pPr>
            <w:r w:rsidRPr="006C40C1">
              <w:rPr>
                <w:sz w:val="16"/>
              </w:rPr>
              <w:t xml:space="preserve">233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 xml:space="preserve">1 587 </w:t>
            </w:r>
            <w:r w:rsidRPr="006C40C1">
              <w:rPr>
                <w:sz w:val="16"/>
              </w:rPr>
              <w:t xml:space="preserve">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1 820</w:t>
            </w:r>
            <w:r w:rsidRPr="006C40C1">
              <w:rPr>
                <w:sz w:val="16"/>
              </w:rPr>
              <w:t xml:space="preserve">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r w:rsidRPr="006C40C1">
              <w:rPr>
                <w:sz w:val="16"/>
              </w:rPr>
              <w:t>6.</w:t>
            </w:r>
          </w:p>
        </w:tc>
        <w:tc>
          <w:tcPr>
            <w:tcW w:w="1276" w:type="dxa"/>
          </w:tcPr>
          <w:p w:rsidR="00AA5D77" w:rsidRPr="006C40C1" w:rsidRDefault="00AA5D77">
            <w:pPr>
              <w:spacing w:before="0" w:line="200" w:lineRule="exact"/>
              <w:rPr>
                <w:sz w:val="16"/>
              </w:rPr>
            </w:pPr>
            <w:r w:rsidRPr="006C40C1">
              <w:rPr>
                <w:sz w:val="16"/>
              </w:rPr>
              <w:t>2711 11 00, 2711 21 00</w:t>
            </w:r>
          </w:p>
        </w:tc>
        <w:tc>
          <w:tcPr>
            <w:tcW w:w="2023" w:type="dxa"/>
          </w:tcPr>
          <w:p w:rsidR="00AA5D77" w:rsidRPr="006C40C1" w:rsidRDefault="00AA5D77">
            <w:pPr>
              <w:spacing w:before="0" w:line="200" w:lineRule="exact"/>
              <w:jc w:val="left"/>
              <w:rPr>
                <w:rFonts w:ascii="OrigGarmnd BT" w:hAnsi="OrigGarmnd BT"/>
                <w:sz w:val="16"/>
              </w:rPr>
            </w:pPr>
            <w:r w:rsidRPr="006C40C1">
              <w:rPr>
                <w:rFonts w:ascii="OrigGarmnd BT" w:hAnsi="OrigGarmnd BT"/>
                <w:sz w:val="16"/>
              </w:rPr>
              <w:t>Naturgas som används för</w:t>
            </w:r>
          </w:p>
        </w:tc>
        <w:tc>
          <w:tcPr>
            <w:tcW w:w="1309" w:type="dxa"/>
            <w:gridSpan w:val="2"/>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a) drift av motordrivet fordon, fartyg eller luftfartyg</w:t>
            </w:r>
          </w:p>
        </w:tc>
        <w:tc>
          <w:tcPr>
            <w:tcW w:w="1309" w:type="dxa"/>
            <w:gridSpan w:val="2"/>
          </w:tcPr>
          <w:p w:rsidR="00AA5D77" w:rsidRPr="006C40C1" w:rsidRDefault="00AA5D77">
            <w:pPr>
              <w:spacing w:before="0" w:line="200" w:lineRule="exact"/>
              <w:rPr>
                <w:sz w:val="16"/>
              </w:rPr>
            </w:pPr>
            <w:r w:rsidRPr="006C40C1">
              <w:rPr>
                <w:sz w:val="16"/>
              </w:rPr>
              <w:t xml:space="preserve">0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sz w:val="16"/>
              </w:rPr>
              <w:t xml:space="preserve">1 087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sz w:val="16"/>
              </w:rPr>
              <w:t xml:space="preserve">1 087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b) annat ändamål än som avses under a</w:t>
            </w:r>
          </w:p>
        </w:tc>
        <w:tc>
          <w:tcPr>
            <w:tcW w:w="1309" w:type="dxa"/>
            <w:gridSpan w:val="2"/>
          </w:tcPr>
          <w:p w:rsidR="00AA5D77" w:rsidRPr="006C40C1" w:rsidRDefault="00AA5D77">
            <w:pPr>
              <w:spacing w:before="0" w:line="200" w:lineRule="exact"/>
              <w:rPr>
                <w:sz w:val="16"/>
              </w:rPr>
            </w:pPr>
            <w:r w:rsidRPr="006C40C1">
              <w:rPr>
                <w:sz w:val="16"/>
              </w:rPr>
              <w:t xml:space="preserve">233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 xml:space="preserve">1 587 </w:t>
            </w:r>
            <w:r w:rsidRPr="006C40C1">
              <w:rPr>
                <w:sz w:val="16"/>
              </w:rPr>
              <w:t xml:space="preserve">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1 820</w:t>
            </w:r>
            <w:r w:rsidRPr="006C40C1">
              <w:rPr>
                <w:sz w:val="16"/>
              </w:rPr>
              <w:t xml:space="preserve">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r w:rsidRPr="006C40C1">
              <w:rPr>
                <w:sz w:val="16"/>
              </w:rPr>
              <w:t>7.</w:t>
            </w:r>
          </w:p>
        </w:tc>
        <w:tc>
          <w:tcPr>
            <w:tcW w:w="1276" w:type="dxa"/>
          </w:tcPr>
          <w:p w:rsidR="00AA5D77" w:rsidRPr="006C40C1" w:rsidRDefault="00AA5D77">
            <w:pPr>
              <w:spacing w:before="0" w:line="200" w:lineRule="exact"/>
              <w:rPr>
                <w:sz w:val="16"/>
              </w:rPr>
            </w:pPr>
            <w:r w:rsidRPr="006C40C1">
              <w:rPr>
                <w:sz w:val="16"/>
              </w:rPr>
              <w:t>2701, 2702 eller 2704</w:t>
            </w:r>
          </w:p>
        </w:tc>
        <w:tc>
          <w:tcPr>
            <w:tcW w:w="2023" w:type="dxa"/>
          </w:tcPr>
          <w:p w:rsidR="00AA5D77" w:rsidRPr="006C40C1" w:rsidRDefault="00AA5D77">
            <w:pPr>
              <w:spacing w:before="0" w:line="200" w:lineRule="exact"/>
              <w:jc w:val="left"/>
              <w:rPr>
                <w:sz w:val="16"/>
              </w:rPr>
            </w:pPr>
            <w:r w:rsidRPr="006C40C1">
              <w:rPr>
                <w:sz w:val="16"/>
              </w:rPr>
              <w:t>Kolbränslen</w:t>
            </w:r>
          </w:p>
        </w:tc>
        <w:tc>
          <w:tcPr>
            <w:tcW w:w="1309" w:type="dxa"/>
            <w:gridSpan w:val="2"/>
          </w:tcPr>
          <w:p w:rsidR="00AA5D77" w:rsidRPr="006C40C1" w:rsidRDefault="00AA5D77">
            <w:pPr>
              <w:spacing w:before="0" w:line="200" w:lineRule="exact"/>
              <w:rPr>
                <w:sz w:val="16"/>
              </w:rPr>
            </w:pPr>
            <w:r w:rsidRPr="006C40C1">
              <w:rPr>
                <w:sz w:val="16"/>
              </w:rPr>
              <w:t>307 kr per</w:t>
            </w:r>
          </w:p>
          <w:p w:rsidR="00AA5D77" w:rsidRPr="006C40C1" w:rsidRDefault="00AA5D77">
            <w:pPr>
              <w:spacing w:before="0" w:line="200" w:lineRule="exact"/>
              <w:rPr>
                <w:sz w:val="16"/>
              </w:rPr>
            </w:pPr>
            <w:r w:rsidRPr="006C40C1">
              <w:rPr>
                <w:rFonts w:ascii="OrigGarmnd BT" w:hAnsi="OrigGarmnd BT"/>
                <w:sz w:val="16"/>
              </w:rPr>
              <w:t>1 000 kg</w:t>
            </w:r>
          </w:p>
        </w:tc>
        <w:tc>
          <w:tcPr>
            <w:tcW w:w="1321" w:type="dxa"/>
          </w:tcPr>
          <w:p w:rsidR="00AA5D77" w:rsidRPr="006C40C1" w:rsidRDefault="00AA5D77">
            <w:pPr>
              <w:spacing w:before="0" w:line="200" w:lineRule="exact"/>
              <w:rPr>
                <w:sz w:val="16"/>
              </w:rPr>
            </w:pPr>
            <w:r w:rsidRPr="006C40C1">
              <w:rPr>
                <w:i/>
                <w:sz w:val="16"/>
              </w:rPr>
              <w:t xml:space="preserve">1 844 </w:t>
            </w:r>
            <w:r w:rsidRPr="006C40C1">
              <w:rPr>
                <w:sz w:val="16"/>
              </w:rPr>
              <w:t>kr per</w:t>
            </w:r>
          </w:p>
          <w:p w:rsidR="00AA5D77" w:rsidRPr="006C40C1" w:rsidRDefault="00AA5D77">
            <w:pPr>
              <w:spacing w:before="0" w:line="200" w:lineRule="exact"/>
              <w:rPr>
                <w:sz w:val="16"/>
              </w:rPr>
            </w:pPr>
            <w:r w:rsidRPr="006C40C1">
              <w:rPr>
                <w:sz w:val="16"/>
              </w:rPr>
              <w:t>1 000 kg</w:t>
            </w:r>
          </w:p>
        </w:tc>
        <w:tc>
          <w:tcPr>
            <w:tcW w:w="1320" w:type="dxa"/>
          </w:tcPr>
          <w:p w:rsidR="00AA5D77" w:rsidRPr="006C40C1" w:rsidRDefault="00AA5D77">
            <w:pPr>
              <w:spacing w:before="0" w:line="200" w:lineRule="exact"/>
              <w:rPr>
                <w:sz w:val="16"/>
              </w:rPr>
            </w:pPr>
            <w:r w:rsidRPr="006C40C1">
              <w:rPr>
                <w:i/>
                <w:sz w:val="16"/>
              </w:rPr>
              <w:t>2 151</w:t>
            </w:r>
            <w:r w:rsidRPr="006C40C1">
              <w:rPr>
                <w:sz w:val="16"/>
              </w:rPr>
              <w:t xml:space="preserve"> kr per</w:t>
            </w:r>
          </w:p>
          <w:p w:rsidR="00AA5D77" w:rsidRPr="006C40C1" w:rsidRDefault="00AA5D77">
            <w:pPr>
              <w:spacing w:before="0" w:line="200" w:lineRule="exact"/>
              <w:rPr>
                <w:sz w:val="16"/>
              </w:rPr>
            </w:pPr>
            <w:r w:rsidRPr="006C40C1">
              <w:rPr>
                <w:sz w:val="16"/>
              </w:rPr>
              <w:t>1 000 kg</w:t>
            </w:r>
          </w:p>
        </w:tc>
      </w:tr>
      <w:tr w:rsidR="00000000" w:rsidRPr="006C40C1">
        <w:tblPrEx>
          <w:tblCellMar>
            <w:top w:w="0" w:type="dxa"/>
            <w:bottom w:w="0" w:type="dxa"/>
          </w:tblCellMar>
        </w:tblPrEx>
        <w:tc>
          <w:tcPr>
            <w:tcW w:w="284" w:type="dxa"/>
            <w:tcBorders>
              <w:bottom w:val="single" w:sz="6" w:space="0" w:color="auto"/>
            </w:tcBorders>
          </w:tcPr>
          <w:p w:rsidR="00AA5D77" w:rsidRPr="006C40C1" w:rsidRDefault="00AA5D77">
            <w:pPr>
              <w:spacing w:before="0" w:line="200" w:lineRule="exact"/>
              <w:rPr>
                <w:sz w:val="16"/>
              </w:rPr>
            </w:pPr>
            <w:r w:rsidRPr="006C40C1">
              <w:rPr>
                <w:sz w:val="16"/>
              </w:rPr>
              <w:t>8.</w:t>
            </w:r>
          </w:p>
        </w:tc>
        <w:tc>
          <w:tcPr>
            <w:tcW w:w="1276" w:type="dxa"/>
            <w:tcBorders>
              <w:bottom w:val="single" w:sz="6" w:space="0" w:color="auto"/>
            </w:tcBorders>
          </w:tcPr>
          <w:p w:rsidR="00AA5D77" w:rsidRPr="006C40C1" w:rsidRDefault="00AA5D77">
            <w:pPr>
              <w:spacing w:before="0" w:line="200" w:lineRule="exact"/>
              <w:rPr>
                <w:sz w:val="16"/>
              </w:rPr>
            </w:pPr>
            <w:r w:rsidRPr="006C40C1">
              <w:rPr>
                <w:sz w:val="16"/>
              </w:rPr>
              <w:t>2713 11 00–2713 12 00</w:t>
            </w:r>
          </w:p>
        </w:tc>
        <w:tc>
          <w:tcPr>
            <w:tcW w:w="2023" w:type="dxa"/>
            <w:tcBorders>
              <w:bottom w:val="single" w:sz="6" w:space="0" w:color="auto"/>
            </w:tcBorders>
          </w:tcPr>
          <w:p w:rsidR="00AA5D77" w:rsidRPr="006C40C1" w:rsidRDefault="00AA5D77">
            <w:pPr>
              <w:spacing w:before="0" w:line="200" w:lineRule="exact"/>
              <w:jc w:val="left"/>
              <w:rPr>
                <w:sz w:val="16"/>
              </w:rPr>
            </w:pPr>
            <w:r w:rsidRPr="006C40C1">
              <w:rPr>
                <w:sz w:val="16"/>
              </w:rPr>
              <w:t>Petroleumkoks</w:t>
            </w:r>
          </w:p>
        </w:tc>
        <w:tc>
          <w:tcPr>
            <w:tcW w:w="1309" w:type="dxa"/>
            <w:gridSpan w:val="2"/>
            <w:tcBorders>
              <w:bottom w:val="single" w:sz="6" w:space="0" w:color="auto"/>
            </w:tcBorders>
          </w:tcPr>
          <w:p w:rsidR="00AA5D77" w:rsidRPr="006C40C1" w:rsidRDefault="00AA5D77">
            <w:pPr>
              <w:spacing w:before="0" w:line="200" w:lineRule="exact"/>
              <w:rPr>
                <w:sz w:val="16"/>
              </w:rPr>
            </w:pPr>
            <w:r w:rsidRPr="006C40C1">
              <w:rPr>
                <w:sz w:val="16"/>
              </w:rPr>
              <w:t>307 kr per</w:t>
            </w:r>
          </w:p>
          <w:p w:rsidR="00AA5D77" w:rsidRPr="006C40C1" w:rsidRDefault="00AA5D77">
            <w:pPr>
              <w:spacing w:before="0" w:line="200" w:lineRule="exact"/>
              <w:rPr>
                <w:sz w:val="16"/>
              </w:rPr>
            </w:pPr>
            <w:r w:rsidRPr="006C40C1">
              <w:rPr>
                <w:sz w:val="16"/>
              </w:rPr>
              <w:t>1 000 kg</w:t>
            </w:r>
          </w:p>
        </w:tc>
        <w:tc>
          <w:tcPr>
            <w:tcW w:w="1321" w:type="dxa"/>
            <w:tcBorders>
              <w:bottom w:val="single" w:sz="6" w:space="0" w:color="auto"/>
            </w:tcBorders>
          </w:tcPr>
          <w:p w:rsidR="00AA5D77" w:rsidRPr="006C40C1" w:rsidRDefault="00AA5D77">
            <w:pPr>
              <w:spacing w:before="0" w:line="200" w:lineRule="exact"/>
              <w:rPr>
                <w:sz w:val="16"/>
              </w:rPr>
            </w:pPr>
            <w:r w:rsidRPr="006C40C1">
              <w:rPr>
                <w:i/>
                <w:sz w:val="16"/>
              </w:rPr>
              <w:t xml:space="preserve">1 844 </w:t>
            </w:r>
            <w:r w:rsidRPr="006C40C1">
              <w:rPr>
                <w:sz w:val="16"/>
              </w:rPr>
              <w:t>kr per</w:t>
            </w:r>
          </w:p>
          <w:p w:rsidR="00AA5D77" w:rsidRPr="006C40C1" w:rsidRDefault="00AA5D77">
            <w:pPr>
              <w:spacing w:before="0" w:line="200" w:lineRule="exact"/>
              <w:rPr>
                <w:sz w:val="16"/>
              </w:rPr>
            </w:pPr>
            <w:r w:rsidRPr="006C40C1">
              <w:rPr>
                <w:sz w:val="16"/>
              </w:rPr>
              <w:t>1 000 kg</w:t>
            </w:r>
          </w:p>
        </w:tc>
        <w:tc>
          <w:tcPr>
            <w:tcW w:w="1320" w:type="dxa"/>
            <w:tcBorders>
              <w:bottom w:val="single" w:sz="6" w:space="0" w:color="auto"/>
            </w:tcBorders>
          </w:tcPr>
          <w:p w:rsidR="00AA5D77" w:rsidRPr="006C40C1" w:rsidRDefault="00AA5D77">
            <w:pPr>
              <w:spacing w:before="0" w:line="200" w:lineRule="exact"/>
              <w:rPr>
                <w:sz w:val="16"/>
              </w:rPr>
            </w:pPr>
            <w:r w:rsidRPr="006C40C1">
              <w:rPr>
                <w:i/>
                <w:sz w:val="16"/>
              </w:rPr>
              <w:t>2 151</w:t>
            </w:r>
            <w:r w:rsidRPr="006C40C1">
              <w:rPr>
                <w:sz w:val="16"/>
              </w:rPr>
              <w:t xml:space="preserve"> kr per</w:t>
            </w:r>
          </w:p>
          <w:p w:rsidR="00AA5D77" w:rsidRPr="006C40C1" w:rsidRDefault="00AA5D77">
            <w:pPr>
              <w:spacing w:before="0" w:line="200" w:lineRule="exact"/>
              <w:rPr>
                <w:sz w:val="16"/>
              </w:rPr>
            </w:pPr>
            <w:r w:rsidRPr="006C40C1">
              <w:rPr>
                <w:sz w:val="16"/>
              </w:rPr>
              <w:t>1 000 kg</w:t>
            </w:r>
          </w:p>
        </w:tc>
      </w:tr>
    </w:tbl>
    <w:p w:rsidR="00AA5D77" w:rsidRPr="006C40C1" w:rsidRDefault="00AA5D77">
      <w:pPr>
        <w:pStyle w:val="Normaltindrag"/>
      </w:pPr>
    </w:p>
    <w:p w:rsidR="00AA5D77" w:rsidRPr="006C40C1" w:rsidRDefault="00AA5D77">
      <w:pPr>
        <w:pStyle w:val="Normaltindrag"/>
      </w:pPr>
      <w:r w:rsidRPr="006C40C1">
        <w:t>I fall som avses i 4 kap. 1 § 7 och 8 och 12 § första stycket 4 tas skatt ut med ett belopp som motsvarar skillnaden mellan de skattebelopp som gäller för bränslets olika användningssätt.</w:t>
      </w:r>
    </w:p>
    <w:p w:rsidR="00AA5D77" w:rsidRPr="006C40C1" w:rsidRDefault="00AA5D77">
      <w:pPr>
        <w:pStyle w:val="Normaltindrag"/>
      </w:pPr>
      <w:r w:rsidRPr="006C40C1">
        <w:t>För kalenderåret 2004 och efterföljande kalenderår skall de i första stycket angivna skattebeloppen räknas om enligt 10 §.</w:t>
      </w: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Utskottets förslag</w:t>
            </w:r>
          </w:p>
        </w:tc>
        <w:tc>
          <w:tcPr>
            <w:tcW w:w="3090" w:type="dxa"/>
          </w:tcPr>
          <w:p w:rsidR="00AA5D77" w:rsidRPr="006C40C1" w:rsidRDefault="00AA5D77">
            <w:pPr>
              <w:pStyle w:val="LagtextRubrik"/>
            </w:pPr>
          </w:p>
        </w:tc>
      </w:tr>
    </w:tbl>
    <w:p w:rsidR="00AA5D77" w:rsidRPr="006C40C1" w:rsidRDefault="00AA5D77">
      <w:pPr>
        <w:pStyle w:val="Normaltindrag"/>
      </w:pPr>
      <w:r w:rsidRPr="006C40C1">
        <w:t>Energiskatt och koldioxidskatt skall, om inte annat följer av andra stycket, betalas för följande bränslen med angivna belopp:</w:t>
      </w:r>
    </w:p>
    <w:p w:rsidR="00AA5D77" w:rsidRPr="006C40C1" w:rsidRDefault="00AA5D77">
      <w:pPr>
        <w:pStyle w:val="Normaltindrag"/>
      </w:pPr>
    </w:p>
    <w:tbl>
      <w:tblPr>
        <w:tblW w:w="0" w:type="auto"/>
        <w:tblInd w:w="-142" w:type="dxa"/>
        <w:tblLayout w:type="fixed"/>
        <w:tblCellMar>
          <w:left w:w="70" w:type="dxa"/>
          <w:right w:w="70" w:type="dxa"/>
        </w:tblCellMar>
        <w:tblLook w:val="0000" w:firstRow="0" w:lastRow="0" w:firstColumn="0" w:lastColumn="0" w:noHBand="0" w:noVBand="0"/>
      </w:tblPr>
      <w:tblGrid>
        <w:gridCol w:w="284"/>
        <w:gridCol w:w="1276"/>
        <w:gridCol w:w="1708"/>
        <w:gridCol w:w="1430"/>
        <w:gridCol w:w="1321"/>
        <w:gridCol w:w="1320"/>
      </w:tblGrid>
      <w:tr w:rsidR="00000000" w:rsidRPr="006C40C1">
        <w:tblPrEx>
          <w:tblCellMar>
            <w:top w:w="0" w:type="dxa"/>
            <w:bottom w:w="0" w:type="dxa"/>
          </w:tblCellMar>
        </w:tblPrEx>
        <w:trPr>
          <w:tblHeader/>
        </w:trPr>
        <w:tc>
          <w:tcPr>
            <w:tcW w:w="284" w:type="dxa"/>
            <w:tcBorders>
              <w:top w:val="single" w:sz="6" w:space="0" w:color="auto"/>
            </w:tcBorders>
          </w:tcPr>
          <w:p w:rsidR="00AA5D77" w:rsidRPr="006C40C1" w:rsidRDefault="00AA5D77">
            <w:pPr>
              <w:spacing w:before="0" w:line="200" w:lineRule="exact"/>
              <w:rPr>
                <w:sz w:val="16"/>
              </w:rPr>
            </w:pPr>
          </w:p>
        </w:tc>
        <w:tc>
          <w:tcPr>
            <w:tcW w:w="1276" w:type="dxa"/>
            <w:tcBorders>
              <w:top w:val="single" w:sz="6" w:space="0" w:color="auto"/>
            </w:tcBorders>
          </w:tcPr>
          <w:p w:rsidR="00AA5D77" w:rsidRPr="006C40C1" w:rsidRDefault="00AA5D77">
            <w:pPr>
              <w:spacing w:before="0" w:line="200" w:lineRule="exact"/>
              <w:rPr>
                <w:sz w:val="16"/>
              </w:rPr>
            </w:pPr>
            <w:r w:rsidRPr="006C40C1">
              <w:rPr>
                <w:sz w:val="16"/>
              </w:rPr>
              <w:t>KN-nr</w:t>
            </w:r>
          </w:p>
        </w:tc>
        <w:tc>
          <w:tcPr>
            <w:tcW w:w="1708" w:type="dxa"/>
            <w:tcBorders>
              <w:top w:val="single" w:sz="6" w:space="0" w:color="auto"/>
            </w:tcBorders>
          </w:tcPr>
          <w:p w:rsidR="00AA5D77" w:rsidRPr="006C40C1" w:rsidRDefault="00AA5D77">
            <w:pPr>
              <w:spacing w:before="0" w:line="200" w:lineRule="exact"/>
              <w:jc w:val="left"/>
              <w:rPr>
                <w:sz w:val="16"/>
              </w:rPr>
            </w:pPr>
            <w:r w:rsidRPr="006C40C1">
              <w:rPr>
                <w:sz w:val="16"/>
              </w:rPr>
              <w:t>Slag av bränsle</w:t>
            </w:r>
          </w:p>
        </w:tc>
        <w:tc>
          <w:tcPr>
            <w:tcW w:w="1430" w:type="dxa"/>
            <w:tcBorders>
              <w:top w:val="single" w:sz="6" w:space="0" w:color="auto"/>
            </w:tcBorders>
          </w:tcPr>
          <w:p w:rsidR="00AA5D77" w:rsidRPr="006C40C1" w:rsidRDefault="00AA5D77">
            <w:pPr>
              <w:spacing w:before="0" w:line="200" w:lineRule="exact"/>
              <w:rPr>
                <w:sz w:val="16"/>
              </w:rPr>
            </w:pPr>
            <w:r w:rsidRPr="006C40C1">
              <w:rPr>
                <w:sz w:val="16"/>
              </w:rPr>
              <w:t>Skattebelopp</w:t>
            </w:r>
          </w:p>
        </w:tc>
        <w:tc>
          <w:tcPr>
            <w:tcW w:w="1321" w:type="dxa"/>
            <w:tcBorders>
              <w:top w:val="single" w:sz="6" w:space="0" w:color="auto"/>
            </w:tcBorders>
          </w:tcPr>
          <w:p w:rsidR="00AA5D77" w:rsidRPr="006C40C1" w:rsidRDefault="00AA5D77">
            <w:pPr>
              <w:spacing w:before="0" w:line="200" w:lineRule="exact"/>
              <w:rPr>
                <w:sz w:val="16"/>
              </w:rPr>
            </w:pPr>
          </w:p>
        </w:tc>
        <w:tc>
          <w:tcPr>
            <w:tcW w:w="1320" w:type="dxa"/>
            <w:tcBorders>
              <w:top w:val="single" w:sz="6" w:space="0" w:color="auto"/>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tblHeader/>
        </w:trPr>
        <w:tc>
          <w:tcPr>
            <w:tcW w:w="284" w:type="dxa"/>
            <w:tcBorders>
              <w:bottom w:val="single" w:sz="6" w:space="0" w:color="auto"/>
            </w:tcBorders>
          </w:tcPr>
          <w:p w:rsidR="00AA5D77" w:rsidRPr="006C40C1" w:rsidRDefault="00AA5D77">
            <w:pPr>
              <w:spacing w:before="0" w:line="200" w:lineRule="exact"/>
              <w:rPr>
                <w:sz w:val="16"/>
              </w:rPr>
            </w:pPr>
          </w:p>
        </w:tc>
        <w:tc>
          <w:tcPr>
            <w:tcW w:w="1276" w:type="dxa"/>
            <w:tcBorders>
              <w:bottom w:val="single" w:sz="6" w:space="0" w:color="auto"/>
            </w:tcBorders>
          </w:tcPr>
          <w:p w:rsidR="00AA5D77" w:rsidRPr="006C40C1" w:rsidRDefault="00AA5D77">
            <w:pPr>
              <w:spacing w:before="0" w:line="200" w:lineRule="exact"/>
              <w:rPr>
                <w:sz w:val="16"/>
              </w:rPr>
            </w:pPr>
          </w:p>
        </w:tc>
        <w:tc>
          <w:tcPr>
            <w:tcW w:w="1708" w:type="dxa"/>
            <w:tcBorders>
              <w:bottom w:val="single" w:sz="6" w:space="0" w:color="auto"/>
            </w:tcBorders>
          </w:tcPr>
          <w:p w:rsidR="00AA5D77" w:rsidRPr="006C40C1" w:rsidRDefault="00AA5D77">
            <w:pPr>
              <w:spacing w:before="0" w:line="200" w:lineRule="exact"/>
              <w:jc w:val="left"/>
              <w:rPr>
                <w:sz w:val="16"/>
              </w:rPr>
            </w:pPr>
          </w:p>
        </w:tc>
        <w:tc>
          <w:tcPr>
            <w:tcW w:w="1430"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Energiskatt</w:t>
            </w:r>
          </w:p>
        </w:tc>
        <w:tc>
          <w:tcPr>
            <w:tcW w:w="1321"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Koldioxidskatt</w:t>
            </w:r>
          </w:p>
        </w:tc>
        <w:tc>
          <w:tcPr>
            <w:tcW w:w="1320"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Summa skatt</w:t>
            </w: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r w:rsidRPr="006C40C1">
              <w:rPr>
                <w:sz w:val="16"/>
              </w:rPr>
              <w:t>1.</w:t>
            </w:r>
          </w:p>
        </w:tc>
        <w:tc>
          <w:tcPr>
            <w:tcW w:w="1276" w:type="dxa"/>
          </w:tcPr>
          <w:p w:rsidR="00AA5D77" w:rsidRPr="006C40C1" w:rsidRDefault="00AA5D77">
            <w:pPr>
              <w:spacing w:before="0" w:line="200" w:lineRule="exact"/>
              <w:rPr>
                <w:sz w:val="16"/>
              </w:rPr>
            </w:pPr>
            <w:r w:rsidRPr="006C40C1">
              <w:rPr>
                <w:sz w:val="16"/>
              </w:rPr>
              <w:t>2710 00 26,</w:t>
            </w:r>
          </w:p>
          <w:p w:rsidR="00AA5D77" w:rsidRPr="006C40C1" w:rsidRDefault="00AA5D77">
            <w:pPr>
              <w:spacing w:before="0" w:line="200" w:lineRule="exact"/>
              <w:rPr>
                <w:sz w:val="16"/>
              </w:rPr>
            </w:pPr>
            <w:r w:rsidRPr="006C40C1">
              <w:rPr>
                <w:sz w:val="16"/>
              </w:rPr>
              <w:t>2710 00 27,</w:t>
            </w:r>
          </w:p>
          <w:p w:rsidR="00AA5D77" w:rsidRPr="006C40C1" w:rsidRDefault="00AA5D77">
            <w:pPr>
              <w:spacing w:before="0" w:line="200" w:lineRule="exact"/>
              <w:rPr>
                <w:sz w:val="16"/>
              </w:rPr>
            </w:pPr>
            <w:r w:rsidRPr="006C40C1">
              <w:rPr>
                <w:sz w:val="16"/>
              </w:rPr>
              <w:t>2710 00 29</w:t>
            </w:r>
          </w:p>
          <w:p w:rsidR="00AA5D77" w:rsidRPr="006C40C1" w:rsidRDefault="00AA5D77">
            <w:pPr>
              <w:spacing w:before="0" w:line="200" w:lineRule="exact"/>
              <w:rPr>
                <w:sz w:val="16"/>
              </w:rPr>
            </w:pPr>
            <w:r w:rsidRPr="006C40C1">
              <w:rPr>
                <w:sz w:val="16"/>
              </w:rPr>
              <w:t>eller</w:t>
            </w:r>
          </w:p>
          <w:p w:rsidR="00AA5D77" w:rsidRPr="006C40C1" w:rsidRDefault="00AA5D77">
            <w:pPr>
              <w:spacing w:before="0" w:line="200" w:lineRule="exact"/>
              <w:rPr>
                <w:sz w:val="16"/>
              </w:rPr>
            </w:pPr>
            <w:r w:rsidRPr="006C40C1">
              <w:rPr>
                <w:sz w:val="16"/>
              </w:rPr>
              <w:t>2710 00 32</w:t>
            </w:r>
          </w:p>
        </w:tc>
        <w:tc>
          <w:tcPr>
            <w:tcW w:w="1708" w:type="dxa"/>
          </w:tcPr>
          <w:p w:rsidR="00AA5D77" w:rsidRPr="006C40C1" w:rsidRDefault="00AA5D77">
            <w:pPr>
              <w:spacing w:before="0" w:line="200" w:lineRule="exact"/>
              <w:jc w:val="left"/>
              <w:rPr>
                <w:sz w:val="16"/>
              </w:rPr>
            </w:pPr>
            <w:r w:rsidRPr="006C40C1">
              <w:rPr>
                <w:sz w:val="16"/>
              </w:rPr>
              <w:t>Bensin som</w:t>
            </w:r>
          </w:p>
          <w:p w:rsidR="00AA5D77" w:rsidRPr="006C40C1" w:rsidRDefault="00AA5D77">
            <w:pPr>
              <w:spacing w:before="0" w:line="200" w:lineRule="exact"/>
              <w:jc w:val="left"/>
              <w:rPr>
                <w:sz w:val="16"/>
              </w:rPr>
            </w:pPr>
            <w:r w:rsidRPr="006C40C1">
              <w:rPr>
                <w:sz w:val="16"/>
              </w:rPr>
              <w:t>uppfyller krav för</w:t>
            </w:r>
          </w:p>
        </w:tc>
        <w:tc>
          <w:tcPr>
            <w:tcW w:w="1430" w:type="dxa"/>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1708" w:type="dxa"/>
          </w:tcPr>
          <w:p w:rsidR="00AA5D77" w:rsidRPr="006C40C1" w:rsidRDefault="00AA5D77">
            <w:pPr>
              <w:spacing w:before="0" w:line="200" w:lineRule="exact"/>
              <w:jc w:val="left"/>
              <w:rPr>
                <w:sz w:val="16"/>
              </w:rPr>
            </w:pPr>
            <w:r w:rsidRPr="006C40C1">
              <w:rPr>
                <w:sz w:val="16"/>
              </w:rPr>
              <w:t>a) miljöklass 1</w:t>
            </w:r>
          </w:p>
          <w:p w:rsidR="00AA5D77" w:rsidRPr="006C40C1" w:rsidRDefault="00AA5D77">
            <w:pPr>
              <w:spacing w:before="0" w:line="200" w:lineRule="exact"/>
              <w:jc w:val="left"/>
              <w:rPr>
                <w:sz w:val="16"/>
              </w:rPr>
            </w:pPr>
            <w:r w:rsidRPr="006C40C1">
              <w:rPr>
                <w:sz w:val="16"/>
              </w:rPr>
              <w:t>– motorbensin</w:t>
            </w:r>
          </w:p>
          <w:p w:rsidR="00AA5D77" w:rsidRPr="006C40C1" w:rsidRDefault="00AA5D77">
            <w:pPr>
              <w:spacing w:before="0" w:line="200" w:lineRule="exact"/>
              <w:jc w:val="left"/>
              <w:rPr>
                <w:sz w:val="16"/>
              </w:rPr>
            </w:pPr>
          </w:p>
          <w:p w:rsidR="00AA5D77" w:rsidRPr="006C40C1" w:rsidRDefault="00AA5D77">
            <w:pPr>
              <w:spacing w:before="0" w:line="200" w:lineRule="exact"/>
              <w:jc w:val="left"/>
              <w:rPr>
                <w:sz w:val="16"/>
              </w:rPr>
            </w:pPr>
            <w:r w:rsidRPr="006C40C1">
              <w:rPr>
                <w:sz w:val="16"/>
              </w:rPr>
              <w:t>– alkylatbensin</w:t>
            </w:r>
          </w:p>
          <w:p w:rsidR="00AA5D77" w:rsidRPr="006C40C1" w:rsidRDefault="00AA5D77">
            <w:pPr>
              <w:spacing w:before="0" w:line="200" w:lineRule="exact"/>
              <w:jc w:val="left"/>
              <w:rPr>
                <w:sz w:val="16"/>
              </w:rPr>
            </w:pPr>
          </w:p>
        </w:tc>
        <w:tc>
          <w:tcPr>
            <w:tcW w:w="1430"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i/>
                <w:sz w:val="16"/>
              </w:rPr>
              <w:t>2</w:t>
            </w:r>
            <w:r w:rsidRPr="006C40C1">
              <w:rPr>
                <w:sz w:val="16"/>
              </w:rPr>
              <w:t xml:space="preserve"> kr</w:t>
            </w:r>
            <w:r w:rsidRPr="006C40C1">
              <w:rPr>
                <w:i/>
                <w:sz w:val="16"/>
              </w:rPr>
              <w:t xml:space="preserve"> 94</w:t>
            </w:r>
            <w:r w:rsidRPr="006C40C1">
              <w:rPr>
                <w:sz w:val="16"/>
              </w:rPr>
              <w:t xml:space="preserve"> öre</w:t>
            </w:r>
          </w:p>
          <w:p w:rsidR="00AA5D77" w:rsidRPr="006C40C1" w:rsidRDefault="00AA5D77">
            <w:pPr>
              <w:spacing w:before="0" w:line="200" w:lineRule="exact"/>
              <w:rPr>
                <w:sz w:val="16"/>
              </w:rPr>
            </w:pPr>
            <w:r w:rsidRPr="006C40C1">
              <w:rPr>
                <w:sz w:val="16"/>
              </w:rPr>
              <w:t>per liter</w:t>
            </w:r>
          </w:p>
          <w:p w:rsidR="00AA5D77" w:rsidRPr="006C40C1" w:rsidRDefault="00AA5D77">
            <w:pPr>
              <w:spacing w:before="0" w:line="200" w:lineRule="exact"/>
              <w:rPr>
                <w:sz w:val="16"/>
              </w:rPr>
            </w:pPr>
            <w:r w:rsidRPr="006C40C1">
              <w:rPr>
                <w:sz w:val="16"/>
              </w:rPr>
              <w:t xml:space="preserve">1 kr </w:t>
            </w:r>
            <w:r w:rsidRPr="006C40C1">
              <w:rPr>
                <w:i/>
                <w:sz w:val="16"/>
              </w:rPr>
              <w:t>41</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1"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 kr</w:t>
            </w:r>
            <w:r w:rsidRPr="006C40C1">
              <w:rPr>
                <w:i/>
                <w:sz w:val="16"/>
              </w:rPr>
              <w:t xml:space="preserve"> 77</w:t>
            </w:r>
            <w:r w:rsidRPr="006C40C1">
              <w:rPr>
                <w:sz w:val="16"/>
              </w:rPr>
              <w:t xml:space="preserve"> öre</w:t>
            </w:r>
          </w:p>
          <w:p w:rsidR="00AA5D77" w:rsidRPr="006C40C1" w:rsidRDefault="00AA5D77">
            <w:pPr>
              <w:spacing w:before="0" w:line="200" w:lineRule="exact"/>
              <w:rPr>
                <w:sz w:val="16"/>
              </w:rPr>
            </w:pPr>
            <w:r w:rsidRPr="006C40C1">
              <w:rPr>
                <w:sz w:val="16"/>
              </w:rPr>
              <w:t>per liter</w:t>
            </w:r>
          </w:p>
          <w:p w:rsidR="00AA5D77" w:rsidRPr="006C40C1" w:rsidRDefault="00AA5D77">
            <w:pPr>
              <w:spacing w:before="0" w:line="200" w:lineRule="exact"/>
              <w:rPr>
                <w:sz w:val="16"/>
              </w:rPr>
            </w:pPr>
            <w:r w:rsidRPr="006C40C1">
              <w:rPr>
                <w:sz w:val="16"/>
              </w:rPr>
              <w:t xml:space="preserve">1 kr </w:t>
            </w:r>
            <w:r w:rsidRPr="006C40C1">
              <w:rPr>
                <w:i/>
                <w:sz w:val="16"/>
              </w:rPr>
              <w:t>77</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0"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4 kr 71 öre</w:t>
            </w:r>
          </w:p>
          <w:p w:rsidR="00AA5D77" w:rsidRPr="006C40C1" w:rsidRDefault="00AA5D77">
            <w:pPr>
              <w:spacing w:before="0" w:line="200" w:lineRule="exact"/>
              <w:rPr>
                <w:sz w:val="16"/>
              </w:rPr>
            </w:pPr>
            <w:r w:rsidRPr="006C40C1">
              <w:rPr>
                <w:sz w:val="16"/>
              </w:rPr>
              <w:t>per liter</w:t>
            </w:r>
          </w:p>
          <w:p w:rsidR="00AA5D77" w:rsidRPr="006C40C1" w:rsidRDefault="00AA5D77">
            <w:pPr>
              <w:spacing w:before="0" w:line="200" w:lineRule="exact"/>
              <w:rPr>
                <w:sz w:val="16"/>
              </w:rPr>
            </w:pPr>
            <w:r w:rsidRPr="006C40C1">
              <w:rPr>
                <w:sz w:val="16"/>
              </w:rPr>
              <w:t xml:space="preserve">3 kr </w:t>
            </w:r>
            <w:r w:rsidRPr="006C40C1">
              <w:rPr>
                <w:i/>
                <w:sz w:val="16"/>
              </w:rPr>
              <w:t>18</w:t>
            </w:r>
            <w:r w:rsidRPr="006C40C1">
              <w:rPr>
                <w:sz w:val="16"/>
              </w:rPr>
              <w:t xml:space="preserve"> öre</w:t>
            </w:r>
          </w:p>
          <w:p w:rsidR="00AA5D77" w:rsidRPr="006C40C1" w:rsidRDefault="00AA5D77">
            <w:pPr>
              <w:spacing w:before="0" w:line="200" w:lineRule="exact"/>
              <w:rPr>
                <w:sz w:val="16"/>
              </w:rPr>
            </w:pPr>
            <w:r w:rsidRPr="006C40C1">
              <w:rPr>
                <w:sz w:val="16"/>
              </w:rPr>
              <w:t>per liter</w:t>
            </w:r>
          </w:p>
        </w:tc>
      </w:tr>
    </w:tbl>
    <w:p w:rsidR="00AA5D77" w:rsidRPr="006C40C1" w:rsidRDefault="00AA5D77"/>
    <w:p w:rsidR="00AA5D77" w:rsidRPr="006C40C1" w:rsidRDefault="00AA5D77">
      <w:r w:rsidRPr="006C40C1">
        <w:br w:type="page"/>
      </w:r>
    </w:p>
    <w:tbl>
      <w:tblPr>
        <w:tblW w:w="0" w:type="auto"/>
        <w:jc w:val="right"/>
        <w:tblLayout w:type="fixed"/>
        <w:tblCellMar>
          <w:left w:w="70" w:type="dxa"/>
          <w:right w:w="70" w:type="dxa"/>
        </w:tblCellMar>
        <w:tblLook w:val="0000" w:firstRow="0" w:lastRow="0" w:firstColumn="0" w:lastColumn="0" w:noHBand="0" w:noVBand="0"/>
      </w:tblPr>
      <w:tblGrid>
        <w:gridCol w:w="284"/>
        <w:gridCol w:w="1276"/>
        <w:gridCol w:w="2023"/>
        <w:gridCol w:w="1430"/>
        <w:gridCol w:w="1321"/>
        <w:gridCol w:w="1320"/>
      </w:tblGrid>
      <w:tr w:rsidR="00000000" w:rsidRPr="006C40C1">
        <w:tblPrEx>
          <w:tblCellMar>
            <w:top w:w="0" w:type="dxa"/>
            <w:bottom w:w="0" w:type="dxa"/>
          </w:tblCellMar>
        </w:tblPrEx>
        <w:trPr>
          <w:tblHeader/>
          <w:jc w:val="right"/>
        </w:trPr>
        <w:tc>
          <w:tcPr>
            <w:tcW w:w="284" w:type="dxa"/>
            <w:tcBorders>
              <w:top w:val="single" w:sz="6" w:space="0" w:color="auto"/>
            </w:tcBorders>
          </w:tcPr>
          <w:p w:rsidR="00AA5D77" w:rsidRPr="006C40C1" w:rsidRDefault="00AA5D77">
            <w:pPr>
              <w:spacing w:before="0" w:line="200" w:lineRule="exact"/>
              <w:rPr>
                <w:sz w:val="16"/>
              </w:rPr>
            </w:pPr>
          </w:p>
        </w:tc>
        <w:tc>
          <w:tcPr>
            <w:tcW w:w="1276" w:type="dxa"/>
            <w:tcBorders>
              <w:top w:val="single" w:sz="6" w:space="0" w:color="auto"/>
            </w:tcBorders>
          </w:tcPr>
          <w:p w:rsidR="00AA5D77" w:rsidRPr="006C40C1" w:rsidRDefault="00AA5D77">
            <w:pPr>
              <w:spacing w:before="0" w:line="200" w:lineRule="exact"/>
              <w:rPr>
                <w:sz w:val="16"/>
              </w:rPr>
            </w:pPr>
            <w:r w:rsidRPr="006C40C1">
              <w:rPr>
                <w:sz w:val="16"/>
              </w:rPr>
              <w:t>KN-nr</w:t>
            </w:r>
          </w:p>
        </w:tc>
        <w:tc>
          <w:tcPr>
            <w:tcW w:w="2023" w:type="dxa"/>
            <w:tcBorders>
              <w:top w:val="single" w:sz="6" w:space="0" w:color="auto"/>
            </w:tcBorders>
          </w:tcPr>
          <w:p w:rsidR="00AA5D77" w:rsidRPr="006C40C1" w:rsidRDefault="00AA5D77">
            <w:pPr>
              <w:spacing w:before="0" w:line="200" w:lineRule="exact"/>
              <w:jc w:val="left"/>
              <w:rPr>
                <w:sz w:val="16"/>
              </w:rPr>
            </w:pPr>
            <w:r w:rsidRPr="006C40C1">
              <w:rPr>
                <w:sz w:val="16"/>
              </w:rPr>
              <w:t>Slag av bränsle</w:t>
            </w:r>
          </w:p>
        </w:tc>
        <w:tc>
          <w:tcPr>
            <w:tcW w:w="1430" w:type="dxa"/>
            <w:tcBorders>
              <w:top w:val="single" w:sz="6" w:space="0" w:color="auto"/>
            </w:tcBorders>
          </w:tcPr>
          <w:p w:rsidR="00AA5D77" w:rsidRPr="006C40C1" w:rsidRDefault="00AA5D77">
            <w:pPr>
              <w:spacing w:before="0" w:line="200" w:lineRule="exact"/>
              <w:rPr>
                <w:sz w:val="16"/>
              </w:rPr>
            </w:pPr>
            <w:r w:rsidRPr="006C40C1">
              <w:rPr>
                <w:sz w:val="16"/>
              </w:rPr>
              <w:t>Skattebelopp</w:t>
            </w:r>
          </w:p>
        </w:tc>
        <w:tc>
          <w:tcPr>
            <w:tcW w:w="1321" w:type="dxa"/>
            <w:tcBorders>
              <w:top w:val="single" w:sz="6" w:space="0" w:color="auto"/>
            </w:tcBorders>
          </w:tcPr>
          <w:p w:rsidR="00AA5D77" w:rsidRPr="006C40C1" w:rsidRDefault="00AA5D77">
            <w:pPr>
              <w:spacing w:before="0" w:line="200" w:lineRule="exact"/>
              <w:rPr>
                <w:sz w:val="16"/>
              </w:rPr>
            </w:pPr>
          </w:p>
        </w:tc>
        <w:tc>
          <w:tcPr>
            <w:tcW w:w="1320" w:type="dxa"/>
            <w:tcBorders>
              <w:top w:val="single" w:sz="6" w:space="0" w:color="auto"/>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tblHeader/>
          <w:jc w:val="right"/>
        </w:trPr>
        <w:tc>
          <w:tcPr>
            <w:tcW w:w="284" w:type="dxa"/>
            <w:tcBorders>
              <w:bottom w:val="single" w:sz="6" w:space="0" w:color="auto"/>
            </w:tcBorders>
          </w:tcPr>
          <w:p w:rsidR="00AA5D77" w:rsidRPr="006C40C1" w:rsidRDefault="00AA5D77">
            <w:pPr>
              <w:spacing w:before="0" w:line="200" w:lineRule="exact"/>
              <w:rPr>
                <w:sz w:val="16"/>
              </w:rPr>
            </w:pPr>
          </w:p>
        </w:tc>
        <w:tc>
          <w:tcPr>
            <w:tcW w:w="1276" w:type="dxa"/>
            <w:tcBorders>
              <w:bottom w:val="single" w:sz="6" w:space="0" w:color="auto"/>
            </w:tcBorders>
          </w:tcPr>
          <w:p w:rsidR="00AA5D77" w:rsidRPr="006C40C1" w:rsidRDefault="00AA5D77">
            <w:pPr>
              <w:spacing w:before="0" w:line="200" w:lineRule="exact"/>
              <w:rPr>
                <w:sz w:val="16"/>
              </w:rPr>
            </w:pPr>
          </w:p>
        </w:tc>
        <w:tc>
          <w:tcPr>
            <w:tcW w:w="2023" w:type="dxa"/>
            <w:tcBorders>
              <w:bottom w:val="single" w:sz="6" w:space="0" w:color="auto"/>
            </w:tcBorders>
          </w:tcPr>
          <w:p w:rsidR="00AA5D77" w:rsidRPr="006C40C1" w:rsidRDefault="00AA5D77">
            <w:pPr>
              <w:spacing w:before="0" w:line="200" w:lineRule="exact"/>
              <w:jc w:val="left"/>
              <w:rPr>
                <w:sz w:val="16"/>
              </w:rPr>
            </w:pPr>
          </w:p>
        </w:tc>
        <w:tc>
          <w:tcPr>
            <w:tcW w:w="1430"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Energiskatt</w:t>
            </w:r>
          </w:p>
        </w:tc>
        <w:tc>
          <w:tcPr>
            <w:tcW w:w="1321"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Koldioxidskatt</w:t>
            </w:r>
          </w:p>
        </w:tc>
        <w:tc>
          <w:tcPr>
            <w:tcW w:w="1320" w:type="dxa"/>
            <w:tcBorders>
              <w:top w:val="single" w:sz="6" w:space="0" w:color="auto"/>
              <w:bottom w:val="single" w:sz="6" w:space="0" w:color="auto"/>
            </w:tcBorders>
          </w:tcPr>
          <w:p w:rsidR="00AA5D77" w:rsidRPr="006C40C1" w:rsidRDefault="00AA5D77">
            <w:pPr>
              <w:spacing w:before="0" w:line="200" w:lineRule="exact"/>
              <w:rPr>
                <w:sz w:val="16"/>
              </w:rPr>
            </w:pPr>
            <w:r w:rsidRPr="006C40C1">
              <w:rPr>
                <w:sz w:val="16"/>
              </w:rPr>
              <w:t>Summa skatt</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b) miljöklass 2</w:t>
            </w:r>
          </w:p>
          <w:p w:rsidR="00AA5D77" w:rsidRPr="006C40C1" w:rsidRDefault="00AA5D77">
            <w:pPr>
              <w:spacing w:before="0" w:line="200" w:lineRule="exact"/>
              <w:jc w:val="left"/>
              <w:rPr>
                <w:sz w:val="16"/>
              </w:rPr>
            </w:pPr>
          </w:p>
        </w:tc>
        <w:tc>
          <w:tcPr>
            <w:tcW w:w="1430" w:type="dxa"/>
          </w:tcPr>
          <w:p w:rsidR="00AA5D77" w:rsidRPr="006C40C1" w:rsidRDefault="00AA5D77">
            <w:pPr>
              <w:spacing w:before="0" w:line="200" w:lineRule="exact"/>
              <w:rPr>
                <w:sz w:val="16"/>
              </w:rPr>
            </w:pPr>
            <w:r w:rsidRPr="006C40C1">
              <w:rPr>
                <w:i/>
                <w:sz w:val="16"/>
              </w:rPr>
              <w:t>2</w:t>
            </w:r>
            <w:r w:rsidRPr="006C40C1">
              <w:rPr>
                <w:sz w:val="16"/>
              </w:rPr>
              <w:t xml:space="preserve"> kr </w:t>
            </w:r>
            <w:r w:rsidRPr="006C40C1">
              <w:rPr>
                <w:i/>
                <w:sz w:val="16"/>
              </w:rPr>
              <w:t>97</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1" w:type="dxa"/>
          </w:tcPr>
          <w:p w:rsidR="00AA5D77" w:rsidRPr="006C40C1" w:rsidRDefault="00AA5D77">
            <w:pPr>
              <w:spacing w:before="0" w:line="200" w:lineRule="exact"/>
              <w:rPr>
                <w:sz w:val="16"/>
              </w:rPr>
            </w:pPr>
            <w:r w:rsidRPr="006C40C1">
              <w:rPr>
                <w:sz w:val="16"/>
              </w:rPr>
              <w:t>1 kr</w:t>
            </w:r>
            <w:r w:rsidRPr="006C40C1">
              <w:rPr>
                <w:i/>
                <w:sz w:val="16"/>
              </w:rPr>
              <w:t xml:space="preserve"> 77 </w:t>
            </w:r>
            <w:r w:rsidRPr="006C40C1">
              <w:rPr>
                <w:sz w:val="16"/>
              </w:rPr>
              <w:t>öre</w:t>
            </w:r>
          </w:p>
          <w:p w:rsidR="00AA5D77" w:rsidRPr="006C40C1" w:rsidRDefault="00AA5D77">
            <w:pPr>
              <w:spacing w:before="0" w:line="200" w:lineRule="exact"/>
              <w:rPr>
                <w:sz w:val="16"/>
              </w:rPr>
            </w:pPr>
            <w:r w:rsidRPr="006C40C1">
              <w:rPr>
                <w:sz w:val="16"/>
              </w:rPr>
              <w:t>per liter</w:t>
            </w:r>
          </w:p>
        </w:tc>
        <w:tc>
          <w:tcPr>
            <w:tcW w:w="1320" w:type="dxa"/>
          </w:tcPr>
          <w:p w:rsidR="00AA5D77" w:rsidRPr="006C40C1" w:rsidRDefault="00AA5D77">
            <w:pPr>
              <w:spacing w:before="0" w:line="200" w:lineRule="exact"/>
              <w:rPr>
                <w:sz w:val="16"/>
              </w:rPr>
            </w:pPr>
            <w:r w:rsidRPr="006C40C1">
              <w:rPr>
                <w:sz w:val="16"/>
              </w:rPr>
              <w:t>4 kr 74 öre</w:t>
            </w:r>
          </w:p>
          <w:p w:rsidR="00AA5D77" w:rsidRPr="006C40C1" w:rsidRDefault="00AA5D77">
            <w:pPr>
              <w:spacing w:before="0" w:line="200" w:lineRule="exact"/>
              <w:rPr>
                <w:rFonts w:ascii="OrigGarmnd BT" w:hAnsi="OrigGarmnd BT"/>
                <w:sz w:val="16"/>
              </w:rPr>
            </w:pPr>
            <w:r w:rsidRPr="006C40C1">
              <w:rPr>
                <w:rFonts w:ascii="OrigGarmnd BT" w:hAnsi="OrigGarmnd BT"/>
                <w:sz w:val="16"/>
              </w:rPr>
              <w:t>per liter</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r w:rsidRPr="006C40C1">
              <w:rPr>
                <w:sz w:val="16"/>
              </w:rPr>
              <w:t>2.</w:t>
            </w:r>
          </w:p>
        </w:tc>
        <w:tc>
          <w:tcPr>
            <w:tcW w:w="1276" w:type="dxa"/>
          </w:tcPr>
          <w:p w:rsidR="00AA5D77" w:rsidRPr="006C40C1" w:rsidRDefault="00AA5D77">
            <w:pPr>
              <w:spacing w:before="0" w:line="200" w:lineRule="exact"/>
              <w:rPr>
                <w:sz w:val="16"/>
              </w:rPr>
            </w:pPr>
            <w:r w:rsidRPr="006C40C1">
              <w:rPr>
                <w:sz w:val="16"/>
              </w:rPr>
              <w:t>2710 00 26,</w:t>
            </w:r>
          </w:p>
          <w:p w:rsidR="00AA5D77" w:rsidRPr="006C40C1" w:rsidRDefault="00AA5D77">
            <w:pPr>
              <w:spacing w:before="0" w:line="200" w:lineRule="exact"/>
              <w:rPr>
                <w:sz w:val="16"/>
              </w:rPr>
            </w:pPr>
            <w:r w:rsidRPr="006C40C1">
              <w:rPr>
                <w:sz w:val="16"/>
              </w:rPr>
              <w:t>2710 00 34</w:t>
            </w:r>
          </w:p>
          <w:p w:rsidR="00AA5D77" w:rsidRPr="006C40C1" w:rsidRDefault="00AA5D77">
            <w:pPr>
              <w:spacing w:before="0" w:line="200" w:lineRule="exact"/>
              <w:rPr>
                <w:sz w:val="16"/>
              </w:rPr>
            </w:pPr>
            <w:r w:rsidRPr="006C40C1">
              <w:rPr>
                <w:sz w:val="16"/>
              </w:rPr>
              <w:t>eller</w:t>
            </w:r>
          </w:p>
          <w:p w:rsidR="00AA5D77" w:rsidRPr="006C40C1" w:rsidRDefault="00AA5D77">
            <w:pPr>
              <w:spacing w:before="0" w:line="200" w:lineRule="exact"/>
              <w:rPr>
                <w:sz w:val="16"/>
              </w:rPr>
            </w:pPr>
            <w:r w:rsidRPr="006C40C1">
              <w:rPr>
                <w:sz w:val="16"/>
              </w:rPr>
              <w:t>2710 00 36</w:t>
            </w:r>
          </w:p>
        </w:tc>
        <w:tc>
          <w:tcPr>
            <w:tcW w:w="2023" w:type="dxa"/>
          </w:tcPr>
          <w:p w:rsidR="00AA5D77" w:rsidRPr="006C40C1" w:rsidRDefault="00AA5D77">
            <w:pPr>
              <w:spacing w:before="0" w:line="200" w:lineRule="exact"/>
              <w:jc w:val="left"/>
              <w:rPr>
                <w:sz w:val="16"/>
              </w:rPr>
            </w:pPr>
            <w:r w:rsidRPr="006C40C1">
              <w:rPr>
                <w:sz w:val="16"/>
              </w:rPr>
              <w:t>Annan bensin</w:t>
            </w:r>
          </w:p>
          <w:p w:rsidR="00AA5D77" w:rsidRPr="006C40C1" w:rsidRDefault="00AA5D77">
            <w:pPr>
              <w:spacing w:before="0" w:line="200" w:lineRule="exact"/>
              <w:jc w:val="left"/>
              <w:rPr>
                <w:sz w:val="16"/>
              </w:rPr>
            </w:pPr>
            <w:r w:rsidRPr="006C40C1">
              <w:rPr>
                <w:sz w:val="16"/>
              </w:rPr>
              <w:t>än som avses</w:t>
            </w:r>
          </w:p>
          <w:p w:rsidR="00AA5D77" w:rsidRPr="006C40C1" w:rsidRDefault="00AA5D77">
            <w:pPr>
              <w:spacing w:before="0" w:line="200" w:lineRule="exact"/>
              <w:jc w:val="left"/>
              <w:rPr>
                <w:sz w:val="16"/>
              </w:rPr>
            </w:pPr>
            <w:r w:rsidRPr="006C40C1">
              <w:rPr>
                <w:sz w:val="16"/>
              </w:rPr>
              <w:t>under 1</w:t>
            </w:r>
          </w:p>
        </w:tc>
        <w:tc>
          <w:tcPr>
            <w:tcW w:w="1430" w:type="dxa"/>
          </w:tcPr>
          <w:p w:rsidR="00AA5D77" w:rsidRPr="006C40C1" w:rsidRDefault="00AA5D77">
            <w:pPr>
              <w:spacing w:before="0" w:line="200" w:lineRule="exact"/>
              <w:rPr>
                <w:sz w:val="16"/>
              </w:rPr>
            </w:pPr>
            <w:r w:rsidRPr="006C40C1">
              <w:rPr>
                <w:i/>
                <w:sz w:val="16"/>
              </w:rPr>
              <w:t>3</w:t>
            </w:r>
            <w:r w:rsidRPr="006C40C1">
              <w:rPr>
                <w:sz w:val="16"/>
              </w:rPr>
              <w:t xml:space="preserve"> kr </w:t>
            </w:r>
            <w:r w:rsidRPr="006C40C1">
              <w:rPr>
                <w:i/>
                <w:sz w:val="16"/>
              </w:rPr>
              <w:t>63</w:t>
            </w:r>
            <w:r w:rsidRPr="006C40C1">
              <w:rPr>
                <w:sz w:val="16"/>
              </w:rPr>
              <w:t xml:space="preserve"> öre</w:t>
            </w:r>
          </w:p>
          <w:p w:rsidR="00AA5D77" w:rsidRPr="006C40C1" w:rsidRDefault="00AA5D77">
            <w:pPr>
              <w:spacing w:before="0" w:line="200" w:lineRule="exact"/>
              <w:rPr>
                <w:sz w:val="16"/>
              </w:rPr>
            </w:pPr>
            <w:r w:rsidRPr="006C40C1">
              <w:rPr>
                <w:rFonts w:ascii="OrigGarmnd BT" w:hAnsi="OrigGarmnd BT"/>
                <w:sz w:val="16"/>
              </w:rPr>
              <w:t>per liter</w:t>
            </w:r>
          </w:p>
        </w:tc>
        <w:tc>
          <w:tcPr>
            <w:tcW w:w="1321" w:type="dxa"/>
          </w:tcPr>
          <w:p w:rsidR="00AA5D77" w:rsidRPr="006C40C1" w:rsidRDefault="00AA5D77">
            <w:pPr>
              <w:spacing w:before="0" w:line="200" w:lineRule="exact"/>
              <w:rPr>
                <w:sz w:val="16"/>
              </w:rPr>
            </w:pPr>
            <w:r w:rsidRPr="006C40C1">
              <w:rPr>
                <w:sz w:val="16"/>
              </w:rPr>
              <w:t>1 kr</w:t>
            </w:r>
            <w:r w:rsidRPr="006C40C1">
              <w:rPr>
                <w:i/>
                <w:sz w:val="16"/>
              </w:rPr>
              <w:t xml:space="preserve"> 77</w:t>
            </w:r>
            <w:r w:rsidRPr="006C40C1">
              <w:rPr>
                <w:sz w:val="16"/>
              </w:rPr>
              <w:t xml:space="preserve"> öre</w:t>
            </w:r>
          </w:p>
          <w:p w:rsidR="00AA5D77" w:rsidRPr="006C40C1" w:rsidRDefault="00AA5D77">
            <w:pPr>
              <w:spacing w:before="0" w:line="200" w:lineRule="exact"/>
              <w:rPr>
                <w:sz w:val="16"/>
              </w:rPr>
            </w:pPr>
            <w:r w:rsidRPr="006C40C1">
              <w:rPr>
                <w:sz w:val="16"/>
              </w:rPr>
              <w:t>per liter</w:t>
            </w:r>
          </w:p>
        </w:tc>
        <w:tc>
          <w:tcPr>
            <w:tcW w:w="1320" w:type="dxa"/>
          </w:tcPr>
          <w:p w:rsidR="00AA5D77" w:rsidRPr="006C40C1" w:rsidRDefault="00AA5D77">
            <w:pPr>
              <w:spacing w:before="0" w:line="200" w:lineRule="exact"/>
              <w:rPr>
                <w:sz w:val="16"/>
              </w:rPr>
            </w:pPr>
            <w:r w:rsidRPr="006C40C1">
              <w:rPr>
                <w:sz w:val="16"/>
              </w:rPr>
              <w:t>5 kr 40 öre</w:t>
            </w:r>
          </w:p>
          <w:p w:rsidR="00AA5D77" w:rsidRPr="006C40C1" w:rsidRDefault="00AA5D77">
            <w:pPr>
              <w:spacing w:before="0" w:line="200" w:lineRule="exact"/>
              <w:rPr>
                <w:sz w:val="16"/>
              </w:rPr>
            </w:pPr>
            <w:r w:rsidRPr="006C40C1">
              <w:rPr>
                <w:rFonts w:ascii="OrigGarmnd BT" w:hAnsi="OrigGarmnd BT"/>
                <w:sz w:val="16"/>
              </w:rPr>
              <w:t>per liter</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r w:rsidRPr="006C40C1">
              <w:rPr>
                <w:sz w:val="16"/>
              </w:rPr>
              <w:t>3.</w:t>
            </w:r>
          </w:p>
        </w:tc>
        <w:tc>
          <w:tcPr>
            <w:tcW w:w="1276" w:type="dxa"/>
          </w:tcPr>
          <w:p w:rsidR="00AA5D77" w:rsidRPr="006C40C1" w:rsidRDefault="00AA5D77">
            <w:pPr>
              <w:spacing w:before="0" w:line="200" w:lineRule="exact"/>
              <w:rPr>
                <w:sz w:val="16"/>
              </w:rPr>
            </w:pPr>
            <w:r w:rsidRPr="006C40C1">
              <w:rPr>
                <w:sz w:val="16"/>
              </w:rPr>
              <w:t>2710 00 51,</w:t>
            </w:r>
          </w:p>
          <w:p w:rsidR="00AA5D77" w:rsidRPr="006C40C1" w:rsidRDefault="00AA5D77">
            <w:pPr>
              <w:spacing w:before="0" w:line="200" w:lineRule="exact"/>
              <w:rPr>
                <w:sz w:val="16"/>
              </w:rPr>
            </w:pPr>
            <w:r w:rsidRPr="006C40C1">
              <w:rPr>
                <w:sz w:val="16"/>
              </w:rPr>
              <w:t>2710 00 55,</w:t>
            </w:r>
          </w:p>
          <w:p w:rsidR="00AA5D77" w:rsidRPr="006C40C1" w:rsidRDefault="00AA5D77">
            <w:pPr>
              <w:spacing w:before="0" w:line="200" w:lineRule="exact"/>
              <w:rPr>
                <w:sz w:val="16"/>
              </w:rPr>
            </w:pPr>
            <w:r w:rsidRPr="006C40C1">
              <w:rPr>
                <w:sz w:val="16"/>
              </w:rPr>
              <w:t>2710 00 69</w:t>
            </w:r>
          </w:p>
          <w:p w:rsidR="00AA5D77" w:rsidRPr="006C40C1" w:rsidRDefault="00AA5D77">
            <w:pPr>
              <w:spacing w:before="0" w:line="200" w:lineRule="exact"/>
              <w:rPr>
                <w:sz w:val="16"/>
              </w:rPr>
            </w:pPr>
            <w:r w:rsidRPr="006C40C1">
              <w:rPr>
                <w:sz w:val="16"/>
              </w:rPr>
              <w:t>eller</w:t>
            </w:r>
          </w:p>
          <w:p w:rsidR="00AA5D77" w:rsidRPr="006C40C1" w:rsidRDefault="00AA5D77">
            <w:pPr>
              <w:spacing w:before="0" w:line="200" w:lineRule="exact"/>
              <w:rPr>
                <w:sz w:val="16"/>
              </w:rPr>
            </w:pPr>
            <w:r w:rsidRPr="006C40C1">
              <w:rPr>
                <w:sz w:val="16"/>
              </w:rPr>
              <w:t>2710 00 74–</w:t>
            </w:r>
          </w:p>
          <w:p w:rsidR="00AA5D77" w:rsidRPr="006C40C1" w:rsidRDefault="00AA5D77">
            <w:pPr>
              <w:spacing w:before="0" w:line="200" w:lineRule="exact"/>
              <w:rPr>
                <w:sz w:val="16"/>
              </w:rPr>
            </w:pPr>
            <w:r w:rsidRPr="006C40C1">
              <w:rPr>
                <w:sz w:val="16"/>
              </w:rPr>
              <w:t>2710 00 78</w:t>
            </w:r>
          </w:p>
        </w:tc>
        <w:tc>
          <w:tcPr>
            <w:tcW w:w="2023" w:type="dxa"/>
          </w:tcPr>
          <w:p w:rsidR="00AA5D77" w:rsidRPr="006C40C1" w:rsidRDefault="00AA5D77">
            <w:pPr>
              <w:spacing w:before="0" w:line="200" w:lineRule="exact"/>
              <w:jc w:val="left"/>
              <w:rPr>
                <w:sz w:val="16"/>
              </w:rPr>
            </w:pPr>
            <w:r w:rsidRPr="006C40C1">
              <w:rPr>
                <w:sz w:val="16"/>
              </w:rPr>
              <w:t>Eldningsolja,</w:t>
            </w:r>
          </w:p>
          <w:p w:rsidR="00AA5D77" w:rsidRPr="006C40C1" w:rsidRDefault="00AA5D77">
            <w:pPr>
              <w:spacing w:before="0" w:line="200" w:lineRule="exact"/>
              <w:jc w:val="left"/>
              <w:rPr>
                <w:sz w:val="16"/>
              </w:rPr>
            </w:pPr>
            <w:r w:rsidRPr="006C40C1">
              <w:rPr>
                <w:sz w:val="16"/>
              </w:rPr>
              <w:t>dieselbrännolja,</w:t>
            </w:r>
          </w:p>
          <w:p w:rsidR="00AA5D77" w:rsidRPr="006C40C1" w:rsidRDefault="00AA5D77">
            <w:pPr>
              <w:spacing w:before="0" w:line="200" w:lineRule="exact"/>
              <w:jc w:val="left"/>
              <w:rPr>
                <w:sz w:val="16"/>
              </w:rPr>
            </w:pPr>
            <w:r w:rsidRPr="006C40C1">
              <w:rPr>
                <w:sz w:val="16"/>
              </w:rPr>
              <w:t>fotogen, m.m.</w:t>
            </w:r>
          </w:p>
          <w:p w:rsidR="00AA5D77" w:rsidRPr="006C40C1" w:rsidRDefault="00AA5D77">
            <w:pPr>
              <w:spacing w:before="0" w:line="200" w:lineRule="exact"/>
              <w:jc w:val="left"/>
              <w:rPr>
                <w:sz w:val="16"/>
              </w:rPr>
            </w:pPr>
            <w:r w:rsidRPr="006C40C1">
              <w:rPr>
                <w:sz w:val="16"/>
              </w:rPr>
              <w:t>som</w:t>
            </w:r>
          </w:p>
        </w:tc>
        <w:tc>
          <w:tcPr>
            <w:tcW w:w="1430"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vertAlign w:val="superscript"/>
              </w:rPr>
            </w:pPr>
          </w:p>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a) har försetts med</w:t>
            </w:r>
          </w:p>
          <w:p w:rsidR="00AA5D77" w:rsidRPr="006C40C1" w:rsidRDefault="00AA5D77">
            <w:pPr>
              <w:spacing w:before="0" w:line="200" w:lineRule="exact"/>
              <w:jc w:val="left"/>
              <w:rPr>
                <w:sz w:val="16"/>
              </w:rPr>
            </w:pPr>
            <w:r w:rsidRPr="006C40C1">
              <w:rPr>
                <w:sz w:val="16"/>
              </w:rPr>
              <w:t>märkämnen eller ger mindre än 85 volymprocent destillat</w:t>
            </w:r>
          </w:p>
          <w:p w:rsidR="00AA5D77" w:rsidRPr="006C40C1" w:rsidRDefault="00AA5D77">
            <w:pPr>
              <w:spacing w:before="0" w:line="200" w:lineRule="exact"/>
              <w:jc w:val="left"/>
              <w:rPr>
                <w:sz w:val="16"/>
              </w:rPr>
            </w:pPr>
            <w:r w:rsidRPr="006C40C1">
              <w:rPr>
                <w:sz w:val="16"/>
              </w:rPr>
              <w:t xml:space="preserve">vid 350 </w:t>
            </w:r>
            <w:r w:rsidRPr="006C40C1">
              <w:rPr>
                <w:sz w:val="16"/>
                <w:vertAlign w:val="superscript"/>
              </w:rPr>
              <w:t>o</w:t>
            </w:r>
            <w:r w:rsidRPr="006C40C1">
              <w:rPr>
                <w:sz w:val="16"/>
              </w:rPr>
              <w:t>C,</w:t>
            </w:r>
          </w:p>
        </w:tc>
        <w:tc>
          <w:tcPr>
            <w:tcW w:w="1430" w:type="dxa"/>
          </w:tcPr>
          <w:p w:rsidR="00AA5D77" w:rsidRPr="006C40C1" w:rsidRDefault="00AA5D77">
            <w:pPr>
              <w:spacing w:before="0" w:line="200" w:lineRule="exact"/>
              <w:rPr>
                <w:sz w:val="16"/>
              </w:rPr>
            </w:pPr>
            <w:r w:rsidRPr="006C40C1">
              <w:rPr>
                <w:sz w:val="16"/>
              </w:rPr>
              <w:t>720 kr per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 xml:space="preserve">2 174 </w:t>
            </w:r>
            <w:r w:rsidRPr="006C40C1">
              <w:rPr>
                <w:sz w:val="16"/>
              </w:rPr>
              <w:t>kr per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2 894</w:t>
            </w:r>
            <w:r w:rsidRPr="006C40C1">
              <w:rPr>
                <w:sz w:val="16"/>
              </w:rPr>
              <w:t xml:space="preserve"> kr per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b) inte har försetts med</w:t>
            </w:r>
          </w:p>
          <w:p w:rsidR="00AA5D77" w:rsidRPr="006C40C1" w:rsidRDefault="00AA5D77">
            <w:pPr>
              <w:spacing w:before="0" w:line="200" w:lineRule="exact"/>
              <w:jc w:val="left"/>
              <w:rPr>
                <w:sz w:val="16"/>
              </w:rPr>
            </w:pPr>
            <w:r w:rsidRPr="006C40C1">
              <w:rPr>
                <w:sz w:val="16"/>
              </w:rPr>
              <w:t>märkämnen och ger</w:t>
            </w:r>
          </w:p>
          <w:p w:rsidR="00AA5D77" w:rsidRPr="006C40C1" w:rsidRDefault="00AA5D77">
            <w:pPr>
              <w:spacing w:before="0" w:line="200" w:lineRule="exact"/>
              <w:jc w:val="left"/>
              <w:rPr>
                <w:sz w:val="16"/>
              </w:rPr>
            </w:pPr>
            <w:r w:rsidRPr="006C40C1">
              <w:rPr>
                <w:sz w:val="16"/>
              </w:rPr>
              <w:t>minst 85 volymprocent</w:t>
            </w:r>
          </w:p>
          <w:p w:rsidR="00AA5D77" w:rsidRPr="006C40C1" w:rsidRDefault="00AA5D77">
            <w:pPr>
              <w:spacing w:before="0" w:line="200" w:lineRule="exact"/>
              <w:jc w:val="left"/>
              <w:rPr>
                <w:sz w:val="16"/>
              </w:rPr>
            </w:pPr>
            <w:r w:rsidRPr="006C40C1">
              <w:rPr>
                <w:sz w:val="16"/>
              </w:rPr>
              <w:t xml:space="preserve">destillat vid 350 </w:t>
            </w:r>
            <w:r w:rsidRPr="006C40C1">
              <w:rPr>
                <w:sz w:val="16"/>
                <w:vertAlign w:val="superscript"/>
              </w:rPr>
              <w:t>o</w:t>
            </w:r>
            <w:r w:rsidRPr="006C40C1">
              <w:rPr>
                <w:sz w:val="16"/>
              </w:rPr>
              <w:t>C,</w:t>
            </w:r>
          </w:p>
          <w:p w:rsidR="00AA5D77" w:rsidRPr="006C40C1" w:rsidRDefault="00AA5D77">
            <w:pPr>
              <w:spacing w:before="0" w:line="200" w:lineRule="exact"/>
              <w:jc w:val="left"/>
              <w:rPr>
                <w:sz w:val="16"/>
              </w:rPr>
            </w:pPr>
            <w:r w:rsidRPr="006C40C1">
              <w:rPr>
                <w:sz w:val="16"/>
              </w:rPr>
              <w:t>tillhörig</w:t>
            </w:r>
          </w:p>
        </w:tc>
        <w:tc>
          <w:tcPr>
            <w:tcW w:w="1430" w:type="dxa"/>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miljöklass 1</w:t>
            </w:r>
          </w:p>
        </w:tc>
        <w:tc>
          <w:tcPr>
            <w:tcW w:w="1430" w:type="dxa"/>
          </w:tcPr>
          <w:p w:rsidR="00AA5D77" w:rsidRPr="006C40C1" w:rsidRDefault="00AA5D77">
            <w:pPr>
              <w:spacing w:before="0" w:line="200" w:lineRule="exact"/>
              <w:rPr>
                <w:sz w:val="16"/>
              </w:rPr>
            </w:pPr>
            <w:r w:rsidRPr="006C40C1">
              <w:rPr>
                <w:i/>
                <w:sz w:val="16"/>
              </w:rPr>
              <w:t>1 044</w:t>
            </w:r>
            <w:r w:rsidRPr="006C40C1">
              <w:rPr>
                <w:sz w:val="16"/>
              </w:rPr>
              <w:t xml:space="preserve"> kr per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 xml:space="preserve">2 174 </w:t>
            </w:r>
            <w:r w:rsidRPr="006C40C1">
              <w:rPr>
                <w:sz w:val="16"/>
              </w:rPr>
              <w:t>kr per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sz w:val="16"/>
              </w:rPr>
              <w:t>3 178 kr per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miljöklass 2</w:t>
            </w:r>
          </w:p>
        </w:tc>
        <w:tc>
          <w:tcPr>
            <w:tcW w:w="1430" w:type="dxa"/>
          </w:tcPr>
          <w:p w:rsidR="00AA5D77" w:rsidRPr="006C40C1" w:rsidRDefault="00AA5D77">
            <w:pPr>
              <w:spacing w:before="0" w:line="200" w:lineRule="exact"/>
              <w:rPr>
                <w:sz w:val="16"/>
              </w:rPr>
            </w:pPr>
            <w:r w:rsidRPr="006C40C1">
              <w:rPr>
                <w:i/>
                <w:sz w:val="16"/>
              </w:rPr>
              <w:t>1 243</w:t>
            </w:r>
            <w:r w:rsidRPr="006C40C1">
              <w:rPr>
                <w:sz w:val="16"/>
              </w:rPr>
              <w:t xml:space="preserve"> kr per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 xml:space="preserve">2 174 </w:t>
            </w:r>
            <w:r w:rsidRPr="006C40C1">
              <w:rPr>
                <w:sz w:val="16"/>
              </w:rPr>
              <w:t>kr per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sz w:val="16"/>
              </w:rPr>
              <w:t>3 417 kr per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miljöklass 3 eller inte tillhör någon miljöklass</w:t>
            </w:r>
          </w:p>
        </w:tc>
        <w:tc>
          <w:tcPr>
            <w:tcW w:w="1430" w:type="dxa"/>
          </w:tcPr>
          <w:p w:rsidR="00AA5D77" w:rsidRPr="006C40C1" w:rsidRDefault="00AA5D77">
            <w:pPr>
              <w:spacing w:before="0" w:line="200" w:lineRule="exact"/>
              <w:rPr>
                <w:sz w:val="16"/>
              </w:rPr>
            </w:pPr>
            <w:r w:rsidRPr="006C40C1">
              <w:rPr>
                <w:i/>
                <w:sz w:val="16"/>
              </w:rPr>
              <w:t>1 556</w:t>
            </w:r>
            <w:r w:rsidRPr="006C40C1">
              <w:rPr>
                <w:sz w:val="16"/>
              </w:rPr>
              <w:t xml:space="preserve"> kr per m</w:t>
            </w:r>
            <w:r w:rsidRPr="006C40C1">
              <w:rPr>
                <w:sz w:val="16"/>
                <w:vertAlign w:val="superscript"/>
              </w:rPr>
              <w:t>3</w:t>
            </w:r>
            <w:r w:rsidRPr="006C40C1">
              <w:rPr>
                <w:sz w:val="16"/>
              </w:rPr>
              <w:t xml:space="preserve"> </w:t>
            </w:r>
          </w:p>
        </w:tc>
        <w:tc>
          <w:tcPr>
            <w:tcW w:w="1321" w:type="dxa"/>
          </w:tcPr>
          <w:p w:rsidR="00AA5D77" w:rsidRPr="006C40C1" w:rsidRDefault="00AA5D77">
            <w:pPr>
              <w:spacing w:before="0" w:line="200" w:lineRule="exact"/>
              <w:rPr>
                <w:sz w:val="16"/>
              </w:rPr>
            </w:pPr>
            <w:r w:rsidRPr="006C40C1">
              <w:rPr>
                <w:i/>
                <w:sz w:val="16"/>
              </w:rPr>
              <w:t xml:space="preserve">2 174 </w:t>
            </w:r>
            <w:r w:rsidRPr="006C40C1">
              <w:rPr>
                <w:sz w:val="16"/>
              </w:rPr>
              <w:t>kr per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sz w:val="16"/>
              </w:rPr>
              <w:t>3 730 kr per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r w:rsidRPr="006C40C1">
              <w:rPr>
                <w:sz w:val="16"/>
              </w:rPr>
              <w:t>4.</w:t>
            </w:r>
          </w:p>
        </w:tc>
        <w:tc>
          <w:tcPr>
            <w:tcW w:w="1276" w:type="dxa"/>
          </w:tcPr>
          <w:p w:rsidR="00AA5D77" w:rsidRPr="006C40C1" w:rsidRDefault="00AA5D77">
            <w:pPr>
              <w:spacing w:before="0" w:line="200" w:lineRule="exact"/>
              <w:jc w:val="left"/>
              <w:rPr>
                <w:sz w:val="16"/>
              </w:rPr>
            </w:pPr>
            <w:r w:rsidRPr="006C40C1">
              <w:rPr>
                <w:sz w:val="16"/>
              </w:rPr>
              <w:t>ur 2711 12 11–2711 19 00</w:t>
            </w:r>
          </w:p>
        </w:tc>
        <w:tc>
          <w:tcPr>
            <w:tcW w:w="2023" w:type="dxa"/>
          </w:tcPr>
          <w:p w:rsidR="00AA5D77" w:rsidRPr="006C40C1" w:rsidRDefault="00AA5D77">
            <w:pPr>
              <w:spacing w:before="0" w:line="200" w:lineRule="exact"/>
              <w:jc w:val="left"/>
              <w:rPr>
                <w:sz w:val="16"/>
              </w:rPr>
            </w:pPr>
            <w:r w:rsidRPr="006C40C1">
              <w:rPr>
                <w:sz w:val="16"/>
              </w:rPr>
              <w:t xml:space="preserve">Gasol som används för </w:t>
            </w:r>
          </w:p>
        </w:tc>
        <w:tc>
          <w:tcPr>
            <w:tcW w:w="1430" w:type="dxa"/>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a) drift av motordrivet fordon, fartyg eller luftfartyg</w:t>
            </w:r>
          </w:p>
        </w:tc>
        <w:tc>
          <w:tcPr>
            <w:tcW w:w="1430" w:type="dxa"/>
          </w:tcPr>
          <w:p w:rsidR="00AA5D77" w:rsidRPr="006C40C1" w:rsidRDefault="00AA5D77">
            <w:pPr>
              <w:spacing w:before="0" w:line="200" w:lineRule="exact"/>
              <w:rPr>
                <w:sz w:val="16"/>
              </w:rPr>
            </w:pPr>
            <w:r w:rsidRPr="006C40C1">
              <w:rPr>
                <w:sz w:val="16"/>
              </w:rPr>
              <w:t xml:space="preserve">0 kr per </w:t>
            </w:r>
          </w:p>
          <w:p w:rsidR="00AA5D77" w:rsidRPr="006C40C1" w:rsidRDefault="00AA5D77">
            <w:pPr>
              <w:spacing w:before="0" w:line="200" w:lineRule="exact"/>
              <w:rPr>
                <w:sz w:val="16"/>
              </w:rPr>
            </w:pPr>
            <w:r w:rsidRPr="006C40C1">
              <w:rPr>
                <w:sz w:val="16"/>
              </w:rPr>
              <w:t>1 000 kg</w:t>
            </w:r>
          </w:p>
        </w:tc>
        <w:tc>
          <w:tcPr>
            <w:tcW w:w="1321" w:type="dxa"/>
          </w:tcPr>
          <w:p w:rsidR="00AA5D77" w:rsidRPr="006C40C1" w:rsidRDefault="00AA5D77">
            <w:pPr>
              <w:spacing w:before="0" w:line="200" w:lineRule="exact"/>
              <w:jc w:val="left"/>
              <w:rPr>
                <w:sz w:val="16"/>
              </w:rPr>
            </w:pPr>
            <w:r w:rsidRPr="006C40C1">
              <w:rPr>
                <w:sz w:val="16"/>
              </w:rPr>
              <w:t xml:space="preserve">1 322 kr per </w:t>
            </w:r>
            <w:r w:rsidRPr="006C40C1">
              <w:rPr>
                <w:sz w:val="16"/>
              </w:rPr>
              <w:br/>
              <w:t>1 000 kg</w:t>
            </w:r>
          </w:p>
        </w:tc>
        <w:tc>
          <w:tcPr>
            <w:tcW w:w="1320" w:type="dxa"/>
          </w:tcPr>
          <w:p w:rsidR="00AA5D77" w:rsidRPr="006C40C1" w:rsidRDefault="00AA5D77">
            <w:pPr>
              <w:spacing w:before="0" w:line="200" w:lineRule="exact"/>
              <w:jc w:val="left"/>
              <w:rPr>
                <w:sz w:val="16"/>
              </w:rPr>
            </w:pPr>
            <w:r w:rsidRPr="006C40C1">
              <w:rPr>
                <w:sz w:val="16"/>
              </w:rPr>
              <w:t>1 322 kr per</w:t>
            </w:r>
            <w:r w:rsidRPr="006C40C1">
              <w:rPr>
                <w:sz w:val="16"/>
              </w:rPr>
              <w:br/>
              <w:t>1 000 kg</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b) annat ändamål än som avses under a</w:t>
            </w:r>
          </w:p>
        </w:tc>
        <w:tc>
          <w:tcPr>
            <w:tcW w:w="1430" w:type="dxa"/>
          </w:tcPr>
          <w:p w:rsidR="00AA5D77" w:rsidRPr="006C40C1" w:rsidRDefault="00AA5D77">
            <w:pPr>
              <w:spacing w:before="0" w:line="200" w:lineRule="exact"/>
              <w:rPr>
                <w:sz w:val="16"/>
              </w:rPr>
            </w:pPr>
            <w:r w:rsidRPr="006C40C1">
              <w:rPr>
                <w:sz w:val="16"/>
              </w:rPr>
              <w:t xml:space="preserve">141 kr per </w:t>
            </w:r>
          </w:p>
          <w:p w:rsidR="00AA5D77" w:rsidRPr="006C40C1" w:rsidRDefault="00AA5D77">
            <w:pPr>
              <w:spacing w:before="0" w:line="200" w:lineRule="exact"/>
              <w:rPr>
                <w:sz w:val="16"/>
              </w:rPr>
            </w:pPr>
            <w:r w:rsidRPr="006C40C1">
              <w:rPr>
                <w:sz w:val="16"/>
              </w:rPr>
              <w:t>1 000 kg</w:t>
            </w:r>
          </w:p>
        </w:tc>
        <w:tc>
          <w:tcPr>
            <w:tcW w:w="1321" w:type="dxa"/>
          </w:tcPr>
          <w:p w:rsidR="00AA5D77" w:rsidRPr="006C40C1" w:rsidRDefault="00AA5D77">
            <w:pPr>
              <w:spacing w:before="0" w:line="200" w:lineRule="exact"/>
              <w:rPr>
                <w:sz w:val="16"/>
              </w:rPr>
            </w:pPr>
            <w:r w:rsidRPr="006C40C1">
              <w:rPr>
                <w:i/>
                <w:sz w:val="16"/>
              </w:rPr>
              <w:t xml:space="preserve">2 286 </w:t>
            </w:r>
            <w:r w:rsidRPr="006C40C1">
              <w:rPr>
                <w:sz w:val="16"/>
              </w:rPr>
              <w:t xml:space="preserve">kr per </w:t>
            </w:r>
          </w:p>
          <w:p w:rsidR="00AA5D77" w:rsidRPr="006C40C1" w:rsidRDefault="00AA5D77">
            <w:pPr>
              <w:spacing w:before="0" w:line="200" w:lineRule="exact"/>
              <w:rPr>
                <w:sz w:val="16"/>
              </w:rPr>
            </w:pPr>
            <w:r w:rsidRPr="006C40C1">
              <w:rPr>
                <w:sz w:val="16"/>
              </w:rPr>
              <w:t>1 000 kg</w:t>
            </w:r>
          </w:p>
        </w:tc>
        <w:tc>
          <w:tcPr>
            <w:tcW w:w="1320" w:type="dxa"/>
          </w:tcPr>
          <w:p w:rsidR="00AA5D77" w:rsidRPr="006C40C1" w:rsidRDefault="00AA5D77">
            <w:pPr>
              <w:spacing w:before="0" w:line="200" w:lineRule="exact"/>
              <w:rPr>
                <w:sz w:val="16"/>
              </w:rPr>
            </w:pPr>
            <w:r w:rsidRPr="006C40C1">
              <w:rPr>
                <w:i/>
                <w:sz w:val="16"/>
              </w:rPr>
              <w:t>2 427</w:t>
            </w:r>
            <w:r w:rsidRPr="006C40C1">
              <w:rPr>
                <w:sz w:val="16"/>
              </w:rPr>
              <w:t xml:space="preserve"> kr per </w:t>
            </w:r>
          </w:p>
          <w:p w:rsidR="00AA5D77" w:rsidRPr="006C40C1" w:rsidRDefault="00AA5D77">
            <w:pPr>
              <w:spacing w:before="0" w:line="200" w:lineRule="exact"/>
              <w:rPr>
                <w:sz w:val="16"/>
              </w:rPr>
            </w:pPr>
            <w:r w:rsidRPr="006C40C1">
              <w:rPr>
                <w:sz w:val="16"/>
              </w:rPr>
              <w:t>1 000 kg</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r w:rsidRPr="006C40C1">
              <w:rPr>
                <w:sz w:val="16"/>
              </w:rPr>
              <w:t>5.</w:t>
            </w:r>
          </w:p>
        </w:tc>
        <w:tc>
          <w:tcPr>
            <w:tcW w:w="1276" w:type="dxa"/>
          </w:tcPr>
          <w:p w:rsidR="00AA5D77" w:rsidRPr="006C40C1" w:rsidRDefault="00AA5D77">
            <w:pPr>
              <w:spacing w:before="0" w:line="200" w:lineRule="exact"/>
              <w:rPr>
                <w:sz w:val="16"/>
              </w:rPr>
            </w:pPr>
            <w:r w:rsidRPr="006C40C1">
              <w:rPr>
                <w:sz w:val="16"/>
              </w:rPr>
              <w:t>ur 2711 29 00</w:t>
            </w:r>
          </w:p>
        </w:tc>
        <w:tc>
          <w:tcPr>
            <w:tcW w:w="2023" w:type="dxa"/>
          </w:tcPr>
          <w:p w:rsidR="00AA5D77" w:rsidRPr="006C40C1" w:rsidRDefault="00AA5D77">
            <w:pPr>
              <w:spacing w:before="0" w:line="200" w:lineRule="exact"/>
              <w:jc w:val="left"/>
              <w:rPr>
                <w:sz w:val="16"/>
              </w:rPr>
            </w:pPr>
            <w:r w:rsidRPr="006C40C1">
              <w:rPr>
                <w:sz w:val="16"/>
              </w:rPr>
              <w:t>Metan som används för</w:t>
            </w:r>
          </w:p>
        </w:tc>
        <w:tc>
          <w:tcPr>
            <w:tcW w:w="1430" w:type="dxa"/>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a) drift av motordrivet fordon, fartyg eller luftfartyg</w:t>
            </w:r>
          </w:p>
        </w:tc>
        <w:tc>
          <w:tcPr>
            <w:tcW w:w="1430" w:type="dxa"/>
          </w:tcPr>
          <w:p w:rsidR="00AA5D77" w:rsidRPr="006C40C1" w:rsidRDefault="00AA5D77">
            <w:pPr>
              <w:spacing w:before="0" w:line="200" w:lineRule="exact"/>
              <w:rPr>
                <w:sz w:val="16"/>
              </w:rPr>
            </w:pPr>
            <w:r w:rsidRPr="006C40C1">
              <w:rPr>
                <w:sz w:val="16"/>
              </w:rPr>
              <w:t xml:space="preserve">0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sz w:val="16"/>
              </w:rPr>
              <w:t xml:space="preserve">1 087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sz w:val="16"/>
              </w:rPr>
              <w:t xml:space="preserve">1 087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b) annat ändamål än som avses under a</w:t>
            </w:r>
          </w:p>
        </w:tc>
        <w:tc>
          <w:tcPr>
            <w:tcW w:w="1430" w:type="dxa"/>
          </w:tcPr>
          <w:p w:rsidR="00AA5D77" w:rsidRPr="006C40C1" w:rsidRDefault="00AA5D77">
            <w:pPr>
              <w:spacing w:before="0" w:line="200" w:lineRule="exact"/>
              <w:rPr>
                <w:sz w:val="16"/>
              </w:rPr>
            </w:pPr>
            <w:r w:rsidRPr="006C40C1">
              <w:rPr>
                <w:sz w:val="16"/>
              </w:rPr>
              <w:t xml:space="preserve">233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 xml:space="preserve">1 628 </w:t>
            </w:r>
            <w:r w:rsidRPr="006C40C1">
              <w:rPr>
                <w:sz w:val="16"/>
              </w:rPr>
              <w:t xml:space="preserve">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1 861</w:t>
            </w:r>
            <w:r w:rsidRPr="006C40C1">
              <w:rPr>
                <w:sz w:val="16"/>
              </w:rPr>
              <w:t xml:space="preserve">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r w:rsidRPr="006C40C1">
              <w:rPr>
                <w:sz w:val="16"/>
              </w:rPr>
              <w:t>6.</w:t>
            </w:r>
          </w:p>
        </w:tc>
        <w:tc>
          <w:tcPr>
            <w:tcW w:w="1276" w:type="dxa"/>
          </w:tcPr>
          <w:p w:rsidR="00AA5D77" w:rsidRPr="006C40C1" w:rsidRDefault="00AA5D77">
            <w:pPr>
              <w:spacing w:before="0" w:line="200" w:lineRule="exact"/>
              <w:rPr>
                <w:sz w:val="16"/>
              </w:rPr>
            </w:pPr>
            <w:r w:rsidRPr="006C40C1">
              <w:rPr>
                <w:sz w:val="16"/>
              </w:rPr>
              <w:t>2711 11 00, 2711 21 00</w:t>
            </w:r>
          </w:p>
        </w:tc>
        <w:tc>
          <w:tcPr>
            <w:tcW w:w="2023" w:type="dxa"/>
          </w:tcPr>
          <w:p w:rsidR="00AA5D77" w:rsidRPr="006C40C1" w:rsidRDefault="00AA5D77">
            <w:pPr>
              <w:spacing w:before="0" w:line="200" w:lineRule="exact"/>
              <w:jc w:val="left"/>
              <w:rPr>
                <w:rFonts w:ascii="OrigGarmnd BT" w:hAnsi="OrigGarmnd BT"/>
                <w:sz w:val="16"/>
              </w:rPr>
            </w:pPr>
            <w:r w:rsidRPr="006C40C1">
              <w:rPr>
                <w:rFonts w:ascii="OrigGarmnd BT" w:hAnsi="OrigGarmnd BT"/>
                <w:sz w:val="16"/>
              </w:rPr>
              <w:t>Naturgas som används för</w:t>
            </w:r>
          </w:p>
        </w:tc>
        <w:tc>
          <w:tcPr>
            <w:tcW w:w="1430" w:type="dxa"/>
          </w:tcPr>
          <w:p w:rsidR="00AA5D77" w:rsidRPr="006C40C1" w:rsidRDefault="00AA5D77">
            <w:pPr>
              <w:spacing w:before="0" w:line="200" w:lineRule="exact"/>
              <w:rPr>
                <w:sz w:val="16"/>
              </w:rPr>
            </w:pPr>
          </w:p>
        </w:tc>
        <w:tc>
          <w:tcPr>
            <w:tcW w:w="1321" w:type="dxa"/>
          </w:tcPr>
          <w:p w:rsidR="00AA5D77" w:rsidRPr="006C40C1" w:rsidRDefault="00AA5D77">
            <w:pPr>
              <w:spacing w:before="0" w:line="200" w:lineRule="exact"/>
              <w:rPr>
                <w:sz w:val="16"/>
              </w:rPr>
            </w:pPr>
          </w:p>
        </w:tc>
        <w:tc>
          <w:tcPr>
            <w:tcW w:w="1320" w:type="dxa"/>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a) drift av motordrivet fordon, fartyg eller luftfartyg</w:t>
            </w:r>
          </w:p>
        </w:tc>
        <w:tc>
          <w:tcPr>
            <w:tcW w:w="1430" w:type="dxa"/>
          </w:tcPr>
          <w:p w:rsidR="00AA5D77" w:rsidRPr="006C40C1" w:rsidRDefault="00AA5D77">
            <w:pPr>
              <w:spacing w:before="0" w:line="200" w:lineRule="exact"/>
              <w:rPr>
                <w:sz w:val="16"/>
              </w:rPr>
            </w:pPr>
            <w:r w:rsidRPr="006C40C1">
              <w:rPr>
                <w:sz w:val="16"/>
              </w:rPr>
              <w:t xml:space="preserve">0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sz w:val="16"/>
              </w:rPr>
              <w:t xml:space="preserve">1 087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sz w:val="16"/>
              </w:rPr>
              <w:t xml:space="preserve">1 087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p>
        </w:tc>
        <w:tc>
          <w:tcPr>
            <w:tcW w:w="1276" w:type="dxa"/>
          </w:tcPr>
          <w:p w:rsidR="00AA5D77" w:rsidRPr="006C40C1" w:rsidRDefault="00AA5D77">
            <w:pPr>
              <w:spacing w:before="0" w:line="200" w:lineRule="exact"/>
              <w:rPr>
                <w:sz w:val="16"/>
              </w:rPr>
            </w:pPr>
          </w:p>
        </w:tc>
        <w:tc>
          <w:tcPr>
            <w:tcW w:w="2023" w:type="dxa"/>
          </w:tcPr>
          <w:p w:rsidR="00AA5D77" w:rsidRPr="006C40C1" w:rsidRDefault="00AA5D77">
            <w:pPr>
              <w:spacing w:before="0" w:line="200" w:lineRule="exact"/>
              <w:jc w:val="left"/>
              <w:rPr>
                <w:sz w:val="16"/>
              </w:rPr>
            </w:pPr>
            <w:r w:rsidRPr="006C40C1">
              <w:rPr>
                <w:sz w:val="16"/>
              </w:rPr>
              <w:t>b) annat ändamål än som avses under a</w:t>
            </w:r>
          </w:p>
        </w:tc>
        <w:tc>
          <w:tcPr>
            <w:tcW w:w="1430" w:type="dxa"/>
          </w:tcPr>
          <w:p w:rsidR="00AA5D77" w:rsidRPr="006C40C1" w:rsidRDefault="00AA5D77">
            <w:pPr>
              <w:spacing w:before="0" w:line="200" w:lineRule="exact"/>
              <w:rPr>
                <w:sz w:val="16"/>
              </w:rPr>
            </w:pPr>
            <w:r w:rsidRPr="006C40C1">
              <w:rPr>
                <w:sz w:val="16"/>
              </w:rPr>
              <w:t xml:space="preserve">233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1" w:type="dxa"/>
          </w:tcPr>
          <w:p w:rsidR="00AA5D77" w:rsidRPr="006C40C1" w:rsidRDefault="00AA5D77">
            <w:pPr>
              <w:spacing w:before="0" w:line="200" w:lineRule="exact"/>
              <w:rPr>
                <w:sz w:val="16"/>
              </w:rPr>
            </w:pPr>
            <w:r w:rsidRPr="006C40C1">
              <w:rPr>
                <w:i/>
                <w:sz w:val="16"/>
              </w:rPr>
              <w:t xml:space="preserve">1 628 </w:t>
            </w:r>
            <w:r w:rsidRPr="006C40C1">
              <w:rPr>
                <w:sz w:val="16"/>
              </w:rPr>
              <w:t xml:space="preserve">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c>
          <w:tcPr>
            <w:tcW w:w="1320" w:type="dxa"/>
          </w:tcPr>
          <w:p w:rsidR="00AA5D77" w:rsidRPr="006C40C1" w:rsidRDefault="00AA5D77">
            <w:pPr>
              <w:spacing w:before="0" w:line="200" w:lineRule="exact"/>
              <w:rPr>
                <w:sz w:val="16"/>
              </w:rPr>
            </w:pPr>
            <w:r w:rsidRPr="006C40C1">
              <w:rPr>
                <w:i/>
                <w:sz w:val="16"/>
              </w:rPr>
              <w:t>1 861</w:t>
            </w:r>
            <w:r w:rsidRPr="006C40C1">
              <w:rPr>
                <w:sz w:val="16"/>
              </w:rPr>
              <w:t xml:space="preserve"> kr per </w:t>
            </w:r>
          </w:p>
          <w:p w:rsidR="00AA5D77" w:rsidRPr="006C40C1" w:rsidRDefault="00AA5D77">
            <w:pPr>
              <w:spacing w:before="0" w:line="200" w:lineRule="exact"/>
              <w:rPr>
                <w:sz w:val="16"/>
              </w:rPr>
            </w:pPr>
            <w:r w:rsidRPr="006C40C1">
              <w:rPr>
                <w:sz w:val="16"/>
              </w:rPr>
              <w:t>1 000 m</w:t>
            </w:r>
            <w:r w:rsidRPr="006C40C1">
              <w:rPr>
                <w:sz w:val="16"/>
                <w:vertAlign w:val="superscript"/>
              </w:rPr>
              <w:t>3</w:t>
            </w:r>
          </w:p>
        </w:tc>
      </w:tr>
      <w:tr w:rsidR="00000000" w:rsidRPr="006C40C1">
        <w:tblPrEx>
          <w:tblCellMar>
            <w:top w:w="0" w:type="dxa"/>
            <w:bottom w:w="0" w:type="dxa"/>
          </w:tblCellMar>
        </w:tblPrEx>
        <w:trPr>
          <w:jc w:val="right"/>
        </w:trPr>
        <w:tc>
          <w:tcPr>
            <w:tcW w:w="284" w:type="dxa"/>
          </w:tcPr>
          <w:p w:rsidR="00AA5D77" w:rsidRPr="006C40C1" w:rsidRDefault="00AA5D77">
            <w:pPr>
              <w:spacing w:before="0" w:line="200" w:lineRule="exact"/>
              <w:rPr>
                <w:sz w:val="16"/>
              </w:rPr>
            </w:pPr>
            <w:r w:rsidRPr="006C40C1">
              <w:rPr>
                <w:sz w:val="16"/>
              </w:rPr>
              <w:t>7.</w:t>
            </w:r>
          </w:p>
        </w:tc>
        <w:tc>
          <w:tcPr>
            <w:tcW w:w="1276" w:type="dxa"/>
          </w:tcPr>
          <w:p w:rsidR="00AA5D77" w:rsidRPr="006C40C1" w:rsidRDefault="00AA5D77">
            <w:pPr>
              <w:spacing w:before="0" w:line="200" w:lineRule="exact"/>
              <w:rPr>
                <w:sz w:val="16"/>
              </w:rPr>
            </w:pPr>
            <w:r w:rsidRPr="006C40C1">
              <w:rPr>
                <w:sz w:val="16"/>
              </w:rPr>
              <w:t>2701, 2702 eller 2704</w:t>
            </w:r>
          </w:p>
        </w:tc>
        <w:tc>
          <w:tcPr>
            <w:tcW w:w="2023" w:type="dxa"/>
          </w:tcPr>
          <w:p w:rsidR="00AA5D77" w:rsidRPr="006C40C1" w:rsidRDefault="00AA5D77">
            <w:pPr>
              <w:spacing w:before="0" w:line="200" w:lineRule="exact"/>
              <w:jc w:val="left"/>
              <w:rPr>
                <w:sz w:val="16"/>
              </w:rPr>
            </w:pPr>
            <w:r w:rsidRPr="006C40C1">
              <w:rPr>
                <w:sz w:val="16"/>
              </w:rPr>
              <w:t>Kolbränslen</w:t>
            </w:r>
          </w:p>
        </w:tc>
        <w:tc>
          <w:tcPr>
            <w:tcW w:w="1430" w:type="dxa"/>
          </w:tcPr>
          <w:p w:rsidR="00AA5D77" w:rsidRPr="006C40C1" w:rsidRDefault="00AA5D77">
            <w:pPr>
              <w:spacing w:before="0" w:line="200" w:lineRule="exact"/>
              <w:rPr>
                <w:sz w:val="16"/>
              </w:rPr>
            </w:pPr>
            <w:r w:rsidRPr="006C40C1">
              <w:rPr>
                <w:sz w:val="16"/>
              </w:rPr>
              <w:t>307 kr per</w:t>
            </w:r>
          </w:p>
          <w:p w:rsidR="00AA5D77" w:rsidRPr="006C40C1" w:rsidRDefault="00AA5D77">
            <w:pPr>
              <w:spacing w:before="0" w:line="200" w:lineRule="exact"/>
              <w:rPr>
                <w:sz w:val="16"/>
              </w:rPr>
            </w:pPr>
            <w:r w:rsidRPr="006C40C1">
              <w:rPr>
                <w:rFonts w:ascii="OrigGarmnd BT" w:hAnsi="OrigGarmnd BT"/>
                <w:sz w:val="16"/>
              </w:rPr>
              <w:t>1 000 kg</w:t>
            </w:r>
          </w:p>
        </w:tc>
        <w:tc>
          <w:tcPr>
            <w:tcW w:w="1321" w:type="dxa"/>
          </w:tcPr>
          <w:p w:rsidR="00AA5D77" w:rsidRPr="006C40C1" w:rsidRDefault="00AA5D77">
            <w:pPr>
              <w:spacing w:before="0" w:line="200" w:lineRule="exact"/>
              <w:rPr>
                <w:sz w:val="16"/>
              </w:rPr>
            </w:pPr>
            <w:r w:rsidRPr="006C40C1">
              <w:rPr>
                <w:i/>
                <w:sz w:val="16"/>
              </w:rPr>
              <w:t xml:space="preserve">1 892 </w:t>
            </w:r>
            <w:r w:rsidRPr="006C40C1">
              <w:rPr>
                <w:sz w:val="16"/>
              </w:rPr>
              <w:t>kr per</w:t>
            </w:r>
          </w:p>
          <w:p w:rsidR="00AA5D77" w:rsidRPr="006C40C1" w:rsidRDefault="00AA5D77">
            <w:pPr>
              <w:spacing w:before="0" w:line="200" w:lineRule="exact"/>
              <w:rPr>
                <w:sz w:val="16"/>
              </w:rPr>
            </w:pPr>
            <w:r w:rsidRPr="006C40C1">
              <w:rPr>
                <w:sz w:val="16"/>
              </w:rPr>
              <w:t>1 000 kg</w:t>
            </w:r>
          </w:p>
        </w:tc>
        <w:tc>
          <w:tcPr>
            <w:tcW w:w="1320" w:type="dxa"/>
          </w:tcPr>
          <w:p w:rsidR="00AA5D77" w:rsidRPr="006C40C1" w:rsidRDefault="00AA5D77">
            <w:pPr>
              <w:spacing w:before="0" w:line="200" w:lineRule="exact"/>
              <w:rPr>
                <w:sz w:val="16"/>
              </w:rPr>
            </w:pPr>
            <w:r w:rsidRPr="006C40C1">
              <w:rPr>
                <w:i/>
                <w:sz w:val="16"/>
              </w:rPr>
              <w:t>2 199</w:t>
            </w:r>
            <w:r w:rsidRPr="006C40C1">
              <w:rPr>
                <w:sz w:val="16"/>
              </w:rPr>
              <w:t xml:space="preserve"> kr per</w:t>
            </w:r>
          </w:p>
          <w:p w:rsidR="00AA5D77" w:rsidRPr="006C40C1" w:rsidRDefault="00AA5D77">
            <w:pPr>
              <w:spacing w:before="0" w:line="200" w:lineRule="exact"/>
              <w:rPr>
                <w:sz w:val="16"/>
              </w:rPr>
            </w:pPr>
            <w:r w:rsidRPr="006C40C1">
              <w:rPr>
                <w:sz w:val="16"/>
              </w:rPr>
              <w:t>1 000 kg</w:t>
            </w:r>
          </w:p>
        </w:tc>
      </w:tr>
      <w:tr w:rsidR="00000000" w:rsidRPr="006C40C1">
        <w:tblPrEx>
          <w:tblCellMar>
            <w:top w:w="0" w:type="dxa"/>
            <w:bottom w:w="0" w:type="dxa"/>
          </w:tblCellMar>
        </w:tblPrEx>
        <w:trPr>
          <w:jc w:val="right"/>
        </w:trPr>
        <w:tc>
          <w:tcPr>
            <w:tcW w:w="284" w:type="dxa"/>
            <w:tcBorders>
              <w:bottom w:val="single" w:sz="6" w:space="0" w:color="auto"/>
            </w:tcBorders>
          </w:tcPr>
          <w:p w:rsidR="00AA5D77" w:rsidRPr="006C40C1" w:rsidRDefault="00AA5D77">
            <w:pPr>
              <w:spacing w:before="0" w:line="200" w:lineRule="exact"/>
              <w:rPr>
                <w:sz w:val="16"/>
              </w:rPr>
            </w:pPr>
            <w:r w:rsidRPr="006C40C1">
              <w:rPr>
                <w:sz w:val="16"/>
              </w:rPr>
              <w:t>8.</w:t>
            </w:r>
          </w:p>
        </w:tc>
        <w:tc>
          <w:tcPr>
            <w:tcW w:w="1276" w:type="dxa"/>
            <w:tcBorders>
              <w:bottom w:val="single" w:sz="6" w:space="0" w:color="auto"/>
            </w:tcBorders>
          </w:tcPr>
          <w:p w:rsidR="00AA5D77" w:rsidRPr="006C40C1" w:rsidRDefault="00AA5D77">
            <w:pPr>
              <w:spacing w:before="0" w:line="200" w:lineRule="exact"/>
              <w:rPr>
                <w:sz w:val="16"/>
              </w:rPr>
            </w:pPr>
            <w:r w:rsidRPr="006C40C1">
              <w:rPr>
                <w:sz w:val="16"/>
              </w:rPr>
              <w:t>2713 11 00–2713 12 00</w:t>
            </w:r>
          </w:p>
        </w:tc>
        <w:tc>
          <w:tcPr>
            <w:tcW w:w="2023" w:type="dxa"/>
            <w:tcBorders>
              <w:bottom w:val="single" w:sz="6" w:space="0" w:color="auto"/>
            </w:tcBorders>
          </w:tcPr>
          <w:p w:rsidR="00AA5D77" w:rsidRPr="006C40C1" w:rsidRDefault="00AA5D77">
            <w:pPr>
              <w:spacing w:before="0" w:line="200" w:lineRule="exact"/>
              <w:jc w:val="left"/>
              <w:rPr>
                <w:sz w:val="16"/>
              </w:rPr>
            </w:pPr>
            <w:r w:rsidRPr="006C40C1">
              <w:rPr>
                <w:sz w:val="16"/>
              </w:rPr>
              <w:t>Petroleumkoks</w:t>
            </w:r>
          </w:p>
        </w:tc>
        <w:tc>
          <w:tcPr>
            <w:tcW w:w="1430" w:type="dxa"/>
            <w:tcBorders>
              <w:bottom w:val="single" w:sz="6" w:space="0" w:color="auto"/>
            </w:tcBorders>
          </w:tcPr>
          <w:p w:rsidR="00AA5D77" w:rsidRPr="006C40C1" w:rsidRDefault="00AA5D77">
            <w:pPr>
              <w:spacing w:before="0" w:line="200" w:lineRule="exact"/>
              <w:rPr>
                <w:sz w:val="16"/>
              </w:rPr>
            </w:pPr>
            <w:r w:rsidRPr="006C40C1">
              <w:rPr>
                <w:sz w:val="16"/>
              </w:rPr>
              <w:t>307 kr per</w:t>
            </w:r>
          </w:p>
          <w:p w:rsidR="00AA5D77" w:rsidRPr="006C40C1" w:rsidRDefault="00AA5D77">
            <w:pPr>
              <w:spacing w:before="0" w:line="200" w:lineRule="exact"/>
              <w:rPr>
                <w:sz w:val="16"/>
              </w:rPr>
            </w:pPr>
            <w:r w:rsidRPr="006C40C1">
              <w:rPr>
                <w:sz w:val="16"/>
              </w:rPr>
              <w:t>1 000 kg</w:t>
            </w:r>
          </w:p>
        </w:tc>
        <w:tc>
          <w:tcPr>
            <w:tcW w:w="1321" w:type="dxa"/>
            <w:tcBorders>
              <w:bottom w:val="single" w:sz="6" w:space="0" w:color="auto"/>
            </w:tcBorders>
          </w:tcPr>
          <w:p w:rsidR="00AA5D77" w:rsidRPr="006C40C1" w:rsidRDefault="00AA5D77">
            <w:pPr>
              <w:spacing w:before="0" w:line="200" w:lineRule="exact"/>
              <w:rPr>
                <w:sz w:val="16"/>
              </w:rPr>
            </w:pPr>
            <w:r w:rsidRPr="006C40C1">
              <w:rPr>
                <w:i/>
                <w:sz w:val="16"/>
              </w:rPr>
              <w:t xml:space="preserve">1 892 </w:t>
            </w:r>
            <w:r w:rsidRPr="006C40C1">
              <w:rPr>
                <w:sz w:val="16"/>
              </w:rPr>
              <w:t>kr per</w:t>
            </w:r>
          </w:p>
          <w:p w:rsidR="00AA5D77" w:rsidRPr="006C40C1" w:rsidRDefault="00AA5D77">
            <w:pPr>
              <w:spacing w:before="0" w:line="200" w:lineRule="exact"/>
              <w:rPr>
                <w:sz w:val="16"/>
              </w:rPr>
            </w:pPr>
            <w:r w:rsidRPr="006C40C1">
              <w:rPr>
                <w:sz w:val="16"/>
              </w:rPr>
              <w:t>1 000 kg</w:t>
            </w:r>
          </w:p>
        </w:tc>
        <w:tc>
          <w:tcPr>
            <w:tcW w:w="1320" w:type="dxa"/>
            <w:tcBorders>
              <w:bottom w:val="single" w:sz="6" w:space="0" w:color="auto"/>
            </w:tcBorders>
          </w:tcPr>
          <w:p w:rsidR="00AA5D77" w:rsidRPr="006C40C1" w:rsidRDefault="00AA5D77">
            <w:pPr>
              <w:spacing w:before="0" w:line="200" w:lineRule="exact"/>
              <w:rPr>
                <w:sz w:val="16"/>
              </w:rPr>
            </w:pPr>
            <w:r w:rsidRPr="006C40C1">
              <w:rPr>
                <w:i/>
                <w:sz w:val="16"/>
              </w:rPr>
              <w:t>2 199</w:t>
            </w:r>
            <w:r w:rsidRPr="006C40C1">
              <w:rPr>
                <w:sz w:val="16"/>
              </w:rPr>
              <w:t xml:space="preserve"> kr per</w:t>
            </w:r>
          </w:p>
          <w:p w:rsidR="00AA5D77" w:rsidRPr="006C40C1" w:rsidRDefault="00AA5D77">
            <w:pPr>
              <w:spacing w:before="0" w:line="200" w:lineRule="exact"/>
              <w:rPr>
                <w:sz w:val="16"/>
              </w:rPr>
            </w:pPr>
            <w:r w:rsidRPr="006C40C1">
              <w:rPr>
                <w:sz w:val="16"/>
              </w:rPr>
              <w:t>1 000 kg</w:t>
            </w:r>
          </w:p>
        </w:tc>
      </w:tr>
    </w:tbl>
    <w:p w:rsidR="00AA5D77" w:rsidRPr="006C40C1" w:rsidRDefault="00AA5D77">
      <w:pPr>
        <w:pStyle w:val="Normaltindrag"/>
      </w:pPr>
    </w:p>
    <w:p w:rsidR="00AA5D77" w:rsidRPr="006C40C1" w:rsidRDefault="00AA5D77">
      <w:pPr>
        <w:pStyle w:val="Normaltindrag"/>
      </w:pPr>
      <w:r w:rsidRPr="006C40C1">
        <w:t>I fall som avses i 4 kap. 1 § 7 och 8 och 12 § första stycket 4 tas skatt ut med ett belopp som motsvarar skillnaden mellan de skattebelopp som gäller för bränslets olika användningssätt.</w:t>
      </w:r>
    </w:p>
    <w:p w:rsidR="00AA5D77" w:rsidRPr="006C40C1" w:rsidRDefault="00AA5D77">
      <w:pPr>
        <w:pStyle w:val="Normaltindrag"/>
      </w:pPr>
      <w:r w:rsidRPr="006C40C1">
        <w:t>För kalenderåret 2004 och efterföljande kalenderår skall de i första stycket angivna skattebeloppen räknas om enligt 10 §.</w:t>
      </w:r>
    </w:p>
    <w:p w:rsidR="00AA5D77" w:rsidRPr="006C40C1" w:rsidRDefault="00AA5D77">
      <w:pPr>
        <w:jc w:val="center"/>
      </w:pPr>
      <w:r w:rsidRPr="006C40C1">
        <w:rPr>
          <w:b/>
        </w:rPr>
        <w:t>6 a kap.</w:t>
      </w:r>
    </w:p>
    <w:p w:rsidR="00AA5D77" w:rsidRPr="006C40C1" w:rsidRDefault="00AA5D77">
      <w:pPr>
        <w:jc w:val="center"/>
        <w:rPr>
          <w:b/>
        </w:rPr>
      </w:pPr>
      <w:r w:rsidRPr="006C40C1">
        <w:rPr>
          <w:b/>
        </w:rPr>
        <w:t>1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Regeringens förslag</w:t>
            </w:r>
          </w:p>
        </w:tc>
        <w:tc>
          <w:tcPr>
            <w:tcW w:w="3090" w:type="dxa"/>
          </w:tcPr>
          <w:p w:rsidR="00AA5D77" w:rsidRPr="006C40C1" w:rsidRDefault="00AA5D77">
            <w:pPr>
              <w:pStyle w:val="LagtextRubrik"/>
            </w:pPr>
          </w:p>
        </w:tc>
      </w:tr>
    </w:tbl>
    <w:p w:rsidR="00AA5D77" w:rsidRPr="006C40C1" w:rsidRDefault="00AA5D77">
      <w:pPr>
        <w:pStyle w:val="Normaltindrag"/>
      </w:pPr>
      <w:r w:rsidRPr="006C40C1">
        <w:t>Bränsle som används för nedan angivna ändamål, i förekommande fall med undantag för vissa bränsleslag, skall helt eller delvis befrias från skatt enligt följande, om inte annat anges.</w:t>
      </w:r>
    </w:p>
    <w:p w:rsidR="00AA5D77" w:rsidRPr="006C40C1" w:rsidRDefault="00AA5D77">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6C40C1">
        <w:tblPrEx>
          <w:tblCellMar>
            <w:top w:w="0" w:type="dxa"/>
            <w:bottom w:w="0" w:type="dxa"/>
          </w:tblCellMar>
        </w:tblPrEx>
        <w:tc>
          <w:tcPr>
            <w:tcW w:w="2270"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Ändamål</w:t>
            </w:r>
          </w:p>
          <w:p w:rsidR="00AA5D77" w:rsidRPr="006C40C1" w:rsidRDefault="00AA5D77">
            <w:pPr>
              <w:spacing w:before="0" w:line="200" w:lineRule="exact"/>
              <w:jc w:val="left"/>
              <w:rPr>
                <w:sz w:val="16"/>
              </w:rPr>
            </w:pPr>
          </w:p>
        </w:tc>
        <w:tc>
          <w:tcPr>
            <w:tcW w:w="1611"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Bränsle som inte ger befr</w:t>
            </w:r>
            <w:r w:rsidRPr="006C40C1">
              <w:rPr>
                <w:sz w:val="16"/>
              </w:rPr>
              <w:t>i</w:t>
            </w:r>
            <w:r w:rsidRPr="006C40C1">
              <w:rPr>
                <w:sz w:val="16"/>
              </w:rPr>
              <w:t>else</w:t>
            </w:r>
          </w:p>
        </w:tc>
        <w:tc>
          <w:tcPr>
            <w:tcW w:w="1213" w:type="dxa"/>
            <w:tcBorders>
              <w:top w:val="single" w:sz="4" w:space="0" w:color="auto"/>
              <w:left w:val="nil"/>
              <w:bottom w:val="single" w:sz="4" w:space="0" w:color="auto"/>
              <w:right w:val="nil"/>
            </w:tcBorders>
          </w:tcPr>
          <w:p w:rsidR="00AA5D77" w:rsidRPr="006C40C1" w:rsidRDefault="00AA5D77">
            <w:pPr>
              <w:pStyle w:val="Tabelltext"/>
            </w:pPr>
            <w:r w:rsidRPr="006C40C1">
              <w:t>Befrielse från energ</w:t>
            </w:r>
            <w:r w:rsidRPr="006C40C1">
              <w:t>i</w:t>
            </w:r>
            <w:r w:rsidRPr="006C40C1">
              <w:t>skatt</w:t>
            </w:r>
          </w:p>
        </w:tc>
        <w:tc>
          <w:tcPr>
            <w:tcW w:w="1209" w:type="dxa"/>
            <w:tcBorders>
              <w:top w:val="single" w:sz="4" w:space="0" w:color="auto"/>
              <w:left w:val="nil"/>
              <w:bottom w:val="single" w:sz="4" w:space="0" w:color="auto"/>
              <w:right w:val="nil"/>
            </w:tcBorders>
          </w:tcPr>
          <w:p w:rsidR="00AA5D77" w:rsidRPr="006C40C1" w:rsidRDefault="00AA5D77">
            <w:pPr>
              <w:pStyle w:val="Tabelltext"/>
            </w:pPr>
            <w:r w:rsidRPr="006C40C1">
              <w:t>Befrielse från koldio</w:t>
            </w:r>
            <w:r w:rsidRPr="006C40C1">
              <w:t>x</w:t>
            </w:r>
            <w:r w:rsidRPr="006C40C1">
              <w:t>id</w:t>
            </w:r>
            <w:r w:rsidRPr="006C40C1">
              <w:softHyphen/>
              <w:t>skatt</w:t>
            </w:r>
          </w:p>
        </w:tc>
        <w:tc>
          <w:tcPr>
            <w:tcW w:w="1209" w:type="dxa"/>
            <w:tcBorders>
              <w:top w:val="single" w:sz="4" w:space="0" w:color="auto"/>
              <w:left w:val="nil"/>
              <w:bottom w:val="single" w:sz="4" w:space="0" w:color="auto"/>
              <w:right w:val="nil"/>
            </w:tcBorders>
          </w:tcPr>
          <w:p w:rsidR="00AA5D77" w:rsidRPr="006C40C1" w:rsidRDefault="00AA5D77">
            <w:pPr>
              <w:spacing w:before="0" w:line="200" w:lineRule="exact"/>
              <w:rPr>
                <w:sz w:val="16"/>
              </w:rPr>
            </w:pPr>
            <w:r w:rsidRPr="006C40C1">
              <w:rPr>
                <w:sz w:val="16"/>
              </w:rPr>
              <w:t>Befrielse från svave</w:t>
            </w:r>
            <w:r w:rsidRPr="006C40C1">
              <w:rPr>
                <w:sz w:val="16"/>
              </w:rPr>
              <w:t>l</w:t>
            </w:r>
            <w:r w:rsidRPr="006C40C1">
              <w:rPr>
                <w:sz w:val="16"/>
              </w:rPr>
              <w:t>skatt</w:t>
            </w:r>
          </w:p>
        </w:tc>
      </w:tr>
      <w:tr w:rsidR="00000000" w:rsidRPr="006C40C1">
        <w:tblPrEx>
          <w:tblCellMar>
            <w:top w:w="0" w:type="dxa"/>
            <w:bottom w:w="0" w:type="dxa"/>
          </w:tblCellMar>
        </w:tblPrEx>
        <w:tc>
          <w:tcPr>
            <w:tcW w:w="2270" w:type="dxa"/>
            <w:tcBorders>
              <w:top w:val="single" w:sz="4" w:space="0" w:color="auto"/>
              <w:left w:val="nil"/>
              <w:right w:val="nil"/>
            </w:tcBorders>
          </w:tcPr>
          <w:p w:rsidR="00AA5D77" w:rsidRPr="006C40C1" w:rsidRDefault="00AA5D77">
            <w:pPr>
              <w:spacing w:before="0" w:line="200" w:lineRule="exact"/>
              <w:jc w:val="left"/>
              <w:rPr>
                <w:sz w:val="16"/>
              </w:rPr>
            </w:pPr>
          </w:p>
        </w:tc>
        <w:tc>
          <w:tcPr>
            <w:tcW w:w="1611" w:type="dxa"/>
            <w:tcBorders>
              <w:top w:val="single" w:sz="4" w:space="0" w:color="auto"/>
              <w:left w:val="nil"/>
              <w:right w:val="nil"/>
            </w:tcBorders>
          </w:tcPr>
          <w:p w:rsidR="00AA5D77" w:rsidRPr="006C40C1" w:rsidRDefault="00AA5D77">
            <w:pPr>
              <w:spacing w:before="0" w:line="200" w:lineRule="exact"/>
              <w:jc w:val="left"/>
              <w:rPr>
                <w:sz w:val="16"/>
              </w:rPr>
            </w:pPr>
          </w:p>
        </w:tc>
        <w:tc>
          <w:tcPr>
            <w:tcW w:w="1213"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left w:val="nil"/>
              <w:right w:val="nil"/>
            </w:tcBorders>
          </w:tcPr>
          <w:p w:rsidR="00AA5D77" w:rsidRPr="006C40C1" w:rsidRDefault="00AA5D77">
            <w:pPr>
              <w:spacing w:before="0" w:line="200" w:lineRule="exact"/>
              <w:jc w:val="left"/>
              <w:rPr>
                <w:sz w:val="16"/>
              </w:rPr>
            </w:pPr>
            <w:r w:rsidRPr="006C40C1">
              <w:rPr>
                <w:sz w:val="16"/>
              </w:rPr>
              <w:t>1. Förbrukning för annat änd</w:t>
            </w:r>
            <w:r w:rsidRPr="006C40C1">
              <w:rPr>
                <w:sz w:val="16"/>
              </w:rPr>
              <w:t>a</w:t>
            </w:r>
            <w:r w:rsidRPr="006C40C1">
              <w:rPr>
                <w:sz w:val="16"/>
              </w:rPr>
              <w:t>mål än motordrift eller up</w:t>
            </w:r>
            <w:r w:rsidRPr="006C40C1">
              <w:rPr>
                <w:sz w:val="16"/>
              </w:rPr>
              <w:t>p</w:t>
            </w:r>
            <w:r w:rsidRPr="006C40C1">
              <w:rPr>
                <w:sz w:val="16"/>
              </w:rPr>
              <w:t>värmning eller i en process där bränslet i allt väsentligt används för annat ändamål än motordrift eller up</w:t>
            </w:r>
            <w:r w:rsidRPr="006C40C1">
              <w:rPr>
                <w:sz w:val="16"/>
              </w:rPr>
              <w:t>p</w:t>
            </w:r>
            <w:r w:rsidRPr="006C40C1">
              <w:rPr>
                <w:sz w:val="16"/>
              </w:rPr>
              <w:t>värmning</w:t>
            </w:r>
          </w:p>
          <w:p w:rsidR="00AA5D77" w:rsidRPr="006C40C1" w:rsidRDefault="00AA5D77">
            <w:pPr>
              <w:pStyle w:val="Normaltindrag"/>
            </w:pPr>
          </w:p>
        </w:tc>
        <w:tc>
          <w:tcPr>
            <w:tcW w:w="1611" w:type="dxa"/>
            <w:tcBorders>
              <w:left w:val="nil"/>
              <w:right w:val="nil"/>
            </w:tcBorders>
          </w:tcPr>
          <w:p w:rsidR="00AA5D77" w:rsidRPr="006C40C1" w:rsidRDefault="00AA5D77">
            <w:pPr>
              <w:spacing w:before="0" w:line="200" w:lineRule="exact"/>
              <w:jc w:val="left"/>
              <w:rPr>
                <w:sz w:val="16"/>
              </w:rPr>
            </w:pPr>
          </w:p>
        </w:tc>
        <w:tc>
          <w:tcPr>
            <w:tcW w:w="1213" w:type="dxa"/>
            <w:tcBorders>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right w:val="nil"/>
            </w:tcBorders>
          </w:tcPr>
          <w:p w:rsidR="00AA5D77" w:rsidRPr="006C40C1" w:rsidRDefault="00AA5D77">
            <w:pPr>
              <w:spacing w:before="0" w:line="200" w:lineRule="exact"/>
              <w:rPr>
                <w:sz w:val="16"/>
              </w:rPr>
            </w:pPr>
            <w:r w:rsidRPr="006C40C1">
              <w:rPr>
                <w:sz w:val="16"/>
              </w:rPr>
              <w:t>100 pr</w:t>
            </w:r>
            <w:r w:rsidRPr="006C40C1">
              <w:rPr>
                <w:sz w:val="16"/>
              </w:rPr>
              <w:t>o</w:t>
            </w:r>
            <w:r w:rsidRPr="006C40C1">
              <w:rPr>
                <w:sz w:val="16"/>
              </w:rPr>
              <w:t>cent</w:t>
            </w:r>
          </w:p>
        </w:tc>
        <w:tc>
          <w:tcPr>
            <w:tcW w:w="1209" w:type="dxa"/>
            <w:tcBorders>
              <w:left w:val="nil"/>
              <w:right w:val="nil"/>
            </w:tcBorders>
          </w:tcPr>
          <w:p w:rsidR="00AA5D77" w:rsidRPr="006C40C1" w:rsidRDefault="00AA5D77">
            <w:pPr>
              <w:spacing w:before="0" w:line="200" w:lineRule="exact"/>
              <w:rPr>
                <w:sz w:val="16"/>
              </w:rPr>
            </w:pPr>
            <w:r w:rsidRPr="006C40C1">
              <w:rPr>
                <w:sz w:val="16"/>
              </w:rPr>
              <w:t>100 pr</w:t>
            </w:r>
            <w:r w:rsidRPr="006C40C1">
              <w:rPr>
                <w:sz w:val="16"/>
              </w:rPr>
              <w:t>o</w:t>
            </w:r>
            <w:r w:rsidRPr="006C40C1">
              <w:rPr>
                <w:sz w:val="16"/>
              </w:rPr>
              <w:t>cent</w:t>
            </w:r>
          </w:p>
        </w:tc>
      </w:tr>
      <w:tr w:rsidR="00000000" w:rsidRPr="006C40C1">
        <w:tblPrEx>
          <w:tblCellMar>
            <w:top w:w="0" w:type="dxa"/>
            <w:bottom w:w="0" w:type="dxa"/>
          </w:tblCellMar>
        </w:tblPrEx>
        <w:tc>
          <w:tcPr>
            <w:tcW w:w="2270" w:type="dxa"/>
            <w:tcBorders>
              <w:left w:val="nil"/>
              <w:bottom w:val="nil"/>
            </w:tcBorders>
          </w:tcPr>
          <w:p w:rsidR="00AA5D77" w:rsidRPr="006C40C1" w:rsidRDefault="00AA5D77">
            <w:pPr>
              <w:spacing w:before="0" w:line="200" w:lineRule="exact"/>
              <w:jc w:val="left"/>
              <w:rPr>
                <w:sz w:val="16"/>
              </w:rPr>
            </w:pPr>
            <w:r w:rsidRPr="006C40C1">
              <w:rPr>
                <w:sz w:val="16"/>
              </w:rPr>
              <w:t>2. Förbrukning i tåg eller annat spårbundet färdm</w:t>
            </w:r>
            <w:r w:rsidRPr="006C40C1">
              <w:rPr>
                <w:sz w:val="16"/>
              </w:rPr>
              <w:t>e</w:t>
            </w:r>
            <w:r w:rsidRPr="006C40C1">
              <w:rPr>
                <w:sz w:val="16"/>
              </w:rPr>
              <w:t>del</w:t>
            </w:r>
          </w:p>
        </w:tc>
        <w:tc>
          <w:tcPr>
            <w:tcW w:w="1611" w:type="dxa"/>
            <w:tcBorders>
              <w:right w:val="nil"/>
            </w:tcBorders>
          </w:tcPr>
          <w:p w:rsidR="00AA5D77" w:rsidRPr="006C40C1" w:rsidRDefault="00AA5D77">
            <w:pPr>
              <w:spacing w:before="0" w:line="200" w:lineRule="exact"/>
              <w:jc w:val="left"/>
              <w:rPr>
                <w:sz w:val="16"/>
              </w:rPr>
            </w:pPr>
            <w:r w:rsidRPr="006C40C1">
              <w:rPr>
                <w:sz w:val="16"/>
              </w:rPr>
              <w:t>Bensin, bränsle som avses i 2 kap. 1 § första stycket 3 b</w:t>
            </w:r>
          </w:p>
        </w:tc>
        <w:tc>
          <w:tcPr>
            <w:tcW w:w="1213"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top w:val="nil"/>
              <w:left w:val="nil"/>
            </w:tcBorders>
          </w:tcPr>
          <w:p w:rsidR="00AA5D77" w:rsidRPr="006C40C1" w:rsidRDefault="00AA5D77">
            <w:pPr>
              <w:spacing w:before="0" w:line="200" w:lineRule="exact"/>
              <w:jc w:val="left"/>
              <w:rPr>
                <w:sz w:val="16"/>
              </w:rPr>
            </w:pPr>
            <w:r w:rsidRPr="006C40C1">
              <w:rPr>
                <w:sz w:val="16"/>
              </w:rPr>
              <w:t>3. Förbrukning i skepp, när skeppet inte används för privat ändamål</w:t>
            </w:r>
          </w:p>
          <w:p w:rsidR="00AA5D77" w:rsidRPr="006C40C1" w:rsidRDefault="00AA5D77">
            <w:pPr>
              <w:pStyle w:val="Normaltindrag"/>
            </w:pPr>
          </w:p>
        </w:tc>
        <w:tc>
          <w:tcPr>
            <w:tcW w:w="1611" w:type="dxa"/>
            <w:tcBorders>
              <w:top w:val="nil"/>
              <w:right w:val="nil"/>
            </w:tcBorders>
          </w:tcPr>
          <w:p w:rsidR="00AA5D77" w:rsidRPr="006C40C1" w:rsidRDefault="00AA5D77">
            <w:pPr>
              <w:spacing w:before="0" w:line="200" w:lineRule="exact"/>
              <w:jc w:val="left"/>
              <w:rPr>
                <w:sz w:val="16"/>
              </w:rPr>
            </w:pPr>
            <w:r w:rsidRPr="006C40C1">
              <w:rPr>
                <w:sz w:val="16"/>
              </w:rPr>
              <w:t>Bensin, bränsle som avses i 2 kap. 1 § första stycket 3 b</w:t>
            </w:r>
          </w:p>
        </w:tc>
        <w:tc>
          <w:tcPr>
            <w:tcW w:w="1213" w:type="dxa"/>
            <w:tcBorders>
              <w:top w:val="nil"/>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left w:val="nil"/>
              <w:bottom w:val="nil"/>
            </w:tcBorders>
          </w:tcPr>
          <w:p w:rsidR="00AA5D77" w:rsidRPr="006C40C1" w:rsidRDefault="00AA5D77">
            <w:pPr>
              <w:spacing w:before="0" w:line="200" w:lineRule="exact"/>
              <w:jc w:val="left"/>
              <w:rPr>
                <w:sz w:val="16"/>
              </w:rPr>
            </w:pPr>
            <w:r w:rsidRPr="006C40C1">
              <w:rPr>
                <w:sz w:val="16"/>
              </w:rPr>
              <w:t>4. Förbrukning i båt för vilken medgivande enligt 2 kap. 9 § eller fartygstillstånd enligt fiskelagen (1993:787) medd</w:t>
            </w:r>
            <w:r w:rsidRPr="006C40C1">
              <w:rPr>
                <w:sz w:val="16"/>
              </w:rPr>
              <w:t>e</w:t>
            </w:r>
            <w:r w:rsidRPr="006C40C1">
              <w:rPr>
                <w:sz w:val="16"/>
              </w:rPr>
              <w:t>lats, när båten inte används för privat ändamål</w:t>
            </w:r>
          </w:p>
          <w:p w:rsidR="00AA5D77" w:rsidRPr="006C40C1" w:rsidRDefault="00AA5D77">
            <w:pPr>
              <w:pStyle w:val="Normaltindrag"/>
            </w:pPr>
          </w:p>
        </w:tc>
        <w:tc>
          <w:tcPr>
            <w:tcW w:w="1611" w:type="dxa"/>
            <w:tcBorders>
              <w:right w:val="nil"/>
            </w:tcBorders>
          </w:tcPr>
          <w:p w:rsidR="00AA5D77" w:rsidRPr="006C40C1" w:rsidRDefault="00AA5D77">
            <w:pPr>
              <w:spacing w:before="0" w:line="200" w:lineRule="exact"/>
              <w:jc w:val="left"/>
              <w:rPr>
                <w:sz w:val="16"/>
              </w:rPr>
            </w:pPr>
            <w:r w:rsidRPr="006C40C1">
              <w:rPr>
                <w:sz w:val="16"/>
              </w:rPr>
              <w:t>Bensin, bränsle som avses i 2 kap. 1 § första stycket 3 b</w:t>
            </w:r>
          </w:p>
        </w:tc>
        <w:tc>
          <w:tcPr>
            <w:tcW w:w="1213"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 xml:space="preserve">5. Förbrukning i </w:t>
            </w:r>
          </w:p>
          <w:p w:rsidR="00AA5D77" w:rsidRPr="006C40C1" w:rsidRDefault="00AA5D77">
            <w:pPr>
              <w:spacing w:before="0" w:line="200" w:lineRule="exact"/>
              <w:jc w:val="left"/>
              <w:rPr>
                <w:sz w:val="16"/>
              </w:rPr>
            </w:pPr>
            <w:r w:rsidRPr="006C40C1">
              <w:rPr>
                <w:sz w:val="16"/>
              </w:rPr>
              <w:t>a) luftfartyg, när luftfartyget inte används för privat ä</w:t>
            </w:r>
            <w:r w:rsidRPr="006C40C1">
              <w:rPr>
                <w:sz w:val="16"/>
              </w:rPr>
              <w:t>n</w:t>
            </w:r>
            <w:r w:rsidRPr="006C40C1">
              <w:rPr>
                <w:sz w:val="16"/>
              </w:rPr>
              <w:t>damål</w:t>
            </w:r>
          </w:p>
        </w:tc>
        <w:tc>
          <w:tcPr>
            <w:tcW w:w="1611" w:type="dxa"/>
            <w:tcBorders>
              <w:top w:val="nil"/>
              <w:bottom w:val="nil"/>
              <w:right w:val="nil"/>
            </w:tcBorders>
          </w:tcPr>
          <w:p w:rsidR="00AA5D77" w:rsidRPr="006C40C1" w:rsidRDefault="00AA5D77">
            <w:pPr>
              <w:spacing w:before="0" w:line="200" w:lineRule="exact"/>
              <w:jc w:val="left"/>
              <w:rPr>
                <w:sz w:val="16"/>
              </w:rPr>
            </w:pPr>
          </w:p>
          <w:p w:rsidR="00AA5D77" w:rsidRPr="006C40C1" w:rsidRDefault="00AA5D77">
            <w:pPr>
              <w:spacing w:before="0" w:line="200" w:lineRule="exact"/>
              <w:jc w:val="left"/>
              <w:rPr>
                <w:sz w:val="16"/>
              </w:rPr>
            </w:pPr>
            <w:r w:rsidRPr="006C40C1">
              <w:rPr>
                <w:sz w:val="16"/>
              </w:rPr>
              <w:t>Annan bensin än flygbensin (KN-nr</w:t>
            </w:r>
          </w:p>
          <w:p w:rsidR="00AA5D77" w:rsidRPr="006C40C1" w:rsidRDefault="00AA5D77">
            <w:pPr>
              <w:spacing w:before="0" w:line="200" w:lineRule="exact"/>
              <w:jc w:val="left"/>
              <w:rPr>
                <w:sz w:val="16"/>
              </w:rPr>
            </w:pPr>
            <w:r w:rsidRPr="006C40C1">
              <w:rPr>
                <w:sz w:val="16"/>
              </w:rPr>
              <w:t xml:space="preserve">2710 00 26) </w:t>
            </w:r>
          </w:p>
        </w:tc>
        <w:tc>
          <w:tcPr>
            <w:tcW w:w="1213" w:type="dxa"/>
            <w:tcBorders>
              <w:top w:val="nil"/>
              <w:left w:val="nil"/>
              <w:bottom w:val="nil"/>
              <w:right w:val="nil"/>
            </w:tcBorders>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b) luftfartyg, när luftfartyget används för privat ändamål eller i luftfartygsmotorer i provbädd eller i liknande anordning</w:t>
            </w:r>
          </w:p>
          <w:p w:rsidR="00AA5D77" w:rsidRPr="006C40C1" w:rsidRDefault="00AA5D77">
            <w:pPr>
              <w:pStyle w:val="Normaltindrag"/>
            </w:pPr>
          </w:p>
        </w:tc>
        <w:tc>
          <w:tcPr>
            <w:tcW w:w="1611"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Andra bränslen än flygbensin och fly</w:t>
            </w:r>
            <w:r w:rsidRPr="006C40C1">
              <w:rPr>
                <w:sz w:val="16"/>
              </w:rPr>
              <w:t>g</w:t>
            </w:r>
            <w:r w:rsidRPr="006C40C1">
              <w:rPr>
                <w:sz w:val="16"/>
              </w:rPr>
              <w:t xml:space="preserve">fotogen (KN-nr </w:t>
            </w:r>
          </w:p>
          <w:p w:rsidR="00AA5D77" w:rsidRPr="006C40C1" w:rsidRDefault="00AA5D77">
            <w:pPr>
              <w:spacing w:before="0" w:line="200" w:lineRule="exact"/>
              <w:jc w:val="left"/>
              <w:rPr>
                <w:sz w:val="16"/>
              </w:rPr>
            </w:pPr>
            <w:r w:rsidRPr="006C40C1">
              <w:rPr>
                <w:sz w:val="16"/>
              </w:rPr>
              <w:t>2710 00 51)</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6. Förbrukning vid framställning av mineraloljeprodukter, ko</w:t>
            </w:r>
            <w:r w:rsidRPr="006C40C1">
              <w:rPr>
                <w:sz w:val="16"/>
              </w:rPr>
              <w:t>l</w:t>
            </w:r>
            <w:r w:rsidRPr="006C40C1">
              <w:rPr>
                <w:sz w:val="16"/>
              </w:rPr>
              <w:t>bränslen, petroleumkoks eller andra produkter för vilka skatt</w:t>
            </w:r>
            <w:r w:rsidRPr="006C40C1">
              <w:rPr>
                <w:sz w:val="16"/>
              </w:rPr>
              <w:t>e</w:t>
            </w:r>
            <w:r w:rsidRPr="006C40C1">
              <w:rPr>
                <w:sz w:val="16"/>
              </w:rPr>
              <w:t>plikt har inträtt för tillve</w:t>
            </w:r>
            <w:r w:rsidRPr="006C40C1">
              <w:rPr>
                <w:sz w:val="16"/>
              </w:rPr>
              <w:t>r</w:t>
            </w:r>
            <w:r w:rsidRPr="006C40C1">
              <w:rPr>
                <w:sz w:val="16"/>
              </w:rPr>
              <w:t>karen</w:t>
            </w:r>
          </w:p>
          <w:p w:rsidR="00AA5D77" w:rsidRPr="006C40C1" w:rsidRDefault="00AA5D77">
            <w:pPr>
              <w:pStyle w:val="Normaltindrag"/>
            </w:pPr>
          </w:p>
        </w:tc>
        <w:tc>
          <w:tcPr>
            <w:tcW w:w="1611" w:type="dxa"/>
            <w:tcBorders>
              <w:top w:val="nil"/>
              <w:left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7. Förbrukning vid fram-ställning av skattepliktig elek</w:t>
            </w:r>
            <w:r w:rsidRPr="006C40C1">
              <w:rPr>
                <w:sz w:val="16"/>
              </w:rPr>
              <w:t>t</w:t>
            </w:r>
            <w:r w:rsidRPr="006C40C1">
              <w:rPr>
                <w:sz w:val="16"/>
              </w:rPr>
              <w:t>risk kraft, med de begränsningar som följer av 3 §</w:t>
            </w:r>
          </w:p>
          <w:p w:rsidR="00AA5D77" w:rsidRPr="006C40C1" w:rsidRDefault="00AA5D77">
            <w:pPr>
              <w:pStyle w:val="Normaltindrag"/>
            </w:pPr>
          </w:p>
        </w:tc>
        <w:tc>
          <w:tcPr>
            <w:tcW w:w="1611" w:type="dxa"/>
            <w:tcBorders>
              <w:top w:val="nil"/>
              <w:bottom w:val="nil"/>
              <w:right w:val="nil"/>
            </w:tcBorders>
          </w:tcPr>
          <w:p w:rsidR="00AA5D77" w:rsidRPr="006C40C1" w:rsidRDefault="00AA5D77">
            <w:pPr>
              <w:spacing w:before="0" w:line="200" w:lineRule="exact"/>
              <w:jc w:val="left"/>
              <w:rPr>
                <w:sz w:val="16"/>
              </w:rPr>
            </w:pPr>
            <w:r w:rsidRPr="006C40C1">
              <w:rPr>
                <w:sz w:val="16"/>
              </w:rPr>
              <w:t>Bränsle som avses i 2 kap. 1 § första stycket 3 b</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p w:rsidR="00AA5D77" w:rsidRPr="006C40C1" w:rsidRDefault="00AA5D77">
            <w:pPr>
              <w:pStyle w:val="Normaltindrag"/>
            </w:pPr>
          </w:p>
          <w:p w:rsidR="00AA5D77" w:rsidRPr="006C40C1" w:rsidRDefault="00AA5D77">
            <w:pPr>
              <w:pStyle w:val="Normaltindrag"/>
            </w:pPr>
          </w:p>
          <w:p w:rsidR="00AA5D77" w:rsidRPr="006C40C1" w:rsidRDefault="00AA5D77">
            <w:pPr>
              <w:pStyle w:val="Normaltindrag"/>
            </w:pPr>
          </w:p>
          <w:p w:rsidR="00AA5D77" w:rsidRPr="006C40C1" w:rsidRDefault="00AA5D77">
            <w:pPr>
              <w:pStyle w:val="Normaltindrag"/>
            </w:pPr>
          </w:p>
        </w:tc>
      </w:tr>
    </w:tbl>
    <w:p w:rsidR="00AA5D77" w:rsidRPr="006C40C1" w:rsidRDefault="00AA5D77"/>
    <w:tbl>
      <w:tblPr>
        <w:tblW w:w="0" w:type="auto"/>
        <w:jc w:val="right"/>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6C40C1">
        <w:tblPrEx>
          <w:tblCellMar>
            <w:top w:w="0" w:type="dxa"/>
            <w:bottom w:w="0" w:type="dxa"/>
          </w:tblCellMar>
        </w:tblPrEx>
        <w:trPr>
          <w:jc w:val="right"/>
        </w:trPr>
        <w:tc>
          <w:tcPr>
            <w:tcW w:w="2270"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Ändamål</w:t>
            </w:r>
          </w:p>
          <w:p w:rsidR="00AA5D77" w:rsidRPr="006C40C1" w:rsidRDefault="00AA5D77">
            <w:pPr>
              <w:spacing w:before="0" w:line="200" w:lineRule="exact"/>
              <w:jc w:val="left"/>
              <w:rPr>
                <w:sz w:val="16"/>
              </w:rPr>
            </w:pPr>
          </w:p>
        </w:tc>
        <w:tc>
          <w:tcPr>
            <w:tcW w:w="1611"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Bränsle som inte ger befr</w:t>
            </w:r>
            <w:r w:rsidRPr="006C40C1">
              <w:rPr>
                <w:sz w:val="16"/>
              </w:rPr>
              <w:t>i</w:t>
            </w:r>
            <w:r w:rsidRPr="006C40C1">
              <w:rPr>
                <w:sz w:val="16"/>
              </w:rPr>
              <w:t>else</w:t>
            </w:r>
          </w:p>
        </w:tc>
        <w:tc>
          <w:tcPr>
            <w:tcW w:w="1213" w:type="dxa"/>
            <w:tcBorders>
              <w:top w:val="single" w:sz="4" w:space="0" w:color="auto"/>
              <w:left w:val="nil"/>
              <w:bottom w:val="single" w:sz="4" w:space="0" w:color="auto"/>
              <w:right w:val="nil"/>
            </w:tcBorders>
          </w:tcPr>
          <w:p w:rsidR="00AA5D77" w:rsidRPr="006C40C1" w:rsidRDefault="00AA5D77">
            <w:pPr>
              <w:pStyle w:val="Tabelltext"/>
            </w:pPr>
            <w:r w:rsidRPr="006C40C1">
              <w:t>Befrielse från energ</w:t>
            </w:r>
            <w:r w:rsidRPr="006C40C1">
              <w:t>i</w:t>
            </w:r>
            <w:r w:rsidRPr="006C40C1">
              <w:t>skatt</w:t>
            </w:r>
          </w:p>
        </w:tc>
        <w:tc>
          <w:tcPr>
            <w:tcW w:w="1209" w:type="dxa"/>
            <w:tcBorders>
              <w:top w:val="single" w:sz="4" w:space="0" w:color="auto"/>
              <w:left w:val="nil"/>
              <w:bottom w:val="single" w:sz="4" w:space="0" w:color="auto"/>
              <w:right w:val="nil"/>
            </w:tcBorders>
          </w:tcPr>
          <w:p w:rsidR="00AA5D77" w:rsidRPr="006C40C1" w:rsidRDefault="00AA5D77">
            <w:pPr>
              <w:pStyle w:val="Tabelltext"/>
            </w:pPr>
            <w:r w:rsidRPr="006C40C1">
              <w:t>Befrielse från koldio</w:t>
            </w:r>
            <w:r w:rsidRPr="006C40C1">
              <w:t>x</w:t>
            </w:r>
            <w:r w:rsidRPr="006C40C1">
              <w:t>id</w:t>
            </w:r>
            <w:r w:rsidRPr="006C40C1">
              <w:softHyphen/>
              <w:t>skatt</w:t>
            </w:r>
          </w:p>
        </w:tc>
        <w:tc>
          <w:tcPr>
            <w:tcW w:w="1209" w:type="dxa"/>
            <w:tcBorders>
              <w:top w:val="single" w:sz="4" w:space="0" w:color="auto"/>
              <w:left w:val="nil"/>
              <w:bottom w:val="single" w:sz="4" w:space="0" w:color="auto"/>
              <w:right w:val="nil"/>
            </w:tcBorders>
          </w:tcPr>
          <w:p w:rsidR="00AA5D77" w:rsidRPr="006C40C1" w:rsidRDefault="00AA5D77">
            <w:pPr>
              <w:spacing w:before="0" w:line="200" w:lineRule="exact"/>
              <w:rPr>
                <w:sz w:val="16"/>
              </w:rPr>
            </w:pPr>
            <w:r w:rsidRPr="006C40C1">
              <w:rPr>
                <w:sz w:val="16"/>
              </w:rPr>
              <w:t>Befrielse från svave</w:t>
            </w:r>
            <w:r w:rsidRPr="006C40C1">
              <w:rPr>
                <w:sz w:val="16"/>
              </w:rPr>
              <w:t>l</w:t>
            </w:r>
            <w:r w:rsidRPr="006C40C1">
              <w:rPr>
                <w:sz w:val="16"/>
              </w:rPr>
              <w:t>skatt</w:t>
            </w:r>
          </w:p>
        </w:tc>
      </w:tr>
      <w:tr w:rsidR="00000000" w:rsidRPr="006C40C1">
        <w:tblPrEx>
          <w:tblCellMar>
            <w:top w:w="0" w:type="dxa"/>
            <w:bottom w:w="0" w:type="dxa"/>
          </w:tblCellMar>
        </w:tblPrEx>
        <w:trPr>
          <w:jc w:val="right"/>
        </w:trPr>
        <w:tc>
          <w:tcPr>
            <w:tcW w:w="2270" w:type="dxa"/>
            <w:tcBorders>
              <w:top w:val="single" w:sz="4" w:space="0" w:color="auto"/>
              <w:left w:val="nil"/>
              <w:right w:val="nil"/>
            </w:tcBorders>
          </w:tcPr>
          <w:p w:rsidR="00AA5D77" w:rsidRPr="006C40C1" w:rsidRDefault="00AA5D77">
            <w:pPr>
              <w:spacing w:before="0" w:line="200" w:lineRule="exact"/>
              <w:jc w:val="left"/>
              <w:rPr>
                <w:sz w:val="16"/>
              </w:rPr>
            </w:pPr>
          </w:p>
        </w:tc>
        <w:tc>
          <w:tcPr>
            <w:tcW w:w="1611" w:type="dxa"/>
            <w:tcBorders>
              <w:top w:val="single" w:sz="4" w:space="0" w:color="auto"/>
              <w:left w:val="nil"/>
              <w:right w:val="nil"/>
            </w:tcBorders>
          </w:tcPr>
          <w:p w:rsidR="00AA5D77" w:rsidRPr="006C40C1" w:rsidRDefault="00AA5D77">
            <w:pPr>
              <w:spacing w:before="0" w:line="200" w:lineRule="exact"/>
              <w:jc w:val="left"/>
              <w:rPr>
                <w:sz w:val="16"/>
              </w:rPr>
            </w:pPr>
          </w:p>
        </w:tc>
        <w:tc>
          <w:tcPr>
            <w:tcW w:w="1213"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 xml:space="preserve">8. Om skattebefrielse inte </w:t>
            </w:r>
          </w:p>
          <w:p w:rsidR="00AA5D77" w:rsidRPr="006C40C1" w:rsidRDefault="00AA5D77">
            <w:pPr>
              <w:spacing w:before="0" w:line="200" w:lineRule="exact"/>
              <w:jc w:val="left"/>
              <w:rPr>
                <w:sz w:val="16"/>
              </w:rPr>
            </w:pPr>
            <w:r w:rsidRPr="006C40C1">
              <w:rPr>
                <w:sz w:val="16"/>
              </w:rPr>
              <w:t>följer av tidigare punkter, fö</w:t>
            </w:r>
            <w:r w:rsidRPr="006C40C1">
              <w:rPr>
                <w:sz w:val="16"/>
              </w:rPr>
              <w:t>r</w:t>
            </w:r>
            <w:r w:rsidRPr="006C40C1">
              <w:rPr>
                <w:sz w:val="16"/>
              </w:rPr>
              <w:t>brukning i metallurgiska proce</w:t>
            </w:r>
            <w:r w:rsidRPr="006C40C1">
              <w:rPr>
                <w:sz w:val="16"/>
              </w:rPr>
              <w:t>s</w:t>
            </w:r>
            <w:r w:rsidRPr="006C40C1">
              <w:rPr>
                <w:sz w:val="16"/>
              </w:rPr>
              <w:t>ser</w:t>
            </w:r>
          </w:p>
          <w:p w:rsidR="00AA5D77" w:rsidRPr="006C40C1" w:rsidRDefault="00AA5D77">
            <w:pPr>
              <w:pStyle w:val="Normaltindrag"/>
            </w:pPr>
          </w:p>
        </w:tc>
        <w:tc>
          <w:tcPr>
            <w:tcW w:w="1611" w:type="dxa"/>
            <w:tcBorders>
              <w:top w:val="nil"/>
              <w:left w:val="nil"/>
              <w:right w:val="nil"/>
            </w:tcBorders>
          </w:tcPr>
          <w:p w:rsidR="00AA5D77" w:rsidRPr="006C40C1" w:rsidRDefault="00AA5D77">
            <w:pPr>
              <w:spacing w:before="0" w:line="200" w:lineRule="exact"/>
              <w:jc w:val="left"/>
              <w:rPr>
                <w:sz w:val="16"/>
              </w:rPr>
            </w:pPr>
            <w:r w:rsidRPr="006C40C1">
              <w:rPr>
                <w:sz w:val="16"/>
              </w:rPr>
              <w:t>Andra bränslen än kolbränslen och petroleu</w:t>
            </w:r>
            <w:r w:rsidRPr="006C40C1">
              <w:rPr>
                <w:sz w:val="16"/>
              </w:rPr>
              <w:t>m</w:t>
            </w:r>
            <w:r w:rsidRPr="006C40C1">
              <w:rPr>
                <w:sz w:val="16"/>
              </w:rPr>
              <w:t>koks</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9. Om skattebefrielse inte följer av tidigare punkter, förbrukning för annat ändamål än drift av motordrivna fordon vid tillver</w:t>
            </w:r>
            <w:r w:rsidRPr="006C40C1">
              <w:rPr>
                <w:sz w:val="16"/>
              </w:rPr>
              <w:t>k</w:t>
            </w:r>
            <w:r w:rsidRPr="006C40C1">
              <w:rPr>
                <w:sz w:val="16"/>
              </w:rPr>
              <w:t>ningsprocessen i industriell verksa</w:t>
            </w:r>
            <w:r w:rsidRPr="006C40C1">
              <w:rPr>
                <w:sz w:val="16"/>
              </w:rPr>
              <w:t>m</w:t>
            </w:r>
            <w:r w:rsidRPr="006C40C1">
              <w:rPr>
                <w:sz w:val="16"/>
              </w:rPr>
              <w:t>het</w:t>
            </w:r>
          </w:p>
          <w:p w:rsidR="00AA5D77" w:rsidRPr="006C40C1" w:rsidRDefault="00AA5D77">
            <w:pPr>
              <w:pStyle w:val="Normaltindrag"/>
            </w:pPr>
          </w:p>
        </w:tc>
        <w:tc>
          <w:tcPr>
            <w:tcW w:w="1611" w:type="dxa"/>
            <w:tcBorders>
              <w:top w:val="nil"/>
              <w:right w:val="nil"/>
            </w:tcBorders>
          </w:tcPr>
          <w:p w:rsidR="00AA5D77" w:rsidRPr="006C40C1" w:rsidRDefault="00AA5D77">
            <w:pPr>
              <w:spacing w:before="0" w:line="200" w:lineRule="exact"/>
              <w:jc w:val="left"/>
              <w:rPr>
                <w:sz w:val="16"/>
              </w:rPr>
            </w:pPr>
            <w:r w:rsidRPr="006C40C1">
              <w:rPr>
                <w:sz w:val="16"/>
              </w:rPr>
              <w:t>Bensin, råtallolja, bränsle som avses i 2 kap. 1 § första stycket 3 b</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i/>
                <w:sz w:val="16"/>
              </w:rPr>
              <w:t xml:space="preserve">74 </w:t>
            </w:r>
            <w:r w:rsidRPr="006C40C1">
              <w:rPr>
                <w:sz w:val="16"/>
              </w:rPr>
              <w:t>pr</w:t>
            </w:r>
            <w:r w:rsidRPr="006C40C1">
              <w:rPr>
                <w:sz w:val="16"/>
              </w:rPr>
              <w:t>o</w:t>
            </w:r>
            <w:r w:rsidRPr="006C40C1">
              <w:rPr>
                <w:sz w:val="16"/>
              </w:rPr>
              <w:t>cent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rPr>
          <w:jc w:val="right"/>
        </w:trPr>
        <w:tc>
          <w:tcPr>
            <w:tcW w:w="2270" w:type="dxa"/>
            <w:tcBorders>
              <w:left w:val="nil"/>
              <w:bottom w:val="nil"/>
            </w:tcBorders>
          </w:tcPr>
          <w:p w:rsidR="00AA5D77" w:rsidRPr="006C40C1" w:rsidRDefault="00AA5D77">
            <w:pPr>
              <w:spacing w:before="0" w:line="200" w:lineRule="exact"/>
              <w:jc w:val="left"/>
              <w:rPr>
                <w:sz w:val="16"/>
              </w:rPr>
            </w:pPr>
            <w:r w:rsidRPr="006C40C1">
              <w:rPr>
                <w:sz w:val="16"/>
              </w:rPr>
              <w:t>10. Om skattebefrielse inte följer av tidigare punkter, förbrukning för annat ändamål än drift av motordrivna fordon vid växthu</w:t>
            </w:r>
            <w:r w:rsidRPr="006C40C1">
              <w:rPr>
                <w:sz w:val="16"/>
              </w:rPr>
              <w:t>s</w:t>
            </w:r>
            <w:r w:rsidRPr="006C40C1">
              <w:rPr>
                <w:sz w:val="16"/>
              </w:rPr>
              <w:t>uppvärmning i yrkesmässig växthu</w:t>
            </w:r>
            <w:r w:rsidRPr="006C40C1">
              <w:rPr>
                <w:sz w:val="16"/>
              </w:rPr>
              <w:t>s</w:t>
            </w:r>
            <w:r w:rsidRPr="006C40C1">
              <w:rPr>
                <w:sz w:val="16"/>
              </w:rPr>
              <w:t>odling</w:t>
            </w:r>
          </w:p>
        </w:tc>
        <w:tc>
          <w:tcPr>
            <w:tcW w:w="1611" w:type="dxa"/>
            <w:tcBorders>
              <w:right w:val="nil"/>
            </w:tcBorders>
          </w:tcPr>
          <w:p w:rsidR="00AA5D77" w:rsidRPr="006C40C1" w:rsidRDefault="00AA5D77">
            <w:pPr>
              <w:spacing w:before="0" w:line="200" w:lineRule="exact"/>
              <w:jc w:val="left"/>
              <w:rPr>
                <w:sz w:val="16"/>
              </w:rPr>
            </w:pPr>
            <w:r w:rsidRPr="006C40C1">
              <w:rPr>
                <w:sz w:val="16"/>
              </w:rPr>
              <w:t>Bensin, råtallolja, bränsle som avses i 2 kap. 1 § första stycket 3 b</w:t>
            </w:r>
          </w:p>
        </w:tc>
        <w:tc>
          <w:tcPr>
            <w:tcW w:w="1213"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i/>
                <w:sz w:val="16"/>
              </w:rPr>
              <w:t xml:space="preserve">74 </w:t>
            </w:r>
            <w:r w:rsidRPr="006C40C1">
              <w:rPr>
                <w:sz w:val="16"/>
              </w:rPr>
              <w:t>pr</w:t>
            </w:r>
            <w:r w:rsidRPr="006C40C1">
              <w:rPr>
                <w:sz w:val="16"/>
              </w:rPr>
              <w:t>o</w:t>
            </w:r>
            <w:r w:rsidRPr="006C40C1">
              <w:rPr>
                <w:sz w:val="16"/>
              </w:rPr>
              <w:t>cent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p>
        </w:tc>
        <w:tc>
          <w:tcPr>
            <w:tcW w:w="1611" w:type="dxa"/>
            <w:tcBorders>
              <w:top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i/>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11. Om skattebefrielse inte följer av tidigare punkter, förbrukning för annat ändamål än drift av motordrivna fordon i yrkesmä</w:t>
            </w:r>
            <w:r w:rsidRPr="006C40C1">
              <w:rPr>
                <w:sz w:val="16"/>
              </w:rPr>
              <w:t>s</w:t>
            </w:r>
            <w:r w:rsidRPr="006C40C1">
              <w:rPr>
                <w:sz w:val="16"/>
              </w:rPr>
              <w:t>sig jordbruks-, skogsbruks- eller vattenbruksverksa</w:t>
            </w:r>
            <w:r w:rsidRPr="006C40C1">
              <w:rPr>
                <w:sz w:val="16"/>
              </w:rPr>
              <w:t>m</w:t>
            </w:r>
            <w:r w:rsidRPr="006C40C1">
              <w:rPr>
                <w:sz w:val="16"/>
              </w:rPr>
              <w:t>het</w:t>
            </w:r>
          </w:p>
        </w:tc>
        <w:tc>
          <w:tcPr>
            <w:tcW w:w="1611" w:type="dxa"/>
            <w:tcBorders>
              <w:top w:val="nil"/>
              <w:bottom w:val="nil"/>
              <w:right w:val="nil"/>
            </w:tcBorders>
          </w:tcPr>
          <w:p w:rsidR="00AA5D77" w:rsidRPr="006C40C1" w:rsidRDefault="00AA5D77">
            <w:pPr>
              <w:spacing w:before="0" w:line="200" w:lineRule="exact"/>
              <w:jc w:val="left"/>
              <w:rPr>
                <w:sz w:val="16"/>
              </w:rPr>
            </w:pPr>
            <w:r w:rsidRPr="006C40C1">
              <w:rPr>
                <w:sz w:val="16"/>
              </w:rPr>
              <w:t>Bensin, råtallolja, bränsle som avses i 2 kap. 1 § första stycket 3 b</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i/>
                <w:sz w:val="16"/>
              </w:rPr>
              <w:t xml:space="preserve">74 </w:t>
            </w:r>
            <w:r w:rsidRPr="006C40C1">
              <w:rPr>
                <w:sz w:val="16"/>
              </w:rPr>
              <w:t>pr</w:t>
            </w:r>
            <w:r w:rsidRPr="006C40C1">
              <w:rPr>
                <w:sz w:val="16"/>
              </w:rPr>
              <w:t>o</w:t>
            </w:r>
            <w:r w:rsidRPr="006C40C1">
              <w:rPr>
                <w:sz w:val="16"/>
              </w:rPr>
              <w:t>cent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p>
        </w:tc>
        <w:tc>
          <w:tcPr>
            <w:tcW w:w="1611" w:type="dxa"/>
            <w:tcBorders>
              <w:top w:val="nil"/>
              <w:bottom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i/>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12. Om skattebefrielse inte följer av tidigare punkter, förbrukning i sodapannor, lutpannor, meta</w:t>
            </w:r>
            <w:r w:rsidRPr="006C40C1">
              <w:rPr>
                <w:sz w:val="16"/>
              </w:rPr>
              <w:t>l</w:t>
            </w:r>
            <w:r w:rsidRPr="006C40C1">
              <w:rPr>
                <w:sz w:val="16"/>
              </w:rPr>
              <w:t>lurgiska processer eller i proce</w:t>
            </w:r>
            <w:r w:rsidRPr="006C40C1">
              <w:rPr>
                <w:sz w:val="16"/>
              </w:rPr>
              <w:t>s</w:t>
            </w:r>
            <w:r w:rsidRPr="006C40C1">
              <w:rPr>
                <w:sz w:val="16"/>
              </w:rPr>
              <w:t>ser för framställning av andra mineraliska ämnen än m</w:t>
            </w:r>
            <w:r w:rsidRPr="006C40C1">
              <w:rPr>
                <w:sz w:val="16"/>
              </w:rPr>
              <w:t>e</w:t>
            </w:r>
            <w:r w:rsidRPr="006C40C1">
              <w:rPr>
                <w:sz w:val="16"/>
              </w:rPr>
              <w:t>taller</w:t>
            </w:r>
          </w:p>
        </w:tc>
        <w:tc>
          <w:tcPr>
            <w:tcW w:w="1611" w:type="dxa"/>
            <w:tcBorders>
              <w:top w:val="nil"/>
              <w:left w:val="nil"/>
              <w:bottom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top w:val="nil"/>
              <w:left w:val="nil"/>
              <w:right w:val="nil"/>
            </w:tcBorders>
          </w:tcPr>
          <w:p w:rsidR="00AA5D77" w:rsidRPr="006C40C1" w:rsidRDefault="00AA5D77">
            <w:pPr>
              <w:spacing w:before="0" w:line="200" w:lineRule="exact"/>
              <w:jc w:val="left"/>
              <w:rPr>
                <w:sz w:val="16"/>
              </w:rPr>
            </w:pPr>
          </w:p>
        </w:tc>
        <w:tc>
          <w:tcPr>
            <w:tcW w:w="1611" w:type="dxa"/>
            <w:tcBorders>
              <w:top w:val="nil"/>
              <w:left w:val="nil"/>
              <w:right w:val="nil"/>
            </w:tcBorders>
          </w:tcPr>
          <w:p w:rsidR="00AA5D77" w:rsidRPr="006C40C1" w:rsidRDefault="00AA5D77">
            <w:pPr>
              <w:spacing w:before="0" w:line="200" w:lineRule="exact"/>
              <w:jc w:val="left"/>
              <w:rPr>
                <w:sz w:val="16"/>
              </w:rPr>
            </w:pPr>
          </w:p>
        </w:tc>
        <w:tc>
          <w:tcPr>
            <w:tcW w:w="1213" w:type="dxa"/>
            <w:tcBorders>
              <w:top w:val="nil"/>
              <w:left w:val="nil"/>
              <w:right w:val="nil"/>
            </w:tcBorders>
          </w:tcPr>
          <w:p w:rsidR="00AA5D77" w:rsidRPr="006C40C1" w:rsidRDefault="00AA5D77">
            <w:pPr>
              <w:spacing w:before="0" w:line="200" w:lineRule="exact"/>
              <w:rPr>
                <w:sz w:val="16"/>
              </w:rPr>
            </w:pPr>
          </w:p>
        </w:tc>
        <w:tc>
          <w:tcPr>
            <w:tcW w:w="1209" w:type="dxa"/>
            <w:tcBorders>
              <w:top w:val="nil"/>
              <w:left w:val="nil"/>
              <w:right w:val="nil"/>
            </w:tcBorders>
          </w:tcPr>
          <w:p w:rsidR="00AA5D77" w:rsidRPr="006C40C1" w:rsidRDefault="00AA5D77">
            <w:pPr>
              <w:spacing w:before="0" w:line="200" w:lineRule="exact"/>
              <w:rPr>
                <w:sz w:val="16"/>
              </w:rPr>
            </w:pPr>
          </w:p>
        </w:tc>
        <w:tc>
          <w:tcPr>
            <w:tcW w:w="1209" w:type="dxa"/>
            <w:tcBorders>
              <w:top w:val="nil"/>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top w:val="nil"/>
              <w:left w:val="nil"/>
              <w:bottom w:val="single" w:sz="4" w:space="0" w:color="auto"/>
              <w:right w:val="nil"/>
            </w:tcBorders>
          </w:tcPr>
          <w:p w:rsidR="00AA5D77" w:rsidRPr="006C40C1" w:rsidRDefault="00AA5D77">
            <w:pPr>
              <w:spacing w:before="0" w:line="200" w:lineRule="exact"/>
              <w:jc w:val="left"/>
              <w:rPr>
                <w:sz w:val="16"/>
              </w:rPr>
            </w:pPr>
            <w:r w:rsidRPr="006C40C1">
              <w:rPr>
                <w:sz w:val="16"/>
              </w:rPr>
              <w:t>13. Förbrukning vid tillver</w:t>
            </w:r>
            <w:r w:rsidRPr="006C40C1">
              <w:rPr>
                <w:sz w:val="16"/>
              </w:rPr>
              <w:t>k</w:t>
            </w:r>
            <w:r w:rsidRPr="006C40C1">
              <w:rPr>
                <w:sz w:val="16"/>
              </w:rPr>
              <w:t>ningsprocessen i gruvindustriell verksamhet för drift av andra motordrivna fordon än perso</w:t>
            </w:r>
            <w:r w:rsidRPr="006C40C1">
              <w:rPr>
                <w:sz w:val="16"/>
              </w:rPr>
              <w:t>n</w:t>
            </w:r>
            <w:r w:rsidRPr="006C40C1">
              <w:rPr>
                <w:sz w:val="16"/>
              </w:rPr>
              <w:t>bilar, lastbilar och bussar</w:t>
            </w:r>
          </w:p>
        </w:tc>
        <w:tc>
          <w:tcPr>
            <w:tcW w:w="1611" w:type="dxa"/>
            <w:tcBorders>
              <w:top w:val="nil"/>
              <w:left w:val="nil"/>
              <w:bottom w:val="single" w:sz="4" w:space="0" w:color="auto"/>
              <w:right w:val="nil"/>
            </w:tcBorders>
          </w:tcPr>
          <w:p w:rsidR="00AA5D77" w:rsidRPr="006C40C1" w:rsidRDefault="00AA5D77">
            <w:pPr>
              <w:spacing w:before="0" w:line="200" w:lineRule="exact"/>
              <w:jc w:val="left"/>
              <w:rPr>
                <w:sz w:val="16"/>
              </w:rPr>
            </w:pPr>
            <w:r w:rsidRPr="006C40C1">
              <w:rPr>
                <w:sz w:val="16"/>
              </w:rPr>
              <w:t>Andra bränslen än bränsle som avses i 2 kap. 1 § första stycket 3 b</w:t>
            </w:r>
          </w:p>
        </w:tc>
        <w:tc>
          <w:tcPr>
            <w:tcW w:w="1213" w:type="dxa"/>
            <w:tcBorders>
              <w:top w:val="nil"/>
              <w:left w:val="nil"/>
              <w:bottom w:val="single" w:sz="4" w:space="0" w:color="auto"/>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single" w:sz="4" w:space="0" w:color="auto"/>
              <w:right w:val="nil"/>
            </w:tcBorders>
          </w:tcPr>
          <w:p w:rsidR="00AA5D77" w:rsidRPr="006C40C1" w:rsidRDefault="00AA5D77">
            <w:pPr>
              <w:spacing w:before="0" w:line="200" w:lineRule="exact"/>
              <w:rPr>
                <w:sz w:val="16"/>
              </w:rPr>
            </w:pPr>
            <w:r w:rsidRPr="006C40C1">
              <w:rPr>
                <w:i/>
                <w:sz w:val="16"/>
              </w:rPr>
              <w:t xml:space="preserve">74 </w:t>
            </w:r>
            <w:r w:rsidRPr="006C40C1">
              <w:rPr>
                <w:sz w:val="16"/>
              </w:rPr>
              <w:t>pr</w:t>
            </w:r>
            <w:r w:rsidRPr="006C40C1">
              <w:rPr>
                <w:sz w:val="16"/>
              </w:rPr>
              <w:t>o</w:t>
            </w:r>
            <w:r w:rsidRPr="006C40C1">
              <w:rPr>
                <w:sz w:val="16"/>
              </w:rPr>
              <w:t>cent</w:t>
            </w:r>
          </w:p>
        </w:tc>
        <w:tc>
          <w:tcPr>
            <w:tcW w:w="1209" w:type="dxa"/>
            <w:tcBorders>
              <w:top w:val="nil"/>
              <w:left w:val="nil"/>
              <w:bottom w:val="single" w:sz="4" w:space="0" w:color="auto"/>
              <w:right w:val="nil"/>
            </w:tcBorders>
          </w:tcPr>
          <w:p w:rsidR="00AA5D77" w:rsidRPr="006C40C1" w:rsidRDefault="00AA5D77">
            <w:pPr>
              <w:spacing w:before="0" w:line="200" w:lineRule="exact"/>
              <w:rPr>
                <w:sz w:val="16"/>
              </w:rPr>
            </w:pPr>
            <w:r w:rsidRPr="006C40C1">
              <w:rPr>
                <w:sz w:val="16"/>
              </w:rPr>
              <w:t>–</w:t>
            </w:r>
          </w:p>
        </w:tc>
      </w:tr>
    </w:tbl>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Utskottets förslag</w:t>
            </w:r>
          </w:p>
        </w:tc>
        <w:tc>
          <w:tcPr>
            <w:tcW w:w="3090" w:type="dxa"/>
          </w:tcPr>
          <w:p w:rsidR="00AA5D77" w:rsidRPr="006C40C1" w:rsidRDefault="00AA5D77">
            <w:pPr>
              <w:pStyle w:val="LagtextRubrik"/>
            </w:pPr>
          </w:p>
        </w:tc>
      </w:tr>
    </w:tbl>
    <w:p w:rsidR="00AA5D77" w:rsidRPr="006C40C1" w:rsidRDefault="00AA5D77">
      <w:pPr>
        <w:pStyle w:val="Normaltindrag"/>
      </w:pPr>
      <w:r w:rsidRPr="006C40C1">
        <w:t>Bränsle som används för nedan angivna ändamål, i förekommande fall med undantag för vissa bränsleslag, skall helt eller delvis befrias från skatt enligt följande, om inte annat anges.</w:t>
      </w:r>
    </w:p>
    <w:p w:rsidR="00AA5D77" w:rsidRPr="006C40C1" w:rsidRDefault="00AA5D77">
      <w:pPr>
        <w:pStyle w:val="Normaltindrag"/>
      </w:pPr>
      <w:r w:rsidRPr="006C40C1">
        <w:br w:type="page"/>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6C40C1">
        <w:tblPrEx>
          <w:tblCellMar>
            <w:top w:w="0" w:type="dxa"/>
            <w:bottom w:w="0" w:type="dxa"/>
          </w:tblCellMar>
        </w:tblPrEx>
        <w:trPr>
          <w:tblHeader/>
        </w:trPr>
        <w:tc>
          <w:tcPr>
            <w:tcW w:w="2270"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Ändamål</w:t>
            </w:r>
          </w:p>
          <w:p w:rsidR="00AA5D77" w:rsidRPr="006C40C1" w:rsidRDefault="00AA5D77">
            <w:pPr>
              <w:spacing w:before="0" w:line="200" w:lineRule="exact"/>
              <w:jc w:val="left"/>
              <w:rPr>
                <w:sz w:val="16"/>
              </w:rPr>
            </w:pPr>
          </w:p>
        </w:tc>
        <w:tc>
          <w:tcPr>
            <w:tcW w:w="1611"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Bränsle som inte ger befr</w:t>
            </w:r>
            <w:r w:rsidRPr="006C40C1">
              <w:rPr>
                <w:sz w:val="16"/>
              </w:rPr>
              <w:t>i</w:t>
            </w:r>
            <w:r w:rsidRPr="006C40C1">
              <w:rPr>
                <w:sz w:val="16"/>
              </w:rPr>
              <w:t>else</w:t>
            </w:r>
          </w:p>
        </w:tc>
        <w:tc>
          <w:tcPr>
            <w:tcW w:w="1213" w:type="dxa"/>
            <w:tcBorders>
              <w:top w:val="single" w:sz="4" w:space="0" w:color="auto"/>
              <w:left w:val="nil"/>
              <w:bottom w:val="single" w:sz="4" w:space="0" w:color="auto"/>
              <w:right w:val="nil"/>
            </w:tcBorders>
          </w:tcPr>
          <w:p w:rsidR="00AA5D77" w:rsidRPr="006C40C1" w:rsidRDefault="00AA5D77">
            <w:pPr>
              <w:pStyle w:val="Tabelltext"/>
            </w:pPr>
            <w:r w:rsidRPr="006C40C1">
              <w:t>Befrielse från energ</w:t>
            </w:r>
            <w:r w:rsidRPr="006C40C1">
              <w:t>i</w:t>
            </w:r>
            <w:r w:rsidRPr="006C40C1">
              <w:t>skatt</w:t>
            </w:r>
          </w:p>
        </w:tc>
        <w:tc>
          <w:tcPr>
            <w:tcW w:w="1209" w:type="dxa"/>
            <w:tcBorders>
              <w:top w:val="single" w:sz="4" w:space="0" w:color="auto"/>
              <w:left w:val="nil"/>
              <w:bottom w:val="single" w:sz="4" w:space="0" w:color="auto"/>
              <w:right w:val="nil"/>
            </w:tcBorders>
          </w:tcPr>
          <w:p w:rsidR="00AA5D77" w:rsidRPr="006C40C1" w:rsidRDefault="00AA5D77">
            <w:pPr>
              <w:pStyle w:val="Tabelltext"/>
            </w:pPr>
            <w:r w:rsidRPr="006C40C1">
              <w:t>Befrielse från koldio</w:t>
            </w:r>
            <w:r w:rsidRPr="006C40C1">
              <w:t>x</w:t>
            </w:r>
            <w:r w:rsidRPr="006C40C1">
              <w:t>id</w:t>
            </w:r>
            <w:r w:rsidRPr="006C40C1">
              <w:softHyphen/>
              <w:t>skatt</w:t>
            </w:r>
          </w:p>
        </w:tc>
        <w:tc>
          <w:tcPr>
            <w:tcW w:w="1209" w:type="dxa"/>
            <w:tcBorders>
              <w:top w:val="single" w:sz="4" w:space="0" w:color="auto"/>
              <w:left w:val="nil"/>
              <w:bottom w:val="single" w:sz="4" w:space="0" w:color="auto"/>
              <w:right w:val="nil"/>
            </w:tcBorders>
          </w:tcPr>
          <w:p w:rsidR="00AA5D77" w:rsidRPr="006C40C1" w:rsidRDefault="00AA5D77">
            <w:pPr>
              <w:spacing w:before="0" w:line="200" w:lineRule="exact"/>
              <w:rPr>
                <w:sz w:val="16"/>
              </w:rPr>
            </w:pPr>
            <w:r w:rsidRPr="006C40C1">
              <w:rPr>
                <w:sz w:val="16"/>
              </w:rPr>
              <w:t>Befrielse från svave</w:t>
            </w:r>
            <w:r w:rsidRPr="006C40C1">
              <w:rPr>
                <w:sz w:val="16"/>
              </w:rPr>
              <w:t>l</w:t>
            </w:r>
            <w:r w:rsidRPr="006C40C1">
              <w:rPr>
                <w:sz w:val="16"/>
              </w:rPr>
              <w:t>skatt</w:t>
            </w:r>
          </w:p>
        </w:tc>
      </w:tr>
      <w:tr w:rsidR="00000000" w:rsidRPr="006C40C1">
        <w:tblPrEx>
          <w:tblCellMar>
            <w:top w:w="0" w:type="dxa"/>
            <w:bottom w:w="0" w:type="dxa"/>
          </w:tblCellMar>
        </w:tblPrEx>
        <w:trPr>
          <w:tblHeader/>
        </w:trPr>
        <w:tc>
          <w:tcPr>
            <w:tcW w:w="2270" w:type="dxa"/>
            <w:tcBorders>
              <w:top w:val="single" w:sz="4" w:space="0" w:color="auto"/>
              <w:left w:val="nil"/>
              <w:right w:val="nil"/>
            </w:tcBorders>
          </w:tcPr>
          <w:p w:rsidR="00AA5D77" w:rsidRPr="006C40C1" w:rsidRDefault="00AA5D77">
            <w:pPr>
              <w:spacing w:before="0" w:line="200" w:lineRule="exact"/>
              <w:jc w:val="left"/>
              <w:rPr>
                <w:sz w:val="16"/>
              </w:rPr>
            </w:pPr>
          </w:p>
        </w:tc>
        <w:tc>
          <w:tcPr>
            <w:tcW w:w="1611" w:type="dxa"/>
            <w:tcBorders>
              <w:top w:val="single" w:sz="4" w:space="0" w:color="auto"/>
              <w:left w:val="nil"/>
              <w:right w:val="nil"/>
            </w:tcBorders>
          </w:tcPr>
          <w:p w:rsidR="00AA5D77" w:rsidRPr="006C40C1" w:rsidRDefault="00AA5D77">
            <w:pPr>
              <w:spacing w:before="0" w:line="200" w:lineRule="exact"/>
              <w:jc w:val="left"/>
              <w:rPr>
                <w:sz w:val="16"/>
              </w:rPr>
            </w:pPr>
          </w:p>
        </w:tc>
        <w:tc>
          <w:tcPr>
            <w:tcW w:w="1213"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c>
          <w:tcPr>
            <w:tcW w:w="1209" w:type="dxa"/>
            <w:tcBorders>
              <w:top w:val="single" w:sz="4" w:space="0" w:color="auto"/>
              <w:left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c>
          <w:tcPr>
            <w:tcW w:w="2270" w:type="dxa"/>
            <w:tcBorders>
              <w:left w:val="nil"/>
              <w:right w:val="nil"/>
            </w:tcBorders>
          </w:tcPr>
          <w:p w:rsidR="00AA5D77" w:rsidRPr="006C40C1" w:rsidRDefault="00AA5D77">
            <w:pPr>
              <w:spacing w:before="0" w:line="200" w:lineRule="exact"/>
              <w:jc w:val="left"/>
              <w:rPr>
                <w:sz w:val="16"/>
              </w:rPr>
            </w:pPr>
            <w:r w:rsidRPr="006C40C1">
              <w:rPr>
                <w:sz w:val="16"/>
              </w:rPr>
              <w:t>1. Förbrukning för annat änd</w:t>
            </w:r>
            <w:r w:rsidRPr="006C40C1">
              <w:rPr>
                <w:sz w:val="16"/>
              </w:rPr>
              <w:t>a</w:t>
            </w:r>
            <w:r w:rsidRPr="006C40C1">
              <w:rPr>
                <w:sz w:val="16"/>
              </w:rPr>
              <w:t>mål än motordrift eller up</w:t>
            </w:r>
            <w:r w:rsidRPr="006C40C1">
              <w:rPr>
                <w:sz w:val="16"/>
              </w:rPr>
              <w:t>p</w:t>
            </w:r>
            <w:r w:rsidRPr="006C40C1">
              <w:rPr>
                <w:sz w:val="16"/>
              </w:rPr>
              <w:t>värmning eller i en process där bränslet i allt väsentligt används för annat ändamål än motordrift eller up</w:t>
            </w:r>
            <w:r w:rsidRPr="006C40C1">
              <w:rPr>
                <w:sz w:val="16"/>
              </w:rPr>
              <w:t>p</w:t>
            </w:r>
            <w:r w:rsidRPr="006C40C1">
              <w:rPr>
                <w:sz w:val="16"/>
              </w:rPr>
              <w:t>värmning</w:t>
            </w:r>
          </w:p>
          <w:p w:rsidR="00AA5D77" w:rsidRPr="006C40C1" w:rsidRDefault="00AA5D77">
            <w:pPr>
              <w:pStyle w:val="Normaltindrag"/>
            </w:pPr>
          </w:p>
        </w:tc>
        <w:tc>
          <w:tcPr>
            <w:tcW w:w="1611" w:type="dxa"/>
            <w:tcBorders>
              <w:left w:val="nil"/>
              <w:right w:val="nil"/>
            </w:tcBorders>
          </w:tcPr>
          <w:p w:rsidR="00AA5D77" w:rsidRPr="006C40C1" w:rsidRDefault="00AA5D77">
            <w:pPr>
              <w:spacing w:before="0" w:line="200" w:lineRule="exact"/>
              <w:jc w:val="left"/>
              <w:rPr>
                <w:sz w:val="16"/>
              </w:rPr>
            </w:pPr>
          </w:p>
        </w:tc>
        <w:tc>
          <w:tcPr>
            <w:tcW w:w="1213" w:type="dxa"/>
            <w:tcBorders>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right w:val="nil"/>
            </w:tcBorders>
          </w:tcPr>
          <w:p w:rsidR="00AA5D77" w:rsidRPr="006C40C1" w:rsidRDefault="00AA5D77">
            <w:pPr>
              <w:spacing w:before="0" w:line="200" w:lineRule="exact"/>
              <w:rPr>
                <w:sz w:val="16"/>
              </w:rPr>
            </w:pPr>
            <w:r w:rsidRPr="006C40C1">
              <w:rPr>
                <w:sz w:val="16"/>
              </w:rPr>
              <w:t>100 pr</w:t>
            </w:r>
            <w:r w:rsidRPr="006C40C1">
              <w:rPr>
                <w:sz w:val="16"/>
              </w:rPr>
              <w:t>o</w:t>
            </w:r>
            <w:r w:rsidRPr="006C40C1">
              <w:rPr>
                <w:sz w:val="16"/>
              </w:rPr>
              <w:t>cent</w:t>
            </w:r>
          </w:p>
        </w:tc>
        <w:tc>
          <w:tcPr>
            <w:tcW w:w="1209" w:type="dxa"/>
            <w:tcBorders>
              <w:left w:val="nil"/>
              <w:right w:val="nil"/>
            </w:tcBorders>
          </w:tcPr>
          <w:p w:rsidR="00AA5D77" w:rsidRPr="006C40C1" w:rsidRDefault="00AA5D77">
            <w:pPr>
              <w:spacing w:before="0" w:line="200" w:lineRule="exact"/>
              <w:rPr>
                <w:sz w:val="16"/>
              </w:rPr>
            </w:pPr>
            <w:r w:rsidRPr="006C40C1">
              <w:rPr>
                <w:sz w:val="16"/>
              </w:rPr>
              <w:t>100 pr</w:t>
            </w:r>
            <w:r w:rsidRPr="006C40C1">
              <w:rPr>
                <w:sz w:val="16"/>
              </w:rPr>
              <w:t>o</w:t>
            </w:r>
            <w:r w:rsidRPr="006C40C1">
              <w:rPr>
                <w:sz w:val="16"/>
              </w:rPr>
              <w:t>cent</w:t>
            </w:r>
          </w:p>
        </w:tc>
      </w:tr>
      <w:tr w:rsidR="00000000" w:rsidRPr="006C40C1">
        <w:tblPrEx>
          <w:tblCellMar>
            <w:top w:w="0" w:type="dxa"/>
            <w:bottom w:w="0" w:type="dxa"/>
          </w:tblCellMar>
        </w:tblPrEx>
        <w:tc>
          <w:tcPr>
            <w:tcW w:w="2270" w:type="dxa"/>
            <w:tcBorders>
              <w:left w:val="nil"/>
              <w:bottom w:val="nil"/>
            </w:tcBorders>
          </w:tcPr>
          <w:p w:rsidR="00AA5D77" w:rsidRPr="006C40C1" w:rsidRDefault="00AA5D77">
            <w:pPr>
              <w:spacing w:before="0" w:line="200" w:lineRule="exact"/>
              <w:jc w:val="left"/>
              <w:rPr>
                <w:sz w:val="16"/>
              </w:rPr>
            </w:pPr>
            <w:r w:rsidRPr="006C40C1">
              <w:rPr>
                <w:sz w:val="16"/>
              </w:rPr>
              <w:t>2. Förbrukning i tåg eller annat spårbundet färdm</w:t>
            </w:r>
            <w:r w:rsidRPr="006C40C1">
              <w:rPr>
                <w:sz w:val="16"/>
              </w:rPr>
              <w:t>e</w:t>
            </w:r>
            <w:r w:rsidRPr="006C40C1">
              <w:rPr>
                <w:sz w:val="16"/>
              </w:rPr>
              <w:t>del</w:t>
            </w:r>
          </w:p>
        </w:tc>
        <w:tc>
          <w:tcPr>
            <w:tcW w:w="1611" w:type="dxa"/>
            <w:tcBorders>
              <w:right w:val="nil"/>
            </w:tcBorders>
          </w:tcPr>
          <w:p w:rsidR="00AA5D77" w:rsidRPr="006C40C1" w:rsidRDefault="00AA5D77">
            <w:pPr>
              <w:spacing w:before="0" w:line="200" w:lineRule="exact"/>
              <w:jc w:val="left"/>
              <w:rPr>
                <w:sz w:val="16"/>
              </w:rPr>
            </w:pPr>
            <w:r w:rsidRPr="006C40C1">
              <w:rPr>
                <w:sz w:val="16"/>
              </w:rPr>
              <w:t>Bensin, bränsle som avses i 2 kap. 1 § första stycket 3 b</w:t>
            </w:r>
          </w:p>
        </w:tc>
        <w:tc>
          <w:tcPr>
            <w:tcW w:w="1213"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top w:val="nil"/>
              <w:left w:val="nil"/>
            </w:tcBorders>
          </w:tcPr>
          <w:p w:rsidR="00AA5D77" w:rsidRPr="006C40C1" w:rsidRDefault="00AA5D77">
            <w:pPr>
              <w:spacing w:before="0" w:line="200" w:lineRule="exact"/>
              <w:jc w:val="left"/>
              <w:rPr>
                <w:sz w:val="16"/>
              </w:rPr>
            </w:pPr>
            <w:r w:rsidRPr="006C40C1">
              <w:rPr>
                <w:sz w:val="16"/>
              </w:rPr>
              <w:t>3. Förbrukning i skepp, när skeppet inte används för privat ändamål</w:t>
            </w:r>
          </w:p>
          <w:p w:rsidR="00AA5D77" w:rsidRPr="006C40C1" w:rsidRDefault="00AA5D77">
            <w:pPr>
              <w:pStyle w:val="Normaltindrag"/>
            </w:pPr>
          </w:p>
        </w:tc>
        <w:tc>
          <w:tcPr>
            <w:tcW w:w="1611" w:type="dxa"/>
            <w:tcBorders>
              <w:top w:val="nil"/>
              <w:right w:val="nil"/>
            </w:tcBorders>
          </w:tcPr>
          <w:p w:rsidR="00AA5D77" w:rsidRPr="006C40C1" w:rsidRDefault="00AA5D77">
            <w:pPr>
              <w:spacing w:before="0" w:line="200" w:lineRule="exact"/>
              <w:jc w:val="left"/>
              <w:rPr>
                <w:sz w:val="16"/>
              </w:rPr>
            </w:pPr>
            <w:r w:rsidRPr="006C40C1">
              <w:rPr>
                <w:sz w:val="16"/>
              </w:rPr>
              <w:t>Bensin, bränsle som avses i 2 kap. 1 § första stycket 3 b</w:t>
            </w:r>
          </w:p>
        </w:tc>
        <w:tc>
          <w:tcPr>
            <w:tcW w:w="1213" w:type="dxa"/>
            <w:tcBorders>
              <w:top w:val="nil"/>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left w:val="nil"/>
              <w:bottom w:val="nil"/>
            </w:tcBorders>
          </w:tcPr>
          <w:p w:rsidR="00AA5D77" w:rsidRPr="006C40C1" w:rsidRDefault="00AA5D77">
            <w:pPr>
              <w:spacing w:before="0" w:line="200" w:lineRule="exact"/>
              <w:jc w:val="left"/>
              <w:rPr>
                <w:sz w:val="16"/>
              </w:rPr>
            </w:pPr>
            <w:r w:rsidRPr="006C40C1">
              <w:rPr>
                <w:sz w:val="16"/>
              </w:rPr>
              <w:t>4. Förbrukning i båt för vilken medgivande enligt 2 kap. 9 § eller fartygstillstånd enligt fiskelagen (1993:787) medd</w:t>
            </w:r>
            <w:r w:rsidRPr="006C40C1">
              <w:rPr>
                <w:sz w:val="16"/>
              </w:rPr>
              <w:t>e</w:t>
            </w:r>
            <w:r w:rsidRPr="006C40C1">
              <w:rPr>
                <w:sz w:val="16"/>
              </w:rPr>
              <w:t>lats, när båten inte används för privat ändamål</w:t>
            </w:r>
          </w:p>
          <w:p w:rsidR="00AA5D77" w:rsidRPr="006C40C1" w:rsidRDefault="00AA5D77">
            <w:pPr>
              <w:pStyle w:val="Normaltindrag"/>
            </w:pPr>
          </w:p>
        </w:tc>
        <w:tc>
          <w:tcPr>
            <w:tcW w:w="1611" w:type="dxa"/>
            <w:tcBorders>
              <w:right w:val="nil"/>
            </w:tcBorders>
          </w:tcPr>
          <w:p w:rsidR="00AA5D77" w:rsidRPr="006C40C1" w:rsidRDefault="00AA5D77">
            <w:pPr>
              <w:spacing w:before="0" w:line="200" w:lineRule="exact"/>
              <w:jc w:val="left"/>
              <w:rPr>
                <w:sz w:val="16"/>
              </w:rPr>
            </w:pPr>
            <w:r w:rsidRPr="006C40C1">
              <w:rPr>
                <w:sz w:val="16"/>
              </w:rPr>
              <w:t>Bensin, bränsle som avses i 2 kap. 1 § första stycket 3 b</w:t>
            </w:r>
          </w:p>
        </w:tc>
        <w:tc>
          <w:tcPr>
            <w:tcW w:w="1213"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 xml:space="preserve">5. Förbrukning i </w:t>
            </w:r>
          </w:p>
          <w:p w:rsidR="00AA5D77" w:rsidRPr="006C40C1" w:rsidRDefault="00AA5D77">
            <w:pPr>
              <w:spacing w:before="0" w:line="200" w:lineRule="exact"/>
              <w:jc w:val="left"/>
              <w:rPr>
                <w:sz w:val="16"/>
              </w:rPr>
            </w:pPr>
            <w:r w:rsidRPr="006C40C1">
              <w:rPr>
                <w:sz w:val="16"/>
              </w:rPr>
              <w:t>a) luftfartyg, när luftfartyget inte används för privat ä</w:t>
            </w:r>
            <w:r w:rsidRPr="006C40C1">
              <w:rPr>
                <w:sz w:val="16"/>
              </w:rPr>
              <w:t>n</w:t>
            </w:r>
            <w:r w:rsidRPr="006C40C1">
              <w:rPr>
                <w:sz w:val="16"/>
              </w:rPr>
              <w:t>damål</w:t>
            </w:r>
          </w:p>
        </w:tc>
        <w:tc>
          <w:tcPr>
            <w:tcW w:w="1611" w:type="dxa"/>
            <w:tcBorders>
              <w:top w:val="nil"/>
              <w:bottom w:val="nil"/>
              <w:right w:val="nil"/>
            </w:tcBorders>
          </w:tcPr>
          <w:p w:rsidR="00AA5D77" w:rsidRPr="006C40C1" w:rsidRDefault="00AA5D77">
            <w:pPr>
              <w:spacing w:before="0" w:line="200" w:lineRule="exact"/>
              <w:jc w:val="left"/>
              <w:rPr>
                <w:sz w:val="16"/>
              </w:rPr>
            </w:pPr>
          </w:p>
          <w:p w:rsidR="00AA5D77" w:rsidRPr="006C40C1" w:rsidRDefault="00AA5D77">
            <w:pPr>
              <w:spacing w:before="0" w:line="200" w:lineRule="exact"/>
              <w:jc w:val="left"/>
              <w:rPr>
                <w:sz w:val="16"/>
              </w:rPr>
            </w:pPr>
            <w:r w:rsidRPr="006C40C1">
              <w:rPr>
                <w:sz w:val="16"/>
              </w:rPr>
              <w:t>Annan bensin än flygbensin (KN-nr</w:t>
            </w:r>
          </w:p>
          <w:p w:rsidR="00AA5D77" w:rsidRPr="006C40C1" w:rsidRDefault="00AA5D77">
            <w:pPr>
              <w:spacing w:before="0" w:line="200" w:lineRule="exact"/>
              <w:jc w:val="left"/>
              <w:rPr>
                <w:sz w:val="16"/>
              </w:rPr>
            </w:pPr>
            <w:r w:rsidRPr="006C40C1">
              <w:rPr>
                <w:sz w:val="16"/>
              </w:rPr>
              <w:t>2710 00 26)</w:t>
            </w:r>
          </w:p>
        </w:tc>
        <w:tc>
          <w:tcPr>
            <w:tcW w:w="1213" w:type="dxa"/>
            <w:tcBorders>
              <w:top w:val="nil"/>
              <w:left w:val="nil"/>
              <w:bottom w:val="nil"/>
              <w:right w:val="nil"/>
            </w:tcBorders>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p>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b) luftfartyg, när luftfartyget används för privat ändamål eller i luftfartygsmotorer i provbädd eller i liknande anordning</w:t>
            </w:r>
          </w:p>
          <w:p w:rsidR="00AA5D77" w:rsidRPr="006C40C1" w:rsidRDefault="00AA5D77">
            <w:pPr>
              <w:pStyle w:val="Normaltindrag"/>
            </w:pPr>
          </w:p>
        </w:tc>
        <w:tc>
          <w:tcPr>
            <w:tcW w:w="1611"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Andra bränslen än flygbensin och fly</w:t>
            </w:r>
            <w:r w:rsidRPr="006C40C1">
              <w:rPr>
                <w:sz w:val="16"/>
              </w:rPr>
              <w:t>g</w:t>
            </w:r>
            <w:r w:rsidRPr="006C40C1">
              <w:rPr>
                <w:sz w:val="16"/>
              </w:rPr>
              <w:t xml:space="preserve">fotogen (KN-nr </w:t>
            </w:r>
          </w:p>
          <w:p w:rsidR="00AA5D77" w:rsidRPr="006C40C1" w:rsidRDefault="00AA5D77">
            <w:pPr>
              <w:spacing w:before="0" w:line="200" w:lineRule="exact"/>
              <w:jc w:val="left"/>
              <w:rPr>
                <w:sz w:val="16"/>
              </w:rPr>
            </w:pPr>
            <w:r w:rsidRPr="006C40C1">
              <w:rPr>
                <w:sz w:val="16"/>
              </w:rPr>
              <w:t>2710 00 51)</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6. Förbrukning vid framställning av mineraloljeprodukter, ko</w:t>
            </w:r>
            <w:r w:rsidRPr="006C40C1">
              <w:rPr>
                <w:sz w:val="16"/>
              </w:rPr>
              <w:t>l</w:t>
            </w:r>
            <w:r w:rsidRPr="006C40C1">
              <w:rPr>
                <w:sz w:val="16"/>
              </w:rPr>
              <w:t>bränslen, petroleumkoks eller andra produkter för vilka skatt</w:t>
            </w:r>
            <w:r w:rsidRPr="006C40C1">
              <w:rPr>
                <w:sz w:val="16"/>
              </w:rPr>
              <w:t>e</w:t>
            </w:r>
            <w:r w:rsidRPr="006C40C1">
              <w:rPr>
                <w:sz w:val="16"/>
              </w:rPr>
              <w:t>plikt har inträtt för tillve</w:t>
            </w:r>
            <w:r w:rsidRPr="006C40C1">
              <w:rPr>
                <w:sz w:val="16"/>
              </w:rPr>
              <w:t>r</w:t>
            </w:r>
            <w:r w:rsidRPr="006C40C1">
              <w:rPr>
                <w:sz w:val="16"/>
              </w:rPr>
              <w:t>karen</w:t>
            </w:r>
          </w:p>
          <w:p w:rsidR="00AA5D77" w:rsidRPr="006C40C1" w:rsidRDefault="00AA5D77">
            <w:pPr>
              <w:pStyle w:val="Normaltindrag"/>
            </w:pPr>
          </w:p>
        </w:tc>
        <w:tc>
          <w:tcPr>
            <w:tcW w:w="1611" w:type="dxa"/>
            <w:tcBorders>
              <w:top w:val="nil"/>
              <w:left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7. Förbrukning vid fram-ställning av skattepliktig elek</w:t>
            </w:r>
            <w:r w:rsidRPr="006C40C1">
              <w:rPr>
                <w:sz w:val="16"/>
              </w:rPr>
              <w:t>t</w:t>
            </w:r>
            <w:r w:rsidRPr="006C40C1">
              <w:rPr>
                <w:sz w:val="16"/>
              </w:rPr>
              <w:t>risk kraft, med de begränsningar som följer av 3 §</w:t>
            </w:r>
          </w:p>
          <w:p w:rsidR="00AA5D77" w:rsidRPr="006C40C1" w:rsidRDefault="00AA5D77">
            <w:pPr>
              <w:pStyle w:val="Normaltindrag"/>
            </w:pPr>
          </w:p>
        </w:tc>
        <w:tc>
          <w:tcPr>
            <w:tcW w:w="1611" w:type="dxa"/>
            <w:tcBorders>
              <w:top w:val="nil"/>
              <w:bottom w:val="nil"/>
              <w:right w:val="nil"/>
            </w:tcBorders>
          </w:tcPr>
          <w:p w:rsidR="00AA5D77" w:rsidRPr="006C40C1" w:rsidRDefault="00AA5D77">
            <w:pPr>
              <w:spacing w:before="0" w:line="200" w:lineRule="exact"/>
              <w:jc w:val="left"/>
              <w:rPr>
                <w:sz w:val="16"/>
              </w:rPr>
            </w:pPr>
            <w:r w:rsidRPr="006C40C1">
              <w:rPr>
                <w:sz w:val="16"/>
              </w:rPr>
              <w:t xml:space="preserve">Bränsle som avses i 2 kap. 1 § första stycket 3 b </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8. Om skattebefrielse inte följer av tidigare punkter, förbrukning i metallurgiska processer</w:t>
            </w:r>
          </w:p>
          <w:p w:rsidR="00AA5D77" w:rsidRPr="006C40C1" w:rsidRDefault="00AA5D77">
            <w:pPr>
              <w:pStyle w:val="Normaltindrag"/>
            </w:pPr>
          </w:p>
        </w:tc>
        <w:tc>
          <w:tcPr>
            <w:tcW w:w="1611" w:type="dxa"/>
            <w:tcBorders>
              <w:top w:val="nil"/>
              <w:left w:val="nil"/>
              <w:right w:val="nil"/>
            </w:tcBorders>
          </w:tcPr>
          <w:p w:rsidR="00AA5D77" w:rsidRPr="006C40C1" w:rsidRDefault="00AA5D77">
            <w:pPr>
              <w:spacing w:before="0" w:line="200" w:lineRule="exact"/>
              <w:jc w:val="left"/>
              <w:rPr>
                <w:sz w:val="16"/>
              </w:rPr>
            </w:pPr>
            <w:r w:rsidRPr="006C40C1">
              <w:rPr>
                <w:sz w:val="16"/>
              </w:rPr>
              <w:t>Andra bränslen än kolbränslen och petroleu</w:t>
            </w:r>
            <w:r w:rsidRPr="006C40C1">
              <w:rPr>
                <w:sz w:val="16"/>
              </w:rPr>
              <w:t>m</w:t>
            </w:r>
            <w:r w:rsidRPr="006C40C1">
              <w:rPr>
                <w:sz w:val="16"/>
              </w:rPr>
              <w:t>koks</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9. Om skattebefrielse inte följer av tidigare punkter, förbrukning för annat ändamål än drift av motordrivna fordon vid tillver</w:t>
            </w:r>
            <w:r w:rsidRPr="006C40C1">
              <w:rPr>
                <w:sz w:val="16"/>
              </w:rPr>
              <w:t>k</w:t>
            </w:r>
            <w:r w:rsidRPr="006C40C1">
              <w:rPr>
                <w:sz w:val="16"/>
              </w:rPr>
              <w:t>ningsprocessen i industriell verksa</w:t>
            </w:r>
            <w:r w:rsidRPr="006C40C1">
              <w:rPr>
                <w:sz w:val="16"/>
              </w:rPr>
              <w:t>m</w:t>
            </w:r>
            <w:r w:rsidRPr="006C40C1">
              <w:rPr>
                <w:sz w:val="16"/>
              </w:rPr>
              <w:t>het</w:t>
            </w:r>
          </w:p>
        </w:tc>
        <w:tc>
          <w:tcPr>
            <w:tcW w:w="1611" w:type="dxa"/>
            <w:tcBorders>
              <w:top w:val="nil"/>
              <w:right w:val="nil"/>
            </w:tcBorders>
          </w:tcPr>
          <w:p w:rsidR="00AA5D77" w:rsidRPr="006C40C1" w:rsidRDefault="00AA5D77">
            <w:pPr>
              <w:spacing w:before="0" w:line="200" w:lineRule="exact"/>
              <w:jc w:val="left"/>
              <w:rPr>
                <w:sz w:val="16"/>
              </w:rPr>
            </w:pPr>
            <w:r w:rsidRPr="006C40C1">
              <w:rPr>
                <w:sz w:val="16"/>
              </w:rPr>
              <w:t>Bensin, råtallolja, bränsle som avses i 2 kap. 1 § första stycket 3 b</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i/>
                <w:sz w:val="16"/>
              </w:rPr>
              <w:t xml:space="preserve">75 </w:t>
            </w:r>
            <w:r w:rsidRPr="006C40C1">
              <w:rPr>
                <w:sz w:val="16"/>
              </w:rPr>
              <w:t>pr</w:t>
            </w:r>
            <w:r w:rsidRPr="006C40C1">
              <w:rPr>
                <w:sz w:val="16"/>
              </w:rPr>
              <w:t>o</w:t>
            </w:r>
            <w:r w:rsidRPr="006C40C1">
              <w:rPr>
                <w:sz w:val="16"/>
              </w:rPr>
              <w:t>cent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bl>
    <w:p w:rsidR="00AA5D77" w:rsidRPr="006C40C1" w:rsidRDefault="00AA5D77"/>
    <w:tbl>
      <w:tblPr>
        <w:tblW w:w="0" w:type="auto"/>
        <w:jc w:val="right"/>
        <w:tblLayout w:type="fixed"/>
        <w:tblCellMar>
          <w:left w:w="70" w:type="dxa"/>
          <w:right w:w="70" w:type="dxa"/>
        </w:tblCellMar>
        <w:tblLook w:val="0000" w:firstRow="0" w:lastRow="0" w:firstColumn="0" w:lastColumn="0" w:noHBand="0" w:noVBand="0"/>
      </w:tblPr>
      <w:tblGrid>
        <w:gridCol w:w="2270"/>
        <w:gridCol w:w="1611"/>
        <w:gridCol w:w="1213"/>
        <w:gridCol w:w="1209"/>
        <w:gridCol w:w="1209"/>
      </w:tblGrid>
      <w:tr w:rsidR="00000000" w:rsidRPr="006C40C1">
        <w:tblPrEx>
          <w:tblCellMar>
            <w:top w:w="0" w:type="dxa"/>
            <w:bottom w:w="0" w:type="dxa"/>
          </w:tblCellMar>
        </w:tblPrEx>
        <w:trPr>
          <w:jc w:val="right"/>
        </w:trPr>
        <w:tc>
          <w:tcPr>
            <w:tcW w:w="2270"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Ändamål</w:t>
            </w:r>
          </w:p>
          <w:p w:rsidR="00AA5D77" w:rsidRPr="006C40C1" w:rsidRDefault="00AA5D77">
            <w:pPr>
              <w:spacing w:before="0" w:line="200" w:lineRule="exact"/>
              <w:jc w:val="left"/>
              <w:rPr>
                <w:sz w:val="16"/>
              </w:rPr>
            </w:pPr>
          </w:p>
        </w:tc>
        <w:tc>
          <w:tcPr>
            <w:tcW w:w="1611" w:type="dxa"/>
            <w:tcBorders>
              <w:top w:val="single" w:sz="4" w:space="0" w:color="auto"/>
              <w:left w:val="nil"/>
              <w:bottom w:val="single" w:sz="4" w:space="0" w:color="auto"/>
              <w:right w:val="nil"/>
            </w:tcBorders>
          </w:tcPr>
          <w:p w:rsidR="00AA5D77" w:rsidRPr="006C40C1" w:rsidRDefault="00AA5D77">
            <w:pPr>
              <w:spacing w:before="0" w:line="200" w:lineRule="exact"/>
              <w:jc w:val="left"/>
              <w:rPr>
                <w:sz w:val="16"/>
              </w:rPr>
            </w:pPr>
            <w:r w:rsidRPr="006C40C1">
              <w:rPr>
                <w:sz w:val="16"/>
              </w:rPr>
              <w:t>Bränsle som inte ger befr</w:t>
            </w:r>
            <w:r w:rsidRPr="006C40C1">
              <w:rPr>
                <w:sz w:val="16"/>
              </w:rPr>
              <w:t>i</w:t>
            </w:r>
            <w:r w:rsidRPr="006C40C1">
              <w:rPr>
                <w:sz w:val="16"/>
              </w:rPr>
              <w:t>else</w:t>
            </w:r>
          </w:p>
        </w:tc>
        <w:tc>
          <w:tcPr>
            <w:tcW w:w="1213" w:type="dxa"/>
            <w:tcBorders>
              <w:top w:val="single" w:sz="4" w:space="0" w:color="auto"/>
              <w:left w:val="nil"/>
              <w:bottom w:val="single" w:sz="4" w:space="0" w:color="auto"/>
              <w:right w:val="nil"/>
            </w:tcBorders>
          </w:tcPr>
          <w:p w:rsidR="00AA5D77" w:rsidRPr="006C40C1" w:rsidRDefault="00AA5D77">
            <w:pPr>
              <w:pStyle w:val="Tabelltext"/>
            </w:pPr>
            <w:r w:rsidRPr="006C40C1">
              <w:t>Befrielse från energ</w:t>
            </w:r>
            <w:r w:rsidRPr="006C40C1">
              <w:t>i</w:t>
            </w:r>
            <w:r w:rsidRPr="006C40C1">
              <w:t>skatt</w:t>
            </w:r>
          </w:p>
        </w:tc>
        <w:tc>
          <w:tcPr>
            <w:tcW w:w="1209" w:type="dxa"/>
            <w:tcBorders>
              <w:top w:val="single" w:sz="4" w:space="0" w:color="auto"/>
              <w:left w:val="nil"/>
              <w:bottom w:val="single" w:sz="4" w:space="0" w:color="auto"/>
              <w:right w:val="nil"/>
            </w:tcBorders>
          </w:tcPr>
          <w:p w:rsidR="00AA5D77" w:rsidRPr="006C40C1" w:rsidRDefault="00AA5D77">
            <w:pPr>
              <w:pStyle w:val="Tabelltext"/>
            </w:pPr>
            <w:r w:rsidRPr="006C40C1">
              <w:t>Befrielse från koldio</w:t>
            </w:r>
            <w:r w:rsidRPr="006C40C1">
              <w:t>x</w:t>
            </w:r>
            <w:r w:rsidRPr="006C40C1">
              <w:t>id</w:t>
            </w:r>
            <w:r w:rsidRPr="006C40C1">
              <w:softHyphen/>
              <w:t>skatt</w:t>
            </w:r>
          </w:p>
        </w:tc>
        <w:tc>
          <w:tcPr>
            <w:tcW w:w="1209" w:type="dxa"/>
            <w:tcBorders>
              <w:top w:val="single" w:sz="4" w:space="0" w:color="auto"/>
              <w:left w:val="nil"/>
              <w:bottom w:val="single" w:sz="4" w:space="0" w:color="auto"/>
              <w:right w:val="nil"/>
            </w:tcBorders>
          </w:tcPr>
          <w:p w:rsidR="00AA5D77" w:rsidRPr="006C40C1" w:rsidRDefault="00AA5D77">
            <w:pPr>
              <w:spacing w:before="0" w:line="200" w:lineRule="exact"/>
              <w:rPr>
                <w:sz w:val="16"/>
              </w:rPr>
            </w:pPr>
            <w:r w:rsidRPr="006C40C1">
              <w:rPr>
                <w:sz w:val="16"/>
              </w:rPr>
              <w:t>Befrielse från svave</w:t>
            </w:r>
            <w:r w:rsidRPr="006C40C1">
              <w:rPr>
                <w:sz w:val="16"/>
              </w:rPr>
              <w:t>l</w:t>
            </w:r>
            <w:r w:rsidRPr="006C40C1">
              <w:rPr>
                <w:sz w:val="16"/>
              </w:rPr>
              <w:t>skatt</w:t>
            </w: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p>
        </w:tc>
        <w:tc>
          <w:tcPr>
            <w:tcW w:w="1611" w:type="dxa"/>
            <w:tcBorders>
              <w:top w:val="nil"/>
              <w:bottom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p>
        </w:tc>
        <w:tc>
          <w:tcPr>
            <w:tcW w:w="1209" w:type="dxa"/>
            <w:tcBorders>
              <w:top w:val="nil"/>
              <w:left w:val="nil"/>
              <w:bottom w:val="nil"/>
              <w:right w:val="nil"/>
            </w:tcBorders>
          </w:tcPr>
          <w:p w:rsidR="00AA5D77" w:rsidRPr="006C40C1" w:rsidRDefault="00AA5D77">
            <w:pPr>
              <w:spacing w:before="0" w:line="200" w:lineRule="exact"/>
              <w:rPr>
                <w:i/>
                <w:sz w:val="16"/>
              </w:rPr>
            </w:pPr>
          </w:p>
        </w:tc>
        <w:tc>
          <w:tcPr>
            <w:tcW w:w="1209" w:type="dxa"/>
            <w:tcBorders>
              <w:top w:val="nil"/>
              <w:left w:val="nil"/>
              <w:bottom w:val="nil"/>
              <w:right w:val="nil"/>
            </w:tcBorders>
          </w:tcPr>
          <w:p w:rsidR="00AA5D77" w:rsidRPr="006C40C1" w:rsidRDefault="00AA5D77">
            <w:pPr>
              <w:spacing w:before="0" w:line="200" w:lineRule="exact"/>
              <w:rPr>
                <w:sz w:val="16"/>
              </w:rPr>
            </w:pPr>
          </w:p>
        </w:tc>
      </w:tr>
      <w:tr w:rsidR="00000000" w:rsidRPr="006C40C1">
        <w:tblPrEx>
          <w:tblCellMar>
            <w:top w:w="0" w:type="dxa"/>
            <w:bottom w:w="0" w:type="dxa"/>
          </w:tblCellMar>
        </w:tblPrEx>
        <w:trPr>
          <w:jc w:val="right"/>
        </w:trPr>
        <w:tc>
          <w:tcPr>
            <w:tcW w:w="2270" w:type="dxa"/>
            <w:tcBorders>
              <w:left w:val="nil"/>
              <w:bottom w:val="nil"/>
            </w:tcBorders>
          </w:tcPr>
          <w:p w:rsidR="00AA5D77" w:rsidRPr="006C40C1" w:rsidRDefault="00AA5D77">
            <w:pPr>
              <w:spacing w:before="0" w:line="200" w:lineRule="exact"/>
              <w:jc w:val="left"/>
              <w:rPr>
                <w:sz w:val="16"/>
              </w:rPr>
            </w:pPr>
            <w:r w:rsidRPr="006C40C1">
              <w:rPr>
                <w:sz w:val="16"/>
              </w:rPr>
              <w:t>10. Om skattebefrielse inte följer av tidigare punkter, förbrukning för annat ändamål än drift av motordrivna fordon vid växthu</w:t>
            </w:r>
            <w:r w:rsidRPr="006C40C1">
              <w:rPr>
                <w:sz w:val="16"/>
              </w:rPr>
              <w:t>s</w:t>
            </w:r>
            <w:r w:rsidRPr="006C40C1">
              <w:rPr>
                <w:sz w:val="16"/>
              </w:rPr>
              <w:t>uppvärmning i yrkesmässig växthu</w:t>
            </w:r>
            <w:r w:rsidRPr="006C40C1">
              <w:rPr>
                <w:sz w:val="16"/>
              </w:rPr>
              <w:t>s</w:t>
            </w:r>
            <w:r w:rsidRPr="006C40C1">
              <w:rPr>
                <w:sz w:val="16"/>
              </w:rPr>
              <w:t>odling</w:t>
            </w:r>
          </w:p>
          <w:p w:rsidR="00AA5D77" w:rsidRPr="006C40C1" w:rsidRDefault="00AA5D77">
            <w:pPr>
              <w:pStyle w:val="Normaltindrag"/>
            </w:pPr>
          </w:p>
        </w:tc>
        <w:tc>
          <w:tcPr>
            <w:tcW w:w="1611" w:type="dxa"/>
            <w:tcBorders>
              <w:right w:val="nil"/>
            </w:tcBorders>
          </w:tcPr>
          <w:p w:rsidR="00AA5D77" w:rsidRPr="006C40C1" w:rsidRDefault="00AA5D77">
            <w:pPr>
              <w:spacing w:before="0" w:line="200" w:lineRule="exact"/>
              <w:jc w:val="left"/>
              <w:rPr>
                <w:sz w:val="16"/>
              </w:rPr>
            </w:pPr>
            <w:r w:rsidRPr="006C40C1">
              <w:rPr>
                <w:sz w:val="16"/>
              </w:rPr>
              <w:t>Bensin, råtallolja, bränsle som avses i 2 kap. 1 § första stycket 3 b</w:t>
            </w:r>
          </w:p>
        </w:tc>
        <w:tc>
          <w:tcPr>
            <w:tcW w:w="1213" w:type="dxa"/>
            <w:tcBorders>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left w:val="nil"/>
              <w:bottom w:val="nil"/>
              <w:right w:val="nil"/>
            </w:tcBorders>
          </w:tcPr>
          <w:p w:rsidR="00AA5D77" w:rsidRPr="006C40C1" w:rsidRDefault="00AA5D77">
            <w:pPr>
              <w:spacing w:before="0" w:line="200" w:lineRule="exact"/>
              <w:rPr>
                <w:sz w:val="16"/>
              </w:rPr>
            </w:pPr>
            <w:r w:rsidRPr="006C40C1">
              <w:rPr>
                <w:i/>
                <w:sz w:val="16"/>
              </w:rPr>
              <w:t xml:space="preserve">75 </w:t>
            </w:r>
            <w:r w:rsidRPr="006C40C1">
              <w:rPr>
                <w:sz w:val="16"/>
              </w:rPr>
              <w:t>pr</w:t>
            </w:r>
            <w:r w:rsidRPr="006C40C1">
              <w:rPr>
                <w:sz w:val="16"/>
              </w:rPr>
              <w:t>o</w:t>
            </w:r>
            <w:r w:rsidRPr="006C40C1">
              <w:rPr>
                <w:sz w:val="16"/>
              </w:rPr>
              <w:t>cent</w:t>
            </w:r>
          </w:p>
        </w:tc>
        <w:tc>
          <w:tcPr>
            <w:tcW w:w="1209" w:type="dxa"/>
            <w:tcBorders>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rPr>
          <w:jc w:val="right"/>
        </w:trPr>
        <w:tc>
          <w:tcPr>
            <w:tcW w:w="2270" w:type="dxa"/>
            <w:tcBorders>
              <w:top w:val="nil"/>
              <w:left w:val="nil"/>
              <w:bottom w:val="nil"/>
            </w:tcBorders>
          </w:tcPr>
          <w:p w:rsidR="00AA5D77" w:rsidRPr="006C40C1" w:rsidRDefault="00AA5D77">
            <w:pPr>
              <w:spacing w:before="0" w:line="200" w:lineRule="exact"/>
              <w:jc w:val="left"/>
              <w:rPr>
                <w:sz w:val="16"/>
              </w:rPr>
            </w:pPr>
            <w:r w:rsidRPr="006C40C1">
              <w:rPr>
                <w:sz w:val="16"/>
              </w:rPr>
              <w:t>11. Om skattebefrielse inte följer av tidigare punkter, förbrukning för annat ändamål än drift av motordrivna fordon i yrkesmä</w:t>
            </w:r>
            <w:r w:rsidRPr="006C40C1">
              <w:rPr>
                <w:sz w:val="16"/>
              </w:rPr>
              <w:t>s</w:t>
            </w:r>
            <w:r w:rsidRPr="006C40C1">
              <w:rPr>
                <w:sz w:val="16"/>
              </w:rPr>
              <w:t>sig jordbruks-, skogsbruks- eller vattenbruksverksa</w:t>
            </w:r>
            <w:r w:rsidRPr="006C40C1">
              <w:rPr>
                <w:sz w:val="16"/>
              </w:rPr>
              <w:t>m</w:t>
            </w:r>
            <w:r w:rsidRPr="006C40C1">
              <w:rPr>
                <w:sz w:val="16"/>
              </w:rPr>
              <w:t>het</w:t>
            </w:r>
          </w:p>
          <w:p w:rsidR="00AA5D77" w:rsidRPr="006C40C1" w:rsidRDefault="00AA5D77">
            <w:pPr>
              <w:pStyle w:val="Normaltindrag"/>
            </w:pPr>
          </w:p>
        </w:tc>
        <w:tc>
          <w:tcPr>
            <w:tcW w:w="1611" w:type="dxa"/>
            <w:tcBorders>
              <w:top w:val="nil"/>
              <w:bottom w:val="nil"/>
              <w:right w:val="nil"/>
            </w:tcBorders>
          </w:tcPr>
          <w:p w:rsidR="00AA5D77" w:rsidRPr="006C40C1" w:rsidRDefault="00AA5D77">
            <w:pPr>
              <w:spacing w:before="0" w:line="200" w:lineRule="exact"/>
              <w:jc w:val="left"/>
              <w:rPr>
                <w:sz w:val="16"/>
              </w:rPr>
            </w:pPr>
            <w:r w:rsidRPr="006C40C1">
              <w:rPr>
                <w:sz w:val="16"/>
              </w:rPr>
              <w:t>Bensin, råtallolja, bränsle som avses i 2 kap. 1 § första stycket 3 b</w:t>
            </w: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i/>
                <w:sz w:val="16"/>
              </w:rPr>
              <w:t xml:space="preserve">75 </w:t>
            </w:r>
            <w:r w:rsidRPr="006C40C1">
              <w:rPr>
                <w:sz w:val="16"/>
              </w:rPr>
              <w:t>pr</w:t>
            </w:r>
            <w:r w:rsidRPr="006C40C1">
              <w:rPr>
                <w:sz w:val="16"/>
              </w:rPr>
              <w:t>o</w:t>
            </w:r>
            <w:r w:rsidRPr="006C40C1">
              <w:rPr>
                <w:sz w:val="16"/>
              </w:rPr>
              <w:t>cent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r>
      <w:tr w:rsidR="00000000" w:rsidRPr="006C40C1">
        <w:tblPrEx>
          <w:tblCellMar>
            <w:top w:w="0" w:type="dxa"/>
            <w:bottom w:w="0" w:type="dxa"/>
          </w:tblCellMar>
        </w:tblPrEx>
        <w:trPr>
          <w:jc w:val="right"/>
        </w:trPr>
        <w:tc>
          <w:tcPr>
            <w:tcW w:w="2270" w:type="dxa"/>
            <w:tcBorders>
              <w:top w:val="nil"/>
              <w:left w:val="nil"/>
              <w:bottom w:val="nil"/>
              <w:right w:val="nil"/>
            </w:tcBorders>
          </w:tcPr>
          <w:p w:rsidR="00AA5D77" w:rsidRPr="006C40C1" w:rsidRDefault="00AA5D77">
            <w:pPr>
              <w:spacing w:before="0" w:line="200" w:lineRule="exact"/>
              <w:jc w:val="left"/>
              <w:rPr>
                <w:sz w:val="16"/>
              </w:rPr>
            </w:pPr>
            <w:r w:rsidRPr="006C40C1">
              <w:rPr>
                <w:sz w:val="16"/>
              </w:rPr>
              <w:t>12. Om skattebefrielse inte följer av tidigare punkter, förbrukning i sodapannor, lutpannor, meta</w:t>
            </w:r>
            <w:r w:rsidRPr="006C40C1">
              <w:rPr>
                <w:sz w:val="16"/>
              </w:rPr>
              <w:t>l</w:t>
            </w:r>
            <w:r w:rsidRPr="006C40C1">
              <w:rPr>
                <w:sz w:val="16"/>
              </w:rPr>
              <w:t>lurgiska processer eller i proce</w:t>
            </w:r>
            <w:r w:rsidRPr="006C40C1">
              <w:rPr>
                <w:sz w:val="16"/>
              </w:rPr>
              <w:t>s</w:t>
            </w:r>
            <w:r w:rsidRPr="006C40C1">
              <w:rPr>
                <w:sz w:val="16"/>
              </w:rPr>
              <w:t>ser för framställning av andra mineraliska ämnen än m</w:t>
            </w:r>
            <w:r w:rsidRPr="006C40C1">
              <w:rPr>
                <w:sz w:val="16"/>
              </w:rPr>
              <w:t>e</w:t>
            </w:r>
            <w:r w:rsidRPr="006C40C1">
              <w:rPr>
                <w:sz w:val="16"/>
              </w:rPr>
              <w:t>taller</w:t>
            </w:r>
          </w:p>
          <w:p w:rsidR="00AA5D77" w:rsidRPr="006C40C1" w:rsidRDefault="00AA5D77">
            <w:pPr>
              <w:pStyle w:val="Normaltindrag"/>
            </w:pPr>
          </w:p>
        </w:tc>
        <w:tc>
          <w:tcPr>
            <w:tcW w:w="1611" w:type="dxa"/>
            <w:tcBorders>
              <w:top w:val="nil"/>
              <w:left w:val="nil"/>
              <w:bottom w:val="nil"/>
              <w:right w:val="nil"/>
            </w:tcBorders>
          </w:tcPr>
          <w:p w:rsidR="00AA5D77" w:rsidRPr="006C40C1" w:rsidRDefault="00AA5D77">
            <w:pPr>
              <w:spacing w:before="0" w:line="200" w:lineRule="exact"/>
              <w:jc w:val="left"/>
              <w:rPr>
                <w:sz w:val="16"/>
              </w:rPr>
            </w:pPr>
          </w:p>
        </w:tc>
        <w:tc>
          <w:tcPr>
            <w:tcW w:w="1213"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w:t>
            </w:r>
          </w:p>
        </w:tc>
        <w:tc>
          <w:tcPr>
            <w:tcW w:w="1209" w:type="dxa"/>
            <w:tcBorders>
              <w:top w:val="nil"/>
              <w:left w:val="nil"/>
              <w:bottom w:val="nil"/>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r>
      <w:tr w:rsidR="00000000" w:rsidRPr="006C40C1">
        <w:tblPrEx>
          <w:tblCellMar>
            <w:top w:w="0" w:type="dxa"/>
            <w:bottom w:w="0" w:type="dxa"/>
          </w:tblCellMar>
        </w:tblPrEx>
        <w:trPr>
          <w:jc w:val="right"/>
        </w:trPr>
        <w:tc>
          <w:tcPr>
            <w:tcW w:w="2270" w:type="dxa"/>
            <w:tcBorders>
              <w:top w:val="nil"/>
              <w:left w:val="nil"/>
              <w:bottom w:val="single" w:sz="4" w:space="0" w:color="auto"/>
              <w:right w:val="nil"/>
            </w:tcBorders>
          </w:tcPr>
          <w:p w:rsidR="00AA5D77" w:rsidRPr="006C40C1" w:rsidRDefault="00AA5D77">
            <w:pPr>
              <w:spacing w:before="0" w:line="200" w:lineRule="exact"/>
              <w:jc w:val="left"/>
              <w:rPr>
                <w:sz w:val="16"/>
              </w:rPr>
            </w:pPr>
            <w:r w:rsidRPr="006C40C1">
              <w:rPr>
                <w:sz w:val="16"/>
              </w:rPr>
              <w:t>13. Förbrukning vid tillver</w:t>
            </w:r>
            <w:r w:rsidRPr="006C40C1">
              <w:rPr>
                <w:sz w:val="16"/>
              </w:rPr>
              <w:t>k</w:t>
            </w:r>
            <w:r w:rsidRPr="006C40C1">
              <w:rPr>
                <w:sz w:val="16"/>
              </w:rPr>
              <w:t>ningsprocessen i gruvindustriell verksamhet för drift av andra motordrivna fordon än perso</w:t>
            </w:r>
            <w:r w:rsidRPr="006C40C1">
              <w:rPr>
                <w:sz w:val="16"/>
              </w:rPr>
              <w:t>n</w:t>
            </w:r>
            <w:r w:rsidRPr="006C40C1">
              <w:rPr>
                <w:sz w:val="16"/>
              </w:rPr>
              <w:t>bilar, lastbilar och bussar</w:t>
            </w:r>
          </w:p>
        </w:tc>
        <w:tc>
          <w:tcPr>
            <w:tcW w:w="1611" w:type="dxa"/>
            <w:tcBorders>
              <w:top w:val="nil"/>
              <w:left w:val="nil"/>
              <w:bottom w:val="single" w:sz="4" w:space="0" w:color="auto"/>
              <w:right w:val="nil"/>
            </w:tcBorders>
          </w:tcPr>
          <w:p w:rsidR="00AA5D77" w:rsidRPr="006C40C1" w:rsidRDefault="00AA5D77">
            <w:pPr>
              <w:spacing w:before="0" w:line="200" w:lineRule="exact"/>
              <w:jc w:val="left"/>
              <w:rPr>
                <w:sz w:val="16"/>
              </w:rPr>
            </w:pPr>
            <w:r w:rsidRPr="006C40C1">
              <w:rPr>
                <w:sz w:val="16"/>
              </w:rPr>
              <w:t>Andra bränslen än bränsle som avses i 2 kap. 1 § första stycket 3 b</w:t>
            </w:r>
          </w:p>
        </w:tc>
        <w:tc>
          <w:tcPr>
            <w:tcW w:w="1213" w:type="dxa"/>
            <w:tcBorders>
              <w:top w:val="nil"/>
              <w:left w:val="nil"/>
              <w:bottom w:val="single" w:sz="4" w:space="0" w:color="auto"/>
              <w:right w:val="nil"/>
            </w:tcBorders>
          </w:tcPr>
          <w:p w:rsidR="00AA5D77" w:rsidRPr="006C40C1" w:rsidRDefault="00AA5D77">
            <w:pPr>
              <w:spacing w:before="0" w:line="200" w:lineRule="exact"/>
              <w:rPr>
                <w:sz w:val="16"/>
              </w:rPr>
            </w:pPr>
            <w:r w:rsidRPr="006C40C1">
              <w:rPr>
                <w:sz w:val="16"/>
              </w:rPr>
              <w:t>100 proce</w:t>
            </w:r>
            <w:r w:rsidRPr="006C40C1">
              <w:rPr>
                <w:sz w:val="16"/>
              </w:rPr>
              <w:t>n</w:t>
            </w:r>
            <w:r w:rsidRPr="006C40C1">
              <w:rPr>
                <w:sz w:val="16"/>
              </w:rPr>
              <w:t>t</w:t>
            </w:r>
          </w:p>
        </w:tc>
        <w:tc>
          <w:tcPr>
            <w:tcW w:w="1209" w:type="dxa"/>
            <w:tcBorders>
              <w:top w:val="nil"/>
              <w:left w:val="nil"/>
              <w:bottom w:val="single" w:sz="4" w:space="0" w:color="auto"/>
              <w:right w:val="nil"/>
            </w:tcBorders>
          </w:tcPr>
          <w:p w:rsidR="00AA5D77" w:rsidRPr="006C40C1" w:rsidRDefault="00AA5D77">
            <w:pPr>
              <w:spacing w:before="0" w:line="200" w:lineRule="exact"/>
              <w:rPr>
                <w:sz w:val="16"/>
              </w:rPr>
            </w:pPr>
            <w:r w:rsidRPr="006C40C1">
              <w:rPr>
                <w:i/>
                <w:sz w:val="16"/>
              </w:rPr>
              <w:t xml:space="preserve">75 </w:t>
            </w:r>
            <w:r w:rsidRPr="006C40C1">
              <w:rPr>
                <w:sz w:val="16"/>
              </w:rPr>
              <w:t>pr</w:t>
            </w:r>
            <w:r w:rsidRPr="006C40C1">
              <w:rPr>
                <w:sz w:val="16"/>
              </w:rPr>
              <w:t>o</w:t>
            </w:r>
            <w:r w:rsidRPr="006C40C1">
              <w:rPr>
                <w:sz w:val="16"/>
              </w:rPr>
              <w:t>cent</w:t>
            </w:r>
          </w:p>
        </w:tc>
        <w:tc>
          <w:tcPr>
            <w:tcW w:w="1209" w:type="dxa"/>
            <w:tcBorders>
              <w:top w:val="nil"/>
              <w:left w:val="nil"/>
              <w:bottom w:val="single" w:sz="4" w:space="0" w:color="auto"/>
              <w:right w:val="nil"/>
            </w:tcBorders>
          </w:tcPr>
          <w:p w:rsidR="00AA5D77" w:rsidRPr="006C40C1" w:rsidRDefault="00AA5D77">
            <w:pPr>
              <w:spacing w:before="0" w:line="200" w:lineRule="exact"/>
              <w:rPr>
                <w:sz w:val="16"/>
              </w:rPr>
            </w:pPr>
            <w:r w:rsidRPr="006C40C1">
              <w:rPr>
                <w:sz w:val="16"/>
              </w:rPr>
              <w:t>–</w:t>
            </w:r>
          </w:p>
        </w:tc>
      </w:tr>
    </w:tbl>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Regeringens förslag</w:t>
            </w:r>
          </w:p>
        </w:tc>
        <w:tc>
          <w:tcPr>
            <w:tcW w:w="3090" w:type="dxa"/>
          </w:tcPr>
          <w:p w:rsidR="00AA5D77" w:rsidRPr="006C40C1" w:rsidRDefault="00AA5D77">
            <w:pPr>
              <w:pStyle w:val="LagtextRubrik"/>
            </w:pPr>
            <w:r w:rsidRPr="006C40C1">
              <w:t>Utskottets förslag</w:t>
            </w:r>
          </w:p>
        </w:tc>
      </w:tr>
    </w:tbl>
    <w:p w:rsidR="00AA5D77" w:rsidRPr="006C40C1" w:rsidRDefault="00AA5D77">
      <w:pPr>
        <w:spacing w:before="0"/>
        <w:jc w:val="center"/>
      </w:pPr>
      <w:r w:rsidRPr="006C40C1">
        <w:rPr>
          <w:b/>
        </w:rPr>
        <w:t>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Om råtallolja förbrukas för änd</w:t>
            </w:r>
            <w:r w:rsidRPr="006C40C1">
              <w:t>a</w:t>
            </w:r>
            <w:r w:rsidRPr="006C40C1">
              <w:softHyphen/>
              <w:t>mål som anges i 1 § 9–11 medges befrielse från energiskatten med ett belopp som motsvarar den energ</w:t>
            </w:r>
            <w:r w:rsidRPr="006C40C1">
              <w:t>i</w:t>
            </w:r>
            <w:r w:rsidRPr="006C40C1">
              <w:softHyphen/>
              <w:t xml:space="preserve">skatt och </w:t>
            </w:r>
            <w:r w:rsidRPr="006C40C1">
              <w:rPr>
                <w:i/>
              </w:rPr>
              <w:t>74</w:t>
            </w:r>
            <w:r w:rsidRPr="006C40C1">
              <w:t xml:space="preserve"> procent av den kol</w:t>
            </w:r>
            <w:r w:rsidRPr="006C40C1">
              <w:softHyphen/>
              <w:t>dioxidskatt som tas ut på bränsle enligt 2 kap. 1 § första stycket 3 a.</w:t>
            </w:r>
          </w:p>
        </w:tc>
        <w:tc>
          <w:tcPr>
            <w:tcW w:w="3090" w:type="dxa"/>
          </w:tcPr>
          <w:p w:rsidR="00AA5D77" w:rsidRPr="006C40C1" w:rsidRDefault="00AA5D77">
            <w:pPr>
              <w:pStyle w:val="Normaltindrag"/>
            </w:pPr>
            <w:r w:rsidRPr="006C40C1">
              <w:t>Om råtallolja förbrukas för änd</w:t>
            </w:r>
            <w:r w:rsidRPr="006C40C1">
              <w:t>a</w:t>
            </w:r>
            <w:r w:rsidRPr="006C40C1">
              <w:softHyphen/>
              <w:t>mål som anges i 1 § 9–11 medges befrielse från energiskatten med ett belopp som motsvarar den energ</w:t>
            </w:r>
            <w:r w:rsidRPr="006C40C1">
              <w:t>i</w:t>
            </w:r>
            <w:r w:rsidRPr="006C40C1">
              <w:softHyphen/>
              <w:t xml:space="preserve">skatt och </w:t>
            </w:r>
            <w:r w:rsidRPr="006C40C1">
              <w:rPr>
                <w:i/>
              </w:rPr>
              <w:t>75</w:t>
            </w:r>
            <w:r w:rsidRPr="006C40C1">
              <w:t xml:space="preserve"> procent av den kol</w:t>
            </w:r>
            <w:r w:rsidRPr="006C40C1">
              <w:softHyphen/>
              <w:t>dioxidskatt som tas ut på bränsle enligt 2 kap. 1 § första stycket 3 a.</w:t>
            </w:r>
          </w:p>
        </w:tc>
      </w:tr>
    </w:tbl>
    <w:p w:rsidR="00AA5D77" w:rsidRPr="006C40C1" w:rsidRDefault="00AA5D77">
      <w:pPr>
        <w:spacing w:before="120"/>
        <w:jc w:val="center"/>
        <w:rPr>
          <w:b/>
        </w:rPr>
      </w:pPr>
      <w:r w:rsidRPr="006C40C1">
        <w:rPr>
          <w:b/>
        </w:rPr>
        <w:t>9 kap.</w:t>
      </w:r>
    </w:p>
    <w:p w:rsidR="00AA5D77" w:rsidRPr="006C40C1" w:rsidRDefault="00AA5D77">
      <w:pPr>
        <w:jc w:val="center"/>
      </w:pPr>
      <w:r w:rsidRPr="006C40C1">
        <w:rPr>
          <w:b/>
        </w:rPr>
        <w:t>5 §</w:t>
      </w:r>
      <w:r w:rsidRPr="006C40C1">
        <w:rPr>
          <w:rStyle w:val="Fotnotsreferens"/>
        </w:rPr>
        <w:footnoteReference w:id="21"/>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Om värme har levererats för till</w:t>
            </w:r>
            <w:r w:rsidRPr="006C40C1">
              <w:softHyphen/>
              <w:t>verkningsprocessen i industriell verksamhet eller för yrkesmässig jordbruks-, skogsbruks- eller vatten</w:t>
            </w:r>
            <w:r w:rsidRPr="006C40C1">
              <w:softHyphen/>
              <w:t>bruksverksamhet, medger beskatt</w:t>
            </w:r>
            <w:r w:rsidRPr="006C40C1">
              <w:softHyphen/>
              <w:t>ningsmyndigheten efter ansökan av den som framställt värmen återbetal</w:t>
            </w:r>
            <w:r w:rsidRPr="006C40C1">
              <w:softHyphen/>
              <w:t xml:space="preserve">ning av </w:t>
            </w:r>
          </w:p>
          <w:p w:rsidR="00AA5D77" w:rsidRPr="006C40C1" w:rsidRDefault="00AA5D77">
            <w:pPr>
              <w:pStyle w:val="Normaltindrag"/>
            </w:pPr>
            <w:r w:rsidRPr="006C40C1">
              <w:t xml:space="preserve">1. energiskatten på elektrisk kraft, och </w:t>
            </w:r>
          </w:p>
          <w:p w:rsidR="00AA5D77" w:rsidRPr="006C40C1" w:rsidRDefault="00AA5D77">
            <w:pPr>
              <w:pStyle w:val="Normaltindrag"/>
            </w:pPr>
            <w:r w:rsidRPr="006C40C1">
              <w:t xml:space="preserve">2. energiskatten och </w:t>
            </w:r>
            <w:r w:rsidRPr="006C40C1">
              <w:rPr>
                <w:i/>
              </w:rPr>
              <w:t>74</w:t>
            </w:r>
            <w:r w:rsidRPr="006C40C1">
              <w:t xml:space="preserve"> procent av koldioxidskatten på bränsle, dock inte bensin, råtallolja eller bränsle som avses i 2 kap. 1 § första stycket 3 b, </w:t>
            </w:r>
          </w:p>
          <w:p w:rsidR="00AA5D77" w:rsidRPr="006C40C1" w:rsidRDefault="00AA5D77">
            <w:pPr>
              <w:pStyle w:val="Normaltindrag"/>
            </w:pPr>
            <w:r w:rsidRPr="006C40C1">
              <w:t xml:space="preserve">som förbrukats vid framställning av värmen. </w:t>
            </w:r>
            <w:r w:rsidRPr="006C40C1">
              <w:rPr>
                <w:i/>
              </w:rPr>
              <w:t>Om elektrisk kraft och ett eller flera bränslen förbrukas samt</w:t>
            </w:r>
            <w:r w:rsidRPr="006C40C1">
              <w:rPr>
                <w:i/>
              </w:rPr>
              <w:t>i</w:t>
            </w:r>
            <w:r w:rsidRPr="006C40C1">
              <w:rPr>
                <w:i/>
              </w:rPr>
              <w:t>digt för denna värmeframställning skall energislagen vid beräkning av åter</w:t>
            </w:r>
            <w:r w:rsidRPr="006C40C1">
              <w:rPr>
                <w:i/>
              </w:rPr>
              <w:softHyphen/>
              <w:t>betalningen fördelas genom propor</w:t>
            </w:r>
            <w:r w:rsidRPr="006C40C1">
              <w:rPr>
                <w:i/>
              </w:rPr>
              <w:softHyphen/>
              <w:t>tionering i förhållande till respektive energislag. På motsv</w:t>
            </w:r>
            <w:r w:rsidRPr="006C40C1">
              <w:rPr>
                <w:i/>
              </w:rPr>
              <w:t>a</w:t>
            </w:r>
            <w:r w:rsidRPr="006C40C1">
              <w:rPr>
                <w:i/>
              </w:rPr>
              <w:t>rande sätt skall proportionering ske vid samtidig fram</w:t>
            </w:r>
            <w:r w:rsidRPr="006C40C1">
              <w:rPr>
                <w:i/>
              </w:rPr>
              <w:softHyphen/>
              <w:t xml:space="preserve">ställning av värme och elektrisk kraft. </w:t>
            </w:r>
          </w:p>
        </w:tc>
        <w:tc>
          <w:tcPr>
            <w:tcW w:w="3090" w:type="dxa"/>
          </w:tcPr>
          <w:p w:rsidR="00AA5D77" w:rsidRPr="006C40C1" w:rsidRDefault="00AA5D77">
            <w:pPr>
              <w:pStyle w:val="Normaltindrag"/>
            </w:pPr>
            <w:r w:rsidRPr="006C40C1">
              <w:t>Om värme har levererats för till</w:t>
            </w:r>
            <w:r w:rsidRPr="006C40C1">
              <w:softHyphen/>
              <w:t>verkningsprocessen i industriell verksamhet eller för yrkesmässig jordbruks-, skogsbruks- eller vatten</w:t>
            </w:r>
            <w:r w:rsidRPr="006C40C1">
              <w:softHyphen/>
              <w:t>bruksverksamhet, medger beskatt</w:t>
            </w:r>
            <w:r w:rsidRPr="006C40C1">
              <w:softHyphen/>
              <w:t>ningsmyndigheten efter ansökan av den som framställt värmen återbetal</w:t>
            </w:r>
            <w:r w:rsidRPr="006C40C1">
              <w:softHyphen/>
              <w:t xml:space="preserve">ning av </w:t>
            </w:r>
          </w:p>
          <w:p w:rsidR="00AA5D77" w:rsidRPr="006C40C1" w:rsidRDefault="00AA5D77">
            <w:pPr>
              <w:pStyle w:val="Normaltindrag"/>
            </w:pPr>
            <w:r w:rsidRPr="006C40C1">
              <w:t xml:space="preserve">1. energiskatten på elektrisk kraft, och </w:t>
            </w:r>
          </w:p>
          <w:p w:rsidR="00AA5D77" w:rsidRPr="006C40C1" w:rsidRDefault="00AA5D77">
            <w:pPr>
              <w:pStyle w:val="Normaltindrag"/>
            </w:pPr>
            <w:r w:rsidRPr="006C40C1">
              <w:t xml:space="preserve">2. energiskatten och </w:t>
            </w:r>
            <w:r w:rsidRPr="006C40C1">
              <w:rPr>
                <w:i/>
              </w:rPr>
              <w:t>75</w:t>
            </w:r>
            <w:r w:rsidRPr="006C40C1">
              <w:t xml:space="preserve"> procent av koldioxidskatten på bränsle, dock inte bensin, råtallolja eller bränsle som avses i 2 kap. 1 § första stycket 3 b, </w:t>
            </w:r>
          </w:p>
          <w:p w:rsidR="00AA5D77" w:rsidRPr="006C40C1" w:rsidRDefault="00AA5D77">
            <w:pPr>
              <w:pStyle w:val="Normaltindrag"/>
            </w:pPr>
            <w:r w:rsidRPr="006C40C1">
              <w:t xml:space="preserve">som förbrukats vid framställning av värmen. </w:t>
            </w:r>
          </w:p>
        </w:tc>
      </w:tr>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Bestämmelserna i första stycket 2 tillämpas även på råtallolja, dock att återbetalning av energiskatt medges till ett belopp som motsvarar den energiskatt och </w:t>
            </w:r>
            <w:r w:rsidRPr="006C40C1">
              <w:rPr>
                <w:i/>
              </w:rPr>
              <w:t>74</w:t>
            </w:r>
            <w:r w:rsidRPr="006C40C1">
              <w:t xml:space="preserve"> procent av den koldioxidskatt som tas ut på bränsle som avses i 2 kap. 1 § första stycket 3 a.</w:t>
            </w:r>
          </w:p>
        </w:tc>
        <w:tc>
          <w:tcPr>
            <w:tcW w:w="3090" w:type="dxa"/>
          </w:tcPr>
          <w:p w:rsidR="00AA5D77" w:rsidRPr="006C40C1" w:rsidRDefault="00AA5D77">
            <w:pPr>
              <w:pStyle w:val="Normaltindrag"/>
            </w:pPr>
            <w:r w:rsidRPr="006C40C1">
              <w:t xml:space="preserve">Bestämmelserna i första stycket 2 tillämpas även på råtallolja, dock att återbetalning av energiskatt medges till ett belopp som motsvarar den energiskatt och </w:t>
            </w:r>
            <w:r w:rsidRPr="006C40C1">
              <w:rPr>
                <w:i/>
              </w:rPr>
              <w:t>75</w:t>
            </w:r>
            <w:r w:rsidRPr="006C40C1">
              <w:t xml:space="preserve"> procent av den koldioxidskatt som tas ut på bränsle som avses i 2 kap. 1 § första stycket 3 a.</w:t>
            </w:r>
          </w:p>
        </w:tc>
      </w:tr>
    </w:tbl>
    <w:p w:rsidR="00AA5D77" w:rsidRPr="006C40C1" w:rsidRDefault="00AA5D77">
      <w:pPr>
        <w:pStyle w:val="Normaltindrag"/>
      </w:pPr>
      <w:r w:rsidRPr="006C40C1">
        <w:t>Har beslut om preliminär skattesats meddelats enligt 9 kap. 9 b § medges återbetalning enligt den lägre koldioxidskattesats eller, beträffande råtallolja, energiskattesats som följer av beslutet.</w:t>
      </w:r>
    </w:p>
    <w:p w:rsidR="00AA5D77" w:rsidRPr="006C40C1" w:rsidRDefault="00AA5D77">
      <w:pPr>
        <w:spacing w:before="120"/>
        <w:jc w:val="center"/>
        <w:rPr>
          <w:b/>
        </w:rPr>
      </w:pPr>
      <w:r w:rsidRPr="006C40C1">
        <w:rPr>
          <w:b/>
        </w:rPr>
        <w:t>11 kap.</w:t>
      </w:r>
    </w:p>
    <w:p w:rsidR="00AA5D77" w:rsidRPr="006C40C1" w:rsidRDefault="00AA5D77">
      <w:pPr>
        <w:jc w:val="center"/>
      </w:pPr>
      <w:r w:rsidRPr="006C40C1">
        <w:rPr>
          <w:b/>
        </w:rPr>
        <w:t>3 §</w:t>
      </w:r>
      <w:r w:rsidRPr="006C40C1">
        <w:rPr>
          <w:rStyle w:val="Fotnotsreferens"/>
        </w:rPr>
        <w:footnoteReference w:id="22"/>
      </w:r>
    </w:p>
    <w:p w:rsidR="00AA5D77" w:rsidRPr="006C40C1" w:rsidRDefault="00AA5D77">
      <w:pPr>
        <w:pStyle w:val="Normaltindrag"/>
      </w:pPr>
      <w:r w:rsidRPr="006C40C1">
        <w:t>Energiskatten utgör</w:t>
      </w:r>
    </w:p>
    <w:p w:rsidR="00AA5D77" w:rsidRPr="006C40C1" w:rsidRDefault="00AA5D77">
      <w:pPr>
        <w:pStyle w:val="Normaltindrag"/>
      </w:pPr>
      <w:r w:rsidRPr="006C40C1">
        <w:t>1. 0 öre per kilowattimme för elektrisk kraft som förbrukas i industriell verksamhet i tillverkningsprocessen eller vid yrkesmässig växthusodling,</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Normaltindrag"/>
            </w:pPr>
            <w:r w:rsidRPr="006C40C1">
              <w:t xml:space="preserve">2. </w:t>
            </w:r>
            <w:r w:rsidRPr="006C40C1">
              <w:rPr>
                <w:i/>
              </w:rPr>
              <w:t>16,4</w:t>
            </w:r>
            <w:r w:rsidRPr="006C40C1">
              <w:t xml:space="preserve"> öre per kilowattimme för annan elektrisk kraft än som  avses under 1 och som förbrukas i ko</w:t>
            </w:r>
            <w:r w:rsidRPr="006C40C1">
              <w:t>m</w:t>
            </w:r>
            <w:r w:rsidRPr="006C40C1">
              <w:softHyphen/>
              <w:t>muner som anges i 4 §,</w:t>
            </w:r>
          </w:p>
          <w:p w:rsidR="00AA5D77" w:rsidRPr="006C40C1" w:rsidRDefault="00AA5D77">
            <w:pPr>
              <w:pStyle w:val="Normaltindrag"/>
            </w:pPr>
            <w:r w:rsidRPr="006C40C1">
              <w:t xml:space="preserve">3. </w:t>
            </w:r>
            <w:r w:rsidRPr="006C40C1">
              <w:rPr>
                <w:i/>
              </w:rPr>
              <w:t>19,8</w:t>
            </w:r>
            <w:r w:rsidRPr="006C40C1">
              <w:t xml:space="preserve"> öre per kilowattimme för elektrisk kraft som förbrukas för el-, gas-, värme- eller vattenförsörjning i andra kommuner  än de som anges i 4 §, och</w:t>
            </w:r>
          </w:p>
          <w:p w:rsidR="00AA5D77" w:rsidRPr="006C40C1" w:rsidRDefault="00AA5D77">
            <w:pPr>
              <w:pStyle w:val="Normaltindrag"/>
            </w:pPr>
            <w:r w:rsidRPr="006C40C1">
              <w:t xml:space="preserve">4. </w:t>
            </w:r>
            <w:r w:rsidRPr="006C40C1">
              <w:rPr>
                <w:i/>
              </w:rPr>
              <w:t>22,3</w:t>
            </w:r>
            <w:r w:rsidRPr="006C40C1">
              <w:t xml:space="preserve"> öre per kilowattimme för elektrisk kraft som förbrukas i övriga fall.</w:t>
            </w:r>
          </w:p>
          <w:p w:rsidR="00AA5D77" w:rsidRPr="006C40C1" w:rsidRDefault="00AA5D77">
            <w:pPr>
              <w:pStyle w:val="Normaltindrag"/>
            </w:pPr>
            <w:r w:rsidRPr="006C40C1">
              <w:t>För elektrisk kraft som under t</w:t>
            </w:r>
            <w:r w:rsidRPr="006C40C1">
              <w:t>i</w:t>
            </w:r>
            <w:r w:rsidRPr="006C40C1">
              <w:t>den den 1 november–den 31 mars förbrukas i elektriska pannor som ingår i en elpanneanläggning  vars installerade effekt överstiger 2 m</w:t>
            </w:r>
            <w:r w:rsidRPr="006C40C1">
              <w:t>e</w:t>
            </w:r>
            <w:r w:rsidRPr="006C40C1">
              <w:t>ga</w:t>
            </w:r>
            <w:r w:rsidRPr="006C40C1">
              <w:softHyphen/>
              <w:t xml:space="preserve">watt, utgör dock energiskatten </w:t>
            </w:r>
          </w:p>
          <w:p w:rsidR="00AA5D77" w:rsidRPr="006C40C1" w:rsidRDefault="00AA5D77">
            <w:pPr>
              <w:pStyle w:val="Normaltindrag"/>
            </w:pPr>
            <w:r w:rsidRPr="006C40C1">
              <w:t xml:space="preserve">1. </w:t>
            </w:r>
            <w:r w:rsidRPr="006C40C1">
              <w:rPr>
                <w:i/>
              </w:rPr>
              <w:t>18,8</w:t>
            </w:r>
            <w:r w:rsidRPr="006C40C1">
              <w:t xml:space="preserve"> öre per kilowattimme vid förbrukning i kommuner som anges i 4 § för annat ändamål än industriell verksamhet i tillverkningsprocessen eller yrke</w:t>
            </w:r>
            <w:r w:rsidRPr="006C40C1">
              <w:t>s</w:t>
            </w:r>
            <w:r w:rsidRPr="006C40C1">
              <w:t>mässig växthusodling, och</w:t>
            </w:r>
          </w:p>
          <w:p w:rsidR="00AA5D77" w:rsidRPr="006C40C1" w:rsidRDefault="00AA5D77">
            <w:pPr>
              <w:pStyle w:val="Normaltindrag"/>
            </w:pPr>
            <w:r w:rsidRPr="006C40C1">
              <w:t xml:space="preserve">2. </w:t>
            </w:r>
            <w:r w:rsidRPr="006C40C1">
              <w:rPr>
                <w:i/>
              </w:rPr>
              <w:t>22,3</w:t>
            </w:r>
            <w:r w:rsidRPr="006C40C1">
              <w:t xml:space="preserve"> öre per kilowattimme vid förbrukning för el-, gas-, värme- eller vattenförsörjning i andra kommuner än de som anges i 4 §.</w:t>
            </w:r>
          </w:p>
          <w:p w:rsidR="00AA5D77" w:rsidRPr="006C40C1" w:rsidRDefault="00AA5D77">
            <w:pPr>
              <w:pStyle w:val="Normaltindrag"/>
            </w:pPr>
            <w:r w:rsidRPr="006C40C1">
              <w:t>För kalenderåret 2004 och efte</w:t>
            </w:r>
            <w:r w:rsidRPr="006C40C1">
              <w:t>r</w:t>
            </w:r>
            <w:r w:rsidRPr="006C40C1">
              <w:softHyphen/>
              <w:t>följande kalenderår skall de i första och andra styckena angivna skatte</w:t>
            </w:r>
            <w:r w:rsidRPr="006C40C1">
              <w:softHyphen/>
              <w:t>beloppen räknas om på det sätt som i fråga om skatt på bränslen anges i 2 kap. 10 §. Belopp som anges i tiondels ören skall dock avrundas till hela  t</w:t>
            </w:r>
            <w:r w:rsidRPr="006C40C1">
              <w:t>i</w:t>
            </w:r>
            <w:r w:rsidRPr="006C40C1">
              <w:t>ondels ören.</w:t>
            </w:r>
          </w:p>
        </w:tc>
        <w:tc>
          <w:tcPr>
            <w:tcW w:w="3090" w:type="dxa"/>
          </w:tcPr>
          <w:p w:rsidR="00AA5D77" w:rsidRPr="006C40C1" w:rsidRDefault="00AA5D77">
            <w:pPr>
              <w:pStyle w:val="Normaltindrag"/>
            </w:pPr>
            <w:r w:rsidRPr="006C40C1">
              <w:t xml:space="preserve">2. </w:t>
            </w:r>
            <w:r w:rsidRPr="006C40C1">
              <w:rPr>
                <w:i/>
              </w:rPr>
              <w:t>16,8</w:t>
            </w:r>
            <w:r w:rsidRPr="006C40C1">
              <w:t xml:space="preserve"> öre per kilowattimme för annan elektrisk kraft än som  avses under 1 och som förbrukas i ko</w:t>
            </w:r>
            <w:r w:rsidRPr="006C40C1">
              <w:t>m</w:t>
            </w:r>
            <w:r w:rsidRPr="006C40C1">
              <w:softHyphen/>
              <w:t>muner som anges i 4 §,</w:t>
            </w:r>
          </w:p>
          <w:p w:rsidR="00AA5D77" w:rsidRPr="006C40C1" w:rsidRDefault="00AA5D77">
            <w:pPr>
              <w:pStyle w:val="Normaltindrag"/>
            </w:pPr>
            <w:r w:rsidRPr="006C40C1">
              <w:t xml:space="preserve">3. </w:t>
            </w:r>
            <w:r w:rsidRPr="006C40C1">
              <w:rPr>
                <w:i/>
              </w:rPr>
              <w:t>20,2</w:t>
            </w:r>
            <w:r w:rsidRPr="006C40C1">
              <w:t xml:space="preserve"> öre per kilowattimme för elektrisk kraft som förbrukas för el-, gas-, värme- eller vattenförsörjning i andra kommuner  än de som anges i 4 §, och</w:t>
            </w:r>
          </w:p>
          <w:p w:rsidR="00AA5D77" w:rsidRPr="006C40C1" w:rsidRDefault="00AA5D77">
            <w:pPr>
              <w:pStyle w:val="Normaltindrag"/>
            </w:pPr>
            <w:r w:rsidRPr="006C40C1">
              <w:t xml:space="preserve">4. </w:t>
            </w:r>
            <w:r w:rsidRPr="006C40C1">
              <w:rPr>
                <w:i/>
              </w:rPr>
              <w:t>22,7</w:t>
            </w:r>
            <w:r w:rsidRPr="006C40C1">
              <w:t xml:space="preserve"> öre per kilowattimme för elektrisk kraft som förbrukas i övriga fall.</w:t>
            </w:r>
          </w:p>
          <w:p w:rsidR="00AA5D77" w:rsidRPr="006C40C1" w:rsidRDefault="00AA5D77">
            <w:pPr>
              <w:pStyle w:val="Normaltindrag"/>
            </w:pPr>
            <w:r w:rsidRPr="006C40C1">
              <w:t>För elektrisk kraft som under t</w:t>
            </w:r>
            <w:r w:rsidRPr="006C40C1">
              <w:t>i</w:t>
            </w:r>
            <w:r w:rsidRPr="006C40C1">
              <w:t>den den 1 november–den 31 mars förbrukas i elektriska pannor som ingår i en elpanneanläggning  vars installerade effekt överstiger 2 m</w:t>
            </w:r>
            <w:r w:rsidRPr="006C40C1">
              <w:t>e</w:t>
            </w:r>
            <w:r w:rsidRPr="006C40C1">
              <w:t>ga</w:t>
            </w:r>
            <w:r w:rsidRPr="006C40C1">
              <w:softHyphen/>
              <w:t xml:space="preserve">watt, utgör dock energiskatten </w:t>
            </w:r>
          </w:p>
          <w:p w:rsidR="00AA5D77" w:rsidRPr="006C40C1" w:rsidRDefault="00AA5D77">
            <w:pPr>
              <w:pStyle w:val="Normaltindrag"/>
            </w:pPr>
            <w:r w:rsidRPr="006C40C1">
              <w:t xml:space="preserve">1. </w:t>
            </w:r>
            <w:r w:rsidRPr="006C40C1">
              <w:rPr>
                <w:i/>
              </w:rPr>
              <w:t>19,2</w:t>
            </w:r>
            <w:r w:rsidRPr="006C40C1">
              <w:t xml:space="preserve"> öre per kilowattimme vid förbrukning i kommuner som anges i 4 § för annat ändamål än industriell verksamhet i tillverkningsprocessen eller yrke</w:t>
            </w:r>
            <w:r w:rsidRPr="006C40C1">
              <w:t>s</w:t>
            </w:r>
            <w:r w:rsidRPr="006C40C1">
              <w:t>mässig växthusodling, och</w:t>
            </w:r>
          </w:p>
          <w:p w:rsidR="00AA5D77" w:rsidRPr="006C40C1" w:rsidRDefault="00AA5D77">
            <w:pPr>
              <w:pStyle w:val="Normaltindrag"/>
            </w:pPr>
            <w:r w:rsidRPr="006C40C1">
              <w:t xml:space="preserve">2. </w:t>
            </w:r>
            <w:r w:rsidRPr="006C40C1">
              <w:rPr>
                <w:i/>
              </w:rPr>
              <w:t>22,7</w:t>
            </w:r>
            <w:r w:rsidRPr="006C40C1">
              <w:t xml:space="preserve"> öre per kilowattimme vid förbrukning för el-, gas-, värme- eller vattenförsörjning i andra kommuner än de som anges i 4 §.</w:t>
            </w:r>
          </w:p>
          <w:p w:rsidR="00AA5D77" w:rsidRPr="006C40C1" w:rsidRDefault="00AA5D77">
            <w:pPr>
              <w:pStyle w:val="Normaltindrag"/>
            </w:pPr>
            <w:r w:rsidRPr="006C40C1">
              <w:t>För kalenderåret 2004 och efte</w:t>
            </w:r>
            <w:r w:rsidRPr="006C40C1">
              <w:t>r</w:t>
            </w:r>
            <w:r w:rsidRPr="006C40C1">
              <w:softHyphen/>
              <w:t>följande kalenderår skall de i första och andra styckena angivna skatte</w:t>
            </w:r>
            <w:r w:rsidRPr="006C40C1">
              <w:softHyphen/>
              <w:t>beloppen räknas om på det sätt som i fråga om skatt på bränslen anges i 2 kap. 10 §. Belopp som anges i tiondels ören skall dock avrundas till hela  t</w:t>
            </w:r>
            <w:r w:rsidRPr="006C40C1">
              <w:t>i</w:t>
            </w:r>
            <w:r w:rsidRPr="006C40C1">
              <w:t>ondels ören.</w:t>
            </w:r>
          </w:p>
        </w:tc>
      </w:tr>
    </w:tbl>
    <w:p w:rsidR="00AA5D77" w:rsidRPr="006C40C1" w:rsidRDefault="00AA5D77">
      <w:pPr>
        <w:spacing w:before="360"/>
        <w:jc w:val="center"/>
        <w:rPr>
          <w:b/>
        </w:rPr>
      </w:pPr>
      <w:r w:rsidRPr="006C40C1">
        <w:rPr>
          <w:b/>
        </w:rPr>
        <w:t>Övergångsbestämmelserna</w:t>
      </w:r>
    </w:p>
    <w:p w:rsidR="00AA5D77" w:rsidRPr="006C40C1" w:rsidRDefault="00AA5D77"/>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Regeringens förslag</w:t>
            </w:r>
          </w:p>
        </w:tc>
        <w:tc>
          <w:tcPr>
            <w:tcW w:w="3090" w:type="dxa"/>
          </w:tcPr>
          <w:p w:rsidR="00AA5D77" w:rsidRPr="006C40C1" w:rsidRDefault="00AA5D77">
            <w:pPr>
              <w:pStyle w:val="LagtextRubrik"/>
            </w:pPr>
            <w:r w:rsidRPr="006C40C1">
              <w:t>Utskottets förslag</w:t>
            </w:r>
          </w:p>
        </w:tc>
      </w:tr>
      <w:tr w:rsidR="00000000" w:rsidRPr="006C40C1">
        <w:tblPrEx>
          <w:tblCellMar>
            <w:top w:w="0" w:type="dxa"/>
            <w:bottom w:w="0" w:type="dxa"/>
          </w:tblCellMar>
        </w:tblPrEx>
        <w:tc>
          <w:tcPr>
            <w:tcW w:w="3090" w:type="dxa"/>
          </w:tcPr>
          <w:p w:rsidR="00AA5D77" w:rsidRPr="006C40C1" w:rsidRDefault="00AA5D77">
            <w:pPr>
              <w:pStyle w:val="LagtextIndrag"/>
            </w:pPr>
            <w:r w:rsidRPr="006C40C1">
              <w:rPr>
                <w:i/>
              </w:rPr>
              <w:t xml:space="preserve">1. </w:t>
            </w:r>
            <w:r w:rsidRPr="006C40C1">
              <w:t xml:space="preserve">Denna lag träder i kraft den 1 januari 2003. </w:t>
            </w:r>
          </w:p>
          <w:p w:rsidR="00AA5D77" w:rsidRPr="006C40C1" w:rsidRDefault="00AA5D77">
            <w:pPr>
              <w:pStyle w:val="LagtextIndrag"/>
            </w:pPr>
            <w:r w:rsidRPr="006C40C1">
              <w:rPr>
                <w:i/>
              </w:rPr>
              <w:t xml:space="preserve">2. </w:t>
            </w:r>
            <w:r w:rsidRPr="006C40C1">
              <w:t>Äldre bestämmelser gäller for</w:t>
            </w:r>
            <w:r w:rsidRPr="006C40C1">
              <w:t>t</w:t>
            </w:r>
            <w:r w:rsidRPr="006C40C1">
              <w:t>farande i fråga om förhållanden som hänför sig till tiden före ikraftträda</w:t>
            </w:r>
            <w:r w:rsidRPr="006C40C1">
              <w:t>n</w:t>
            </w:r>
            <w:r w:rsidRPr="006C40C1">
              <w:t>det.</w:t>
            </w:r>
          </w:p>
          <w:p w:rsidR="00AA5D77" w:rsidRPr="006C40C1" w:rsidRDefault="00AA5D77">
            <w:pPr>
              <w:pStyle w:val="LagtextIndrag"/>
              <w:rPr>
                <w:i/>
              </w:rPr>
            </w:pPr>
            <w:r w:rsidRPr="006C40C1">
              <w:rPr>
                <w:i/>
              </w:rPr>
              <w:t>3. Den som är skattskyldig för energiskatt på elektrisk kraft får göra avdrag för skatt på elektrisk kraft som under tiden den 1 januari–den 30 april 2003 framställts i en kraf</w:t>
            </w:r>
            <w:r w:rsidRPr="006C40C1">
              <w:rPr>
                <w:i/>
              </w:rPr>
              <w:t>t</w:t>
            </w:r>
            <w:r w:rsidRPr="006C40C1">
              <w:rPr>
                <w:i/>
              </w:rPr>
              <w:t>värmeanläggning och förbrukats i anläggningen för värme</w:t>
            </w:r>
            <w:r w:rsidRPr="006C40C1">
              <w:rPr>
                <w:i/>
              </w:rPr>
              <w:softHyphen/>
              <w:t>för</w:t>
            </w:r>
            <w:r w:rsidRPr="006C40C1">
              <w:rPr>
                <w:i/>
              </w:rPr>
              <w:softHyphen/>
              <w:t>sörj</w:t>
            </w:r>
            <w:r w:rsidRPr="006C40C1">
              <w:rPr>
                <w:i/>
              </w:rPr>
              <w:softHyphen/>
              <w:t>ning, dock inte förbrukats i elpannor eller värmepumpar, i den mån avdrag inte har gjorts enligt 7 kap. 1 § första stycket 4 i fall som avses i 6 a kap. 1 § 7.</w:t>
            </w:r>
          </w:p>
        </w:tc>
        <w:tc>
          <w:tcPr>
            <w:tcW w:w="3090" w:type="dxa"/>
          </w:tcPr>
          <w:p w:rsidR="00AA5D77" w:rsidRPr="006C40C1" w:rsidRDefault="00AA5D77">
            <w:pPr>
              <w:pStyle w:val="LagtextIndrag"/>
            </w:pPr>
            <w:r w:rsidRPr="006C40C1">
              <w:t>Denna lag träder i kraft den 1 j</w:t>
            </w:r>
            <w:r w:rsidRPr="006C40C1">
              <w:t>a</w:t>
            </w:r>
            <w:r w:rsidRPr="006C40C1">
              <w:t>nuari 2003. Äldre bestämmelser gäller fortfarande i fråga om förhå</w:t>
            </w:r>
            <w:r w:rsidRPr="006C40C1">
              <w:t>l</w:t>
            </w:r>
            <w:r w:rsidRPr="006C40C1">
              <w:t>landen som hänför sig till tiden före ikraftträdandet.</w:t>
            </w:r>
          </w:p>
          <w:p w:rsidR="00AA5D77" w:rsidRPr="006C40C1" w:rsidRDefault="00AA5D77">
            <w:pPr>
              <w:pStyle w:val="LagtextIndrag"/>
            </w:pPr>
          </w:p>
        </w:tc>
      </w:tr>
    </w:tbl>
    <w:p w:rsidR="00AA5D77" w:rsidRPr="006C40C1" w:rsidRDefault="00AA5D77">
      <w:pPr>
        <w:pStyle w:val="Rubrik2"/>
      </w:pPr>
      <w:r w:rsidRPr="006C40C1">
        <w:br w:type="page"/>
      </w:r>
      <w:bookmarkStart w:id="1121" w:name="_Toc25551134"/>
      <w:bookmarkStart w:id="1122" w:name="_Toc26191727"/>
      <w:r w:rsidRPr="006C40C1">
        <w:t>Utskottets förslag om ändring i regeringens förslag om ändring i lagen (1994:1563) om tobaksskatt</w:t>
      </w:r>
      <w:bookmarkEnd w:id="1121"/>
      <w:bookmarkEnd w:id="1122"/>
      <w:r w:rsidRPr="006C40C1">
        <w:t xml:space="preserve"> </w:t>
      </w:r>
    </w:p>
    <w:p w:rsidR="00AA5D77" w:rsidRPr="006C40C1" w:rsidRDefault="00AA5D77">
      <w:r w:rsidRPr="006C40C1">
        <w:t>Finansutskottet föreslår att regeringens förslag till lag om ändring i lagen (1994:1563) om tobaksskatt antas med den ändringen att 2 § erhåller följande som utskottets förslag betecknade lydelse.</w:t>
      </w:r>
    </w:p>
    <w:p w:rsidR="00AA5D77" w:rsidRPr="006C40C1" w:rsidRDefault="00AA5D77">
      <w:pPr>
        <w:jc w:val="center"/>
        <w:rPr>
          <w:b/>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Regeringens förslag</w:t>
            </w:r>
          </w:p>
        </w:tc>
        <w:tc>
          <w:tcPr>
            <w:tcW w:w="3090" w:type="dxa"/>
          </w:tcPr>
          <w:p w:rsidR="00AA5D77" w:rsidRPr="006C40C1" w:rsidRDefault="00AA5D77">
            <w:pPr>
              <w:pStyle w:val="LagtextRubrik"/>
            </w:pPr>
            <w:r w:rsidRPr="006C40C1">
              <w:t>Utskottets förslag</w:t>
            </w:r>
          </w:p>
        </w:tc>
      </w:tr>
      <w:tr w:rsidR="00000000" w:rsidRPr="006C40C1">
        <w:tblPrEx>
          <w:tblCellMar>
            <w:top w:w="0" w:type="dxa"/>
            <w:bottom w:w="0" w:type="dxa"/>
          </w:tblCellMar>
        </w:tblPrEx>
        <w:trPr>
          <w:cantSplit/>
        </w:trPr>
        <w:tc>
          <w:tcPr>
            <w:tcW w:w="6180" w:type="dxa"/>
            <w:gridSpan w:val="2"/>
          </w:tcPr>
          <w:p w:rsidR="00AA5D77" w:rsidRPr="006C40C1" w:rsidRDefault="00AA5D77">
            <w:pPr>
              <w:pStyle w:val="LagtextIndrag"/>
              <w:jc w:val="center"/>
              <w:rPr>
                <w:b/>
              </w:rPr>
            </w:pPr>
            <w:r w:rsidRPr="006C40C1">
              <w:rPr>
                <w:b/>
              </w:rPr>
              <w:t>2 §</w:t>
            </w:r>
          </w:p>
        </w:tc>
      </w:tr>
      <w:tr w:rsidR="00000000" w:rsidRPr="006C40C1">
        <w:tblPrEx>
          <w:tblCellMar>
            <w:top w:w="0" w:type="dxa"/>
            <w:bottom w:w="0" w:type="dxa"/>
          </w:tblCellMar>
        </w:tblPrEx>
        <w:tc>
          <w:tcPr>
            <w:tcW w:w="3090" w:type="dxa"/>
          </w:tcPr>
          <w:p w:rsidR="00AA5D77" w:rsidRPr="006C40C1" w:rsidRDefault="00AA5D77">
            <w:pPr>
              <w:pStyle w:val="LagtextIndrag"/>
            </w:pPr>
            <w:r w:rsidRPr="006C40C1">
              <w:t>Skatt på cigaretter tas ut med 20 öre per styck och 39,2 procent av detaljhandelspriset. Skatt skall dock lägst tas ut med 90 procent av den sammanlagda skatten på cigaretter i den mest efterfrågade priskate</w:t>
            </w:r>
            <w:r w:rsidRPr="006C40C1">
              <w:softHyphen/>
              <w:t>gorin. Tillverkaren eller hans represen</w:t>
            </w:r>
            <w:r w:rsidRPr="006C40C1">
              <w:softHyphen/>
              <w:t>tant eller, i fråga om cigaretter som i</w:t>
            </w:r>
            <w:r w:rsidRPr="006C40C1">
              <w:t>m</w:t>
            </w:r>
            <w:r w:rsidRPr="006C40C1">
              <w:t>porteras från tredje land, impor</w:t>
            </w:r>
            <w:r w:rsidRPr="006C40C1">
              <w:softHyphen/>
              <w:t>tören skall senast den 31 oktober varje år till Riksskatteverket lämna uppgifter om försäljningen av cigaretter i de olika priskategorierna för tiden från och med den 1 oktober det föregåe</w:t>
            </w:r>
            <w:r w:rsidRPr="006C40C1">
              <w:t>n</w:t>
            </w:r>
            <w:r w:rsidRPr="006C40C1">
              <w:t>de året till och med den 30 september det innevarande året. Regeringen fast</w:t>
            </w:r>
            <w:r w:rsidRPr="006C40C1">
              <w:softHyphen/>
              <w:t>ställer senast den 30 november det innevarande året den mest efte</w:t>
            </w:r>
            <w:r w:rsidRPr="006C40C1">
              <w:t>r</w:t>
            </w:r>
            <w:r w:rsidRPr="006C40C1">
              <w:t xml:space="preserve">frågade priskategorin av cigaretter och det skattebelopp som skall </w:t>
            </w:r>
            <w:r w:rsidRPr="006C40C1">
              <w:t>tas ut enligt andra m</w:t>
            </w:r>
            <w:r w:rsidRPr="006C40C1">
              <w:t>e</w:t>
            </w:r>
            <w:r w:rsidRPr="006C40C1">
              <w:t>ningen.</w:t>
            </w:r>
          </w:p>
        </w:tc>
        <w:tc>
          <w:tcPr>
            <w:tcW w:w="3090" w:type="dxa"/>
          </w:tcPr>
          <w:p w:rsidR="00AA5D77" w:rsidRPr="006C40C1" w:rsidRDefault="00AA5D77">
            <w:pPr>
              <w:pStyle w:val="LagtextIndrag"/>
            </w:pPr>
            <w:r w:rsidRPr="006C40C1">
              <w:t>Skatt på cigaretter tas ut med 20 öre per styck och 39,2 procent av detaljhandelspriset. Skatt skall dock lägst tas ut med 90 procent av den sammanlagda skatten på cigaretter i den mest efterfrågade priskate</w:t>
            </w:r>
            <w:r w:rsidRPr="006C40C1">
              <w:softHyphen/>
              <w:t>gorin. Tillverkaren eller hans represen</w:t>
            </w:r>
            <w:r w:rsidRPr="006C40C1">
              <w:softHyphen/>
              <w:t>tant eller, i fråga om cigaretter som i</w:t>
            </w:r>
            <w:r w:rsidRPr="006C40C1">
              <w:t>m</w:t>
            </w:r>
            <w:r w:rsidRPr="006C40C1">
              <w:t>porteras från tredje land, impor</w:t>
            </w:r>
            <w:r w:rsidRPr="006C40C1">
              <w:softHyphen/>
              <w:t>tören skall senast den 31 oktober varje år till Riksskatteverket lämna uppgifter om försäljningen av cigaretter i de olika priskategorierna för tiden från och med den 1 oktober det föregåe</w:t>
            </w:r>
            <w:r w:rsidRPr="006C40C1">
              <w:t>n</w:t>
            </w:r>
            <w:r w:rsidRPr="006C40C1">
              <w:t>de året till och med den 30 september det innevarande året. Regeringen fast</w:t>
            </w:r>
            <w:r w:rsidRPr="006C40C1">
              <w:softHyphen/>
              <w:t>ställer senast den 30 november det innevarande året den mest efte</w:t>
            </w:r>
            <w:r w:rsidRPr="006C40C1">
              <w:t>r</w:t>
            </w:r>
            <w:r w:rsidRPr="006C40C1">
              <w:t xml:space="preserve">frågade priskategorin av cigaretter och det skattebelopp som </w:t>
            </w:r>
            <w:r w:rsidRPr="006C40C1">
              <w:rPr>
                <w:i/>
              </w:rPr>
              <w:t>för de</w:t>
            </w:r>
            <w:r w:rsidRPr="006C40C1">
              <w:rPr>
                <w:i/>
              </w:rPr>
              <w:t>t nästkommande kalenderåret</w:t>
            </w:r>
            <w:r w:rsidRPr="006C40C1">
              <w:t xml:space="preserve"> skall tas ut enligt andra m</w:t>
            </w:r>
            <w:r w:rsidRPr="006C40C1">
              <w:t>e</w:t>
            </w:r>
            <w:r w:rsidRPr="006C40C1">
              <w:t>ningen.</w:t>
            </w:r>
          </w:p>
        </w:tc>
      </w:tr>
      <w:tr w:rsidR="00000000" w:rsidRPr="006C40C1">
        <w:tblPrEx>
          <w:tblCellMar>
            <w:top w:w="0" w:type="dxa"/>
            <w:bottom w:w="0" w:type="dxa"/>
          </w:tblCellMar>
        </w:tblPrEx>
        <w:trPr>
          <w:cantSplit/>
        </w:trPr>
        <w:tc>
          <w:tcPr>
            <w:tcW w:w="6180" w:type="dxa"/>
            <w:gridSpan w:val="2"/>
          </w:tcPr>
          <w:p w:rsidR="00AA5D77" w:rsidRPr="006C40C1" w:rsidRDefault="00AA5D77">
            <w:pPr>
              <w:pStyle w:val="Normaltindrag"/>
            </w:pPr>
            <w:r w:rsidRPr="006C40C1">
              <w:t>Cigaretter med en längd, exklusive filter eller munstycke, som överstiger 9 centimeter men inte 18 centimeter anses som två cigaretter. Är cigaretten längre anses varje påbörjad ytterligare längd av 9 centimeter som en cigarett.</w:t>
            </w:r>
          </w:p>
        </w:tc>
      </w:tr>
    </w:tbl>
    <w:p w:rsidR="00AA5D77" w:rsidRPr="006C40C1" w:rsidRDefault="00AA5D77">
      <w:pPr>
        <w:pStyle w:val="Rubrik2"/>
      </w:pPr>
      <w:r w:rsidRPr="006C40C1">
        <w:br w:type="page"/>
      </w:r>
      <w:bookmarkStart w:id="1123" w:name="_Toc25551136"/>
      <w:bookmarkStart w:id="1124" w:name="_Toc26191728"/>
      <w:r w:rsidRPr="006C40C1">
        <w:t>Förslag till lag om ändring i lagen (2001:843) om ändring i lagen (1994:1744) om allmän pensionsavgift</w:t>
      </w:r>
      <w:bookmarkEnd w:id="1123"/>
      <w:bookmarkEnd w:id="1124"/>
    </w:p>
    <w:p w:rsidR="00AA5D77" w:rsidRPr="006C40C1" w:rsidRDefault="00AA5D77">
      <w:pPr>
        <w:pStyle w:val="Normaltindrag"/>
      </w:pPr>
      <w:r w:rsidRPr="006C40C1">
        <w:t>Härigenom föreskrivs i fråga om lagen (1994:1744) om allmän pensions</w:t>
      </w:r>
      <w:r w:rsidRPr="006C40C1">
        <w:softHyphen/>
        <w:t xml:space="preserve">avgift </w:t>
      </w:r>
    </w:p>
    <w:p w:rsidR="00AA5D77" w:rsidRPr="006C40C1" w:rsidRDefault="00AA5D77">
      <w:pPr>
        <w:pStyle w:val="Normaltindrag"/>
      </w:pPr>
      <w:r w:rsidRPr="006C40C1">
        <w:rPr>
          <w:i/>
        </w:rPr>
        <w:t>dels</w:t>
      </w:r>
      <w:r w:rsidRPr="006C40C1">
        <w:t xml:space="preserve"> att 4 § i stället för dess lydelse enligt lagen (2001:843) om ändring i nämnda lag skall ha följande lyde</w:t>
      </w:r>
      <w:r w:rsidRPr="006C40C1">
        <w:t>l</w:t>
      </w:r>
      <w:r w:rsidRPr="006C40C1">
        <w:t>se,</w:t>
      </w:r>
    </w:p>
    <w:p w:rsidR="00AA5D77" w:rsidRPr="006C40C1" w:rsidRDefault="00AA5D77">
      <w:pPr>
        <w:pStyle w:val="Normaltindrag"/>
      </w:pPr>
      <w:r w:rsidRPr="006C40C1">
        <w:rPr>
          <w:i/>
        </w:rPr>
        <w:t>dels</w:t>
      </w:r>
      <w:r w:rsidRPr="006C40C1">
        <w:t xml:space="preserve"> att ikraftträdandebestämmelsen till lagen (2001:843) om ändring i nämnda lag skall ha följande lyde</w:t>
      </w:r>
      <w:r w:rsidRPr="006C40C1">
        <w:t>l</w:t>
      </w:r>
      <w:r w:rsidRPr="006C40C1">
        <w:t>se.</w:t>
      </w: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Nuvarande lydelse</w:t>
            </w:r>
          </w:p>
        </w:tc>
        <w:tc>
          <w:tcPr>
            <w:tcW w:w="3090" w:type="dxa"/>
          </w:tcPr>
          <w:p w:rsidR="00AA5D77" w:rsidRPr="006C40C1" w:rsidRDefault="00AA5D77">
            <w:pPr>
              <w:pStyle w:val="LagtextRubrik"/>
            </w:pPr>
            <w:r w:rsidRPr="006C40C1">
              <w:t>Föreslagen lydelse</w:t>
            </w:r>
          </w:p>
        </w:tc>
      </w:tr>
    </w:tbl>
    <w:p w:rsidR="00AA5D77" w:rsidRPr="006C40C1" w:rsidRDefault="00AA5D77">
      <w:pPr>
        <w:jc w:val="center"/>
        <w:rPr>
          <w:b/>
        </w:rPr>
      </w:pPr>
      <w:r w:rsidRPr="006C40C1">
        <w:rPr>
          <w:b/>
        </w:rPr>
        <w:t>4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textIndrag"/>
            </w:pPr>
            <w:r w:rsidRPr="006C40C1">
              <w:t xml:space="preserve">Avgift skall inte betalas av den som har sådana inkomster som avses i 3 §, om inkomsterna understiger </w:t>
            </w:r>
            <w:r w:rsidRPr="006C40C1">
              <w:rPr>
                <w:i/>
              </w:rPr>
              <w:t>40,3</w:t>
            </w:r>
            <w:r w:rsidRPr="006C40C1">
              <w:t xml:space="preserve"> procent av det för året gällande prisbasbeloppet enligt lagen (1962: 381) om allmän försäkring. </w:t>
            </w:r>
          </w:p>
        </w:tc>
        <w:tc>
          <w:tcPr>
            <w:tcW w:w="3090" w:type="dxa"/>
          </w:tcPr>
          <w:p w:rsidR="00AA5D77" w:rsidRPr="006C40C1" w:rsidRDefault="00AA5D77">
            <w:pPr>
              <w:pStyle w:val="LagtextIndrag"/>
            </w:pPr>
            <w:r w:rsidRPr="006C40C1">
              <w:t xml:space="preserve">Avgift skall inte betalas av den som har sådana inkomster som avses i 3 §, om inkomsterna understiger </w:t>
            </w:r>
            <w:r w:rsidRPr="006C40C1">
              <w:rPr>
                <w:i/>
              </w:rPr>
              <w:t>42,3</w:t>
            </w:r>
            <w:r w:rsidRPr="006C40C1">
              <w:t xml:space="preserve"> procent av det för året gällande prisbasbeloppet enligt lagen (1962: 381) om allmän försäkring. </w:t>
            </w:r>
          </w:p>
        </w:tc>
      </w:tr>
      <w:tr w:rsidR="00000000" w:rsidRPr="006C40C1">
        <w:tblPrEx>
          <w:tblCellMar>
            <w:top w:w="0" w:type="dxa"/>
            <w:bottom w:w="0" w:type="dxa"/>
          </w:tblCellMar>
        </w:tblPrEx>
        <w:trPr>
          <w:cantSplit/>
        </w:trPr>
        <w:tc>
          <w:tcPr>
            <w:tcW w:w="6180" w:type="dxa"/>
            <w:gridSpan w:val="2"/>
          </w:tcPr>
          <w:p w:rsidR="00AA5D77" w:rsidRPr="006C40C1" w:rsidRDefault="00AA5D77">
            <w:pPr>
              <w:pStyle w:val="LagtextIndrag"/>
            </w:pPr>
            <w:r w:rsidRPr="006C40C1">
              <w:t>Avgift skall inte heller betalas på sådan inkomstrelaterad sjuk</w:t>
            </w:r>
            <w:r w:rsidRPr="006C40C1">
              <w:softHyphen/>
              <w:t>ersätt</w:t>
            </w:r>
            <w:r w:rsidRPr="006C40C1">
              <w:softHyphen/>
              <w:t>ning e</w:t>
            </w:r>
            <w:r w:rsidRPr="006C40C1">
              <w:t>l</w:t>
            </w:r>
            <w:r w:rsidRPr="006C40C1">
              <w:t>ler inkomstrelaterad aktivitets</w:t>
            </w:r>
            <w:r w:rsidRPr="006C40C1">
              <w:softHyphen/>
              <w:t>ersättning som anges i 2 kap. 5 § 17 lagen (1998:674) om inkomst</w:t>
            </w:r>
            <w:r w:rsidRPr="006C40C1">
              <w:softHyphen/>
              <w:t>grund</w:t>
            </w:r>
            <w:r w:rsidRPr="006C40C1">
              <w:softHyphen/>
              <w:t>ad ålders</w:t>
            </w:r>
            <w:r w:rsidRPr="006C40C1">
              <w:softHyphen/>
              <w:t>pension.</w:t>
            </w:r>
          </w:p>
        </w:tc>
      </w:tr>
    </w:tbl>
    <w:p w:rsidR="00AA5D77" w:rsidRPr="006C40C1" w:rsidRDefault="00AA5D77">
      <w:pPr>
        <w:jc w:val="center"/>
        <w:rPr>
          <w:b/>
        </w:rPr>
      </w:pPr>
    </w:p>
    <w:p w:rsidR="00AA5D77" w:rsidRPr="006C40C1" w:rsidRDefault="00AA5D77">
      <w:pPr>
        <w:jc w:val="center"/>
        <w:rPr>
          <w:b/>
        </w:rPr>
      </w:pPr>
      <w:r w:rsidRPr="006C40C1">
        <w:rPr>
          <w:b/>
        </w:rPr>
        <w:t>Ikraftträdandebestämmelsen</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textIndrag"/>
            </w:pPr>
            <w:r w:rsidRPr="006C40C1">
              <w:t>Denna lag träder i kraft den 1 j</w:t>
            </w:r>
            <w:r w:rsidRPr="006C40C1">
              <w:t>a</w:t>
            </w:r>
            <w:r w:rsidRPr="006C40C1">
              <w:t xml:space="preserve">nuari 2003. </w:t>
            </w:r>
          </w:p>
        </w:tc>
        <w:tc>
          <w:tcPr>
            <w:tcW w:w="3090" w:type="dxa"/>
          </w:tcPr>
          <w:p w:rsidR="00AA5D77" w:rsidRPr="006C40C1" w:rsidRDefault="00AA5D77">
            <w:pPr>
              <w:pStyle w:val="LagtextIndrag"/>
            </w:pPr>
            <w:r w:rsidRPr="006C40C1">
              <w:t>Denna lag träder i kraft den 1 j</w:t>
            </w:r>
            <w:r w:rsidRPr="006C40C1">
              <w:t>a</w:t>
            </w:r>
            <w:r w:rsidRPr="006C40C1">
              <w:t>nuari 2003 och tillämpas första gång</w:t>
            </w:r>
            <w:r w:rsidRPr="006C40C1">
              <w:softHyphen/>
              <w:t>en vid 2004 års taxering.</w:t>
            </w:r>
          </w:p>
        </w:tc>
      </w:tr>
    </w:tbl>
    <w:p w:rsidR="00AA5D77" w:rsidRPr="006C40C1" w:rsidRDefault="00AA5D77">
      <w:pPr>
        <w:pStyle w:val="Preformatted"/>
        <w:tabs>
          <w:tab w:val="clear" w:pos="9590"/>
        </w:tabs>
      </w:pPr>
    </w:p>
    <w:p w:rsidR="00AA5D77" w:rsidRPr="006C40C1" w:rsidRDefault="00AA5D77">
      <w:pPr>
        <w:pStyle w:val="Rubrik2"/>
      </w:pPr>
      <w:r w:rsidRPr="006C40C1">
        <w:br w:type="page"/>
      </w:r>
      <w:bookmarkStart w:id="1125" w:name="_Toc25551137"/>
      <w:bookmarkStart w:id="1126" w:name="_Toc26191729"/>
      <w:r w:rsidRPr="006C40C1">
        <w:t>Förslag till lag om ändring i lagen (1998:676) om statlig ålderspensionsavgift</w:t>
      </w:r>
      <w:bookmarkEnd w:id="1125"/>
      <w:bookmarkEnd w:id="1126"/>
    </w:p>
    <w:p w:rsidR="00AA5D77" w:rsidRPr="006C40C1" w:rsidRDefault="00AA5D77">
      <w:pPr>
        <w:pStyle w:val="Normaltindrag"/>
      </w:pPr>
      <w:r w:rsidRPr="006C40C1">
        <w:t>Härigenom föreskrivs att 3 § lagen (1998:676) om statlig ålderspension</w:t>
      </w:r>
      <w:r w:rsidRPr="006C40C1">
        <w:t>s</w:t>
      </w:r>
      <w:r w:rsidRPr="006C40C1">
        <w:t>avgift skall ha följande lyde</w:t>
      </w:r>
      <w:r w:rsidRPr="006C40C1">
        <w:t>l</w:t>
      </w:r>
      <w:r w:rsidRPr="006C40C1">
        <w:t>se.</w:t>
      </w: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Nuvarande lydelse</w:t>
            </w:r>
          </w:p>
        </w:tc>
        <w:tc>
          <w:tcPr>
            <w:tcW w:w="3090" w:type="dxa"/>
          </w:tcPr>
          <w:p w:rsidR="00AA5D77" w:rsidRPr="006C40C1" w:rsidRDefault="00AA5D77">
            <w:pPr>
              <w:pStyle w:val="LagtextRubrik"/>
            </w:pPr>
            <w:r w:rsidRPr="006C40C1">
              <w:t>Föreslagen lydelse</w:t>
            </w:r>
          </w:p>
        </w:tc>
      </w:tr>
    </w:tbl>
    <w:p w:rsidR="00AA5D77" w:rsidRPr="006C40C1" w:rsidRDefault="00AA5D77">
      <w:pPr>
        <w:jc w:val="center"/>
        <w:rPr>
          <w:b/>
        </w:rPr>
      </w:pPr>
      <w:r w:rsidRPr="006C40C1">
        <w:rPr>
          <w:b/>
        </w:rPr>
        <w:t>3 §</w:t>
      </w:r>
      <w:r w:rsidRPr="006C40C1">
        <w:rPr>
          <w:rStyle w:val="Fotnotsreferens"/>
        </w:rPr>
        <w:footnoteReference w:id="23"/>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textIndrag"/>
            </w:pPr>
            <w:r w:rsidRPr="006C40C1">
              <w:t xml:space="preserve">Avgift beräknas inte på ersättning enligt 2 § om ersättningen tillsam-mans med annan inkomst av anställ-ning och inkomst av annat förvärvs-arbete understiger </w:t>
            </w:r>
            <w:r w:rsidRPr="006C40C1">
              <w:rPr>
                <w:i/>
              </w:rPr>
              <w:t>40,3</w:t>
            </w:r>
            <w:r w:rsidRPr="006C40C1">
              <w:t xml:space="preserve"> procent av det för året gällande prisbasbeloppet enligt 1 kap. 6 § lagen (1962:381) om allmän försäkring.</w:t>
            </w:r>
          </w:p>
        </w:tc>
        <w:tc>
          <w:tcPr>
            <w:tcW w:w="3090" w:type="dxa"/>
          </w:tcPr>
          <w:p w:rsidR="00AA5D77" w:rsidRPr="006C40C1" w:rsidRDefault="00AA5D77">
            <w:pPr>
              <w:pStyle w:val="LagtextIndrag"/>
            </w:pPr>
            <w:r w:rsidRPr="006C40C1">
              <w:t xml:space="preserve">Avgift beräknas inte på ersättning enligt 2 § om ersättningen tillsam-mans med annan inkomst av anställ-ning och inkomst av annat förvärvs-arbete understiger </w:t>
            </w:r>
            <w:r w:rsidRPr="006C40C1">
              <w:rPr>
                <w:i/>
              </w:rPr>
              <w:t>42,3</w:t>
            </w:r>
            <w:r w:rsidRPr="006C40C1">
              <w:t xml:space="preserve"> procent av det för året gällande prisbasbeloppet enligt 1 kap. 6 § lagen (1962:381) om allmän försäkring.</w:t>
            </w:r>
          </w:p>
        </w:tc>
      </w:tr>
    </w:tbl>
    <w:p w:rsidR="00AA5D77" w:rsidRPr="006C40C1" w:rsidRDefault="00AA5D77">
      <w:pPr>
        <w:pStyle w:val="Preformatted"/>
        <w:tabs>
          <w:tab w:val="clear" w:pos="9590"/>
        </w:tabs>
      </w:pPr>
      <w:r w:rsidRPr="006C40C1">
        <w:t>___________</w:t>
      </w:r>
    </w:p>
    <w:p w:rsidR="00AA5D77" w:rsidRPr="006C40C1" w:rsidRDefault="00AA5D77">
      <w:pPr>
        <w:pStyle w:val="Normaltindrag"/>
      </w:pPr>
      <w:r w:rsidRPr="006C40C1">
        <w:t>Denna lag träder i kraft den 1 januari 2003 och tillämpas första gången på avgifter som beräknas för år 2003.</w:t>
      </w:r>
    </w:p>
    <w:p w:rsidR="00AA5D77" w:rsidRPr="006C40C1" w:rsidRDefault="00AA5D77">
      <w:pPr>
        <w:pStyle w:val="Normaltindrag"/>
      </w:pPr>
      <w:r w:rsidRPr="006C40C1">
        <w:t xml:space="preserve"> </w:t>
      </w:r>
    </w:p>
    <w:p w:rsidR="00AA5D77" w:rsidRPr="006C40C1" w:rsidRDefault="00AA5D77">
      <w:pPr>
        <w:pStyle w:val="Rubrik2"/>
      </w:pPr>
      <w:r w:rsidRPr="006C40C1">
        <w:br w:type="page"/>
      </w:r>
      <w:bookmarkStart w:id="1127" w:name="_Toc26191730"/>
      <w:r w:rsidRPr="006C40C1">
        <w:t>Förslag till lag om ändring i lagen (1998:674) om inkomstgrundad ålderspension</w:t>
      </w:r>
      <w:bookmarkEnd w:id="1127"/>
    </w:p>
    <w:p w:rsidR="00AA5D77" w:rsidRPr="006C40C1" w:rsidRDefault="00AA5D77">
      <w:r w:rsidRPr="006C40C1">
        <w:t>Härigenom föreskrivs att 2 kap. 2 § lagen (1998:674) om inkomstgrundad ålderspension skall ha följande lyde</w:t>
      </w:r>
      <w:r w:rsidRPr="006C40C1">
        <w:t>l</w:t>
      </w:r>
      <w:r w:rsidRPr="006C40C1">
        <w:t>se.</w:t>
      </w: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Nuvarande lydelse</w:t>
            </w:r>
          </w:p>
        </w:tc>
        <w:tc>
          <w:tcPr>
            <w:tcW w:w="3090" w:type="dxa"/>
          </w:tcPr>
          <w:p w:rsidR="00AA5D77" w:rsidRPr="006C40C1" w:rsidRDefault="00AA5D77">
            <w:pPr>
              <w:pStyle w:val="LagtextRubrik"/>
            </w:pPr>
            <w:r w:rsidRPr="006C40C1">
              <w:t>Föreslagen lydelse</w:t>
            </w:r>
          </w:p>
        </w:tc>
      </w:tr>
    </w:tbl>
    <w:p w:rsidR="00AA5D77" w:rsidRPr="006C40C1" w:rsidRDefault="00AA5D77">
      <w:pPr>
        <w:jc w:val="center"/>
        <w:rPr>
          <w:b/>
        </w:rPr>
      </w:pPr>
      <w:r w:rsidRPr="006C40C1">
        <w:rPr>
          <w:b/>
        </w:rPr>
        <w:t xml:space="preserve">2 kap. </w:t>
      </w:r>
    </w:p>
    <w:p w:rsidR="00AA5D77" w:rsidRPr="006C40C1" w:rsidRDefault="00AA5D77">
      <w:pPr>
        <w:jc w:val="center"/>
        <w:rPr>
          <w:b/>
        </w:rPr>
      </w:pPr>
      <w:r w:rsidRPr="006C40C1">
        <w:rPr>
          <w:b/>
        </w:rPr>
        <w:t>2 §</w:t>
      </w:r>
      <w:r w:rsidRPr="006C40C1">
        <w:rPr>
          <w:rStyle w:val="Fotnotsreferens"/>
        </w:rPr>
        <w:footnoteReference w:id="24"/>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cantSplit/>
        </w:trPr>
        <w:tc>
          <w:tcPr>
            <w:tcW w:w="6180" w:type="dxa"/>
            <w:gridSpan w:val="2"/>
          </w:tcPr>
          <w:p w:rsidR="00AA5D77" w:rsidRPr="006C40C1" w:rsidRDefault="00AA5D77">
            <w:pPr>
              <w:pStyle w:val="LagtextIndrag"/>
            </w:pPr>
            <w:r w:rsidRPr="006C40C1">
              <w:t>För varje år som en person har varit försäkrad och har haft inkomster här i landet som är pen</w:t>
            </w:r>
            <w:r w:rsidRPr="006C40C1">
              <w:softHyphen/>
              <w:t>sions</w:t>
            </w:r>
            <w:r w:rsidRPr="006C40C1">
              <w:softHyphen/>
              <w:t>grundande, skall hans eller hennes pensions</w:t>
            </w:r>
            <w:r w:rsidRPr="006C40C1">
              <w:softHyphen/>
              <w:t>grund</w:t>
            </w:r>
            <w:r w:rsidRPr="006C40C1">
              <w:softHyphen/>
              <w:t>ande inkomst fast</w:t>
            </w:r>
            <w:r w:rsidRPr="006C40C1">
              <w:softHyphen/>
              <w:t>ställas. Detta gäller dock endast om summan av de inkomster som är pensionsgrundande uppgått till minst 42,3 procent av det för intjänandeåret gällande prisbasbeloppet enligt lagen (1962:381) om allmän försäkring.</w:t>
            </w:r>
          </w:p>
        </w:tc>
      </w:tr>
      <w:tr w:rsidR="00000000" w:rsidRPr="006C40C1">
        <w:tblPrEx>
          <w:tblCellMar>
            <w:top w:w="0" w:type="dxa"/>
            <w:bottom w:w="0" w:type="dxa"/>
          </w:tblCellMar>
        </w:tblPrEx>
        <w:trPr>
          <w:cantSplit/>
        </w:trPr>
        <w:tc>
          <w:tcPr>
            <w:tcW w:w="3090" w:type="dxa"/>
          </w:tcPr>
          <w:p w:rsidR="00AA5D77" w:rsidRPr="006C40C1" w:rsidRDefault="00AA5D77">
            <w:pPr>
              <w:pStyle w:val="LagtextIndrag"/>
            </w:pPr>
            <w:r w:rsidRPr="006C40C1">
              <w:rPr>
                <w:i/>
              </w:rPr>
              <w:t>Fastställande enligt första stycket skall inte göras för år före det år då den försäkrade fyllt 16 år.</w:t>
            </w:r>
            <w:r w:rsidRPr="006C40C1">
              <w:t xml:space="preserve"> För det år då den försäkrade har avlidit skall pensionsgrundande inkomst inte fastställas i annat fall än om överf</w:t>
            </w:r>
            <w:r w:rsidRPr="006C40C1">
              <w:t>ö</w:t>
            </w:r>
            <w:r w:rsidRPr="006C40C1">
              <w:t>ring av pensionsrätt för premie</w:t>
            </w:r>
            <w:r w:rsidRPr="006C40C1">
              <w:softHyphen/>
              <w:t xml:space="preserve">pension till den avlidnes make skall göras för det året. </w:t>
            </w:r>
            <w:r w:rsidRPr="006C40C1">
              <w:rPr>
                <w:i/>
              </w:rPr>
              <w:t>För den som är född år 1937 eller tidigare skall pensionsgrundande inkomst inte heller fastställas för år efter det då den försäkrade har fyllt 64 år eller för tidigare år under vilket han eller hon hela året har uppburit hel å</w:t>
            </w:r>
            <w:r w:rsidRPr="006C40C1">
              <w:rPr>
                <w:i/>
              </w:rPr>
              <w:t>l</w:t>
            </w:r>
            <w:r w:rsidRPr="006C40C1">
              <w:rPr>
                <w:i/>
              </w:rPr>
              <w:t>derspension enligt denna lag eller enligt lagen om allmän försäkring.</w:t>
            </w:r>
          </w:p>
        </w:tc>
        <w:tc>
          <w:tcPr>
            <w:tcW w:w="3090" w:type="dxa"/>
          </w:tcPr>
          <w:p w:rsidR="00AA5D77" w:rsidRPr="006C40C1" w:rsidRDefault="00AA5D77">
            <w:pPr>
              <w:pStyle w:val="LagtextIndrag"/>
            </w:pPr>
            <w:r w:rsidRPr="006C40C1">
              <w:t>För det å</w:t>
            </w:r>
            <w:r w:rsidRPr="006C40C1">
              <w:t xml:space="preserve">r då den försäkrade har avlidit skall pensionsgrundande inkomst inte fastställas i annat fall än om överföring av pensionsrätt för premiepension till den avlidnes make skall göras för det året. </w:t>
            </w:r>
            <w:r w:rsidRPr="006C40C1">
              <w:rPr>
                <w:i/>
              </w:rPr>
              <w:t>Pension</w:t>
            </w:r>
            <w:r w:rsidRPr="006C40C1">
              <w:rPr>
                <w:i/>
              </w:rPr>
              <w:t>s</w:t>
            </w:r>
            <w:r w:rsidRPr="006C40C1">
              <w:rPr>
                <w:i/>
              </w:rPr>
              <w:t>grundande inkomst skall inte heller fastställas för den som är född år 1937 eller tidigare.</w:t>
            </w:r>
            <w:r w:rsidRPr="006C40C1">
              <w:t xml:space="preserve"> </w:t>
            </w:r>
          </w:p>
        </w:tc>
      </w:tr>
    </w:tbl>
    <w:p w:rsidR="00AA5D77" w:rsidRPr="006C40C1" w:rsidRDefault="00AA5D77">
      <w:pPr>
        <w:pStyle w:val="Normaltindrag"/>
      </w:pPr>
      <w:r w:rsidRPr="006C40C1">
        <w:t>____________</w:t>
      </w:r>
    </w:p>
    <w:p w:rsidR="00AA5D77" w:rsidRPr="006C40C1" w:rsidRDefault="00AA5D77">
      <w:pPr>
        <w:pStyle w:val="Normaltindrag"/>
      </w:pPr>
      <w:r w:rsidRPr="006C40C1">
        <w:t>1. Denna lag träder i kraft den 1 januari 2004.</w:t>
      </w:r>
    </w:p>
    <w:p w:rsidR="00AA5D77" w:rsidRPr="006C40C1" w:rsidRDefault="00AA5D77">
      <w:pPr>
        <w:pStyle w:val="Normaltindrag"/>
      </w:pPr>
      <w:r w:rsidRPr="006C40C1">
        <w:t>2. De nya bestämmelserna i 2 kap. 2 § tillämpas även för fastställande av pensionsgrundande inkomster för åren 1999–2003 för personer som är födda år 1938 eller senare.</w:t>
      </w:r>
    </w:p>
    <w:p w:rsidR="00AA5D77" w:rsidRPr="006C40C1" w:rsidRDefault="00AA5D77">
      <w:pPr>
        <w:pStyle w:val="Normaltindrag"/>
      </w:pPr>
      <w:r w:rsidRPr="006C40C1">
        <w:t>3. Äldre bestämmelser i 2 kap. 2 § gäller fortfarande för personer som är födda år 1937 eller tidigare beträffande pensionsgrundande inkomst som avser tid före ikraftträdandet.</w:t>
      </w:r>
    </w:p>
    <w:p w:rsidR="00AA5D77" w:rsidRPr="006C40C1" w:rsidRDefault="00AA5D77">
      <w:pPr>
        <w:pStyle w:val="Rubrik2"/>
      </w:pPr>
      <w:r w:rsidRPr="006C40C1">
        <w:br w:type="page"/>
      </w:r>
      <w:bookmarkStart w:id="1128" w:name="_Toc26191731"/>
      <w:r w:rsidRPr="006C40C1">
        <w:t>Förslag till lag om ändring i lagen (2002:206) om ändring i lagen (1998:674) om inkomstgrundad ålderspension</w:t>
      </w:r>
      <w:bookmarkEnd w:id="1128"/>
    </w:p>
    <w:p w:rsidR="00AA5D77" w:rsidRPr="006C40C1" w:rsidRDefault="00AA5D77">
      <w:pPr>
        <w:pStyle w:val="Normaltindrag"/>
      </w:pPr>
      <w:r w:rsidRPr="006C40C1">
        <w:t>Härigenom föreskrivs i fråga om lagen (1998:674) om inkomstgrundad å</w:t>
      </w:r>
      <w:r w:rsidRPr="006C40C1">
        <w:t>l</w:t>
      </w:r>
      <w:r w:rsidRPr="006C40C1">
        <w:t xml:space="preserve">derspension </w:t>
      </w:r>
    </w:p>
    <w:p w:rsidR="00AA5D77" w:rsidRPr="006C40C1" w:rsidRDefault="00AA5D77">
      <w:pPr>
        <w:pStyle w:val="Normaltindrag"/>
      </w:pPr>
      <w:r w:rsidRPr="006C40C1">
        <w:rPr>
          <w:i/>
        </w:rPr>
        <w:t>dels</w:t>
      </w:r>
      <w:r w:rsidRPr="006C40C1">
        <w:t xml:space="preserve"> att 2 kap. 2 § i dess lydelse enligt lagen (2002:206) om ändring i nämnda lag skall ha följande lyde</w:t>
      </w:r>
      <w:r w:rsidRPr="006C40C1">
        <w:t>l</w:t>
      </w:r>
      <w:r w:rsidRPr="006C40C1">
        <w:t>se,</w:t>
      </w:r>
    </w:p>
    <w:p w:rsidR="00AA5D77" w:rsidRPr="006C40C1" w:rsidRDefault="00AA5D77">
      <w:pPr>
        <w:pStyle w:val="Normaltindrag"/>
      </w:pPr>
      <w:r w:rsidRPr="006C40C1">
        <w:rPr>
          <w:i/>
        </w:rPr>
        <w:t>dels</w:t>
      </w:r>
      <w:r w:rsidRPr="006C40C1">
        <w:t xml:space="preserve"> att ikraftträdande- och övergångsbestämmelserna till lagen (2002:206) om ändring i nämnda lag skall ha följande lyde</w:t>
      </w:r>
      <w:r w:rsidRPr="006C40C1">
        <w:t>l</w:t>
      </w:r>
      <w:r w:rsidRPr="006C40C1">
        <w:t xml:space="preserve">se. </w:t>
      </w: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Nuvarande lydelse</w:t>
            </w:r>
          </w:p>
        </w:tc>
        <w:tc>
          <w:tcPr>
            <w:tcW w:w="3090" w:type="dxa"/>
          </w:tcPr>
          <w:p w:rsidR="00AA5D77" w:rsidRPr="006C40C1" w:rsidRDefault="00AA5D77">
            <w:pPr>
              <w:pStyle w:val="LagtextRubrik"/>
            </w:pPr>
            <w:r w:rsidRPr="006C40C1">
              <w:t>Föreslagen lydelse</w:t>
            </w:r>
          </w:p>
        </w:tc>
      </w:tr>
    </w:tbl>
    <w:p w:rsidR="00AA5D77" w:rsidRPr="006C40C1" w:rsidRDefault="00AA5D77">
      <w:pPr>
        <w:jc w:val="center"/>
        <w:rPr>
          <w:b/>
        </w:rPr>
      </w:pPr>
      <w:r w:rsidRPr="006C40C1">
        <w:rPr>
          <w:b/>
        </w:rPr>
        <w:t xml:space="preserve">2 kap. </w:t>
      </w:r>
    </w:p>
    <w:p w:rsidR="00AA5D77" w:rsidRPr="006C40C1" w:rsidRDefault="00AA5D77">
      <w:pPr>
        <w:jc w:val="center"/>
        <w:rPr>
          <w:b/>
        </w:rPr>
      </w:pPr>
      <w:r w:rsidRPr="006C40C1">
        <w:rPr>
          <w:b/>
        </w:rPr>
        <w:t>2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textIndrag"/>
            </w:pPr>
            <w:r w:rsidRPr="006C40C1">
              <w:t>För varje år som en person har v</w:t>
            </w:r>
            <w:r w:rsidRPr="006C40C1">
              <w:t>a</w:t>
            </w:r>
            <w:r w:rsidRPr="006C40C1">
              <w:t>rit försäkrad och har haft inkomster här i landet som är pen</w:t>
            </w:r>
            <w:r w:rsidRPr="006C40C1">
              <w:softHyphen/>
              <w:t>sions</w:t>
            </w:r>
            <w:r w:rsidRPr="006C40C1">
              <w:softHyphen/>
              <w:t>grundande, skall hans eller hennes pensionsgrundande inkomst fast</w:t>
            </w:r>
            <w:r w:rsidRPr="006C40C1">
              <w:softHyphen/>
              <w:t xml:space="preserve">ställas. Detta gäller dock endast om summan av de inkomster som är pensionsgrundande uppgått till minst </w:t>
            </w:r>
            <w:r w:rsidRPr="006C40C1">
              <w:rPr>
                <w:i/>
              </w:rPr>
              <w:t>40,3</w:t>
            </w:r>
            <w:r w:rsidRPr="006C40C1">
              <w:t xml:space="preserve"> procent av det för intjänandeåret gällande prisbasbeloppet enligt lagen (1962:381) om allmän försäkring.</w:t>
            </w:r>
          </w:p>
        </w:tc>
        <w:tc>
          <w:tcPr>
            <w:tcW w:w="3090" w:type="dxa"/>
          </w:tcPr>
          <w:p w:rsidR="00AA5D77" w:rsidRPr="006C40C1" w:rsidRDefault="00AA5D77">
            <w:pPr>
              <w:pStyle w:val="LagtextIndrag"/>
            </w:pPr>
            <w:r w:rsidRPr="006C40C1">
              <w:t>För varje år som en person har v</w:t>
            </w:r>
            <w:r w:rsidRPr="006C40C1">
              <w:t>a</w:t>
            </w:r>
            <w:r w:rsidRPr="006C40C1">
              <w:t>rit försäkrad och har haft inkomster här i landet som är pen</w:t>
            </w:r>
            <w:r w:rsidRPr="006C40C1">
              <w:softHyphen/>
              <w:t>sions</w:t>
            </w:r>
            <w:r w:rsidRPr="006C40C1">
              <w:softHyphen/>
              <w:t>grundande, skall hans eller hennes pensionsgrundande inkomst fast</w:t>
            </w:r>
            <w:r w:rsidRPr="006C40C1">
              <w:softHyphen/>
              <w:t xml:space="preserve">ställas. Detta gäller dock endast om summan av de inkomster som är pensionsgrundande uppgått till minst </w:t>
            </w:r>
            <w:r w:rsidRPr="006C40C1">
              <w:rPr>
                <w:i/>
              </w:rPr>
              <w:t>42,3</w:t>
            </w:r>
            <w:r w:rsidRPr="006C40C1">
              <w:t xml:space="preserve"> procent av det för intjänandeåret gällande prisbasbeloppet enligt lagen (1962:381) om allmän försäkring.</w:t>
            </w:r>
          </w:p>
        </w:tc>
      </w:tr>
      <w:tr w:rsidR="00000000" w:rsidRPr="006C40C1">
        <w:tblPrEx>
          <w:tblCellMar>
            <w:top w:w="0" w:type="dxa"/>
            <w:bottom w:w="0" w:type="dxa"/>
          </w:tblCellMar>
        </w:tblPrEx>
        <w:trPr>
          <w:cantSplit/>
        </w:trPr>
        <w:tc>
          <w:tcPr>
            <w:tcW w:w="3090" w:type="dxa"/>
          </w:tcPr>
          <w:p w:rsidR="00AA5D77" w:rsidRPr="006C40C1" w:rsidRDefault="00AA5D77">
            <w:pPr>
              <w:pStyle w:val="LagtextIndrag"/>
            </w:pPr>
            <w:r w:rsidRPr="006C40C1">
              <w:t xml:space="preserve">För det år då den försäkrade har avlidit skall pensionsgrundande inkomst inte fastställas i annat fall än om överföring av pensionsrätt för premiepension till den avlidnes make skall göras för det året. </w:t>
            </w:r>
            <w:r w:rsidRPr="006C40C1">
              <w:rPr>
                <w:i/>
              </w:rPr>
              <w:t>Pension</w:t>
            </w:r>
            <w:r w:rsidRPr="006C40C1">
              <w:rPr>
                <w:i/>
              </w:rPr>
              <w:t>s</w:t>
            </w:r>
            <w:r w:rsidRPr="006C40C1">
              <w:rPr>
                <w:i/>
              </w:rPr>
              <w:t>grundande inkomst skall inte heller fastställas för den som är född år 1937 eller tidigare.</w:t>
            </w:r>
          </w:p>
        </w:tc>
        <w:tc>
          <w:tcPr>
            <w:tcW w:w="3090" w:type="dxa"/>
          </w:tcPr>
          <w:p w:rsidR="00AA5D77" w:rsidRPr="006C40C1" w:rsidRDefault="00AA5D77">
            <w:pPr>
              <w:pStyle w:val="LagtextIndrag"/>
            </w:pPr>
            <w:r w:rsidRPr="006C40C1">
              <w:rPr>
                <w:i/>
              </w:rPr>
              <w:t>Fastställande enligt första stycket skall inte göras för år före det år då den försäkrade fyllt 16 år.</w:t>
            </w:r>
            <w:r w:rsidRPr="006C40C1">
              <w:t xml:space="preserve"> För det år då den försäkrade har avlidit skall pensionsgrundande inkomst inte fastställas i annat fall än om överf</w:t>
            </w:r>
            <w:r w:rsidRPr="006C40C1">
              <w:t>ö</w:t>
            </w:r>
            <w:r w:rsidRPr="006C40C1">
              <w:t>ring av pensionsrätt för premie</w:t>
            </w:r>
            <w:r w:rsidRPr="006C40C1">
              <w:softHyphen/>
              <w:t xml:space="preserve">pension till den avlidnes make skall göras för det året. </w:t>
            </w:r>
            <w:r w:rsidRPr="006C40C1">
              <w:rPr>
                <w:i/>
              </w:rPr>
              <w:t>För den som är född år 1937 eller tidigare skall pensionsgrundande inkomst inte heller fastställas för år efter det då den försäkrade har fyllt 64 år eller för tidigare år under vilket han eller hon hela året har uppburit hel å</w:t>
            </w:r>
            <w:r w:rsidRPr="006C40C1">
              <w:rPr>
                <w:i/>
              </w:rPr>
              <w:t>l</w:t>
            </w:r>
            <w:r w:rsidRPr="006C40C1">
              <w:rPr>
                <w:i/>
              </w:rPr>
              <w:t>derspension enligt denna lag eller enligt lagen om allmän försäkring.</w:t>
            </w:r>
            <w:r w:rsidRPr="006C40C1">
              <w:t xml:space="preserve"> </w:t>
            </w:r>
          </w:p>
        </w:tc>
      </w:tr>
    </w:tbl>
    <w:p w:rsidR="00AA5D77" w:rsidRPr="006C40C1" w:rsidRDefault="00AA5D77">
      <w:pPr>
        <w:pStyle w:val="Normaltindrag"/>
      </w:pPr>
    </w:p>
    <w:p w:rsidR="00AA5D77" w:rsidRPr="006C40C1" w:rsidRDefault="00AA5D77">
      <w:pPr>
        <w:jc w:val="center"/>
        <w:rPr>
          <w:b/>
        </w:rPr>
      </w:pPr>
      <w:r w:rsidRPr="006C40C1">
        <w:rPr>
          <w:b/>
        </w:rPr>
        <w:t>Ikraftträdande- och övergångsbestämmelserna</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textIndrag"/>
            </w:pPr>
            <w:r w:rsidRPr="006C40C1">
              <w:t xml:space="preserve">1. Denna lag träder i kraft den 1 juni 2002 i fråga om 12 kap. 9 §, 13 kap. 2 och 5 §§ och 14 kap. 7 §, den 1 januari </w:t>
            </w:r>
            <w:r w:rsidRPr="006C40C1">
              <w:rPr>
                <w:i/>
              </w:rPr>
              <w:t>2004</w:t>
            </w:r>
            <w:r w:rsidRPr="006C40C1">
              <w:t xml:space="preserve"> i fråga om 2 kap. 2 § och i övrigt den 1 januari 2005. </w:t>
            </w:r>
          </w:p>
        </w:tc>
        <w:tc>
          <w:tcPr>
            <w:tcW w:w="3090" w:type="dxa"/>
          </w:tcPr>
          <w:p w:rsidR="00AA5D77" w:rsidRPr="006C40C1" w:rsidRDefault="00AA5D77">
            <w:pPr>
              <w:pStyle w:val="LagtextIndrag"/>
            </w:pPr>
            <w:r w:rsidRPr="006C40C1">
              <w:t xml:space="preserve">1. Denna lag träder i kraft den 1 juni 2002 i fråga om 12 kap. 9 §, 13 kap. 2 och 5 §§ och 14 kap. 7 §, den 1 januari </w:t>
            </w:r>
            <w:r w:rsidRPr="006C40C1">
              <w:rPr>
                <w:i/>
              </w:rPr>
              <w:t>2003</w:t>
            </w:r>
            <w:r w:rsidRPr="006C40C1">
              <w:t xml:space="preserve"> i fråga om 2 kap. 2 § och i övrigt den 1 januari 2005.</w:t>
            </w:r>
          </w:p>
        </w:tc>
      </w:tr>
      <w:tr w:rsidR="00000000" w:rsidRPr="006C40C1">
        <w:tblPrEx>
          <w:tblCellMar>
            <w:top w:w="0" w:type="dxa"/>
            <w:bottom w:w="0" w:type="dxa"/>
          </w:tblCellMar>
        </w:tblPrEx>
        <w:tc>
          <w:tcPr>
            <w:tcW w:w="3090" w:type="dxa"/>
          </w:tcPr>
          <w:p w:rsidR="00AA5D77" w:rsidRPr="006C40C1" w:rsidRDefault="00AA5D77">
            <w:pPr>
              <w:pStyle w:val="LagtextIndrag"/>
            </w:pPr>
          </w:p>
        </w:tc>
        <w:tc>
          <w:tcPr>
            <w:tcW w:w="3090" w:type="dxa"/>
          </w:tcPr>
          <w:p w:rsidR="00AA5D77" w:rsidRPr="006C40C1" w:rsidRDefault="00AA5D77">
            <w:pPr>
              <w:pStyle w:val="LagtextIndrag"/>
            </w:pPr>
            <w:r w:rsidRPr="006C40C1">
              <w:rPr>
                <w:i/>
              </w:rPr>
              <w:t>2. De nya bestämmelserna i 2 kap. 2 § första stycket tillämpas första gången vid fastställande av pe</w:t>
            </w:r>
            <w:r w:rsidRPr="006C40C1">
              <w:rPr>
                <w:i/>
              </w:rPr>
              <w:t>n</w:t>
            </w:r>
            <w:r w:rsidRPr="006C40C1">
              <w:rPr>
                <w:i/>
              </w:rPr>
              <w:t>sionsgrundande in</w:t>
            </w:r>
            <w:r w:rsidRPr="006C40C1">
              <w:rPr>
                <w:i/>
              </w:rPr>
              <w:softHyphen/>
              <w:t>komster för år 2003.</w:t>
            </w:r>
          </w:p>
        </w:tc>
      </w:tr>
      <w:tr w:rsidR="00000000" w:rsidRPr="006C40C1">
        <w:tblPrEx>
          <w:tblCellMar>
            <w:top w:w="0" w:type="dxa"/>
            <w:bottom w:w="0" w:type="dxa"/>
          </w:tblCellMar>
        </w:tblPrEx>
        <w:tc>
          <w:tcPr>
            <w:tcW w:w="3090" w:type="dxa"/>
          </w:tcPr>
          <w:p w:rsidR="00AA5D77" w:rsidRPr="006C40C1" w:rsidRDefault="00AA5D77">
            <w:pPr>
              <w:pStyle w:val="LagtextIndrag"/>
              <w:rPr>
                <w:i/>
              </w:rPr>
            </w:pPr>
            <w:r w:rsidRPr="006C40C1">
              <w:rPr>
                <w:i/>
              </w:rPr>
              <w:t>2. De nya bestämmelserna i 2 kap. 2 § tillämpas även för fastställande av pensionsgrundande inkomster för åren 1999–2003 för personer som är födda år 1938 eller senare.</w:t>
            </w:r>
          </w:p>
        </w:tc>
        <w:tc>
          <w:tcPr>
            <w:tcW w:w="3090" w:type="dxa"/>
          </w:tcPr>
          <w:p w:rsidR="00AA5D77" w:rsidRPr="006C40C1" w:rsidRDefault="00AA5D77">
            <w:pPr>
              <w:pStyle w:val="LagtextIndrag"/>
            </w:pPr>
          </w:p>
        </w:tc>
      </w:tr>
      <w:tr w:rsidR="00000000" w:rsidRPr="006C40C1">
        <w:tblPrEx>
          <w:tblCellMar>
            <w:top w:w="0" w:type="dxa"/>
            <w:bottom w:w="0" w:type="dxa"/>
          </w:tblCellMar>
        </w:tblPrEx>
        <w:tc>
          <w:tcPr>
            <w:tcW w:w="3090" w:type="dxa"/>
          </w:tcPr>
          <w:p w:rsidR="00AA5D77" w:rsidRPr="006C40C1" w:rsidRDefault="00AA5D77">
            <w:pPr>
              <w:pStyle w:val="LagtextIndrag"/>
              <w:rPr>
                <w:i/>
              </w:rPr>
            </w:pPr>
            <w:r w:rsidRPr="006C40C1">
              <w:rPr>
                <w:i/>
              </w:rPr>
              <w:t>3. Äldre bestämmelser i 2 kap. 2 § gäller fortfarande för personer som är födda år 1937 eller tidigare b</w:t>
            </w:r>
            <w:r w:rsidRPr="006C40C1">
              <w:rPr>
                <w:i/>
              </w:rPr>
              <w:t>e</w:t>
            </w:r>
            <w:r w:rsidRPr="006C40C1">
              <w:rPr>
                <w:i/>
              </w:rPr>
              <w:t>träffande pensionsgrundande i</w:t>
            </w:r>
            <w:r w:rsidRPr="006C40C1">
              <w:rPr>
                <w:i/>
              </w:rPr>
              <w:t>n</w:t>
            </w:r>
            <w:r w:rsidRPr="006C40C1">
              <w:rPr>
                <w:i/>
              </w:rPr>
              <w:t>komst som avser tid före ikrafttr</w:t>
            </w:r>
            <w:r w:rsidRPr="006C40C1">
              <w:rPr>
                <w:i/>
              </w:rPr>
              <w:t>ä</w:t>
            </w:r>
            <w:r w:rsidRPr="006C40C1">
              <w:rPr>
                <w:i/>
              </w:rPr>
              <w:t>dandet.</w:t>
            </w:r>
          </w:p>
        </w:tc>
        <w:tc>
          <w:tcPr>
            <w:tcW w:w="3090" w:type="dxa"/>
          </w:tcPr>
          <w:p w:rsidR="00AA5D77" w:rsidRPr="006C40C1" w:rsidRDefault="00AA5D77">
            <w:pPr>
              <w:pStyle w:val="LagtextIndrag"/>
            </w:pPr>
          </w:p>
        </w:tc>
      </w:tr>
      <w:tr w:rsidR="00000000" w:rsidRPr="006C40C1">
        <w:tblPrEx>
          <w:tblCellMar>
            <w:top w:w="0" w:type="dxa"/>
            <w:bottom w:w="0" w:type="dxa"/>
          </w:tblCellMar>
        </w:tblPrEx>
        <w:trPr>
          <w:cantSplit/>
        </w:trPr>
        <w:tc>
          <w:tcPr>
            <w:tcW w:w="3090" w:type="dxa"/>
          </w:tcPr>
          <w:p w:rsidR="00AA5D77" w:rsidRPr="006C40C1" w:rsidRDefault="00AA5D77">
            <w:pPr>
              <w:pStyle w:val="LagtextIndrag"/>
            </w:pPr>
            <w:r w:rsidRPr="006C40C1">
              <w:rPr>
                <w:i/>
              </w:rPr>
              <w:t>4</w:t>
            </w:r>
            <w:r w:rsidRPr="006C40C1">
              <w:t>. De nya bestämmelserna i 3 kap. 11 och 22 §§ tillämpas även för till-godoräknande av pensionsgrundande belopp för åren 1999–2004. An-mälan om att få tillgodoräknas pe</w:t>
            </w:r>
            <w:r w:rsidRPr="006C40C1">
              <w:t>n</w:t>
            </w:r>
            <w:r w:rsidRPr="006C40C1">
              <w:t>sionsgrundande belopp för åren 1999–2004 skall ha kommit in till den allmänna försäkringskassan senast den 31 januari 2006. Sådan anmälan som enligt 15 kap. 6 § skall göras senast den 31 januari faststä</w:t>
            </w:r>
            <w:r w:rsidRPr="006C40C1">
              <w:t>l</w:t>
            </w:r>
            <w:r w:rsidRPr="006C40C1">
              <w:t>lelseåret, skall i dessa fall i stället göras senast den 31 januari 2006.</w:t>
            </w:r>
          </w:p>
        </w:tc>
        <w:tc>
          <w:tcPr>
            <w:tcW w:w="3090" w:type="dxa"/>
          </w:tcPr>
          <w:p w:rsidR="00AA5D77" w:rsidRPr="006C40C1" w:rsidRDefault="00AA5D77">
            <w:pPr>
              <w:pStyle w:val="LagtextIndrag"/>
              <w:rPr>
                <w:i/>
              </w:rPr>
            </w:pPr>
            <w:r w:rsidRPr="006C40C1">
              <w:rPr>
                <w:i/>
              </w:rPr>
              <w:t>3</w:t>
            </w:r>
            <w:r w:rsidRPr="006C40C1">
              <w:t>. De nya bestämmelserna i 3 kap. 11 och 22 §§ tillämpas även för till-godoräknande av pensionsgrundande belopp för åren 1999–2004. An-mälan om att få tillgodoräknas pe</w:t>
            </w:r>
            <w:r w:rsidRPr="006C40C1">
              <w:t>n</w:t>
            </w:r>
            <w:r w:rsidRPr="006C40C1">
              <w:t>sionsgrundande belopp för åren 1999–2004 skall ha kommit in till den allmänna försäkringskassan senast den 31 januari 2006. Sådan anmälan som enligt 15 kap. 6 § skall göras senast den 31 januari faststä</w:t>
            </w:r>
            <w:r w:rsidRPr="006C40C1">
              <w:t>l</w:t>
            </w:r>
            <w:r w:rsidRPr="006C40C1">
              <w:t>lelseåret, skall i dessa fall i stället göras senast den 31 januari 2006.</w:t>
            </w:r>
          </w:p>
        </w:tc>
      </w:tr>
    </w:tbl>
    <w:p w:rsidR="00AA5D77" w:rsidRPr="006C40C1" w:rsidRDefault="00AA5D77">
      <w:pPr>
        <w:pStyle w:val="Rubrik2"/>
      </w:pPr>
      <w:r w:rsidRPr="006C40C1">
        <w:t xml:space="preserve"> </w:t>
      </w:r>
      <w:r w:rsidRPr="006C40C1">
        <w:br w:type="page"/>
      </w:r>
      <w:bookmarkStart w:id="1129" w:name="_Toc25551139"/>
      <w:bookmarkStart w:id="1130" w:name="_Toc26191732"/>
      <w:r w:rsidRPr="006C40C1">
        <w:t>Förslag till lag om ändring i lagen (2002:328) om ändring i lagen (2001:1227) om självdeklarationer och kontrolluppgifter</w:t>
      </w:r>
      <w:bookmarkEnd w:id="1129"/>
      <w:bookmarkEnd w:id="1130"/>
    </w:p>
    <w:p w:rsidR="00AA5D77" w:rsidRPr="006C40C1" w:rsidRDefault="00AA5D77">
      <w:pPr>
        <w:pStyle w:val="Normaltindrag"/>
      </w:pPr>
      <w:r w:rsidRPr="006C40C1">
        <w:t>Härigenom föreskrivs att 2 kap. 2 § lagen (2001:1227) om själv</w:t>
      </w:r>
      <w:r w:rsidRPr="006C40C1">
        <w:softHyphen/>
        <w:t>deklarationer och kontrolluppgifter i stället för dess lydelse enligt lagen (2002:328) om ändring i nämnda lag skall ha följande lydelse.</w:t>
      </w:r>
    </w:p>
    <w:p w:rsidR="00AA5D77" w:rsidRPr="006C40C1" w:rsidRDefault="00AA5D7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rPr>
          <w:tblHeader/>
        </w:trPr>
        <w:tc>
          <w:tcPr>
            <w:tcW w:w="3090" w:type="dxa"/>
          </w:tcPr>
          <w:p w:rsidR="00AA5D77" w:rsidRPr="006C40C1" w:rsidRDefault="00AA5D77">
            <w:pPr>
              <w:pStyle w:val="LagtextRubrik"/>
            </w:pPr>
            <w:r w:rsidRPr="006C40C1">
              <w:t>Nuvarande lydelse</w:t>
            </w:r>
          </w:p>
        </w:tc>
        <w:tc>
          <w:tcPr>
            <w:tcW w:w="3090" w:type="dxa"/>
          </w:tcPr>
          <w:p w:rsidR="00AA5D77" w:rsidRPr="006C40C1" w:rsidRDefault="00AA5D77">
            <w:pPr>
              <w:pStyle w:val="LagtextRubrik"/>
            </w:pPr>
            <w:r w:rsidRPr="006C40C1">
              <w:t>Föreslagen lydelse</w:t>
            </w:r>
          </w:p>
        </w:tc>
      </w:tr>
    </w:tbl>
    <w:p w:rsidR="00AA5D77" w:rsidRPr="006C40C1" w:rsidRDefault="00AA5D77">
      <w:pPr>
        <w:jc w:val="center"/>
        <w:rPr>
          <w:b/>
        </w:rPr>
      </w:pPr>
      <w:r w:rsidRPr="006C40C1">
        <w:rPr>
          <w:b/>
        </w:rPr>
        <w:t>2 kap</w:t>
      </w:r>
    </w:p>
    <w:p w:rsidR="00AA5D77" w:rsidRPr="006C40C1" w:rsidRDefault="00AA5D77">
      <w:pPr>
        <w:jc w:val="center"/>
        <w:rPr>
          <w:b/>
        </w:rPr>
      </w:pPr>
      <w:r w:rsidRPr="006C40C1">
        <w:rPr>
          <w:b/>
        </w:rPr>
        <w:t>2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C40C1">
        <w:tblPrEx>
          <w:tblCellMar>
            <w:top w:w="0" w:type="dxa"/>
            <w:bottom w:w="0" w:type="dxa"/>
          </w:tblCellMar>
        </w:tblPrEx>
        <w:tc>
          <w:tcPr>
            <w:tcW w:w="3090" w:type="dxa"/>
          </w:tcPr>
          <w:p w:rsidR="00AA5D77" w:rsidRPr="006C40C1" w:rsidRDefault="00AA5D77">
            <w:pPr>
              <w:pStyle w:val="LagtextIndrag"/>
            </w:pPr>
          </w:p>
        </w:tc>
        <w:tc>
          <w:tcPr>
            <w:tcW w:w="3090" w:type="dxa"/>
          </w:tcPr>
          <w:p w:rsidR="00AA5D77" w:rsidRPr="006C40C1" w:rsidRDefault="00AA5D77">
            <w:pPr>
              <w:pStyle w:val="LagtextIndrag"/>
            </w:pPr>
          </w:p>
        </w:tc>
      </w:tr>
      <w:tr w:rsidR="00000000" w:rsidRPr="006C40C1">
        <w:tblPrEx>
          <w:tblCellMar>
            <w:top w:w="0" w:type="dxa"/>
            <w:bottom w:w="0" w:type="dxa"/>
          </w:tblCellMar>
        </w:tblPrEx>
        <w:trPr>
          <w:cantSplit/>
        </w:trPr>
        <w:tc>
          <w:tcPr>
            <w:tcW w:w="6180" w:type="dxa"/>
            <w:gridSpan w:val="2"/>
          </w:tcPr>
          <w:p w:rsidR="00AA5D77" w:rsidRPr="006C40C1" w:rsidRDefault="00AA5D77">
            <w:pPr>
              <w:pStyle w:val="LagtextIndrag"/>
            </w:pPr>
            <w:r w:rsidRPr="006C40C1">
              <w:t>Fysiska personer skall lämna allmän självdekl</w:t>
            </w:r>
            <w:r w:rsidRPr="006C40C1">
              <w:t>a</w:t>
            </w:r>
            <w:r w:rsidRPr="006C40C1">
              <w:t>ration under förutsättning att</w:t>
            </w:r>
          </w:p>
        </w:tc>
      </w:tr>
      <w:tr w:rsidR="00000000" w:rsidRPr="006C40C1">
        <w:tblPrEx>
          <w:tblCellMar>
            <w:top w:w="0" w:type="dxa"/>
            <w:bottom w:w="0" w:type="dxa"/>
          </w:tblCellMar>
        </w:tblPrEx>
        <w:trPr>
          <w:cantSplit/>
        </w:trPr>
        <w:tc>
          <w:tcPr>
            <w:tcW w:w="3090" w:type="dxa"/>
          </w:tcPr>
          <w:p w:rsidR="00AA5D77" w:rsidRPr="006C40C1" w:rsidRDefault="00AA5D77">
            <w:pPr>
              <w:pStyle w:val="LagtextIndrag"/>
            </w:pPr>
            <w:r w:rsidRPr="006C40C1">
              <w:t>1. intäkterna i inkomstslaget tjänst och i inkomstslaget näringsverksa</w:t>
            </w:r>
            <w:r w:rsidRPr="006C40C1">
              <w:t>m</w:t>
            </w:r>
            <w:r w:rsidRPr="006C40C1">
              <w:t>het i annat fall än som avses i 2 u</w:t>
            </w:r>
            <w:r w:rsidRPr="006C40C1">
              <w:t>n</w:t>
            </w:r>
            <w:r w:rsidRPr="006C40C1">
              <w:t xml:space="preserve">der beskattningsåret har uppgått till sammanlagt minst </w:t>
            </w:r>
            <w:r w:rsidRPr="006C40C1">
              <w:rPr>
                <w:i/>
              </w:rPr>
              <w:t>40,3</w:t>
            </w:r>
            <w:r w:rsidRPr="006C40C1">
              <w:t xml:space="preserve"> procent av prisbasbeloppet,</w:t>
            </w:r>
          </w:p>
        </w:tc>
        <w:tc>
          <w:tcPr>
            <w:tcW w:w="3090" w:type="dxa"/>
          </w:tcPr>
          <w:p w:rsidR="00AA5D77" w:rsidRPr="006C40C1" w:rsidRDefault="00AA5D77">
            <w:pPr>
              <w:pStyle w:val="LagtextIndrag"/>
            </w:pPr>
            <w:r w:rsidRPr="006C40C1">
              <w:t xml:space="preserve">1. intäkterna i inkomstslaget tjänst och i inkomstslaget näringsverk-samhet i annat fall än som avses i 2 under beskattningsåret har uppgått till sammanlagt minst </w:t>
            </w:r>
            <w:r w:rsidRPr="006C40C1">
              <w:rPr>
                <w:i/>
              </w:rPr>
              <w:t>42,3</w:t>
            </w:r>
            <w:r w:rsidRPr="006C40C1">
              <w:t xml:space="preserve"> procent av prisbasbeloppet,</w:t>
            </w:r>
          </w:p>
        </w:tc>
      </w:tr>
      <w:tr w:rsidR="00000000" w:rsidRPr="006C40C1">
        <w:tblPrEx>
          <w:tblCellMar>
            <w:top w:w="0" w:type="dxa"/>
            <w:bottom w:w="0" w:type="dxa"/>
          </w:tblCellMar>
        </w:tblPrEx>
        <w:trPr>
          <w:cantSplit/>
        </w:trPr>
        <w:tc>
          <w:tcPr>
            <w:tcW w:w="6180" w:type="dxa"/>
            <w:gridSpan w:val="2"/>
          </w:tcPr>
          <w:p w:rsidR="00AA5D77" w:rsidRPr="006C40C1" w:rsidRDefault="00AA5D77">
            <w:pPr>
              <w:pStyle w:val="LagtextIndrag"/>
            </w:pPr>
            <w:r w:rsidRPr="006C40C1">
              <w:t>2. sådan intäkt i inkomstslaget tjänst som avses i 11 kap. 45 §, 50 kap. 7 § samt 57 kap. 7 och 12 §§ inkomstskattelagen (1999:1229) eller intäkt av passiv näringsverksamhet under beskattningsåret har uppgått till sammanlagt minst 100 kronor,</w:t>
            </w:r>
          </w:p>
          <w:p w:rsidR="00AA5D77" w:rsidRPr="006C40C1" w:rsidRDefault="00AA5D77">
            <w:pPr>
              <w:pStyle w:val="LagtextIndrag"/>
            </w:pPr>
            <w:r w:rsidRPr="006C40C1">
              <w:t>3. intäkterna i inkomstslaget kapital, med undantag för sådan ränta eller u</w:t>
            </w:r>
            <w:r w:rsidRPr="006C40C1">
              <w:t>t</w:t>
            </w:r>
            <w:r w:rsidRPr="006C40C1">
              <w:t>delning för vilken kontrolluppgift skall lämnas enligt 8 eller 9 kap., har up</w:t>
            </w:r>
            <w:r w:rsidRPr="006C40C1">
              <w:t>p</w:t>
            </w:r>
            <w:r w:rsidRPr="006C40C1">
              <w:t>gått till sammanlagt minst 100 kronor under beskattningsåret,</w:t>
            </w:r>
          </w:p>
          <w:p w:rsidR="00AA5D77" w:rsidRPr="006C40C1" w:rsidRDefault="00AA5D77">
            <w:pPr>
              <w:pStyle w:val="LagtextIndrag"/>
            </w:pPr>
            <w:r w:rsidRPr="006C40C1">
              <w:t>4. den skattepliktiga förmögenheten enligt lagen (1997:323) om statlig fö</w:t>
            </w:r>
            <w:r w:rsidRPr="006C40C1">
              <w:t>r</w:t>
            </w:r>
            <w:r w:rsidRPr="006C40C1">
              <w:t>mögenhetsskatt vid beskattningsårets utgång överstiger fribeloppet enligt 19 § den lagen,</w:t>
            </w:r>
          </w:p>
          <w:p w:rsidR="00AA5D77" w:rsidRPr="006C40C1" w:rsidRDefault="00AA5D77">
            <w:pPr>
              <w:pStyle w:val="LagtextIndrag"/>
            </w:pPr>
            <w:r w:rsidRPr="006C40C1">
              <w:t>5. de är begränsat skattskyldiga och den skattepliktiga intäkten har uppgått till sammanlagt minst 100 kronor, eller</w:t>
            </w:r>
          </w:p>
          <w:p w:rsidR="00AA5D77" w:rsidRPr="006C40C1" w:rsidRDefault="00AA5D77">
            <w:pPr>
              <w:pStyle w:val="LagtextIndrag"/>
            </w:pPr>
            <w:r w:rsidRPr="006C40C1">
              <w:t>6. underlag för statlig fastighetsskatt, avkastningsskatt på pensionsmedel eller särskild löneskatt på pensionskostnader skall fastställas.</w:t>
            </w:r>
          </w:p>
        </w:tc>
      </w:tr>
    </w:tbl>
    <w:p w:rsidR="00AA5D77" w:rsidRPr="006C40C1" w:rsidRDefault="00AA5D77">
      <w:pPr>
        <w:pStyle w:val="Preformatted"/>
        <w:tabs>
          <w:tab w:val="clear" w:pos="9590"/>
        </w:tabs>
      </w:pPr>
    </w:p>
    <w:p w:rsidR="00AA5D77" w:rsidRPr="006C40C1" w:rsidRDefault="00AA5D77"/>
    <w:p w:rsidR="00AA5D77" w:rsidRPr="006C40C1" w:rsidRDefault="00AA5D77"/>
    <w:p w:rsidR="00AA5D77" w:rsidRPr="006C40C1" w:rsidRDefault="00AA5D77">
      <w:pPr>
        <w:pStyle w:val="Normaltindrag"/>
      </w:pPr>
    </w:p>
    <w:p w:rsidR="00AA5D77" w:rsidRPr="006C40C1" w:rsidRDefault="00AA5D77">
      <w:pPr>
        <w:pStyle w:val="Tryckort"/>
        <w:framePr w:wrap="around"/>
        <w:jc w:val="right"/>
      </w:pPr>
      <w:r w:rsidRPr="006C40C1">
        <w:t>Elanders Gotab, Stockholm  2002</w:t>
      </w:r>
    </w:p>
    <w:p w:rsidR="00AA5D77" w:rsidRPr="006C40C1" w:rsidRDefault="00AA5D77">
      <w:pPr>
        <w:pStyle w:val="Normaltindrag"/>
      </w:pPr>
    </w:p>
    <w:sectPr w:rsidR="00AA5D77" w:rsidRPr="006C40C1">
      <w:headerReference w:type="even" r:id="rId189"/>
      <w:headerReference w:type="default" r:id="rId190"/>
      <w:footerReference w:type="even" r:id="rId191"/>
      <w:footerReference w:type="default" r:id="rId192"/>
      <w:headerReference w:type="first" r:id="rId193"/>
      <w:footerReference w:type="first" r:id="rId19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D77" w:rsidRPr="006C40C1" w:rsidRDefault="00AA5D77">
      <w:pPr>
        <w:spacing w:before="0" w:line="240" w:lineRule="auto"/>
      </w:pPr>
      <w:r w:rsidRPr="006C40C1">
        <w:separator/>
      </w:r>
    </w:p>
  </w:endnote>
  <w:endnote w:type="continuationSeparator" w:id="0">
    <w:p w:rsidR="00AA5D77" w:rsidRPr="006C40C1" w:rsidRDefault="00AA5D77">
      <w:pPr>
        <w:spacing w:before="0" w:line="240" w:lineRule="auto"/>
      </w:pPr>
      <w:r w:rsidRPr="006C4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Symbol"/>
    <w:charset w:val="02"/>
    <w:family w:val="swiss"/>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CondEighteen">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w:t>
    </w:r>
    <w:r w:rsidRPr="006C40C1">
      <w:fldChar w:fldCharType="end"/>
    </w:r>
  </w:p>
  <w:p w:rsidR="00AA5D77" w:rsidRPr="006C40C1" w:rsidRDefault="00AA5D7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283" w:h="5896" w:hRule="exact" w:hSpace="0" w:vSpace="0" w:wrap="around" w:x="3629" w:y="2949" w:anchorLock="0"/>
      <w:textDirection w:val="tbRl"/>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26</w:t>
    </w:r>
    <w:r w:rsidRPr="006C40C1">
      <w:fldChar w:fldCharType="end"/>
    </w:r>
  </w:p>
  <w:p w:rsidR="00AA5D77" w:rsidRPr="006C40C1" w:rsidRDefault="00AA5D7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283" w:h="5896" w:hRule="exact" w:hSpace="0" w:vSpace="0" w:wrap="around" w:x="3629" w:y="2949" w:anchorLock="0"/>
      <w:textDirection w:val="tbRl"/>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27</w:t>
    </w:r>
    <w:r w:rsidRPr="006C40C1">
      <w:fldChar w:fldCharType="end"/>
    </w:r>
  </w:p>
  <w:p w:rsidR="00AA5D77" w:rsidRPr="006C40C1" w:rsidRDefault="00AA5D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283" w:h="5896" w:hRule="exact" w:hSpace="0" w:vSpace="0" w:wrap="around" w:x="3629" w:y="2949" w:anchorLock="0"/>
      <w:textDirection w:val="tbRl"/>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22</w:instrText>
    </w:r>
    <w:r w:rsidRPr="006C40C1">
      <w:fldChar w:fldCharType="end"/>
    </w:r>
    <w:r w:rsidRPr="006C40C1">
      <w:instrText xml:space="preserve">/2 </w:instrText>
    </w:r>
    <w:r w:rsidRPr="006C40C1">
      <w:fldChar w:fldCharType="separate"/>
    </w:r>
    <w:r w:rsidRPr="006C40C1">
      <w:instrText>11</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22</w:instrText>
    </w:r>
    <w:r w:rsidRPr="006C40C1">
      <w:fldChar w:fldCharType="end"/>
    </w:r>
    <w:r w:rsidRPr="006C40C1">
      <w:instrText xml:space="preserve">/2) </w:instrText>
    </w:r>
    <w:r w:rsidRPr="006C40C1">
      <w:fldChar w:fldCharType="separate"/>
    </w:r>
    <w:r w:rsidRPr="006C40C1">
      <w:instrText>11</w:instrText>
    </w:r>
    <w:r w:rsidRPr="006C40C1">
      <w:fldChar w:fldCharType="end"/>
    </w:r>
    <w:r w:rsidRPr="006C40C1">
      <w:fldChar w:fldCharType="separate"/>
    </w:r>
    <w:r w:rsidRPr="006C40C1">
      <w:instrText>0</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22</w:instrText>
    </w:r>
    <w:r w:rsidRPr="006C40C1">
      <w:fldChar w:fldCharType="end"/>
    </w:r>
  </w:p>
  <w:p w:rsidR="00AA5D77" w:rsidRPr="006C40C1" w:rsidRDefault="00AA5D77">
    <w:pPr>
      <w:pStyle w:val="SidfotV"/>
      <w:framePr w:w="283" w:h="5896" w:hRule="exact" w:hSpace="0" w:vSpace="0" w:wrap="around" w:x="3629" w:y="2949" w:anchorLock="0"/>
      <w:textDirection w:val="tbRl"/>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23</w:instrText>
    </w:r>
    <w:r w:rsidRPr="006C40C1">
      <w:fldChar w:fldCharType="end"/>
    </w:r>
    <w:r w:rsidRPr="006C40C1">
      <w:instrText>"</w:instrText>
    </w:r>
    <w:r w:rsidRPr="006C40C1">
      <w:fldChar w:fldCharType="separate"/>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22</w:t>
    </w:r>
    <w:r w:rsidRPr="006C40C1">
      <w:fldChar w:fldCharType="end"/>
    </w:r>
  </w:p>
  <w:p w:rsidR="00AA5D77" w:rsidRPr="006C40C1" w:rsidRDefault="00AA5D77">
    <w:pPr>
      <w:pStyle w:val="SidfotH"/>
      <w:framePr w:w="283" w:h="5896" w:hRule="exact" w:hSpace="0" w:vSpace="0" w:wrap="around" w:x="3629" w:y="2949" w:anchorLock="0"/>
      <w:textDirection w:val="tbRl"/>
    </w:pPr>
    <w:r w:rsidRPr="006C40C1">
      <w:fldChar w:fldCharType="end"/>
    </w:r>
  </w:p>
  <w:p w:rsidR="00AA5D77" w:rsidRPr="006C40C1" w:rsidRDefault="00AA5D7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32</w:t>
    </w:r>
    <w:r w:rsidRPr="006C40C1">
      <w:fldChar w:fldCharType="end"/>
    </w:r>
  </w:p>
  <w:p w:rsidR="00AA5D77" w:rsidRPr="006C40C1" w:rsidRDefault="00AA5D7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33</w:t>
    </w:r>
    <w:r w:rsidRPr="006C40C1">
      <w:fldChar w:fldCharType="end"/>
    </w:r>
  </w:p>
  <w:p w:rsidR="00AA5D77" w:rsidRPr="006C40C1" w:rsidRDefault="00AA5D7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28</w:instrText>
    </w:r>
    <w:r w:rsidRPr="006C40C1">
      <w:fldChar w:fldCharType="end"/>
    </w:r>
    <w:r w:rsidRPr="006C40C1">
      <w:instrText xml:space="preserve">/2 </w:instrText>
    </w:r>
    <w:r w:rsidRPr="006C40C1">
      <w:fldChar w:fldCharType="separate"/>
    </w:r>
    <w:r w:rsidRPr="006C40C1">
      <w:instrText>14</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28</w:instrText>
    </w:r>
    <w:r w:rsidRPr="006C40C1">
      <w:fldChar w:fldCharType="end"/>
    </w:r>
    <w:r w:rsidRPr="006C40C1">
      <w:instrText xml:space="preserve">/2) </w:instrText>
    </w:r>
    <w:r w:rsidRPr="006C40C1">
      <w:fldChar w:fldCharType="separate"/>
    </w:r>
    <w:r w:rsidRPr="006C40C1">
      <w:instrText>14</w:instrText>
    </w:r>
    <w:r w:rsidRPr="006C40C1">
      <w:fldChar w:fldCharType="end"/>
    </w:r>
    <w:r w:rsidRPr="006C40C1">
      <w:fldChar w:fldCharType="separate"/>
    </w:r>
    <w:r w:rsidRPr="006C40C1">
      <w:instrText>0</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28</w:instrText>
    </w:r>
    <w:r w:rsidRPr="006C40C1">
      <w:fldChar w:fldCharType="end"/>
    </w:r>
  </w:p>
  <w:p w:rsidR="00AA5D77" w:rsidRPr="006C40C1" w:rsidRDefault="00AA5D77">
    <w:pPr>
      <w:pStyle w:val="SidfotV"/>
      <w:framePr w:w="8732" w:h="284" w:hRule="exact" w:hSpace="0" w:vSpace="0" w:wrap="around" w:xAlign="inside" w:y="13042"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29</w:instrText>
    </w:r>
    <w:r w:rsidRPr="006C40C1">
      <w:fldChar w:fldCharType="end"/>
    </w:r>
    <w:r w:rsidRPr="006C40C1">
      <w:instrText>"</w:instrText>
    </w:r>
    <w:r w:rsidRPr="006C40C1">
      <w:fldChar w:fldCharType="separate"/>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28</w:t>
    </w:r>
    <w:r w:rsidRPr="006C40C1">
      <w:fldChar w:fldCharType="end"/>
    </w:r>
  </w:p>
  <w:p w:rsidR="00AA5D77" w:rsidRPr="006C40C1" w:rsidRDefault="00AA5D77">
    <w:pPr>
      <w:pStyle w:val="SidfotH"/>
      <w:framePr w:w="8732" w:h="284" w:hRule="exact" w:hSpace="0" w:vSpace="0" w:wrap="around" w:xAlign="inside" w:y="13042" w:anchorLock="0"/>
    </w:pPr>
    <w:r w:rsidRPr="006C40C1">
      <w:fldChar w:fldCharType="end"/>
    </w:r>
  </w:p>
  <w:p w:rsidR="00AA5D77" w:rsidRPr="006C40C1" w:rsidRDefault="00AA5D7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36</w:t>
    </w:r>
    <w:r w:rsidRPr="006C40C1">
      <w:fldChar w:fldCharType="end"/>
    </w:r>
  </w:p>
  <w:p w:rsidR="00AA5D77" w:rsidRPr="006C40C1" w:rsidRDefault="00AA5D7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35</w:t>
    </w:r>
    <w:r w:rsidRPr="006C40C1">
      <w:fldChar w:fldCharType="end"/>
    </w:r>
  </w:p>
  <w:p w:rsidR="00AA5D77" w:rsidRPr="006C40C1" w:rsidRDefault="00AA5D7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34</w:instrText>
    </w:r>
    <w:r w:rsidRPr="006C40C1">
      <w:fldChar w:fldCharType="end"/>
    </w:r>
    <w:r w:rsidRPr="006C40C1">
      <w:instrText xml:space="preserve">/2 </w:instrText>
    </w:r>
    <w:r w:rsidRPr="006C40C1">
      <w:fldChar w:fldCharType="separate"/>
    </w:r>
    <w:r w:rsidRPr="006C40C1">
      <w:instrText>17</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34</w:instrText>
    </w:r>
    <w:r w:rsidRPr="006C40C1">
      <w:fldChar w:fldCharType="end"/>
    </w:r>
    <w:r w:rsidRPr="006C40C1">
      <w:instrText xml:space="preserve">/2) </w:instrText>
    </w:r>
    <w:r w:rsidRPr="006C40C1">
      <w:fldChar w:fldCharType="separate"/>
    </w:r>
    <w:r w:rsidRPr="006C40C1">
      <w:instrText>17</w:instrText>
    </w:r>
    <w:r w:rsidRPr="006C40C1">
      <w:fldChar w:fldCharType="end"/>
    </w:r>
    <w:r w:rsidRPr="006C40C1">
      <w:fldChar w:fldCharType="separate"/>
    </w:r>
    <w:r w:rsidRPr="006C40C1">
      <w:instrText>0</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34</w:instrText>
    </w:r>
    <w:r w:rsidRPr="006C40C1">
      <w:fldChar w:fldCharType="end"/>
    </w:r>
  </w:p>
  <w:p w:rsidR="00AA5D77" w:rsidRPr="006C40C1" w:rsidRDefault="00AA5D77">
    <w:pPr>
      <w:pStyle w:val="SidfotV"/>
      <w:framePr w:w="8732" w:h="284" w:hRule="exact" w:hSpace="0" w:vSpace="0" w:wrap="around" w:xAlign="inside" w:y="13042"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35</w:instrText>
    </w:r>
    <w:r w:rsidRPr="006C40C1">
      <w:fldChar w:fldCharType="end"/>
    </w:r>
    <w:r w:rsidRPr="006C40C1">
      <w:instrText>"</w:instrText>
    </w:r>
    <w:r w:rsidRPr="006C40C1">
      <w:fldChar w:fldCharType="separate"/>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34</w:t>
    </w:r>
    <w:r w:rsidRPr="006C40C1">
      <w:fldChar w:fldCharType="end"/>
    </w:r>
  </w:p>
  <w:p w:rsidR="00AA5D77" w:rsidRPr="006C40C1" w:rsidRDefault="00AA5D77">
    <w:pPr>
      <w:pStyle w:val="SidfotH"/>
      <w:framePr w:w="8732" w:h="284" w:hRule="exact" w:hSpace="0" w:vSpace="0" w:wrap="around" w:xAlign="inside" w:y="13042" w:anchorLock="0"/>
    </w:pPr>
    <w:r w:rsidRPr="006C40C1">
      <w:fldChar w:fldCharType="end"/>
    </w:r>
  </w:p>
  <w:p w:rsidR="00AA5D77" w:rsidRPr="006C40C1" w:rsidRDefault="00AA5D7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106</w:t>
    </w:r>
    <w:r w:rsidRPr="006C40C1">
      <w:fldChar w:fldCharType="end"/>
    </w:r>
  </w:p>
  <w:p w:rsidR="00AA5D77" w:rsidRPr="006C40C1" w:rsidRDefault="00AA5D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3</w:t>
    </w:r>
    <w:r w:rsidRPr="006C40C1">
      <w:fldChar w:fldCharType="end"/>
    </w:r>
  </w:p>
  <w:p w:rsidR="00AA5D77" w:rsidRPr="006C40C1" w:rsidRDefault="00AA5D7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107</w:t>
    </w:r>
    <w:r w:rsidRPr="006C40C1">
      <w:fldChar w:fldCharType="end"/>
    </w:r>
  </w:p>
  <w:p w:rsidR="00AA5D77" w:rsidRPr="006C40C1" w:rsidRDefault="00AA5D7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36</w:instrText>
    </w:r>
    <w:r w:rsidRPr="006C40C1">
      <w:fldChar w:fldCharType="end"/>
    </w:r>
    <w:r w:rsidRPr="006C40C1">
      <w:instrText xml:space="preserve">/2 </w:instrText>
    </w:r>
    <w:r w:rsidRPr="006C40C1">
      <w:fldChar w:fldCharType="separate"/>
    </w:r>
    <w:r w:rsidRPr="006C40C1">
      <w:instrText>18</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36</w:instrText>
    </w:r>
    <w:r w:rsidRPr="006C40C1">
      <w:fldChar w:fldCharType="end"/>
    </w:r>
    <w:r w:rsidRPr="006C40C1">
      <w:instrText xml:space="preserve">/2) </w:instrText>
    </w:r>
    <w:r w:rsidRPr="006C40C1">
      <w:fldChar w:fldCharType="separate"/>
    </w:r>
    <w:r w:rsidRPr="006C40C1">
      <w:instrText>18</w:instrText>
    </w:r>
    <w:r w:rsidRPr="006C40C1">
      <w:fldChar w:fldCharType="end"/>
    </w:r>
    <w:r w:rsidRPr="006C40C1">
      <w:fldChar w:fldCharType="separate"/>
    </w:r>
    <w:r w:rsidRPr="006C40C1">
      <w:instrText>0</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36</w:instrText>
    </w:r>
    <w:r w:rsidRPr="006C40C1">
      <w:fldChar w:fldCharType="end"/>
    </w:r>
  </w:p>
  <w:p w:rsidR="00AA5D77" w:rsidRPr="006C40C1" w:rsidRDefault="00AA5D77">
    <w:pPr>
      <w:pStyle w:val="SidfotV"/>
      <w:framePr w:w="8732" w:h="284" w:hRule="exact" w:hSpace="0" w:vSpace="0" w:wrap="around" w:xAlign="inside" w:y="13042"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37</w:instrText>
    </w:r>
    <w:r w:rsidRPr="006C40C1">
      <w:fldChar w:fldCharType="end"/>
    </w:r>
    <w:r w:rsidRPr="006C40C1">
      <w:instrText>"</w:instrText>
    </w:r>
    <w:r w:rsidRPr="006C40C1">
      <w:fldChar w:fldCharType="separate"/>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36</w:t>
    </w:r>
    <w:r w:rsidRPr="006C40C1">
      <w:fldChar w:fldCharType="end"/>
    </w:r>
  </w:p>
  <w:p w:rsidR="00AA5D77" w:rsidRPr="006C40C1" w:rsidRDefault="00AA5D77">
    <w:pPr>
      <w:pStyle w:val="SidfotH"/>
      <w:framePr w:w="8732" w:h="284" w:hRule="exact" w:hSpace="0" w:vSpace="0" w:wrap="around" w:xAlign="inside" w:y="13042" w:anchorLock="0"/>
    </w:pPr>
    <w:r w:rsidRPr="006C40C1">
      <w:fldChar w:fldCharType="end"/>
    </w:r>
  </w:p>
  <w:p w:rsidR="00AA5D77" w:rsidRPr="006C40C1" w:rsidRDefault="00AA5D7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957" w:h="283" w:hRule="exact" w:hSpace="0" w:vSpace="0" w:wrap="around" w:xAlign="inside" w:y="13040"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182</w:t>
    </w:r>
    <w:r w:rsidRPr="006C40C1">
      <w:fldChar w:fldCharType="end"/>
    </w:r>
  </w:p>
  <w:p w:rsidR="00AA5D77" w:rsidRPr="006C40C1" w:rsidRDefault="00AA5D7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957" w:h="283" w:hRule="exact" w:hSpace="0" w:vSpace="0" w:wrap="around" w:xAlign="inside" w:y="13040"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181</w:t>
    </w:r>
    <w:r w:rsidRPr="006C40C1">
      <w:fldChar w:fldCharType="end"/>
    </w:r>
  </w:p>
  <w:p w:rsidR="00AA5D77" w:rsidRPr="006C40C1" w:rsidRDefault="00AA5D7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957" w:h="283" w:hRule="exact" w:hSpace="0" w:vSpace="0" w:wrap="around" w:xAlign="inside" w:y="13040"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108</w:instrText>
    </w:r>
    <w:r w:rsidRPr="006C40C1">
      <w:fldChar w:fldCharType="end"/>
    </w:r>
    <w:r w:rsidRPr="006C40C1">
      <w:instrText xml:space="preserve">/2 </w:instrText>
    </w:r>
    <w:r w:rsidRPr="006C40C1">
      <w:fldChar w:fldCharType="separate"/>
    </w:r>
    <w:r w:rsidRPr="006C40C1">
      <w:instrText>54</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108</w:instrText>
    </w:r>
    <w:r w:rsidRPr="006C40C1">
      <w:fldChar w:fldCharType="end"/>
    </w:r>
    <w:r w:rsidRPr="006C40C1">
      <w:instrText xml:space="preserve">/2) </w:instrText>
    </w:r>
    <w:r w:rsidRPr="006C40C1">
      <w:fldChar w:fldCharType="separate"/>
    </w:r>
    <w:r w:rsidRPr="006C40C1">
      <w:instrText>54</w:instrText>
    </w:r>
    <w:r w:rsidRPr="006C40C1">
      <w:fldChar w:fldCharType="end"/>
    </w:r>
    <w:r w:rsidRPr="006C40C1">
      <w:fldChar w:fldCharType="separate"/>
    </w:r>
    <w:r w:rsidRPr="006C40C1">
      <w:instrText>0</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108</w:instrText>
    </w:r>
    <w:r w:rsidRPr="006C40C1">
      <w:fldChar w:fldCharType="end"/>
    </w:r>
  </w:p>
  <w:p w:rsidR="00AA5D77" w:rsidRPr="006C40C1" w:rsidRDefault="00AA5D77">
    <w:pPr>
      <w:pStyle w:val="SidfotV"/>
      <w:framePr w:w="8957" w:h="283" w:hRule="exact" w:hSpace="0" w:vSpace="0" w:wrap="around" w:xAlign="inside" w:y="13040"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109</w:instrText>
    </w:r>
    <w:r w:rsidRPr="006C40C1">
      <w:fldChar w:fldCharType="end"/>
    </w:r>
    <w:r w:rsidRPr="006C40C1">
      <w:instrText>"</w:instrText>
    </w:r>
    <w:r w:rsidRPr="006C40C1">
      <w:fldChar w:fldCharType="separate"/>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108</w:t>
    </w:r>
    <w:r w:rsidRPr="006C40C1">
      <w:fldChar w:fldCharType="end"/>
    </w:r>
  </w:p>
  <w:p w:rsidR="00AA5D77" w:rsidRPr="006C40C1" w:rsidRDefault="00AA5D77">
    <w:pPr>
      <w:pStyle w:val="SidfotH"/>
      <w:framePr w:w="8957" w:h="283" w:hRule="exact" w:hSpace="0" w:vSpace="0" w:wrap="around" w:xAlign="inside" w:y="13040" w:anchorLock="0"/>
    </w:pPr>
    <w:r w:rsidRPr="006C40C1">
      <w:fldChar w:fldCharType="end"/>
    </w:r>
  </w:p>
  <w:p w:rsidR="00AA5D77" w:rsidRPr="006C40C1" w:rsidRDefault="00AA5D7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260</w:t>
    </w:r>
    <w:r w:rsidRPr="006C40C1">
      <w:fldChar w:fldCharType="end"/>
    </w:r>
  </w:p>
  <w:p w:rsidR="00AA5D77" w:rsidRPr="006C40C1" w:rsidRDefault="00AA5D7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261</w:t>
    </w:r>
    <w:r w:rsidRPr="006C40C1">
      <w:fldChar w:fldCharType="end"/>
    </w:r>
  </w:p>
  <w:p w:rsidR="00AA5D77" w:rsidRPr="006C40C1" w:rsidRDefault="00AA5D7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183</w:instrText>
    </w:r>
    <w:r w:rsidRPr="006C40C1">
      <w:fldChar w:fldCharType="end"/>
    </w:r>
    <w:r w:rsidRPr="006C40C1">
      <w:instrText xml:space="preserve">/2 </w:instrText>
    </w:r>
    <w:r w:rsidRPr="006C40C1">
      <w:fldChar w:fldCharType="separate"/>
    </w:r>
    <w:r w:rsidRPr="006C40C1">
      <w:instrText>91,5</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183</w:instrText>
    </w:r>
    <w:r w:rsidRPr="006C40C1">
      <w:fldChar w:fldCharType="end"/>
    </w:r>
    <w:r w:rsidRPr="006C40C1">
      <w:instrText xml:space="preserve">/2) </w:instrText>
    </w:r>
    <w:r w:rsidRPr="006C40C1">
      <w:fldChar w:fldCharType="separate"/>
    </w:r>
    <w:r w:rsidRPr="006C40C1">
      <w:instrText>91</w:instrText>
    </w:r>
    <w:r w:rsidRPr="006C40C1">
      <w:fldChar w:fldCharType="end"/>
    </w:r>
    <w:r w:rsidRPr="006C40C1">
      <w:fldChar w:fldCharType="separate"/>
    </w:r>
    <w:r w:rsidRPr="006C40C1">
      <w:instrText>0,5</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184</w:instrText>
    </w:r>
    <w:r w:rsidRPr="006C40C1">
      <w:fldChar w:fldCharType="end"/>
    </w:r>
  </w:p>
  <w:p w:rsidR="00AA5D77" w:rsidRPr="006C40C1" w:rsidRDefault="00AA5D77">
    <w:pPr>
      <w:pStyle w:val="SidfotH"/>
      <w:framePr w:w="8732" w:h="284" w:hRule="exact" w:hSpace="0" w:vSpace="0" w:wrap="around" w:xAlign="inside" w:y="13042"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183</w:instrText>
    </w:r>
    <w:r w:rsidRPr="006C40C1">
      <w:fldChar w:fldCharType="end"/>
    </w:r>
    <w:r w:rsidRPr="006C40C1">
      <w:instrText>"</w:instrText>
    </w:r>
    <w:r w:rsidRPr="006C40C1">
      <w:fldChar w:fldCharType="separate"/>
    </w:r>
    <w:r w:rsidRPr="006C40C1">
      <w:t>183</w:t>
    </w:r>
    <w:r w:rsidRPr="006C40C1">
      <w:fldChar w:fldCharType="end"/>
    </w:r>
  </w:p>
  <w:p w:rsidR="00AA5D77" w:rsidRPr="006C40C1" w:rsidRDefault="00AA5D77">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957" w:h="283" w:hRule="exact" w:hSpace="0" w:vSpace="0" w:wrap="around" w:xAlign="inside" w:y="13040"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318</w:t>
    </w:r>
    <w:r w:rsidRPr="006C40C1">
      <w:fldChar w:fldCharType="end"/>
    </w:r>
  </w:p>
  <w:p w:rsidR="00AA5D77" w:rsidRPr="006C40C1" w:rsidRDefault="00AA5D77">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957" w:h="283" w:hRule="exact" w:hSpace="0" w:vSpace="0" w:wrap="around" w:xAlign="inside" w:y="13040"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317</w:t>
    </w:r>
    <w:r w:rsidRPr="006C40C1">
      <w:fldChar w:fldCharType="end"/>
    </w:r>
  </w:p>
  <w:p w:rsidR="00AA5D77" w:rsidRPr="006C40C1" w:rsidRDefault="00AA5D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006C40C1">
      <w:rPr>
        <w:noProof/>
      </w:rPr>
      <w:instrText>1</w:instrText>
    </w:r>
    <w:r w:rsidRPr="006C40C1">
      <w:fldChar w:fldCharType="end"/>
    </w:r>
    <w:r w:rsidRPr="006C40C1">
      <w:instrText xml:space="preserve">/2 </w:instrText>
    </w:r>
    <w:r w:rsidRPr="006C40C1">
      <w:fldChar w:fldCharType="separate"/>
    </w:r>
    <w:r w:rsidR="006C40C1">
      <w:rPr>
        <w:noProof/>
      </w:rPr>
      <w:instrText>0,5</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006C40C1">
      <w:rPr>
        <w:noProof/>
      </w:rPr>
      <w:instrText>1</w:instrText>
    </w:r>
    <w:r w:rsidRPr="006C40C1">
      <w:fldChar w:fldCharType="end"/>
    </w:r>
    <w:r w:rsidRPr="006C40C1">
      <w:instrText xml:space="preserve">/2) </w:instrText>
    </w:r>
    <w:r w:rsidRPr="006C40C1">
      <w:fldChar w:fldCharType="separate"/>
    </w:r>
    <w:r w:rsidR="006C40C1">
      <w:rPr>
        <w:noProof/>
      </w:rPr>
      <w:instrText>0</w:instrText>
    </w:r>
    <w:r w:rsidRPr="006C40C1">
      <w:fldChar w:fldCharType="end"/>
    </w:r>
    <w:r w:rsidRPr="006C40C1">
      <w:fldChar w:fldCharType="separate"/>
    </w:r>
    <w:r w:rsidR="006C40C1">
      <w:rPr>
        <w:noProof/>
      </w:rPr>
      <w:instrText>0,5</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14</w:instrText>
    </w:r>
    <w:r w:rsidRPr="006C40C1">
      <w:fldChar w:fldCharType="end"/>
    </w:r>
  </w:p>
  <w:p w:rsidR="00AA5D77" w:rsidRPr="006C40C1" w:rsidRDefault="00AA5D77">
    <w:pPr>
      <w:pStyle w:val="SidfotH"/>
      <w:framePr w:w="8732" w:h="284" w:hRule="exact" w:hSpace="0" w:vSpace="0" w:wrap="around" w:xAlign="inside" w:y="13042"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006C40C1">
      <w:rPr>
        <w:noProof/>
      </w:rPr>
      <w:instrText>1</w:instrText>
    </w:r>
    <w:r w:rsidRPr="006C40C1">
      <w:fldChar w:fldCharType="end"/>
    </w:r>
    <w:r w:rsidRPr="006C40C1">
      <w:instrText>"</w:instrText>
    </w:r>
    <w:r w:rsidRPr="006C40C1">
      <w:fldChar w:fldCharType="separate"/>
    </w:r>
    <w:r w:rsidR="006C40C1">
      <w:rPr>
        <w:noProof/>
      </w:rPr>
      <w:t>1</w:t>
    </w:r>
    <w:r w:rsidRPr="006C40C1">
      <w:fldChar w:fldCharType="end"/>
    </w:r>
  </w:p>
  <w:p w:rsidR="00AA5D77" w:rsidRPr="006C40C1" w:rsidRDefault="00AA5D77">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957" w:h="283" w:hRule="exact" w:hSpace="0" w:vSpace="0" w:wrap="around" w:xAlign="inside" w:y="13040"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262</w:instrText>
    </w:r>
    <w:r w:rsidRPr="006C40C1">
      <w:fldChar w:fldCharType="end"/>
    </w:r>
    <w:r w:rsidRPr="006C40C1">
      <w:instrText xml:space="preserve">/2 </w:instrText>
    </w:r>
    <w:r w:rsidRPr="006C40C1">
      <w:fldChar w:fldCharType="separate"/>
    </w:r>
    <w:r w:rsidRPr="006C40C1">
      <w:instrText>131</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262</w:instrText>
    </w:r>
    <w:r w:rsidRPr="006C40C1">
      <w:fldChar w:fldCharType="end"/>
    </w:r>
    <w:r w:rsidRPr="006C40C1">
      <w:instrText xml:space="preserve">/2) </w:instrText>
    </w:r>
    <w:r w:rsidRPr="006C40C1">
      <w:fldChar w:fldCharType="separate"/>
    </w:r>
    <w:r w:rsidRPr="006C40C1">
      <w:instrText>131</w:instrText>
    </w:r>
    <w:r w:rsidRPr="006C40C1">
      <w:fldChar w:fldCharType="end"/>
    </w:r>
    <w:r w:rsidRPr="006C40C1">
      <w:fldChar w:fldCharType="separate"/>
    </w:r>
    <w:r w:rsidRPr="006C40C1">
      <w:instrText>0</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262</w:instrText>
    </w:r>
    <w:r w:rsidRPr="006C40C1">
      <w:fldChar w:fldCharType="end"/>
    </w:r>
  </w:p>
  <w:p w:rsidR="00AA5D77" w:rsidRPr="006C40C1" w:rsidRDefault="00AA5D77">
    <w:pPr>
      <w:pStyle w:val="SidfotV"/>
      <w:framePr w:w="8957" w:h="283" w:hRule="exact" w:hSpace="0" w:vSpace="0" w:wrap="around" w:xAlign="inside" w:y="13040"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261</w:instrText>
    </w:r>
    <w:r w:rsidRPr="006C40C1">
      <w:fldChar w:fldCharType="end"/>
    </w:r>
    <w:r w:rsidRPr="006C40C1">
      <w:instrText>"</w:instrText>
    </w:r>
    <w:r w:rsidRPr="006C40C1">
      <w:fldChar w:fldCharType="separate"/>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262</w:t>
    </w:r>
    <w:r w:rsidRPr="006C40C1">
      <w:fldChar w:fldCharType="end"/>
    </w:r>
  </w:p>
  <w:p w:rsidR="00AA5D77" w:rsidRPr="006C40C1" w:rsidRDefault="00AA5D77">
    <w:pPr>
      <w:pStyle w:val="SidfotH"/>
      <w:framePr w:w="8957" w:h="283" w:hRule="exact" w:hSpace="0" w:vSpace="0" w:wrap="around" w:xAlign="inside" w:y="13040" w:anchorLock="0"/>
    </w:pPr>
    <w:r w:rsidRPr="006C40C1">
      <w:fldChar w:fldCharType="end"/>
    </w:r>
  </w:p>
  <w:p w:rsidR="00AA5D77" w:rsidRPr="006C40C1" w:rsidRDefault="00AA5D77">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957" w:h="283" w:hRule="exact" w:hSpace="0" w:vSpace="0" w:wrap="around" w:xAlign="inside" w:y="13040"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318</w:t>
    </w:r>
    <w:r w:rsidRPr="006C40C1">
      <w:fldChar w:fldCharType="end"/>
    </w:r>
  </w:p>
  <w:p w:rsidR="00AA5D77" w:rsidRPr="006C40C1" w:rsidRDefault="00AA5D77">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957" w:h="283" w:hRule="exact" w:hSpace="0" w:vSpace="0" w:wrap="around" w:xAlign="inside" w:y="13040"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317</w:t>
    </w:r>
    <w:r w:rsidRPr="006C40C1">
      <w:fldChar w:fldCharType="end"/>
    </w:r>
  </w:p>
  <w:p w:rsidR="00AA5D77" w:rsidRPr="006C40C1" w:rsidRDefault="00AA5D77">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957" w:h="283" w:hRule="exact" w:hSpace="0" w:vSpace="0" w:wrap="around" w:xAlign="inside" w:y="13040"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319</w:instrText>
    </w:r>
    <w:r w:rsidRPr="006C40C1">
      <w:fldChar w:fldCharType="end"/>
    </w:r>
    <w:r w:rsidRPr="006C40C1">
      <w:instrText xml:space="preserve">/2 </w:instrText>
    </w:r>
    <w:r w:rsidRPr="006C40C1">
      <w:fldChar w:fldCharType="separate"/>
    </w:r>
    <w:r w:rsidRPr="006C40C1">
      <w:instrText>159,5</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319</w:instrText>
    </w:r>
    <w:r w:rsidRPr="006C40C1">
      <w:fldChar w:fldCharType="end"/>
    </w:r>
    <w:r w:rsidRPr="006C40C1">
      <w:instrText xml:space="preserve">/2) </w:instrText>
    </w:r>
    <w:r w:rsidRPr="006C40C1">
      <w:fldChar w:fldCharType="separate"/>
    </w:r>
    <w:r w:rsidRPr="006C40C1">
      <w:instrText>159</w:instrText>
    </w:r>
    <w:r w:rsidRPr="006C40C1">
      <w:fldChar w:fldCharType="end"/>
    </w:r>
    <w:r w:rsidRPr="006C40C1">
      <w:fldChar w:fldCharType="separate"/>
    </w:r>
    <w:r w:rsidRPr="006C40C1">
      <w:instrText>0,5</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320</w:instrText>
    </w:r>
    <w:r w:rsidRPr="006C40C1">
      <w:fldChar w:fldCharType="end"/>
    </w:r>
  </w:p>
  <w:p w:rsidR="00AA5D77" w:rsidRPr="006C40C1" w:rsidRDefault="00AA5D77">
    <w:pPr>
      <w:pStyle w:val="SidfotH"/>
      <w:framePr w:w="8957" w:h="283" w:hRule="exact" w:hSpace="0" w:vSpace="0" w:wrap="around" w:xAlign="inside" w:y="13040"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319</w:instrText>
    </w:r>
    <w:r w:rsidRPr="006C40C1">
      <w:fldChar w:fldCharType="end"/>
    </w:r>
    <w:r w:rsidRPr="006C40C1">
      <w:instrText>"</w:instrText>
    </w:r>
    <w:r w:rsidRPr="006C40C1">
      <w:fldChar w:fldCharType="separate"/>
    </w:r>
    <w:r w:rsidRPr="006C40C1">
      <w:t>319</w:t>
    </w:r>
    <w:r w:rsidRPr="006C40C1">
      <w:fldChar w:fldCharType="end"/>
    </w:r>
  </w:p>
  <w:p w:rsidR="00AA5D77" w:rsidRPr="006C40C1" w:rsidRDefault="00AA5D77">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957" w:h="283" w:hRule="exact" w:hSpace="0" w:vSpace="0" w:wrap="around" w:xAlign="inside" w:y="13040"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404</w:t>
    </w:r>
    <w:r w:rsidRPr="006C40C1">
      <w:fldChar w:fldCharType="end"/>
    </w:r>
  </w:p>
  <w:p w:rsidR="00AA5D77" w:rsidRPr="006C40C1" w:rsidRDefault="00AA5D77">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957" w:h="283" w:hRule="exact" w:hSpace="0" w:vSpace="0" w:wrap="around" w:xAlign="inside" w:y="13040"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403</w:t>
    </w:r>
    <w:r w:rsidRPr="006C40C1">
      <w:fldChar w:fldCharType="end"/>
    </w:r>
  </w:p>
  <w:p w:rsidR="00AA5D77" w:rsidRPr="006C40C1" w:rsidRDefault="00AA5D77">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957" w:h="283" w:hRule="exact" w:hSpace="0" w:vSpace="0" w:wrap="around" w:xAlign="inside" w:y="13040"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320</w:instrText>
    </w:r>
    <w:r w:rsidRPr="006C40C1">
      <w:fldChar w:fldCharType="end"/>
    </w:r>
    <w:r w:rsidRPr="006C40C1">
      <w:instrText xml:space="preserve">/2 </w:instrText>
    </w:r>
    <w:r w:rsidRPr="006C40C1">
      <w:fldChar w:fldCharType="separate"/>
    </w:r>
    <w:r w:rsidRPr="006C40C1">
      <w:instrText>160</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320</w:instrText>
    </w:r>
    <w:r w:rsidRPr="006C40C1">
      <w:fldChar w:fldCharType="end"/>
    </w:r>
    <w:r w:rsidRPr="006C40C1">
      <w:instrText xml:space="preserve">/2) </w:instrText>
    </w:r>
    <w:r w:rsidRPr="006C40C1">
      <w:fldChar w:fldCharType="separate"/>
    </w:r>
    <w:r w:rsidRPr="006C40C1">
      <w:instrText>160</w:instrText>
    </w:r>
    <w:r w:rsidRPr="006C40C1">
      <w:fldChar w:fldCharType="end"/>
    </w:r>
    <w:r w:rsidRPr="006C40C1">
      <w:fldChar w:fldCharType="separate"/>
    </w:r>
    <w:r w:rsidRPr="006C40C1">
      <w:instrText>0</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320</w:instrText>
    </w:r>
    <w:r w:rsidRPr="006C40C1">
      <w:fldChar w:fldCharType="end"/>
    </w:r>
  </w:p>
  <w:p w:rsidR="00AA5D77" w:rsidRPr="006C40C1" w:rsidRDefault="00AA5D77">
    <w:pPr>
      <w:pStyle w:val="SidfotV"/>
      <w:framePr w:w="8957" w:h="283" w:hRule="exact" w:hSpace="0" w:vSpace="0" w:wrap="around" w:xAlign="inside" w:y="13040"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321</w:instrText>
    </w:r>
    <w:r w:rsidRPr="006C40C1">
      <w:fldChar w:fldCharType="end"/>
    </w:r>
    <w:r w:rsidRPr="006C40C1">
      <w:instrText>"</w:instrText>
    </w:r>
    <w:r w:rsidRPr="006C40C1">
      <w:fldChar w:fldCharType="separate"/>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320</w:t>
    </w:r>
    <w:r w:rsidRPr="006C40C1">
      <w:fldChar w:fldCharType="end"/>
    </w:r>
  </w:p>
  <w:p w:rsidR="00AA5D77" w:rsidRPr="006C40C1" w:rsidRDefault="00AA5D77">
    <w:pPr>
      <w:pStyle w:val="SidfotH"/>
      <w:framePr w:w="8957" w:h="283" w:hRule="exact" w:hSpace="0" w:vSpace="0" w:wrap="around" w:xAlign="inside" w:y="13040" w:anchorLock="0"/>
    </w:pPr>
    <w:r w:rsidRPr="006C40C1">
      <w:fldChar w:fldCharType="end"/>
    </w:r>
  </w:p>
  <w:p w:rsidR="00AA5D77" w:rsidRPr="006C40C1" w:rsidRDefault="00AA5D77">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408</w:t>
    </w:r>
    <w:r w:rsidRPr="006C40C1">
      <w:fldChar w:fldCharType="end"/>
    </w:r>
  </w:p>
  <w:p w:rsidR="00AA5D77" w:rsidRPr="006C40C1" w:rsidRDefault="00AA5D77">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409</w:t>
    </w:r>
    <w:r w:rsidRPr="006C40C1">
      <w:fldChar w:fldCharType="end"/>
    </w:r>
  </w:p>
  <w:p w:rsidR="00AA5D77" w:rsidRPr="006C40C1" w:rsidRDefault="00AA5D77">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405</w:instrText>
    </w:r>
    <w:r w:rsidRPr="006C40C1">
      <w:fldChar w:fldCharType="end"/>
    </w:r>
    <w:r w:rsidRPr="006C40C1">
      <w:instrText xml:space="preserve">/2 </w:instrText>
    </w:r>
    <w:r w:rsidRPr="006C40C1">
      <w:fldChar w:fldCharType="separate"/>
    </w:r>
    <w:r w:rsidRPr="006C40C1">
      <w:instrText>202,5</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405</w:instrText>
    </w:r>
    <w:r w:rsidRPr="006C40C1">
      <w:fldChar w:fldCharType="end"/>
    </w:r>
    <w:r w:rsidRPr="006C40C1">
      <w:instrText xml:space="preserve">/2) </w:instrText>
    </w:r>
    <w:r w:rsidRPr="006C40C1">
      <w:fldChar w:fldCharType="separate"/>
    </w:r>
    <w:r w:rsidRPr="006C40C1">
      <w:instrText>202</w:instrText>
    </w:r>
    <w:r w:rsidRPr="006C40C1">
      <w:fldChar w:fldCharType="end"/>
    </w:r>
    <w:r w:rsidRPr="006C40C1">
      <w:fldChar w:fldCharType="separate"/>
    </w:r>
    <w:r w:rsidRPr="006C40C1">
      <w:instrText>0,5</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406</w:instrText>
    </w:r>
    <w:r w:rsidRPr="006C40C1">
      <w:fldChar w:fldCharType="end"/>
    </w:r>
  </w:p>
  <w:p w:rsidR="00AA5D77" w:rsidRPr="006C40C1" w:rsidRDefault="00AA5D77">
    <w:pPr>
      <w:pStyle w:val="SidfotH"/>
      <w:framePr w:w="8732" w:h="284" w:hRule="exact" w:hSpace="0" w:vSpace="0" w:wrap="around" w:xAlign="inside" w:y="13042"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405</w:instrText>
    </w:r>
    <w:r w:rsidRPr="006C40C1">
      <w:fldChar w:fldCharType="end"/>
    </w:r>
    <w:r w:rsidRPr="006C40C1">
      <w:instrText>"</w:instrText>
    </w:r>
    <w:r w:rsidRPr="006C40C1">
      <w:fldChar w:fldCharType="separate"/>
    </w:r>
    <w:r w:rsidRPr="006C40C1">
      <w:t>405</w:t>
    </w:r>
    <w:r w:rsidRPr="006C40C1">
      <w:fldChar w:fldCharType="end"/>
    </w:r>
  </w:p>
  <w:p w:rsidR="00AA5D77" w:rsidRPr="006C40C1" w:rsidRDefault="00AA5D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12</w:t>
    </w:r>
    <w:r w:rsidRPr="006C40C1">
      <w:fldChar w:fldCharType="end"/>
    </w:r>
  </w:p>
  <w:p w:rsidR="00AA5D77" w:rsidRPr="006C40C1" w:rsidRDefault="00AA5D77">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424</w:t>
    </w:r>
    <w:r w:rsidRPr="006C40C1">
      <w:fldChar w:fldCharType="end"/>
    </w:r>
  </w:p>
  <w:p w:rsidR="00AA5D77" w:rsidRPr="006C40C1" w:rsidRDefault="00AA5D77">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425</w:t>
    </w:r>
    <w:r w:rsidRPr="006C40C1">
      <w:fldChar w:fldCharType="end"/>
    </w:r>
  </w:p>
  <w:p w:rsidR="00AA5D77" w:rsidRPr="006C40C1" w:rsidRDefault="00AA5D77">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410</w:instrText>
    </w:r>
    <w:r w:rsidRPr="006C40C1">
      <w:fldChar w:fldCharType="end"/>
    </w:r>
    <w:r w:rsidRPr="006C40C1">
      <w:instrText xml:space="preserve">/2 </w:instrText>
    </w:r>
    <w:r w:rsidRPr="006C40C1">
      <w:fldChar w:fldCharType="separate"/>
    </w:r>
    <w:r w:rsidRPr="006C40C1">
      <w:instrText>205</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410</w:instrText>
    </w:r>
    <w:r w:rsidRPr="006C40C1">
      <w:fldChar w:fldCharType="end"/>
    </w:r>
    <w:r w:rsidRPr="006C40C1">
      <w:instrText xml:space="preserve">/2) </w:instrText>
    </w:r>
    <w:r w:rsidRPr="006C40C1">
      <w:fldChar w:fldCharType="separate"/>
    </w:r>
    <w:r w:rsidRPr="006C40C1">
      <w:instrText>205</w:instrText>
    </w:r>
    <w:r w:rsidRPr="006C40C1">
      <w:fldChar w:fldCharType="end"/>
    </w:r>
    <w:r w:rsidRPr="006C40C1">
      <w:fldChar w:fldCharType="separate"/>
    </w:r>
    <w:r w:rsidRPr="006C40C1">
      <w:instrText>0</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410</w:instrText>
    </w:r>
    <w:r w:rsidRPr="006C40C1">
      <w:fldChar w:fldCharType="end"/>
    </w:r>
  </w:p>
  <w:p w:rsidR="00AA5D77" w:rsidRPr="006C40C1" w:rsidRDefault="00AA5D77">
    <w:pPr>
      <w:pStyle w:val="SidfotV"/>
      <w:framePr w:w="8732" w:h="284" w:hRule="exact" w:hSpace="0" w:vSpace="0" w:wrap="around" w:xAlign="inside" w:y="13042"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411</w:instrText>
    </w:r>
    <w:r w:rsidRPr="006C40C1">
      <w:fldChar w:fldCharType="end"/>
    </w:r>
    <w:r w:rsidRPr="006C40C1">
      <w:instrText>"</w:instrText>
    </w:r>
    <w:r w:rsidRPr="006C40C1">
      <w:fldChar w:fldCharType="separate"/>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410</w:t>
    </w:r>
    <w:r w:rsidRPr="006C40C1">
      <w:fldChar w:fldCharType="end"/>
    </w:r>
  </w:p>
  <w:p w:rsidR="00AA5D77" w:rsidRPr="006C40C1" w:rsidRDefault="00AA5D77">
    <w:pPr>
      <w:pStyle w:val="SidfotH"/>
      <w:framePr w:w="8732" w:h="284" w:hRule="exact" w:hSpace="0" w:vSpace="0" w:wrap="around" w:xAlign="inside" w:y="13042" w:anchorLock="0"/>
    </w:pPr>
    <w:r w:rsidRPr="006C40C1">
      <w:fldChar w:fldCharType="end"/>
    </w:r>
  </w:p>
  <w:p w:rsidR="00AA5D77" w:rsidRPr="006C40C1" w:rsidRDefault="00AA5D77">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452</w:t>
    </w:r>
    <w:r w:rsidRPr="006C40C1">
      <w:fldChar w:fldCharType="end"/>
    </w:r>
  </w:p>
  <w:p w:rsidR="00AA5D77" w:rsidRPr="006C40C1" w:rsidRDefault="00AA5D77">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453</w:t>
    </w:r>
    <w:r w:rsidRPr="006C40C1">
      <w:fldChar w:fldCharType="end"/>
    </w:r>
  </w:p>
  <w:p w:rsidR="00AA5D77" w:rsidRPr="006C40C1" w:rsidRDefault="00AA5D77">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426</w:instrText>
    </w:r>
    <w:r w:rsidRPr="006C40C1">
      <w:fldChar w:fldCharType="end"/>
    </w:r>
    <w:r w:rsidRPr="006C40C1">
      <w:instrText xml:space="preserve">/2 </w:instrText>
    </w:r>
    <w:r w:rsidRPr="006C40C1">
      <w:fldChar w:fldCharType="separate"/>
    </w:r>
    <w:r w:rsidRPr="006C40C1">
      <w:instrText>213</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426</w:instrText>
    </w:r>
    <w:r w:rsidRPr="006C40C1">
      <w:fldChar w:fldCharType="end"/>
    </w:r>
    <w:r w:rsidRPr="006C40C1">
      <w:instrText xml:space="preserve">/2) </w:instrText>
    </w:r>
    <w:r w:rsidRPr="006C40C1">
      <w:fldChar w:fldCharType="separate"/>
    </w:r>
    <w:r w:rsidRPr="006C40C1">
      <w:instrText>213</w:instrText>
    </w:r>
    <w:r w:rsidRPr="006C40C1">
      <w:fldChar w:fldCharType="end"/>
    </w:r>
    <w:r w:rsidRPr="006C40C1">
      <w:fldChar w:fldCharType="separate"/>
    </w:r>
    <w:r w:rsidRPr="006C40C1">
      <w:instrText>0</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426</w:instrText>
    </w:r>
    <w:r w:rsidRPr="006C40C1">
      <w:fldChar w:fldCharType="end"/>
    </w:r>
  </w:p>
  <w:p w:rsidR="00AA5D77" w:rsidRPr="006C40C1" w:rsidRDefault="00AA5D77">
    <w:pPr>
      <w:pStyle w:val="SidfotV"/>
      <w:framePr w:w="8732" w:h="284" w:hRule="exact" w:hSpace="0" w:vSpace="0" w:wrap="around" w:xAlign="inside" w:y="13042"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427</w:instrText>
    </w:r>
    <w:r w:rsidRPr="006C40C1">
      <w:fldChar w:fldCharType="end"/>
    </w:r>
    <w:r w:rsidRPr="006C40C1">
      <w:instrText>"</w:instrText>
    </w:r>
    <w:r w:rsidRPr="006C40C1">
      <w:fldChar w:fldCharType="separate"/>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426</w:t>
    </w:r>
    <w:r w:rsidRPr="006C40C1">
      <w:fldChar w:fldCharType="end"/>
    </w:r>
  </w:p>
  <w:p w:rsidR="00AA5D77" w:rsidRPr="006C40C1" w:rsidRDefault="00AA5D77">
    <w:pPr>
      <w:pStyle w:val="SidfotH"/>
      <w:framePr w:w="8732" w:h="284" w:hRule="exact" w:hSpace="0" w:vSpace="0" w:wrap="around" w:xAlign="inside" w:y="13042" w:anchorLock="0"/>
    </w:pPr>
    <w:r w:rsidRPr="006C40C1">
      <w:fldChar w:fldCharType="end"/>
    </w:r>
  </w:p>
  <w:p w:rsidR="00AA5D77" w:rsidRPr="006C40C1" w:rsidRDefault="00AA5D77">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456</w:t>
    </w:r>
    <w:r w:rsidRPr="006C40C1">
      <w:fldChar w:fldCharType="end"/>
    </w:r>
  </w:p>
  <w:p w:rsidR="00AA5D77" w:rsidRPr="006C40C1" w:rsidRDefault="00AA5D77">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455</w:t>
    </w:r>
    <w:r w:rsidRPr="006C40C1">
      <w:fldChar w:fldCharType="end"/>
    </w:r>
  </w:p>
  <w:p w:rsidR="00AA5D77" w:rsidRPr="006C40C1" w:rsidRDefault="00AA5D77">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454</w:instrText>
    </w:r>
    <w:r w:rsidRPr="006C40C1">
      <w:fldChar w:fldCharType="end"/>
    </w:r>
    <w:r w:rsidRPr="006C40C1">
      <w:instrText xml:space="preserve">/2 </w:instrText>
    </w:r>
    <w:r w:rsidRPr="006C40C1">
      <w:fldChar w:fldCharType="separate"/>
    </w:r>
    <w:r w:rsidRPr="006C40C1">
      <w:instrText>227</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454</w:instrText>
    </w:r>
    <w:r w:rsidRPr="006C40C1">
      <w:fldChar w:fldCharType="end"/>
    </w:r>
    <w:r w:rsidRPr="006C40C1">
      <w:instrText xml:space="preserve">/2) </w:instrText>
    </w:r>
    <w:r w:rsidRPr="006C40C1">
      <w:fldChar w:fldCharType="separate"/>
    </w:r>
    <w:r w:rsidRPr="006C40C1">
      <w:instrText>227</w:instrText>
    </w:r>
    <w:r w:rsidRPr="006C40C1">
      <w:fldChar w:fldCharType="end"/>
    </w:r>
    <w:r w:rsidRPr="006C40C1">
      <w:fldChar w:fldCharType="separate"/>
    </w:r>
    <w:r w:rsidRPr="006C40C1">
      <w:instrText>0</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454</w:instrText>
    </w:r>
    <w:r w:rsidRPr="006C40C1">
      <w:fldChar w:fldCharType="end"/>
    </w:r>
  </w:p>
  <w:p w:rsidR="00AA5D77" w:rsidRPr="006C40C1" w:rsidRDefault="00AA5D77">
    <w:pPr>
      <w:pStyle w:val="SidfotV"/>
      <w:framePr w:w="8732" w:h="284" w:hRule="exact" w:hSpace="0" w:vSpace="0" w:wrap="around" w:xAlign="inside" w:y="13042"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455</w:instrText>
    </w:r>
    <w:r w:rsidRPr="006C40C1">
      <w:fldChar w:fldCharType="end"/>
    </w:r>
    <w:r w:rsidRPr="006C40C1">
      <w:instrText>"</w:instrText>
    </w:r>
    <w:r w:rsidRPr="006C40C1">
      <w:fldChar w:fldCharType="separate"/>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454</w:t>
    </w:r>
    <w:r w:rsidRPr="006C40C1">
      <w:fldChar w:fldCharType="end"/>
    </w:r>
  </w:p>
  <w:p w:rsidR="00AA5D77" w:rsidRPr="006C40C1" w:rsidRDefault="00AA5D77">
    <w:pPr>
      <w:pStyle w:val="SidfotH"/>
      <w:framePr w:w="8732" w:h="284" w:hRule="exact" w:hSpace="0" w:vSpace="0" w:wrap="around" w:xAlign="inside" w:y="13042" w:anchorLock="0"/>
    </w:pPr>
    <w:r w:rsidRPr="006C40C1">
      <w:fldChar w:fldCharType="end"/>
    </w:r>
  </w:p>
  <w:p w:rsidR="00AA5D77" w:rsidRPr="006C40C1" w:rsidRDefault="00AA5D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13</w:t>
    </w:r>
    <w:r w:rsidRPr="006C40C1">
      <w:fldChar w:fldCharType="end"/>
    </w:r>
  </w:p>
  <w:p w:rsidR="00AA5D77" w:rsidRPr="006C40C1" w:rsidRDefault="00AA5D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5</w:instrText>
    </w:r>
    <w:r w:rsidRPr="006C40C1">
      <w:fldChar w:fldCharType="end"/>
    </w:r>
    <w:r w:rsidRPr="006C40C1">
      <w:instrText xml:space="preserve">/2 </w:instrText>
    </w:r>
    <w:r w:rsidRPr="006C40C1">
      <w:fldChar w:fldCharType="separate"/>
    </w:r>
    <w:r w:rsidRPr="006C40C1">
      <w:instrText>2,5</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5</w:instrText>
    </w:r>
    <w:r w:rsidRPr="006C40C1">
      <w:fldChar w:fldCharType="end"/>
    </w:r>
    <w:r w:rsidRPr="006C40C1">
      <w:instrText xml:space="preserve">/2) </w:instrText>
    </w:r>
    <w:r w:rsidRPr="006C40C1">
      <w:fldChar w:fldCharType="separate"/>
    </w:r>
    <w:r w:rsidRPr="006C40C1">
      <w:instrText>2</w:instrText>
    </w:r>
    <w:r w:rsidRPr="006C40C1">
      <w:fldChar w:fldCharType="end"/>
    </w:r>
    <w:r w:rsidRPr="006C40C1">
      <w:fldChar w:fldCharType="separate"/>
    </w:r>
    <w:r w:rsidRPr="006C40C1">
      <w:instrText>0,5</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6</w:instrText>
    </w:r>
    <w:r w:rsidRPr="006C40C1">
      <w:fldChar w:fldCharType="end"/>
    </w:r>
  </w:p>
  <w:p w:rsidR="00AA5D77" w:rsidRPr="006C40C1" w:rsidRDefault="00AA5D77">
    <w:pPr>
      <w:pStyle w:val="SidfotH"/>
      <w:framePr w:w="8732" w:h="284" w:hRule="exact" w:hSpace="0" w:vSpace="0" w:wrap="around" w:xAlign="inside" w:y="13042"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5</w:instrText>
    </w:r>
    <w:r w:rsidRPr="006C40C1">
      <w:fldChar w:fldCharType="end"/>
    </w:r>
    <w:r w:rsidRPr="006C40C1">
      <w:instrText>"</w:instrText>
    </w:r>
    <w:r w:rsidRPr="006C40C1">
      <w:fldChar w:fldCharType="separate"/>
    </w:r>
    <w:r w:rsidRPr="006C40C1">
      <w:t>5</w:t>
    </w:r>
    <w:r w:rsidRPr="006C40C1">
      <w:fldChar w:fldCharType="end"/>
    </w:r>
  </w:p>
  <w:p w:rsidR="00AA5D77" w:rsidRPr="006C40C1" w:rsidRDefault="00AA5D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20</w:t>
    </w:r>
    <w:r w:rsidRPr="006C40C1">
      <w:fldChar w:fldCharType="end"/>
    </w:r>
  </w:p>
  <w:p w:rsidR="00AA5D77" w:rsidRPr="006C40C1" w:rsidRDefault="00AA5D7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H"/>
      <w:framePr w:w="8732" w:h="284" w:hRule="exact" w:hSpace="0" w:vSpace="0" w:wrap="around" w:xAlign="inside" w:y="13042" w:anchorLock="0"/>
    </w:pP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21</w:t>
    </w:r>
    <w:r w:rsidRPr="006C40C1">
      <w:fldChar w:fldCharType="end"/>
    </w:r>
  </w:p>
  <w:p w:rsidR="00AA5D77" w:rsidRPr="006C40C1" w:rsidRDefault="00AA5D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fotV"/>
      <w:framePr w:w="8732" w:h="284" w:hRule="exact" w:hSpace="0" w:vSpace="0" w:wrap="around" w:xAlign="inside" w:y="13042" w:anchorLock="0"/>
    </w:pP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14</w:instrText>
    </w:r>
    <w:r w:rsidRPr="006C40C1">
      <w:fldChar w:fldCharType="end"/>
    </w:r>
    <w:r w:rsidRPr="006C40C1">
      <w:instrText xml:space="preserve">/2 </w:instrText>
    </w:r>
    <w:r w:rsidRPr="006C40C1">
      <w:fldChar w:fldCharType="separate"/>
    </w:r>
    <w:r w:rsidRPr="006C40C1">
      <w:instrText>7</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14</w:instrText>
    </w:r>
    <w:r w:rsidRPr="006C40C1">
      <w:fldChar w:fldCharType="end"/>
    </w:r>
    <w:r w:rsidRPr="006C40C1">
      <w:instrText xml:space="preserve">/2) </w:instrText>
    </w:r>
    <w:r w:rsidRPr="006C40C1">
      <w:fldChar w:fldCharType="separate"/>
    </w:r>
    <w:r w:rsidRPr="006C40C1">
      <w:instrText>7</w:instrText>
    </w:r>
    <w:r w:rsidRPr="006C40C1">
      <w:fldChar w:fldCharType="end"/>
    </w:r>
    <w:r w:rsidRPr="006C40C1">
      <w:fldChar w:fldCharType="separate"/>
    </w:r>
    <w:r w:rsidRPr="006C40C1">
      <w:instrText>0</w:instrText>
    </w:r>
    <w:r w:rsidRPr="006C40C1">
      <w:fldChar w:fldCharType="end"/>
    </w:r>
    <w:r w:rsidRPr="006C40C1">
      <w:instrText xml:space="preserve"> = 0 "</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14</w:instrText>
    </w:r>
    <w:r w:rsidRPr="006C40C1">
      <w:fldChar w:fldCharType="end"/>
    </w:r>
  </w:p>
  <w:p w:rsidR="00AA5D77" w:rsidRPr="006C40C1" w:rsidRDefault="00AA5D77">
    <w:pPr>
      <w:pStyle w:val="SidfotV"/>
      <w:framePr w:w="8732" w:h="284" w:hRule="exact" w:hSpace="0" w:vSpace="0" w:wrap="around" w:xAlign="inside" w:y="13042" w:anchorLock="0"/>
    </w:pPr>
    <w:r w:rsidRPr="006C40C1">
      <w:instrText>""</w:instrText>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instrText>15</w:instrText>
    </w:r>
    <w:r w:rsidRPr="006C40C1">
      <w:fldChar w:fldCharType="end"/>
    </w:r>
    <w:r w:rsidRPr="006C40C1">
      <w:instrText>"</w:instrText>
    </w:r>
    <w:r w:rsidRPr="006C40C1">
      <w:fldChar w:fldCharType="separate"/>
    </w:r>
    <w:r w:rsidRPr="006C40C1">
      <w:fldChar w:fldCharType="begin" w:fldLock="1"/>
    </w:r>
    <w:r w:rsidRPr="006C40C1">
      <w:instrText xml:space="preserve"> P</w:instrText>
    </w:r>
    <w:r w:rsidRPr="006C40C1">
      <w:instrText>A</w:instrText>
    </w:r>
    <w:r w:rsidRPr="006C40C1">
      <w:instrText xml:space="preserve">GE </w:instrText>
    </w:r>
    <w:r w:rsidRPr="006C40C1">
      <w:fldChar w:fldCharType="separate"/>
    </w:r>
    <w:r w:rsidRPr="006C40C1">
      <w:t>14</w:t>
    </w:r>
    <w:r w:rsidRPr="006C40C1">
      <w:fldChar w:fldCharType="end"/>
    </w:r>
  </w:p>
  <w:p w:rsidR="00AA5D77" w:rsidRPr="006C40C1" w:rsidRDefault="00AA5D77">
    <w:pPr>
      <w:pStyle w:val="SidfotH"/>
      <w:framePr w:w="8732" w:h="284" w:hRule="exact" w:hSpace="0" w:vSpace="0" w:wrap="around" w:xAlign="inside" w:y="13042" w:anchorLock="0"/>
    </w:pPr>
    <w:r w:rsidRPr="006C40C1">
      <w:fldChar w:fldCharType="end"/>
    </w:r>
  </w:p>
  <w:p w:rsidR="00AA5D77" w:rsidRPr="006C40C1" w:rsidRDefault="00AA5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D77" w:rsidRPr="006C40C1" w:rsidRDefault="00AA5D77">
      <w:pPr>
        <w:pStyle w:val="Sidfot"/>
      </w:pPr>
    </w:p>
  </w:footnote>
  <w:footnote w:type="continuationSeparator" w:id="0">
    <w:p w:rsidR="00AA5D77" w:rsidRPr="006C40C1" w:rsidRDefault="00AA5D77">
      <w:pPr>
        <w:spacing w:before="0" w:line="240" w:lineRule="auto"/>
      </w:pPr>
      <w:r w:rsidRPr="006C40C1">
        <w:continuationSeparator/>
      </w:r>
    </w:p>
  </w:footnote>
  <w:footnote w:id="1">
    <w:p w:rsidR="00AA5D77" w:rsidRPr="006C40C1" w:rsidRDefault="00AA5D77">
      <w:pPr>
        <w:pStyle w:val="Fotnotstext"/>
      </w:pPr>
      <w:r w:rsidRPr="006C40C1">
        <w:rPr>
          <w:rStyle w:val="Fotnotsreferens"/>
        </w:rPr>
        <w:footnoteRef/>
      </w:r>
      <w:r w:rsidRPr="006C40C1">
        <w:t xml:space="preserve"> Senaste lydelse 2001:842.</w:t>
      </w:r>
    </w:p>
    <w:p w:rsidR="00AA5D77" w:rsidRPr="006C40C1" w:rsidRDefault="00AA5D77">
      <w:pPr>
        <w:pStyle w:val="Fotnotstext"/>
      </w:pPr>
    </w:p>
  </w:footnote>
  <w:footnote w:id="2">
    <w:p w:rsidR="00AA5D77" w:rsidRPr="006C40C1" w:rsidRDefault="00AA5D77">
      <w:pPr>
        <w:pStyle w:val="Fotnotstext"/>
      </w:pPr>
      <w:r w:rsidRPr="006C40C1">
        <w:rPr>
          <w:rStyle w:val="Fotnotsreferens"/>
        </w:rPr>
        <w:footnoteRef/>
      </w:r>
      <w:r w:rsidRPr="006C40C1">
        <w:t xml:space="preserve"> Senaste lydelse 2000:1005.</w:t>
      </w:r>
    </w:p>
  </w:footnote>
  <w:footnote w:id="3">
    <w:p w:rsidR="00AA5D77" w:rsidRPr="006C40C1" w:rsidRDefault="00AA5D77">
      <w:pPr>
        <w:pStyle w:val="Fotnotstext"/>
      </w:pPr>
      <w:r w:rsidRPr="006C40C1">
        <w:rPr>
          <w:rStyle w:val="Fotnotsreferens"/>
        </w:rPr>
        <w:footnoteRef/>
      </w:r>
      <w:r w:rsidRPr="006C40C1">
        <w:t xml:space="preserve"> Senaste lydelse 2001:1054.</w:t>
      </w:r>
    </w:p>
  </w:footnote>
  <w:footnote w:id="4">
    <w:p w:rsidR="00AA5D77" w:rsidRPr="006C40C1" w:rsidRDefault="00AA5D77">
      <w:pPr>
        <w:pStyle w:val="Fotnotstext"/>
      </w:pPr>
      <w:r w:rsidRPr="006C40C1">
        <w:rPr>
          <w:rStyle w:val="Fotnotsreferens"/>
        </w:rPr>
        <w:footnoteRef/>
      </w:r>
      <w:r w:rsidRPr="006C40C1">
        <w:t xml:space="preserve"> Senaste lydelse 2002:684</w:t>
      </w:r>
    </w:p>
  </w:footnote>
  <w:footnote w:id="5">
    <w:p w:rsidR="00AA5D77" w:rsidRPr="006C40C1" w:rsidRDefault="00AA5D77">
      <w:pPr>
        <w:pStyle w:val="Fotnotstext"/>
      </w:pPr>
      <w:r w:rsidRPr="006C40C1">
        <w:rPr>
          <w:rStyle w:val="Fotnotsreferens"/>
        </w:rPr>
        <w:footnoteRef/>
      </w:r>
      <w:r w:rsidRPr="006C40C1">
        <w:t xml:space="preserve"> Senaste lydelse 2001:962.</w:t>
      </w:r>
    </w:p>
  </w:footnote>
  <w:footnote w:id="6">
    <w:p w:rsidR="00AA5D77" w:rsidRPr="006C40C1" w:rsidRDefault="00AA5D77">
      <w:pPr>
        <w:pStyle w:val="Fotnotstext"/>
      </w:pPr>
      <w:r w:rsidRPr="006C40C1">
        <w:rPr>
          <w:rStyle w:val="Fotnotsreferens"/>
        </w:rPr>
        <w:footnoteRef/>
      </w:r>
      <w:r w:rsidRPr="006C40C1">
        <w:t xml:space="preserve"> Senaste lydelse 2001:962.</w:t>
      </w:r>
    </w:p>
  </w:footnote>
  <w:footnote w:id="7">
    <w:p w:rsidR="00AA5D77" w:rsidRPr="006C40C1" w:rsidRDefault="00AA5D77">
      <w:pPr>
        <w:pStyle w:val="Fotnotstext"/>
      </w:pPr>
      <w:r w:rsidRPr="006C40C1">
        <w:rPr>
          <w:rStyle w:val="Fotnotsreferens"/>
        </w:rPr>
        <w:footnoteRef/>
      </w:r>
      <w:r w:rsidRPr="006C40C1">
        <w:t xml:space="preserve"> Senaste lydelse 2001:518.</w:t>
      </w:r>
    </w:p>
  </w:footnote>
  <w:footnote w:id="8">
    <w:p w:rsidR="00AA5D77" w:rsidRPr="006C40C1" w:rsidRDefault="00AA5D77">
      <w:pPr>
        <w:pStyle w:val="Fotnotstext"/>
      </w:pPr>
      <w:r w:rsidRPr="006C40C1">
        <w:rPr>
          <w:rStyle w:val="Fotnotsreferens"/>
        </w:rPr>
        <w:footnoteRef/>
      </w:r>
      <w:r w:rsidRPr="006C40C1">
        <w:t xml:space="preserve"> Senaste lydelse 2001:518.</w:t>
      </w:r>
    </w:p>
  </w:footnote>
  <w:footnote w:id="9">
    <w:p w:rsidR="00AA5D77" w:rsidRPr="006C40C1" w:rsidRDefault="00AA5D77">
      <w:pPr>
        <w:pStyle w:val="Fotnotstext"/>
      </w:pPr>
      <w:r w:rsidRPr="006C40C1">
        <w:rPr>
          <w:rStyle w:val="Fotnotsreferens"/>
        </w:rPr>
        <w:footnoteRef/>
      </w:r>
      <w:r w:rsidRPr="006C40C1">
        <w:t xml:space="preserve"> Senaste lydelse 2000:1155.</w:t>
      </w:r>
    </w:p>
  </w:footnote>
  <w:footnote w:id="10">
    <w:p w:rsidR="00AA5D77" w:rsidRPr="006C40C1" w:rsidRDefault="00AA5D77">
      <w:pPr>
        <w:pStyle w:val="Fotnotstext"/>
      </w:pPr>
      <w:r w:rsidRPr="006C40C1">
        <w:rPr>
          <w:rStyle w:val="Fotnotsreferens"/>
        </w:rPr>
        <w:footnoteRef/>
      </w:r>
      <w:r w:rsidRPr="006C40C1">
        <w:t xml:space="preserve"> Senaste lydelse 2001:518.</w:t>
      </w:r>
    </w:p>
  </w:footnote>
  <w:footnote w:id="11">
    <w:p w:rsidR="00AA5D77" w:rsidRPr="006C40C1" w:rsidRDefault="00AA5D77">
      <w:pPr>
        <w:pStyle w:val="Fotnotstext"/>
      </w:pPr>
      <w:r w:rsidRPr="006C40C1">
        <w:rPr>
          <w:rStyle w:val="Fotnotsreferens"/>
        </w:rPr>
        <w:footnoteRef/>
      </w:r>
      <w:r w:rsidRPr="006C40C1">
        <w:t xml:space="preserve"> Senaste lydelse 2000:1155.</w:t>
      </w:r>
    </w:p>
  </w:footnote>
  <w:footnote w:id="12">
    <w:p w:rsidR="00AA5D77" w:rsidRPr="006C40C1" w:rsidRDefault="00AA5D77">
      <w:pPr>
        <w:pStyle w:val="Fotnotstext"/>
      </w:pPr>
      <w:r w:rsidRPr="006C40C1">
        <w:rPr>
          <w:rStyle w:val="Fotnotsreferens"/>
        </w:rPr>
        <w:footnoteRef/>
      </w:r>
      <w:r w:rsidRPr="006C40C1">
        <w:t xml:space="preserve"> Senaste lydelse 2001:518.</w:t>
      </w:r>
    </w:p>
  </w:footnote>
  <w:footnote w:id="13">
    <w:p w:rsidR="00AA5D77" w:rsidRPr="006C40C1" w:rsidRDefault="00AA5D77">
      <w:pPr>
        <w:pStyle w:val="Fotnotstext"/>
      </w:pPr>
      <w:r w:rsidRPr="006C40C1">
        <w:rPr>
          <w:rStyle w:val="Fotnotsreferens"/>
        </w:rPr>
        <w:footnoteRef/>
      </w:r>
      <w:r w:rsidRPr="006C40C1">
        <w:t xml:space="preserve"> Senaste lydelse 2001:962.</w:t>
      </w:r>
    </w:p>
  </w:footnote>
  <w:footnote w:id="14">
    <w:p w:rsidR="00AA5D77" w:rsidRPr="006C40C1" w:rsidRDefault="00AA5D77">
      <w:pPr>
        <w:pStyle w:val="Fotnotstext"/>
      </w:pPr>
      <w:r w:rsidRPr="006C40C1">
        <w:rPr>
          <w:rStyle w:val="Fotnotsreferens"/>
        </w:rPr>
        <w:footnoteRef/>
      </w:r>
      <w:r w:rsidRPr="006C40C1">
        <w:t xml:space="preserve"> Senaste lydelse 2000:1155.</w:t>
      </w:r>
    </w:p>
  </w:footnote>
  <w:footnote w:id="15">
    <w:p w:rsidR="00AA5D77" w:rsidRPr="006C40C1" w:rsidRDefault="00AA5D77">
      <w:pPr>
        <w:pStyle w:val="Fotnotstext"/>
      </w:pPr>
      <w:r w:rsidRPr="006C40C1">
        <w:rPr>
          <w:rStyle w:val="Fotnotsreferens"/>
        </w:rPr>
        <w:footnoteRef/>
      </w:r>
      <w:r w:rsidRPr="006C40C1">
        <w:t xml:space="preserve"> Senaste lydelse 2001:960.</w:t>
      </w:r>
    </w:p>
  </w:footnote>
  <w:footnote w:id="16">
    <w:p w:rsidR="00AA5D77" w:rsidRPr="006C40C1" w:rsidRDefault="00AA5D77">
      <w:pPr>
        <w:pStyle w:val="Fotnotstext"/>
      </w:pPr>
      <w:r w:rsidRPr="006C40C1">
        <w:rPr>
          <w:rStyle w:val="Fotnotsreferens"/>
        </w:rPr>
        <w:footnoteRef/>
      </w:r>
      <w:r w:rsidRPr="006C40C1">
        <w:t xml:space="preserve"> Senaste lydelse 2001:904.</w:t>
      </w:r>
    </w:p>
  </w:footnote>
  <w:footnote w:id="17">
    <w:p w:rsidR="00AA5D77" w:rsidRPr="006C40C1" w:rsidRDefault="00AA5D77">
      <w:pPr>
        <w:pStyle w:val="Fotnotstext"/>
      </w:pPr>
      <w:r w:rsidRPr="006C40C1">
        <w:rPr>
          <w:rStyle w:val="Fotnotsreferens"/>
        </w:rPr>
        <w:footnoteRef/>
      </w:r>
      <w:r w:rsidRPr="006C40C1">
        <w:t xml:space="preserve"> Senaste lydelse 1998:596.</w:t>
      </w:r>
    </w:p>
  </w:footnote>
  <w:footnote w:id="18">
    <w:p w:rsidR="00AA5D77" w:rsidRPr="006C40C1" w:rsidRDefault="00AA5D77">
      <w:pPr>
        <w:pStyle w:val="Fotnotstext"/>
      </w:pPr>
      <w:r w:rsidRPr="006C40C1">
        <w:rPr>
          <w:rStyle w:val="Fotnotsreferens"/>
        </w:rPr>
        <w:footnoteRef/>
      </w:r>
      <w:r w:rsidRPr="006C40C1">
        <w:t xml:space="preserve"> Senaste lydelse 2001:961.</w:t>
      </w:r>
    </w:p>
  </w:footnote>
  <w:footnote w:id="19">
    <w:p w:rsidR="00AA5D77" w:rsidRPr="006C40C1" w:rsidRDefault="00AA5D77">
      <w:pPr>
        <w:pStyle w:val="Fotnotstext"/>
      </w:pPr>
      <w:r w:rsidRPr="006C40C1">
        <w:rPr>
          <w:rStyle w:val="Fotnotsreferens"/>
        </w:rPr>
        <w:footnoteRef/>
      </w:r>
      <w:r w:rsidRPr="006C40C1">
        <w:t xml:space="preserve"> Senste lydelse 2000:1154.</w:t>
      </w:r>
    </w:p>
  </w:footnote>
  <w:footnote w:id="20">
    <w:p w:rsidR="00AA5D77" w:rsidRPr="006C40C1" w:rsidRDefault="00AA5D77">
      <w:pPr>
        <w:pStyle w:val="Fotnotstext"/>
      </w:pPr>
      <w:r w:rsidRPr="006C40C1">
        <w:rPr>
          <w:rStyle w:val="Fotnotsreferens"/>
        </w:rPr>
        <w:footnoteRef/>
      </w:r>
      <w:r w:rsidRPr="006C40C1">
        <w:t xml:space="preserve"> Senaste lydelse 2001:842.</w:t>
      </w:r>
    </w:p>
  </w:footnote>
  <w:footnote w:id="21">
    <w:p w:rsidR="00AA5D77" w:rsidRPr="006C40C1" w:rsidRDefault="00AA5D77">
      <w:pPr>
        <w:pStyle w:val="Fotnotstext"/>
      </w:pPr>
      <w:r w:rsidRPr="006C40C1">
        <w:rPr>
          <w:rStyle w:val="Fotnotsreferens"/>
        </w:rPr>
        <w:footnoteRef/>
      </w:r>
      <w:r w:rsidRPr="006C40C1">
        <w:t xml:space="preserve"> Senaste lydelse 2000:1155.</w:t>
      </w:r>
    </w:p>
  </w:footnote>
  <w:footnote w:id="22">
    <w:p w:rsidR="00AA5D77" w:rsidRPr="006C40C1" w:rsidRDefault="00AA5D77">
      <w:pPr>
        <w:pStyle w:val="Fotnotstext"/>
      </w:pPr>
      <w:r w:rsidRPr="006C40C1">
        <w:rPr>
          <w:rStyle w:val="Fotnotsreferens"/>
        </w:rPr>
        <w:footnoteRef/>
      </w:r>
      <w:r w:rsidRPr="006C40C1">
        <w:t xml:space="preserve"> Senaste lydelse 2000:1155.</w:t>
      </w:r>
    </w:p>
  </w:footnote>
  <w:footnote w:id="23">
    <w:p w:rsidR="00AA5D77" w:rsidRPr="006C40C1" w:rsidRDefault="00AA5D77">
      <w:pPr>
        <w:pStyle w:val="Fotnotstext"/>
      </w:pPr>
      <w:r w:rsidRPr="006C40C1">
        <w:rPr>
          <w:rStyle w:val="Fotnotsreferens"/>
        </w:rPr>
        <w:footnoteRef/>
      </w:r>
      <w:r w:rsidRPr="006C40C1">
        <w:t xml:space="preserve"> Senaste lydelse 2001:838.</w:t>
      </w:r>
    </w:p>
  </w:footnote>
  <w:footnote w:id="24">
    <w:p w:rsidR="00AA5D77" w:rsidRPr="006C40C1" w:rsidRDefault="00AA5D77">
      <w:pPr>
        <w:pStyle w:val="Fotnotstext"/>
      </w:pPr>
      <w:r w:rsidRPr="006C40C1">
        <w:rPr>
          <w:rStyle w:val="Fotnotsreferens"/>
        </w:rPr>
        <w:footnoteRef/>
      </w:r>
      <w:r w:rsidRPr="006C40C1">
        <w:t xml:space="preserve"> Senaste lydelse 2002:0000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r w:rsidRPr="006C40C1">
      <w:rPr>
        <w:rStyle w:val="SidhuvudBilaga"/>
      </w:rPr>
      <w:t xml:space="preserve"> </w:t>
    </w:r>
    <w:r w:rsidRPr="006C40C1">
      <w:rPr>
        <w:rStyle w:val="SidhuvudRubrikReferens"/>
      </w:rPr>
      <w:t>Sammanfattning</w:t>
    </w:r>
  </w:p>
  <w:p w:rsidR="00AA5D77" w:rsidRPr="006C40C1" w:rsidRDefault="00AA5D77">
    <w:pPr>
      <w:pStyle w:val="SidhuvudKantJmn"/>
      <w:framePr w:w="8732" w:h="567" w:hRule="exact" w:vSpace="0" w:wrap="around" w:vAnchor="page" w:y="341" w:anchorLock="0"/>
    </w:pPr>
  </w:p>
  <w:p w:rsidR="00AA5D77" w:rsidRPr="006C40C1" w:rsidRDefault="00AA5D7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624" w:h="5896" w:hRule="exact" w:vSpace="0" w:wrap="around" w:vAnchor="page" w:x="15960" w:y="2949" w:anchorLock="0"/>
      <w:textDirection w:val="tbRl"/>
    </w:pPr>
    <w:r w:rsidRPr="006C40C1">
      <w:rPr>
        <w:rStyle w:val="SidhuvudUtskott"/>
      </w:rPr>
      <w:t>2002/03:FiU1</w:t>
    </w:r>
    <w:r w:rsidRPr="006C40C1">
      <w:t xml:space="preserve">     </w:t>
    </w:r>
    <w:r w:rsidRPr="006C40C1">
      <w:rPr>
        <w:rStyle w:val="SidhuvudBilaga"/>
      </w:rPr>
      <w:t xml:space="preserve"> </w:t>
    </w:r>
    <w:r w:rsidRPr="006C40C1">
      <w:rPr>
        <w:rStyle w:val="SidhuvudRubrikReferens"/>
      </w:rPr>
      <w:t>Utskottets förslag till riksdagsbeslut</w:t>
    </w:r>
  </w:p>
  <w:p w:rsidR="00AA5D77" w:rsidRPr="006C40C1" w:rsidRDefault="00AA5D77">
    <w:pPr>
      <w:pStyle w:val="SidhuvudKantJmn"/>
      <w:framePr w:w="624" w:h="5896" w:hRule="exact" w:vSpace="0" w:wrap="around" w:vAnchor="page" w:x="15960" w:y="2949" w:anchorLock="0"/>
      <w:textDirection w:val="tbRl"/>
    </w:pPr>
  </w:p>
  <w:p w:rsidR="00AA5D77" w:rsidRPr="006C40C1" w:rsidRDefault="00AA5D7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624" w:h="5896" w:hRule="exact" w:vSpace="0" w:wrap="around" w:vAnchor="page" w:x="15960" w:y="2949" w:anchorLock="0"/>
      <w:textDirection w:val="tbRl"/>
    </w:pPr>
    <w:r w:rsidRPr="006C40C1">
      <w:rPr>
        <w:rStyle w:val="SidhuvudRubrikReferens"/>
      </w:rPr>
      <w:t>Utskottets förslag till riksdagsbeslut</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624" w:h="5896" w:hRule="exact" w:vSpace="0" w:wrap="around" w:vAnchor="page" w:x="15960" w:y="2949" w:anchorLock="0"/>
      <w:textDirection w:val="tbRl"/>
    </w:pPr>
  </w:p>
  <w:p w:rsidR="00AA5D77" w:rsidRPr="006C40C1" w:rsidRDefault="00AA5D7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624" w:h="5896" w:hRule="exact" w:vSpace="0" w:wrap="around" w:vAnchor="page" w:x="15960" w:y="2949" w:anchorLock="0"/>
      <w:textDirection w:val="tbRl"/>
    </w:pPr>
    <w:r w:rsidRPr="006C40C1">
      <w:rPr>
        <w:rStyle w:val="SidhuvudUtskott"/>
      </w:rPr>
      <w:t>2002/03:FiU1</w:t>
    </w:r>
    <w:r w:rsidRPr="006C40C1">
      <w:t xml:space="preserve">    </w:t>
    </w:r>
  </w:p>
  <w:p w:rsidR="00AA5D77" w:rsidRPr="006C40C1" w:rsidRDefault="00AA5D77">
    <w:pPr>
      <w:pStyle w:val="SidhuvudKantJmn"/>
      <w:framePr w:w="624" w:h="5896" w:hRule="exact" w:vSpace="0" w:wrap="around" w:vAnchor="page" w:x="15960" w:y="2949" w:anchorLock="0"/>
      <w:textDirection w:val="tbRl"/>
    </w:pPr>
  </w:p>
  <w:p w:rsidR="00AA5D77" w:rsidRPr="006C40C1" w:rsidRDefault="00AA5D77">
    <w:pPr>
      <w:pStyle w:val="SidhuvudKantUdda"/>
      <w:framePr w:w="624" w:h="5896" w:hRule="exact" w:vSpace="0" w:wrap="around" w:vAnchor="page" w:x="15960" w:y="2949" w:anchorLock="0"/>
      <w:textDirection w:val="tbRl"/>
    </w:pPr>
    <w:r w:rsidRPr="006C40C1">
      <w:rPr>
        <w:rStyle w:val="SidhuvudRubrikReferens"/>
        <w:smallCaps w:val="0"/>
        <w:spacing w:val="0"/>
        <w:sz w:val="19"/>
      </w:rPr>
      <w:t xml:space="preserve"> </w:t>
    </w:r>
  </w:p>
  <w:p w:rsidR="00AA5D77" w:rsidRPr="006C40C1" w:rsidRDefault="00AA5D7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r w:rsidRPr="006C40C1">
      <w:rPr>
        <w:rStyle w:val="SidhuvudBilaga"/>
      </w:rPr>
      <w:t xml:space="preserve"> </w:t>
    </w:r>
    <w:r w:rsidRPr="006C40C1">
      <w:rPr>
        <w:rStyle w:val="SidhuvudRubrikReferens"/>
      </w:rPr>
      <w:t>Utskottets förslag till riksdagsbeslut</w:t>
    </w:r>
  </w:p>
  <w:p w:rsidR="00AA5D77" w:rsidRPr="006C40C1" w:rsidRDefault="00AA5D77">
    <w:pPr>
      <w:pStyle w:val="SidhuvudKantJmn"/>
      <w:framePr w:w="8732" w:h="567" w:hRule="exact" w:vSpace="0" w:wrap="around" w:vAnchor="page" w:y="341" w:anchorLock="0"/>
    </w:pPr>
  </w:p>
  <w:p w:rsidR="00AA5D77" w:rsidRPr="006C40C1" w:rsidRDefault="00AA5D7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rPr>
        <w:rStyle w:val="SidhuvudRubrikReferens"/>
      </w:rPr>
      <w:t>Utskottets förslag till riksdagsbeslut</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p>
  <w:p w:rsidR="00AA5D77" w:rsidRPr="006C40C1" w:rsidRDefault="00AA5D77">
    <w:pPr>
      <w:pStyle w:val="SidhuvudKantJmn"/>
      <w:framePr w:w="8732" w:h="567" w:hRule="exact" w:vSpace="0" w:wrap="around" w:vAnchor="page" w:y="341" w:anchorLock="0"/>
    </w:pPr>
  </w:p>
  <w:p w:rsidR="00AA5D77" w:rsidRPr="006C40C1" w:rsidRDefault="00AA5D77">
    <w:pPr>
      <w:pStyle w:val="SidhuvudKantUdda"/>
      <w:framePr w:w="8732" w:h="567" w:hRule="exact" w:vSpace="0" w:wrap="around" w:vAnchor="page" w:y="341" w:anchorLock="0"/>
    </w:pPr>
    <w:r w:rsidRPr="006C40C1">
      <w:rPr>
        <w:rStyle w:val="SidhuvudRubrikReferens"/>
        <w:smallCaps w:val="0"/>
        <w:spacing w:val="0"/>
        <w:sz w:val="19"/>
      </w:rPr>
      <w:t xml:space="preserve"> </w:t>
    </w:r>
  </w:p>
  <w:p w:rsidR="00AA5D77" w:rsidRPr="006C40C1" w:rsidRDefault="00AA5D7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fldChar w:fldCharType="begin" w:fldLock="1"/>
    </w:r>
    <w:r w:rsidRPr="006C40C1">
      <w:rPr>
        <w:rStyle w:val="SidhuvudUtskott"/>
      </w:rPr>
      <w:instrText xml:space="preserve"> DOCPROPERTY BetänkandeÅr</w:instrText>
    </w:r>
    <w:r w:rsidRPr="006C40C1">
      <w:rPr>
        <w:rStyle w:val="SidhuvudUtskott"/>
      </w:rPr>
      <w:fldChar w:fldCharType="separate"/>
    </w:r>
    <w:r w:rsidRPr="006C40C1">
      <w:rPr>
        <w:rStyle w:val="SidhuvudUtskott"/>
      </w:rPr>
      <w:t>2002/03</w:t>
    </w:r>
    <w:r w:rsidRPr="006C40C1">
      <w:rPr>
        <w:rStyle w:val="SidhuvudUtskott"/>
      </w:rPr>
      <w:fldChar w:fldCharType="end"/>
    </w:r>
    <w:r w:rsidRPr="006C40C1">
      <w:rPr>
        <w:rStyle w:val="SidhuvudUtskott"/>
      </w:rPr>
      <w:t>:</w:t>
    </w:r>
    <w:r w:rsidRPr="006C40C1">
      <w:rPr>
        <w:rStyle w:val="SidhuvudUtskott"/>
      </w:rPr>
      <w:fldChar w:fldCharType="begin" w:fldLock="1"/>
    </w:r>
    <w:r w:rsidRPr="006C40C1">
      <w:rPr>
        <w:rStyle w:val="SidhuvudUtskott"/>
      </w:rPr>
      <w:instrText xml:space="preserve"> DOCPROPERTY Utskott</w:instrText>
    </w:r>
    <w:r w:rsidRPr="006C40C1">
      <w:rPr>
        <w:rStyle w:val="SidhuvudUtskott"/>
      </w:rPr>
      <w:fldChar w:fldCharType="separate"/>
    </w:r>
    <w:r w:rsidRPr="006C40C1">
      <w:rPr>
        <w:rStyle w:val="SidhuvudUtskott"/>
      </w:rPr>
      <w:t>FiU</w:t>
    </w:r>
    <w:r w:rsidRPr="006C40C1">
      <w:rPr>
        <w:rStyle w:val="SidhuvudUtskott"/>
      </w:rPr>
      <w:fldChar w:fldCharType="end"/>
    </w:r>
    <w:r w:rsidRPr="006C40C1">
      <w:rPr>
        <w:rStyle w:val="SidhuvudUtskott"/>
      </w:rPr>
      <w:fldChar w:fldCharType="begin" w:fldLock="1"/>
    </w:r>
    <w:r w:rsidRPr="006C40C1">
      <w:rPr>
        <w:rStyle w:val="SidhuvudUtskott"/>
      </w:rPr>
      <w:instrText xml:space="preserve"> DOCPROPERTY BetänkandeNr</w:instrText>
    </w:r>
    <w:r w:rsidRPr="006C40C1">
      <w:rPr>
        <w:rStyle w:val="SidhuvudUtskott"/>
      </w:rPr>
      <w:fldChar w:fldCharType="separate"/>
    </w:r>
    <w:r w:rsidRPr="006C40C1">
      <w:rPr>
        <w:rStyle w:val="SidhuvudUtskott"/>
      </w:rPr>
      <w:t>1</w:t>
    </w:r>
    <w:r w:rsidRPr="006C40C1">
      <w:rPr>
        <w:rStyle w:val="SidhuvudUtskott"/>
      </w:rPr>
      <w:fldChar w:fldCharType="end"/>
    </w:r>
    <w:r w:rsidRPr="006C40C1">
      <w:t xml:space="preserve">     </w:t>
    </w:r>
    <w:r w:rsidRPr="006C40C1">
      <w:rPr>
        <w:rStyle w:val="SidhuvudBilaga"/>
      </w:rPr>
      <w:t xml:space="preserve"> </w:t>
    </w:r>
    <w:r w:rsidRPr="006C40C1">
      <w:rPr>
        <w:rStyle w:val="SidhuvudRubrikReferens"/>
      </w:rPr>
      <w:fldChar w:fldCharType="begin" w:fldLock="1"/>
    </w:r>
    <w:r w:rsidRPr="006C40C1">
      <w:rPr>
        <w:rStyle w:val="SidhuvudRubrikReferens"/>
      </w:rPr>
      <w:instrText xml:space="preserve"> StyleREF "Rubrik 1" </w:instrText>
    </w:r>
    <w:r w:rsidRPr="006C40C1">
      <w:rPr>
        <w:rStyle w:val="SidhuvudRubrikReferens"/>
      </w:rPr>
      <w:fldChar w:fldCharType="separate"/>
    </w:r>
    <w:r w:rsidRPr="006C40C1">
      <w:rPr>
        <w:rStyle w:val="SidhuvudRubrikReferens"/>
      </w:rPr>
      <w:t>Utskottets förslag till riksdagsbeslut</w:t>
    </w:r>
    <w:r w:rsidRPr="006C40C1">
      <w:rPr>
        <w:rStyle w:val="SidhuvudRubrikReferens"/>
      </w:rPr>
      <w:fldChar w:fldCharType="end"/>
    </w:r>
  </w:p>
  <w:p w:rsidR="00AA5D77" w:rsidRPr="006C40C1" w:rsidRDefault="00AA5D77">
    <w:pPr>
      <w:pStyle w:val="SidhuvudKantJmn"/>
      <w:framePr w:w="8732" w:h="567" w:hRule="exact" w:vSpace="0" w:wrap="around" w:vAnchor="page" w:y="341" w:anchorLock="0"/>
    </w:pPr>
    <w:r w:rsidRPr="006C40C1">
      <w:rPr>
        <w:rStyle w:val="SidhuvudUtskott"/>
      </w:rPr>
      <w:fldChar w:fldCharType="begin" w:fldLock="1"/>
    </w:r>
    <w:r w:rsidRPr="006C40C1">
      <w:rPr>
        <w:rStyle w:val="SidhuvudUtskott"/>
      </w:rPr>
      <w:instrText xml:space="preserve"> DOCPROPERTY Status</w:instrText>
    </w:r>
    <w:r w:rsidRPr="006C40C1">
      <w:rPr>
        <w:rStyle w:val="SidhuvudUtskott"/>
      </w:rPr>
      <w:fldChar w:fldCharType="end"/>
    </w:r>
    <w:r w:rsidRPr="006C40C1">
      <w:rPr>
        <w:rStyle w:val="SidhuvudUtskott"/>
      </w:rPr>
      <w:fldChar w:fldCharType="begin" w:fldLock="1"/>
    </w:r>
    <w:r w:rsidRPr="006C40C1">
      <w:rPr>
        <w:rStyle w:val="SidhuvudUtskott"/>
      </w:rPr>
      <w:instrText xml:space="preserve"> if </w:instrText>
    </w:r>
    <w:r w:rsidRPr="006C40C1">
      <w:rPr>
        <w:rStyle w:val="SidhuvudUtskott"/>
      </w:rPr>
      <w:fldChar w:fldCharType="begin" w:fldLock="1"/>
    </w:r>
    <w:r w:rsidRPr="006C40C1">
      <w:rPr>
        <w:rStyle w:val="SidhuvudUtskott"/>
      </w:rPr>
      <w:instrText xml:space="preserve"> DOCPROPERTY "UtkastDatum"</w:instrText>
    </w:r>
    <w:r w:rsidRPr="006C40C1">
      <w:rPr>
        <w:rStyle w:val="SidhuvudUtskott"/>
      </w:rPr>
      <w:fldChar w:fldCharType="separate"/>
    </w:r>
    <w:r w:rsidRPr="006C40C1">
      <w:rPr>
        <w:rStyle w:val="SidhuvudUtskott"/>
      </w:rPr>
      <w:instrText>Nej</w:instrText>
    </w:r>
    <w:r w:rsidRPr="006C40C1">
      <w:rPr>
        <w:rStyle w:val="SidhuvudUtskott"/>
      </w:rPr>
      <w:fldChar w:fldCharType="end"/>
    </w:r>
    <w:r w:rsidRPr="006C40C1">
      <w:rPr>
        <w:rStyle w:val="SidhuvudUtskott"/>
      </w:rPr>
      <w:instrText xml:space="preserve"> = "Ja" "    </w:instrText>
    </w:r>
    <w:r w:rsidRPr="006C40C1">
      <w:rPr>
        <w:rStyle w:val="SidhuvudUtskott"/>
      </w:rPr>
      <w:fldChar w:fldCharType="begin" w:fldLock="1"/>
    </w:r>
    <w:r w:rsidRPr="006C40C1">
      <w:rPr>
        <w:rStyle w:val="SidhuvudUtskott"/>
      </w:rPr>
      <w:instrText xml:space="preserve"> PRINTDATE \@ "yyyy-MM-dd HH.mm" </w:instrText>
    </w:r>
    <w:r w:rsidRPr="006C40C1">
      <w:rPr>
        <w:rStyle w:val="SidhuvudUtskott"/>
      </w:rPr>
      <w:fldChar w:fldCharType="separate"/>
    </w:r>
    <w:r w:rsidRPr="006C40C1">
      <w:rPr>
        <w:rStyle w:val="SidhuvudUtskott"/>
      </w:rPr>
      <w:instrText>2000-08-11 16.42</w:instrText>
    </w:r>
    <w:r w:rsidRPr="006C40C1">
      <w:rPr>
        <w:rStyle w:val="SidhuvudUtskott"/>
      </w:rPr>
      <w:fldChar w:fldCharType="end"/>
    </w:r>
    <w:r w:rsidRPr="006C40C1">
      <w:rPr>
        <w:rStyle w:val="SidhuvudUtskott"/>
      </w:rPr>
      <w:instrText xml:space="preserve">" </w:instrText>
    </w:r>
    <w:r w:rsidRPr="006C40C1">
      <w:rPr>
        <w:rStyle w:val="SidhuvudUtskott"/>
      </w:rPr>
      <w:fldChar w:fldCharType="end"/>
    </w:r>
  </w:p>
  <w:p w:rsidR="00AA5D77" w:rsidRPr="006C40C1" w:rsidRDefault="00AA5D7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rPr>
        <w:rStyle w:val="SidhuvudRubrikReferens"/>
      </w:rPr>
      <w:t>Redogörelse för ärendet</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p>
  <w:p w:rsidR="00AA5D77" w:rsidRPr="006C40C1" w:rsidRDefault="00AA5D77">
    <w:pPr>
      <w:pStyle w:val="SidhuvudKantJmn"/>
      <w:framePr w:w="8732" w:h="567" w:hRule="exact" w:vSpace="0" w:wrap="around" w:vAnchor="page" w:y="341" w:anchorLock="0"/>
    </w:pPr>
  </w:p>
  <w:p w:rsidR="00AA5D77" w:rsidRPr="006C40C1" w:rsidRDefault="00AA5D77">
    <w:pPr>
      <w:pStyle w:val="SidhuvudKantUdda"/>
      <w:framePr w:w="8732" w:h="567" w:hRule="exact" w:vSpace="0" w:wrap="around" w:vAnchor="page" w:y="341" w:anchorLock="0"/>
    </w:pPr>
    <w:r w:rsidRPr="006C40C1">
      <w:rPr>
        <w:rStyle w:val="SidhuvudRubrikReferens"/>
        <w:smallCaps w:val="0"/>
        <w:spacing w:val="0"/>
        <w:sz w:val="19"/>
      </w:rPr>
      <w:t xml:space="preserve"> </w:t>
    </w:r>
  </w:p>
  <w:p w:rsidR="00AA5D77" w:rsidRPr="006C40C1" w:rsidRDefault="00AA5D7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r w:rsidRPr="006C40C1">
      <w:rPr>
        <w:rStyle w:val="SidhuvudBilaga"/>
      </w:rPr>
      <w:t xml:space="preserve"> </w:t>
    </w:r>
    <w:r w:rsidRPr="006C40C1">
      <w:rPr>
        <w:rStyle w:val="SidhuvudRubrikReferens"/>
      </w:rPr>
      <w:t>1 Den ekonomiska politiken</w:t>
    </w:r>
  </w:p>
  <w:p w:rsidR="00AA5D77" w:rsidRPr="006C40C1" w:rsidRDefault="00AA5D77">
    <w:pPr>
      <w:pStyle w:val="SidhuvudKantJmn"/>
      <w:framePr w:w="8732" w:h="567" w:hRule="exact" w:vSpace="0" w:wrap="around" w:vAnchor="page" w:y="341" w:anchorLock="0"/>
    </w:pPr>
  </w:p>
  <w:p w:rsidR="00AA5D77" w:rsidRPr="006C40C1" w:rsidRDefault="00AA5D7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rPr>
        <w:rStyle w:val="SidhuvudRubrikReferens"/>
      </w:rPr>
      <w:t>Sammanfattning</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rPr>
        <w:rStyle w:val="SidhuvudRubrikReferens"/>
      </w:rPr>
      <w:t>1 Den ekonomiska politiken</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p>
  <w:p w:rsidR="00AA5D77" w:rsidRPr="006C40C1" w:rsidRDefault="00AA5D77">
    <w:pPr>
      <w:pStyle w:val="SidhuvudKantJmn"/>
      <w:framePr w:w="8732" w:h="567" w:hRule="exact" w:vSpace="0" w:wrap="around" w:vAnchor="page" w:y="341" w:anchorLock="0"/>
    </w:pPr>
  </w:p>
  <w:p w:rsidR="00AA5D77" w:rsidRPr="006C40C1" w:rsidRDefault="00AA5D77">
    <w:pPr>
      <w:pStyle w:val="SidhuvudKantUdda"/>
      <w:framePr w:w="8732" w:h="567" w:hRule="exact" w:vSpace="0" w:wrap="around" w:vAnchor="page" w:y="341" w:anchorLock="0"/>
    </w:pPr>
    <w:r w:rsidRPr="006C40C1">
      <w:rPr>
        <w:rStyle w:val="SidhuvudRubrikReferens"/>
        <w:smallCaps w:val="0"/>
        <w:spacing w:val="0"/>
        <w:sz w:val="19"/>
      </w:rPr>
      <w:t xml:space="preserve"> </w:t>
    </w:r>
  </w:p>
  <w:p w:rsidR="00AA5D77" w:rsidRPr="006C40C1" w:rsidRDefault="00AA5D7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957" w:h="624" w:hRule="exact" w:vSpace="0" w:wrap="around" w:vAnchor="page" w:y="171" w:anchorLock="0"/>
    </w:pPr>
    <w:r w:rsidRPr="006C40C1">
      <w:rPr>
        <w:rStyle w:val="SidhuvudUtskott"/>
      </w:rPr>
      <w:t>2002/03:FiU1</w:t>
    </w:r>
    <w:r w:rsidRPr="006C40C1">
      <w:t xml:space="preserve">     </w:t>
    </w:r>
    <w:r w:rsidRPr="006C40C1">
      <w:rPr>
        <w:rStyle w:val="SidhuvudBilaga"/>
      </w:rPr>
      <w:t xml:space="preserve"> </w:t>
    </w:r>
    <w:r w:rsidRPr="006C40C1">
      <w:rPr>
        <w:rStyle w:val="SidhuvudRubrikReferens"/>
      </w:rPr>
      <w:t>2 Budgetpolitikens inriktning och utgiftstak för staten</w:t>
    </w:r>
  </w:p>
  <w:p w:rsidR="00AA5D77" w:rsidRPr="006C40C1" w:rsidRDefault="00AA5D77">
    <w:pPr>
      <w:pStyle w:val="SidhuvudKantJmn"/>
      <w:framePr w:w="8957" w:h="624" w:hRule="exact" w:vSpace="0" w:wrap="around" w:vAnchor="page" w:y="171" w:anchorLock="0"/>
    </w:pPr>
  </w:p>
  <w:p w:rsidR="00AA5D77" w:rsidRPr="006C40C1" w:rsidRDefault="00AA5D7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957" w:h="624" w:hRule="exact" w:vSpace="0" w:wrap="around" w:vAnchor="page" w:y="171" w:anchorLock="0"/>
    </w:pPr>
    <w:r w:rsidRPr="006C40C1">
      <w:rPr>
        <w:rStyle w:val="SidhuvudRubrikReferens"/>
      </w:rPr>
      <w:t>2 Budgetpolitikens inriktning och utgiftstak för staten</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957" w:h="624" w:hRule="exact" w:vSpace="0" w:wrap="around" w:vAnchor="page" w:y="171" w:anchorLock="0"/>
    </w:pPr>
  </w:p>
  <w:p w:rsidR="00AA5D77" w:rsidRPr="006C40C1" w:rsidRDefault="00AA5D7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957" w:h="624" w:hRule="exact" w:vSpace="0" w:wrap="around" w:vAnchor="page" w:y="171" w:anchorLock="0"/>
    </w:pPr>
    <w:r w:rsidRPr="006C40C1">
      <w:rPr>
        <w:rStyle w:val="SidhuvudUtskott"/>
      </w:rPr>
      <w:t>2002/03:FiU1</w:t>
    </w:r>
    <w:r w:rsidRPr="006C40C1">
      <w:t xml:space="preserve">    </w:t>
    </w:r>
  </w:p>
  <w:p w:rsidR="00AA5D77" w:rsidRPr="006C40C1" w:rsidRDefault="00AA5D77">
    <w:pPr>
      <w:pStyle w:val="SidhuvudKantJmn"/>
      <w:framePr w:w="8957" w:h="624" w:hRule="exact" w:vSpace="0" w:wrap="around" w:vAnchor="page" w:y="171" w:anchorLock="0"/>
    </w:pPr>
  </w:p>
  <w:p w:rsidR="00AA5D77" w:rsidRPr="006C40C1" w:rsidRDefault="00AA5D77">
    <w:pPr>
      <w:pStyle w:val="SidhuvudKantUdda"/>
      <w:framePr w:w="8957" w:h="624" w:hRule="exact" w:vSpace="0" w:wrap="around" w:vAnchor="page" w:y="171" w:anchorLock="0"/>
    </w:pPr>
    <w:r w:rsidRPr="006C40C1">
      <w:rPr>
        <w:rStyle w:val="SidhuvudRubrikReferens"/>
        <w:smallCaps w:val="0"/>
        <w:spacing w:val="0"/>
        <w:sz w:val="19"/>
      </w:rPr>
      <w:t xml:space="preserve"> </w:t>
    </w:r>
  </w:p>
  <w:p w:rsidR="00AA5D77" w:rsidRPr="006C40C1" w:rsidRDefault="00AA5D7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r w:rsidRPr="006C40C1">
      <w:rPr>
        <w:rStyle w:val="SidhuvudBilaga"/>
      </w:rPr>
      <w:t xml:space="preserve"> </w:t>
    </w:r>
    <w:r w:rsidRPr="006C40C1">
      <w:rPr>
        <w:rStyle w:val="SidhuvudRubrikReferens"/>
      </w:rPr>
      <w:t>3 Skatter och övriga inkomster</w:t>
    </w:r>
  </w:p>
  <w:p w:rsidR="00AA5D77" w:rsidRPr="006C40C1" w:rsidRDefault="00AA5D77">
    <w:pPr>
      <w:pStyle w:val="SidhuvudKantJmn"/>
      <w:framePr w:w="8732" w:h="567" w:hRule="exact" w:vSpace="0" w:wrap="around" w:vAnchor="page" w:y="341" w:anchorLock="0"/>
    </w:pPr>
  </w:p>
  <w:p w:rsidR="00AA5D77" w:rsidRPr="006C40C1" w:rsidRDefault="00AA5D7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rPr>
        <w:rStyle w:val="SidhuvudRubrikReferens"/>
      </w:rPr>
      <w:t>3 Skatter och övriga inkomster</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957" w:h="624" w:hRule="exact" w:vSpace="0" w:wrap="around" w:vAnchor="page" w:y="171" w:anchorLock="0"/>
    </w:pPr>
    <w:r w:rsidRPr="006C40C1">
      <w:rPr>
        <w:rStyle w:val="SidhuvudUtskott"/>
      </w:rPr>
      <w:t>2002/03:FiU1</w:t>
    </w:r>
    <w:r w:rsidRPr="006C40C1">
      <w:t xml:space="preserve">     </w:t>
    </w:r>
    <w:r w:rsidRPr="006C40C1">
      <w:rPr>
        <w:rStyle w:val="SidhuvudBilaga"/>
      </w:rPr>
      <w:t xml:space="preserve"> </w:t>
    </w:r>
    <w:r w:rsidRPr="006C40C1">
      <w:rPr>
        <w:rStyle w:val="SidhuvudRubrikReferens"/>
      </w:rPr>
      <w:t>4 Utgifter</w:t>
    </w:r>
  </w:p>
  <w:p w:rsidR="00AA5D77" w:rsidRPr="006C40C1" w:rsidRDefault="00AA5D77">
    <w:pPr>
      <w:pStyle w:val="SidhuvudKantJmn"/>
      <w:framePr w:w="8957" w:h="624" w:hRule="exact" w:vSpace="0" w:wrap="around" w:vAnchor="page" w:y="171" w:anchorLock="0"/>
    </w:pPr>
  </w:p>
  <w:p w:rsidR="00AA5D77" w:rsidRPr="006C40C1" w:rsidRDefault="00AA5D77">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957" w:h="624" w:hRule="exact" w:vSpace="0" w:wrap="around" w:vAnchor="page" w:y="171" w:anchorLock="0"/>
    </w:pPr>
    <w:r w:rsidRPr="006C40C1">
      <w:rPr>
        <w:rStyle w:val="SidhuvudRubrikReferens"/>
      </w:rPr>
      <w:t>4 Utgifter</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957" w:h="624" w:hRule="exact" w:vSpace="0" w:wrap="around" w:vAnchor="page" w:y="171" w:anchorLock="0"/>
    </w:pPr>
  </w:p>
  <w:p w:rsidR="00AA5D77" w:rsidRPr="006C40C1" w:rsidRDefault="00AA5D7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fldChar w:fldCharType="begin" w:fldLock="1"/>
    </w:r>
    <w:r w:rsidRPr="006C40C1">
      <w:instrText xml:space="preserve"> if </w:instrText>
    </w:r>
    <w:r w:rsidRPr="006C40C1">
      <w:fldChar w:fldCharType="begin" w:fldLock="1"/>
    </w:r>
    <w:r w:rsidRPr="006C40C1">
      <w:instrText xml:space="preserve"> page</w:instrText>
    </w:r>
    <w:r w:rsidRPr="006C40C1">
      <w:fldChar w:fldCharType="separate"/>
    </w:r>
    <w:r w:rsidR="006C40C1">
      <w:rPr>
        <w:noProof/>
      </w:rPr>
      <w:instrText>1</w:instrText>
    </w:r>
    <w:r w:rsidRPr="006C40C1">
      <w:fldChar w:fldCharType="end"/>
    </w:r>
    <w:r w:rsidRPr="006C40C1">
      <w:instrText xml:space="preserve"> &gt; 1 "</w:instrText>
    </w:r>
    <w:r w:rsidRPr="006C40C1">
      <w:fldChar w:fldCharType="begin" w:fldLock="1"/>
    </w:r>
    <w:r w:rsidRPr="006C40C1">
      <w:instrText xml:space="preserve"> if </w:instrText>
    </w:r>
    <w:r w:rsidRPr="006C40C1">
      <w:fldChar w:fldCharType="begin" w:fldLock="1"/>
    </w:r>
    <w:r w:rsidRPr="006C40C1">
      <w:instrText xml:space="preserve"> = </w:instrText>
    </w:r>
    <w:r w:rsidRPr="006C40C1">
      <w:fldChar w:fldCharType="begin" w:fldLock="1"/>
    </w:r>
    <w:r w:rsidRPr="006C40C1">
      <w:instrText xml:space="preserve"> = </w:instrText>
    </w:r>
    <w:r w:rsidRPr="006C40C1">
      <w:fldChar w:fldCharType="begin" w:fldLock="1"/>
    </w:r>
    <w:r w:rsidRPr="006C40C1">
      <w:instrText xml:space="preserve"> page</w:instrText>
    </w:r>
    <w:r w:rsidRPr="006C40C1">
      <w:fldChar w:fldCharType="separate"/>
    </w:r>
    <w:r w:rsidRPr="006C40C1">
      <w:instrText>17</w:instrText>
    </w:r>
    <w:r w:rsidRPr="006C40C1">
      <w:fldChar w:fldCharType="end"/>
    </w:r>
    <w:r w:rsidRPr="006C40C1">
      <w:instrText xml:space="preserve">/2 </w:instrText>
    </w:r>
    <w:r w:rsidRPr="006C40C1">
      <w:fldChar w:fldCharType="separate"/>
    </w:r>
    <w:r w:rsidRPr="006C40C1">
      <w:instrText>8,5</w:instrText>
    </w:r>
    <w:r w:rsidRPr="006C40C1">
      <w:fldChar w:fldCharType="end"/>
    </w:r>
    <w:r w:rsidRPr="006C40C1">
      <w:instrText xml:space="preserve"> - </w:instrText>
    </w:r>
    <w:r w:rsidRPr="006C40C1">
      <w:fldChar w:fldCharType="begin" w:fldLock="1"/>
    </w:r>
    <w:r w:rsidRPr="006C40C1">
      <w:instrText xml:space="preserve"> = int(</w:instrText>
    </w:r>
    <w:r w:rsidRPr="006C40C1">
      <w:fldChar w:fldCharType="begin" w:fldLock="1"/>
    </w:r>
    <w:r w:rsidRPr="006C40C1">
      <w:instrText xml:space="preserve"> page</w:instrText>
    </w:r>
    <w:r w:rsidRPr="006C40C1">
      <w:fldChar w:fldCharType="separate"/>
    </w:r>
    <w:r w:rsidRPr="006C40C1">
      <w:instrText>17</w:instrText>
    </w:r>
    <w:r w:rsidRPr="006C40C1">
      <w:fldChar w:fldCharType="end"/>
    </w:r>
    <w:r w:rsidRPr="006C40C1">
      <w:instrText xml:space="preserve">/2) </w:instrText>
    </w:r>
    <w:r w:rsidRPr="006C40C1">
      <w:fldChar w:fldCharType="separate"/>
    </w:r>
    <w:r w:rsidRPr="006C40C1">
      <w:instrText>8</w:instrText>
    </w:r>
    <w:r w:rsidRPr="006C40C1">
      <w:fldChar w:fldCharType="end"/>
    </w:r>
    <w:r w:rsidRPr="006C40C1">
      <w:fldChar w:fldCharType="separate"/>
    </w:r>
    <w:r w:rsidRPr="006C40C1">
      <w:instrText>0,5</w:instrText>
    </w:r>
    <w:r w:rsidRPr="006C40C1">
      <w:fldChar w:fldCharType="end"/>
    </w:r>
    <w:r w:rsidRPr="006C40C1">
      <w:instrText xml:space="preserve"> = 0 "</w:instrText>
    </w:r>
    <w:r w:rsidRPr="006C40C1">
      <w:rPr>
        <w:rStyle w:val="SidhuvudUtskott"/>
      </w:rPr>
      <w:fldChar w:fldCharType="begin" w:fldLock="1"/>
    </w:r>
    <w:r w:rsidRPr="006C40C1">
      <w:rPr>
        <w:rStyle w:val="SidhuvudUtskott"/>
      </w:rPr>
      <w:instrText xml:space="preserve"> DOCPROPERTY BetänkandeÅr</w:instrText>
    </w:r>
    <w:r w:rsidRPr="006C40C1">
      <w:rPr>
        <w:rStyle w:val="SidhuvudUtskott"/>
      </w:rPr>
      <w:fldChar w:fldCharType="separate"/>
    </w:r>
    <w:r w:rsidRPr="006C40C1">
      <w:rPr>
        <w:rStyle w:val="SidhuvudUtskott"/>
      </w:rPr>
      <w:instrText>1999/2000</w:instrText>
    </w:r>
    <w:r w:rsidRPr="006C40C1">
      <w:rPr>
        <w:rStyle w:val="SidhuvudUtskott"/>
      </w:rPr>
      <w:fldChar w:fldCharType="end"/>
    </w:r>
    <w:r w:rsidRPr="006C40C1">
      <w:rPr>
        <w:rStyle w:val="SidhuvudUtskott"/>
      </w:rPr>
      <w:instrText>:</w:instrText>
    </w:r>
    <w:r w:rsidRPr="006C40C1">
      <w:rPr>
        <w:rStyle w:val="SidhuvudUtskott"/>
      </w:rPr>
      <w:fldChar w:fldCharType="begin" w:fldLock="1"/>
    </w:r>
    <w:r w:rsidRPr="006C40C1">
      <w:rPr>
        <w:rStyle w:val="SidhuvudUtskott"/>
      </w:rPr>
      <w:instrText xml:space="preserve"> DOCPR</w:instrText>
    </w:r>
    <w:r w:rsidRPr="006C40C1">
      <w:rPr>
        <w:rStyle w:val="SidhuvudUtskott"/>
      </w:rPr>
      <w:instrText>O</w:instrText>
    </w:r>
    <w:r w:rsidRPr="006C40C1">
      <w:rPr>
        <w:rStyle w:val="SidhuvudUtskott"/>
      </w:rPr>
      <w:instrText>PE</w:instrText>
    </w:r>
    <w:r w:rsidRPr="006C40C1">
      <w:rPr>
        <w:rStyle w:val="SidhuvudUtskott"/>
      </w:rPr>
      <w:instrText>R</w:instrText>
    </w:r>
    <w:r w:rsidRPr="006C40C1">
      <w:rPr>
        <w:rStyle w:val="SidhuvudUtskott"/>
      </w:rPr>
      <w:instrText>TY Utskott</w:instrText>
    </w:r>
    <w:r w:rsidRPr="006C40C1">
      <w:rPr>
        <w:rStyle w:val="SidhuvudUtskott"/>
      </w:rPr>
      <w:fldChar w:fldCharType="separate"/>
    </w:r>
    <w:r w:rsidRPr="006C40C1">
      <w:rPr>
        <w:rStyle w:val="SidhuvudUtskott"/>
      </w:rPr>
      <w:instrText>BoU</w:instrText>
    </w:r>
    <w:r w:rsidRPr="006C40C1">
      <w:rPr>
        <w:rStyle w:val="SidhuvudUtskott"/>
      </w:rPr>
      <w:fldChar w:fldCharType="end"/>
    </w:r>
    <w:r w:rsidRPr="006C40C1">
      <w:rPr>
        <w:rStyle w:val="SidhuvudUtskott"/>
      </w:rPr>
      <w:fldChar w:fldCharType="begin" w:fldLock="1"/>
    </w:r>
    <w:r w:rsidRPr="006C40C1">
      <w:rPr>
        <w:rStyle w:val="SidhuvudUtskott"/>
      </w:rPr>
      <w:instrText xml:space="preserve"> DOCPROPERTY BetänkandeNr</w:instrText>
    </w:r>
    <w:r w:rsidRPr="006C40C1">
      <w:rPr>
        <w:rStyle w:val="SidhuvudUtskott"/>
      </w:rPr>
      <w:fldChar w:fldCharType="separate"/>
    </w:r>
    <w:r w:rsidRPr="006C40C1">
      <w:rPr>
        <w:rStyle w:val="SidhuvudUtskott"/>
      </w:rPr>
      <w:instrText>6678</w:instrText>
    </w:r>
    <w:r w:rsidRPr="006C40C1">
      <w:rPr>
        <w:rStyle w:val="SidhuvudUtskott"/>
      </w:rPr>
      <w:fldChar w:fldCharType="end"/>
    </w:r>
    <w:r w:rsidRPr="006C40C1">
      <w:instrText xml:space="preserve">    </w:instrText>
    </w:r>
  </w:p>
  <w:p w:rsidR="00AA5D77" w:rsidRPr="006C40C1" w:rsidRDefault="00AA5D77">
    <w:pPr>
      <w:pStyle w:val="SidhuvudKantJmn"/>
      <w:framePr w:w="8732" w:h="567" w:hRule="exact" w:vSpace="0" w:wrap="around" w:vAnchor="page" w:y="341" w:anchorLock="0"/>
    </w:pPr>
    <w:r w:rsidRPr="006C40C1">
      <w:rPr>
        <w:rStyle w:val="SidhuvudUtskott"/>
      </w:rPr>
      <w:fldChar w:fldCharType="begin" w:fldLock="1"/>
    </w:r>
    <w:r w:rsidRPr="006C40C1">
      <w:rPr>
        <w:rStyle w:val="SidhuvudUtskott"/>
      </w:rPr>
      <w:instrText xml:space="preserve"> DOCPROPERTY Status</w:instrText>
    </w:r>
    <w:r w:rsidRPr="006C40C1">
      <w:rPr>
        <w:rStyle w:val="SidhuvudUtskott"/>
      </w:rPr>
      <w:fldChar w:fldCharType="separate"/>
    </w:r>
    <w:r w:rsidRPr="006C40C1">
      <w:rPr>
        <w:rStyle w:val="SidhuvudUtskott"/>
      </w:rPr>
      <w:instrText>Utkast</w:instrText>
    </w:r>
    <w:r w:rsidRPr="006C40C1">
      <w:rPr>
        <w:rStyle w:val="SidhuvudUtskott"/>
      </w:rPr>
      <w:fldChar w:fldCharType="end"/>
    </w:r>
    <w:r w:rsidRPr="006C40C1">
      <w:rPr>
        <w:rStyle w:val="SidhuvudUtskott"/>
      </w:rPr>
      <w:fldChar w:fldCharType="begin" w:fldLock="1"/>
    </w:r>
    <w:r w:rsidRPr="006C40C1">
      <w:rPr>
        <w:rStyle w:val="SidhuvudUtskott"/>
      </w:rPr>
      <w:instrText xml:space="preserve"> if </w:instrText>
    </w:r>
    <w:r w:rsidRPr="006C40C1">
      <w:rPr>
        <w:rStyle w:val="SidhuvudUtskott"/>
      </w:rPr>
      <w:fldChar w:fldCharType="begin" w:fldLock="1"/>
    </w:r>
    <w:r w:rsidRPr="006C40C1">
      <w:rPr>
        <w:rStyle w:val="SidhuvudUtskott"/>
      </w:rPr>
      <w:instrText xml:space="preserve"> DOCPROPERTY "UtkastDatum"</w:instrText>
    </w:r>
    <w:r w:rsidRPr="006C40C1">
      <w:rPr>
        <w:rStyle w:val="SidhuvudUtskott"/>
      </w:rPr>
      <w:fldChar w:fldCharType="separate"/>
    </w:r>
    <w:r w:rsidRPr="006C40C1">
      <w:rPr>
        <w:rStyle w:val="SidhuvudUtskott"/>
      </w:rPr>
      <w:instrText>Nej</w:instrText>
    </w:r>
    <w:r w:rsidRPr="006C40C1">
      <w:rPr>
        <w:rStyle w:val="SidhuvudUtskott"/>
      </w:rPr>
      <w:fldChar w:fldCharType="end"/>
    </w:r>
    <w:r w:rsidRPr="006C40C1">
      <w:rPr>
        <w:rStyle w:val="SidhuvudUtskott"/>
      </w:rPr>
      <w:instrText xml:space="preserve"> = "Ja" "    </w:instrText>
    </w:r>
    <w:r w:rsidRPr="006C40C1">
      <w:rPr>
        <w:rStyle w:val="SidhuvudUtskott"/>
      </w:rPr>
      <w:fldChar w:fldCharType="begin" w:fldLock="1"/>
    </w:r>
    <w:r w:rsidRPr="006C40C1">
      <w:rPr>
        <w:rStyle w:val="SidhuvudUtskott"/>
      </w:rPr>
      <w:instrText xml:space="preserve"> PRINTDATE \@ "yyyy-MM-dd HH.mm" </w:instrText>
    </w:r>
    <w:r w:rsidRPr="006C40C1">
      <w:rPr>
        <w:rStyle w:val="SidhuvudUtskott"/>
      </w:rPr>
      <w:fldChar w:fldCharType="separate"/>
    </w:r>
    <w:r w:rsidRPr="006C40C1">
      <w:rPr>
        <w:rStyle w:val="SidhuvudUtskott"/>
      </w:rPr>
      <w:instrText>2000-08-11 16.42</w:instrText>
    </w:r>
    <w:r w:rsidRPr="006C40C1">
      <w:rPr>
        <w:rStyle w:val="SidhuvudUtskott"/>
      </w:rPr>
      <w:fldChar w:fldCharType="end"/>
    </w:r>
    <w:r w:rsidRPr="006C40C1">
      <w:rPr>
        <w:rStyle w:val="SidhuvudUtskott"/>
      </w:rPr>
      <w:instrText xml:space="preserve">" </w:instrText>
    </w:r>
    <w:r w:rsidRPr="006C40C1">
      <w:rPr>
        <w:rStyle w:val="SidhuvudUtskott"/>
      </w:rPr>
      <w:fldChar w:fldCharType="separate"/>
    </w:r>
    <w:r w:rsidRPr="006C40C1">
      <w:rPr>
        <w:rStyle w:val="SidhuvudUtskott"/>
      </w:rPr>
      <w:fldChar w:fldCharType="end"/>
    </w:r>
  </w:p>
  <w:p w:rsidR="00AA5D77" w:rsidRPr="006C40C1" w:rsidRDefault="00AA5D77">
    <w:pPr>
      <w:pStyle w:val="SidhuvudKantUdda"/>
      <w:framePr w:w="8732" w:h="567" w:hRule="exact" w:vSpace="0" w:wrap="around" w:vAnchor="page" w:y="341" w:anchorLock="0"/>
    </w:pPr>
    <w:r w:rsidRPr="006C40C1">
      <w:rPr>
        <w:rStyle w:val="SidhuvudRubrikReferens"/>
        <w:smallCaps w:val="0"/>
        <w:spacing w:val="0"/>
        <w:sz w:val="19"/>
      </w:rPr>
      <w:instrText xml:space="preserve"> </w:instrText>
    </w:r>
    <w:r w:rsidRPr="006C40C1">
      <w:instrText xml:space="preserve">"  "  </w:instrText>
    </w:r>
    <w:r w:rsidRPr="006C40C1">
      <w:rPr>
        <w:rStyle w:val="SidhuvudUtskott"/>
      </w:rPr>
      <w:fldChar w:fldCharType="begin" w:fldLock="1"/>
    </w:r>
    <w:r w:rsidRPr="006C40C1">
      <w:rPr>
        <w:rStyle w:val="SidhuvudUtskott"/>
      </w:rPr>
      <w:instrText xml:space="preserve"> DOCPROPERTY BetänkandeÅr</w:instrText>
    </w:r>
    <w:r w:rsidRPr="006C40C1">
      <w:rPr>
        <w:rStyle w:val="SidhuvudUtskott"/>
      </w:rPr>
      <w:fldChar w:fldCharType="separate"/>
    </w:r>
    <w:r w:rsidRPr="006C40C1">
      <w:rPr>
        <w:rStyle w:val="SidhuvudUtskott"/>
      </w:rPr>
      <w:instrText>1999/2000</w:instrText>
    </w:r>
    <w:r w:rsidRPr="006C40C1">
      <w:rPr>
        <w:rStyle w:val="SidhuvudUtskott"/>
      </w:rPr>
      <w:fldChar w:fldCharType="end"/>
    </w:r>
    <w:r w:rsidRPr="006C40C1">
      <w:rPr>
        <w:rStyle w:val="SidhuvudUtskott"/>
      </w:rPr>
      <w:instrText>:</w:instrText>
    </w:r>
    <w:r w:rsidRPr="006C40C1">
      <w:rPr>
        <w:rStyle w:val="SidhuvudUtskott"/>
      </w:rPr>
      <w:fldChar w:fldCharType="begin" w:fldLock="1"/>
    </w:r>
    <w:r w:rsidRPr="006C40C1">
      <w:rPr>
        <w:rStyle w:val="SidhuvudUtskott"/>
      </w:rPr>
      <w:instrText xml:space="preserve"> DOCPROPERTY Utskott</w:instrText>
    </w:r>
    <w:r w:rsidRPr="006C40C1">
      <w:rPr>
        <w:rStyle w:val="SidhuvudUtskott"/>
      </w:rPr>
      <w:fldChar w:fldCharType="separate"/>
    </w:r>
    <w:r w:rsidRPr="006C40C1">
      <w:rPr>
        <w:rStyle w:val="SidhuvudUtskott"/>
      </w:rPr>
      <w:instrText>BoU</w:instrText>
    </w:r>
    <w:r w:rsidRPr="006C40C1">
      <w:rPr>
        <w:rStyle w:val="SidhuvudUtskott"/>
      </w:rPr>
      <w:fldChar w:fldCharType="end"/>
    </w:r>
    <w:r w:rsidRPr="006C40C1">
      <w:rPr>
        <w:rStyle w:val="SidhuvudUtskott"/>
      </w:rPr>
      <w:fldChar w:fldCharType="begin" w:fldLock="1"/>
    </w:r>
    <w:r w:rsidRPr="006C40C1">
      <w:rPr>
        <w:rStyle w:val="SidhuvudUtskott"/>
      </w:rPr>
      <w:instrText xml:space="preserve"> DOCPROPERTY BetänkandeNr</w:instrText>
    </w:r>
    <w:r w:rsidRPr="006C40C1">
      <w:rPr>
        <w:rStyle w:val="SidhuvudUtskott"/>
      </w:rPr>
      <w:fldChar w:fldCharType="separate"/>
    </w:r>
    <w:r w:rsidRPr="006C40C1">
      <w:rPr>
        <w:rStyle w:val="SidhuvudUtskott"/>
      </w:rPr>
      <w:instrText>6678</w:instrText>
    </w:r>
    <w:r w:rsidRPr="006C40C1">
      <w:rPr>
        <w:rStyle w:val="SidhuvudUtskott"/>
      </w:rPr>
      <w:fldChar w:fldCharType="end"/>
    </w:r>
  </w:p>
  <w:p w:rsidR="00AA5D77" w:rsidRPr="006C40C1" w:rsidRDefault="00AA5D77">
    <w:pPr>
      <w:pStyle w:val="SidhuvudKantUdda"/>
      <w:framePr w:w="8732" w:h="567" w:hRule="exact" w:vSpace="0" w:wrap="around" w:vAnchor="page" w:y="341" w:anchorLock="0"/>
    </w:pPr>
    <w:r w:rsidRPr="006C40C1">
      <w:rPr>
        <w:rStyle w:val="SidhuvudUtskott"/>
      </w:rPr>
      <w:fldChar w:fldCharType="begin" w:fldLock="1"/>
    </w:r>
    <w:r w:rsidRPr="006C40C1">
      <w:rPr>
        <w:rStyle w:val="SidhuvudUtskott"/>
      </w:rPr>
      <w:instrText xml:space="preserve"> if </w:instrText>
    </w:r>
    <w:r w:rsidRPr="006C40C1">
      <w:rPr>
        <w:rStyle w:val="SidhuvudUtskott"/>
      </w:rPr>
      <w:fldChar w:fldCharType="begin" w:fldLock="1"/>
    </w:r>
    <w:r w:rsidRPr="006C40C1">
      <w:rPr>
        <w:rStyle w:val="SidhuvudUtskott"/>
      </w:rPr>
      <w:instrText xml:space="preserve"> DOCPROPERTY "UtkastDatum"</w:instrText>
    </w:r>
    <w:r w:rsidRPr="006C40C1">
      <w:rPr>
        <w:rStyle w:val="SidhuvudUtskott"/>
      </w:rPr>
      <w:fldChar w:fldCharType="separate"/>
    </w:r>
    <w:r w:rsidRPr="006C40C1">
      <w:rPr>
        <w:rStyle w:val="SidhuvudUtskott"/>
      </w:rPr>
      <w:instrText>Nej</w:instrText>
    </w:r>
    <w:r w:rsidRPr="006C40C1">
      <w:rPr>
        <w:rStyle w:val="SidhuvudUtskott"/>
      </w:rPr>
      <w:fldChar w:fldCharType="end"/>
    </w:r>
    <w:r w:rsidRPr="006C40C1">
      <w:rPr>
        <w:rStyle w:val="SidhuvudUtskott"/>
      </w:rPr>
      <w:instrText xml:space="preserve"> = "Ja" "</w:instrText>
    </w:r>
    <w:r w:rsidRPr="006C40C1">
      <w:rPr>
        <w:rStyle w:val="SidhuvudUtskott"/>
      </w:rPr>
      <w:fldChar w:fldCharType="begin" w:fldLock="1"/>
    </w:r>
    <w:r w:rsidRPr="006C40C1">
      <w:rPr>
        <w:rStyle w:val="SidhuvudUtskott"/>
      </w:rPr>
      <w:instrText xml:space="preserve"> PRINTDATE \@ "yyyy-MM-dd HH.mm    " </w:instrText>
    </w:r>
    <w:r w:rsidRPr="006C40C1">
      <w:rPr>
        <w:rStyle w:val="SidhuvudUtskott"/>
      </w:rPr>
      <w:fldChar w:fldCharType="separate"/>
    </w:r>
    <w:r w:rsidRPr="006C40C1">
      <w:rPr>
        <w:rStyle w:val="SidhuvudUtskott"/>
      </w:rPr>
      <w:instrText>2000-08-11 16.42</w:instrText>
    </w:r>
    <w:r w:rsidRPr="006C40C1">
      <w:rPr>
        <w:rStyle w:val="SidhuvudUtskott"/>
      </w:rPr>
      <w:fldChar w:fldCharType="end"/>
    </w:r>
    <w:r w:rsidRPr="006C40C1">
      <w:rPr>
        <w:rStyle w:val="SidhuvudUtskott"/>
      </w:rPr>
      <w:instrText xml:space="preserve">" </w:instrText>
    </w:r>
    <w:r w:rsidRPr="006C40C1">
      <w:rPr>
        <w:rStyle w:val="SidhuvudUtskott"/>
      </w:rPr>
      <w:fldChar w:fldCharType="separate"/>
    </w:r>
    <w:r w:rsidRPr="006C40C1">
      <w:rPr>
        <w:rStyle w:val="SidhuvudUtskott"/>
      </w:rPr>
      <w:fldChar w:fldCharType="end"/>
    </w:r>
    <w:r w:rsidRPr="006C40C1">
      <w:rPr>
        <w:rStyle w:val="SidhuvudUtskott"/>
      </w:rPr>
      <w:fldChar w:fldCharType="begin" w:fldLock="1"/>
    </w:r>
    <w:r w:rsidRPr="006C40C1">
      <w:rPr>
        <w:rStyle w:val="SidhuvudUtskott"/>
      </w:rPr>
      <w:instrText xml:space="preserve"> DOCPR</w:instrText>
    </w:r>
    <w:r w:rsidRPr="006C40C1">
      <w:rPr>
        <w:rStyle w:val="SidhuvudUtskott"/>
      </w:rPr>
      <w:instrText>O</w:instrText>
    </w:r>
    <w:r w:rsidRPr="006C40C1">
      <w:rPr>
        <w:rStyle w:val="SidhuvudUtskott"/>
      </w:rPr>
      <w:instrText>PERTY Status</w:instrText>
    </w:r>
    <w:r w:rsidRPr="006C40C1">
      <w:rPr>
        <w:rStyle w:val="SidhuvudUtskott"/>
      </w:rPr>
      <w:fldChar w:fldCharType="separate"/>
    </w:r>
    <w:r w:rsidRPr="006C40C1">
      <w:rPr>
        <w:rStyle w:val="SidhuvudUtskott"/>
      </w:rPr>
      <w:instrText>Utkast 2</w:instrText>
    </w:r>
    <w:r w:rsidRPr="006C40C1">
      <w:rPr>
        <w:rStyle w:val="SidhuvudUtskott"/>
      </w:rPr>
      <w:fldChar w:fldCharType="end"/>
    </w:r>
    <w:r w:rsidRPr="006C40C1">
      <w:instrText>"</w:instrText>
    </w:r>
    <w:r w:rsidRPr="006C40C1">
      <w:fldChar w:fldCharType="separate"/>
    </w:r>
    <w:r w:rsidRPr="006C40C1">
      <w:rPr>
        <w:position w:val="4"/>
        <w:sz w:val="28"/>
      </w:rPr>
      <w:instrText>|</w:instrText>
    </w:r>
    <w:r w:rsidRPr="006C40C1">
      <w:instrText xml:space="preserve">  </w:instrText>
    </w:r>
    <w:r w:rsidRPr="006C40C1">
      <w:rPr>
        <w:rStyle w:val="SidhuvudUtskott"/>
      </w:rPr>
      <w:fldChar w:fldCharType="begin" w:fldLock="1"/>
    </w:r>
    <w:r w:rsidRPr="006C40C1">
      <w:rPr>
        <w:rStyle w:val="SidhuvudUtskott"/>
      </w:rPr>
      <w:instrText xml:space="preserve"> DOCPROPERTY BetänkandeÅr</w:instrText>
    </w:r>
    <w:r w:rsidRPr="006C40C1">
      <w:rPr>
        <w:rStyle w:val="SidhuvudUtskott"/>
      </w:rPr>
      <w:fldChar w:fldCharType="separate"/>
    </w:r>
    <w:r w:rsidRPr="006C40C1">
      <w:rPr>
        <w:rStyle w:val="SidhuvudUtskott"/>
      </w:rPr>
      <w:instrText>1999/2000</w:instrText>
    </w:r>
    <w:r w:rsidRPr="006C40C1">
      <w:rPr>
        <w:rStyle w:val="SidhuvudUtskott"/>
      </w:rPr>
      <w:fldChar w:fldCharType="end"/>
    </w:r>
    <w:r w:rsidRPr="006C40C1">
      <w:rPr>
        <w:rStyle w:val="SidhuvudUtskott"/>
      </w:rPr>
      <w:instrText>:</w:instrText>
    </w:r>
    <w:r w:rsidRPr="006C40C1">
      <w:rPr>
        <w:rStyle w:val="SidhuvudUtskott"/>
      </w:rPr>
      <w:fldChar w:fldCharType="begin" w:fldLock="1"/>
    </w:r>
    <w:r w:rsidRPr="006C40C1">
      <w:rPr>
        <w:rStyle w:val="SidhuvudUtskott"/>
      </w:rPr>
      <w:instrText xml:space="preserve"> DOCPROPERTY Utskott</w:instrText>
    </w:r>
    <w:r w:rsidRPr="006C40C1">
      <w:rPr>
        <w:rStyle w:val="SidhuvudUtskott"/>
      </w:rPr>
      <w:fldChar w:fldCharType="separate"/>
    </w:r>
    <w:r w:rsidRPr="006C40C1">
      <w:rPr>
        <w:rStyle w:val="SidhuvudUtskott"/>
      </w:rPr>
      <w:instrText>BoU</w:instrText>
    </w:r>
    <w:r w:rsidRPr="006C40C1">
      <w:rPr>
        <w:rStyle w:val="SidhuvudUtskott"/>
      </w:rPr>
      <w:fldChar w:fldCharType="end"/>
    </w:r>
    <w:r w:rsidRPr="006C40C1">
      <w:rPr>
        <w:rStyle w:val="SidhuvudUtskott"/>
      </w:rPr>
      <w:fldChar w:fldCharType="begin" w:fldLock="1"/>
    </w:r>
    <w:r w:rsidRPr="006C40C1">
      <w:rPr>
        <w:rStyle w:val="SidhuvudUtskott"/>
      </w:rPr>
      <w:instrText xml:space="preserve"> DOCPROPERTY BetänkandeNr</w:instrText>
    </w:r>
    <w:r w:rsidRPr="006C40C1">
      <w:rPr>
        <w:rStyle w:val="SidhuvudUtskott"/>
      </w:rPr>
      <w:fldChar w:fldCharType="separate"/>
    </w:r>
    <w:r w:rsidRPr="006C40C1">
      <w:rPr>
        <w:rStyle w:val="SidhuvudUtskott"/>
      </w:rPr>
      <w:instrText>6678</w:instrText>
    </w:r>
    <w:r w:rsidRPr="006C40C1">
      <w:rPr>
        <w:rStyle w:val="SidhuvudUtskott"/>
      </w:rPr>
      <w:fldChar w:fldCharType="end"/>
    </w:r>
  </w:p>
  <w:p w:rsidR="00AA5D77" w:rsidRPr="006C40C1" w:rsidRDefault="00AA5D77">
    <w:pPr>
      <w:pStyle w:val="SidhuvudKantUdda"/>
      <w:framePr w:w="8732" w:h="567" w:hRule="exact" w:vSpace="0" w:wrap="around" w:vAnchor="page" w:y="341" w:anchorLock="0"/>
    </w:pPr>
    <w:r w:rsidRPr="006C40C1">
      <w:rPr>
        <w:rStyle w:val="SidhuvudUtskott"/>
      </w:rPr>
      <w:fldChar w:fldCharType="begin" w:fldLock="1"/>
    </w:r>
    <w:r w:rsidRPr="006C40C1">
      <w:rPr>
        <w:rStyle w:val="SidhuvudUtskott"/>
      </w:rPr>
      <w:instrText xml:space="preserve"> DOCPROPERTY Status</w:instrText>
    </w:r>
    <w:r w:rsidRPr="006C40C1">
      <w:rPr>
        <w:rStyle w:val="SidhuvudUtskott"/>
      </w:rPr>
      <w:fldChar w:fldCharType="separate"/>
    </w:r>
    <w:r w:rsidRPr="006C40C1">
      <w:rPr>
        <w:rStyle w:val="SidhuvudUtskott"/>
      </w:rPr>
      <w:instrText>Utkast 2</w:instrText>
    </w:r>
    <w:r w:rsidRPr="006C40C1">
      <w:rPr>
        <w:rStyle w:val="SidhuvudUtskott"/>
      </w:rPr>
      <w:fldChar w:fldCharType="end"/>
    </w:r>
    <w:r w:rsidRPr="006C40C1">
      <w:fldChar w:fldCharType="end"/>
    </w:r>
    <w:r w:rsidRPr="006C40C1">
      <w:instrText>" " "</w:instrText>
    </w:r>
    <w:r w:rsidRPr="006C40C1">
      <w:fldChar w:fldCharType="separate"/>
    </w:r>
    <w:r w:rsidR="006C40C1" w:rsidRPr="006C40C1">
      <w:rPr>
        <w:noProof/>
      </w:rPr>
      <w:t xml:space="preserve"> </w:t>
    </w:r>
    <w:r w:rsidRPr="006C40C1">
      <w:fldChar w:fldCharType="end"/>
    </w:r>
  </w:p>
  <w:p w:rsidR="00AA5D77" w:rsidRPr="006C40C1" w:rsidRDefault="00AA5D77">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957" w:h="624" w:hRule="exact" w:vSpace="0" w:wrap="around" w:vAnchor="page" w:y="171" w:anchorLock="0"/>
    </w:pPr>
    <w:r w:rsidRPr="006C40C1">
      <w:rPr>
        <w:rStyle w:val="SidhuvudUtskott"/>
      </w:rPr>
      <w:t>2002/03:FiU1</w:t>
    </w:r>
    <w:r w:rsidRPr="006C40C1">
      <w:t xml:space="preserve">    </w:t>
    </w:r>
  </w:p>
  <w:p w:rsidR="00AA5D77" w:rsidRPr="006C40C1" w:rsidRDefault="00AA5D77">
    <w:pPr>
      <w:pStyle w:val="SidhuvudKantJmn"/>
      <w:framePr w:w="8957" w:h="624" w:hRule="exact" w:vSpace="0" w:wrap="around" w:vAnchor="page" w:y="171" w:anchorLock="0"/>
    </w:pPr>
  </w:p>
  <w:p w:rsidR="00AA5D77" w:rsidRPr="006C40C1" w:rsidRDefault="00AA5D77">
    <w:pPr>
      <w:pStyle w:val="SidhuvudKantUdda"/>
      <w:framePr w:w="8957" w:h="624" w:hRule="exact" w:vSpace="0" w:wrap="around" w:vAnchor="page" w:y="171" w:anchorLock="0"/>
    </w:pPr>
    <w:r w:rsidRPr="006C40C1">
      <w:rPr>
        <w:rStyle w:val="SidhuvudRubrikReferens"/>
        <w:smallCaps w:val="0"/>
        <w:spacing w:val="0"/>
        <w:sz w:val="19"/>
      </w:rPr>
      <w:t xml:space="preserve"> </w:t>
    </w:r>
  </w:p>
  <w:p w:rsidR="00AA5D77" w:rsidRPr="006C40C1" w:rsidRDefault="00AA5D77">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957" w:h="624" w:hRule="exact" w:vSpace="0" w:wrap="around" w:vAnchor="page" w:y="171" w:anchorLock="0"/>
    </w:pPr>
    <w:r w:rsidRPr="006C40C1">
      <w:rPr>
        <w:rStyle w:val="SidhuvudUtskott"/>
      </w:rPr>
      <w:fldChar w:fldCharType="begin" w:fldLock="1"/>
    </w:r>
    <w:r w:rsidRPr="006C40C1">
      <w:rPr>
        <w:rStyle w:val="SidhuvudUtskott"/>
      </w:rPr>
      <w:instrText xml:space="preserve"> DOCPROPERTY BetänkandeÅr</w:instrText>
    </w:r>
    <w:r w:rsidRPr="006C40C1">
      <w:rPr>
        <w:rStyle w:val="SidhuvudUtskott"/>
      </w:rPr>
      <w:fldChar w:fldCharType="separate"/>
    </w:r>
    <w:r w:rsidRPr="006C40C1">
      <w:rPr>
        <w:rStyle w:val="SidhuvudUtskott"/>
      </w:rPr>
      <w:t>2002/03</w:t>
    </w:r>
    <w:r w:rsidRPr="006C40C1">
      <w:rPr>
        <w:rStyle w:val="SidhuvudUtskott"/>
      </w:rPr>
      <w:fldChar w:fldCharType="end"/>
    </w:r>
    <w:r w:rsidRPr="006C40C1">
      <w:rPr>
        <w:rStyle w:val="SidhuvudUtskott"/>
      </w:rPr>
      <w:t>:</w:t>
    </w:r>
    <w:r w:rsidRPr="006C40C1">
      <w:rPr>
        <w:rStyle w:val="SidhuvudUtskott"/>
      </w:rPr>
      <w:fldChar w:fldCharType="begin" w:fldLock="1"/>
    </w:r>
    <w:r w:rsidRPr="006C40C1">
      <w:rPr>
        <w:rStyle w:val="SidhuvudUtskott"/>
      </w:rPr>
      <w:instrText xml:space="preserve"> DOCPROPERTY Utskott</w:instrText>
    </w:r>
    <w:r w:rsidRPr="006C40C1">
      <w:rPr>
        <w:rStyle w:val="SidhuvudUtskott"/>
      </w:rPr>
      <w:fldChar w:fldCharType="separate"/>
    </w:r>
    <w:r w:rsidRPr="006C40C1">
      <w:rPr>
        <w:rStyle w:val="SidhuvudUtskott"/>
      </w:rPr>
      <w:t>FiU</w:t>
    </w:r>
    <w:r w:rsidRPr="006C40C1">
      <w:rPr>
        <w:rStyle w:val="SidhuvudUtskott"/>
      </w:rPr>
      <w:fldChar w:fldCharType="end"/>
    </w:r>
    <w:r w:rsidRPr="006C40C1">
      <w:rPr>
        <w:rStyle w:val="SidhuvudUtskott"/>
      </w:rPr>
      <w:fldChar w:fldCharType="begin" w:fldLock="1"/>
    </w:r>
    <w:r w:rsidRPr="006C40C1">
      <w:rPr>
        <w:rStyle w:val="SidhuvudUtskott"/>
      </w:rPr>
      <w:instrText xml:space="preserve"> DOCPROPERTY BetänkandeNr</w:instrText>
    </w:r>
    <w:r w:rsidRPr="006C40C1">
      <w:rPr>
        <w:rStyle w:val="SidhuvudUtskott"/>
      </w:rPr>
      <w:fldChar w:fldCharType="separate"/>
    </w:r>
    <w:r w:rsidRPr="006C40C1">
      <w:rPr>
        <w:rStyle w:val="SidhuvudUtskott"/>
      </w:rPr>
      <w:t>1</w:t>
    </w:r>
    <w:r w:rsidRPr="006C40C1">
      <w:rPr>
        <w:rStyle w:val="SidhuvudUtskott"/>
      </w:rPr>
      <w:fldChar w:fldCharType="end"/>
    </w:r>
    <w:r w:rsidRPr="006C40C1">
      <w:t xml:space="preserve">     </w:t>
    </w:r>
    <w:r w:rsidRPr="006C40C1">
      <w:rPr>
        <w:rStyle w:val="SidhuvudBilaga"/>
      </w:rPr>
      <w:t xml:space="preserve"> </w:t>
    </w:r>
    <w:r w:rsidRPr="006C40C1">
      <w:rPr>
        <w:rStyle w:val="SidhuvudRubrikReferens"/>
      </w:rPr>
      <w:fldChar w:fldCharType="begin" w:fldLock="1"/>
    </w:r>
    <w:r w:rsidRPr="006C40C1">
      <w:rPr>
        <w:rStyle w:val="SidhuvudRubrikReferens"/>
      </w:rPr>
      <w:instrText xml:space="preserve"> StyleREF "Rubrik 1" </w:instrText>
    </w:r>
    <w:r w:rsidRPr="006C40C1">
      <w:rPr>
        <w:rStyle w:val="SidhuvudRubrikReferens"/>
      </w:rPr>
      <w:fldChar w:fldCharType="end"/>
    </w:r>
  </w:p>
  <w:p w:rsidR="00AA5D77" w:rsidRPr="006C40C1" w:rsidRDefault="00AA5D77">
    <w:pPr>
      <w:pStyle w:val="SidhuvudKantJmn"/>
      <w:framePr w:w="8957" w:h="624" w:hRule="exact" w:vSpace="0" w:wrap="around" w:vAnchor="page" w:y="171" w:anchorLock="0"/>
    </w:pPr>
    <w:r w:rsidRPr="006C40C1">
      <w:rPr>
        <w:rStyle w:val="SidhuvudUtskott"/>
      </w:rPr>
      <w:fldChar w:fldCharType="begin" w:fldLock="1"/>
    </w:r>
    <w:r w:rsidRPr="006C40C1">
      <w:rPr>
        <w:rStyle w:val="SidhuvudUtskott"/>
      </w:rPr>
      <w:instrText xml:space="preserve"> DOCPROPERTY Status</w:instrText>
    </w:r>
    <w:r w:rsidRPr="006C40C1">
      <w:rPr>
        <w:rStyle w:val="SidhuvudUtskott"/>
      </w:rPr>
      <w:fldChar w:fldCharType="end"/>
    </w:r>
    <w:r w:rsidRPr="006C40C1">
      <w:rPr>
        <w:rStyle w:val="SidhuvudUtskott"/>
      </w:rPr>
      <w:fldChar w:fldCharType="begin" w:fldLock="1"/>
    </w:r>
    <w:r w:rsidRPr="006C40C1">
      <w:rPr>
        <w:rStyle w:val="SidhuvudUtskott"/>
      </w:rPr>
      <w:instrText xml:space="preserve"> if </w:instrText>
    </w:r>
    <w:r w:rsidRPr="006C40C1">
      <w:rPr>
        <w:rStyle w:val="SidhuvudUtskott"/>
      </w:rPr>
      <w:fldChar w:fldCharType="begin" w:fldLock="1"/>
    </w:r>
    <w:r w:rsidRPr="006C40C1">
      <w:rPr>
        <w:rStyle w:val="SidhuvudUtskott"/>
      </w:rPr>
      <w:instrText xml:space="preserve"> DOCPROPERTY "UtkastDatum"</w:instrText>
    </w:r>
    <w:r w:rsidRPr="006C40C1">
      <w:rPr>
        <w:rStyle w:val="SidhuvudUtskott"/>
      </w:rPr>
      <w:fldChar w:fldCharType="separate"/>
    </w:r>
    <w:r w:rsidRPr="006C40C1">
      <w:rPr>
        <w:rStyle w:val="SidhuvudUtskott"/>
      </w:rPr>
      <w:instrText>Nej</w:instrText>
    </w:r>
    <w:r w:rsidRPr="006C40C1">
      <w:rPr>
        <w:rStyle w:val="SidhuvudUtskott"/>
      </w:rPr>
      <w:fldChar w:fldCharType="end"/>
    </w:r>
    <w:r w:rsidRPr="006C40C1">
      <w:rPr>
        <w:rStyle w:val="SidhuvudUtskott"/>
      </w:rPr>
      <w:instrText xml:space="preserve"> = "Ja" "    </w:instrText>
    </w:r>
    <w:r w:rsidRPr="006C40C1">
      <w:rPr>
        <w:rStyle w:val="SidhuvudUtskott"/>
      </w:rPr>
      <w:fldChar w:fldCharType="begin" w:fldLock="1"/>
    </w:r>
    <w:r w:rsidRPr="006C40C1">
      <w:rPr>
        <w:rStyle w:val="SidhuvudUtskott"/>
      </w:rPr>
      <w:instrText xml:space="preserve"> PRINTDATE \@ "yyyy-MM-dd HH.mm" </w:instrText>
    </w:r>
    <w:r w:rsidRPr="006C40C1">
      <w:rPr>
        <w:rStyle w:val="SidhuvudUtskott"/>
      </w:rPr>
      <w:fldChar w:fldCharType="separate"/>
    </w:r>
    <w:r w:rsidRPr="006C40C1">
      <w:rPr>
        <w:rStyle w:val="SidhuvudUtskott"/>
      </w:rPr>
      <w:instrText>2000-08-11 16.42</w:instrText>
    </w:r>
    <w:r w:rsidRPr="006C40C1">
      <w:rPr>
        <w:rStyle w:val="SidhuvudUtskott"/>
      </w:rPr>
      <w:fldChar w:fldCharType="end"/>
    </w:r>
    <w:r w:rsidRPr="006C40C1">
      <w:rPr>
        <w:rStyle w:val="SidhuvudUtskott"/>
      </w:rPr>
      <w:instrText xml:space="preserve">" </w:instrText>
    </w:r>
    <w:r w:rsidRPr="006C40C1">
      <w:rPr>
        <w:rStyle w:val="SidhuvudUtskott"/>
      </w:rPr>
      <w:fldChar w:fldCharType="end"/>
    </w:r>
  </w:p>
  <w:p w:rsidR="00AA5D77" w:rsidRPr="006C40C1" w:rsidRDefault="00AA5D77">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957" w:h="624" w:hRule="exact" w:vSpace="0" w:wrap="around" w:vAnchor="page" w:y="171" w:anchorLock="0"/>
    </w:pPr>
    <w:r w:rsidRPr="006C40C1">
      <w:rPr>
        <w:rStyle w:val="SidhuvudRubrikReferens"/>
      </w:rPr>
      <w:fldChar w:fldCharType="begin" w:fldLock="1"/>
    </w:r>
    <w:r w:rsidRPr="006C40C1">
      <w:rPr>
        <w:rStyle w:val="SidhuvudRubrikReferens"/>
      </w:rPr>
      <w:instrText xml:space="preserve"> StyleREF "Rubrik 1" </w:instrText>
    </w:r>
    <w:r w:rsidRPr="006C40C1">
      <w:rPr>
        <w:rStyle w:val="SidhuvudRubrikReferens"/>
      </w:rPr>
      <w:fldChar w:fldCharType="end"/>
    </w:r>
    <w:r w:rsidRPr="006C40C1">
      <w:rPr>
        <w:rStyle w:val="SidhuvudBilaga"/>
      </w:rPr>
      <w:t xml:space="preserve"> </w:t>
    </w:r>
    <w:r w:rsidRPr="006C40C1">
      <w:t xml:space="preserve">     </w:t>
    </w:r>
    <w:r w:rsidRPr="006C40C1">
      <w:rPr>
        <w:rStyle w:val="SidhuvudUtskott"/>
      </w:rPr>
      <w:fldChar w:fldCharType="begin" w:fldLock="1"/>
    </w:r>
    <w:r w:rsidRPr="006C40C1">
      <w:rPr>
        <w:rStyle w:val="SidhuvudUtskott"/>
      </w:rPr>
      <w:instrText xml:space="preserve"> DOCPROPERTY BetänkandeÅr</w:instrText>
    </w:r>
    <w:r w:rsidRPr="006C40C1">
      <w:rPr>
        <w:rStyle w:val="SidhuvudUtskott"/>
      </w:rPr>
      <w:fldChar w:fldCharType="separate"/>
    </w:r>
    <w:r w:rsidRPr="006C40C1">
      <w:rPr>
        <w:rStyle w:val="SidhuvudUtskott"/>
      </w:rPr>
      <w:t>2002/03</w:t>
    </w:r>
    <w:r w:rsidRPr="006C40C1">
      <w:rPr>
        <w:rStyle w:val="SidhuvudUtskott"/>
      </w:rPr>
      <w:fldChar w:fldCharType="end"/>
    </w:r>
    <w:r w:rsidRPr="006C40C1">
      <w:rPr>
        <w:rStyle w:val="SidhuvudUtskott"/>
      </w:rPr>
      <w:t>:</w:t>
    </w:r>
    <w:r w:rsidRPr="006C40C1">
      <w:rPr>
        <w:rStyle w:val="SidhuvudUtskott"/>
      </w:rPr>
      <w:fldChar w:fldCharType="begin" w:fldLock="1"/>
    </w:r>
    <w:r w:rsidRPr="006C40C1">
      <w:rPr>
        <w:rStyle w:val="SidhuvudUtskott"/>
      </w:rPr>
      <w:instrText xml:space="preserve"> DOCPROPERTY</w:instrText>
    </w:r>
    <w:r w:rsidRPr="006C40C1">
      <w:instrText xml:space="preserve"> </w:instrText>
    </w:r>
    <w:r w:rsidRPr="006C40C1">
      <w:rPr>
        <w:rStyle w:val="SidhuvudUtskott"/>
      </w:rPr>
      <w:instrText>Utskott</w:instrText>
    </w:r>
    <w:r w:rsidRPr="006C40C1">
      <w:rPr>
        <w:rStyle w:val="SidhuvudUtskott"/>
      </w:rPr>
      <w:fldChar w:fldCharType="separate"/>
    </w:r>
    <w:r w:rsidRPr="006C40C1">
      <w:rPr>
        <w:rStyle w:val="SidhuvudUtskott"/>
      </w:rPr>
      <w:t>FiU</w:t>
    </w:r>
    <w:r w:rsidRPr="006C40C1">
      <w:rPr>
        <w:rStyle w:val="SidhuvudUtskott"/>
      </w:rPr>
      <w:fldChar w:fldCharType="end"/>
    </w:r>
    <w:r w:rsidRPr="006C40C1">
      <w:rPr>
        <w:rStyle w:val="SidhuvudUtskott"/>
      </w:rPr>
      <w:fldChar w:fldCharType="begin" w:fldLock="1"/>
    </w:r>
    <w:r w:rsidRPr="006C40C1">
      <w:rPr>
        <w:rStyle w:val="SidhuvudUtskott"/>
      </w:rPr>
      <w:instrText xml:space="preserve"> DOCPROPERTY Betä</w:instrText>
    </w:r>
    <w:r w:rsidRPr="006C40C1">
      <w:rPr>
        <w:rStyle w:val="SidhuvudUtskott"/>
      </w:rPr>
      <w:instrText>n</w:instrText>
    </w:r>
    <w:r w:rsidRPr="006C40C1">
      <w:rPr>
        <w:rStyle w:val="SidhuvudUtskott"/>
      </w:rPr>
      <w:instrText>kandeNr</w:instrText>
    </w:r>
    <w:r w:rsidRPr="006C40C1">
      <w:rPr>
        <w:rStyle w:val="SidhuvudUtskott"/>
      </w:rPr>
      <w:fldChar w:fldCharType="separate"/>
    </w:r>
    <w:r w:rsidRPr="006C40C1">
      <w:rPr>
        <w:rStyle w:val="SidhuvudUtskott"/>
      </w:rPr>
      <w:t>1</w:t>
    </w:r>
    <w:r w:rsidRPr="006C40C1">
      <w:rPr>
        <w:rStyle w:val="SidhuvudUtskott"/>
      </w:rPr>
      <w:fldChar w:fldCharType="end"/>
    </w:r>
  </w:p>
  <w:p w:rsidR="00AA5D77" w:rsidRPr="006C40C1" w:rsidRDefault="00AA5D77">
    <w:pPr>
      <w:pStyle w:val="SidhuvudKantUdda"/>
      <w:framePr w:w="8957" w:h="624" w:hRule="exact" w:vSpace="0" w:wrap="around" w:vAnchor="page" w:y="171" w:anchorLock="0"/>
    </w:pPr>
    <w:r w:rsidRPr="006C40C1">
      <w:rPr>
        <w:rStyle w:val="SidhuvudUtskott"/>
      </w:rPr>
      <w:fldChar w:fldCharType="begin" w:fldLock="1"/>
    </w:r>
    <w:r w:rsidRPr="006C40C1">
      <w:rPr>
        <w:rStyle w:val="SidhuvudUtskott"/>
      </w:rPr>
      <w:instrText xml:space="preserve"> if </w:instrText>
    </w:r>
    <w:r w:rsidRPr="006C40C1">
      <w:rPr>
        <w:rStyle w:val="SidhuvudUtskott"/>
      </w:rPr>
      <w:fldChar w:fldCharType="begin" w:fldLock="1"/>
    </w:r>
    <w:r w:rsidRPr="006C40C1">
      <w:rPr>
        <w:rStyle w:val="SidhuvudUtskott"/>
      </w:rPr>
      <w:instrText xml:space="preserve"> DOCPROPERTY "UtkastDatum"</w:instrText>
    </w:r>
    <w:r w:rsidRPr="006C40C1">
      <w:rPr>
        <w:rStyle w:val="SidhuvudUtskott"/>
      </w:rPr>
      <w:fldChar w:fldCharType="separate"/>
    </w:r>
    <w:r w:rsidRPr="006C40C1">
      <w:rPr>
        <w:rStyle w:val="SidhuvudUtskott"/>
      </w:rPr>
      <w:instrText>Nej</w:instrText>
    </w:r>
    <w:r w:rsidRPr="006C40C1">
      <w:rPr>
        <w:rStyle w:val="SidhuvudUtskott"/>
      </w:rPr>
      <w:fldChar w:fldCharType="end"/>
    </w:r>
    <w:r w:rsidRPr="006C40C1">
      <w:rPr>
        <w:rStyle w:val="SidhuvudUtskott"/>
      </w:rPr>
      <w:instrText xml:space="preserve"> = "Ja" "</w:instrText>
    </w:r>
    <w:r w:rsidRPr="006C40C1">
      <w:rPr>
        <w:rStyle w:val="SidhuvudUtskott"/>
      </w:rPr>
      <w:fldChar w:fldCharType="begin" w:fldLock="1"/>
    </w:r>
    <w:r w:rsidRPr="006C40C1">
      <w:rPr>
        <w:rStyle w:val="SidhuvudUtskott"/>
      </w:rPr>
      <w:instrText xml:space="preserve"> PRINTDATE \@ "yyyy-MM-dd HH.mm    " </w:instrText>
    </w:r>
    <w:r w:rsidRPr="006C40C1">
      <w:rPr>
        <w:rStyle w:val="SidhuvudUtskott"/>
      </w:rPr>
      <w:fldChar w:fldCharType="separate"/>
    </w:r>
    <w:r w:rsidRPr="006C40C1">
      <w:rPr>
        <w:rStyle w:val="SidhuvudUtskott"/>
      </w:rPr>
      <w:instrText>2000-08-11 16.42</w:instrText>
    </w:r>
    <w:r w:rsidRPr="006C40C1">
      <w:rPr>
        <w:rStyle w:val="SidhuvudUtskott"/>
      </w:rPr>
      <w:fldChar w:fldCharType="end"/>
    </w:r>
    <w:r w:rsidRPr="006C40C1">
      <w:rPr>
        <w:rStyle w:val="SidhuvudUtskott"/>
      </w:rPr>
      <w:instrText xml:space="preserve">" </w:instrText>
    </w:r>
    <w:r w:rsidRPr="006C40C1">
      <w:rPr>
        <w:rStyle w:val="SidhuvudUtskott"/>
      </w:rPr>
      <w:fldChar w:fldCharType="end"/>
    </w:r>
    <w:r w:rsidRPr="006C40C1">
      <w:rPr>
        <w:rStyle w:val="SidhuvudUtskott"/>
      </w:rPr>
      <w:fldChar w:fldCharType="begin" w:fldLock="1"/>
    </w:r>
    <w:r w:rsidRPr="006C40C1">
      <w:rPr>
        <w:rStyle w:val="SidhuvudUtskott"/>
      </w:rPr>
      <w:instrText xml:space="preserve"> DOCPR</w:instrText>
    </w:r>
    <w:r w:rsidRPr="006C40C1">
      <w:rPr>
        <w:rStyle w:val="SidhuvudUtskott"/>
      </w:rPr>
      <w:instrText>O</w:instrText>
    </w:r>
    <w:r w:rsidRPr="006C40C1">
      <w:rPr>
        <w:rStyle w:val="SidhuvudUtskott"/>
      </w:rPr>
      <w:instrText>PERTY Status</w:instrText>
    </w:r>
    <w:r w:rsidRPr="006C40C1">
      <w:rPr>
        <w:rStyle w:val="SidhuvudUtskott"/>
      </w:rPr>
      <w:fldChar w:fldCharType="end"/>
    </w:r>
  </w:p>
  <w:p w:rsidR="00AA5D77" w:rsidRPr="006C40C1" w:rsidRDefault="00AA5D77">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957" w:h="624" w:hRule="exact" w:vSpace="0" w:wrap="around" w:vAnchor="page" w:y="171" w:anchorLock="0"/>
    </w:pPr>
    <w:r w:rsidRPr="006C40C1">
      <w:t xml:space="preserve">  </w:t>
    </w:r>
    <w:r w:rsidRPr="006C40C1">
      <w:rPr>
        <w:rStyle w:val="SidhuvudUtskott"/>
      </w:rPr>
      <w:t>2002/03:FiU1</w:t>
    </w:r>
  </w:p>
  <w:p w:rsidR="00AA5D77" w:rsidRPr="006C40C1" w:rsidRDefault="00AA5D77">
    <w:pPr>
      <w:pStyle w:val="SidhuvudKantUdda"/>
      <w:framePr w:w="8957" w:h="624" w:hRule="exact" w:vSpace="0" w:wrap="around" w:vAnchor="page" w:y="171" w:anchorLock="0"/>
    </w:pPr>
  </w:p>
  <w:p w:rsidR="00AA5D77" w:rsidRPr="006C40C1" w:rsidRDefault="00AA5D77">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957" w:h="624" w:hRule="exact" w:vSpace="0" w:wrap="around" w:vAnchor="page" w:y="171" w:anchorLock="0"/>
    </w:pPr>
    <w:r w:rsidRPr="006C40C1">
      <w:rPr>
        <w:rStyle w:val="SidhuvudUtskott"/>
      </w:rPr>
      <w:t>2002/03:FiU1</w:t>
    </w:r>
    <w:r w:rsidRPr="006C40C1">
      <w:t xml:space="preserve">     </w:t>
    </w:r>
    <w:r w:rsidRPr="006C40C1">
      <w:rPr>
        <w:rStyle w:val="SidhuvudBilaga"/>
      </w:rPr>
      <w:t xml:space="preserve"> </w:t>
    </w:r>
    <w:r w:rsidRPr="006C40C1">
      <w:rPr>
        <w:rStyle w:val="SidhuvudRubrikReferens"/>
      </w:rPr>
      <w:t>Reservationer</w:t>
    </w:r>
  </w:p>
  <w:p w:rsidR="00AA5D77" w:rsidRPr="006C40C1" w:rsidRDefault="00AA5D77">
    <w:pPr>
      <w:pStyle w:val="SidhuvudKantJmn"/>
      <w:framePr w:w="8957" w:h="624" w:hRule="exact" w:vSpace="0" w:wrap="around" w:vAnchor="page" w:y="171" w:anchorLock="0"/>
    </w:pPr>
  </w:p>
  <w:p w:rsidR="00AA5D77" w:rsidRPr="006C40C1" w:rsidRDefault="00AA5D77">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957" w:h="624" w:hRule="exact" w:vSpace="0" w:wrap="around" w:vAnchor="page" w:y="171" w:anchorLock="0"/>
    </w:pPr>
    <w:r w:rsidRPr="006C40C1">
      <w:rPr>
        <w:rStyle w:val="SidhuvudRubrikReferens"/>
      </w:rPr>
      <w:t>Reservationer</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957" w:h="624" w:hRule="exact" w:vSpace="0" w:wrap="around" w:vAnchor="page" w:y="171" w:anchorLock="0"/>
    </w:pPr>
  </w:p>
  <w:p w:rsidR="00AA5D77" w:rsidRPr="006C40C1" w:rsidRDefault="00AA5D77">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957" w:h="624" w:hRule="exact" w:vSpace="0" w:wrap="around" w:vAnchor="page" w:y="171" w:anchorLock="0"/>
    </w:pPr>
    <w:r w:rsidRPr="006C40C1">
      <w:rPr>
        <w:rStyle w:val="SidhuvudUtskott"/>
      </w:rPr>
      <w:t>2002/03:FiU1</w:t>
    </w:r>
    <w:r w:rsidRPr="006C40C1">
      <w:t xml:space="preserve">    </w:t>
    </w:r>
  </w:p>
  <w:p w:rsidR="00AA5D77" w:rsidRPr="006C40C1" w:rsidRDefault="00AA5D77">
    <w:pPr>
      <w:pStyle w:val="SidhuvudKantJmn"/>
      <w:framePr w:w="8957" w:h="624" w:hRule="exact" w:vSpace="0" w:wrap="around" w:vAnchor="page" w:y="171" w:anchorLock="0"/>
    </w:pPr>
  </w:p>
  <w:p w:rsidR="00AA5D77" w:rsidRPr="006C40C1" w:rsidRDefault="00AA5D77">
    <w:pPr>
      <w:pStyle w:val="SidhuvudKantUdda"/>
      <w:framePr w:w="8957" w:h="624" w:hRule="exact" w:vSpace="0" w:wrap="around" w:vAnchor="page" w:y="171" w:anchorLock="0"/>
    </w:pPr>
    <w:r w:rsidRPr="006C40C1">
      <w:rPr>
        <w:rStyle w:val="SidhuvudRubrikReferens"/>
        <w:smallCaps w:val="0"/>
        <w:spacing w:val="0"/>
        <w:sz w:val="19"/>
      </w:rPr>
      <w:t xml:space="preserve"> </w:t>
    </w:r>
  </w:p>
  <w:p w:rsidR="00AA5D77" w:rsidRPr="006C40C1" w:rsidRDefault="00AA5D77">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r w:rsidRPr="006C40C1">
      <w:rPr>
        <w:rStyle w:val="SidhuvudBilaga"/>
      </w:rPr>
      <w:t xml:space="preserve"> </w:t>
    </w:r>
    <w:r w:rsidRPr="006C40C1">
      <w:rPr>
        <w:rStyle w:val="SidhuvudRubrikReferens"/>
      </w:rPr>
      <w:t>Särskilda yttranden</w:t>
    </w:r>
  </w:p>
  <w:p w:rsidR="00AA5D77" w:rsidRPr="006C40C1" w:rsidRDefault="00AA5D77">
    <w:pPr>
      <w:pStyle w:val="SidhuvudKantJmn"/>
      <w:framePr w:w="8732" w:h="567" w:hRule="exact" w:vSpace="0" w:wrap="around" w:vAnchor="page" w:y="341" w:anchorLock="0"/>
    </w:pPr>
  </w:p>
  <w:p w:rsidR="00AA5D77" w:rsidRPr="006C40C1" w:rsidRDefault="00AA5D77">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rPr>
        <w:rStyle w:val="SidhuvudRubrikReferens"/>
      </w:rPr>
      <w:t>Särskilda yttranden</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r w:rsidRPr="006C40C1">
      <w:rPr>
        <w:rStyle w:val="SidhuvudBilaga"/>
      </w:rPr>
      <w:t xml:space="preserve"> </w:t>
    </w:r>
    <w:r w:rsidRPr="006C40C1">
      <w:rPr>
        <w:rStyle w:val="SidhuvudRubrikReferens"/>
      </w:rPr>
      <w:t>Innehållsförteckning</w:t>
    </w:r>
  </w:p>
  <w:p w:rsidR="00AA5D77" w:rsidRPr="006C40C1" w:rsidRDefault="00AA5D77">
    <w:pPr>
      <w:pStyle w:val="SidhuvudKantJmn"/>
      <w:framePr w:w="8732" w:h="567" w:hRule="exact" w:vSpace="0" w:wrap="around" w:vAnchor="page" w:y="341" w:anchorLock="0"/>
    </w:pPr>
  </w:p>
  <w:p w:rsidR="00AA5D77" w:rsidRPr="006C40C1" w:rsidRDefault="00AA5D77">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r w:rsidRPr="006C40C1">
      <w:rPr>
        <w:rStyle w:val="SidhuvudBilaga"/>
      </w:rPr>
      <w:t xml:space="preserve"> </w:t>
    </w:r>
    <w:r w:rsidRPr="006C40C1">
      <w:rPr>
        <w:rStyle w:val="SidhuvudRubrikReferens"/>
      </w:rPr>
      <w:t>Förteckning över behandlade förslag</w:t>
    </w:r>
  </w:p>
  <w:p w:rsidR="00AA5D77" w:rsidRPr="006C40C1" w:rsidRDefault="00AA5D77">
    <w:pPr>
      <w:pStyle w:val="SidhuvudKantJmn"/>
      <w:framePr w:w="8732" w:h="567" w:hRule="exact" w:vSpace="0" w:wrap="around" w:vAnchor="page" w:y="341" w:anchorLock="0"/>
    </w:pPr>
  </w:p>
  <w:p w:rsidR="00AA5D77" w:rsidRPr="006C40C1" w:rsidRDefault="00AA5D77">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rPr>
        <w:rStyle w:val="SidhuvudRubrikReferens"/>
      </w:rPr>
      <w:t>Förteckning över behandlade förslag</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p>
  <w:p w:rsidR="00AA5D77" w:rsidRPr="006C40C1" w:rsidRDefault="00AA5D77">
    <w:pPr>
      <w:pStyle w:val="SidhuvudKantJmn"/>
      <w:framePr w:w="8732" w:h="567" w:hRule="exact" w:vSpace="0" w:wrap="around" w:vAnchor="page" w:y="341" w:anchorLock="0"/>
    </w:pPr>
  </w:p>
  <w:p w:rsidR="00AA5D77" w:rsidRPr="006C40C1" w:rsidRDefault="00AA5D77">
    <w:pPr>
      <w:pStyle w:val="SidhuvudKantUdda"/>
      <w:framePr w:w="8732" w:h="567" w:hRule="exact" w:vSpace="0" w:wrap="around" w:vAnchor="page" w:y="341" w:anchorLock="0"/>
    </w:pPr>
    <w:r w:rsidRPr="006C40C1">
      <w:rPr>
        <w:rStyle w:val="SidhuvudRubrikReferens"/>
        <w:smallCaps w:val="0"/>
        <w:spacing w:val="0"/>
        <w:sz w:val="19"/>
      </w:rPr>
      <w:t xml:space="preserve"> </w:t>
    </w:r>
  </w:p>
  <w:p w:rsidR="00AA5D77" w:rsidRPr="006C40C1" w:rsidRDefault="00AA5D77">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r w:rsidRPr="006C40C1">
      <w:rPr>
        <w:rStyle w:val="SidhuvudBilaga"/>
      </w:rPr>
      <w:t xml:space="preserve"> </w:t>
    </w:r>
    <w:r w:rsidRPr="006C40C1">
      <w:rPr>
        <w:rStyle w:val="SidhuvudRubrikReferens"/>
      </w:rPr>
      <w:t>Regeringens lagförslag</w:t>
    </w:r>
  </w:p>
  <w:p w:rsidR="00AA5D77" w:rsidRPr="006C40C1" w:rsidRDefault="00AA5D77">
    <w:pPr>
      <w:pStyle w:val="SidhuvudKantJmn"/>
      <w:framePr w:w="8732" w:h="567" w:hRule="exact" w:vSpace="0" w:wrap="around" w:vAnchor="page" w:y="341" w:anchorLock="0"/>
    </w:pPr>
  </w:p>
  <w:p w:rsidR="00AA5D77" w:rsidRPr="006C40C1" w:rsidRDefault="00AA5D77">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rPr>
        <w:rStyle w:val="SidhuvudRubrikReferens"/>
      </w:rPr>
      <w:t>Regeringens lagförslag</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p>
  <w:p w:rsidR="00AA5D77" w:rsidRPr="006C40C1" w:rsidRDefault="00AA5D77">
    <w:pPr>
      <w:pStyle w:val="SidhuvudKantJmn"/>
      <w:framePr w:w="8732" w:h="567" w:hRule="exact" w:vSpace="0" w:wrap="around" w:vAnchor="page" w:y="341" w:anchorLock="0"/>
    </w:pPr>
  </w:p>
  <w:p w:rsidR="00AA5D77" w:rsidRPr="006C40C1" w:rsidRDefault="00AA5D77">
    <w:pPr>
      <w:pStyle w:val="SidhuvudKantUdda"/>
      <w:framePr w:w="8732" w:h="567" w:hRule="exact" w:vSpace="0" w:wrap="around" w:vAnchor="page" w:y="341" w:anchorLock="0"/>
    </w:pPr>
    <w:r w:rsidRPr="006C40C1">
      <w:rPr>
        <w:rStyle w:val="SidhuvudRubrikReferens"/>
        <w:smallCaps w:val="0"/>
        <w:spacing w:val="0"/>
        <w:sz w:val="19"/>
      </w:rPr>
      <w:t xml:space="preserve"> </w:t>
    </w:r>
  </w:p>
  <w:p w:rsidR="00AA5D77" w:rsidRPr="006C40C1" w:rsidRDefault="00AA5D77">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r w:rsidRPr="006C40C1">
      <w:rPr>
        <w:rStyle w:val="SidhuvudBilaga"/>
      </w:rPr>
      <w:t xml:space="preserve"> </w:t>
    </w:r>
    <w:r w:rsidRPr="006C40C1">
      <w:rPr>
        <w:rStyle w:val="SidhuvudRubrikReferens"/>
      </w:rPr>
      <w:t>Utskottets lagförslag</w:t>
    </w:r>
  </w:p>
  <w:p w:rsidR="00AA5D77" w:rsidRPr="006C40C1" w:rsidRDefault="00AA5D77">
    <w:pPr>
      <w:pStyle w:val="SidhuvudKantJmn"/>
      <w:framePr w:w="8732" w:h="567" w:hRule="exact" w:vSpace="0" w:wrap="around" w:vAnchor="page" w:y="341" w:anchorLock="0"/>
    </w:pPr>
  </w:p>
  <w:p w:rsidR="00AA5D77" w:rsidRPr="006C40C1" w:rsidRDefault="00AA5D77">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rPr>
        <w:rStyle w:val="SidhuvudRubrikReferens"/>
      </w:rPr>
      <w:t>Utskottets lagförslag</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p>
  <w:p w:rsidR="00AA5D77" w:rsidRPr="006C40C1" w:rsidRDefault="00AA5D77">
    <w:pPr>
      <w:pStyle w:val="SidhuvudKantJmn"/>
      <w:framePr w:w="8732" w:h="567" w:hRule="exact" w:vSpace="0" w:wrap="around" w:vAnchor="page" w:y="341" w:anchorLock="0"/>
    </w:pPr>
  </w:p>
  <w:p w:rsidR="00AA5D77" w:rsidRPr="006C40C1" w:rsidRDefault="00AA5D77">
    <w:pPr>
      <w:pStyle w:val="SidhuvudKantUdda"/>
      <w:framePr w:w="8732" w:h="567" w:hRule="exact" w:vSpace="0" w:wrap="around" w:vAnchor="page" w:y="341" w:anchorLock="0"/>
    </w:pPr>
    <w:r w:rsidRPr="006C40C1">
      <w:rPr>
        <w:rStyle w:val="SidhuvudRubrikReferens"/>
        <w:smallCaps w:val="0"/>
        <w:spacing w:val="0"/>
        <w:sz w:val="19"/>
      </w:rPr>
      <w:t xml:space="preserve"> </w:t>
    </w:r>
  </w:p>
  <w:p w:rsidR="00AA5D77" w:rsidRPr="006C40C1" w:rsidRDefault="00AA5D7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rPr>
        <w:rStyle w:val="SidhuvudRubrikReferens"/>
      </w:rPr>
      <w:t>Innehållsförteckning</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r w:rsidRPr="006C40C1">
      <w:rPr>
        <w:rStyle w:val="SidhuvudBilaga"/>
      </w:rPr>
      <w:t xml:space="preserve"> </w:t>
    </w:r>
    <w:r w:rsidRPr="006C40C1">
      <w:rPr>
        <w:rStyle w:val="SidhuvudRubrikReferens"/>
      </w:rPr>
      <w:t>Utskottets förslag till riksdagsbeslut</w:t>
    </w:r>
  </w:p>
  <w:p w:rsidR="00AA5D77" w:rsidRPr="006C40C1" w:rsidRDefault="00AA5D77">
    <w:pPr>
      <w:pStyle w:val="SidhuvudKantJmn"/>
      <w:framePr w:w="8732" w:h="567" w:hRule="exact" w:vSpace="0" w:wrap="around" w:vAnchor="page" w:y="341" w:anchorLock="0"/>
    </w:pPr>
  </w:p>
  <w:p w:rsidR="00AA5D77" w:rsidRPr="006C40C1" w:rsidRDefault="00AA5D7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Udda"/>
      <w:framePr w:w="8732" w:h="567" w:hRule="exact" w:vSpace="0" w:wrap="around" w:vAnchor="page" w:y="341" w:anchorLock="0"/>
    </w:pPr>
    <w:r w:rsidRPr="006C40C1">
      <w:rPr>
        <w:rStyle w:val="SidhuvudRubrikReferens"/>
      </w:rPr>
      <w:t>Utskottets förslag till riksdagsbeslut</w:t>
    </w:r>
    <w:r w:rsidRPr="006C40C1">
      <w:rPr>
        <w:rStyle w:val="SidhuvudBilaga"/>
      </w:rPr>
      <w:t xml:space="preserve"> </w:t>
    </w:r>
    <w:r w:rsidRPr="006C40C1">
      <w:t xml:space="preserve">     </w:t>
    </w:r>
    <w:r w:rsidRPr="006C40C1">
      <w:rPr>
        <w:rStyle w:val="SidhuvudUtskott"/>
      </w:rPr>
      <w:t>2002/03:FiU1</w:t>
    </w:r>
  </w:p>
  <w:p w:rsidR="00AA5D77" w:rsidRPr="006C40C1" w:rsidRDefault="00AA5D77">
    <w:pPr>
      <w:pStyle w:val="SidhuvudKantUdda"/>
      <w:framePr w:w="8732" w:h="567" w:hRule="exact" w:vSpace="0" w:wrap="around" w:vAnchor="page" w:y="341" w:anchorLock="0"/>
    </w:pPr>
  </w:p>
  <w:p w:rsidR="00AA5D77" w:rsidRPr="006C40C1" w:rsidRDefault="00AA5D7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D77" w:rsidRPr="006C40C1" w:rsidRDefault="00AA5D77">
    <w:pPr>
      <w:pStyle w:val="SidhuvudKantJmn"/>
      <w:framePr w:w="8732" w:h="567" w:hRule="exact" w:vSpace="0" w:wrap="around" w:vAnchor="page" w:y="341" w:anchorLock="0"/>
    </w:pPr>
    <w:r w:rsidRPr="006C40C1">
      <w:rPr>
        <w:rStyle w:val="SidhuvudUtskott"/>
      </w:rPr>
      <w:t>2002/03:FiU1</w:t>
    </w:r>
    <w:r w:rsidRPr="006C40C1">
      <w:t xml:space="preserve">    </w:t>
    </w:r>
  </w:p>
  <w:p w:rsidR="00AA5D77" w:rsidRPr="006C40C1" w:rsidRDefault="00AA5D77">
    <w:pPr>
      <w:pStyle w:val="SidhuvudKantJmn"/>
      <w:framePr w:w="8732" w:h="567" w:hRule="exact" w:vSpace="0" w:wrap="around" w:vAnchor="page" w:y="341" w:anchorLock="0"/>
    </w:pPr>
  </w:p>
  <w:p w:rsidR="00AA5D77" w:rsidRPr="006C40C1" w:rsidRDefault="00AA5D77">
    <w:pPr>
      <w:pStyle w:val="SidhuvudKantUdda"/>
      <w:framePr w:w="8732" w:h="567" w:hRule="exact" w:vSpace="0" w:wrap="around" w:vAnchor="page" w:y="341" w:anchorLock="0"/>
    </w:pPr>
    <w:r w:rsidRPr="006C40C1">
      <w:rPr>
        <w:rStyle w:val="SidhuvudRubrikReferens"/>
        <w:smallCaps w:val="0"/>
        <w:spacing w:val="0"/>
        <w:sz w:val="19"/>
      </w:rPr>
      <w:t xml:space="preserve"> </w:t>
    </w:r>
  </w:p>
  <w:p w:rsidR="00AA5D77" w:rsidRPr="006C40C1" w:rsidRDefault="00AA5D7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D0A7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00E9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F40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76D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8875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2E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4F69614"/>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FFFFFFFE"/>
    <w:multiLevelType w:val="singleLevel"/>
    <w:tmpl w:val="3618B3A4"/>
    <w:lvl w:ilvl="0">
      <w:numFmt w:val="decimal"/>
      <w:lvlText w:val="*"/>
      <w:lvlJc w:val="left"/>
    </w:lvl>
  </w:abstractNum>
  <w:abstractNum w:abstractNumId="12" w15:restartNumberingAfterBreak="0">
    <w:nsid w:val="000C06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0E3B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1540CE"/>
    <w:multiLevelType w:val="singleLevel"/>
    <w:tmpl w:val="C186A1D8"/>
    <w:lvl w:ilvl="0">
      <w:start w:val="1"/>
      <w:numFmt w:val="decimal"/>
      <w:lvlText w:val="%1."/>
      <w:legacy w:legacy="1" w:legacySpace="0" w:legacyIndent="340"/>
      <w:lvlJc w:val="left"/>
      <w:pPr>
        <w:ind w:left="340" w:hanging="340"/>
      </w:pPr>
    </w:lvl>
  </w:abstractNum>
  <w:abstractNum w:abstractNumId="15" w15:restartNumberingAfterBreak="0">
    <w:nsid w:val="001C53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2419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02669DB"/>
    <w:multiLevelType w:val="singleLevel"/>
    <w:tmpl w:val="949C98F2"/>
    <w:lvl w:ilvl="0">
      <w:start w:val="1"/>
      <w:numFmt w:val="lowerLetter"/>
      <w:lvlText w:val="%1)"/>
      <w:lvlJc w:val="left"/>
      <w:pPr>
        <w:tabs>
          <w:tab w:val="num" w:pos="360"/>
        </w:tabs>
        <w:ind w:left="0" w:firstLine="0"/>
      </w:pPr>
      <w:rPr>
        <w:rFonts w:hint="default"/>
        <w:i/>
      </w:rPr>
    </w:lvl>
  </w:abstractNum>
  <w:abstractNum w:abstractNumId="18" w15:restartNumberingAfterBreak="0">
    <w:nsid w:val="002942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02A01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02B2D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0503CD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005D2E75"/>
    <w:multiLevelType w:val="singleLevel"/>
    <w:tmpl w:val="16A8A5F4"/>
    <w:lvl w:ilvl="0">
      <w:start w:val="1"/>
      <w:numFmt w:val="decimal"/>
      <w:lvlText w:val="%1."/>
      <w:lvlJc w:val="left"/>
      <w:pPr>
        <w:tabs>
          <w:tab w:val="num" w:pos="700"/>
        </w:tabs>
        <w:ind w:left="700" w:hanging="360"/>
      </w:pPr>
      <w:rPr>
        <w:rFonts w:hint="default"/>
      </w:rPr>
    </w:lvl>
  </w:abstractNum>
  <w:abstractNum w:abstractNumId="23" w15:restartNumberingAfterBreak="0">
    <w:nsid w:val="005F5B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06373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06725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06E1E55"/>
    <w:multiLevelType w:val="multilevel"/>
    <w:tmpl w:val="E2A68DA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006E2F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09344B1"/>
    <w:multiLevelType w:val="singleLevel"/>
    <w:tmpl w:val="CA5E1CDC"/>
    <w:lvl w:ilvl="0">
      <w:start w:val="1"/>
      <w:numFmt w:val="decimal"/>
      <w:lvlText w:val="%1."/>
      <w:legacy w:legacy="1" w:legacySpace="0" w:legacyIndent="454"/>
      <w:lvlJc w:val="left"/>
      <w:pPr>
        <w:ind w:left="454" w:hanging="454"/>
      </w:pPr>
    </w:lvl>
  </w:abstractNum>
  <w:abstractNum w:abstractNumId="29" w15:restartNumberingAfterBreak="0">
    <w:nsid w:val="00C07C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0D806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0F42F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1165A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1205F5D"/>
    <w:multiLevelType w:val="multilevel"/>
    <w:tmpl w:val="F6608C2C"/>
    <w:lvl w:ilvl="0">
      <w:start w:val="6"/>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01221B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14F5B84"/>
    <w:multiLevelType w:val="multilevel"/>
    <w:tmpl w:val="2B3AD94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15D74B5"/>
    <w:multiLevelType w:val="singleLevel"/>
    <w:tmpl w:val="4E94D292"/>
    <w:lvl w:ilvl="0">
      <w:start w:val="1"/>
      <w:numFmt w:val="decimal"/>
      <w:lvlText w:val="%1."/>
      <w:legacy w:legacy="1" w:legacySpace="0" w:legacyIndent="454"/>
      <w:lvlJc w:val="left"/>
      <w:pPr>
        <w:ind w:left="454" w:hanging="454"/>
      </w:pPr>
    </w:lvl>
  </w:abstractNum>
  <w:abstractNum w:abstractNumId="37" w15:restartNumberingAfterBreak="0">
    <w:nsid w:val="01706378"/>
    <w:multiLevelType w:val="singleLevel"/>
    <w:tmpl w:val="6DEC7DBC"/>
    <w:lvl w:ilvl="0">
      <w:start w:val="1"/>
      <w:numFmt w:val="decimal"/>
      <w:lvlText w:val="%1."/>
      <w:legacy w:legacy="1" w:legacySpace="0" w:legacyIndent="454"/>
      <w:lvlJc w:val="left"/>
      <w:pPr>
        <w:ind w:left="454" w:hanging="454"/>
      </w:pPr>
    </w:lvl>
  </w:abstractNum>
  <w:abstractNum w:abstractNumId="38" w15:restartNumberingAfterBreak="0">
    <w:nsid w:val="017176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017526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19E31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19F5F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1A37A68"/>
    <w:multiLevelType w:val="multilevel"/>
    <w:tmpl w:val="FA4CFCCE"/>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3" w15:restartNumberingAfterBreak="0">
    <w:nsid w:val="01B40027"/>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1B657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01E14D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1F00BD8"/>
    <w:multiLevelType w:val="multilevel"/>
    <w:tmpl w:val="2AA0B93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7" w15:restartNumberingAfterBreak="0">
    <w:nsid w:val="01F53A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022A29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2483AFA"/>
    <w:multiLevelType w:val="singleLevel"/>
    <w:tmpl w:val="BBDEA5D2"/>
    <w:lvl w:ilvl="0">
      <w:start w:val="1"/>
      <w:numFmt w:val="decimal"/>
      <w:lvlText w:val="%1."/>
      <w:legacy w:legacy="1" w:legacySpace="0" w:legacyIndent="284"/>
      <w:lvlJc w:val="left"/>
      <w:pPr>
        <w:ind w:left="1191" w:hanging="284"/>
      </w:pPr>
    </w:lvl>
  </w:abstractNum>
  <w:abstractNum w:abstractNumId="50" w15:restartNumberingAfterBreak="0">
    <w:nsid w:val="024A0E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2552E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2790BDC"/>
    <w:multiLevelType w:val="singleLevel"/>
    <w:tmpl w:val="1A6CFFBC"/>
    <w:lvl w:ilvl="0">
      <w:start w:val="1"/>
      <w:numFmt w:val="decimal"/>
      <w:lvlText w:val="%1."/>
      <w:legacy w:legacy="1" w:legacySpace="0" w:legacyIndent="454"/>
      <w:lvlJc w:val="left"/>
      <w:pPr>
        <w:ind w:left="454" w:hanging="454"/>
      </w:pPr>
    </w:lvl>
  </w:abstractNum>
  <w:abstractNum w:abstractNumId="53" w15:restartNumberingAfterBreak="0">
    <w:nsid w:val="02A050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02BC0E70"/>
    <w:multiLevelType w:val="multilevel"/>
    <w:tmpl w:val="C54446DC"/>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5" w15:restartNumberingAfterBreak="0">
    <w:nsid w:val="02C273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02CC78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02D435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2EC3D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31441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03365843"/>
    <w:multiLevelType w:val="multilevel"/>
    <w:tmpl w:val="410CC080"/>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1" w15:restartNumberingAfterBreak="0">
    <w:nsid w:val="035F10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03602E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36262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036B54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37307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37377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3754B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38123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0385354D"/>
    <w:multiLevelType w:val="multilevel"/>
    <w:tmpl w:val="1BD297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0" w15:restartNumberingAfterBreak="0">
    <w:nsid w:val="0388241D"/>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71" w15:restartNumberingAfterBreak="0">
    <w:nsid w:val="038C48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039D59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39E01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4" w15:restartNumberingAfterBreak="0">
    <w:nsid w:val="03C841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03E237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03F748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04027D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04171A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041834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041C55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041C65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043A42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043A633D"/>
    <w:multiLevelType w:val="multilevel"/>
    <w:tmpl w:val="59C6580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4" w15:restartNumberingAfterBreak="0">
    <w:nsid w:val="044D38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86" w15:restartNumberingAfterBreak="0">
    <w:nsid w:val="04654122"/>
    <w:multiLevelType w:val="singleLevel"/>
    <w:tmpl w:val="DFF40E76"/>
    <w:lvl w:ilvl="0">
      <w:numFmt w:val="bullet"/>
      <w:lvlText w:val=""/>
      <w:lvlJc w:val="left"/>
      <w:pPr>
        <w:tabs>
          <w:tab w:val="num" w:pos="700"/>
        </w:tabs>
        <w:ind w:left="700" w:hanging="360"/>
      </w:pPr>
      <w:rPr>
        <w:rFonts w:ascii="Symbol" w:hAnsi="Symbol" w:hint="default"/>
      </w:rPr>
    </w:lvl>
  </w:abstractNum>
  <w:abstractNum w:abstractNumId="87" w15:restartNumberingAfterBreak="0">
    <w:nsid w:val="04770161"/>
    <w:multiLevelType w:val="singleLevel"/>
    <w:tmpl w:val="2A72E5E0"/>
    <w:lvl w:ilvl="0">
      <w:start w:val="23"/>
      <w:numFmt w:val="decimal"/>
      <w:lvlText w:val="%1."/>
      <w:legacy w:legacy="1" w:legacySpace="0" w:legacyIndent="454"/>
      <w:lvlJc w:val="left"/>
      <w:pPr>
        <w:ind w:left="454" w:hanging="454"/>
      </w:pPr>
    </w:lvl>
  </w:abstractNum>
  <w:abstractNum w:abstractNumId="88" w15:restartNumberingAfterBreak="0">
    <w:nsid w:val="0481053D"/>
    <w:multiLevelType w:val="singleLevel"/>
    <w:tmpl w:val="4C46A17A"/>
    <w:lvl w:ilvl="0">
      <w:start w:val="1"/>
      <w:numFmt w:val="decimal"/>
      <w:lvlText w:val="%1."/>
      <w:lvlJc w:val="left"/>
      <w:pPr>
        <w:tabs>
          <w:tab w:val="num" w:pos="1304"/>
        </w:tabs>
        <w:ind w:left="1304" w:hanging="397"/>
      </w:pPr>
    </w:lvl>
  </w:abstractNum>
  <w:abstractNum w:abstractNumId="89" w15:restartNumberingAfterBreak="0">
    <w:nsid w:val="049F7EF2"/>
    <w:multiLevelType w:val="multilevel"/>
    <w:tmpl w:val="BF7C6F5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04CB7C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04E60E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2" w15:restartNumberingAfterBreak="0">
    <w:nsid w:val="04FD09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050538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051D69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05216F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052503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7" w15:restartNumberingAfterBreak="0">
    <w:nsid w:val="052B76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053A2B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053A3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053F0003"/>
    <w:multiLevelType w:val="multilevel"/>
    <w:tmpl w:val="68D63A52"/>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054D0A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057452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057E53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0587295A"/>
    <w:multiLevelType w:val="multilevel"/>
    <w:tmpl w:val="23B63F1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5" w15:restartNumberingAfterBreak="0">
    <w:nsid w:val="05873594"/>
    <w:multiLevelType w:val="multilevel"/>
    <w:tmpl w:val="10B8CA24"/>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6" w15:restartNumberingAfterBreak="0">
    <w:nsid w:val="05897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058D17B7"/>
    <w:multiLevelType w:val="singleLevel"/>
    <w:tmpl w:val="EB04BFA0"/>
    <w:lvl w:ilvl="0">
      <w:start w:val="1"/>
      <w:numFmt w:val="decimal"/>
      <w:lvlText w:val="%1."/>
      <w:legacy w:legacy="1" w:legacySpace="0" w:legacyIndent="454"/>
      <w:lvlJc w:val="left"/>
      <w:pPr>
        <w:ind w:left="454" w:hanging="454"/>
      </w:pPr>
    </w:lvl>
  </w:abstractNum>
  <w:abstractNum w:abstractNumId="108" w15:restartNumberingAfterBreak="0">
    <w:nsid w:val="05A007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05C86967"/>
    <w:multiLevelType w:val="singleLevel"/>
    <w:tmpl w:val="81981A0A"/>
    <w:lvl w:ilvl="0">
      <w:start w:val="1"/>
      <w:numFmt w:val="decimal"/>
      <w:lvlText w:val="%1."/>
      <w:legacy w:legacy="1" w:legacySpace="0" w:legacyIndent="454"/>
      <w:lvlJc w:val="left"/>
      <w:pPr>
        <w:ind w:left="454" w:hanging="454"/>
      </w:pPr>
    </w:lvl>
  </w:abstractNum>
  <w:abstractNum w:abstractNumId="110" w15:restartNumberingAfterBreak="0">
    <w:nsid w:val="05D9746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11" w15:restartNumberingAfterBreak="0">
    <w:nsid w:val="061050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06493C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064D5D2A"/>
    <w:multiLevelType w:val="singleLevel"/>
    <w:tmpl w:val="041D000F"/>
    <w:lvl w:ilvl="0">
      <w:start w:val="5"/>
      <w:numFmt w:val="decimal"/>
      <w:lvlText w:val="%1."/>
      <w:lvlJc w:val="left"/>
      <w:pPr>
        <w:tabs>
          <w:tab w:val="num" w:pos="360"/>
        </w:tabs>
        <w:ind w:left="360" w:hanging="360"/>
      </w:pPr>
      <w:rPr>
        <w:rFonts w:hint="default"/>
      </w:rPr>
    </w:lvl>
  </w:abstractNum>
  <w:abstractNum w:abstractNumId="114" w15:restartNumberingAfterBreak="0">
    <w:nsid w:val="067028C4"/>
    <w:multiLevelType w:val="singleLevel"/>
    <w:tmpl w:val="E98C3DD0"/>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068433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06A04F05"/>
    <w:multiLevelType w:val="multilevel"/>
    <w:tmpl w:val="B96A98A4"/>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7" w15:restartNumberingAfterBreak="0">
    <w:nsid w:val="06AC2E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06B50AB4"/>
    <w:multiLevelType w:val="multilevel"/>
    <w:tmpl w:val="9F3894C4"/>
    <w:lvl w:ilvl="0">
      <w:start w:val="2"/>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19" w15:restartNumberingAfterBreak="0">
    <w:nsid w:val="06B873A6"/>
    <w:multiLevelType w:val="singleLevel"/>
    <w:tmpl w:val="F1EED74C"/>
    <w:lvl w:ilvl="0">
      <w:start w:val="1"/>
      <w:numFmt w:val="decimal"/>
      <w:lvlText w:val="%1."/>
      <w:legacy w:legacy="1" w:legacySpace="0" w:legacyIndent="454"/>
      <w:lvlJc w:val="left"/>
      <w:pPr>
        <w:ind w:left="454" w:hanging="454"/>
      </w:pPr>
    </w:lvl>
  </w:abstractNum>
  <w:abstractNum w:abstractNumId="120" w15:restartNumberingAfterBreak="0">
    <w:nsid w:val="06C153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06C448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06D264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06D965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06E667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06EB15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06F21C1B"/>
    <w:multiLevelType w:val="multilevel"/>
    <w:tmpl w:val="F25096D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7" w15:restartNumberingAfterBreak="0">
    <w:nsid w:val="06F339AB"/>
    <w:multiLevelType w:val="singleLevel"/>
    <w:tmpl w:val="BBDEA5D2"/>
    <w:lvl w:ilvl="0">
      <w:start w:val="1"/>
      <w:numFmt w:val="decimal"/>
      <w:lvlText w:val="%1."/>
      <w:legacy w:legacy="1" w:legacySpace="0" w:legacyIndent="284"/>
      <w:lvlJc w:val="left"/>
      <w:pPr>
        <w:ind w:left="1191" w:hanging="284"/>
      </w:pPr>
    </w:lvl>
  </w:abstractNum>
  <w:abstractNum w:abstractNumId="128" w15:restartNumberingAfterBreak="0">
    <w:nsid w:val="06F9361D"/>
    <w:multiLevelType w:val="singleLevel"/>
    <w:tmpl w:val="041D0011"/>
    <w:lvl w:ilvl="0">
      <w:start w:val="1"/>
      <w:numFmt w:val="decimal"/>
      <w:lvlText w:val="%1)"/>
      <w:lvlJc w:val="left"/>
      <w:pPr>
        <w:tabs>
          <w:tab w:val="num" w:pos="360"/>
        </w:tabs>
        <w:ind w:left="360" w:hanging="360"/>
      </w:pPr>
      <w:rPr>
        <w:rFonts w:hint="default"/>
      </w:rPr>
    </w:lvl>
  </w:abstractNum>
  <w:abstractNum w:abstractNumId="129" w15:restartNumberingAfterBreak="0">
    <w:nsid w:val="06FE7C19"/>
    <w:multiLevelType w:val="singleLevel"/>
    <w:tmpl w:val="01822B8A"/>
    <w:lvl w:ilvl="0">
      <w:start w:val="1"/>
      <w:numFmt w:val="decimal"/>
      <w:lvlText w:val="%1."/>
      <w:legacy w:legacy="1" w:legacySpace="0" w:legacyIndent="454"/>
      <w:lvlJc w:val="left"/>
      <w:pPr>
        <w:ind w:left="454" w:hanging="454"/>
      </w:pPr>
    </w:lvl>
  </w:abstractNum>
  <w:abstractNum w:abstractNumId="130" w15:restartNumberingAfterBreak="0">
    <w:nsid w:val="070914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07476A17"/>
    <w:multiLevelType w:val="singleLevel"/>
    <w:tmpl w:val="6728EDCE"/>
    <w:lvl w:ilvl="0">
      <w:start w:val="1"/>
      <w:numFmt w:val="decimal"/>
      <w:lvlText w:val="%1"/>
      <w:lvlJc w:val="left"/>
      <w:pPr>
        <w:tabs>
          <w:tab w:val="num" w:pos="420"/>
        </w:tabs>
        <w:ind w:left="420" w:hanging="420"/>
      </w:pPr>
      <w:rPr>
        <w:rFonts w:hint="default"/>
      </w:rPr>
    </w:lvl>
  </w:abstractNum>
  <w:abstractNum w:abstractNumId="132" w15:restartNumberingAfterBreak="0">
    <w:nsid w:val="074E6432"/>
    <w:multiLevelType w:val="singleLevel"/>
    <w:tmpl w:val="5882FD0A"/>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075D25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076E3F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078357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078B1F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078C2D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079463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079C24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07A864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07A86C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07D7684D"/>
    <w:multiLevelType w:val="multilevel"/>
    <w:tmpl w:val="ED7E7956"/>
    <w:lvl w:ilvl="0">
      <w:start w:val="1"/>
      <w:numFmt w:val="decimal"/>
      <w:suff w:val="space"/>
      <w:lvlText w:val="%1"/>
      <w:lvlJc w:val="left"/>
      <w:pPr>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08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180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3" w15:restartNumberingAfterBreak="0">
    <w:nsid w:val="07DA73B6"/>
    <w:multiLevelType w:val="multilevel"/>
    <w:tmpl w:val="9A1CAF6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4" w15:restartNumberingAfterBreak="0">
    <w:nsid w:val="07E16F50"/>
    <w:multiLevelType w:val="singleLevel"/>
    <w:tmpl w:val="4EFC7C3E"/>
    <w:lvl w:ilvl="0">
      <w:start w:val="1"/>
      <w:numFmt w:val="decimal"/>
      <w:lvlText w:val="%1."/>
      <w:legacy w:legacy="1" w:legacySpace="0" w:legacyIndent="283"/>
      <w:lvlJc w:val="left"/>
      <w:pPr>
        <w:ind w:left="283" w:hanging="283"/>
      </w:pPr>
    </w:lvl>
  </w:abstractNum>
  <w:abstractNum w:abstractNumId="145" w15:restartNumberingAfterBreak="0">
    <w:nsid w:val="07E63B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07E873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07E873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07FC70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080274B1"/>
    <w:multiLevelType w:val="singleLevel"/>
    <w:tmpl w:val="00507168"/>
    <w:lvl w:ilvl="0">
      <w:start w:val="1"/>
      <w:numFmt w:val="decimal"/>
      <w:lvlText w:val="%1."/>
      <w:legacy w:legacy="1" w:legacySpace="0" w:legacyIndent="283"/>
      <w:lvlJc w:val="left"/>
      <w:pPr>
        <w:ind w:left="283" w:hanging="283"/>
      </w:pPr>
    </w:lvl>
  </w:abstractNum>
  <w:abstractNum w:abstractNumId="150" w15:restartNumberingAfterBreak="0">
    <w:nsid w:val="08055E5C"/>
    <w:multiLevelType w:val="singleLevel"/>
    <w:tmpl w:val="440A9390"/>
    <w:lvl w:ilvl="0">
      <w:start w:val="1"/>
      <w:numFmt w:val="decimal"/>
      <w:lvlText w:val="%1."/>
      <w:legacy w:legacy="1" w:legacySpace="0" w:legacyIndent="454"/>
      <w:lvlJc w:val="left"/>
      <w:pPr>
        <w:ind w:left="454" w:hanging="454"/>
      </w:pPr>
    </w:lvl>
  </w:abstractNum>
  <w:abstractNum w:abstractNumId="151" w15:restartNumberingAfterBreak="0">
    <w:nsid w:val="0807268C"/>
    <w:multiLevelType w:val="multilevel"/>
    <w:tmpl w:val="E9FE39A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15:restartNumberingAfterBreak="0">
    <w:nsid w:val="080C5E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08240C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08345B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084036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085427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086368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0888081C"/>
    <w:multiLevelType w:val="singleLevel"/>
    <w:tmpl w:val="A1C6AFB4"/>
    <w:lvl w:ilvl="0">
      <w:start w:val="1"/>
      <w:numFmt w:val="bullet"/>
      <w:lvlText w:val=""/>
      <w:lvlJc w:val="left"/>
      <w:pPr>
        <w:tabs>
          <w:tab w:val="num" w:pos="360"/>
        </w:tabs>
        <w:ind w:left="0" w:firstLine="0"/>
      </w:pPr>
      <w:rPr>
        <w:rFonts w:ascii="CommonBullets" w:hAnsi="CommonBullets" w:hint="default"/>
        <w:sz w:val="24"/>
      </w:rPr>
    </w:lvl>
  </w:abstractNum>
  <w:abstractNum w:abstractNumId="159" w15:restartNumberingAfterBreak="0">
    <w:nsid w:val="08A95E2B"/>
    <w:multiLevelType w:val="multilevel"/>
    <w:tmpl w:val="A710911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08AC6A67"/>
    <w:multiLevelType w:val="multilevel"/>
    <w:tmpl w:val="4AF865C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1" w15:restartNumberingAfterBreak="0">
    <w:nsid w:val="08B703B6"/>
    <w:multiLevelType w:val="singleLevel"/>
    <w:tmpl w:val="041D000F"/>
    <w:lvl w:ilvl="0">
      <w:start w:val="1"/>
      <w:numFmt w:val="decimal"/>
      <w:lvlText w:val="%1."/>
      <w:lvlJc w:val="left"/>
      <w:pPr>
        <w:tabs>
          <w:tab w:val="num" w:pos="360"/>
        </w:tabs>
        <w:ind w:left="360" w:hanging="360"/>
      </w:pPr>
    </w:lvl>
  </w:abstractNum>
  <w:abstractNum w:abstractNumId="162" w15:restartNumberingAfterBreak="0">
    <w:nsid w:val="08B83389"/>
    <w:multiLevelType w:val="singleLevel"/>
    <w:tmpl w:val="9A6A8032"/>
    <w:lvl w:ilvl="0">
      <w:start w:val="1"/>
      <w:numFmt w:val="decimal"/>
      <w:lvlText w:val="%1."/>
      <w:legacy w:legacy="1" w:legacySpace="0" w:legacyIndent="454"/>
      <w:lvlJc w:val="left"/>
      <w:pPr>
        <w:ind w:left="454" w:hanging="454"/>
      </w:pPr>
    </w:lvl>
  </w:abstractNum>
  <w:abstractNum w:abstractNumId="163" w15:restartNumberingAfterBreak="0">
    <w:nsid w:val="08E140B4"/>
    <w:multiLevelType w:val="singleLevel"/>
    <w:tmpl w:val="BBDEA5D2"/>
    <w:lvl w:ilvl="0">
      <w:start w:val="1"/>
      <w:numFmt w:val="decimal"/>
      <w:lvlText w:val="%1."/>
      <w:legacy w:legacy="1" w:legacySpace="0" w:legacyIndent="284"/>
      <w:lvlJc w:val="left"/>
      <w:pPr>
        <w:ind w:left="1191" w:hanging="284"/>
      </w:pPr>
    </w:lvl>
  </w:abstractNum>
  <w:abstractNum w:abstractNumId="164" w15:restartNumberingAfterBreak="0">
    <w:nsid w:val="08EE39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093444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0935776E"/>
    <w:multiLevelType w:val="singleLevel"/>
    <w:tmpl w:val="F88CA500"/>
    <w:lvl w:ilvl="0">
      <w:start w:val="1"/>
      <w:numFmt w:val="bullet"/>
      <w:lvlText w:val=""/>
      <w:lvlJc w:val="left"/>
      <w:pPr>
        <w:tabs>
          <w:tab w:val="num" w:pos="360"/>
        </w:tabs>
        <w:ind w:left="170" w:hanging="170"/>
      </w:pPr>
      <w:rPr>
        <w:rFonts w:ascii="Symbol" w:hAnsi="Symbol" w:hint="default"/>
      </w:rPr>
    </w:lvl>
  </w:abstractNum>
  <w:abstractNum w:abstractNumId="167" w15:restartNumberingAfterBreak="0">
    <w:nsid w:val="09384E8B"/>
    <w:multiLevelType w:val="singleLevel"/>
    <w:tmpl w:val="041D000F"/>
    <w:lvl w:ilvl="0">
      <w:start w:val="1"/>
      <w:numFmt w:val="decimal"/>
      <w:lvlText w:val="%1."/>
      <w:lvlJc w:val="left"/>
      <w:pPr>
        <w:tabs>
          <w:tab w:val="num" w:pos="360"/>
        </w:tabs>
        <w:ind w:left="360" w:hanging="360"/>
      </w:pPr>
      <w:rPr>
        <w:rFonts w:hint="default"/>
      </w:rPr>
    </w:lvl>
  </w:abstractNum>
  <w:abstractNum w:abstractNumId="168" w15:restartNumberingAfterBreak="0">
    <w:nsid w:val="09400E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09500615"/>
    <w:multiLevelType w:val="singleLevel"/>
    <w:tmpl w:val="F1E4367E"/>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095F25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096515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09715AB3"/>
    <w:multiLevelType w:val="singleLevel"/>
    <w:tmpl w:val="B008BFB8"/>
    <w:lvl w:ilvl="0">
      <w:start w:val="1"/>
      <w:numFmt w:val="bullet"/>
      <w:lvlText w:val=""/>
      <w:lvlJc w:val="left"/>
      <w:pPr>
        <w:tabs>
          <w:tab w:val="num" w:pos="360"/>
        </w:tabs>
        <w:ind w:left="360" w:hanging="360"/>
      </w:pPr>
      <w:rPr>
        <w:rFonts w:ascii="Symbol" w:hAnsi="Symbol" w:hint="default"/>
        <w:sz w:val="24"/>
      </w:rPr>
    </w:lvl>
  </w:abstractNum>
  <w:abstractNum w:abstractNumId="173" w15:restartNumberingAfterBreak="0">
    <w:nsid w:val="099258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099B2CDB"/>
    <w:multiLevelType w:val="multilevel"/>
    <w:tmpl w:val="314822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09A118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09B93725"/>
    <w:multiLevelType w:val="multilevel"/>
    <w:tmpl w:val="7D3492BC"/>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77" w15:restartNumberingAfterBreak="0">
    <w:nsid w:val="09DE36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09E25C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09E376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09E714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0A0A4C0B"/>
    <w:multiLevelType w:val="multilevel"/>
    <w:tmpl w:val="A69AE7A8"/>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2" w15:restartNumberingAfterBreak="0">
    <w:nsid w:val="0A0A63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0A2B4C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0A41135C"/>
    <w:multiLevelType w:val="singleLevel"/>
    <w:tmpl w:val="5882FD0A"/>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0A4D593C"/>
    <w:multiLevelType w:val="singleLevel"/>
    <w:tmpl w:val="B1F824E2"/>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0A7C5B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0A854C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0A994802"/>
    <w:multiLevelType w:val="singleLevel"/>
    <w:tmpl w:val="BBDEA5D2"/>
    <w:lvl w:ilvl="0">
      <w:start w:val="1"/>
      <w:numFmt w:val="decimal"/>
      <w:lvlText w:val="%1."/>
      <w:legacy w:legacy="1" w:legacySpace="0" w:legacyIndent="284"/>
      <w:lvlJc w:val="left"/>
      <w:pPr>
        <w:ind w:left="1191" w:hanging="284"/>
      </w:pPr>
    </w:lvl>
  </w:abstractNum>
  <w:abstractNum w:abstractNumId="189" w15:restartNumberingAfterBreak="0">
    <w:nsid w:val="0AA055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0AAC26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0AB863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0ACC76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0ADD67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0AE51995"/>
    <w:multiLevelType w:val="singleLevel"/>
    <w:tmpl w:val="BBDEA5D2"/>
    <w:lvl w:ilvl="0">
      <w:start w:val="1"/>
      <w:numFmt w:val="decimal"/>
      <w:lvlText w:val="%1."/>
      <w:legacy w:legacy="1" w:legacySpace="0" w:legacyIndent="284"/>
      <w:lvlJc w:val="left"/>
      <w:pPr>
        <w:ind w:left="1191" w:hanging="284"/>
      </w:pPr>
    </w:lvl>
  </w:abstractNum>
  <w:abstractNum w:abstractNumId="195" w15:restartNumberingAfterBreak="0">
    <w:nsid w:val="0B0452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0B0903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0B183C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0B1D13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0B2668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0B376D8A"/>
    <w:multiLevelType w:val="singleLevel"/>
    <w:tmpl w:val="BFA4ABE8"/>
    <w:lvl w:ilvl="0">
      <w:start w:val="1"/>
      <w:numFmt w:val="bullet"/>
      <w:lvlText w:val=""/>
      <w:lvlJc w:val="left"/>
      <w:pPr>
        <w:tabs>
          <w:tab w:val="num" w:pos="360"/>
        </w:tabs>
        <w:ind w:left="170" w:hanging="170"/>
      </w:pPr>
      <w:rPr>
        <w:rFonts w:ascii="Symbol" w:hAnsi="Symbol" w:hint="default"/>
      </w:rPr>
    </w:lvl>
  </w:abstractNum>
  <w:abstractNum w:abstractNumId="201" w15:restartNumberingAfterBreak="0">
    <w:nsid w:val="0B7775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0B7E09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0B8800DB"/>
    <w:multiLevelType w:val="singleLevel"/>
    <w:tmpl w:val="01822B8A"/>
    <w:lvl w:ilvl="0">
      <w:start w:val="1"/>
      <w:numFmt w:val="decimal"/>
      <w:lvlText w:val="%1."/>
      <w:legacy w:legacy="1" w:legacySpace="0" w:legacyIndent="454"/>
      <w:lvlJc w:val="left"/>
      <w:pPr>
        <w:ind w:left="454" w:hanging="454"/>
      </w:pPr>
    </w:lvl>
  </w:abstractNum>
  <w:abstractNum w:abstractNumId="204" w15:restartNumberingAfterBreak="0">
    <w:nsid w:val="0B8E688F"/>
    <w:multiLevelType w:val="singleLevel"/>
    <w:tmpl w:val="96D28B62"/>
    <w:lvl w:ilvl="0">
      <w:start w:val="1"/>
      <w:numFmt w:val="decimal"/>
      <w:lvlRestart w:val="0"/>
      <w:lvlText w:val="%1."/>
      <w:lvlJc w:val="left"/>
      <w:pPr>
        <w:tabs>
          <w:tab w:val="num" w:pos="357"/>
        </w:tabs>
        <w:ind w:left="357" w:hanging="357"/>
      </w:pPr>
    </w:lvl>
  </w:abstractNum>
  <w:abstractNum w:abstractNumId="205" w15:restartNumberingAfterBreak="0">
    <w:nsid w:val="0B9346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0BA0284E"/>
    <w:multiLevelType w:val="singleLevel"/>
    <w:tmpl w:val="68B420A0"/>
    <w:lvl w:ilvl="0">
      <w:start w:val="1"/>
      <w:numFmt w:val="bullet"/>
      <w:lvlText w:val=""/>
      <w:lvlJc w:val="left"/>
      <w:pPr>
        <w:tabs>
          <w:tab w:val="num" w:pos="360"/>
        </w:tabs>
        <w:ind w:left="340" w:hanging="340"/>
      </w:pPr>
      <w:rPr>
        <w:rFonts w:ascii="Symbol" w:hAnsi="Symbol" w:hint="default"/>
      </w:rPr>
    </w:lvl>
  </w:abstractNum>
  <w:abstractNum w:abstractNumId="207" w15:restartNumberingAfterBreak="0">
    <w:nsid w:val="0BA61018"/>
    <w:multiLevelType w:val="multilevel"/>
    <w:tmpl w:val="82C086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8" w15:restartNumberingAfterBreak="0">
    <w:nsid w:val="0BA613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9" w15:restartNumberingAfterBreak="0">
    <w:nsid w:val="0BA72B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0BAF61F3"/>
    <w:multiLevelType w:val="singleLevel"/>
    <w:tmpl w:val="BBDEA5D2"/>
    <w:lvl w:ilvl="0">
      <w:start w:val="1"/>
      <w:numFmt w:val="decimal"/>
      <w:lvlText w:val="%1."/>
      <w:legacy w:legacy="1" w:legacySpace="0" w:legacyIndent="284"/>
      <w:lvlJc w:val="left"/>
      <w:pPr>
        <w:ind w:left="1191" w:hanging="284"/>
      </w:pPr>
    </w:lvl>
  </w:abstractNum>
  <w:abstractNum w:abstractNumId="211" w15:restartNumberingAfterBreak="0">
    <w:nsid w:val="0BB133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0BBC4F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0BD50B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0BE03D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0BED261A"/>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6" w15:restartNumberingAfterBreak="0">
    <w:nsid w:val="0BF32895"/>
    <w:multiLevelType w:val="singleLevel"/>
    <w:tmpl w:val="89A2736A"/>
    <w:lvl w:ilvl="0">
      <w:start w:val="1"/>
      <w:numFmt w:val="lowerLetter"/>
      <w:lvlText w:val="%1)"/>
      <w:lvlJc w:val="left"/>
      <w:pPr>
        <w:tabs>
          <w:tab w:val="num" w:pos="360"/>
        </w:tabs>
        <w:ind w:left="0" w:firstLine="0"/>
      </w:pPr>
      <w:rPr>
        <w:rFonts w:hint="default"/>
        <w:i/>
      </w:rPr>
    </w:lvl>
  </w:abstractNum>
  <w:abstractNum w:abstractNumId="217" w15:restartNumberingAfterBreak="0">
    <w:nsid w:val="0BF97F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0BFD1AC3"/>
    <w:multiLevelType w:val="singleLevel"/>
    <w:tmpl w:val="CAD834AC"/>
    <w:lvl w:ilvl="0">
      <w:start w:val="1"/>
      <w:numFmt w:val="decimal"/>
      <w:lvlText w:val="%1."/>
      <w:legacy w:legacy="1" w:legacySpace="0" w:legacyIndent="454"/>
      <w:lvlJc w:val="left"/>
      <w:pPr>
        <w:ind w:left="454" w:hanging="454"/>
      </w:pPr>
    </w:lvl>
  </w:abstractNum>
  <w:abstractNum w:abstractNumId="219" w15:restartNumberingAfterBreak="0">
    <w:nsid w:val="0BFD1E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0BFD20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0C147D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0C37585B"/>
    <w:multiLevelType w:val="singleLevel"/>
    <w:tmpl w:val="09E4CAE6"/>
    <w:lvl w:ilvl="0">
      <w:start w:val="1"/>
      <w:numFmt w:val="bullet"/>
      <w:lvlText w:val=""/>
      <w:lvlJc w:val="left"/>
      <w:pPr>
        <w:tabs>
          <w:tab w:val="num" w:pos="360"/>
        </w:tabs>
        <w:ind w:left="170" w:hanging="170"/>
      </w:pPr>
      <w:rPr>
        <w:rFonts w:ascii="Symbol" w:hAnsi="Symbol" w:hint="default"/>
      </w:rPr>
    </w:lvl>
  </w:abstractNum>
  <w:abstractNum w:abstractNumId="223" w15:restartNumberingAfterBreak="0">
    <w:nsid w:val="0C6521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0C6E13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0C914A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0CB8330A"/>
    <w:multiLevelType w:val="singleLevel"/>
    <w:tmpl w:val="BBDEA5D2"/>
    <w:lvl w:ilvl="0">
      <w:start w:val="1"/>
      <w:numFmt w:val="decimal"/>
      <w:lvlText w:val="%1."/>
      <w:legacy w:legacy="1" w:legacySpace="0" w:legacyIndent="284"/>
      <w:lvlJc w:val="left"/>
      <w:pPr>
        <w:ind w:left="1191" w:hanging="284"/>
      </w:pPr>
    </w:lvl>
  </w:abstractNum>
  <w:abstractNum w:abstractNumId="227" w15:restartNumberingAfterBreak="0">
    <w:nsid w:val="0CE27230"/>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8" w15:restartNumberingAfterBreak="0">
    <w:nsid w:val="0CE72D3E"/>
    <w:multiLevelType w:val="singleLevel"/>
    <w:tmpl w:val="041D000F"/>
    <w:lvl w:ilvl="0">
      <w:start w:val="4"/>
      <w:numFmt w:val="decimal"/>
      <w:lvlText w:val="%1."/>
      <w:lvlJc w:val="left"/>
      <w:pPr>
        <w:tabs>
          <w:tab w:val="num" w:pos="360"/>
        </w:tabs>
        <w:ind w:left="360" w:hanging="360"/>
      </w:pPr>
      <w:rPr>
        <w:rFonts w:hint="default"/>
      </w:rPr>
    </w:lvl>
  </w:abstractNum>
  <w:abstractNum w:abstractNumId="229" w15:restartNumberingAfterBreak="0">
    <w:nsid w:val="0CEE37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0CF717B1"/>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231" w15:restartNumberingAfterBreak="0">
    <w:nsid w:val="0D0236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2" w15:restartNumberingAfterBreak="0">
    <w:nsid w:val="0D15066C"/>
    <w:multiLevelType w:val="singleLevel"/>
    <w:tmpl w:val="FA50742A"/>
    <w:lvl w:ilvl="0">
      <w:start w:val="1"/>
      <w:numFmt w:val="decimal"/>
      <w:lvlText w:val="%1."/>
      <w:legacy w:legacy="1" w:legacySpace="0" w:legacyIndent="283"/>
      <w:lvlJc w:val="left"/>
      <w:pPr>
        <w:ind w:left="283" w:hanging="283"/>
      </w:pPr>
    </w:lvl>
  </w:abstractNum>
  <w:abstractNum w:abstractNumId="233" w15:restartNumberingAfterBreak="0">
    <w:nsid w:val="0D2A3E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0D3678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0D5931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0D6353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0D760D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0D7A2288"/>
    <w:multiLevelType w:val="singleLevel"/>
    <w:tmpl w:val="FBF23DDE"/>
    <w:lvl w:ilvl="0">
      <w:start w:val="1"/>
      <w:numFmt w:val="decimal"/>
      <w:lvlText w:val="%1."/>
      <w:legacy w:legacy="1" w:legacySpace="0" w:legacyIndent="454"/>
      <w:lvlJc w:val="left"/>
      <w:pPr>
        <w:ind w:left="454" w:hanging="454"/>
      </w:pPr>
    </w:lvl>
  </w:abstractNum>
  <w:abstractNum w:abstractNumId="239" w15:restartNumberingAfterBreak="0">
    <w:nsid w:val="0D7F6F66"/>
    <w:multiLevelType w:val="multilevel"/>
    <w:tmpl w:val="BF8C133A"/>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08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0" w15:restartNumberingAfterBreak="0">
    <w:nsid w:val="0D8142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0D9837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0DC620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0DD966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0DDA070D"/>
    <w:multiLevelType w:val="singleLevel"/>
    <w:tmpl w:val="BBDEA5D2"/>
    <w:lvl w:ilvl="0">
      <w:start w:val="1"/>
      <w:numFmt w:val="decimal"/>
      <w:lvlText w:val="%1."/>
      <w:legacy w:legacy="1" w:legacySpace="0" w:legacyIndent="284"/>
      <w:lvlJc w:val="left"/>
      <w:pPr>
        <w:ind w:left="1191" w:hanging="284"/>
      </w:pPr>
    </w:lvl>
  </w:abstractNum>
  <w:abstractNum w:abstractNumId="245" w15:restartNumberingAfterBreak="0">
    <w:nsid w:val="0DDC5CA2"/>
    <w:multiLevelType w:val="singleLevel"/>
    <w:tmpl w:val="26A4E476"/>
    <w:lvl w:ilvl="0">
      <w:start w:val="1"/>
      <w:numFmt w:val="bullet"/>
      <w:lvlText w:val=""/>
      <w:lvlJc w:val="left"/>
      <w:pPr>
        <w:tabs>
          <w:tab w:val="num" w:pos="360"/>
        </w:tabs>
        <w:ind w:left="340" w:hanging="340"/>
      </w:pPr>
      <w:rPr>
        <w:rFonts w:ascii="Symbol" w:hAnsi="Symbol" w:hint="default"/>
      </w:rPr>
    </w:lvl>
  </w:abstractNum>
  <w:abstractNum w:abstractNumId="246" w15:restartNumberingAfterBreak="0">
    <w:nsid w:val="0DE7199C"/>
    <w:multiLevelType w:val="singleLevel"/>
    <w:tmpl w:val="BBDEA5D2"/>
    <w:lvl w:ilvl="0">
      <w:start w:val="1"/>
      <w:numFmt w:val="decimal"/>
      <w:lvlText w:val="%1."/>
      <w:legacy w:legacy="1" w:legacySpace="0" w:legacyIndent="284"/>
      <w:lvlJc w:val="left"/>
      <w:pPr>
        <w:ind w:left="1191" w:hanging="284"/>
      </w:pPr>
    </w:lvl>
  </w:abstractNum>
  <w:abstractNum w:abstractNumId="247" w15:restartNumberingAfterBreak="0">
    <w:nsid w:val="0DF47D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0E046A14"/>
    <w:multiLevelType w:val="singleLevel"/>
    <w:tmpl w:val="864EE628"/>
    <w:lvl w:ilvl="0">
      <w:start w:val="1"/>
      <w:numFmt w:val="decimal"/>
      <w:lvlText w:val="%1."/>
      <w:lvlJc w:val="left"/>
      <w:pPr>
        <w:tabs>
          <w:tab w:val="num" w:pos="360"/>
        </w:tabs>
        <w:ind w:left="284" w:hanging="284"/>
      </w:pPr>
    </w:lvl>
  </w:abstractNum>
  <w:abstractNum w:abstractNumId="249" w15:restartNumberingAfterBreak="0">
    <w:nsid w:val="0E477C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0E5339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1" w15:restartNumberingAfterBreak="0">
    <w:nsid w:val="0E713D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0E7B43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0E8D7C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0E8F2A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0EA44F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0EC854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0ED232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0ED833CC"/>
    <w:multiLevelType w:val="multilevel"/>
    <w:tmpl w:val="B72EFDA8"/>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9" w15:restartNumberingAfterBreak="0">
    <w:nsid w:val="0EDA6F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0EEA4BB6"/>
    <w:multiLevelType w:val="singleLevel"/>
    <w:tmpl w:val="440A9390"/>
    <w:lvl w:ilvl="0">
      <w:start w:val="1"/>
      <w:numFmt w:val="decimal"/>
      <w:lvlText w:val="%1."/>
      <w:legacy w:legacy="1" w:legacySpace="0" w:legacyIndent="454"/>
      <w:lvlJc w:val="left"/>
      <w:pPr>
        <w:ind w:left="454" w:hanging="454"/>
      </w:pPr>
    </w:lvl>
  </w:abstractNum>
  <w:abstractNum w:abstractNumId="261" w15:restartNumberingAfterBreak="0">
    <w:nsid w:val="0EEB08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0F067C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0F0C7864"/>
    <w:multiLevelType w:val="singleLevel"/>
    <w:tmpl w:val="01822B8A"/>
    <w:lvl w:ilvl="0">
      <w:start w:val="1"/>
      <w:numFmt w:val="decimal"/>
      <w:lvlText w:val="%1."/>
      <w:legacy w:legacy="1" w:legacySpace="0" w:legacyIndent="454"/>
      <w:lvlJc w:val="left"/>
      <w:pPr>
        <w:ind w:left="454" w:hanging="454"/>
      </w:pPr>
    </w:lvl>
  </w:abstractNum>
  <w:abstractNum w:abstractNumId="264" w15:restartNumberingAfterBreak="0">
    <w:nsid w:val="0F0E398B"/>
    <w:multiLevelType w:val="multilevel"/>
    <w:tmpl w:val="9DC0376C"/>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5" w15:restartNumberingAfterBreak="0">
    <w:nsid w:val="0F2B14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0F3058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0F346F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0F3D45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0F612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0F8C310C"/>
    <w:multiLevelType w:val="singleLevel"/>
    <w:tmpl w:val="0CD6BA2E"/>
    <w:lvl w:ilvl="0">
      <w:start w:val="1"/>
      <w:numFmt w:val="bullet"/>
      <w:lvlText w:val=""/>
      <w:lvlJc w:val="left"/>
      <w:pPr>
        <w:tabs>
          <w:tab w:val="num" w:pos="360"/>
        </w:tabs>
        <w:ind w:left="360" w:hanging="360"/>
      </w:pPr>
      <w:rPr>
        <w:rFonts w:ascii="Symbol" w:hAnsi="Symbol" w:hint="default"/>
      </w:rPr>
    </w:lvl>
  </w:abstractNum>
  <w:abstractNum w:abstractNumId="271" w15:restartNumberingAfterBreak="0">
    <w:nsid w:val="0F9C73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2" w15:restartNumberingAfterBreak="0">
    <w:nsid w:val="0FA42D26"/>
    <w:multiLevelType w:val="singleLevel"/>
    <w:tmpl w:val="041D000F"/>
    <w:lvl w:ilvl="0">
      <w:start w:val="1"/>
      <w:numFmt w:val="decimal"/>
      <w:lvlText w:val="%1."/>
      <w:lvlJc w:val="left"/>
      <w:pPr>
        <w:tabs>
          <w:tab w:val="num" w:pos="360"/>
        </w:tabs>
        <w:ind w:left="360" w:hanging="360"/>
      </w:pPr>
    </w:lvl>
  </w:abstractNum>
  <w:abstractNum w:abstractNumId="273"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74" w15:restartNumberingAfterBreak="0">
    <w:nsid w:val="0FCC37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0FCE07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0FDD42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0FE279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100376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102936CE"/>
    <w:multiLevelType w:val="singleLevel"/>
    <w:tmpl w:val="FFFFFFFF"/>
    <w:lvl w:ilvl="0">
      <w:numFmt w:val="decimal"/>
      <w:lvlText w:val="*"/>
      <w:lvlJc w:val="left"/>
    </w:lvl>
  </w:abstractNum>
  <w:abstractNum w:abstractNumId="280" w15:restartNumberingAfterBreak="0">
    <w:nsid w:val="10344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10385B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105079A7"/>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283" w15:restartNumberingAfterBreak="0">
    <w:nsid w:val="106B09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10A009A5"/>
    <w:multiLevelType w:val="singleLevel"/>
    <w:tmpl w:val="798C5842"/>
    <w:lvl w:ilvl="0">
      <w:start w:val="4"/>
      <w:numFmt w:val="bullet"/>
      <w:lvlText w:val="-"/>
      <w:lvlJc w:val="left"/>
      <w:pPr>
        <w:tabs>
          <w:tab w:val="num" w:pos="360"/>
        </w:tabs>
        <w:ind w:left="360" w:hanging="360"/>
      </w:pPr>
      <w:rPr>
        <w:rFonts w:hint="default"/>
      </w:rPr>
    </w:lvl>
  </w:abstractNum>
  <w:abstractNum w:abstractNumId="285" w15:restartNumberingAfterBreak="0">
    <w:nsid w:val="10C33167"/>
    <w:multiLevelType w:val="singleLevel"/>
    <w:tmpl w:val="F61899B2"/>
    <w:lvl w:ilvl="0">
      <w:start w:val="1"/>
      <w:numFmt w:val="decimal"/>
      <w:lvlText w:val="%1."/>
      <w:legacy w:legacy="1" w:legacySpace="0" w:legacyIndent="454"/>
      <w:lvlJc w:val="left"/>
      <w:pPr>
        <w:ind w:left="454" w:hanging="454"/>
      </w:pPr>
    </w:lvl>
  </w:abstractNum>
  <w:abstractNum w:abstractNumId="286" w15:restartNumberingAfterBreak="0">
    <w:nsid w:val="10C61E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10D327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10D57D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10E12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110817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112727CD"/>
    <w:multiLevelType w:val="singleLevel"/>
    <w:tmpl w:val="3C446EEE"/>
    <w:lvl w:ilvl="0">
      <w:start w:val="1"/>
      <w:numFmt w:val="decimal"/>
      <w:lvlText w:val="%1."/>
      <w:legacy w:legacy="1" w:legacySpace="0" w:legacyIndent="454"/>
      <w:lvlJc w:val="left"/>
      <w:pPr>
        <w:ind w:left="454" w:hanging="454"/>
      </w:pPr>
    </w:lvl>
  </w:abstractNum>
  <w:abstractNum w:abstractNumId="292" w15:restartNumberingAfterBreak="0">
    <w:nsid w:val="112A3E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114C4585"/>
    <w:multiLevelType w:val="singleLevel"/>
    <w:tmpl w:val="A5F058F8"/>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118A16FC"/>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5" w15:restartNumberingAfterBreak="0">
    <w:nsid w:val="119C4BC9"/>
    <w:multiLevelType w:val="singleLevel"/>
    <w:tmpl w:val="79343A60"/>
    <w:lvl w:ilvl="0">
      <w:start w:val="1"/>
      <w:numFmt w:val="bullet"/>
      <w:lvlText w:val=""/>
      <w:lvlJc w:val="left"/>
      <w:pPr>
        <w:tabs>
          <w:tab w:val="num" w:pos="360"/>
        </w:tabs>
        <w:ind w:left="227" w:hanging="227"/>
      </w:pPr>
      <w:rPr>
        <w:rFonts w:ascii="Symbol" w:hAnsi="Symbol" w:hint="default"/>
        <w:sz w:val="18"/>
      </w:rPr>
    </w:lvl>
  </w:abstractNum>
  <w:abstractNum w:abstractNumId="296" w15:restartNumberingAfterBreak="0">
    <w:nsid w:val="11AD51C4"/>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7" w15:restartNumberingAfterBreak="0">
    <w:nsid w:val="11C144F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8" w15:restartNumberingAfterBreak="0">
    <w:nsid w:val="11CB5A16"/>
    <w:multiLevelType w:val="singleLevel"/>
    <w:tmpl w:val="AA226CFC"/>
    <w:lvl w:ilvl="0">
      <w:start w:val="7"/>
      <w:numFmt w:val="decimal"/>
      <w:lvlText w:val="%1."/>
      <w:legacy w:legacy="1" w:legacySpace="0" w:legacyIndent="454"/>
      <w:lvlJc w:val="left"/>
      <w:pPr>
        <w:ind w:left="454" w:hanging="454"/>
      </w:pPr>
    </w:lvl>
  </w:abstractNum>
  <w:abstractNum w:abstractNumId="299" w15:restartNumberingAfterBreak="0">
    <w:nsid w:val="11D41447"/>
    <w:multiLevelType w:val="multilevel"/>
    <w:tmpl w:val="74045C6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0" w15:restartNumberingAfterBreak="0">
    <w:nsid w:val="12002F5C"/>
    <w:multiLevelType w:val="multilevel"/>
    <w:tmpl w:val="46A479EA"/>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1316"/>
        </w:tabs>
        <w:ind w:left="1316" w:hanging="46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301" w15:restartNumberingAfterBreak="0">
    <w:nsid w:val="12131F5D"/>
    <w:multiLevelType w:val="multilevel"/>
    <w:tmpl w:val="8E3405E4"/>
    <w:lvl w:ilvl="0">
      <w:start w:val="5"/>
      <w:numFmt w:val="decimal"/>
      <w:lvlText w:val="%1."/>
      <w:lvlJc w:val="left"/>
      <w:pPr>
        <w:tabs>
          <w:tab w:val="num" w:pos="782"/>
        </w:tabs>
        <w:ind w:left="782" w:hanging="55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302" w15:restartNumberingAfterBreak="0">
    <w:nsid w:val="121F6C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3" w15:restartNumberingAfterBreak="0">
    <w:nsid w:val="123825F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4" w15:restartNumberingAfterBreak="0">
    <w:nsid w:val="126901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126969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126A2F35"/>
    <w:multiLevelType w:val="multilevel"/>
    <w:tmpl w:val="9ED0FE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126D00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127678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129503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12976E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129C26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12A31E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12AC7560"/>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4" w15:restartNumberingAfterBreak="0">
    <w:nsid w:val="12B436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5" w15:restartNumberingAfterBreak="0">
    <w:nsid w:val="12B563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12BC67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12C670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8" w15:restartNumberingAfterBreak="0">
    <w:nsid w:val="12FC7A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13030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13112BDA"/>
    <w:multiLevelType w:val="multilevel"/>
    <w:tmpl w:val="4D10B3D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1" w15:restartNumberingAfterBreak="0">
    <w:nsid w:val="131E153E"/>
    <w:multiLevelType w:val="singleLevel"/>
    <w:tmpl w:val="F2ECD44A"/>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133626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3" w15:restartNumberingAfterBreak="0">
    <w:nsid w:val="13362E6A"/>
    <w:multiLevelType w:val="singleLevel"/>
    <w:tmpl w:val="041D000F"/>
    <w:lvl w:ilvl="0">
      <w:start w:val="1"/>
      <w:numFmt w:val="decimal"/>
      <w:lvlText w:val="%1."/>
      <w:lvlJc w:val="left"/>
      <w:pPr>
        <w:tabs>
          <w:tab w:val="num" w:pos="360"/>
        </w:tabs>
        <w:ind w:left="360" w:hanging="360"/>
      </w:pPr>
    </w:lvl>
  </w:abstractNum>
  <w:abstractNum w:abstractNumId="324" w15:restartNumberingAfterBreak="0">
    <w:nsid w:val="134E5BDE"/>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325" w15:restartNumberingAfterBreak="0">
    <w:nsid w:val="136C49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6" w15:restartNumberingAfterBreak="0">
    <w:nsid w:val="139909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13A314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13A71012"/>
    <w:multiLevelType w:val="singleLevel"/>
    <w:tmpl w:val="81981A0A"/>
    <w:lvl w:ilvl="0">
      <w:start w:val="1"/>
      <w:numFmt w:val="decimal"/>
      <w:lvlText w:val="%1."/>
      <w:legacy w:legacy="1" w:legacySpace="0" w:legacyIndent="454"/>
      <w:lvlJc w:val="left"/>
      <w:pPr>
        <w:ind w:left="454" w:hanging="454"/>
      </w:pPr>
    </w:lvl>
  </w:abstractNum>
  <w:abstractNum w:abstractNumId="329" w15:restartNumberingAfterBreak="0">
    <w:nsid w:val="13C51D94"/>
    <w:multiLevelType w:val="multilevel"/>
    <w:tmpl w:val="352C2508"/>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0" w15:restartNumberingAfterBreak="0">
    <w:nsid w:val="13FE2B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13FF5F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14010D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14177A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4" w15:restartNumberingAfterBreak="0">
    <w:nsid w:val="142342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5" w15:restartNumberingAfterBreak="0">
    <w:nsid w:val="142C0931"/>
    <w:multiLevelType w:val="singleLevel"/>
    <w:tmpl w:val="041D000F"/>
    <w:lvl w:ilvl="0">
      <w:start w:val="1"/>
      <w:numFmt w:val="decimal"/>
      <w:lvlText w:val="%1."/>
      <w:legacy w:legacy="1" w:legacySpace="0" w:legacyIndent="284"/>
      <w:lvlJc w:val="left"/>
      <w:pPr>
        <w:ind w:left="1191" w:hanging="284"/>
      </w:pPr>
    </w:lvl>
  </w:abstractNum>
  <w:abstractNum w:abstractNumId="336" w15:restartNumberingAfterBreak="0">
    <w:nsid w:val="143E4689"/>
    <w:multiLevelType w:val="multilevel"/>
    <w:tmpl w:val="290AD814"/>
    <w:lvl w:ilvl="0">
      <w:start w:val="1"/>
      <w:numFmt w:val="lowerLetter"/>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337" w15:restartNumberingAfterBreak="0">
    <w:nsid w:val="144130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14483DBF"/>
    <w:multiLevelType w:val="singleLevel"/>
    <w:tmpl w:val="96D28B62"/>
    <w:lvl w:ilvl="0">
      <w:start w:val="1"/>
      <w:numFmt w:val="decimal"/>
      <w:lvlText w:val="%1."/>
      <w:legacy w:legacy="1" w:legacySpace="0" w:legacyIndent="454"/>
      <w:lvlJc w:val="left"/>
      <w:pPr>
        <w:ind w:left="454" w:hanging="454"/>
      </w:pPr>
    </w:lvl>
  </w:abstractNum>
  <w:abstractNum w:abstractNumId="339" w15:restartNumberingAfterBreak="0">
    <w:nsid w:val="14564A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0" w15:restartNumberingAfterBreak="0">
    <w:nsid w:val="14703B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14820339"/>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342" w15:restartNumberingAfterBreak="0">
    <w:nsid w:val="148E52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149D02BA"/>
    <w:multiLevelType w:val="singleLevel"/>
    <w:tmpl w:val="EB04BFA0"/>
    <w:lvl w:ilvl="0">
      <w:start w:val="1"/>
      <w:numFmt w:val="decimal"/>
      <w:lvlText w:val="%1."/>
      <w:legacy w:legacy="1" w:legacySpace="0" w:legacyIndent="454"/>
      <w:lvlJc w:val="left"/>
      <w:pPr>
        <w:ind w:left="454" w:hanging="454"/>
      </w:pPr>
    </w:lvl>
  </w:abstractNum>
  <w:abstractNum w:abstractNumId="344" w15:restartNumberingAfterBreak="0">
    <w:nsid w:val="149D03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14A651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14AB1B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14B80418"/>
    <w:multiLevelType w:val="multilevel"/>
    <w:tmpl w:val="10366E14"/>
    <w:lvl w:ilvl="0">
      <w:start w:val="4"/>
      <w:numFmt w:val="decimal"/>
      <w:suff w:val="space"/>
      <w:lvlText w:val="%1"/>
      <w:lvlJc w:val="left"/>
      <w:pPr>
        <w:ind w:left="0" w:firstLine="0"/>
      </w:pPr>
    </w:lvl>
    <w:lvl w:ilvl="1">
      <w:start w:val="1"/>
      <w:numFmt w:val="decimal"/>
      <w:suff w:val="space"/>
      <w:lvlText w:val="%1.%2"/>
      <w:lvlJc w:val="left"/>
      <w:pPr>
        <w:ind w:left="170" w:hanging="170"/>
      </w:pPr>
    </w:lvl>
    <w:lvl w:ilvl="2">
      <w:start w:val="1"/>
      <w:numFmt w:val="decimal"/>
      <w:suff w:val="space"/>
      <w:lvlText w:val="%1.%2.%3"/>
      <w:lvlJc w:val="left"/>
      <w:pPr>
        <w:ind w:left="170" w:hanging="170"/>
      </w:pPr>
    </w:lvl>
    <w:lvl w:ilvl="3">
      <w:start w:val="1"/>
      <w:numFmt w:val="none"/>
      <w:suff w:val="space"/>
      <w:lvlText w:val="%1.%2.%3.%4"/>
      <w:lvlJc w:val="left"/>
      <w:pPr>
        <w:ind w:left="170" w:hanging="170"/>
      </w:pPr>
    </w:lvl>
    <w:lvl w:ilvl="4">
      <w:start w:val="1"/>
      <w:numFmt w:val="decimal"/>
      <w:suff w:val="space"/>
      <w:lvlText w:val="%1.%2.%3.%4.%5"/>
      <w:lvlJc w:val="left"/>
      <w:pPr>
        <w:ind w:left="0" w:firstLine="0"/>
      </w:pPr>
    </w:lvl>
    <w:lvl w:ilvl="5">
      <w:start w:val="1"/>
      <w:numFmt w:val="decimal"/>
      <w:suff w:val="space"/>
      <w:lvlText w:val="%1.%2.%3.%4.%5.%6"/>
      <w:lvlJc w:val="left"/>
      <w:pPr>
        <w:ind w:left="170" w:hanging="170"/>
      </w:pPr>
    </w:lvl>
    <w:lvl w:ilvl="6">
      <w:start w:val="1"/>
      <w:numFmt w:val="decimal"/>
      <w:suff w:val="space"/>
      <w:lvlText w:val="%1.%2.%3.%4.%5.%6.%7"/>
      <w:lvlJc w:val="left"/>
      <w:pPr>
        <w:ind w:left="0" w:firstLine="0"/>
      </w:pPr>
    </w:lvl>
    <w:lvl w:ilvl="7">
      <w:start w:val="1"/>
      <w:numFmt w:val="decimal"/>
      <w:suff w:val="space"/>
      <w:lvlText w:val="%1.%2.%3.%4.%5.%6.%7.%8"/>
      <w:lvlJc w:val="left"/>
      <w:pPr>
        <w:ind w:left="170" w:hanging="170"/>
      </w:pPr>
    </w:lvl>
    <w:lvl w:ilvl="8">
      <w:start w:val="1"/>
      <w:numFmt w:val="decimal"/>
      <w:suff w:val="space"/>
      <w:lvlText w:val="%1.%2.%3.%4.%5.%6.%7.%8.%9"/>
      <w:lvlJc w:val="left"/>
      <w:pPr>
        <w:ind w:left="170" w:hanging="170"/>
      </w:pPr>
    </w:lvl>
  </w:abstractNum>
  <w:abstractNum w:abstractNumId="348" w15:restartNumberingAfterBreak="0">
    <w:nsid w:val="14C20B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9" w15:restartNumberingAfterBreak="0">
    <w:nsid w:val="14F652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150D4B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1" w15:restartNumberingAfterBreak="0">
    <w:nsid w:val="150E79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15157C94"/>
    <w:multiLevelType w:val="singleLevel"/>
    <w:tmpl w:val="BBDEA5D2"/>
    <w:lvl w:ilvl="0">
      <w:start w:val="1"/>
      <w:numFmt w:val="decimal"/>
      <w:lvlText w:val="%1."/>
      <w:legacy w:legacy="1" w:legacySpace="0" w:legacyIndent="284"/>
      <w:lvlJc w:val="left"/>
      <w:pPr>
        <w:ind w:left="1191" w:hanging="284"/>
      </w:pPr>
    </w:lvl>
  </w:abstractNum>
  <w:abstractNum w:abstractNumId="353" w15:restartNumberingAfterBreak="0">
    <w:nsid w:val="151B6D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152863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5" w15:restartNumberingAfterBreak="0">
    <w:nsid w:val="154F2E9B"/>
    <w:multiLevelType w:val="singleLevel"/>
    <w:tmpl w:val="4822A0EC"/>
    <w:lvl w:ilvl="0">
      <w:start w:val="1"/>
      <w:numFmt w:val="decimal"/>
      <w:lvlText w:val="%1"/>
      <w:lvlJc w:val="left"/>
      <w:pPr>
        <w:tabs>
          <w:tab w:val="num" w:pos="360"/>
        </w:tabs>
        <w:ind w:left="360" w:hanging="360"/>
      </w:pPr>
      <w:rPr>
        <w:rFonts w:hint="default"/>
      </w:rPr>
    </w:lvl>
  </w:abstractNum>
  <w:abstractNum w:abstractNumId="35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57" w15:restartNumberingAfterBreak="0">
    <w:nsid w:val="157D1BBE"/>
    <w:multiLevelType w:val="singleLevel"/>
    <w:tmpl w:val="DE1A2F6A"/>
    <w:lvl w:ilvl="0">
      <w:numFmt w:val="bullet"/>
      <w:lvlText w:val="-"/>
      <w:lvlJc w:val="left"/>
      <w:pPr>
        <w:tabs>
          <w:tab w:val="num" w:pos="360"/>
        </w:tabs>
        <w:ind w:left="360" w:hanging="360"/>
      </w:pPr>
      <w:rPr>
        <w:rFonts w:hint="default"/>
      </w:rPr>
    </w:lvl>
  </w:abstractNum>
  <w:abstractNum w:abstractNumId="358" w15:restartNumberingAfterBreak="0">
    <w:nsid w:val="15870D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9" w15:restartNumberingAfterBreak="0">
    <w:nsid w:val="159521C4"/>
    <w:multiLevelType w:val="singleLevel"/>
    <w:tmpl w:val="041D000F"/>
    <w:lvl w:ilvl="0">
      <w:start w:val="1"/>
      <w:numFmt w:val="decimal"/>
      <w:lvlText w:val="%1."/>
      <w:lvlJc w:val="left"/>
      <w:pPr>
        <w:tabs>
          <w:tab w:val="num" w:pos="360"/>
        </w:tabs>
        <w:ind w:left="360" w:hanging="360"/>
      </w:pPr>
    </w:lvl>
  </w:abstractNum>
  <w:abstractNum w:abstractNumId="360" w15:restartNumberingAfterBreak="0">
    <w:nsid w:val="159A6C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15A57E61"/>
    <w:multiLevelType w:val="singleLevel"/>
    <w:tmpl w:val="20522D94"/>
    <w:lvl w:ilvl="0">
      <w:start w:val="1"/>
      <w:numFmt w:val="decimal"/>
      <w:lvlText w:val="%1."/>
      <w:legacy w:legacy="1" w:legacySpace="0" w:legacyIndent="454"/>
      <w:lvlJc w:val="left"/>
      <w:pPr>
        <w:ind w:left="454" w:hanging="454"/>
      </w:pPr>
    </w:lvl>
  </w:abstractNum>
  <w:abstractNum w:abstractNumId="362" w15:restartNumberingAfterBreak="0">
    <w:nsid w:val="15C612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3" w15:restartNumberingAfterBreak="0">
    <w:nsid w:val="15CD0DE3"/>
    <w:multiLevelType w:val="singleLevel"/>
    <w:tmpl w:val="79343A60"/>
    <w:lvl w:ilvl="0">
      <w:start w:val="1"/>
      <w:numFmt w:val="bullet"/>
      <w:lvlText w:val=""/>
      <w:lvlJc w:val="left"/>
      <w:pPr>
        <w:tabs>
          <w:tab w:val="num" w:pos="360"/>
        </w:tabs>
        <w:ind w:left="227" w:hanging="227"/>
      </w:pPr>
      <w:rPr>
        <w:rFonts w:ascii="Symbol" w:hAnsi="Symbol" w:hint="default"/>
        <w:sz w:val="18"/>
      </w:rPr>
    </w:lvl>
  </w:abstractNum>
  <w:abstractNum w:abstractNumId="364" w15:restartNumberingAfterBreak="0">
    <w:nsid w:val="15DB3A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162A0A5E"/>
    <w:multiLevelType w:val="singleLevel"/>
    <w:tmpl w:val="E2FC9A16"/>
    <w:lvl w:ilvl="0">
      <w:start w:val="1"/>
      <w:numFmt w:val="decimal"/>
      <w:lvlText w:val="%1."/>
      <w:legacy w:legacy="1" w:legacySpace="0" w:legacyIndent="454"/>
      <w:lvlJc w:val="left"/>
      <w:pPr>
        <w:ind w:left="454" w:hanging="454"/>
      </w:pPr>
    </w:lvl>
  </w:abstractNum>
  <w:abstractNum w:abstractNumId="366" w15:restartNumberingAfterBreak="0">
    <w:nsid w:val="16336A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163F11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8" w15:restartNumberingAfterBreak="0">
    <w:nsid w:val="164344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9" w15:restartNumberingAfterBreak="0">
    <w:nsid w:val="166838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16697C1E"/>
    <w:multiLevelType w:val="singleLevel"/>
    <w:tmpl w:val="041D000F"/>
    <w:lvl w:ilvl="0">
      <w:start w:val="1"/>
      <w:numFmt w:val="decimal"/>
      <w:lvlText w:val="%1."/>
      <w:lvlJc w:val="left"/>
      <w:pPr>
        <w:tabs>
          <w:tab w:val="num" w:pos="360"/>
        </w:tabs>
        <w:ind w:left="360" w:hanging="360"/>
      </w:pPr>
    </w:lvl>
  </w:abstractNum>
  <w:abstractNum w:abstractNumId="371" w15:restartNumberingAfterBreak="0">
    <w:nsid w:val="166F60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16806F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16851E8A"/>
    <w:multiLevelType w:val="singleLevel"/>
    <w:tmpl w:val="9A6A8032"/>
    <w:lvl w:ilvl="0">
      <w:start w:val="1"/>
      <w:numFmt w:val="decimal"/>
      <w:lvlText w:val="%1."/>
      <w:legacy w:legacy="1" w:legacySpace="0" w:legacyIndent="454"/>
      <w:lvlJc w:val="left"/>
      <w:pPr>
        <w:ind w:left="454" w:hanging="454"/>
      </w:pPr>
    </w:lvl>
  </w:abstractNum>
  <w:abstractNum w:abstractNumId="374" w15:restartNumberingAfterBreak="0">
    <w:nsid w:val="169B5B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16A26B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16AF63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7" w15:restartNumberingAfterBreak="0">
    <w:nsid w:val="16B316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8" w15:restartNumberingAfterBreak="0">
    <w:nsid w:val="16B373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16BC4C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0" w15:restartNumberingAfterBreak="0">
    <w:nsid w:val="16D813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16EA54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16EE61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3" w15:restartNumberingAfterBreak="0">
    <w:nsid w:val="16EF0F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170723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5" w15:restartNumberingAfterBreak="0">
    <w:nsid w:val="172227F6"/>
    <w:multiLevelType w:val="multilevel"/>
    <w:tmpl w:val="B4FCA7E8"/>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6" w15:restartNumberingAfterBreak="0">
    <w:nsid w:val="173170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7" w15:restartNumberingAfterBreak="0">
    <w:nsid w:val="17350C2C"/>
    <w:multiLevelType w:val="multilevel"/>
    <w:tmpl w:val="5028816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8" w15:restartNumberingAfterBreak="0">
    <w:nsid w:val="17391E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9" w15:restartNumberingAfterBreak="0">
    <w:nsid w:val="177C33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0" w15:restartNumberingAfterBreak="0">
    <w:nsid w:val="17C16C33"/>
    <w:multiLevelType w:val="singleLevel"/>
    <w:tmpl w:val="56CE799E"/>
    <w:lvl w:ilvl="0">
      <w:start w:val="1"/>
      <w:numFmt w:val="decimal"/>
      <w:lvlText w:val="%1."/>
      <w:legacy w:legacy="1" w:legacySpace="0" w:legacyIndent="284"/>
      <w:lvlJc w:val="left"/>
      <w:pPr>
        <w:ind w:left="1191" w:hanging="284"/>
      </w:pPr>
    </w:lvl>
  </w:abstractNum>
  <w:abstractNum w:abstractNumId="391" w15:restartNumberingAfterBreak="0">
    <w:nsid w:val="17DB6E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17E859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17F005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4" w15:restartNumberingAfterBreak="0">
    <w:nsid w:val="17FE1B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17FE27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18162B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7" w15:restartNumberingAfterBreak="0">
    <w:nsid w:val="181801FF"/>
    <w:multiLevelType w:val="singleLevel"/>
    <w:tmpl w:val="041D000F"/>
    <w:lvl w:ilvl="0">
      <w:start w:val="1"/>
      <w:numFmt w:val="decimal"/>
      <w:lvlText w:val="%1."/>
      <w:lvlJc w:val="left"/>
      <w:pPr>
        <w:tabs>
          <w:tab w:val="num" w:pos="360"/>
        </w:tabs>
        <w:ind w:left="360" w:hanging="360"/>
      </w:pPr>
    </w:lvl>
  </w:abstractNum>
  <w:abstractNum w:abstractNumId="398" w15:restartNumberingAfterBreak="0">
    <w:nsid w:val="181939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183738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18411E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185E089B"/>
    <w:multiLevelType w:val="multilevel"/>
    <w:tmpl w:val="C92A0F22"/>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2" w15:restartNumberingAfterBreak="0">
    <w:nsid w:val="18634AF7"/>
    <w:multiLevelType w:val="multilevel"/>
    <w:tmpl w:val="4FEEEECE"/>
    <w:lvl w:ilvl="0">
      <w:start w:val="1"/>
      <w:numFmt w:val="decimal"/>
      <w:lvlText w:val="%1."/>
      <w:lvlJc w:val="left"/>
      <w:pPr>
        <w:tabs>
          <w:tab w:val="num" w:pos="947"/>
        </w:tabs>
        <w:ind w:left="947" w:hanging="360"/>
      </w:pPr>
    </w:lvl>
    <w:lvl w:ilvl="1" w:tentative="1">
      <w:start w:val="1"/>
      <w:numFmt w:val="lowerLetter"/>
      <w:lvlText w:val="%2."/>
      <w:lvlJc w:val="left"/>
      <w:pPr>
        <w:tabs>
          <w:tab w:val="num" w:pos="1667"/>
        </w:tabs>
        <w:ind w:left="1667" w:hanging="360"/>
      </w:pPr>
    </w:lvl>
    <w:lvl w:ilvl="2" w:tentative="1">
      <w:start w:val="1"/>
      <w:numFmt w:val="lowerRoman"/>
      <w:lvlText w:val="%3."/>
      <w:lvlJc w:val="right"/>
      <w:pPr>
        <w:tabs>
          <w:tab w:val="num" w:pos="2387"/>
        </w:tabs>
        <w:ind w:left="2387" w:hanging="180"/>
      </w:pPr>
    </w:lvl>
    <w:lvl w:ilvl="3" w:tentative="1">
      <w:start w:val="1"/>
      <w:numFmt w:val="decimal"/>
      <w:lvlText w:val="%4."/>
      <w:lvlJc w:val="left"/>
      <w:pPr>
        <w:tabs>
          <w:tab w:val="num" w:pos="3107"/>
        </w:tabs>
        <w:ind w:left="3107" w:hanging="360"/>
      </w:pPr>
    </w:lvl>
    <w:lvl w:ilvl="4" w:tentative="1">
      <w:start w:val="1"/>
      <w:numFmt w:val="lowerLetter"/>
      <w:lvlText w:val="%5."/>
      <w:lvlJc w:val="left"/>
      <w:pPr>
        <w:tabs>
          <w:tab w:val="num" w:pos="3827"/>
        </w:tabs>
        <w:ind w:left="3827" w:hanging="360"/>
      </w:pPr>
    </w:lvl>
    <w:lvl w:ilvl="5" w:tentative="1">
      <w:start w:val="1"/>
      <w:numFmt w:val="lowerRoman"/>
      <w:lvlText w:val="%6."/>
      <w:lvlJc w:val="right"/>
      <w:pPr>
        <w:tabs>
          <w:tab w:val="num" w:pos="4547"/>
        </w:tabs>
        <w:ind w:left="4547" w:hanging="180"/>
      </w:pPr>
    </w:lvl>
    <w:lvl w:ilvl="6" w:tentative="1">
      <w:start w:val="1"/>
      <w:numFmt w:val="decimal"/>
      <w:lvlText w:val="%7."/>
      <w:lvlJc w:val="left"/>
      <w:pPr>
        <w:tabs>
          <w:tab w:val="num" w:pos="5267"/>
        </w:tabs>
        <w:ind w:left="5267" w:hanging="360"/>
      </w:pPr>
    </w:lvl>
    <w:lvl w:ilvl="7" w:tentative="1">
      <w:start w:val="1"/>
      <w:numFmt w:val="lowerLetter"/>
      <w:lvlText w:val="%8."/>
      <w:lvlJc w:val="left"/>
      <w:pPr>
        <w:tabs>
          <w:tab w:val="num" w:pos="5987"/>
        </w:tabs>
        <w:ind w:left="5987" w:hanging="360"/>
      </w:pPr>
    </w:lvl>
    <w:lvl w:ilvl="8" w:tentative="1">
      <w:start w:val="1"/>
      <w:numFmt w:val="lowerRoman"/>
      <w:lvlText w:val="%9."/>
      <w:lvlJc w:val="right"/>
      <w:pPr>
        <w:tabs>
          <w:tab w:val="num" w:pos="6707"/>
        </w:tabs>
        <w:ind w:left="6707" w:hanging="180"/>
      </w:pPr>
    </w:lvl>
  </w:abstractNum>
  <w:abstractNum w:abstractNumId="403" w15:restartNumberingAfterBreak="0">
    <w:nsid w:val="189364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18E415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18EA7B57"/>
    <w:multiLevelType w:val="multilevel"/>
    <w:tmpl w:val="318053E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190C0B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190E72E3"/>
    <w:multiLevelType w:val="singleLevel"/>
    <w:tmpl w:val="4C2EE808"/>
    <w:lvl w:ilvl="0">
      <w:start w:val="1"/>
      <w:numFmt w:val="bullet"/>
      <w:lvlText w:val=""/>
      <w:lvlJc w:val="left"/>
      <w:pPr>
        <w:tabs>
          <w:tab w:val="num" w:pos="360"/>
        </w:tabs>
        <w:ind w:left="170" w:hanging="170"/>
      </w:pPr>
      <w:rPr>
        <w:rFonts w:ascii="Symbol" w:hAnsi="Symbol" w:hint="default"/>
      </w:rPr>
    </w:lvl>
  </w:abstractNum>
  <w:abstractNum w:abstractNumId="408" w15:restartNumberingAfterBreak="0">
    <w:nsid w:val="190F0C1F"/>
    <w:multiLevelType w:val="multilevel"/>
    <w:tmpl w:val="84FE7F96"/>
    <w:lvl w:ilvl="0">
      <w:start w:val="1"/>
      <w:numFmt w:val="bullet"/>
      <w:lvlText w:val="–"/>
      <w:lvlJc w:val="left"/>
      <w:pPr>
        <w:tabs>
          <w:tab w:val="num" w:pos="454"/>
        </w:tabs>
        <w:ind w:left="454" w:hanging="454"/>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9" w15:restartNumberingAfterBreak="0">
    <w:nsid w:val="194071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194072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1" w15:restartNumberingAfterBreak="0">
    <w:nsid w:val="194C2037"/>
    <w:multiLevelType w:val="singleLevel"/>
    <w:tmpl w:val="7E5AAA14"/>
    <w:lvl w:ilvl="0">
      <w:start w:val="1"/>
      <w:numFmt w:val="decimal"/>
      <w:lvlText w:val="%1."/>
      <w:lvlJc w:val="left"/>
      <w:pPr>
        <w:tabs>
          <w:tab w:val="num" w:pos="587"/>
        </w:tabs>
        <w:ind w:left="587" w:hanging="360"/>
      </w:pPr>
      <w:rPr>
        <w:rFonts w:hint="default"/>
      </w:rPr>
    </w:lvl>
  </w:abstractNum>
  <w:abstractNum w:abstractNumId="412" w15:restartNumberingAfterBreak="0">
    <w:nsid w:val="196D0F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3" w15:restartNumberingAfterBreak="0">
    <w:nsid w:val="19730E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19A16A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5" w15:restartNumberingAfterBreak="0">
    <w:nsid w:val="19B607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6" w15:restartNumberingAfterBreak="0">
    <w:nsid w:val="19B86F6F"/>
    <w:multiLevelType w:val="multilevel"/>
    <w:tmpl w:val="98DA783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7" w15:restartNumberingAfterBreak="0">
    <w:nsid w:val="19C302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19CA1F2E"/>
    <w:multiLevelType w:val="multilevel"/>
    <w:tmpl w:val="99B2E6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9" w15:restartNumberingAfterBreak="0">
    <w:nsid w:val="19D40C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19E355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1" w15:restartNumberingAfterBreak="0">
    <w:nsid w:val="19EC1DA5"/>
    <w:multiLevelType w:val="singleLevel"/>
    <w:tmpl w:val="BBDEA5D2"/>
    <w:lvl w:ilvl="0">
      <w:start w:val="1"/>
      <w:numFmt w:val="decimal"/>
      <w:lvlText w:val="%1."/>
      <w:legacy w:legacy="1" w:legacySpace="0" w:legacyIndent="284"/>
      <w:lvlJc w:val="left"/>
      <w:pPr>
        <w:ind w:left="1191" w:hanging="284"/>
      </w:pPr>
    </w:lvl>
  </w:abstractNum>
  <w:abstractNum w:abstractNumId="422" w15:restartNumberingAfterBreak="0">
    <w:nsid w:val="19F74C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3" w15:restartNumberingAfterBreak="0">
    <w:nsid w:val="1A14202A"/>
    <w:multiLevelType w:val="multilevel"/>
    <w:tmpl w:val="87C045A4"/>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4" w15:restartNumberingAfterBreak="0">
    <w:nsid w:val="1A2652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5" w15:restartNumberingAfterBreak="0">
    <w:nsid w:val="1A265A08"/>
    <w:multiLevelType w:val="singleLevel"/>
    <w:tmpl w:val="6DE2D4AE"/>
    <w:lvl w:ilvl="0">
      <w:start w:val="7"/>
      <w:numFmt w:val="decimal"/>
      <w:lvlText w:val="%1."/>
      <w:legacy w:legacy="1" w:legacySpace="0" w:legacyIndent="454"/>
      <w:lvlJc w:val="left"/>
      <w:pPr>
        <w:ind w:left="454" w:hanging="454"/>
      </w:pPr>
    </w:lvl>
  </w:abstractNum>
  <w:abstractNum w:abstractNumId="426" w15:restartNumberingAfterBreak="0">
    <w:nsid w:val="1A2D62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7" w15:restartNumberingAfterBreak="0">
    <w:nsid w:val="1A351E5B"/>
    <w:multiLevelType w:val="singleLevel"/>
    <w:tmpl w:val="BBDEA5D2"/>
    <w:lvl w:ilvl="0">
      <w:start w:val="1"/>
      <w:numFmt w:val="decimal"/>
      <w:lvlText w:val="%1."/>
      <w:legacy w:legacy="1" w:legacySpace="0" w:legacyIndent="284"/>
      <w:lvlJc w:val="left"/>
      <w:pPr>
        <w:ind w:left="1191" w:hanging="284"/>
      </w:pPr>
    </w:lvl>
  </w:abstractNum>
  <w:abstractNum w:abstractNumId="428" w15:restartNumberingAfterBreak="0">
    <w:nsid w:val="1A3817B9"/>
    <w:multiLevelType w:val="singleLevel"/>
    <w:tmpl w:val="041D000F"/>
    <w:lvl w:ilvl="0">
      <w:start w:val="1"/>
      <w:numFmt w:val="decimal"/>
      <w:lvlText w:val="%1."/>
      <w:lvlJc w:val="left"/>
      <w:pPr>
        <w:tabs>
          <w:tab w:val="num" w:pos="360"/>
        </w:tabs>
        <w:ind w:left="360" w:hanging="360"/>
      </w:pPr>
    </w:lvl>
  </w:abstractNum>
  <w:abstractNum w:abstractNumId="429" w15:restartNumberingAfterBreak="0">
    <w:nsid w:val="1A4C0F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0" w15:restartNumberingAfterBreak="0">
    <w:nsid w:val="1A5201C9"/>
    <w:multiLevelType w:val="multilevel"/>
    <w:tmpl w:val="12188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1" w15:restartNumberingAfterBreak="0">
    <w:nsid w:val="1A5B50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1A6A7B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1A6B26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1A6D79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1A9B60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1A9F7E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1AB720D5"/>
    <w:multiLevelType w:val="singleLevel"/>
    <w:tmpl w:val="A1C6AFB4"/>
    <w:lvl w:ilvl="0">
      <w:start w:val="1"/>
      <w:numFmt w:val="bullet"/>
      <w:lvlText w:val=""/>
      <w:lvlJc w:val="left"/>
      <w:pPr>
        <w:tabs>
          <w:tab w:val="num" w:pos="360"/>
        </w:tabs>
        <w:ind w:left="0" w:firstLine="0"/>
      </w:pPr>
      <w:rPr>
        <w:rFonts w:ascii="CommonBullets" w:hAnsi="CommonBullets" w:hint="default"/>
        <w:sz w:val="24"/>
      </w:rPr>
    </w:lvl>
  </w:abstractNum>
  <w:abstractNum w:abstractNumId="438" w15:restartNumberingAfterBreak="0">
    <w:nsid w:val="1ABF3A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9" w15:restartNumberingAfterBreak="0">
    <w:nsid w:val="1AE903E2"/>
    <w:multiLevelType w:val="singleLevel"/>
    <w:tmpl w:val="EB04BFA0"/>
    <w:lvl w:ilvl="0">
      <w:start w:val="1"/>
      <w:numFmt w:val="decimal"/>
      <w:lvlText w:val="%1."/>
      <w:legacy w:legacy="1" w:legacySpace="0" w:legacyIndent="454"/>
      <w:lvlJc w:val="left"/>
      <w:pPr>
        <w:ind w:left="454" w:hanging="454"/>
      </w:pPr>
    </w:lvl>
  </w:abstractNum>
  <w:abstractNum w:abstractNumId="440" w15:restartNumberingAfterBreak="0">
    <w:nsid w:val="1B1646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1" w15:restartNumberingAfterBreak="0">
    <w:nsid w:val="1B1C27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2" w15:restartNumberingAfterBreak="0">
    <w:nsid w:val="1B1E74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3" w15:restartNumberingAfterBreak="0">
    <w:nsid w:val="1B454D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1B4563A1"/>
    <w:multiLevelType w:val="singleLevel"/>
    <w:tmpl w:val="BBDEA5D2"/>
    <w:lvl w:ilvl="0">
      <w:start w:val="1"/>
      <w:numFmt w:val="decimal"/>
      <w:lvlText w:val="%1."/>
      <w:legacy w:legacy="1" w:legacySpace="0" w:legacyIndent="284"/>
      <w:lvlJc w:val="left"/>
      <w:pPr>
        <w:ind w:left="1191" w:hanging="284"/>
      </w:pPr>
    </w:lvl>
  </w:abstractNum>
  <w:abstractNum w:abstractNumId="445" w15:restartNumberingAfterBreak="0">
    <w:nsid w:val="1B4567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1B4A0E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1B4A1A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8" w15:restartNumberingAfterBreak="0">
    <w:nsid w:val="1B640E56"/>
    <w:multiLevelType w:val="singleLevel"/>
    <w:tmpl w:val="01822B8A"/>
    <w:lvl w:ilvl="0">
      <w:start w:val="1"/>
      <w:numFmt w:val="decimal"/>
      <w:lvlText w:val="%1."/>
      <w:legacy w:legacy="1" w:legacySpace="0" w:legacyIndent="454"/>
      <w:lvlJc w:val="left"/>
      <w:pPr>
        <w:ind w:left="454" w:hanging="454"/>
      </w:pPr>
    </w:lvl>
  </w:abstractNum>
  <w:abstractNum w:abstractNumId="449" w15:restartNumberingAfterBreak="0">
    <w:nsid w:val="1B6A6F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1B8C7F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1BB072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2" w15:restartNumberingAfterBreak="0">
    <w:nsid w:val="1BD447B0"/>
    <w:multiLevelType w:val="singleLevel"/>
    <w:tmpl w:val="F814AF02"/>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1BE66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4" w15:restartNumberingAfterBreak="0">
    <w:nsid w:val="1BE725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5" w15:restartNumberingAfterBreak="0">
    <w:nsid w:val="1BFA6B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1C1504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7" w15:restartNumberingAfterBreak="0">
    <w:nsid w:val="1C214974"/>
    <w:multiLevelType w:val="multilevel"/>
    <w:tmpl w:val="B58EBFE0"/>
    <w:lvl w:ilvl="0">
      <w:start w:val="3"/>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58" w15:restartNumberingAfterBreak="0">
    <w:nsid w:val="1C4410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9" w15:restartNumberingAfterBreak="0">
    <w:nsid w:val="1C57717C"/>
    <w:multiLevelType w:val="singleLevel"/>
    <w:tmpl w:val="C0FE4522"/>
    <w:lvl w:ilvl="0">
      <w:start w:val="1"/>
      <w:numFmt w:val="decimal"/>
      <w:lvlText w:val="%1."/>
      <w:legacy w:legacy="1" w:legacySpace="0" w:legacyIndent="567"/>
      <w:lvlJc w:val="left"/>
      <w:pPr>
        <w:ind w:left="567" w:hanging="567"/>
      </w:pPr>
    </w:lvl>
  </w:abstractNum>
  <w:abstractNum w:abstractNumId="460" w15:restartNumberingAfterBreak="0">
    <w:nsid w:val="1C581A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1C7745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2" w15:restartNumberingAfterBreak="0">
    <w:nsid w:val="1C7C7E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1C9660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1CBE63B2"/>
    <w:multiLevelType w:val="singleLevel"/>
    <w:tmpl w:val="F39C6256"/>
    <w:lvl w:ilvl="0">
      <w:start w:val="1"/>
      <w:numFmt w:val="decimal"/>
      <w:lvlText w:val="%1."/>
      <w:lvlJc w:val="left"/>
      <w:pPr>
        <w:tabs>
          <w:tab w:val="num" w:pos="360"/>
        </w:tabs>
        <w:ind w:left="360" w:hanging="360"/>
      </w:pPr>
      <w:rPr>
        <w:rFonts w:hint="default"/>
        <w:b/>
      </w:rPr>
    </w:lvl>
  </w:abstractNum>
  <w:abstractNum w:abstractNumId="465" w15:restartNumberingAfterBreak="0">
    <w:nsid w:val="1CCE52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1CDB3C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1D0331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8" w15:restartNumberingAfterBreak="0">
    <w:nsid w:val="1D2268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9" w15:restartNumberingAfterBreak="0">
    <w:nsid w:val="1D2849BF"/>
    <w:multiLevelType w:val="multilevel"/>
    <w:tmpl w:val="245A1DE6"/>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0" w15:restartNumberingAfterBreak="0">
    <w:nsid w:val="1D3835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1" w15:restartNumberingAfterBreak="0">
    <w:nsid w:val="1D4461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1D4D4738"/>
    <w:multiLevelType w:val="multilevel"/>
    <w:tmpl w:val="42E84D12"/>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3" w15:restartNumberingAfterBreak="0">
    <w:nsid w:val="1D5908F7"/>
    <w:multiLevelType w:val="multilevel"/>
    <w:tmpl w:val="08F896B6"/>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4" w15:restartNumberingAfterBreak="0">
    <w:nsid w:val="1D8A64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5" w15:restartNumberingAfterBreak="0">
    <w:nsid w:val="1D9E60C0"/>
    <w:multiLevelType w:val="singleLevel"/>
    <w:tmpl w:val="D1CABBBE"/>
    <w:lvl w:ilvl="0">
      <w:start w:val="18"/>
      <w:numFmt w:val="lowerLetter"/>
      <w:lvlText w:val="%1)"/>
      <w:lvlJc w:val="left"/>
      <w:pPr>
        <w:tabs>
          <w:tab w:val="num" w:pos="644"/>
        </w:tabs>
        <w:ind w:left="644" w:hanging="360"/>
      </w:pPr>
      <w:rPr>
        <w:rFonts w:hint="default"/>
      </w:rPr>
    </w:lvl>
  </w:abstractNum>
  <w:abstractNum w:abstractNumId="476" w15:restartNumberingAfterBreak="0">
    <w:nsid w:val="1DA154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7" w15:restartNumberingAfterBreak="0">
    <w:nsid w:val="1DB01C82"/>
    <w:multiLevelType w:val="multilevel"/>
    <w:tmpl w:val="399C7B5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8" w15:restartNumberingAfterBreak="0">
    <w:nsid w:val="1DB968CC"/>
    <w:multiLevelType w:val="multilevel"/>
    <w:tmpl w:val="7E805F64"/>
    <w:lvl w:ilvl="0">
      <w:start w:val="8"/>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tentative="1">
      <w:start w:val="1"/>
      <w:numFmt w:val="decimal"/>
      <w:lvlText w:val="%1.%2.%3.%4"/>
      <w:lvlJc w:val="left"/>
      <w:pPr>
        <w:tabs>
          <w:tab w:val="num" w:pos="850"/>
        </w:tabs>
        <w:ind w:left="850" w:hanging="85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479" w15:restartNumberingAfterBreak="0">
    <w:nsid w:val="1DBF4CAD"/>
    <w:multiLevelType w:val="multilevel"/>
    <w:tmpl w:val="DB22456E"/>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0" w15:restartNumberingAfterBreak="0">
    <w:nsid w:val="1DC54F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1" w15:restartNumberingAfterBreak="0">
    <w:nsid w:val="1DCB34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1DD119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1DE509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1DEC11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1DEE78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6" w15:restartNumberingAfterBreak="0">
    <w:nsid w:val="1E0430EE"/>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487" w15:restartNumberingAfterBreak="0">
    <w:nsid w:val="1E1C44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1E1E16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1E223A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0" w15:restartNumberingAfterBreak="0">
    <w:nsid w:val="1E2B10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1" w15:restartNumberingAfterBreak="0">
    <w:nsid w:val="1E376A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1E4021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3" w15:restartNumberingAfterBreak="0">
    <w:nsid w:val="1E4040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1E56118A"/>
    <w:multiLevelType w:val="multilevel"/>
    <w:tmpl w:val="B5BC97CE"/>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5" w15:restartNumberingAfterBreak="0">
    <w:nsid w:val="1E6C4C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6" w15:restartNumberingAfterBreak="0">
    <w:nsid w:val="1E7522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7" w15:restartNumberingAfterBreak="0">
    <w:nsid w:val="1E781A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8" w15:restartNumberingAfterBreak="0">
    <w:nsid w:val="1EA735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9" w15:restartNumberingAfterBreak="0">
    <w:nsid w:val="1EAB4F1F"/>
    <w:multiLevelType w:val="singleLevel"/>
    <w:tmpl w:val="041D000F"/>
    <w:lvl w:ilvl="0">
      <w:start w:val="1"/>
      <w:numFmt w:val="decimal"/>
      <w:lvlText w:val="%1."/>
      <w:lvlJc w:val="left"/>
      <w:pPr>
        <w:tabs>
          <w:tab w:val="num" w:pos="360"/>
        </w:tabs>
        <w:ind w:left="360" w:hanging="360"/>
      </w:pPr>
      <w:rPr>
        <w:rFonts w:hint="default"/>
      </w:rPr>
    </w:lvl>
  </w:abstractNum>
  <w:abstractNum w:abstractNumId="500" w15:restartNumberingAfterBreak="0">
    <w:nsid w:val="1EAC74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1EB06D91"/>
    <w:multiLevelType w:val="multilevel"/>
    <w:tmpl w:val="D5F6E964"/>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2" w15:restartNumberingAfterBreak="0">
    <w:nsid w:val="1EC46E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3" w15:restartNumberingAfterBreak="0">
    <w:nsid w:val="1EC529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1EEE47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5" w15:restartNumberingAfterBreak="0">
    <w:nsid w:val="1F1103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1F2046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1F2C25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8" w15:restartNumberingAfterBreak="0">
    <w:nsid w:val="1F540FE5"/>
    <w:multiLevelType w:val="multilevel"/>
    <w:tmpl w:val="7AE63C20"/>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9" w15:restartNumberingAfterBreak="0">
    <w:nsid w:val="1F6F19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0" w15:restartNumberingAfterBreak="0">
    <w:nsid w:val="1F717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1F733C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1F7870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1F9C6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4" w15:restartNumberingAfterBreak="0">
    <w:nsid w:val="1F9E1C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5" w15:restartNumberingAfterBreak="0">
    <w:nsid w:val="1FA65F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1FBD43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1FC87B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8" w15:restartNumberingAfterBreak="0">
    <w:nsid w:val="1FCA45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1FCF79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1FE539F0"/>
    <w:multiLevelType w:val="singleLevel"/>
    <w:tmpl w:val="DFB0201E"/>
    <w:lvl w:ilvl="0">
      <w:start w:val="4"/>
      <w:numFmt w:val="bullet"/>
      <w:lvlText w:val="-"/>
      <w:lvlJc w:val="left"/>
      <w:pPr>
        <w:tabs>
          <w:tab w:val="num" w:pos="360"/>
        </w:tabs>
        <w:ind w:left="360" w:hanging="360"/>
      </w:pPr>
      <w:rPr>
        <w:rFonts w:hint="default"/>
      </w:rPr>
    </w:lvl>
  </w:abstractNum>
  <w:abstractNum w:abstractNumId="521" w15:restartNumberingAfterBreak="0">
    <w:nsid w:val="1FEA1EBA"/>
    <w:multiLevelType w:val="singleLevel"/>
    <w:tmpl w:val="041D000F"/>
    <w:lvl w:ilvl="0">
      <w:start w:val="1"/>
      <w:numFmt w:val="decimal"/>
      <w:lvlText w:val="%1."/>
      <w:lvlJc w:val="left"/>
      <w:pPr>
        <w:tabs>
          <w:tab w:val="num" w:pos="360"/>
        </w:tabs>
        <w:ind w:left="360" w:hanging="360"/>
      </w:pPr>
      <w:rPr>
        <w:rFonts w:hint="default"/>
      </w:rPr>
    </w:lvl>
  </w:abstractNum>
  <w:abstractNum w:abstractNumId="522" w15:restartNumberingAfterBreak="0">
    <w:nsid w:val="1FF711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3" w15:restartNumberingAfterBreak="0">
    <w:nsid w:val="202438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4" w15:restartNumberingAfterBreak="0">
    <w:nsid w:val="20267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5" w15:restartNumberingAfterBreak="0">
    <w:nsid w:val="20495A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6" w15:restartNumberingAfterBreak="0">
    <w:nsid w:val="20662C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207E42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8" w15:restartNumberingAfterBreak="0">
    <w:nsid w:val="209106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9" w15:restartNumberingAfterBreak="0">
    <w:nsid w:val="20A761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0" w15:restartNumberingAfterBreak="0">
    <w:nsid w:val="20B14E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1" w15:restartNumberingAfterBreak="0">
    <w:nsid w:val="20C260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2" w15:restartNumberingAfterBreak="0">
    <w:nsid w:val="20CD1619"/>
    <w:multiLevelType w:val="singleLevel"/>
    <w:tmpl w:val="D48C8C30"/>
    <w:lvl w:ilvl="0">
      <w:start w:val="1"/>
      <w:numFmt w:val="decimal"/>
      <w:lvlText w:val="%1."/>
      <w:legacy w:legacy="1" w:legacySpace="0" w:legacyIndent="454"/>
      <w:lvlJc w:val="left"/>
      <w:pPr>
        <w:ind w:left="454" w:hanging="454"/>
      </w:pPr>
    </w:lvl>
  </w:abstractNum>
  <w:abstractNum w:abstractNumId="533" w15:restartNumberingAfterBreak="0">
    <w:nsid w:val="212D71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4" w15:restartNumberingAfterBreak="0">
    <w:nsid w:val="213B02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214164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6" w15:restartNumberingAfterBreak="0">
    <w:nsid w:val="214216BF"/>
    <w:multiLevelType w:val="singleLevel"/>
    <w:tmpl w:val="440A9390"/>
    <w:lvl w:ilvl="0">
      <w:start w:val="1"/>
      <w:numFmt w:val="decimal"/>
      <w:lvlText w:val="%1."/>
      <w:legacy w:legacy="1" w:legacySpace="0" w:legacyIndent="454"/>
      <w:lvlJc w:val="left"/>
      <w:pPr>
        <w:ind w:left="454" w:hanging="454"/>
      </w:pPr>
    </w:lvl>
  </w:abstractNum>
  <w:abstractNum w:abstractNumId="537" w15:restartNumberingAfterBreak="0">
    <w:nsid w:val="214471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8" w15:restartNumberingAfterBreak="0">
    <w:nsid w:val="21590C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21600B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21672F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1" w15:restartNumberingAfterBreak="0">
    <w:nsid w:val="216D0162"/>
    <w:multiLevelType w:val="multilevel"/>
    <w:tmpl w:val="83EEC07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2" w15:restartNumberingAfterBreak="0">
    <w:nsid w:val="216E2D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3" w15:restartNumberingAfterBreak="0">
    <w:nsid w:val="217001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4" w15:restartNumberingAfterBreak="0">
    <w:nsid w:val="217651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5" w15:restartNumberingAfterBreak="0">
    <w:nsid w:val="218473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21893E30"/>
    <w:multiLevelType w:val="singleLevel"/>
    <w:tmpl w:val="041D000F"/>
    <w:lvl w:ilvl="0">
      <w:start w:val="1"/>
      <w:numFmt w:val="decimal"/>
      <w:lvlText w:val="%1."/>
      <w:lvlJc w:val="left"/>
      <w:pPr>
        <w:tabs>
          <w:tab w:val="num" w:pos="360"/>
        </w:tabs>
        <w:ind w:left="360" w:hanging="360"/>
      </w:pPr>
    </w:lvl>
  </w:abstractNum>
  <w:abstractNum w:abstractNumId="547" w15:restartNumberingAfterBreak="0">
    <w:nsid w:val="21A7320D"/>
    <w:multiLevelType w:val="singleLevel"/>
    <w:tmpl w:val="CA5E1CDC"/>
    <w:lvl w:ilvl="0">
      <w:start w:val="1"/>
      <w:numFmt w:val="decimal"/>
      <w:lvlText w:val="%1."/>
      <w:legacy w:legacy="1" w:legacySpace="0" w:legacyIndent="454"/>
      <w:lvlJc w:val="left"/>
      <w:pPr>
        <w:ind w:left="454" w:hanging="454"/>
      </w:pPr>
    </w:lvl>
  </w:abstractNum>
  <w:abstractNum w:abstractNumId="548" w15:restartNumberingAfterBreak="0">
    <w:nsid w:val="21CD61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9" w15:restartNumberingAfterBreak="0">
    <w:nsid w:val="21D359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21EB74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1" w15:restartNumberingAfterBreak="0">
    <w:nsid w:val="220130D5"/>
    <w:multiLevelType w:val="singleLevel"/>
    <w:tmpl w:val="21285C22"/>
    <w:lvl w:ilvl="0">
      <w:start w:val="22"/>
      <w:numFmt w:val="decimal"/>
      <w:lvlText w:val="%1."/>
      <w:legacy w:legacy="1" w:legacySpace="0" w:legacyIndent="454"/>
      <w:lvlJc w:val="left"/>
      <w:pPr>
        <w:ind w:left="454" w:hanging="454"/>
      </w:pPr>
    </w:lvl>
  </w:abstractNum>
  <w:abstractNum w:abstractNumId="552" w15:restartNumberingAfterBreak="0">
    <w:nsid w:val="22292A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3" w15:restartNumberingAfterBreak="0">
    <w:nsid w:val="222D5A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4" w15:restartNumberingAfterBreak="0">
    <w:nsid w:val="223D23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5" w15:restartNumberingAfterBreak="0">
    <w:nsid w:val="223E54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225A1A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7" w15:restartNumberingAfterBreak="0">
    <w:nsid w:val="22677840"/>
    <w:multiLevelType w:val="singleLevel"/>
    <w:tmpl w:val="041D0001"/>
    <w:lvl w:ilvl="0">
      <w:start w:val="50"/>
      <w:numFmt w:val="bullet"/>
      <w:lvlText w:val=""/>
      <w:lvlJc w:val="left"/>
      <w:pPr>
        <w:tabs>
          <w:tab w:val="num" w:pos="360"/>
        </w:tabs>
        <w:ind w:left="360" w:hanging="360"/>
      </w:pPr>
      <w:rPr>
        <w:rFonts w:ascii="Symbol" w:hAnsi="Symbol" w:hint="default"/>
      </w:rPr>
    </w:lvl>
  </w:abstractNum>
  <w:abstractNum w:abstractNumId="558" w15:restartNumberingAfterBreak="0">
    <w:nsid w:val="226D59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227465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0" w15:restartNumberingAfterBreak="0">
    <w:nsid w:val="227A69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228877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2" w15:restartNumberingAfterBreak="0">
    <w:nsid w:val="22890F3F"/>
    <w:multiLevelType w:val="singleLevel"/>
    <w:tmpl w:val="041D000F"/>
    <w:lvl w:ilvl="0">
      <w:start w:val="1"/>
      <w:numFmt w:val="decimal"/>
      <w:lvlText w:val="%1."/>
      <w:lvlJc w:val="left"/>
      <w:pPr>
        <w:tabs>
          <w:tab w:val="num" w:pos="360"/>
        </w:tabs>
        <w:ind w:left="360" w:hanging="360"/>
      </w:pPr>
      <w:rPr>
        <w:rFonts w:hint="default"/>
      </w:rPr>
    </w:lvl>
  </w:abstractNum>
  <w:abstractNum w:abstractNumId="563" w15:restartNumberingAfterBreak="0">
    <w:nsid w:val="22972D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22A83A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5" w15:restartNumberingAfterBreak="0">
    <w:nsid w:val="22B35E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6" w15:restartNumberingAfterBreak="0">
    <w:nsid w:val="22D03C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7" w15:restartNumberingAfterBreak="0">
    <w:nsid w:val="22DE64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8" w15:restartNumberingAfterBreak="0">
    <w:nsid w:val="22E903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9" w15:restartNumberingAfterBreak="0">
    <w:nsid w:val="22F07F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0" w15:restartNumberingAfterBreak="0">
    <w:nsid w:val="230D6C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1" w15:restartNumberingAfterBreak="0">
    <w:nsid w:val="231B0D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2" w15:restartNumberingAfterBreak="0">
    <w:nsid w:val="232D3C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3" w15:restartNumberingAfterBreak="0">
    <w:nsid w:val="233024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4" w15:restartNumberingAfterBreak="0">
    <w:nsid w:val="233849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5" w15:restartNumberingAfterBreak="0">
    <w:nsid w:val="23407B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6" w15:restartNumberingAfterBreak="0">
    <w:nsid w:val="236B68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7" w15:restartNumberingAfterBreak="0">
    <w:nsid w:val="238F69BD"/>
    <w:multiLevelType w:val="singleLevel"/>
    <w:tmpl w:val="96D28B62"/>
    <w:lvl w:ilvl="0">
      <w:start w:val="1"/>
      <w:numFmt w:val="decimal"/>
      <w:lvlText w:val="%1."/>
      <w:legacy w:legacy="1" w:legacySpace="0" w:legacyIndent="454"/>
      <w:lvlJc w:val="left"/>
      <w:pPr>
        <w:ind w:left="454" w:hanging="454"/>
      </w:pPr>
    </w:lvl>
  </w:abstractNum>
  <w:abstractNum w:abstractNumId="578" w15:restartNumberingAfterBreak="0">
    <w:nsid w:val="23BA43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9" w15:restartNumberingAfterBreak="0">
    <w:nsid w:val="23CB68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0" w15:restartNumberingAfterBreak="0">
    <w:nsid w:val="23E259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1" w15:restartNumberingAfterBreak="0">
    <w:nsid w:val="240A4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2" w15:restartNumberingAfterBreak="0">
    <w:nsid w:val="24197C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3" w15:restartNumberingAfterBreak="0">
    <w:nsid w:val="243832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4" w15:restartNumberingAfterBreak="0">
    <w:nsid w:val="245506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5" w15:restartNumberingAfterBreak="0">
    <w:nsid w:val="246451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6" w15:restartNumberingAfterBreak="0">
    <w:nsid w:val="246A302B"/>
    <w:multiLevelType w:val="multilevel"/>
    <w:tmpl w:val="A4CCC57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87" w15:restartNumberingAfterBreak="0">
    <w:nsid w:val="247B44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8" w15:restartNumberingAfterBreak="0">
    <w:nsid w:val="24992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9" w15:restartNumberingAfterBreak="0">
    <w:nsid w:val="24A63E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0" w15:restartNumberingAfterBreak="0">
    <w:nsid w:val="24B26D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1" w15:restartNumberingAfterBreak="0">
    <w:nsid w:val="24DE03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2" w15:restartNumberingAfterBreak="0">
    <w:nsid w:val="250140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3" w15:restartNumberingAfterBreak="0">
    <w:nsid w:val="250567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4" w15:restartNumberingAfterBreak="0">
    <w:nsid w:val="25141AD1"/>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5" w15:restartNumberingAfterBreak="0">
    <w:nsid w:val="2517232C"/>
    <w:multiLevelType w:val="singleLevel"/>
    <w:tmpl w:val="354E5006"/>
    <w:lvl w:ilvl="0">
      <w:start w:val="1"/>
      <w:numFmt w:val="bullet"/>
      <w:lvlText w:val=""/>
      <w:legacy w:legacy="1" w:legacySpace="0" w:legacyIndent="454"/>
      <w:lvlJc w:val="left"/>
      <w:pPr>
        <w:ind w:left="454" w:hanging="454"/>
      </w:pPr>
      <w:rPr>
        <w:rFonts w:ascii="Symbol" w:hAnsi="Symbol" w:hint="default"/>
      </w:rPr>
    </w:lvl>
  </w:abstractNum>
  <w:abstractNum w:abstractNumId="596" w15:restartNumberingAfterBreak="0">
    <w:nsid w:val="252C38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7" w15:restartNumberingAfterBreak="0">
    <w:nsid w:val="255A28B6"/>
    <w:multiLevelType w:val="singleLevel"/>
    <w:tmpl w:val="320A3736"/>
    <w:lvl w:ilvl="0">
      <w:start w:val="1"/>
      <w:numFmt w:val="decimal"/>
      <w:lvlText w:val="%1."/>
      <w:legacy w:legacy="1" w:legacySpace="0" w:legacyIndent="454"/>
      <w:lvlJc w:val="left"/>
      <w:pPr>
        <w:ind w:left="454" w:hanging="454"/>
      </w:pPr>
    </w:lvl>
  </w:abstractNum>
  <w:abstractNum w:abstractNumId="598" w15:restartNumberingAfterBreak="0">
    <w:nsid w:val="255A2A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9" w15:restartNumberingAfterBreak="0">
    <w:nsid w:val="2564396A"/>
    <w:multiLevelType w:val="singleLevel"/>
    <w:tmpl w:val="041D000F"/>
    <w:lvl w:ilvl="0">
      <w:start w:val="1"/>
      <w:numFmt w:val="decimal"/>
      <w:lvlText w:val="%1."/>
      <w:lvlJc w:val="left"/>
      <w:pPr>
        <w:tabs>
          <w:tab w:val="num" w:pos="360"/>
        </w:tabs>
        <w:ind w:left="360" w:hanging="360"/>
      </w:pPr>
    </w:lvl>
  </w:abstractNum>
  <w:abstractNum w:abstractNumId="600" w15:restartNumberingAfterBreak="0">
    <w:nsid w:val="257774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1" w15:restartNumberingAfterBreak="0">
    <w:nsid w:val="257A7C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2" w15:restartNumberingAfterBreak="0">
    <w:nsid w:val="258100AD"/>
    <w:multiLevelType w:val="multilevel"/>
    <w:tmpl w:val="23EC5B7E"/>
    <w:lvl w:ilvl="0">
      <w:start w:val="9"/>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3" w15:restartNumberingAfterBreak="0">
    <w:nsid w:val="2581702A"/>
    <w:multiLevelType w:val="singleLevel"/>
    <w:tmpl w:val="7B2A64EC"/>
    <w:lvl w:ilvl="0">
      <w:start w:val="1"/>
      <w:numFmt w:val="decimal"/>
      <w:lvlText w:val="%1."/>
      <w:legacy w:legacy="1" w:legacySpace="0" w:legacyIndent="454"/>
      <w:lvlJc w:val="left"/>
      <w:pPr>
        <w:ind w:left="454" w:hanging="454"/>
      </w:pPr>
    </w:lvl>
  </w:abstractNum>
  <w:abstractNum w:abstractNumId="604" w15:restartNumberingAfterBreak="0">
    <w:nsid w:val="25835C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5" w15:restartNumberingAfterBreak="0">
    <w:nsid w:val="259579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6" w15:restartNumberingAfterBreak="0">
    <w:nsid w:val="259A41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7" w15:restartNumberingAfterBreak="0">
    <w:nsid w:val="25AA33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8" w15:restartNumberingAfterBreak="0">
    <w:nsid w:val="25B258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9" w15:restartNumberingAfterBreak="0">
    <w:nsid w:val="25F029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0" w15:restartNumberingAfterBreak="0">
    <w:nsid w:val="25F565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1" w15:restartNumberingAfterBreak="0">
    <w:nsid w:val="260B27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2" w15:restartNumberingAfterBreak="0">
    <w:nsid w:val="261A7D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3" w15:restartNumberingAfterBreak="0">
    <w:nsid w:val="262507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4" w15:restartNumberingAfterBreak="0">
    <w:nsid w:val="262C19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5" w15:restartNumberingAfterBreak="0">
    <w:nsid w:val="265376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6" w15:restartNumberingAfterBreak="0">
    <w:nsid w:val="266768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7" w15:restartNumberingAfterBreak="0">
    <w:nsid w:val="266C46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8" w15:restartNumberingAfterBreak="0">
    <w:nsid w:val="266D56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9" w15:restartNumberingAfterBreak="0">
    <w:nsid w:val="268041E7"/>
    <w:multiLevelType w:val="multilevel"/>
    <w:tmpl w:val="D58870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0" w15:restartNumberingAfterBreak="0">
    <w:nsid w:val="26821443"/>
    <w:multiLevelType w:val="singleLevel"/>
    <w:tmpl w:val="81981A0A"/>
    <w:lvl w:ilvl="0">
      <w:start w:val="1"/>
      <w:numFmt w:val="decimal"/>
      <w:lvlText w:val="%1."/>
      <w:legacy w:legacy="1" w:legacySpace="0" w:legacyIndent="454"/>
      <w:lvlJc w:val="left"/>
      <w:pPr>
        <w:ind w:left="454" w:hanging="454"/>
      </w:pPr>
    </w:lvl>
  </w:abstractNum>
  <w:abstractNum w:abstractNumId="621" w15:restartNumberingAfterBreak="0">
    <w:nsid w:val="269C5E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2" w15:restartNumberingAfterBreak="0">
    <w:nsid w:val="26BA553C"/>
    <w:multiLevelType w:val="multilevel"/>
    <w:tmpl w:val="12FA611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23" w15:restartNumberingAfterBreak="0">
    <w:nsid w:val="26C75C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4" w15:restartNumberingAfterBreak="0">
    <w:nsid w:val="26E67E60"/>
    <w:multiLevelType w:val="singleLevel"/>
    <w:tmpl w:val="03E83A06"/>
    <w:lvl w:ilvl="0">
      <w:start w:val="1"/>
      <w:numFmt w:val="decimal"/>
      <w:lvlRestart w:val="0"/>
      <w:lvlText w:val="%1."/>
      <w:lvlJc w:val="left"/>
      <w:pPr>
        <w:tabs>
          <w:tab w:val="num" w:pos="992"/>
        </w:tabs>
        <w:ind w:left="510" w:firstLine="170"/>
      </w:pPr>
    </w:lvl>
  </w:abstractNum>
  <w:abstractNum w:abstractNumId="625" w15:restartNumberingAfterBreak="0">
    <w:nsid w:val="26F52C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6" w15:restartNumberingAfterBreak="0">
    <w:nsid w:val="27022B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7" w15:restartNumberingAfterBreak="0">
    <w:nsid w:val="27070423"/>
    <w:multiLevelType w:val="multilevel"/>
    <w:tmpl w:val="D4E87CD8"/>
    <w:lvl w:ilvl="0">
      <w:start w:val="11"/>
      <w:numFmt w:val="decimal"/>
      <w:lvlText w:val="%1."/>
      <w:lvlJc w:val="left"/>
      <w:pPr>
        <w:tabs>
          <w:tab w:val="num" w:pos="454"/>
        </w:tabs>
        <w:ind w:left="454" w:hanging="45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8" w15:restartNumberingAfterBreak="0">
    <w:nsid w:val="27080E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9" w15:restartNumberingAfterBreak="0">
    <w:nsid w:val="271630A0"/>
    <w:multiLevelType w:val="multilevel"/>
    <w:tmpl w:val="FAF2BA44"/>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30" w15:restartNumberingAfterBreak="0">
    <w:nsid w:val="272204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1" w15:restartNumberingAfterBreak="0">
    <w:nsid w:val="272A34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2" w15:restartNumberingAfterBreak="0">
    <w:nsid w:val="274246A9"/>
    <w:multiLevelType w:val="singleLevel"/>
    <w:tmpl w:val="01822B8A"/>
    <w:lvl w:ilvl="0">
      <w:start w:val="1"/>
      <w:numFmt w:val="decimal"/>
      <w:lvlText w:val="%1."/>
      <w:legacy w:legacy="1" w:legacySpace="0" w:legacyIndent="454"/>
      <w:lvlJc w:val="left"/>
      <w:pPr>
        <w:ind w:left="454" w:hanging="454"/>
      </w:pPr>
    </w:lvl>
  </w:abstractNum>
  <w:abstractNum w:abstractNumId="633" w15:restartNumberingAfterBreak="0">
    <w:nsid w:val="27551B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4" w15:restartNumberingAfterBreak="0">
    <w:nsid w:val="275815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5" w15:restartNumberingAfterBreak="0">
    <w:nsid w:val="275933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6" w15:restartNumberingAfterBreak="0">
    <w:nsid w:val="276868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7" w15:restartNumberingAfterBreak="0">
    <w:nsid w:val="2785427E"/>
    <w:multiLevelType w:val="multilevel"/>
    <w:tmpl w:val="504E3BA4"/>
    <w:lvl w:ilvl="0">
      <w:start w:val="4"/>
      <w:numFmt w:val="decimal"/>
      <w:lvlRestart w:val="0"/>
      <w:lvlText w:val="%1"/>
      <w:lvlJc w:val="left"/>
      <w:pPr>
        <w:tabs>
          <w:tab w:val="num" w:pos="567"/>
        </w:tabs>
        <w:ind w:left="0" w:firstLine="0"/>
      </w:pPr>
      <w:rPr>
        <w:rFonts w:hint="default"/>
      </w:rPr>
    </w:lvl>
    <w:lvl w:ilvl="1">
      <w:start w:val="1"/>
      <w:numFmt w:val="bullet"/>
      <w:lvlText w:val="–"/>
      <w:lvlJc w:val="left"/>
      <w:pPr>
        <w:tabs>
          <w:tab w:val="num" w:pos="644"/>
        </w:tabs>
        <w:ind w:left="567" w:hanging="283"/>
      </w:pPr>
      <w:rPr>
        <w:rFonts w:ascii="OrigGarmnd BT" w:hAnsi="OrigGarmnd BT" w:hint="default"/>
      </w:rPr>
    </w:lvl>
    <w:lvl w:ilvl="2">
      <w:start w:val="1"/>
      <w:numFmt w:val="bullet"/>
      <w:suff w:val="space"/>
      <w:lvlText w:val="–"/>
      <w:lvlJc w:val="left"/>
      <w:pPr>
        <w:ind w:left="964" w:hanging="227"/>
      </w:pPr>
      <w:rPr>
        <w:rFonts w:ascii="OrigGarmnd BT" w:hAnsi="OrigGarmnd BT"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8" w15:restartNumberingAfterBreak="0">
    <w:nsid w:val="2785503A"/>
    <w:multiLevelType w:val="singleLevel"/>
    <w:tmpl w:val="7EA4CB10"/>
    <w:lvl w:ilvl="0">
      <w:start w:val="3"/>
      <w:numFmt w:val="lowerLetter"/>
      <w:lvlText w:val="%1)"/>
      <w:lvlJc w:val="left"/>
      <w:pPr>
        <w:tabs>
          <w:tab w:val="num" w:pos="700"/>
        </w:tabs>
        <w:ind w:left="700" w:hanging="360"/>
      </w:pPr>
      <w:rPr>
        <w:rFonts w:hint="default"/>
      </w:rPr>
    </w:lvl>
  </w:abstractNum>
  <w:abstractNum w:abstractNumId="639" w15:restartNumberingAfterBreak="0">
    <w:nsid w:val="27CE52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0" w15:restartNumberingAfterBreak="0">
    <w:nsid w:val="27D96C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1" w15:restartNumberingAfterBreak="0">
    <w:nsid w:val="27ED7C17"/>
    <w:multiLevelType w:val="singleLevel"/>
    <w:tmpl w:val="041D000F"/>
    <w:lvl w:ilvl="0">
      <w:start w:val="1"/>
      <w:numFmt w:val="decimal"/>
      <w:lvlText w:val="%1."/>
      <w:lvlJc w:val="left"/>
      <w:pPr>
        <w:tabs>
          <w:tab w:val="num" w:pos="360"/>
        </w:tabs>
        <w:ind w:left="360" w:hanging="360"/>
      </w:pPr>
      <w:rPr>
        <w:rFonts w:hint="default"/>
      </w:rPr>
    </w:lvl>
  </w:abstractNum>
  <w:abstractNum w:abstractNumId="642" w15:restartNumberingAfterBreak="0">
    <w:nsid w:val="28283D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3" w15:restartNumberingAfterBreak="0">
    <w:nsid w:val="283121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4" w15:restartNumberingAfterBreak="0">
    <w:nsid w:val="283654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5" w15:restartNumberingAfterBreak="0">
    <w:nsid w:val="28463C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6" w15:restartNumberingAfterBreak="0">
    <w:nsid w:val="284B10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7" w15:restartNumberingAfterBreak="0">
    <w:nsid w:val="284F2964"/>
    <w:multiLevelType w:val="multilevel"/>
    <w:tmpl w:val="68C6CE48"/>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48" w15:restartNumberingAfterBreak="0">
    <w:nsid w:val="285F71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9" w15:restartNumberingAfterBreak="0">
    <w:nsid w:val="288233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0" w15:restartNumberingAfterBreak="0">
    <w:nsid w:val="28963B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1" w15:restartNumberingAfterBreak="0">
    <w:nsid w:val="289B77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2" w15:restartNumberingAfterBreak="0">
    <w:nsid w:val="28A623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3" w15:restartNumberingAfterBreak="0">
    <w:nsid w:val="28F04B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4" w15:restartNumberingAfterBreak="0">
    <w:nsid w:val="291E18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5" w15:restartNumberingAfterBreak="0">
    <w:nsid w:val="291E2D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6" w15:restartNumberingAfterBreak="0">
    <w:nsid w:val="29247F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7" w15:restartNumberingAfterBreak="0">
    <w:nsid w:val="292C2C54"/>
    <w:multiLevelType w:val="multilevel"/>
    <w:tmpl w:val="8E0264D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58" w15:restartNumberingAfterBreak="0">
    <w:nsid w:val="292D60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9" w15:restartNumberingAfterBreak="0">
    <w:nsid w:val="29991F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0" w15:restartNumberingAfterBreak="0">
    <w:nsid w:val="299C00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1" w15:restartNumberingAfterBreak="0">
    <w:nsid w:val="29A974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2" w15:restartNumberingAfterBreak="0">
    <w:nsid w:val="29BA75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3" w15:restartNumberingAfterBreak="0">
    <w:nsid w:val="29E322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4" w15:restartNumberingAfterBreak="0">
    <w:nsid w:val="29EA41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5" w15:restartNumberingAfterBreak="0">
    <w:nsid w:val="2A0962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6" w15:restartNumberingAfterBreak="0">
    <w:nsid w:val="2A1C2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7" w15:restartNumberingAfterBreak="0">
    <w:nsid w:val="2A2173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8" w15:restartNumberingAfterBreak="0">
    <w:nsid w:val="2A3E3D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9" w15:restartNumberingAfterBreak="0">
    <w:nsid w:val="2A467C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0" w15:restartNumberingAfterBreak="0">
    <w:nsid w:val="2A512772"/>
    <w:multiLevelType w:val="singleLevel"/>
    <w:tmpl w:val="DA14CA8A"/>
    <w:lvl w:ilvl="0">
      <w:numFmt w:val="bullet"/>
      <w:lvlText w:val="–"/>
      <w:lvlJc w:val="left"/>
      <w:pPr>
        <w:tabs>
          <w:tab w:val="num" w:pos="530"/>
        </w:tabs>
        <w:ind w:left="530" w:hanging="360"/>
      </w:pPr>
      <w:rPr>
        <w:rFonts w:hint="default"/>
      </w:rPr>
    </w:lvl>
  </w:abstractNum>
  <w:abstractNum w:abstractNumId="671" w15:restartNumberingAfterBreak="0">
    <w:nsid w:val="2A566B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2" w15:restartNumberingAfterBreak="0">
    <w:nsid w:val="2A5E04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3" w15:restartNumberingAfterBreak="0">
    <w:nsid w:val="2A6B07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4" w15:restartNumberingAfterBreak="0">
    <w:nsid w:val="2A7D3D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5" w15:restartNumberingAfterBreak="0">
    <w:nsid w:val="2A97261C"/>
    <w:multiLevelType w:val="multilevel"/>
    <w:tmpl w:val="5F54A5D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6" w15:restartNumberingAfterBreak="0">
    <w:nsid w:val="2A9730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7" w15:restartNumberingAfterBreak="0">
    <w:nsid w:val="2A9D00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8" w15:restartNumberingAfterBreak="0">
    <w:nsid w:val="2AA52C4B"/>
    <w:multiLevelType w:val="multilevel"/>
    <w:tmpl w:val="0C4AC476"/>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79" w15:restartNumberingAfterBreak="0">
    <w:nsid w:val="2AB479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0" w15:restartNumberingAfterBreak="0">
    <w:nsid w:val="2AE83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1" w15:restartNumberingAfterBreak="0">
    <w:nsid w:val="2AE971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82" w15:restartNumberingAfterBreak="0">
    <w:nsid w:val="2B0514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3" w15:restartNumberingAfterBreak="0">
    <w:nsid w:val="2B1E637E"/>
    <w:multiLevelType w:val="multilevel"/>
    <w:tmpl w:val="2438C63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4" w15:restartNumberingAfterBreak="0">
    <w:nsid w:val="2B2276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5" w15:restartNumberingAfterBreak="0">
    <w:nsid w:val="2B244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6" w15:restartNumberingAfterBreak="0">
    <w:nsid w:val="2B2F6B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87" w15:restartNumberingAfterBreak="0">
    <w:nsid w:val="2B4828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8" w15:restartNumberingAfterBreak="0">
    <w:nsid w:val="2B7B37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9" w15:restartNumberingAfterBreak="0">
    <w:nsid w:val="2B7C77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0" w15:restartNumberingAfterBreak="0">
    <w:nsid w:val="2B8078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1" w15:restartNumberingAfterBreak="0">
    <w:nsid w:val="2B811E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2" w15:restartNumberingAfterBreak="0">
    <w:nsid w:val="2B9827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3" w15:restartNumberingAfterBreak="0">
    <w:nsid w:val="2B993A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4" w15:restartNumberingAfterBreak="0">
    <w:nsid w:val="2BA772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5" w15:restartNumberingAfterBreak="0">
    <w:nsid w:val="2BFD4C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6" w15:restartNumberingAfterBreak="0">
    <w:nsid w:val="2C0576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7" w15:restartNumberingAfterBreak="0">
    <w:nsid w:val="2C1D13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8" w15:restartNumberingAfterBreak="0">
    <w:nsid w:val="2C294ACD"/>
    <w:multiLevelType w:val="singleLevel"/>
    <w:tmpl w:val="BBDEA5D2"/>
    <w:lvl w:ilvl="0">
      <w:start w:val="1"/>
      <w:numFmt w:val="decimal"/>
      <w:lvlText w:val="%1."/>
      <w:legacy w:legacy="1" w:legacySpace="0" w:legacyIndent="284"/>
      <w:lvlJc w:val="left"/>
      <w:pPr>
        <w:ind w:left="1191" w:hanging="284"/>
      </w:pPr>
    </w:lvl>
  </w:abstractNum>
  <w:abstractNum w:abstractNumId="699" w15:restartNumberingAfterBreak="0">
    <w:nsid w:val="2C2B20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0" w15:restartNumberingAfterBreak="0">
    <w:nsid w:val="2C3C39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1" w15:restartNumberingAfterBreak="0">
    <w:nsid w:val="2C5328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2" w15:restartNumberingAfterBreak="0">
    <w:nsid w:val="2C6D0216"/>
    <w:multiLevelType w:val="singleLevel"/>
    <w:tmpl w:val="BBDEA5D2"/>
    <w:lvl w:ilvl="0">
      <w:start w:val="1"/>
      <w:numFmt w:val="decimal"/>
      <w:lvlText w:val="%1."/>
      <w:legacy w:legacy="1" w:legacySpace="0" w:legacyIndent="284"/>
      <w:lvlJc w:val="left"/>
      <w:pPr>
        <w:ind w:left="1191" w:hanging="284"/>
      </w:pPr>
    </w:lvl>
  </w:abstractNum>
  <w:abstractNum w:abstractNumId="703" w15:restartNumberingAfterBreak="0">
    <w:nsid w:val="2C810206"/>
    <w:multiLevelType w:val="singleLevel"/>
    <w:tmpl w:val="1A6CFFBC"/>
    <w:lvl w:ilvl="0">
      <w:start w:val="1"/>
      <w:numFmt w:val="decimal"/>
      <w:lvlText w:val="%1."/>
      <w:legacy w:legacy="1" w:legacySpace="0" w:legacyIndent="454"/>
      <w:lvlJc w:val="left"/>
      <w:pPr>
        <w:ind w:left="454" w:hanging="454"/>
      </w:pPr>
    </w:lvl>
  </w:abstractNum>
  <w:abstractNum w:abstractNumId="704" w15:restartNumberingAfterBreak="0">
    <w:nsid w:val="2C8A70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5" w15:restartNumberingAfterBreak="0">
    <w:nsid w:val="2CBF47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6" w15:restartNumberingAfterBreak="0">
    <w:nsid w:val="2CC54B72"/>
    <w:multiLevelType w:val="multilevel"/>
    <w:tmpl w:val="5170A416"/>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707" w15:restartNumberingAfterBreak="0">
    <w:nsid w:val="2CD11981"/>
    <w:multiLevelType w:val="singleLevel"/>
    <w:tmpl w:val="359E8030"/>
    <w:lvl w:ilvl="0">
      <w:start w:val="1"/>
      <w:numFmt w:val="decimal"/>
      <w:lvlRestart w:val="0"/>
      <w:lvlText w:val="%1."/>
      <w:lvlJc w:val="left"/>
      <w:pPr>
        <w:tabs>
          <w:tab w:val="num" w:pos="992"/>
        </w:tabs>
        <w:ind w:left="510" w:firstLine="397"/>
      </w:pPr>
    </w:lvl>
  </w:abstractNum>
  <w:abstractNum w:abstractNumId="708" w15:restartNumberingAfterBreak="0">
    <w:nsid w:val="2CD35B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9" w15:restartNumberingAfterBreak="0">
    <w:nsid w:val="2CD764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0" w15:restartNumberingAfterBreak="0">
    <w:nsid w:val="2CD94841"/>
    <w:multiLevelType w:val="multilevel"/>
    <w:tmpl w:val="65700E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11" w15:restartNumberingAfterBreak="0">
    <w:nsid w:val="2CE50C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2" w15:restartNumberingAfterBreak="0">
    <w:nsid w:val="2CF56E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3" w15:restartNumberingAfterBreak="0">
    <w:nsid w:val="2CFC0A05"/>
    <w:multiLevelType w:val="multilevel"/>
    <w:tmpl w:val="46A479EA"/>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1316"/>
        </w:tabs>
        <w:ind w:left="1316" w:hanging="46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714" w15:restartNumberingAfterBreak="0">
    <w:nsid w:val="2CFD15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5" w15:restartNumberingAfterBreak="0">
    <w:nsid w:val="2D097F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6" w15:restartNumberingAfterBreak="0">
    <w:nsid w:val="2D0B46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7" w15:restartNumberingAfterBreak="0">
    <w:nsid w:val="2D0E27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8" w15:restartNumberingAfterBreak="0">
    <w:nsid w:val="2D1421A1"/>
    <w:multiLevelType w:val="multilevel"/>
    <w:tmpl w:val="89A60816"/>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19" w15:restartNumberingAfterBreak="0">
    <w:nsid w:val="2D1A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0" w15:restartNumberingAfterBreak="0">
    <w:nsid w:val="2D350E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1" w15:restartNumberingAfterBreak="0">
    <w:nsid w:val="2D375B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2" w15:restartNumberingAfterBreak="0">
    <w:nsid w:val="2D387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3" w15:restartNumberingAfterBreak="0">
    <w:nsid w:val="2D3919AA"/>
    <w:multiLevelType w:val="singleLevel"/>
    <w:tmpl w:val="FFFFFFFF"/>
    <w:lvl w:ilvl="0">
      <w:numFmt w:val="decimal"/>
      <w:lvlText w:val="*"/>
      <w:lvlJc w:val="left"/>
    </w:lvl>
  </w:abstractNum>
  <w:abstractNum w:abstractNumId="724" w15:restartNumberingAfterBreak="0">
    <w:nsid w:val="2D5D0117"/>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5" w15:restartNumberingAfterBreak="0">
    <w:nsid w:val="2D6B0F58"/>
    <w:multiLevelType w:val="multilevel"/>
    <w:tmpl w:val="A5D8F40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26" w15:restartNumberingAfterBreak="0">
    <w:nsid w:val="2D850933"/>
    <w:multiLevelType w:val="multilevel"/>
    <w:tmpl w:val="2E7472BA"/>
    <w:lvl w:ilvl="0">
      <w:start w:val="1"/>
      <w:numFmt w:val="lowerLetter"/>
      <w:lvlText w:val="%1)"/>
      <w:lvlJc w:val="left"/>
      <w:pPr>
        <w:tabs>
          <w:tab w:val="num" w:pos="752"/>
        </w:tabs>
        <w:ind w:left="752" w:hanging="52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727" w15:restartNumberingAfterBreak="0">
    <w:nsid w:val="2D8B7163"/>
    <w:multiLevelType w:val="multilevel"/>
    <w:tmpl w:val="96BE7B22"/>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28" w15:restartNumberingAfterBreak="0">
    <w:nsid w:val="2D9270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9" w15:restartNumberingAfterBreak="0">
    <w:nsid w:val="2D9D12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0" w15:restartNumberingAfterBreak="0">
    <w:nsid w:val="2DB234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31" w15:restartNumberingAfterBreak="0">
    <w:nsid w:val="2DCB6F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2" w15:restartNumberingAfterBreak="0">
    <w:nsid w:val="2DCE7F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3" w15:restartNumberingAfterBreak="0">
    <w:nsid w:val="2DE156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4" w15:restartNumberingAfterBreak="0">
    <w:nsid w:val="2DF417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5" w15:restartNumberingAfterBreak="0">
    <w:nsid w:val="2E176D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6" w15:restartNumberingAfterBreak="0">
    <w:nsid w:val="2E1A57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7" w15:restartNumberingAfterBreak="0">
    <w:nsid w:val="2E1C2822"/>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38" w15:restartNumberingAfterBreak="0">
    <w:nsid w:val="2E4A0F17"/>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9" w15:restartNumberingAfterBreak="0">
    <w:nsid w:val="2E4F3B16"/>
    <w:multiLevelType w:val="multilevel"/>
    <w:tmpl w:val="95E04890"/>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740" w15:restartNumberingAfterBreak="0">
    <w:nsid w:val="2E4F53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1" w15:restartNumberingAfterBreak="0">
    <w:nsid w:val="2E565A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2" w15:restartNumberingAfterBreak="0">
    <w:nsid w:val="2E6771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3" w15:restartNumberingAfterBreak="0">
    <w:nsid w:val="2E786C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4" w15:restartNumberingAfterBreak="0">
    <w:nsid w:val="2E913598"/>
    <w:multiLevelType w:val="multilevel"/>
    <w:tmpl w:val="6E485D1E"/>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745" w15:restartNumberingAfterBreak="0">
    <w:nsid w:val="2E9E14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6" w15:restartNumberingAfterBreak="0">
    <w:nsid w:val="2EA352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7" w15:restartNumberingAfterBreak="0">
    <w:nsid w:val="2EAF35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8" w15:restartNumberingAfterBreak="0">
    <w:nsid w:val="2EB060BB"/>
    <w:multiLevelType w:val="singleLevel"/>
    <w:tmpl w:val="78446EF4"/>
    <w:lvl w:ilvl="0">
      <w:start w:val="1"/>
      <w:numFmt w:val="decimal"/>
      <w:lvlText w:val="%1."/>
      <w:legacy w:legacy="1" w:legacySpace="0" w:legacyIndent="283"/>
      <w:lvlJc w:val="left"/>
      <w:pPr>
        <w:ind w:left="283" w:hanging="283"/>
      </w:pPr>
    </w:lvl>
  </w:abstractNum>
  <w:abstractNum w:abstractNumId="749" w15:restartNumberingAfterBreak="0">
    <w:nsid w:val="2EB812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0" w15:restartNumberingAfterBreak="0">
    <w:nsid w:val="2F1202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1" w15:restartNumberingAfterBreak="0">
    <w:nsid w:val="2F2145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2" w15:restartNumberingAfterBreak="0">
    <w:nsid w:val="2F2900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3" w15:restartNumberingAfterBreak="0">
    <w:nsid w:val="2F4770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4" w15:restartNumberingAfterBreak="0">
    <w:nsid w:val="2F5B77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5" w15:restartNumberingAfterBreak="0">
    <w:nsid w:val="2F6607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6" w15:restartNumberingAfterBreak="0">
    <w:nsid w:val="2F7025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7" w15:restartNumberingAfterBreak="0">
    <w:nsid w:val="2F785160"/>
    <w:multiLevelType w:val="multilevel"/>
    <w:tmpl w:val="4FE43BC2"/>
    <w:lvl w:ilvl="0">
      <w:numFmt w:val="decimal"/>
      <w:lvlText w:val="%1.0"/>
      <w:lvlJc w:val="left"/>
      <w:pPr>
        <w:tabs>
          <w:tab w:val="num" w:pos="390"/>
        </w:tabs>
        <w:ind w:left="390" w:hanging="390"/>
      </w:pPr>
      <w:rPr>
        <w:rFonts w:hint="default"/>
      </w:rPr>
    </w:lvl>
    <w:lvl w:ilvl="1">
      <w:start w:val="1"/>
      <w:numFmt w:val="decimal"/>
      <w:lvlText w:val="%1.%2"/>
      <w:lvlJc w:val="left"/>
      <w:pPr>
        <w:tabs>
          <w:tab w:val="num" w:pos="2024"/>
        </w:tabs>
        <w:ind w:left="2024" w:hanging="72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992"/>
        </w:tabs>
        <w:ind w:left="4992" w:hanging="108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624"/>
        </w:tabs>
        <w:ind w:left="9624" w:hanging="1800"/>
      </w:pPr>
      <w:rPr>
        <w:rFonts w:hint="default"/>
      </w:rPr>
    </w:lvl>
    <w:lvl w:ilvl="7">
      <w:start w:val="1"/>
      <w:numFmt w:val="decimal"/>
      <w:lvlText w:val="%1.%2.%3.%4.%5.%6.%7.%8"/>
      <w:lvlJc w:val="left"/>
      <w:pPr>
        <w:tabs>
          <w:tab w:val="num" w:pos="10928"/>
        </w:tabs>
        <w:ind w:left="10928" w:hanging="1800"/>
      </w:pPr>
      <w:rPr>
        <w:rFonts w:hint="default"/>
      </w:rPr>
    </w:lvl>
    <w:lvl w:ilvl="8">
      <w:start w:val="1"/>
      <w:numFmt w:val="decimal"/>
      <w:lvlText w:val="%1.%2.%3.%4.%5.%6.%7.%8.%9"/>
      <w:lvlJc w:val="left"/>
      <w:pPr>
        <w:tabs>
          <w:tab w:val="num" w:pos="12592"/>
        </w:tabs>
        <w:ind w:left="12592" w:hanging="2160"/>
      </w:pPr>
      <w:rPr>
        <w:rFonts w:hint="default"/>
      </w:rPr>
    </w:lvl>
  </w:abstractNum>
  <w:abstractNum w:abstractNumId="758" w15:restartNumberingAfterBreak="0">
    <w:nsid w:val="2F7E36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9" w15:restartNumberingAfterBreak="0">
    <w:nsid w:val="2F8B13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0" w15:restartNumberingAfterBreak="0">
    <w:nsid w:val="2FAB78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1" w15:restartNumberingAfterBreak="0">
    <w:nsid w:val="2FAF77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2" w15:restartNumberingAfterBreak="0">
    <w:nsid w:val="2FD40C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3" w15:restartNumberingAfterBreak="0">
    <w:nsid w:val="2FF86DC4"/>
    <w:multiLevelType w:val="singleLevel"/>
    <w:tmpl w:val="8DC8AB00"/>
    <w:lvl w:ilvl="0">
      <w:start w:val="1"/>
      <w:numFmt w:val="bullet"/>
      <w:lvlText w:val=""/>
      <w:lvlJc w:val="left"/>
      <w:pPr>
        <w:tabs>
          <w:tab w:val="num" w:pos="360"/>
        </w:tabs>
        <w:ind w:left="360" w:hanging="360"/>
      </w:pPr>
      <w:rPr>
        <w:rFonts w:ascii="Symbol" w:hAnsi="Symbol" w:hint="default"/>
      </w:rPr>
    </w:lvl>
  </w:abstractNum>
  <w:abstractNum w:abstractNumId="764" w15:restartNumberingAfterBreak="0">
    <w:nsid w:val="30045930"/>
    <w:multiLevelType w:val="singleLevel"/>
    <w:tmpl w:val="9A6A8032"/>
    <w:lvl w:ilvl="0">
      <w:start w:val="1"/>
      <w:numFmt w:val="decimal"/>
      <w:lvlText w:val="%1."/>
      <w:legacy w:legacy="1" w:legacySpace="0" w:legacyIndent="454"/>
      <w:lvlJc w:val="left"/>
      <w:pPr>
        <w:ind w:left="454" w:hanging="454"/>
      </w:pPr>
    </w:lvl>
  </w:abstractNum>
  <w:abstractNum w:abstractNumId="765" w15:restartNumberingAfterBreak="0">
    <w:nsid w:val="300739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6" w15:restartNumberingAfterBreak="0">
    <w:nsid w:val="3025296B"/>
    <w:multiLevelType w:val="multilevel"/>
    <w:tmpl w:val="836E75A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67" w15:restartNumberingAfterBreak="0">
    <w:nsid w:val="302A7A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8" w15:restartNumberingAfterBreak="0">
    <w:nsid w:val="304741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9" w15:restartNumberingAfterBreak="0">
    <w:nsid w:val="304B7AC4"/>
    <w:multiLevelType w:val="singleLevel"/>
    <w:tmpl w:val="1D0CC6AA"/>
    <w:lvl w:ilvl="0">
      <w:start w:val="1"/>
      <w:numFmt w:val="decimal"/>
      <w:lvlText w:val="%1."/>
      <w:lvlJc w:val="left"/>
      <w:pPr>
        <w:tabs>
          <w:tab w:val="num" w:pos="700"/>
        </w:tabs>
        <w:ind w:left="700" w:hanging="360"/>
      </w:pPr>
      <w:rPr>
        <w:rFonts w:hint="default"/>
        <w:i w:val="0"/>
      </w:rPr>
    </w:lvl>
  </w:abstractNum>
  <w:abstractNum w:abstractNumId="770" w15:restartNumberingAfterBreak="0">
    <w:nsid w:val="304E5539"/>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71" w15:restartNumberingAfterBreak="0">
    <w:nsid w:val="30672536"/>
    <w:multiLevelType w:val="singleLevel"/>
    <w:tmpl w:val="BBDEA5D2"/>
    <w:lvl w:ilvl="0">
      <w:start w:val="1"/>
      <w:numFmt w:val="decimal"/>
      <w:lvlText w:val="%1."/>
      <w:legacy w:legacy="1" w:legacySpace="0" w:legacyIndent="284"/>
      <w:lvlJc w:val="left"/>
      <w:pPr>
        <w:ind w:left="1191" w:hanging="284"/>
      </w:pPr>
    </w:lvl>
  </w:abstractNum>
  <w:abstractNum w:abstractNumId="772" w15:restartNumberingAfterBreak="0">
    <w:nsid w:val="306A0A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3" w15:restartNumberingAfterBreak="0">
    <w:nsid w:val="307B10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4" w15:restartNumberingAfterBreak="0">
    <w:nsid w:val="30962E50"/>
    <w:multiLevelType w:val="singleLevel"/>
    <w:tmpl w:val="EF08BB80"/>
    <w:lvl w:ilvl="0">
      <w:start w:val="10"/>
      <w:numFmt w:val="decimal"/>
      <w:lvlText w:val="%1."/>
      <w:lvlJc w:val="left"/>
      <w:pPr>
        <w:tabs>
          <w:tab w:val="num" w:pos="420"/>
        </w:tabs>
        <w:ind w:left="420" w:hanging="420"/>
      </w:pPr>
      <w:rPr>
        <w:rFonts w:hint="default"/>
      </w:rPr>
    </w:lvl>
  </w:abstractNum>
  <w:abstractNum w:abstractNumId="775" w15:restartNumberingAfterBreak="0">
    <w:nsid w:val="30A731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6" w15:restartNumberingAfterBreak="0">
    <w:nsid w:val="30AD13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7" w15:restartNumberingAfterBreak="0">
    <w:nsid w:val="30B310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8" w15:restartNumberingAfterBreak="0">
    <w:nsid w:val="30CB2442"/>
    <w:multiLevelType w:val="multilevel"/>
    <w:tmpl w:val="C6C4EE3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79" w15:restartNumberingAfterBreak="0">
    <w:nsid w:val="30CD6E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0" w15:restartNumberingAfterBreak="0">
    <w:nsid w:val="30D33C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1" w15:restartNumberingAfterBreak="0">
    <w:nsid w:val="30D45FC7"/>
    <w:multiLevelType w:val="singleLevel"/>
    <w:tmpl w:val="2A72E5E0"/>
    <w:lvl w:ilvl="0">
      <w:start w:val="1"/>
      <w:numFmt w:val="decimal"/>
      <w:lvlText w:val="%1."/>
      <w:legacy w:legacy="1" w:legacySpace="0" w:legacyIndent="454"/>
      <w:lvlJc w:val="left"/>
      <w:pPr>
        <w:ind w:left="454" w:hanging="454"/>
      </w:pPr>
    </w:lvl>
  </w:abstractNum>
  <w:abstractNum w:abstractNumId="782" w15:restartNumberingAfterBreak="0">
    <w:nsid w:val="30D50A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3" w15:restartNumberingAfterBreak="0">
    <w:nsid w:val="30EA4F03"/>
    <w:multiLevelType w:val="multilevel"/>
    <w:tmpl w:val="C3368616"/>
    <w:lvl w:ilvl="0">
      <w:start w:val="15"/>
      <w:numFmt w:val="decimal"/>
      <w:lvlText w:val="%1."/>
      <w:legacy w:legacy="1" w:legacySpace="0" w:legacyIndent="454"/>
      <w:lvlJc w:val="left"/>
      <w:pPr>
        <w:ind w:left="454" w:hanging="454"/>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784" w15:restartNumberingAfterBreak="0">
    <w:nsid w:val="30F679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5" w15:restartNumberingAfterBreak="0">
    <w:nsid w:val="31054B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6" w15:restartNumberingAfterBreak="0">
    <w:nsid w:val="312C17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7" w15:restartNumberingAfterBreak="0">
    <w:nsid w:val="312E78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8" w15:restartNumberingAfterBreak="0">
    <w:nsid w:val="31442B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9" w15:restartNumberingAfterBreak="0">
    <w:nsid w:val="31473C32"/>
    <w:multiLevelType w:val="singleLevel"/>
    <w:tmpl w:val="01822B8A"/>
    <w:lvl w:ilvl="0">
      <w:start w:val="1"/>
      <w:numFmt w:val="decimal"/>
      <w:lvlText w:val="%1."/>
      <w:legacy w:legacy="1" w:legacySpace="0" w:legacyIndent="454"/>
      <w:lvlJc w:val="left"/>
      <w:pPr>
        <w:ind w:left="454" w:hanging="454"/>
      </w:pPr>
    </w:lvl>
  </w:abstractNum>
  <w:abstractNum w:abstractNumId="790" w15:restartNumberingAfterBreak="0">
    <w:nsid w:val="314E37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1" w15:restartNumberingAfterBreak="0">
    <w:nsid w:val="31511D0E"/>
    <w:multiLevelType w:val="multilevel"/>
    <w:tmpl w:val="5BA684B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92" w15:restartNumberingAfterBreak="0">
    <w:nsid w:val="318A4A0B"/>
    <w:multiLevelType w:val="singleLevel"/>
    <w:tmpl w:val="041D000F"/>
    <w:lvl w:ilvl="0">
      <w:start w:val="1"/>
      <w:numFmt w:val="decimal"/>
      <w:lvlText w:val="%1."/>
      <w:lvlJc w:val="left"/>
      <w:pPr>
        <w:tabs>
          <w:tab w:val="num" w:pos="360"/>
        </w:tabs>
        <w:ind w:left="360" w:hanging="360"/>
      </w:pPr>
    </w:lvl>
  </w:abstractNum>
  <w:abstractNum w:abstractNumId="793" w15:restartNumberingAfterBreak="0">
    <w:nsid w:val="319B4881"/>
    <w:multiLevelType w:val="multilevel"/>
    <w:tmpl w:val="59AA4EDA"/>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94" w15:restartNumberingAfterBreak="0">
    <w:nsid w:val="31E43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5" w15:restartNumberingAfterBreak="0">
    <w:nsid w:val="31E56B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6" w15:restartNumberingAfterBreak="0">
    <w:nsid w:val="31F674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7" w15:restartNumberingAfterBreak="0">
    <w:nsid w:val="320C3C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8" w15:restartNumberingAfterBreak="0">
    <w:nsid w:val="32262A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9" w15:restartNumberingAfterBreak="0">
    <w:nsid w:val="32343A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0" w15:restartNumberingAfterBreak="0">
    <w:nsid w:val="32435E97"/>
    <w:multiLevelType w:val="multilevel"/>
    <w:tmpl w:val="A6AEDCC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01" w15:restartNumberingAfterBreak="0">
    <w:nsid w:val="32617E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2" w15:restartNumberingAfterBreak="0">
    <w:nsid w:val="326C0E62"/>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803" w15:restartNumberingAfterBreak="0">
    <w:nsid w:val="32785A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4" w15:restartNumberingAfterBreak="0">
    <w:nsid w:val="32A70112"/>
    <w:multiLevelType w:val="multilevel"/>
    <w:tmpl w:val="E7CE6B66"/>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5" w15:restartNumberingAfterBreak="0">
    <w:nsid w:val="32A948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6" w15:restartNumberingAfterBreak="0">
    <w:nsid w:val="32B17437"/>
    <w:multiLevelType w:val="singleLevel"/>
    <w:tmpl w:val="6786FEA4"/>
    <w:lvl w:ilvl="0">
      <w:start w:val="1"/>
      <w:numFmt w:val="decimal"/>
      <w:lvlText w:val="%1."/>
      <w:legacy w:legacy="1" w:legacySpace="0" w:legacyIndent="284"/>
      <w:lvlJc w:val="left"/>
      <w:pPr>
        <w:ind w:left="1191" w:hanging="284"/>
      </w:pPr>
    </w:lvl>
  </w:abstractNum>
  <w:abstractNum w:abstractNumId="807" w15:restartNumberingAfterBreak="0">
    <w:nsid w:val="32B45FD9"/>
    <w:multiLevelType w:val="singleLevel"/>
    <w:tmpl w:val="8F566BEA"/>
    <w:lvl w:ilvl="0">
      <w:start w:val="1"/>
      <w:numFmt w:val="decimal"/>
      <w:lvlText w:val="%1."/>
      <w:legacy w:legacy="1" w:legacySpace="0" w:legacyIndent="454"/>
      <w:lvlJc w:val="left"/>
      <w:pPr>
        <w:ind w:left="454" w:hanging="454"/>
      </w:pPr>
    </w:lvl>
  </w:abstractNum>
  <w:abstractNum w:abstractNumId="808" w15:restartNumberingAfterBreak="0">
    <w:nsid w:val="32C748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9" w15:restartNumberingAfterBreak="0">
    <w:nsid w:val="32C90C8C"/>
    <w:multiLevelType w:val="singleLevel"/>
    <w:tmpl w:val="9AD2DCC0"/>
    <w:lvl w:ilvl="0">
      <w:start w:val="1"/>
      <w:numFmt w:val="bullet"/>
      <w:lvlText w:val=""/>
      <w:lvlJc w:val="left"/>
      <w:pPr>
        <w:tabs>
          <w:tab w:val="num" w:pos="360"/>
        </w:tabs>
        <w:ind w:left="170" w:hanging="170"/>
      </w:pPr>
      <w:rPr>
        <w:rFonts w:ascii="Symbol" w:hAnsi="Symbol" w:hint="default"/>
      </w:rPr>
    </w:lvl>
  </w:abstractNum>
  <w:abstractNum w:abstractNumId="810" w15:restartNumberingAfterBreak="0">
    <w:nsid w:val="32EA08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1" w15:restartNumberingAfterBreak="0">
    <w:nsid w:val="33046E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2" w15:restartNumberingAfterBreak="0">
    <w:nsid w:val="33061E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3" w15:restartNumberingAfterBreak="0">
    <w:nsid w:val="331974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4" w15:restartNumberingAfterBreak="0">
    <w:nsid w:val="33310A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5" w15:restartNumberingAfterBreak="0">
    <w:nsid w:val="33515DF7"/>
    <w:multiLevelType w:val="singleLevel"/>
    <w:tmpl w:val="1EF28B28"/>
    <w:lvl w:ilvl="0">
      <w:start w:val="4"/>
      <w:numFmt w:val="bullet"/>
      <w:lvlText w:val="-"/>
      <w:lvlJc w:val="left"/>
      <w:pPr>
        <w:tabs>
          <w:tab w:val="num" w:pos="360"/>
        </w:tabs>
        <w:ind w:left="360" w:hanging="360"/>
      </w:pPr>
      <w:rPr>
        <w:rFonts w:hint="default"/>
      </w:rPr>
    </w:lvl>
  </w:abstractNum>
  <w:abstractNum w:abstractNumId="816" w15:restartNumberingAfterBreak="0">
    <w:nsid w:val="33712E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7" w15:restartNumberingAfterBreak="0">
    <w:nsid w:val="33A327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8" w15:restartNumberingAfterBreak="0">
    <w:nsid w:val="33BA2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9" w15:restartNumberingAfterBreak="0">
    <w:nsid w:val="33BE4361"/>
    <w:multiLevelType w:val="singleLevel"/>
    <w:tmpl w:val="36407E36"/>
    <w:lvl w:ilvl="0">
      <w:start w:val="1"/>
      <w:numFmt w:val="decimal"/>
      <w:lvlRestart w:val="0"/>
      <w:lvlText w:val="%1."/>
      <w:lvlJc w:val="left"/>
      <w:pPr>
        <w:tabs>
          <w:tab w:val="num" w:pos="992"/>
        </w:tabs>
        <w:ind w:left="510" w:firstLine="170"/>
      </w:pPr>
    </w:lvl>
  </w:abstractNum>
  <w:abstractNum w:abstractNumId="820" w15:restartNumberingAfterBreak="0">
    <w:nsid w:val="33C54D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1" w15:restartNumberingAfterBreak="0">
    <w:nsid w:val="33D237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2" w15:restartNumberingAfterBreak="0">
    <w:nsid w:val="33E91D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3" w15:restartNumberingAfterBreak="0">
    <w:nsid w:val="340135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4" w15:restartNumberingAfterBreak="0">
    <w:nsid w:val="34097C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5" w15:restartNumberingAfterBreak="0">
    <w:nsid w:val="340A18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6" w15:restartNumberingAfterBreak="0">
    <w:nsid w:val="341709A1"/>
    <w:multiLevelType w:val="singleLevel"/>
    <w:tmpl w:val="8A06A79C"/>
    <w:lvl w:ilvl="0">
      <w:start w:val="1"/>
      <w:numFmt w:val="bullet"/>
      <w:lvlText w:val=""/>
      <w:lvlJc w:val="left"/>
      <w:pPr>
        <w:tabs>
          <w:tab w:val="num" w:pos="360"/>
        </w:tabs>
        <w:ind w:left="170" w:hanging="170"/>
      </w:pPr>
      <w:rPr>
        <w:rFonts w:ascii="Symbol" w:hAnsi="Symbol" w:hint="default"/>
      </w:rPr>
    </w:lvl>
  </w:abstractNum>
  <w:abstractNum w:abstractNumId="827" w15:restartNumberingAfterBreak="0">
    <w:nsid w:val="343338C6"/>
    <w:multiLevelType w:val="singleLevel"/>
    <w:tmpl w:val="D5CCA656"/>
    <w:lvl w:ilvl="0">
      <w:start w:val="1"/>
      <w:numFmt w:val="bullet"/>
      <w:lvlText w:val=""/>
      <w:lvlJc w:val="left"/>
      <w:pPr>
        <w:tabs>
          <w:tab w:val="num" w:pos="360"/>
        </w:tabs>
        <w:ind w:left="170" w:hanging="170"/>
      </w:pPr>
      <w:rPr>
        <w:rFonts w:ascii="Symbol" w:hAnsi="Symbol" w:hint="default"/>
      </w:rPr>
    </w:lvl>
  </w:abstractNum>
  <w:abstractNum w:abstractNumId="828" w15:restartNumberingAfterBreak="0">
    <w:nsid w:val="344A3B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9" w15:restartNumberingAfterBreak="0">
    <w:nsid w:val="345732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0" w15:restartNumberingAfterBreak="0">
    <w:nsid w:val="346C49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1" w15:restartNumberingAfterBreak="0">
    <w:nsid w:val="34723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2" w15:restartNumberingAfterBreak="0">
    <w:nsid w:val="347400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3" w15:restartNumberingAfterBreak="0">
    <w:nsid w:val="347D69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4" w15:restartNumberingAfterBreak="0">
    <w:nsid w:val="348B6D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5" w15:restartNumberingAfterBreak="0">
    <w:nsid w:val="34B673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6" w15:restartNumberingAfterBreak="0">
    <w:nsid w:val="34C52C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7" w15:restartNumberingAfterBreak="0">
    <w:nsid w:val="34EA35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8" w15:restartNumberingAfterBreak="0">
    <w:nsid w:val="34F60029"/>
    <w:multiLevelType w:val="singleLevel"/>
    <w:tmpl w:val="96D28B62"/>
    <w:lvl w:ilvl="0">
      <w:start w:val="1"/>
      <w:numFmt w:val="decimal"/>
      <w:lvlText w:val="%1."/>
      <w:legacy w:legacy="1" w:legacySpace="0" w:legacyIndent="454"/>
      <w:lvlJc w:val="left"/>
      <w:pPr>
        <w:ind w:left="454" w:hanging="454"/>
      </w:pPr>
    </w:lvl>
  </w:abstractNum>
  <w:abstractNum w:abstractNumId="839" w15:restartNumberingAfterBreak="0">
    <w:nsid w:val="34F85E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0" w15:restartNumberingAfterBreak="0">
    <w:nsid w:val="34FE23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1" w15:restartNumberingAfterBreak="0">
    <w:nsid w:val="34FF59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2" w15:restartNumberingAfterBreak="0">
    <w:nsid w:val="35095F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3" w15:restartNumberingAfterBreak="0">
    <w:nsid w:val="3524666B"/>
    <w:multiLevelType w:val="multilevel"/>
    <w:tmpl w:val="4ECC748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44"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845" w15:restartNumberingAfterBreak="0">
    <w:nsid w:val="352E51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6" w15:restartNumberingAfterBreak="0">
    <w:nsid w:val="35374191"/>
    <w:multiLevelType w:val="multilevel"/>
    <w:tmpl w:val="466E5C88"/>
    <w:lvl w:ilvl="0">
      <w:start w:val="1"/>
      <w:numFmt w:val="decimal"/>
      <w:lvlText w:val="%1."/>
      <w:lvlJc w:val="left"/>
      <w:pPr>
        <w:tabs>
          <w:tab w:val="num" w:pos="480"/>
        </w:tabs>
        <w:ind w:left="480" w:hanging="480"/>
      </w:pPr>
      <w:rPr>
        <w:rFonts w:hint="default"/>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847" w15:restartNumberingAfterBreak="0">
    <w:nsid w:val="354A1A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8" w15:restartNumberingAfterBreak="0">
    <w:nsid w:val="354C72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9" w15:restartNumberingAfterBreak="0">
    <w:nsid w:val="354D1A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0" w15:restartNumberingAfterBreak="0">
    <w:nsid w:val="35525860"/>
    <w:multiLevelType w:val="singleLevel"/>
    <w:tmpl w:val="EB04BFA0"/>
    <w:lvl w:ilvl="0">
      <w:start w:val="1"/>
      <w:numFmt w:val="decimal"/>
      <w:lvlText w:val="%1."/>
      <w:legacy w:legacy="1" w:legacySpace="0" w:legacyIndent="454"/>
      <w:lvlJc w:val="left"/>
      <w:pPr>
        <w:ind w:left="454" w:hanging="454"/>
      </w:pPr>
    </w:lvl>
  </w:abstractNum>
  <w:abstractNum w:abstractNumId="851" w15:restartNumberingAfterBreak="0">
    <w:nsid w:val="356F2A05"/>
    <w:multiLevelType w:val="singleLevel"/>
    <w:tmpl w:val="BA90BCCC"/>
    <w:lvl w:ilvl="0">
      <w:start w:val="1"/>
      <w:numFmt w:val="bullet"/>
      <w:lvlText w:val=""/>
      <w:lvlJc w:val="left"/>
      <w:pPr>
        <w:tabs>
          <w:tab w:val="num" w:pos="360"/>
        </w:tabs>
        <w:ind w:left="170" w:hanging="170"/>
      </w:pPr>
      <w:rPr>
        <w:rFonts w:ascii="Symbol" w:hAnsi="Symbol" w:hint="default"/>
      </w:rPr>
    </w:lvl>
  </w:abstractNum>
  <w:abstractNum w:abstractNumId="852" w15:restartNumberingAfterBreak="0">
    <w:nsid w:val="35874C35"/>
    <w:multiLevelType w:val="multilevel"/>
    <w:tmpl w:val="FBBAA36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53" w15:restartNumberingAfterBreak="0">
    <w:nsid w:val="35A12C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4" w15:restartNumberingAfterBreak="0">
    <w:nsid w:val="35B648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5" w15:restartNumberingAfterBreak="0">
    <w:nsid w:val="35C16C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6" w15:restartNumberingAfterBreak="0">
    <w:nsid w:val="35EB48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7" w15:restartNumberingAfterBreak="0">
    <w:nsid w:val="35EC6C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8" w15:restartNumberingAfterBreak="0">
    <w:nsid w:val="35F533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9" w15:restartNumberingAfterBreak="0">
    <w:nsid w:val="35F829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0" w15:restartNumberingAfterBreak="0">
    <w:nsid w:val="36077223"/>
    <w:multiLevelType w:val="singleLevel"/>
    <w:tmpl w:val="EB04BFA0"/>
    <w:lvl w:ilvl="0">
      <w:start w:val="1"/>
      <w:numFmt w:val="decimal"/>
      <w:lvlText w:val="%1."/>
      <w:legacy w:legacy="1" w:legacySpace="0" w:legacyIndent="454"/>
      <w:lvlJc w:val="left"/>
      <w:pPr>
        <w:ind w:left="454" w:hanging="454"/>
      </w:pPr>
    </w:lvl>
  </w:abstractNum>
  <w:abstractNum w:abstractNumId="861" w15:restartNumberingAfterBreak="0">
    <w:nsid w:val="36115E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2" w15:restartNumberingAfterBreak="0">
    <w:nsid w:val="363133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3" w15:restartNumberingAfterBreak="0">
    <w:nsid w:val="364371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4" w15:restartNumberingAfterBreak="0">
    <w:nsid w:val="36493C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5" w15:restartNumberingAfterBreak="0">
    <w:nsid w:val="365C27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6" w15:restartNumberingAfterBreak="0">
    <w:nsid w:val="369814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7" w15:restartNumberingAfterBreak="0">
    <w:nsid w:val="36AA55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8" w15:restartNumberingAfterBreak="0">
    <w:nsid w:val="36B469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9" w15:restartNumberingAfterBreak="0">
    <w:nsid w:val="36E663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0" w15:restartNumberingAfterBreak="0">
    <w:nsid w:val="36EA73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1" w15:restartNumberingAfterBreak="0">
    <w:nsid w:val="36EC3E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2" w15:restartNumberingAfterBreak="0">
    <w:nsid w:val="36F33EBB"/>
    <w:multiLevelType w:val="singleLevel"/>
    <w:tmpl w:val="E72E67D6"/>
    <w:lvl w:ilvl="0">
      <w:start w:val="1"/>
      <w:numFmt w:val="lowerLetter"/>
      <w:lvlText w:val="%1)"/>
      <w:lvlJc w:val="left"/>
      <w:pPr>
        <w:tabs>
          <w:tab w:val="num" w:pos="700"/>
        </w:tabs>
        <w:ind w:left="700" w:hanging="360"/>
      </w:pPr>
      <w:rPr>
        <w:rFonts w:hint="default"/>
      </w:rPr>
    </w:lvl>
  </w:abstractNum>
  <w:abstractNum w:abstractNumId="873" w15:restartNumberingAfterBreak="0">
    <w:nsid w:val="36FD4DB3"/>
    <w:multiLevelType w:val="singleLevel"/>
    <w:tmpl w:val="212E51C4"/>
    <w:lvl w:ilvl="0">
      <w:start w:val="43"/>
      <w:numFmt w:val="decimal"/>
      <w:lvlText w:val="%1."/>
      <w:legacy w:legacy="1" w:legacySpace="0" w:legacyIndent="454"/>
      <w:lvlJc w:val="left"/>
      <w:pPr>
        <w:ind w:left="454" w:hanging="454"/>
      </w:pPr>
    </w:lvl>
  </w:abstractNum>
  <w:abstractNum w:abstractNumId="874" w15:restartNumberingAfterBreak="0">
    <w:nsid w:val="36FD5655"/>
    <w:multiLevelType w:val="singleLevel"/>
    <w:tmpl w:val="67D85B8E"/>
    <w:lvl w:ilvl="0">
      <w:start w:val="1"/>
      <w:numFmt w:val="decimal"/>
      <w:lvlText w:val="%1."/>
      <w:legacy w:legacy="1" w:legacySpace="0" w:legacyIndent="454"/>
      <w:lvlJc w:val="left"/>
      <w:pPr>
        <w:ind w:left="454" w:hanging="454"/>
      </w:pPr>
    </w:lvl>
  </w:abstractNum>
  <w:abstractNum w:abstractNumId="875" w15:restartNumberingAfterBreak="0">
    <w:nsid w:val="370506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6" w15:restartNumberingAfterBreak="0">
    <w:nsid w:val="370907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7" w15:restartNumberingAfterBreak="0">
    <w:nsid w:val="37365B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8" w15:restartNumberingAfterBreak="0">
    <w:nsid w:val="374E7D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9" w15:restartNumberingAfterBreak="0">
    <w:nsid w:val="37625B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0" w15:restartNumberingAfterBreak="0">
    <w:nsid w:val="376F49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1" w15:restartNumberingAfterBreak="0">
    <w:nsid w:val="379479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2" w15:restartNumberingAfterBreak="0">
    <w:nsid w:val="37AB4B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3" w15:restartNumberingAfterBreak="0">
    <w:nsid w:val="37B265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4" w15:restartNumberingAfterBreak="0">
    <w:nsid w:val="37CB14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5" w15:restartNumberingAfterBreak="0">
    <w:nsid w:val="37CD73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6" w15:restartNumberingAfterBreak="0">
    <w:nsid w:val="37E459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7" w15:restartNumberingAfterBreak="0">
    <w:nsid w:val="37E51A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8" w15:restartNumberingAfterBreak="0">
    <w:nsid w:val="380276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9" w15:restartNumberingAfterBreak="0">
    <w:nsid w:val="381B12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0" w15:restartNumberingAfterBreak="0">
    <w:nsid w:val="381D66EE"/>
    <w:multiLevelType w:val="singleLevel"/>
    <w:tmpl w:val="1A6CFFBC"/>
    <w:lvl w:ilvl="0">
      <w:start w:val="1"/>
      <w:numFmt w:val="decimal"/>
      <w:lvlText w:val="%1."/>
      <w:legacy w:legacy="1" w:legacySpace="0" w:legacyIndent="454"/>
      <w:lvlJc w:val="left"/>
      <w:pPr>
        <w:ind w:left="454" w:hanging="454"/>
      </w:pPr>
    </w:lvl>
  </w:abstractNum>
  <w:abstractNum w:abstractNumId="891" w15:restartNumberingAfterBreak="0">
    <w:nsid w:val="382E7B44"/>
    <w:multiLevelType w:val="multilevel"/>
    <w:tmpl w:val="3FE80330"/>
    <w:lvl w:ilvl="0">
      <w:start w:val="2"/>
      <w:numFmt w:val="decimal"/>
      <w:lvlText w:val="%1"/>
      <w:lvlJc w:val="left"/>
      <w:pPr>
        <w:tabs>
          <w:tab w:val="num" w:pos="420"/>
        </w:tabs>
        <w:ind w:left="420" w:hanging="420"/>
      </w:pPr>
      <w:rPr>
        <w:rFonts w:hint="default"/>
      </w:rPr>
    </w:lvl>
    <w:lvl w:ilvl="1">
      <w:start w:val="10"/>
      <w:numFmt w:val="decimal"/>
      <w:lvlText w:val="%1.%2"/>
      <w:lvlJc w:val="left"/>
      <w:pPr>
        <w:tabs>
          <w:tab w:val="num" w:pos="647"/>
        </w:tabs>
        <w:ind w:left="647" w:hanging="420"/>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401"/>
        </w:tabs>
        <w:ind w:left="1401" w:hanging="720"/>
      </w:pPr>
      <w:rPr>
        <w:rFonts w:hint="default"/>
      </w:rPr>
    </w:lvl>
    <w:lvl w:ilvl="4">
      <w:start w:val="1"/>
      <w:numFmt w:val="decimal"/>
      <w:lvlText w:val="%1.%2.%3.%4.%5"/>
      <w:lvlJc w:val="left"/>
      <w:pPr>
        <w:tabs>
          <w:tab w:val="num" w:pos="1628"/>
        </w:tabs>
        <w:ind w:left="1628" w:hanging="720"/>
      </w:pPr>
      <w:rPr>
        <w:rFonts w:hint="default"/>
      </w:rPr>
    </w:lvl>
    <w:lvl w:ilvl="5">
      <w:start w:val="1"/>
      <w:numFmt w:val="decimal"/>
      <w:lvlText w:val="%1.%2.%3.%4.%5.%6"/>
      <w:lvlJc w:val="left"/>
      <w:pPr>
        <w:tabs>
          <w:tab w:val="num" w:pos="2215"/>
        </w:tabs>
        <w:ind w:left="2215" w:hanging="1080"/>
      </w:pPr>
      <w:rPr>
        <w:rFonts w:hint="default"/>
      </w:rPr>
    </w:lvl>
    <w:lvl w:ilvl="6">
      <w:start w:val="1"/>
      <w:numFmt w:val="decimal"/>
      <w:lvlText w:val="%1.%2.%3.%4.%5.%6.%7"/>
      <w:lvlJc w:val="left"/>
      <w:pPr>
        <w:tabs>
          <w:tab w:val="num" w:pos="2442"/>
        </w:tabs>
        <w:ind w:left="2442" w:hanging="1080"/>
      </w:pPr>
      <w:rPr>
        <w:rFonts w:hint="default"/>
      </w:rPr>
    </w:lvl>
    <w:lvl w:ilvl="7">
      <w:start w:val="1"/>
      <w:numFmt w:val="decimal"/>
      <w:lvlText w:val="%1.%2.%3.%4.%5.%6.%7.%8"/>
      <w:lvlJc w:val="left"/>
      <w:pPr>
        <w:tabs>
          <w:tab w:val="num" w:pos="3029"/>
        </w:tabs>
        <w:ind w:left="3029" w:hanging="1440"/>
      </w:pPr>
      <w:rPr>
        <w:rFonts w:hint="default"/>
      </w:rPr>
    </w:lvl>
    <w:lvl w:ilvl="8">
      <w:start w:val="1"/>
      <w:numFmt w:val="decimal"/>
      <w:lvlText w:val="%1.%2.%3.%4.%5.%6.%7.%8.%9"/>
      <w:lvlJc w:val="left"/>
      <w:pPr>
        <w:tabs>
          <w:tab w:val="num" w:pos="3256"/>
        </w:tabs>
        <w:ind w:left="3256" w:hanging="1440"/>
      </w:pPr>
      <w:rPr>
        <w:rFonts w:hint="default"/>
      </w:rPr>
    </w:lvl>
  </w:abstractNum>
  <w:abstractNum w:abstractNumId="892" w15:restartNumberingAfterBreak="0">
    <w:nsid w:val="38654214"/>
    <w:multiLevelType w:val="singleLevel"/>
    <w:tmpl w:val="BBDEA5D2"/>
    <w:lvl w:ilvl="0">
      <w:start w:val="1"/>
      <w:numFmt w:val="decimal"/>
      <w:lvlText w:val="%1."/>
      <w:legacy w:legacy="1" w:legacySpace="0" w:legacyIndent="284"/>
      <w:lvlJc w:val="left"/>
      <w:pPr>
        <w:ind w:left="1191" w:hanging="284"/>
      </w:pPr>
    </w:lvl>
  </w:abstractNum>
  <w:abstractNum w:abstractNumId="893" w15:restartNumberingAfterBreak="0">
    <w:nsid w:val="386A08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4" w15:restartNumberingAfterBreak="0">
    <w:nsid w:val="387468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5" w15:restartNumberingAfterBreak="0">
    <w:nsid w:val="387E724B"/>
    <w:multiLevelType w:val="multilevel"/>
    <w:tmpl w:val="B972FE00"/>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96" w15:restartNumberingAfterBreak="0">
    <w:nsid w:val="388874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7" w15:restartNumberingAfterBreak="0">
    <w:nsid w:val="38920A04"/>
    <w:multiLevelType w:val="singleLevel"/>
    <w:tmpl w:val="041D000F"/>
    <w:lvl w:ilvl="0">
      <w:start w:val="1"/>
      <w:numFmt w:val="decimal"/>
      <w:lvlText w:val="%1."/>
      <w:lvlJc w:val="left"/>
      <w:pPr>
        <w:tabs>
          <w:tab w:val="num" w:pos="360"/>
        </w:tabs>
        <w:ind w:left="360" w:hanging="360"/>
      </w:pPr>
      <w:rPr>
        <w:rFonts w:hint="default"/>
      </w:rPr>
    </w:lvl>
  </w:abstractNum>
  <w:abstractNum w:abstractNumId="898" w15:restartNumberingAfterBreak="0">
    <w:nsid w:val="389C6A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9" w15:restartNumberingAfterBreak="0">
    <w:nsid w:val="38A553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0" w15:restartNumberingAfterBreak="0">
    <w:nsid w:val="38AD7764"/>
    <w:multiLevelType w:val="multilevel"/>
    <w:tmpl w:val="A5043A84"/>
    <w:lvl w:ilvl="0">
      <w:start w:val="9"/>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901" w15:restartNumberingAfterBreak="0">
    <w:nsid w:val="38B545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2" w15:restartNumberingAfterBreak="0">
    <w:nsid w:val="38BF29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3" w15:restartNumberingAfterBreak="0">
    <w:nsid w:val="38CC34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4" w15:restartNumberingAfterBreak="0">
    <w:nsid w:val="38D456BB"/>
    <w:multiLevelType w:val="singleLevel"/>
    <w:tmpl w:val="041D000F"/>
    <w:lvl w:ilvl="0">
      <w:start w:val="1"/>
      <w:numFmt w:val="decimal"/>
      <w:lvlText w:val="%1."/>
      <w:lvlJc w:val="left"/>
      <w:pPr>
        <w:tabs>
          <w:tab w:val="num" w:pos="360"/>
        </w:tabs>
        <w:ind w:left="360" w:hanging="360"/>
      </w:pPr>
    </w:lvl>
  </w:abstractNum>
  <w:abstractNum w:abstractNumId="905" w15:restartNumberingAfterBreak="0">
    <w:nsid w:val="38EE3405"/>
    <w:multiLevelType w:val="singleLevel"/>
    <w:tmpl w:val="FFFFFFFF"/>
    <w:lvl w:ilvl="0">
      <w:numFmt w:val="decimal"/>
      <w:lvlText w:val="*"/>
      <w:lvlJc w:val="left"/>
    </w:lvl>
  </w:abstractNum>
  <w:abstractNum w:abstractNumId="906" w15:restartNumberingAfterBreak="0">
    <w:nsid w:val="38F70C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07" w15:restartNumberingAfterBreak="0">
    <w:nsid w:val="38FE22E5"/>
    <w:multiLevelType w:val="singleLevel"/>
    <w:tmpl w:val="EA28A0FE"/>
    <w:lvl w:ilvl="0">
      <w:start w:val="1"/>
      <w:numFmt w:val="decimal"/>
      <w:lvlText w:val="%1."/>
      <w:legacy w:legacy="1" w:legacySpace="0" w:legacyIndent="454"/>
      <w:lvlJc w:val="left"/>
      <w:pPr>
        <w:ind w:left="454" w:hanging="454"/>
      </w:pPr>
    </w:lvl>
  </w:abstractNum>
  <w:abstractNum w:abstractNumId="908" w15:restartNumberingAfterBreak="0">
    <w:nsid w:val="391636E4"/>
    <w:multiLevelType w:val="multilevel"/>
    <w:tmpl w:val="1246842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9" w15:restartNumberingAfterBreak="0">
    <w:nsid w:val="3939761E"/>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910" w15:restartNumberingAfterBreak="0">
    <w:nsid w:val="394D0E5A"/>
    <w:multiLevelType w:val="singleLevel"/>
    <w:tmpl w:val="233CF5E6"/>
    <w:lvl w:ilvl="0">
      <w:numFmt w:val="bullet"/>
      <w:lvlText w:val="-"/>
      <w:lvlJc w:val="left"/>
      <w:pPr>
        <w:tabs>
          <w:tab w:val="num" w:pos="575"/>
        </w:tabs>
        <w:ind w:left="575" w:hanging="360"/>
      </w:pPr>
      <w:rPr>
        <w:rFonts w:hint="default"/>
      </w:rPr>
    </w:lvl>
  </w:abstractNum>
  <w:abstractNum w:abstractNumId="911" w15:restartNumberingAfterBreak="0">
    <w:nsid w:val="397D3644"/>
    <w:multiLevelType w:val="multilevel"/>
    <w:tmpl w:val="1F1263C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2" w15:restartNumberingAfterBreak="0">
    <w:nsid w:val="397F69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3" w15:restartNumberingAfterBreak="0">
    <w:nsid w:val="398741E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14" w15:restartNumberingAfterBreak="0">
    <w:nsid w:val="39B767BB"/>
    <w:multiLevelType w:val="multilevel"/>
    <w:tmpl w:val="0B5AC11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5" w15:restartNumberingAfterBreak="0">
    <w:nsid w:val="39CE5E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6" w15:restartNumberingAfterBreak="0">
    <w:nsid w:val="39CF0853"/>
    <w:multiLevelType w:val="singleLevel"/>
    <w:tmpl w:val="4DA0447C"/>
    <w:lvl w:ilvl="0">
      <w:start w:val="7"/>
      <w:numFmt w:val="decimal"/>
      <w:lvlText w:val="%1."/>
      <w:legacy w:legacy="1" w:legacySpace="0" w:legacyIndent="360"/>
      <w:lvlJc w:val="left"/>
      <w:pPr>
        <w:ind w:left="360" w:hanging="360"/>
      </w:pPr>
    </w:lvl>
  </w:abstractNum>
  <w:abstractNum w:abstractNumId="917" w15:restartNumberingAfterBreak="0">
    <w:nsid w:val="3A0C19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8" w15:restartNumberingAfterBreak="0">
    <w:nsid w:val="3A1A4529"/>
    <w:multiLevelType w:val="multilevel"/>
    <w:tmpl w:val="F2A8AEF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19" w15:restartNumberingAfterBreak="0">
    <w:nsid w:val="3A411606"/>
    <w:multiLevelType w:val="singleLevel"/>
    <w:tmpl w:val="041D000F"/>
    <w:lvl w:ilvl="0">
      <w:start w:val="1"/>
      <w:numFmt w:val="decimal"/>
      <w:lvlText w:val="%1."/>
      <w:lvlJc w:val="left"/>
      <w:pPr>
        <w:tabs>
          <w:tab w:val="num" w:pos="360"/>
        </w:tabs>
        <w:ind w:left="360" w:hanging="360"/>
      </w:pPr>
    </w:lvl>
  </w:abstractNum>
  <w:abstractNum w:abstractNumId="920" w15:restartNumberingAfterBreak="0">
    <w:nsid w:val="3A47676D"/>
    <w:multiLevelType w:val="multilevel"/>
    <w:tmpl w:val="19D0A04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1" w15:restartNumberingAfterBreak="0">
    <w:nsid w:val="3A673F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2" w15:restartNumberingAfterBreak="0">
    <w:nsid w:val="3A686E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3" w15:restartNumberingAfterBreak="0">
    <w:nsid w:val="3A687A02"/>
    <w:multiLevelType w:val="singleLevel"/>
    <w:tmpl w:val="9BACC520"/>
    <w:lvl w:ilvl="0">
      <w:start w:val="1"/>
      <w:numFmt w:val="bullet"/>
      <w:lvlText w:val=""/>
      <w:lvlJc w:val="left"/>
      <w:pPr>
        <w:tabs>
          <w:tab w:val="num" w:pos="360"/>
        </w:tabs>
        <w:ind w:left="170" w:hanging="170"/>
      </w:pPr>
      <w:rPr>
        <w:rFonts w:ascii="Symbol" w:hAnsi="Symbol" w:hint="default"/>
      </w:rPr>
    </w:lvl>
  </w:abstractNum>
  <w:abstractNum w:abstractNumId="924" w15:restartNumberingAfterBreak="0">
    <w:nsid w:val="3A7014AC"/>
    <w:multiLevelType w:val="singleLevel"/>
    <w:tmpl w:val="BA90BCCC"/>
    <w:lvl w:ilvl="0">
      <w:start w:val="1"/>
      <w:numFmt w:val="bullet"/>
      <w:lvlText w:val=""/>
      <w:lvlJc w:val="left"/>
      <w:pPr>
        <w:tabs>
          <w:tab w:val="num" w:pos="360"/>
        </w:tabs>
        <w:ind w:left="170" w:hanging="170"/>
      </w:pPr>
      <w:rPr>
        <w:rFonts w:ascii="Symbol" w:hAnsi="Symbol" w:hint="default"/>
      </w:rPr>
    </w:lvl>
  </w:abstractNum>
  <w:abstractNum w:abstractNumId="925" w15:restartNumberingAfterBreak="0">
    <w:nsid w:val="3A7A11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6" w15:restartNumberingAfterBreak="0">
    <w:nsid w:val="3A7D7B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7" w15:restartNumberingAfterBreak="0">
    <w:nsid w:val="3AA05845"/>
    <w:multiLevelType w:val="singleLevel"/>
    <w:tmpl w:val="DE1A2F6A"/>
    <w:lvl w:ilvl="0">
      <w:start w:val="5"/>
      <w:numFmt w:val="bullet"/>
      <w:lvlText w:val="-"/>
      <w:lvlJc w:val="left"/>
      <w:pPr>
        <w:tabs>
          <w:tab w:val="num" w:pos="360"/>
        </w:tabs>
        <w:ind w:left="360" w:hanging="360"/>
      </w:pPr>
      <w:rPr>
        <w:rFonts w:hint="default"/>
      </w:rPr>
    </w:lvl>
  </w:abstractNum>
  <w:abstractNum w:abstractNumId="928" w15:restartNumberingAfterBreak="0">
    <w:nsid w:val="3AB031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9" w15:restartNumberingAfterBreak="0">
    <w:nsid w:val="3ACB3A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0" w15:restartNumberingAfterBreak="0">
    <w:nsid w:val="3AE226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1" w15:restartNumberingAfterBreak="0">
    <w:nsid w:val="3AE64C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2" w15:restartNumberingAfterBreak="0">
    <w:nsid w:val="3AF57C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3" w15:restartNumberingAfterBreak="0">
    <w:nsid w:val="3B2379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4" w15:restartNumberingAfterBreak="0">
    <w:nsid w:val="3B266908"/>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935" w15:restartNumberingAfterBreak="0">
    <w:nsid w:val="3B322CA7"/>
    <w:multiLevelType w:val="multilevel"/>
    <w:tmpl w:val="83B658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36" w15:restartNumberingAfterBreak="0">
    <w:nsid w:val="3B5154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7" w15:restartNumberingAfterBreak="0">
    <w:nsid w:val="3B544976"/>
    <w:multiLevelType w:val="singleLevel"/>
    <w:tmpl w:val="08AC1F3C"/>
    <w:lvl w:ilvl="0">
      <w:start w:val="1"/>
      <w:numFmt w:val="decimal"/>
      <w:lvlText w:val="%1."/>
      <w:legacy w:legacy="1" w:legacySpace="0" w:legacyIndent="454"/>
      <w:lvlJc w:val="left"/>
      <w:pPr>
        <w:ind w:left="454" w:hanging="454"/>
      </w:pPr>
    </w:lvl>
  </w:abstractNum>
  <w:abstractNum w:abstractNumId="938" w15:restartNumberingAfterBreak="0">
    <w:nsid w:val="3B5C65DF"/>
    <w:multiLevelType w:val="multilevel"/>
    <w:tmpl w:val="CCEE561A"/>
    <w:lvl w:ilvl="0">
      <w:start w:val="5"/>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9" w15:restartNumberingAfterBreak="0">
    <w:nsid w:val="3B7524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0" w15:restartNumberingAfterBreak="0">
    <w:nsid w:val="3B7830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1" w15:restartNumberingAfterBreak="0">
    <w:nsid w:val="3B7A07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2" w15:restartNumberingAfterBreak="0">
    <w:nsid w:val="3B8C18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43" w15:restartNumberingAfterBreak="0">
    <w:nsid w:val="3B963BF2"/>
    <w:multiLevelType w:val="multilevel"/>
    <w:tmpl w:val="DE8AFE7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44" w15:restartNumberingAfterBreak="0">
    <w:nsid w:val="3BF559B2"/>
    <w:multiLevelType w:val="multilevel"/>
    <w:tmpl w:val="B246DCDE"/>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5" w15:restartNumberingAfterBreak="0">
    <w:nsid w:val="3C0707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6" w15:restartNumberingAfterBreak="0">
    <w:nsid w:val="3C0957EB"/>
    <w:multiLevelType w:val="multilevel"/>
    <w:tmpl w:val="59D4A7D6"/>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7" w15:restartNumberingAfterBreak="0">
    <w:nsid w:val="3C2F17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8" w15:restartNumberingAfterBreak="0">
    <w:nsid w:val="3C3A2D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9" w15:restartNumberingAfterBreak="0">
    <w:nsid w:val="3C471D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0" w15:restartNumberingAfterBreak="0">
    <w:nsid w:val="3C4F60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1" w15:restartNumberingAfterBreak="0">
    <w:nsid w:val="3C7D37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2" w15:restartNumberingAfterBreak="0">
    <w:nsid w:val="3C8F0B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3" w15:restartNumberingAfterBreak="0">
    <w:nsid w:val="3C9F4F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4" w15:restartNumberingAfterBreak="0">
    <w:nsid w:val="3CB10A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5" w15:restartNumberingAfterBreak="0">
    <w:nsid w:val="3CCD41D2"/>
    <w:multiLevelType w:val="multilevel"/>
    <w:tmpl w:val="1D4C5B5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56" w15:restartNumberingAfterBreak="0">
    <w:nsid w:val="3CDF6830"/>
    <w:multiLevelType w:val="multilevel"/>
    <w:tmpl w:val="CD04909E"/>
    <w:lvl w:ilvl="0">
      <w:start w:val="2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57" w15:restartNumberingAfterBreak="0">
    <w:nsid w:val="3CDF7E2A"/>
    <w:multiLevelType w:val="singleLevel"/>
    <w:tmpl w:val="CA5E1CDC"/>
    <w:lvl w:ilvl="0">
      <w:start w:val="1"/>
      <w:numFmt w:val="decimal"/>
      <w:lvlText w:val="%1."/>
      <w:legacy w:legacy="1" w:legacySpace="0" w:legacyIndent="454"/>
      <w:lvlJc w:val="left"/>
      <w:pPr>
        <w:ind w:left="454" w:hanging="454"/>
      </w:pPr>
    </w:lvl>
  </w:abstractNum>
  <w:abstractNum w:abstractNumId="958" w15:restartNumberingAfterBreak="0">
    <w:nsid w:val="3CEB3A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9" w15:restartNumberingAfterBreak="0">
    <w:nsid w:val="3CF372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0" w15:restartNumberingAfterBreak="0">
    <w:nsid w:val="3D1922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1" w15:restartNumberingAfterBreak="0">
    <w:nsid w:val="3D1F20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2" w15:restartNumberingAfterBreak="0">
    <w:nsid w:val="3D2A3B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3" w15:restartNumberingAfterBreak="0">
    <w:nsid w:val="3D37397C"/>
    <w:multiLevelType w:val="singleLevel"/>
    <w:tmpl w:val="041D000F"/>
    <w:lvl w:ilvl="0">
      <w:start w:val="7"/>
      <w:numFmt w:val="decimal"/>
      <w:lvlText w:val="%1."/>
      <w:lvlJc w:val="left"/>
      <w:pPr>
        <w:tabs>
          <w:tab w:val="num" w:pos="360"/>
        </w:tabs>
        <w:ind w:left="360" w:hanging="360"/>
      </w:pPr>
      <w:rPr>
        <w:rFonts w:hint="default"/>
      </w:rPr>
    </w:lvl>
  </w:abstractNum>
  <w:abstractNum w:abstractNumId="964" w15:restartNumberingAfterBreak="0">
    <w:nsid w:val="3D3D0D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5" w15:restartNumberingAfterBreak="0">
    <w:nsid w:val="3D5A68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6" w15:restartNumberingAfterBreak="0">
    <w:nsid w:val="3D5C3A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7" w15:restartNumberingAfterBreak="0">
    <w:nsid w:val="3D6F16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8" w15:restartNumberingAfterBreak="0">
    <w:nsid w:val="3D756A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9" w15:restartNumberingAfterBreak="0">
    <w:nsid w:val="3D7F6928"/>
    <w:multiLevelType w:val="multilevel"/>
    <w:tmpl w:val="66BC8F5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70" w15:restartNumberingAfterBreak="0">
    <w:nsid w:val="3D8147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1" w15:restartNumberingAfterBreak="0">
    <w:nsid w:val="3D8975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2" w15:restartNumberingAfterBreak="0">
    <w:nsid w:val="3D9248DD"/>
    <w:multiLevelType w:val="multilevel"/>
    <w:tmpl w:val="BB5EA17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73" w15:restartNumberingAfterBreak="0">
    <w:nsid w:val="3DCF68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4" w15:restartNumberingAfterBreak="0">
    <w:nsid w:val="3DD555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5" w15:restartNumberingAfterBreak="0">
    <w:nsid w:val="3DFA59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6" w15:restartNumberingAfterBreak="0">
    <w:nsid w:val="3E0511FA"/>
    <w:multiLevelType w:val="singleLevel"/>
    <w:tmpl w:val="BBDEA5D2"/>
    <w:lvl w:ilvl="0">
      <w:start w:val="1"/>
      <w:numFmt w:val="decimal"/>
      <w:lvlText w:val="%1."/>
      <w:legacy w:legacy="1" w:legacySpace="0" w:legacyIndent="284"/>
      <w:lvlJc w:val="left"/>
      <w:pPr>
        <w:ind w:left="1191" w:hanging="284"/>
      </w:pPr>
    </w:lvl>
  </w:abstractNum>
  <w:abstractNum w:abstractNumId="977" w15:restartNumberingAfterBreak="0">
    <w:nsid w:val="3E1148C8"/>
    <w:multiLevelType w:val="multilevel"/>
    <w:tmpl w:val="45A2A68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78" w15:restartNumberingAfterBreak="0">
    <w:nsid w:val="3E1C08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9" w15:restartNumberingAfterBreak="0">
    <w:nsid w:val="3E2B44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0" w15:restartNumberingAfterBreak="0">
    <w:nsid w:val="3E3A08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1" w15:restartNumberingAfterBreak="0">
    <w:nsid w:val="3E5158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2" w15:restartNumberingAfterBreak="0">
    <w:nsid w:val="3E5578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3" w15:restartNumberingAfterBreak="0">
    <w:nsid w:val="3E796A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4" w15:restartNumberingAfterBreak="0">
    <w:nsid w:val="3E7B2D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5" w15:restartNumberingAfterBreak="0">
    <w:nsid w:val="3E9101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6" w15:restartNumberingAfterBreak="0">
    <w:nsid w:val="3E9B73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7" w15:restartNumberingAfterBreak="0">
    <w:nsid w:val="3E9B7B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8" w15:restartNumberingAfterBreak="0">
    <w:nsid w:val="3EAD2F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9" w15:restartNumberingAfterBreak="0">
    <w:nsid w:val="3EB612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0" w15:restartNumberingAfterBreak="0">
    <w:nsid w:val="3EC53A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1" w15:restartNumberingAfterBreak="0">
    <w:nsid w:val="3EC6731B"/>
    <w:multiLevelType w:val="multilevel"/>
    <w:tmpl w:val="E6C49E86"/>
    <w:lvl w:ilvl="0">
      <w:start w:val="9"/>
      <w:numFmt w:val="decimal"/>
      <w:lvlRestart w:val="0"/>
      <w:lvlText w:val="%1"/>
      <w:lvlJc w:val="left"/>
      <w:pPr>
        <w:tabs>
          <w:tab w:val="num" w:pos="567"/>
        </w:tabs>
        <w:ind w:left="0" w:firstLine="0"/>
      </w:pPr>
      <w:rPr>
        <w:rFonts w:hint="default"/>
      </w:rPr>
    </w:lvl>
    <w:lvl w:ilvl="1">
      <w:start w:val="4"/>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92" w15:restartNumberingAfterBreak="0">
    <w:nsid w:val="3EE33D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3" w15:restartNumberingAfterBreak="0">
    <w:nsid w:val="3EF614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4"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995" w15:restartNumberingAfterBreak="0">
    <w:nsid w:val="3F2A74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6" w15:restartNumberingAfterBreak="0">
    <w:nsid w:val="3F2D5C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7" w15:restartNumberingAfterBreak="0">
    <w:nsid w:val="3F322D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8" w15:restartNumberingAfterBreak="0">
    <w:nsid w:val="3F364290"/>
    <w:multiLevelType w:val="singleLevel"/>
    <w:tmpl w:val="BBDEA5D2"/>
    <w:lvl w:ilvl="0">
      <w:start w:val="1"/>
      <w:numFmt w:val="decimal"/>
      <w:lvlText w:val="%1."/>
      <w:legacy w:legacy="1" w:legacySpace="0" w:legacyIndent="284"/>
      <w:lvlJc w:val="left"/>
      <w:pPr>
        <w:ind w:left="1191" w:hanging="284"/>
      </w:pPr>
    </w:lvl>
  </w:abstractNum>
  <w:abstractNum w:abstractNumId="999" w15:restartNumberingAfterBreak="0">
    <w:nsid w:val="3F3B6D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0" w15:restartNumberingAfterBreak="0">
    <w:nsid w:val="3F3C2F6E"/>
    <w:multiLevelType w:val="singleLevel"/>
    <w:tmpl w:val="7E5AAA14"/>
    <w:lvl w:ilvl="0">
      <w:start w:val="1"/>
      <w:numFmt w:val="decimal"/>
      <w:lvlText w:val="%1."/>
      <w:lvlJc w:val="left"/>
      <w:pPr>
        <w:tabs>
          <w:tab w:val="num" w:pos="587"/>
        </w:tabs>
        <w:ind w:left="587" w:hanging="360"/>
      </w:pPr>
      <w:rPr>
        <w:rFonts w:hint="default"/>
      </w:rPr>
    </w:lvl>
  </w:abstractNum>
  <w:abstractNum w:abstractNumId="1001" w15:restartNumberingAfterBreak="0">
    <w:nsid w:val="3F402CCA"/>
    <w:multiLevelType w:val="multilevel"/>
    <w:tmpl w:val="FDCC0006"/>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2" w15:restartNumberingAfterBreak="0">
    <w:nsid w:val="3F6F53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3" w15:restartNumberingAfterBreak="0">
    <w:nsid w:val="3F9E3FCB"/>
    <w:multiLevelType w:val="multilevel"/>
    <w:tmpl w:val="B58AE8E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04" w15:restartNumberingAfterBreak="0">
    <w:nsid w:val="3FBA104C"/>
    <w:multiLevelType w:val="multilevel"/>
    <w:tmpl w:val="8BFCE8A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05" w15:restartNumberingAfterBreak="0">
    <w:nsid w:val="3FD50F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6" w15:restartNumberingAfterBreak="0">
    <w:nsid w:val="3FDB06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7" w15:restartNumberingAfterBreak="0">
    <w:nsid w:val="3FDD459D"/>
    <w:multiLevelType w:val="singleLevel"/>
    <w:tmpl w:val="01822B8A"/>
    <w:lvl w:ilvl="0">
      <w:start w:val="1"/>
      <w:numFmt w:val="decimal"/>
      <w:lvlText w:val="%1."/>
      <w:legacy w:legacy="1" w:legacySpace="0" w:legacyIndent="454"/>
      <w:lvlJc w:val="left"/>
      <w:pPr>
        <w:ind w:left="454" w:hanging="454"/>
      </w:pPr>
    </w:lvl>
  </w:abstractNum>
  <w:abstractNum w:abstractNumId="1008" w15:restartNumberingAfterBreak="0">
    <w:nsid w:val="40053B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9" w15:restartNumberingAfterBreak="0">
    <w:nsid w:val="400845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0" w15:restartNumberingAfterBreak="0">
    <w:nsid w:val="40151E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1" w15:restartNumberingAfterBreak="0">
    <w:nsid w:val="402A4A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2" w15:restartNumberingAfterBreak="0">
    <w:nsid w:val="403861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3" w15:restartNumberingAfterBreak="0">
    <w:nsid w:val="404551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4" w15:restartNumberingAfterBreak="0">
    <w:nsid w:val="404A14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5" w15:restartNumberingAfterBreak="0">
    <w:nsid w:val="40715F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6" w15:restartNumberingAfterBreak="0">
    <w:nsid w:val="40775368"/>
    <w:multiLevelType w:val="singleLevel"/>
    <w:tmpl w:val="1E5623A8"/>
    <w:lvl w:ilvl="0">
      <w:start w:val="1"/>
      <w:numFmt w:val="decimal"/>
      <w:lvlText w:val="%1."/>
      <w:legacy w:legacy="1" w:legacySpace="0" w:legacyIndent="454"/>
      <w:lvlJc w:val="left"/>
      <w:pPr>
        <w:ind w:left="454" w:hanging="454"/>
      </w:pPr>
    </w:lvl>
  </w:abstractNum>
  <w:abstractNum w:abstractNumId="1017" w15:restartNumberingAfterBreak="0">
    <w:nsid w:val="409F4430"/>
    <w:multiLevelType w:val="multilevel"/>
    <w:tmpl w:val="F860479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18" w15:restartNumberingAfterBreak="0">
    <w:nsid w:val="40B06D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9" w15:restartNumberingAfterBreak="0">
    <w:nsid w:val="40B474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0" w15:restartNumberingAfterBreak="0">
    <w:nsid w:val="40BD66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1" w15:restartNumberingAfterBreak="0">
    <w:nsid w:val="410637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2" w15:restartNumberingAfterBreak="0">
    <w:nsid w:val="410E08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3" w15:restartNumberingAfterBreak="0">
    <w:nsid w:val="41213F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4" w15:restartNumberingAfterBreak="0">
    <w:nsid w:val="413308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5" w15:restartNumberingAfterBreak="0">
    <w:nsid w:val="41464D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6" w15:restartNumberingAfterBreak="0">
    <w:nsid w:val="4164619F"/>
    <w:multiLevelType w:val="singleLevel"/>
    <w:tmpl w:val="041D000F"/>
    <w:lvl w:ilvl="0">
      <w:start w:val="1"/>
      <w:numFmt w:val="decimal"/>
      <w:lvlText w:val="%1."/>
      <w:lvlJc w:val="left"/>
      <w:pPr>
        <w:tabs>
          <w:tab w:val="num" w:pos="360"/>
        </w:tabs>
        <w:ind w:left="360" w:hanging="360"/>
      </w:pPr>
    </w:lvl>
  </w:abstractNum>
  <w:abstractNum w:abstractNumId="1027" w15:restartNumberingAfterBreak="0">
    <w:nsid w:val="41690F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8" w15:restartNumberingAfterBreak="0">
    <w:nsid w:val="41691D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9" w15:restartNumberingAfterBreak="0">
    <w:nsid w:val="416E4B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0" w15:restartNumberingAfterBreak="0">
    <w:nsid w:val="41A64F1C"/>
    <w:multiLevelType w:val="singleLevel"/>
    <w:tmpl w:val="688AF88C"/>
    <w:lvl w:ilvl="0">
      <w:start w:val="40"/>
      <w:numFmt w:val="decimal"/>
      <w:lvlText w:val="%1."/>
      <w:legacy w:legacy="1" w:legacySpace="0" w:legacyIndent="454"/>
      <w:lvlJc w:val="left"/>
      <w:pPr>
        <w:ind w:left="454" w:hanging="454"/>
      </w:pPr>
    </w:lvl>
  </w:abstractNum>
  <w:abstractNum w:abstractNumId="1031" w15:restartNumberingAfterBreak="0">
    <w:nsid w:val="41AC1683"/>
    <w:multiLevelType w:val="singleLevel"/>
    <w:tmpl w:val="93907640"/>
    <w:lvl w:ilvl="0">
      <w:start w:val="1"/>
      <w:numFmt w:val="decimal"/>
      <w:lvlText w:val="%1."/>
      <w:lvlJc w:val="left"/>
      <w:pPr>
        <w:tabs>
          <w:tab w:val="num" w:pos="360"/>
        </w:tabs>
        <w:ind w:left="360" w:hanging="360"/>
      </w:pPr>
      <w:rPr>
        <w:rFonts w:hint="default"/>
        <w:b/>
      </w:rPr>
    </w:lvl>
  </w:abstractNum>
  <w:abstractNum w:abstractNumId="1032" w15:restartNumberingAfterBreak="0">
    <w:nsid w:val="41AF0C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3" w15:restartNumberingAfterBreak="0">
    <w:nsid w:val="41C014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4" w15:restartNumberingAfterBreak="0">
    <w:nsid w:val="41C031CA"/>
    <w:multiLevelType w:val="singleLevel"/>
    <w:tmpl w:val="8F786EA6"/>
    <w:lvl w:ilvl="0">
      <w:start w:val="1"/>
      <w:numFmt w:val="decimal"/>
      <w:lvlText w:val="%1."/>
      <w:lvlJc w:val="left"/>
      <w:pPr>
        <w:tabs>
          <w:tab w:val="num" w:pos="530"/>
        </w:tabs>
        <w:ind w:left="530" w:hanging="360"/>
      </w:pPr>
      <w:rPr>
        <w:rFonts w:hint="default"/>
      </w:rPr>
    </w:lvl>
  </w:abstractNum>
  <w:abstractNum w:abstractNumId="1035" w15:restartNumberingAfterBreak="0">
    <w:nsid w:val="41D433EE"/>
    <w:multiLevelType w:val="multilevel"/>
    <w:tmpl w:val="E7BE02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36" w15:restartNumberingAfterBreak="0">
    <w:nsid w:val="41E47C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7" w15:restartNumberingAfterBreak="0">
    <w:nsid w:val="41E9472E"/>
    <w:multiLevelType w:val="multilevel"/>
    <w:tmpl w:val="4DD0A98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38" w15:restartNumberingAfterBreak="0">
    <w:nsid w:val="41E957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9" w15:restartNumberingAfterBreak="0">
    <w:nsid w:val="41FB6E11"/>
    <w:multiLevelType w:val="singleLevel"/>
    <w:tmpl w:val="FE56BB3C"/>
    <w:lvl w:ilvl="0">
      <w:start w:val="1"/>
      <w:numFmt w:val="bullet"/>
      <w:lvlText w:val=""/>
      <w:lvlJc w:val="left"/>
      <w:pPr>
        <w:tabs>
          <w:tab w:val="num" w:pos="360"/>
        </w:tabs>
        <w:ind w:left="357" w:hanging="357"/>
      </w:pPr>
      <w:rPr>
        <w:rFonts w:ascii="Symbol" w:hAnsi="Symbol" w:hint="default"/>
      </w:rPr>
    </w:lvl>
  </w:abstractNum>
  <w:abstractNum w:abstractNumId="1040" w15:restartNumberingAfterBreak="0">
    <w:nsid w:val="420167A2"/>
    <w:multiLevelType w:val="singleLevel"/>
    <w:tmpl w:val="75629F82"/>
    <w:lvl w:ilvl="0">
      <w:start w:val="1"/>
      <w:numFmt w:val="bullet"/>
      <w:lvlText w:val=""/>
      <w:lvlJc w:val="left"/>
      <w:pPr>
        <w:tabs>
          <w:tab w:val="num" w:pos="360"/>
        </w:tabs>
        <w:ind w:left="170" w:hanging="170"/>
      </w:pPr>
      <w:rPr>
        <w:rFonts w:ascii="Symbol" w:hAnsi="Symbol" w:hint="default"/>
      </w:rPr>
    </w:lvl>
  </w:abstractNum>
  <w:abstractNum w:abstractNumId="1041" w15:restartNumberingAfterBreak="0">
    <w:nsid w:val="423369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2" w15:restartNumberingAfterBreak="0">
    <w:nsid w:val="423661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3" w15:restartNumberingAfterBreak="0">
    <w:nsid w:val="42370C27"/>
    <w:multiLevelType w:val="multilevel"/>
    <w:tmpl w:val="A4BAE45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44" w15:restartNumberingAfterBreak="0">
    <w:nsid w:val="42381B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5" w15:restartNumberingAfterBreak="0">
    <w:nsid w:val="423C3F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6" w15:restartNumberingAfterBreak="0">
    <w:nsid w:val="42487B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7" w15:restartNumberingAfterBreak="0">
    <w:nsid w:val="424C2A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8" w15:restartNumberingAfterBreak="0">
    <w:nsid w:val="425028EE"/>
    <w:multiLevelType w:val="singleLevel"/>
    <w:tmpl w:val="BBDEA5D2"/>
    <w:lvl w:ilvl="0">
      <w:start w:val="1"/>
      <w:numFmt w:val="decimal"/>
      <w:lvlText w:val="%1."/>
      <w:legacy w:legacy="1" w:legacySpace="0" w:legacyIndent="284"/>
      <w:lvlJc w:val="left"/>
      <w:pPr>
        <w:ind w:left="1191" w:hanging="284"/>
      </w:pPr>
    </w:lvl>
  </w:abstractNum>
  <w:abstractNum w:abstractNumId="1049" w15:restartNumberingAfterBreak="0">
    <w:nsid w:val="42724C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0" w15:restartNumberingAfterBreak="0">
    <w:nsid w:val="42754669"/>
    <w:multiLevelType w:val="singleLevel"/>
    <w:tmpl w:val="7C28762C"/>
    <w:lvl w:ilvl="0">
      <w:start w:val="1"/>
      <w:numFmt w:val="bullet"/>
      <w:lvlText w:val=""/>
      <w:lvlJc w:val="left"/>
      <w:pPr>
        <w:tabs>
          <w:tab w:val="num" w:pos="360"/>
        </w:tabs>
        <w:ind w:left="170" w:hanging="170"/>
      </w:pPr>
      <w:rPr>
        <w:rFonts w:ascii="Symbol" w:hAnsi="Symbol" w:hint="default"/>
      </w:rPr>
    </w:lvl>
  </w:abstractNum>
  <w:abstractNum w:abstractNumId="1051" w15:restartNumberingAfterBreak="0">
    <w:nsid w:val="42794EAD"/>
    <w:multiLevelType w:val="multilevel"/>
    <w:tmpl w:val="32483EBA"/>
    <w:lvl w:ilvl="0">
      <w:start w:val="4"/>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2" w15:restartNumberingAfterBreak="0">
    <w:nsid w:val="427C55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3" w15:restartNumberingAfterBreak="0">
    <w:nsid w:val="427F320F"/>
    <w:multiLevelType w:val="singleLevel"/>
    <w:tmpl w:val="5B02C3B0"/>
    <w:lvl w:ilvl="0">
      <w:start w:val="1"/>
      <w:numFmt w:val="decimal"/>
      <w:lvlText w:val="%1."/>
      <w:legacy w:legacy="1" w:legacySpace="0" w:legacyIndent="454"/>
      <w:lvlJc w:val="left"/>
      <w:pPr>
        <w:ind w:left="454" w:hanging="454"/>
      </w:pPr>
    </w:lvl>
  </w:abstractNum>
  <w:abstractNum w:abstractNumId="1054" w15:restartNumberingAfterBreak="0">
    <w:nsid w:val="42824A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5" w15:restartNumberingAfterBreak="0">
    <w:nsid w:val="428D4D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6" w15:restartNumberingAfterBreak="0">
    <w:nsid w:val="428D5E39"/>
    <w:multiLevelType w:val="singleLevel"/>
    <w:tmpl w:val="96D28B62"/>
    <w:lvl w:ilvl="0">
      <w:start w:val="1"/>
      <w:numFmt w:val="decimal"/>
      <w:lvlText w:val="%1."/>
      <w:legacy w:legacy="1" w:legacySpace="0" w:legacyIndent="454"/>
      <w:lvlJc w:val="left"/>
      <w:pPr>
        <w:ind w:left="454" w:hanging="454"/>
      </w:pPr>
    </w:lvl>
  </w:abstractNum>
  <w:abstractNum w:abstractNumId="1057" w15:restartNumberingAfterBreak="0">
    <w:nsid w:val="428E1279"/>
    <w:multiLevelType w:val="singleLevel"/>
    <w:tmpl w:val="041D000F"/>
    <w:lvl w:ilvl="0">
      <w:start w:val="1"/>
      <w:numFmt w:val="decimal"/>
      <w:lvlText w:val="%1."/>
      <w:lvlJc w:val="left"/>
      <w:pPr>
        <w:tabs>
          <w:tab w:val="num" w:pos="360"/>
        </w:tabs>
        <w:ind w:left="360" w:hanging="360"/>
      </w:pPr>
      <w:rPr>
        <w:rFonts w:hint="default"/>
      </w:rPr>
    </w:lvl>
  </w:abstractNum>
  <w:abstractNum w:abstractNumId="1058" w15:restartNumberingAfterBreak="0">
    <w:nsid w:val="428E7798"/>
    <w:multiLevelType w:val="multilevel"/>
    <w:tmpl w:val="CB02B66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59" w15:restartNumberingAfterBreak="0">
    <w:nsid w:val="428F27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0" w15:restartNumberingAfterBreak="0">
    <w:nsid w:val="42CC42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1" w15:restartNumberingAfterBreak="0">
    <w:nsid w:val="42D10D33"/>
    <w:multiLevelType w:val="singleLevel"/>
    <w:tmpl w:val="01822B8A"/>
    <w:lvl w:ilvl="0">
      <w:start w:val="1"/>
      <w:numFmt w:val="decimal"/>
      <w:lvlText w:val="%1."/>
      <w:legacy w:legacy="1" w:legacySpace="0" w:legacyIndent="454"/>
      <w:lvlJc w:val="left"/>
      <w:pPr>
        <w:ind w:left="454" w:hanging="454"/>
      </w:pPr>
    </w:lvl>
  </w:abstractNum>
  <w:abstractNum w:abstractNumId="1062" w15:restartNumberingAfterBreak="0">
    <w:nsid w:val="42DF3025"/>
    <w:multiLevelType w:val="singleLevel"/>
    <w:tmpl w:val="7406A8EA"/>
    <w:lvl w:ilvl="0">
      <w:start w:val="1"/>
      <w:numFmt w:val="bullet"/>
      <w:lvlText w:val=""/>
      <w:lvlJc w:val="left"/>
      <w:pPr>
        <w:tabs>
          <w:tab w:val="num" w:pos="360"/>
        </w:tabs>
        <w:ind w:left="340" w:hanging="340"/>
      </w:pPr>
      <w:rPr>
        <w:rFonts w:ascii="Symbol" w:hAnsi="Symbol" w:hint="default"/>
        <w:sz w:val="18"/>
      </w:rPr>
    </w:lvl>
  </w:abstractNum>
  <w:abstractNum w:abstractNumId="1063" w15:restartNumberingAfterBreak="0">
    <w:nsid w:val="42E75F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4" w15:restartNumberingAfterBreak="0">
    <w:nsid w:val="42FA31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5" w15:restartNumberingAfterBreak="0">
    <w:nsid w:val="430845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6" w15:restartNumberingAfterBreak="0">
    <w:nsid w:val="432B7956"/>
    <w:multiLevelType w:val="singleLevel"/>
    <w:tmpl w:val="96D28B62"/>
    <w:lvl w:ilvl="0">
      <w:start w:val="1"/>
      <w:numFmt w:val="decimal"/>
      <w:lvlText w:val="%1."/>
      <w:legacy w:legacy="1" w:legacySpace="0" w:legacyIndent="454"/>
      <w:lvlJc w:val="left"/>
      <w:pPr>
        <w:ind w:left="454" w:hanging="454"/>
      </w:pPr>
    </w:lvl>
  </w:abstractNum>
  <w:abstractNum w:abstractNumId="1067" w15:restartNumberingAfterBreak="0">
    <w:nsid w:val="434036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8" w15:restartNumberingAfterBreak="0">
    <w:nsid w:val="4341675C"/>
    <w:multiLevelType w:val="singleLevel"/>
    <w:tmpl w:val="A1C6AFB4"/>
    <w:lvl w:ilvl="0">
      <w:start w:val="1"/>
      <w:numFmt w:val="bullet"/>
      <w:lvlText w:val=""/>
      <w:lvlJc w:val="left"/>
      <w:pPr>
        <w:tabs>
          <w:tab w:val="num" w:pos="360"/>
        </w:tabs>
        <w:ind w:left="0" w:firstLine="0"/>
      </w:pPr>
      <w:rPr>
        <w:rFonts w:ascii="CommonBullets" w:hAnsi="CommonBullets" w:hint="default"/>
        <w:sz w:val="24"/>
      </w:rPr>
    </w:lvl>
  </w:abstractNum>
  <w:abstractNum w:abstractNumId="1069" w15:restartNumberingAfterBreak="0">
    <w:nsid w:val="435302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0" w15:restartNumberingAfterBreak="0">
    <w:nsid w:val="43572197"/>
    <w:multiLevelType w:val="singleLevel"/>
    <w:tmpl w:val="BBDEA5D2"/>
    <w:lvl w:ilvl="0">
      <w:start w:val="1"/>
      <w:numFmt w:val="decimal"/>
      <w:lvlText w:val="%1."/>
      <w:legacy w:legacy="1" w:legacySpace="0" w:legacyIndent="284"/>
      <w:lvlJc w:val="left"/>
      <w:pPr>
        <w:ind w:left="1191" w:hanging="284"/>
      </w:pPr>
    </w:lvl>
  </w:abstractNum>
  <w:abstractNum w:abstractNumId="1071" w15:restartNumberingAfterBreak="0">
    <w:nsid w:val="435857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2" w15:restartNumberingAfterBreak="0">
    <w:nsid w:val="435F4C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3" w15:restartNumberingAfterBreak="0">
    <w:nsid w:val="43A720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4" w15:restartNumberingAfterBreak="0">
    <w:nsid w:val="43BC43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5" w15:restartNumberingAfterBreak="0">
    <w:nsid w:val="43BF26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6" w15:restartNumberingAfterBreak="0">
    <w:nsid w:val="43DF73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7" w15:restartNumberingAfterBreak="0">
    <w:nsid w:val="43E903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8" w15:restartNumberingAfterBreak="0">
    <w:nsid w:val="4401131D"/>
    <w:multiLevelType w:val="singleLevel"/>
    <w:tmpl w:val="DFEC1616"/>
    <w:lvl w:ilvl="0">
      <w:start w:val="22"/>
      <w:numFmt w:val="decimal"/>
      <w:lvlText w:val="%1."/>
      <w:legacy w:legacy="1" w:legacySpace="0" w:legacyIndent="454"/>
      <w:lvlJc w:val="left"/>
      <w:pPr>
        <w:ind w:left="454" w:hanging="454"/>
      </w:pPr>
    </w:lvl>
  </w:abstractNum>
  <w:abstractNum w:abstractNumId="1079" w15:restartNumberingAfterBreak="0">
    <w:nsid w:val="44065E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0" w15:restartNumberingAfterBreak="0">
    <w:nsid w:val="440D64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1" w15:restartNumberingAfterBreak="0">
    <w:nsid w:val="44147772"/>
    <w:multiLevelType w:val="singleLevel"/>
    <w:tmpl w:val="5E6CB64E"/>
    <w:lvl w:ilvl="0">
      <w:start w:val="1"/>
      <w:numFmt w:val="bullet"/>
      <w:lvlText w:val="–"/>
      <w:lvlJc w:val="left"/>
      <w:pPr>
        <w:tabs>
          <w:tab w:val="num" w:pos="360"/>
        </w:tabs>
        <w:ind w:left="360" w:hanging="360"/>
      </w:pPr>
      <w:rPr>
        <w:rFonts w:hint="default"/>
      </w:rPr>
    </w:lvl>
  </w:abstractNum>
  <w:abstractNum w:abstractNumId="1082" w15:restartNumberingAfterBreak="0">
    <w:nsid w:val="442341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3" w15:restartNumberingAfterBreak="0">
    <w:nsid w:val="44331975"/>
    <w:multiLevelType w:val="singleLevel"/>
    <w:tmpl w:val="8F2064CE"/>
    <w:lvl w:ilvl="0">
      <w:start w:val="1"/>
      <w:numFmt w:val="decimal"/>
      <w:lvlText w:val="%1."/>
      <w:legacy w:legacy="1" w:legacySpace="0" w:legacyIndent="454"/>
      <w:lvlJc w:val="left"/>
      <w:pPr>
        <w:ind w:left="454" w:hanging="454"/>
      </w:pPr>
    </w:lvl>
  </w:abstractNum>
  <w:abstractNum w:abstractNumId="1084" w15:restartNumberingAfterBreak="0">
    <w:nsid w:val="443A1A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5" w15:restartNumberingAfterBreak="0">
    <w:nsid w:val="444372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6" w15:restartNumberingAfterBreak="0">
    <w:nsid w:val="444A0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7" w15:restartNumberingAfterBreak="0">
    <w:nsid w:val="44570D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8" w15:restartNumberingAfterBreak="0">
    <w:nsid w:val="447450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9" w15:restartNumberingAfterBreak="0">
    <w:nsid w:val="448E2C6E"/>
    <w:multiLevelType w:val="singleLevel"/>
    <w:tmpl w:val="041D000F"/>
    <w:lvl w:ilvl="0">
      <w:start w:val="1"/>
      <w:numFmt w:val="decimal"/>
      <w:lvlText w:val="%1."/>
      <w:lvlJc w:val="left"/>
      <w:pPr>
        <w:tabs>
          <w:tab w:val="num" w:pos="360"/>
        </w:tabs>
        <w:ind w:left="360" w:hanging="360"/>
      </w:pPr>
    </w:lvl>
  </w:abstractNum>
  <w:abstractNum w:abstractNumId="1090" w15:restartNumberingAfterBreak="0">
    <w:nsid w:val="44970A07"/>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1091" w15:restartNumberingAfterBreak="0">
    <w:nsid w:val="44A121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2" w15:restartNumberingAfterBreak="0">
    <w:nsid w:val="44AF28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3" w15:restartNumberingAfterBreak="0">
    <w:nsid w:val="44BB7A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4" w15:restartNumberingAfterBreak="0">
    <w:nsid w:val="44BF08C5"/>
    <w:multiLevelType w:val="multilevel"/>
    <w:tmpl w:val="18FE3836"/>
    <w:lvl w:ilvl="0">
      <w:start w:val="1"/>
      <w:numFmt w:val="decimal"/>
      <w:lvlText w:val="%1."/>
      <w:lvlJc w:val="left"/>
      <w:pPr>
        <w:tabs>
          <w:tab w:val="num" w:pos="1307"/>
        </w:tabs>
        <w:ind w:left="1307" w:hanging="360"/>
      </w:pPr>
    </w:lvl>
    <w:lvl w:ilvl="1" w:tentative="1">
      <w:start w:val="1"/>
      <w:numFmt w:val="lowerLetter"/>
      <w:lvlText w:val="%2."/>
      <w:lvlJc w:val="left"/>
      <w:pPr>
        <w:tabs>
          <w:tab w:val="num" w:pos="2027"/>
        </w:tabs>
        <w:ind w:left="2027" w:hanging="360"/>
      </w:pPr>
    </w:lvl>
    <w:lvl w:ilvl="2" w:tentative="1">
      <w:start w:val="1"/>
      <w:numFmt w:val="lowerRoman"/>
      <w:lvlText w:val="%3."/>
      <w:lvlJc w:val="right"/>
      <w:pPr>
        <w:tabs>
          <w:tab w:val="num" w:pos="2747"/>
        </w:tabs>
        <w:ind w:left="2747" w:hanging="180"/>
      </w:pPr>
    </w:lvl>
    <w:lvl w:ilvl="3" w:tentative="1">
      <w:start w:val="1"/>
      <w:numFmt w:val="decimal"/>
      <w:lvlText w:val="%4."/>
      <w:lvlJc w:val="left"/>
      <w:pPr>
        <w:tabs>
          <w:tab w:val="num" w:pos="3467"/>
        </w:tabs>
        <w:ind w:left="3467" w:hanging="360"/>
      </w:pPr>
    </w:lvl>
    <w:lvl w:ilvl="4" w:tentative="1">
      <w:start w:val="1"/>
      <w:numFmt w:val="lowerLetter"/>
      <w:lvlText w:val="%5."/>
      <w:lvlJc w:val="left"/>
      <w:pPr>
        <w:tabs>
          <w:tab w:val="num" w:pos="4187"/>
        </w:tabs>
        <w:ind w:left="4187" w:hanging="360"/>
      </w:pPr>
    </w:lvl>
    <w:lvl w:ilvl="5" w:tentative="1">
      <w:start w:val="1"/>
      <w:numFmt w:val="lowerRoman"/>
      <w:lvlText w:val="%6."/>
      <w:lvlJc w:val="right"/>
      <w:pPr>
        <w:tabs>
          <w:tab w:val="num" w:pos="4907"/>
        </w:tabs>
        <w:ind w:left="4907" w:hanging="180"/>
      </w:pPr>
    </w:lvl>
    <w:lvl w:ilvl="6" w:tentative="1">
      <w:start w:val="1"/>
      <w:numFmt w:val="decimal"/>
      <w:lvlText w:val="%7."/>
      <w:lvlJc w:val="left"/>
      <w:pPr>
        <w:tabs>
          <w:tab w:val="num" w:pos="5627"/>
        </w:tabs>
        <w:ind w:left="5627" w:hanging="360"/>
      </w:pPr>
    </w:lvl>
    <w:lvl w:ilvl="7" w:tentative="1">
      <w:start w:val="1"/>
      <w:numFmt w:val="lowerLetter"/>
      <w:lvlText w:val="%8."/>
      <w:lvlJc w:val="left"/>
      <w:pPr>
        <w:tabs>
          <w:tab w:val="num" w:pos="6347"/>
        </w:tabs>
        <w:ind w:left="6347" w:hanging="360"/>
      </w:pPr>
    </w:lvl>
    <w:lvl w:ilvl="8" w:tentative="1">
      <w:start w:val="1"/>
      <w:numFmt w:val="lowerRoman"/>
      <w:lvlText w:val="%9."/>
      <w:lvlJc w:val="right"/>
      <w:pPr>
        <w:tabs>
          <w:tab w:val="num" w:pos="7067"/>
        </w:tabs>
        <w:ind w:left="7067" w:hanging="180"/>
      </w:pPr>
    </w:lvl>
  </w:abstractNum>
  <w:abstractNum w:abstractNumId="1095" w15:restartNumberingAfterBreak="0">
    <w:nsid w:val="44D574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6" w15:restartNumberingAfterBreak="0">
    <w:nsid w:val="44E96E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7" w15:restartNumberingAfterBreak="0">
    <w:nsid w:val="450522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8" w15:restartNumberingAfterBreak="0">
    <w:nsid w:val="451157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9" w15:restartNumberingAfterBreak="0">
    <w:nsid w:val="454B1E2E"/>
    <w:multiLevelType w:val="multilevel"/>
    <w:tmpl w:val="F760BBA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00" w15:restartNumberingAfterBreak="0">
    <w:nsid w:val="455516F9"/>
    <w:multiLevelType w:val="singleLevel"/>
    <w:tmpl w:val="EB04BFA0"/>
    <w:lvl w:ilvl="0">
      <w:start w:val="1"/>
      <w:numFmt w:val="decimal"/>
      <w:lvlText w:val="%1."/>
      <w:legacy w:legacy="1" w:legacySpace="0" w:legacyIndent="454"/>
      <w:lvlJc w:val="left"/>
      <w:pPr>
        <w:ind w:left="454" w:hanging="454"/>
      </w:pPr>
    </w:lvl>
  </w:abstractNum>
  <w:abstractNum w:abstractNumId="1101" w15:restartNumberingAfterBreak="0">
    <w:nsid w:val="458240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2" w15:restartNumberingAfterBreak="0">
    <w:nsid w:val="45883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3" w15:restartNumberingAfterBreak="0">
    <w:nsid w:val="45BF6D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4" w15:restartNumberingAfterBreak="0">
    <w:nsid w:val="45C31E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5" w15:restartNumberingAfterBreak="0">
    <w:nsid w:val="45D115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6" w15:restartNumberingAfterBreak="0">
    <w:nsid w:val="45D71C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7" w15:restartNumberingAfterBreak="0">
    <w:nsid w:val="45DA0A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8" w15:restartNumberingAfterBreak="0">
    <w:nsid w:val="45E10C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9" w15:restartNumberingAfterBreak="0">
    <w:nsid w:val="45EE6C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0" w15:restartNumberingAfterBreak="0">
    <w:nsid w:val="45FC18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1" w15:restartNumberingAfterBreak="0">
    <w:nsid w:val="46056A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2" w15:restartNumberingAfterBreak="0">
    <w:nsid w:val="46363F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3" w15:restartNumberingAfterBreak="0">
    <w:nsid w:val="464B72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4" w15:restartNumberingAfterBreak="0">
    <w:nsid w:val="465B52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5" w15:restartNumberingAfterBreak="0">
    <w:nsid w:val="46894B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6" w15:restartNumberingAfterBreak="0">
    <w:nsid w:val="46921D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7" w15:restartNumberingAfterBreak="0">
    <w:nsid w:val="469929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8" w15:restartNumberingAfterBreak="0">
    <w:nsid w:val="46A84E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9" w15:restartNumberingAfterBreak="0">
    <w:nsid w:val="46AA1B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0" w15:restartNumberingAfterBreak="0">
    <w:nsid w:val="46AD2C16"/>
    <w:multiLevelType w:val="singleLevel"/>
    <w:tmpl w:val="1660D262"/>
    <w:lvl w:ilvl="0">
      <w:start w:val="1"/>
      <w:numFmt w:val="bullet"/>
      <w:lvlText w:val=""/>
      <w:lvlJc w:val="left"/>
      <w:pPr>
        <w:tabs>
          <w:tab w:val="num" w:pos="360"/>
        </w:tabs>
        <w:ind w:left="284" w:hanging="284"/>
      </w:pPr>
      <w:rPr>
        <w:rFonts w:ascii="Symbol" w:hAnsi="Symbol" w:hint="default"/>
      </w:rPr>
    </w:lvl>
  </w:abstractNum>
  <w:abstractNum w:abstractNumId="1121" w15:restartNumberingAfterBreak="0">
    <w:nsid w:val="46C77F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2" w15:restartNumberingAfterBreak="0">
    <w:nsid w:val="46E631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3" w15:restartNumberingAfterBreak="0">
    <w:nsid w:val="47147F78"/>
    <w:multiLevelType w:val="singleLevel"/>
    <w:tmpl w:val="F1EED74C"/>
    <w:lvl w:ilvl="0">
      <w:start w:val="1"/>
      <w:numFmt w:val="decimal"/>
      <w:lvlText w:val="%1."/>
      <w:legacy w:legacy="1" w:legacySpace="0" w:legacyIndent="454"/>
      <w:lvlJc w:val="left"/>
      <w:pPr>
        <w:ind w:left="454" w:hanging="454"/>
      </w:pPr>
    </w:lvl>
  </w:abstractNum>
  <w:abstractNum w:abstractNumId="1124" w15:restartNumberingAfterBreak="0">
    <w:nsid w:val="471A60EF"/>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1125" w15:restartNumberingAfterBreak="0">
    <w:nsid w:val="474E2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6" w15:restartNumberingAfterBreak="0">
    <w:nsid w:val="475B2884"/>
    <w:multiLevelType w:val="singleLevel"/>
    <w:tmpl w:val="11647A18"/>
    <w:lvl w:ilvl="0">
      <w:start w:val="1"/>
      <w:numFmt w:val="bullet"/>
      <w:lvlText w:val=""/>
      <w:lvlJc w:val="left"/>
      <w:pPr>
        <w:tabs>
          <w:tab w:val="num" w:pos="360"/>
        </w:tabs>
        <w:ind w:left="340" w:hanging="340"/>
      </w:pPr>
      <w:rPr>
        <w:rFonts w:ascii="Symbol" w:hAnsi="Symbol" w:hint="default"/>
      </w:rPr>
    </w:lvl>
  </w:abstractNum>
  <w:abstractNum w:abstractNumId="1127" w15:restartNumberingAfterBreak="0">
    <w:nsid w:val="475B37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8"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29" w15:restartNumberingAfterBreak="0">
    <w:nsid w:val="477812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0" w15:restartNumberingAfterBreak="0">
    <w:nsid w:val="4779229C"/>
    <w:multiLevelType w:val="multilevel"/>
    <w:tmpl w:val="1EA2A56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31" w15:restartNumberingAfterBreak="0">
    <w:nsid w:val="477933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2" w15:restartNumberingAfterBreak="0">
    <w:nsid w:val="47885DF1"/>
    <w:multiLevelType w:val="singleLevel"/>
    <w:tmpl w:val="FA3EA750"/>
    <w:lvl w:ilvl="0">
      <w:start w:val="1"/>
      <w:numFmt w:val="decimal"/>
      <w:lvlRestart w:val="0"/>
      <w:lvlText w:val="%1."/>
      <w:lvlJc w:val="left"/>
      <w:pPr>
        <w:tabs>
          <w:tab w:val="num" w:pos="357"/>
        </w:tabs>
        <w:ind w:left="357" w:hanging="357"/>
      </w:pPr>
    </w:lvl>
  </w:abstractNum>
  <w:abstractNum w:abstractNumId="1133" w15:restartNumberingAfterBreak="0">
    <w:nsid w:val="478C7C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4" w15:restartNumberingAfterBreak="0">
    <w:nsid w:val="47C762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5" w15:restartNumberingAfterBreak="0">
    <w:nsid w:val="47D21977"/>
    <w:multiLevelType w:val="singleLevel"/>
    <w:tmpl w:val="1DF0C0C8"/>
    <w:lvl w:ilvl="0">
      <w:start w:val="40"/>
      <w:numFmt w:val="decimal"/>
      <w:lvlText w:val="%1."/>
      <w:legacy w:legacy="1" w:legacySpace="0" w:legacyIndent="454"/>
      <w:lvlJc w:val="left"/>
      <w:pPr>
        <w:ind w:left="454" w:hanging="454"/>
      </w:pPr>
    </w:lvl>
  </w:abstractNum>
  <w:abstractNum w:abstractNumId="1136" w15:restartNumberingAfterBreak="0">
    <w:nsid w:val="47D44B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7" w15:restartNumberingAfterBreak="0">
    <w:nsid w:val="47FA16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8" w15:restartNumberingAfterBreak="0">
    <w:nsid w:val="48215512"/>
    <w:multiLevelType w:val="multilevel"/>
    <w:tmpl w:val="30660A58"/>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39" w15:restartNumberingAfterBreak="0">
    <w:nsid w:val="482166C9"/>
    <w:multiLevelType w:val="singleLevel"/>
    <w:tmpl w:val="D7F44728"/>
    <w:lvl w:ilvl="0">
      <w:start w:val="1"/>
      <w:numFmt w:val="decimal"/>
      <w:lvlText w:val="%1."/>
      <w:legacy w:legacy="1" w:legacySpace="0" w:legacyIndent="454"/>
      <w:lvlJc w:val="left"/>
      <w:pPr>
        <w:ind w:left="454" w:hanging="454"/>
      </w:pPr>
    </w:lvl>
  </w:abstractNum>
  <w:abstractNum w:abstractNumId="1140" w15:restartNumberingAfterBreak="0">
    <w:nsid w:val="482203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1" w15:restartNumberingAfterBreak="0">
    <w:nsid w:val="48256F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2" w15:restartNumberingAfterBreak="0">
    <w:nsid w:val="483321D8"/>
    <w:multiLevelType w:val="singleLevel"/>
    <w:tmpl w:val="FFFFFFFF"/>
    <w:lvl w:ilvl="0">
      <w:numFmt w:val="decimal"/>
      <w:lvlText w:val="*"/>
      <w:lvlJc w:val="left"/>
    </w:lvl>
  </w:abstractNum>
  <w:abstractNum w:abstractNumId="1143" w15:restartNumberingAfterBreak="0">
    <w:nsid w:val="483567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4" w15:restartNumberingAfterBreak="0">
    <w:nsid w:val="484952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5" w15:restartNumberingAfterBreak="0">
    <w:nsid w:val="485F20AE"/>
    <w:multiLevelType w:val="singleLevel"/>
    <w:tmpl w:val="BA446874"/>
    <w:lvl w:ilvl="0">
      <w:start w:val="15"/>
      <w:numFmt w:val="decimal"/>
      <w:lvlText w:val="%1."/>
      <w:legacy w:legacy="1" w:legacySpace="0" w:legacyIndent="454"/>
      <w:lvlJc w:val="left"/>
      <w:pPr>
        <w:ind w:left="454" w:hanging="454"/>
      </w:pPr>
    </w:lvl>
  </w:abstractNum>
  <w:abstractNum w:abstractNumId="1146" w15:restartNumberingAfterBreak="0">
    <w:nsid w:val="489E2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7" w15:restartNumberingAfterBreak="0">
    <w:nsid w:val="48A772B8"/>
    <w:multiLevelType w:val="singleLevel"/>
    <w:tmpl w:val="041D000F"/>
    <w:lvl w:ilvl="0">
      <w:start w:val="1"/>
      <w:numFmt w:val="decimal"/>
      <w:lvlText w:val="%1."/>
      <w:lvlJc w:val="left"/>
      <w:pPr>
        <w:tabs>
          <w:tab w:val="num" w:pos="360"/>
        </w:tabs>
        <w:ind w:left="360" w:hanging="360"/>
      </w:pPr>
      <w:rPr>
        <w:rFonts w:hint="default"/>
      </w:rPr>
    </w:lvl>
  </w:abstractNum>
  <w:abstractNum w:abstractNumId="1148" w15:restartNumberingAfterBreak="0">
    <w:nsid w:val="48B33E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9" w15:restartNumberingAfterBreak="0">
    <w:nsid w:val="48C14C1F"/>
    <w:multiLevelType w:val="multilevel"/>
    <w:tmpl w:val="E454F9D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50" w15:restartNumberingAfterBreak="0">
    <w:nsid w:val="48C277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1" w15:restartNumberingAfterBreak="0">
    <w:nsid w:val="48C326ED"/>
    <w:multiLevelType w:val="multilevel"/>
    <w:tmpl w:val="9314F672"/>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52" w15:restartNumberingAfterBreak="0">
    <w:nsid w:val="48D1457E"/>
    <w:multiLevelType w:val="singleLevel"/>
    <w:tmpl w:val="7EA4CB10"/>
    <w:lvl w:ilvl="0">
      <w:start w:val="3"/>
      <w:numFmt w:val="lowerLetter"/>
      <w:lvlText w:val="%1)"/>
      <w:lvlJc w:val="left"/>
      <w:pPr>
        <w:tabs>
          <w:tab w:val="num" w:pos="700"/>
        </w:tabs>
        <w:ind w:left="700" w:hanging="360"/>
      </w:pPr>
      <w:rPr>
        <w:rFonts w:hint="default"/>
      </w:rPr>
    </w:lvl>
  </w:abstractNum>
  <w:abstractNum w:abstractNumId="1153" w15:restartNumberingAfterBreak="0">
    <w:nsid w:val="48DB3355"/>
    <w:multiLevelType w:val="multilevel"/>
    <w:tmpl w:val="4DB0C98C"/>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54" w15:restartNumberingAfterBreak="0">
    <w:nsid w:val="48E835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5" w15:restartNumberingAfterBreak="0">
    <w:nsid w:val="48EE1C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6" w15:restartNumberingAfterBreak="0">
    <w:nsid w:val="48EF44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7" w15:restartNumberingAfterBreak="0">
    <w:nsid w:val="492567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8" w15:restartNumberingAfterBreak="0">
    <w:nsid w:val="492D0A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9" w15:restartNumberingAfterBreak="0">
    <w:nsid w:val="493078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0" w15:restartNumberingAfterBreak="0">
    <w:nsid w:val="49563F6C"/>
    <w:multiLevelType w:val="multilevel"/>
    <w:tmpl w:val="E61A357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61" w15:restartNumberingAfterBreak="0">
    <w:nsid w:val="496148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2" w15:restartNumberingAfterBreak="0">
    <w:nsid w:val="498C34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3" w15:restartNumberingAfterBreak="0">
    <w:nsid w:val="499341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4" w15:restartNumberingAfterBreak="0">
    <w:nsid w:val="49CA06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5" w15:restartNumberingAfterBreak="0">
    <w:nsid w:val="49CF51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6" w15:restartNumberingAfterBreak="0">
    <w:nsid w:val="49D23D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7" w15:restartNumberingAfterBreak="0">
    <w:nsid w:val="49ED4C01"/>
    <w:multiLevelType w:val="singleLevel"/>
    <w:tmpl w:val="04847BA4"/>
    <w:lvl w:ilvl="0">
      <w:start w:val="22"/>
      <w:numFmt w:val="decimal"/>
      <w:lvlText w:val="%1."/>
      <w:legacy w:legacy="1" w:legacySpace="0" w:legacyIndent="454"/>
      <w:lvlJc w:val="left"/>
      <w:pPr>
        <w:ind w:left="454" w:hanging="454"/>
      </w:pPr>
    </w:lvl>
  </w:abstractNum>
  <w:abstractNum w:abstractNumId="1168" w15:restartNumberingAfterBreak="0">
    <w:nsid w:val="49F038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9" w15:restartNumberingAfterBreak="0">
    <w:nsid w:val="49FD23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0" w15:restartNumberingAfterBreak="0">
    <w:nsid w:val="4A387A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1" w15:restartNumberingAfterBreak="0">
    <w:nsid w:val="4A544E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2" w15:restartNumberingAfterBreak="0">
    <w:nsid w:val="4A66028F"/>
    <w:multiLevelType w:val="singleLevel"/>
    <w:tmpl w:val="4DA0447C"/>
    <w:lvl w:ilvl="0">
      <w:start w:val="1"/>
      <w:numFmt w:val="decimal"/>
      <w:lvlText w:val="%1."/>
      <w:lvlJc w:val="left"/>
      <w:pPr>
        <w:tabs>
          <w:tab w:val="num" w:pos="360"/>
        </w:tabs>
        <w:ind w:left="360" w:hanging="360"/>
      </w:pPr>
    </w:lvl>
  </w:abstractNum>
  <w:abstractNum w:abstractNumId="1173" w15:restartNumberingAfterBreak="0">
    <w:nsid w:val="4A6704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4" w15:restartNumberingAfterBreak="0">
    <w:nsid w:val="4A747C12"/>
    <w:multiLevelType w:val="multilevel"/>
    <w:tmpl w:val="E466A50C"/>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75" w15:restartNumberingAfterBreak="0">
    <w:nsid w:val="4A8502C0"/>
    <w:multiLevelType w:val="singleLevel"/>
    <w:tmpl w:val="900244CC"/>
    <w:lvl w:ilvl="0">
      <w:start w:val="1"/>
      <w:numFmt w:val="bullet"/>
      <w:lvlText w:val=""/>
      <w:lvlJc w:val="left"/>
      <w:pPr>
        <w:tabs>
          <w:tab w:val="num" w:pos="360"/>
        </w:tabs>
        <w:ind w:left="340" w:hanging="340"/>
      </w:pPr>
      <w:rPr>
        <w:rFonts w:ascii="Symbol" w:hAnsi="Symbol" w:hint="default"/>
      </w:rPr>
    </w:lvl>
  </w:abstractNum>
  <w:abstractNum w:abstractNumId="1176" w15:restartNumberingAfterBreak="0">
    <w:nsid w:val="4A8628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7" w15:restartNumberingAfterBreak="0">
    <w:nsid w:val="4A8814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8" w15:restartNumberingAfterBreak="0">
    <w:nsid w:val="4A927C6B"/>
    <w:multiLevelType w:val="multilevel"/>
    <w:tmpl w:val="D894207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79" w15:restartNumberingAfterBreak="0">
    <w:nsid w:val="4A9627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0" w15:restartNumberingAfterBreak="0">
    <w:nsid w:val="4A9E45A9"/>
    <w:multiLevelType w:val="singleLevel"/>
    <w:tmpl w:val="041D000F"/>
    <w:lvl w:ilvl="0">
      <w:start w:val="1"/>
      <w:numFmt w:val="decimal"/>
      <w:lvlText w:val="%1."/>
      <w:lvlJc w:val="left"/>
      <w:pPr>
        <w:tabs>
          <w:tab w:val="num" w:pos="360"/>
        </w:tabs>
        <w:ind w:left="360" w:hanging="360"/>
      </w:pPr>
    </w:lvl>
  </w:abstractNum>
  <w:abstractNum w:abstractNumId="1181" w15:restartNumberingAfterBreak="0">
    <w:nsid w:val="4AC071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2" w15:restartNumberingAfterBreak="0">
    <w:nsid w:val="4AF266B3"/>
    <w:multiLevelType w:val="singleLevel"/>
    <w:tmpl w:val="3EFCCEA4"/>
    <w:lvl w:ilvl="0">
      <w:start w:val="1"/>
      <w:numFmt w:val="decimal"/>
      <w:lvlText w:val="%1."/>
      <w:legacy w:legacy="1" w:legacySpace="0" w:legacyIndent="283"/>
      <w:lvlJc w:val="left"/>
      <w:pPr>
        <w:ind w:left="283" w:hanging="283"/>
      </w:pPr>
    </w:lvl>
  </w:abstractNum>
  <w:abstractNum w:abstractNumId="1183" w15:restartNumberingAfterBreak="0">
    <w:nsid w:val="4B0F33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4" w15:restartNumberingAfterBreak="0">
    <w:nsid w:val="4B1359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5" w15:restartNumberingAfterBreak="0">
    <w:nsid w:val="4B2C1422"/>
    <w:multiLevelType w:val="singleLevel"/>
    <w:tmpl w:val="041D000F"/>
    <w:lvl w:ilvl="0">
      <w:start w:val="1"/>
      <w:numFmt w:val="decimal"/>
      <w:lvlText w:val="%1."/>
      <w:lvlJc w:val="left"/>
      <w:pPr>
        <w:tabs>
          <w:tab w:val="num" w:pos="360"/>
        </w:tabs>
        <w:ind w:left="360" w:hanging="360"/>
      </w:pPr>
    </w:lvl>
  </w:abstractNum>
  <w:abstractNum w:abstractNumId="1186" w15:restartNumberingAfterBreak="0">
    <w:nsid w:val="4B2D3C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7" w15:restartNumberingAfterBreak="0">
    <w:nsid w:val="4B4257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8" w15:restartNumberingAfterBreak="0">
    <w:nsid w:val="4B5B26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9" w15:restartNumberingAfterBreak="0">
    <w:nsid w:val="4B5C59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0" w15:restartNumberingAfterBreak="0">
    <w:nsid w:val="4B6643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1" w15:restartNumberingAfterBreak="0">
    <w:nsid w:val="4BAE1D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2" w15:restartNumberingAfterBreak="0">
    <w:nsid w:val="4BB231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3" w15:restartNumberingAfterBreak="0">
    <w:nsid w:val="4BE12A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4" w15:restartNumberingAfterBreak="0">
    <w:nsid w:val="4BE143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5" w15:restartNumberingAfterBreak="0">
    <w:nsid w:val="4BFA0755"/>
    <w:multiLevelType w:val="singleLevel"/>
    <w:tmpl w:val="FFFFFFFF"/>
    <w:lvl w:ilvl="0">
      <w:numFmt w:val="decimal"/>
      <w:lvlText w:val="*"/>
      <w:lvlJc w:val="left"/>
    </w:lvl>
  </w:abstractNum>
  <w:abstractNum w:abstractNumId="1196"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1197" w15:restartNumberingAfterBreak="0">
    <w:nsid w:val="4C2451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8" w15:restartNumberingAfterBreak="0">
    <w:nsid w:val="4C2B58BF"/>
    <w:multiLevelType w:val="multilevel"/>
    <w:tmpl w:val="676C2FBE"/>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99" w15:restartNumberingAfterBreak="0">
    <w:nsid w:val="4C2E3D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0" w15:restartNumberingAfterBreak="0">
    <w:nsid w:val="4C3013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1" w15:restartNumberingAfterBreak="0">
    <w:nsid w:val="4C325349"/>
    <w:multiLevelType w:val="singleLevel"/>
    <w:tmpl w:val="A6324A2E"/>
    <w:lvl w:ilvl="0">
      <w:start w:val="11"/>
      <w:numFmt w:val="decimal"/>
      <w:lvlText w:val="%1"/>
      <w:lvlJc w:val="left"/>
      <w:pPr>
        <w:tabs>
          <w:tab w:val="num" w:pos="420"/>
        </w:tabs>
        <w:ind w:left="420" w:hanging="420"/>
      </w:pPr>
      <w:rPr>
        <w:rFonts w:hint="default"/>
      </w:rPr>
    </w:lvl>
  </w:abstractNum>
  <w:abstractNum w:abstractNumId="1202" w15:restartNumberingAfterBreak="0">
    <w:nsid w:val="4C5631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3" w15:restartNumberingAfterBreak="0">
    <w:nsid w:val="4C646B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4" w15:restartNumberingAfterBreak="0">
    <w:nsid w:val="4C7150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5" w15:restartNumberingAfterBreak="0">
    <w:nsid w:val="4CA527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6" w15:restartNumberingAfterBreak="0">
    <w:nsid w:val="4CAA53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7" w15:restartNumberingAfterBreak="0">
    <w:nsid w:val="4CB804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8" w15:restartNumberingAfterBreak="0">
    <w:nsid w:val="4CBC00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9" w15:restartNumberingAfterBreak="0">
    <w:nsid w:val="4D115C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0" w15:restartNumberingAfterBreak="0">
    <w:nsid w:val="4D491E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1" w15:restartNumberingAfterBreak="0">
    <w:nsid w:val="4D627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2" w15:restartNumberingAfterBreak="0">
    <w:nsid w:val="4D753B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3" w15:restartNumberingAfterBreak="0">
    <w:nsid w:val="4D89431E"/>
    <w:multiLevelType w:val="multilevel"/>
    <w:tmpl w:val="4E90790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4" w15:restartNumberingAfterBreak="0">
    <w:nsid w:val="4DB015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5" w15:restartNumberingAfterBreak="0">
    <w:nsid w:val="4DE17C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6" w15:restartNumberingAfterBreak="0">
    <w:nsid w:val="4E002291"/>
    <w:multiLevelType w:val="multilevel"/>
    <w:tmpl w:val="66D2DFD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17" w15:restartNumberingAfterBreak="0">
    <w:nsid w:val="4E2807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8" w15:restartNumberingAfterBreak="0">
    <w:nsid w:val="4E281F9A"/>
    <w:multiLevelType w:val="singleLevel"/>
    <w:tmpl w:val="6B74B516"/>
    <w:lvl w:ilvl="0">
      <w:numFmt w:val="bullet"/>
      <w:lvlText w:val=""/>
      <w:lvlJc w:val="left"/>
      <w:pPr>
        <w:tabs>
          <w:tab w:val="num" w:pos="397"/>
        </w:tabs>
        <w:ind w:left="397" w:hanging="397"/>
      </w:pPr>
      <w:rPr>
        <w:rFonts w:ascii="Symbol" w:hAnsi="Symbol" w:hint="default"/>
        <w:sz w:val="18"/>
      </w:rPr>
    </w:lvl>
  </w:abstractNum>
  <w:abstractNum w:abstractNumId="1219" w15:restartNumberingAfterBreak="0">
    <w:nsid w:val="4E3B626B"/>
    <w:multiLevelType w:val="singleLevel"/>
    <w:tmpl w:val="ED9AB346"/>
    <w:lvl w:ilvl="0">
      <w:start w:val="5"/>
      <w:numFmt w:val="lowerLetter"/>
      <w:lvlText w:val="%1)"/>
      <w:lvlJc w:val="left"/>
      <w:pPr>
        <w:tabs>
          <w:tab w:val="num" w:pos="644"/>
        </w:tabs>
        <w:ind w:left="644" w:hanging="360"/>
      </w:pPr>
      <w:rPr>
        <w:rFonts w:hint="default"/>
      </w:rPr>
    </w:lvl>
  </w:abstractNum>
  <w:abstractNum w:abstractNumId="1220" w15:restartNumberingAfterBreak="0">
    <w:nsid w:val="4E5312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1" w15:restartNumberingAfterBreak="0">
    <w:nsid w:val="4E5430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2" w15:restartNumberingAfterBreak="0">
    <w:nsid w:val="4E671C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3" w15:restartNumberingAfterBreak="0">
    <w:nsid w:val="4E6A79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4" w15:restartNumberingAfterBreak="0">
    <w:nsid w:val="4E7070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5" w15:restartNumberingAfterBreak="0">
    <w:nsid w:val="4E8339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6" w15:restartNumberingAfterBreak="0">
    <w:nsid w:val="4E8763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7" w15:restartNumberingAfterBreak="0">
    <w:nsid w:val="4E8921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8" w15:restartNumberingAfterBreak="0">
    <w:nsid w:val="4EC102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9" w15:restartNumberingAfterBreak="0">
    <w:nsid w:val="4EDB6A12"/>
    <w:multiLevelType w:val="multilevel"/>
    <w:tmpl w:val="B7445B8E"/>
    <w:lvl w:ilvl="0">
      <w:start w:val="9"/>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30" w15:restartNumberingAfterBreak="0">
    <w:nsid w:val="4EDD39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1" w15:restartNumberingAfterBreak="0">
    <w:nsid w:val="4EF66D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2" w15:restartNumberingAfterBreak="0">
    <w:nsid w:val="4F0A67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3" w15:restartNumberingAfterBreak="0">
    <w:nsid w:val="4F1761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4" w15:restartNumberingAfterBreak="0">
    <w:nsid w:val="4F2F02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5" w15:restartNumberingAfterBreak="0">
    <w:nsid w:val="4F4132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6" w15:restartNumberingAfterBreak="0">
    <w:nsid w:val="4F4259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7" w15:restartNumberingAfterBreak="0">
    <w:nsid w:val="4F5541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8" w15:restartNumberingAfterBreak="0">
    <w:nsid w:val="4F5A6B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9" w15:restartNumberingAfterBreak="0">
    <w:nsid w:val="4F5F2E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0" w15:restartNumberingAfterBreak="0">
    <w:nsid w:val="4F6806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1" w15:restartNumberingAfterBreak="0">
    <w:nsid w:val="4F721169"/>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42" w15:restartNumberingAfterBreak="0">
    <w:nsid w:val="4F8430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3" w15:restartNumberingAfterBreak="0">
    <w:nsid w:val="4F901913"/>
    <w:multiLevelType w:val="singleLevel"/>
    <w:tmpl w:val="041D000F"/>
    <w:lvl w:ilvl="0">
      <w:start w:val="1"/>
      <w:numFmt w:val="decimal"/>
      <w:lvlText w:val="%1."/>
      <w:lvlJc w:val="left"/>
      <w:pPr>
        <w:tabs>
          <w:tab w:val="num" w:pos="360"/>
        </w:tabs>
        <w:ind w:left="360" w:hanging="360"/>
      </w:pPr>
    </w:lvl>
  </w:abstractNum>
  <w:abstractNum w:abstractNumId="1244" w15:restartNumberingAfterBreak="0">
    <w:nsid w:val="4FD726D1"/>
    <w:multiLevelType w:val="singleLevel"/>
    <w:tmpl w:val="EB04BFA0"/>
    <w:lvl w:ilvl="0">
      <w:start w:val="1"/>
      <w:numFmt w:val="decimal"/>
      <w:lvlText w:val="%1."/>
      <w:legacy w:legacy="1" w:legacySpace="0" w:legacyIndent="454"/>
      <w:lvlJc w:val="left"/>
      <w:pPr>
        <w:ind w:left="454" w:hanging="454"/>
      </w:pPr>
    </w:lvl>
  </w:abstractNum>
  <w:abstractNum w:abstractNumId="1245" w15:restartNumberingAfterBreak="0">
    <w:nsid w:val="4FE711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6" w15:restartNumberingAfterBreak="0">
    <w:nsid w:val="50144D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7" w15:restartNumberingAfterBreak="0">
    <w:nsid w:val="501D2C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8" w15:restartNumberingAfterBreak="0">
    <w:nsid w:val="507D24D6"/>
    <w:multiLevelType w:val="singleLevel"/>
    <w:tmpl w:val="31BA2598"/>
    <w:lvl w:ilvl="0">
      <w:start w:val="1"/>
      <w:numFmt w:val="decimal"/>
      <w:lvlText w:val="%1."/>
      <w:lvlJc w:val="left"/>
      <w:pPr>
        <w:tabs>
          <w:tab w:val="num" w:pos="0"/>
        </w:tabs>
        <w:ind w:left="454" w:hanging="454"/>
      </w:pPr>
      <w:rPr>
        <w:rFonts w:hint="default"/>
      </w:rPr>
    </w:lvl>
  </w:abstractNum>
  <w:abstractNum w:abstractNumId="1249" w15:restartNumberingAfterBreak="0">
    <w:nsid w:val="507F61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0" w15:restartNumberingAfterBreak="0">
    <w:nsid w:val="508417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1" w15:restartNumberingAfterBreak="0">
    <w:nsid w:val="508838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2" w15:restartNumberingAfterBreak="0">
    <w:nsid w:val="508C51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3" w15:restartNumberingAfterBreak="0">
    <w:nsid w:val="508E22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4" w15:restartNumberingAfterBreak="0">
    <w:nsid w:val="50936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5" w15:restartNumberingAfterBreak="0">
    <w:nsid w:val="509E0C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6" w15:restartNumberingAfterBreak="0">
    <w:nsid w:val="50C675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7" w15:restartNumberingAfterBreak="0">
    <w:nsid w:val="50E652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8" w15:restartNumberingAfterBreak="0">
    <w:nsid w:val="50F20B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9" w15:restartNumberingAfterBreak="0">
    <w:nsid w:val="50FD4D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0" w15:restartNumberingAfterBreak="0">
    <w:nsid w:val="510C70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1" w15:restartNumberingAfterBreak="0">
    <w:nsid w:val="51171F77"/>
    <w:multiLevelType w:val="multilevel"/>
    <w:tmpl w:val="1B7A7EB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62" w15:restartNumberingAfterBreak="0">
    <w:nsid w:val="51254E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3" w15:restartNumberingAfterBreak="0">
    <w:nsid w:val="512F4B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4" w15:restartNumberingAfterBreak="0">
    <w:nsid w:val="516F4DD4"/>
    <w:multiLevelType w:val="singleLevel"/>
    <w:tmpl w:val="1060B7EC"/>
    <w:lvl w:ilvl="0">
      <w:start w:val="1"/>
      <w:numFmt w:val="decimal"/>
      <w:lvlText w:val="%1."/>
      <w:legacy w:legacy="1" w:legacySpace="0" w:legacyIndent="340"/>
      <w:lvlJc w:val="left"/>
      <w:pPr>
        <w:ind w:left="340" w:hanging="340"/>
      </w:pPr>
    </w:lvl>
  </w:abstractNum>
  <w:abstractNum w:abstractNumId="1265" w15:restartNumberingAfterBreak="0">
    <w:nsid w:val="518815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6" w15:restartNumberingAfterBreak="0">
    <w:nsid w:val="51B95D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7" w15:restartNumberingAfterBreak="0">
    <w:nsid w:val="51BD73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8" w15:restartNumberingAfterBreak="0">
    <w:nsid w:val="51D05A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9" w15:restartNumberingAfterBreak="0">
    <w:nsid w:val="51E038D7"/>
    <w:multiLevelType w:val="singleLevel"/>
    <w:tmpl w:val="CED2D23A"/>
    <w:lvl w:ilvl="0">
      <w:start w:val="1"/>
      <w:numFmt w:val="bullet"/>
      <w:lvlText w:val=""/>
      <w:lvlJc w:val="left"/>
      <w:pPr>
        <w:tabs>
          <w:tab w:val="num" w:pos="360"/>
        </w:tabs>
        <w:ind w:left="340" w:hanging="340"/>
      </w:pPr>
      <w:rPr>
        <w:rFonts w:ascii="Symbol" w:hAnsi="Symbol" w:hint="default"/>
      </w:rPr>
    </w:lvl>
  </w:abstractNum>
  <w:abstractNum w:abstractNumId="1270" w15:restartNumberingAfterBreak="0">
    <w:nsid w:val="51F55F9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71" w15:restartNumberingAfterBreak="0">
    <w:nsid w:val="521B2675"/>
    <w:multiLevelType w:val="singleLevel"/>
    <w:tmpl w:val="9E548D50"/>
    <w:lvl w:ilvl="0">
      <w:start w:val="1"/>
      <w:numFmt w:val="bullet"/>
      <w:lvlText w:val=""/>
      <w:lvlJc w:val="left"/>
      <w:pPr>
        <w:tabs>
          <w:tab w:val="num" w:pos="360"/>
        </w:tabs>
        <w:ind w:left="360" w:hanging="360"/>
      </w:pPr>
      <w:rPr>
        <w:rFonts w:ascii="Symbol" w:hAnsi="Symbol" w:hint="default"/>
      </w:rPr>
    </w:lvl>
  </w:abstractNum>
  <w:abstractNum w:abstractNumId="1272" w15:restartNumberingAfterBreak="0">
    <w:nsid w:val="521D63F2"/>
    <w:multiLevelType w:val="singleLevel"/>
    <w:tmpl w:val="041D000F"/>
    <w:lvl w:ilvl="0">
      <w:start w:val="1"/>
      <w:numFmt w:val="decimal"/>
      <w:lvlText w:val="%1."/>
      <w:lvlJc w:val="left"/>
      <w:pPr>
        <w:tabs>
          <w:tab w:val="num" w:pos="360"/>
        </w:tabs>
        <w:ind w:left="360" w:hanging="360"/>
      </w:pPr>
      <w:rPr>
        <w:rFonts w:hint="default"/>
      </w:rPr>
    </w:lvl>
  </w:abstractNum>
  <w:abstractNum w:abstractNumId="1273" w15:restartNumberingAfterBreak="0">
    <w:nsid w:val="522802AC"/>
    <w:multiLevelType w:val="singleLevel"/>
    <w:tmpl w:val="EB04BFA0"/>
    <w:lvl w:ilvl="0">
      <w:start w:val="1"/>
      <w:numFmt w:val="decimal"/>
      <w:lvlText w:val="%1."/>
      <w:legacy w:legacy="1" w:legacySpace="0" w:legacyIndent="454"/>
      <w:lvlJc w:val="left"/>
      <w:pPr>
        <w:ind w:left="454" w:hanging="454"/>
      </w:pPr>
    </w:lvl>
  </w:abstractNum>
  <w:abstractNum w:abstractNumId="1274" w15:restartNumberingAfterBreak="0">
    <w:nsid w:val="525670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5" w15:restartNumberingAfterBreak="0">
    <w:nsid w:val="526A05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6" w15:restartNumberingAfterBreak="0">
    <w:nsid w:val="526A74C1"/>
    <w:multiLevelType w:val="multilevel"/>
    <w:tmpl w:val="E7622D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77" w15:restartNumberingAfterBreak="0">
    <w:nsid w:val="526A7876"/>
    <w:multiLevelType w:val="singleLevel"/>
    <w:tmpl w:val="4C98BA00"/>
    <w:lvl w:ilvl="0">
      <w:start w:val="1"/>
      <w:numFmt w:val="decimal"/>
      <w:lvlText w:val="%1."/>
      <w:legacy w:legacy="1" w:legacySpace="0" w:legacyIndent="454"/>
      <w:lvlJc w:val="left"/>
      <w:pPr>
        <w:ind w:left="454" w:hanging="454"/>
      </w:pPr>
    </w:lvl>
  </w:abstractNum>
  <w:abstractNum w:abstractNumId="1278" w15:restartNumberingAfterBreak="0">
    <w:nsid w:val="527F11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9" w15:restartNumberingAfterBreak="0">
    <w:nsid w:val="528165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0" w15:restartNumberingAfterBreak="0">
    <w:nsid w:val="52903386"/>
    <w:multiLevelType w:val="singleLevel"/>
    <w:tmpl w:val="041D000F"/>
    <w:lvl w:ilvl="0">
      <w:start w:val="4"/>
      <w:numFmt w:val="decimal"/>
      <w:lvlText w:val="%1."/>
      <w:lvlJc w:val="left"/>
      <w:pPr>
        <w:tabs>
          <w:tab w:val="num" w:pos="360"/>
        </w:tabs>
        <w:ind w:left="360" w:hanging="360"/>
      </w:pPr>
      <w:rPr>
        <w:rFonts w:hint="default"/>
      </w:rPr>
    </w:lvl>
  </w:abstractNum>
  <w:abstractNum w:abstractNumId="1281" w15:restartNumberingAfterBreak="0">
    <w:nsid w:val="529B4B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2" w15:restartNumberingAfterBreak="0">
    <w:nsid w:val="52DF71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3" w15:restartNumberingAfterBreak="0">
    <w:nsid w:val="52EC6518"/>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1284" w15:restartNumberingAfterBreak="0">
    <w:nsid w:val="52F955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5" w15:restartNumberingAfterBreak="0">
    <w:nsid w:val="52FD67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6" w15:restartNumberingAfterBreak="0">
    <w:nsid w:val="53093A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7" w15:restartNumberingAfterBreak="0">
    <w:nsid w:val="531F0B0E"/>
    <w:multiLevelType w:val="singleLevel"/>
    <w:tmpl w:val="BBDEA5D2"/>
    <w:lvl w:ilvl="0">
      <w:start w:val="1"/>
      <w:numFmt w:val="decimal"/>
      <w:lvlText w:val="%1."/>
      <w:legacy w:legacy="1" w:legacySpace="0" w:legacyIndent="284"/>
      <w:lvlJc w:val="left"/>
      <w:pPr>
        <w:ind w:left="1191" w:hanging="284"/>
      </w:pPr>
    </w:lvl>
  </w:abstractNum>
  <w:abstractNum w:abstractNumId="1288" w15:restartNumberingAfterBreak="0">
    <w:nsid w:val="53202D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9" w15:restartNumberingAfterBreak="0">
    <w:nsid w:val="533010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0" w15:restartNumberingAfterBreak="0">
    <w:nsid w:val="533551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1" w15:restartNumberingAfterBreak="0">
    <w:nsid w:val="53577E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2" w15:restartNumberingAfterBreak="0">
    <w:nsid w:val="537D2020"/>
    <w:multiLevelType w:val="multilevel"/>
    <w:tmpl w:val="26F4B5B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93" w15:restartNumberingAfterBreak="0">
    <w:nsid w:val="53896B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4" w15:restartNumberingAfterBreak="0">
    <w:nsid w:val="538C6DE3"/>
    <w:multiLevelType w:val="singleLevel"/>
    <w:tmpl w:val="041D000F"/>
    <w:lvl w:ilvl="0">
      <w:start w:val="1"/>
      <w:numFmt w:val="decimal"/>
      <w:lvlText w:val="%1."/>
      <w:lvlJc w:val="left"/>
      <w:pPr>
        <w:tabs>
          <w:tab w:val="num" w:pos="360"/>
        </w:tabs>
        <w:ind w:left="360" w:hanging="360"/>
      </w:pPr>
    </w:lvl>
  </w:abstractNum>
  <w:abstractNum w:abstractNumId="1295" w15:restartNumberingAfterBreak="0">
    <w:nsid w:val="53983D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6" w15:restartNumberingAfterBreak="0">
    <w:nsid w:val="539F53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7" w15:restartNumberingAfterBreak="0">
    <w:nsid w:val="53C273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8" w15:restartNumberingAfterBreak="0">
    <w:nsid w:val="53C57E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9" w15:restartNumberingAfterBreak="0">
    <w:nsid w:val="53E37E9C"/>
    <w:multiLevelType w:val="multilevel"/>
    <w:tmpl w:val="FE56D79C"/>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00" w15:restartNumberingAfterBreak="0">
    <w:nsid w:val="53EC3A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1" w15:restartNumberingAfterBreak="0">
    <w:nsid w:val="54115492"/>
    <w:multiLevelType w:val="singleLevel"/>
    <w:tmpl w:val="E7680DD4"/>
    <w:lvl w:ilvl="0">
      <w:start w:val="1"/>
      <w:numFmt w:val="decimal"/>
      <w:lvlText w:val="%1."/>
      <w:legacy w:legacy="1" w:legacySpace="0" w:legacyIndent="284"/>
      <w:lvlJc w:val="left"/>
      <w:pPr>
        <w:ind w:left="1191" w:hanging="284"/>
      </w:pPr>
    </w:lvl>
  </w:abstractNum>
  <w:abstractNum w:abstractNumId="1302" w15:restartNumberingAfterBreak="0">
    <w:nsid w:val="542556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3" w15:restartNumberingAfterBreak="0">
    <w:nsid w:val="543704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4" w15:restartNumberingAfterBreak="0">
    <w:nsid w:val="543706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5" w15:restartNumberingAfterBreak="0">
    <w:nsid w:val="5437788B"/>
    <w:multiLevelType w:val="singleLevel"/>
    <w:tmpl w:val="FFFFFFFF"/>
    <w:lvl w:ilvl="0">
      <w:numFmt w:val="decimal"/>
      <w:lvlText w:val="*"/>
      <w:lvlJc w:val="left"/>
    </w:lvl>
  </w:abstractNum>
  <w:abstractNum w:abstractNumId="1306" w15:restartNumberingAfterBreak="0">
    <w:nsid w:val="543E1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7" w15:restartNumberingAfterBreak="0">
    <w:nsid w:val="544949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8" w15:restartNumberingAfterBreak="0">
    <w:nsid w:val="54580B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9" w15:restartNumberingAfterBreak="0">
    <w:nsid w:val="545870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0" w15:restartNumberingAfterBreak="0">
    <w:nsid w:val="546331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1" w15:restartNumberingAfterBreak="0">
    <w:nsid w:val="547A25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2" w15:restartNumberingAfterBreak="0">
    <w:nsid w:val="54952B96"/>
    <w:multiLevelType w:val="singleLevel"/>
    <w:tmpl w:val="EB04BFA0"/>
    <w:lvl w:ilvl="0">
      <w:start w:val="1"/>
      <w:numFmt w:val="decimal"/>
      <w:lvlText w:val="%1."/>
      <w:legacy w:legacy="1" w:legacySpace="0" w:legacyIndent="454"/>
      <w:lvlJc w:val="left"/>
      <w:pPr>
        <w:ind w:left="454" w:hanging="454"/>
      </w:pPr>
    </w:lvl>
  </w:abstractNum>
  <w:abstractNum w:abstractNumId="1313" w15:restartNumberingAfterBreak="0">
    <w:nsid w:val="549B00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4" w15:restartNumberingAfterBreak="0">
    <w:nsid w:val="54AE55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5" w15:restartNumberingAfterBreak="0">
    <w:nsid w:val="54C128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6" w15:restartNumberingAfterBreak="0">
    <w:nsid w:val="54C303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7" w15:restartNumberingAfterBreak="0">
    <w:nsid w:val="54CE1F2D"/>
    <w:multiLevelType w:val="singleLevel"/>
    <w:tmpl w:val="81981A0A"/>
    <w:lvl w:ilvl="0">
      <w:start w:val="1"/>
      <w:numFmt w:val="decimal"/>
      <w:lvlText w:val="%1."/>
      <w:legacy w:legacy="1" w:legacySpace="0" w:legacyIndent="454"/>
      <w:lvlJc w:val="left"/>
      <w:pPr>
        <w:ind w:left="454" w:hanging="454"/>
      </w:pPr>
    </w:lvl>
  </w:abstractNum>
  <w:abstractNum w:abstractNumId="1318" w15:restartNumberingAfterBreak="0">
    <w:nsid w:val="54E061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9" w15:restartNumberingAfterBreak="0">
    <w:nsid w:val="54FA51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0"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1321" w15:restartNumberingAfterBreak="0">
    <w:nsid w:val="553924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2" w15:restartNumberingAfterBreak="0">
    <w:nsid w:val="553F20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3" w15:restartNumberingAfterBreak="0">
    <w:nsid w:val="55490B0C"/>
    <w:multiLevelType w:val="singleLevel"/>
    <w:tmpl w:val="16E6C9BC"/>
    <w:lvl w:ilvl="0">
      <w:start w:val="1"/>
      <w:numFmt w:val="decimal"/>
      <w:lvlText w:val="%1."/>
      <w:lvlJc w:val="left"/>
      <w:pPr>
        <w:tabs>
          <w:tab w:val="num" w:pos="454"/>
        </w:tabs>
        <w:ind w:left="454" w:hanging="454"/>
      </w:pPr>
      <w:rPr>
        <w:rFonts w:hint="default"/>
        <w:b w:val="0"/>
        <w:i w:val="0"/>
      </w:rPr>
    </w:lvl>
  </w:abstractNum>
  <w:abstractNum w:abstractNumId="1324" w15:restartNumberingAfterBreak="0">
    <w:nsid w:val="55515D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5" w15:restartNumberingAfterBreak="0">
    <w:nsid w:val="557819CE"/>
    <w:multiLevelType w:val="singleLevel"/>
    <w:tmpl w:val="041D000F"/>
    <w:lvl w:ilvl="0">
      <w:start w:val="1"/>
      <w:numFmt w:val="decimal"/>
      <w:lvlText w:val="%1."/>
      <w:lvlJc w:val="left"/>
      <w:pPr>
        <w:tabs>
          <w:tab w:val="num" w:pos="360"/>
        </w:tabs>
        <w:ind w:left="360" w:hanging="360"/>
      </w:pPr>
    </w:lvl>
  </w:abstractNum>
  <w:abstractNum w:abstractNumId="1326" w15:restartNumberingAfterBreak="0">
    <w:nsid w:val="55805684"/>
    <w:multiLevelType w:val="singleLevel"/>
    <w:tmpl w:val="8A32129C"/>
    <w:lvl w:ilvl="0">
      <w:start w:val="22"/>
      <w:numFmt w:val="decimal"/>
      <w:lvlText w:val="%1."/>
      <w:legacy w:legacy="1" w:legacySpace="0" w:legacyIndent="454"/>
      <w:lvlJc w:val="left"/>
      <w:pPr>
        <w:ind w:left="454" w:hanging="454"/>
      </w:pPr>
    </w:lvl>
  </w:abstractNum>
  <w:abstractNum w:abstractNumId="1327" w15:restartNumberingAfterBreak="0">
    <w:nsid w:val="558B7A12"/>
    <w:multiLevelType w:val="singleLevel"/>
    <w:tmpl w:val="2A926C36"/>
    <w:lvl w:ilvl="0">
      <w:start w:val="1"/>
      <w:numFmt w:val="decimal"/>
      <w:lvlRestart w:val="0"/>
      <w:lvlText w:val="%1."/>
      <w:lvlJc w:val="left"/>
      <w:pPr>
        <w:tabs>
          <w:tab w:val="num" w:pos="992"/>
        </w:tabs>
        <w:ind w:left="510" w:firstLine="170"/>
      </w:pPr>
    </w:lvl>
  </w:abstractNum>
  <w:abstractNum w:abstractNumId="1328"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1329" w15:restartNumberingAfterBreak="0">
    <w:nsid w:val="55CE07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0" w15:restartNumberingAfterBreak="0">
    <w:nsid w:val="55CE15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1" w15:restartNumberingAfterBreak="0">
    <w:nsid w:val="55D93A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2" w15:restartNumberingAfterBreak="0">
    <w:nsid w:val="55E503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3" w15:restartNumberingAfterBreak="0">
    <w:nsid w:val="55F904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4" w15:restartNumberingAfterBreak="0">
    <w:nsid w:val="56012B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5" w15:restartNumberingAfterBreak="0">
    <w:nsid w:val="5624635C"/>
    <w:multiLevelType w:val="singleLevel"/>
    <w:tmpl w:val="041D000F"/>
    <w:lvl w:ilvl="0">
      <w:start w:val="1"/>
      <w:numFmt w:val="decimal"/>
      <w:lvlText w:val="%1."/>
      <w:lvlJc w:val="left"/>
      <w:pPr>
        <w:tabs>
          <w:tab w:val="num" w:pos="360"/>
        </w:tabs>
        <w:ind w:left="360" w:hanging="360"/>
      </w:pPr>
      <w:rPr>
        <w:rFonts w:hint="default"/>
      </w:rPr>
    </w:lvl>
  </w:abstractNum>
  <w:abstractNum w:abstractNumId="1336" w15:restartNumberingAfterBreak="0">
    <w:nsid w:val="56402267"/>
    <w:multiLevelType w:val="multilevel"/>
    <w:tmpl w:val="5EA8B78A"/>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37" w15:restartNumberingAfterBreak="0">
    <w:nsid w:val="564143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8" w15:restartNumberingAfterBreak="0">
    <w:nsid w:val="564B54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9" w15:restartNumberingAfterBreak="0">
    <w:nsid w:val="565124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0" w15:restartNumberingAfterBreak="0">
    <w:nsid w:val="565D79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1" w15:restartNumberingAfterBreak="0">
    <w:nsid w:val="56623C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2" w15:restartNumberingAfterBreak="0">
    <w:nsid w:val="568323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3" w15:restartNumberingAfterBreak="0">
    <w:nsid w:val="56A37ADF"/>
    <w:multiLevelType w:val="singleLevel"/>
    <w:tmpl w:val="2CD2CD34"/>
    <w:lvl w:ilvl="0">
      <w:start w:val="15"/>
      <w:numFmt w:val="decimal"/>
      <w:lvlText w:val="%1."/>
      <w:legacy w:legacy="1" w:legacySpace="0" w:legacyIndent="454"/>
      <w:lvlJc w:val="left"/>
      <w:pPr>
        <w:ind w:left="454" w:hanging="454"/>
      </w:pPr>
    </w:lvl>
  </w:abstractNum>
  <w:abstractNum w:abstractNumId="1344" w15:restartNumberingAfterBreak="0">
    <w:nsid w:val="56AA0D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5" w15:restartNumberingAfterBreak="0">
    <w:nsid w:val="56B22A2B"/>
    <w:multiLevelType w:val="singleLevel"/>
    <w:tmpl w:val="F262363C"/>
    <w:lvl w:ilvl="0">
      <w:start w:val="5"/>
      <w:numFmt w:val="decimal"/>
      <w:lvlText w:val="%1."/>
      <w:lvlJc w:val="left"/>
      <w:pPr>
        <w:tabs>
          <w:tab w:val="num" w:pos="420"/>
        </w:tabs>
        <w:ind w:left="420" w:hanging="420"/>
      </w:pPr>
      <w:rPr>
        <w:rFonts w:hint="default"/>
      </w:rPr>
    </w:lvl>
  </w:abstractNum>
  <w:abstractNum w:abstractNumId="1346" w15:restartNumberingAfterBreak="0">
    <w:nsid w:val="56C4780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47" w15:restartNumberingAfterBreak="0">
    <w:nsid w:val="56E00BCB"/>
    <w:multiLevelType w:val="multilevel"/>
    <w:tmpl w:val="CF0217E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48" w15:restartNumberingAfterBreak="0">
    <w:nsid w:val="56FB26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9" w15:restartNumberingAfterBreak="0">
    <w:nsid w:val="57077438"/>
    <w:multiLevelType w:val="singleLevel"/>
    <w:tmpl w:val="041D000F"/>
    <w:lvl w:ilvl="0">
      <w:start w:val="1"/>
      <w:numFmt w:val="decimal"/>
      <w:lvlText w:val="%1."/>
      <w:lvlJc w:val="left"/>
      <w:pPr>
        <w:tabs>
          <w:tab w:val="num" w:pos="360"/>
        </w:tabs>
        <w:ind w:left="360" w:hanging="360"/>
      </w:pPr>
    </w:lvl>
  </w:abstractNum>
  <w:abstractNum w:abstractNumId="1350" w15:restartNumberingAfterBreak="0">
    <w:nsid w:val="572A28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1" w15:restartNumberingAfterBreak="0">
    <w:nsid w:val="573F4B46"/>
    <w:multiLevelType w:val="singleLevel"/>
    <w:tmpl w:val="79343A60"/>
    <w:lvl w:ilvl="0">
      <w:start w:val="1"/>
      <w:numFmt w:val="bullet"/>
      <w:lvlText w:val=""/>
      <w:lvlJc w:val="left"/>
      <w:pPr>
        <w:tabs>
          <w:tab w:val="num" w:pos="360"/>
        </w:tabs>
        <w:ind w:left="227" w:hanging="227"/>
      </w:pPr>
      <w:rPr>
        <w:rFonts w:ascii="Symbol" w:hAnsi="Symbol" w:hint="default"/>
        <w:sz w:val="18"/>
      </w:rPr>
    </w:lvl>
  </w:abstractNum>
  <w:abstractNum w:abstractNumId="1352" w15:restartNumberingAfterBreak="0">
    <w:nsid w:val="57563ABF"/>
    <w:multiLevelType w:val="singleLevel"/>
    <w:tmpl w:val="041D000F"/>
    <w:lvl w:ilvl="0">
      <w:start w:val="1"/>
      <w:numFmt w:val="decimal"/>
      <w:lvlText w:val="%1."/>
      <w:lvlJc w:val="left"/>
      <w:pPr>
        <w:tabs>
          <w:tab w:val="num" w:pos="360"/>
        </w:tabs>
        <w:ind w:left="360" w:hanging="360"/>
      </w:pPr>
    </w:lvl>
  </w:abstractNum>
  <w:abstractNum w:abstractNumId="1353" w15:restartNumberingAfterBreak="0">
    <w:nsid w:val="577D28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4" w15:restartNumberingAfterBreak="0">
    <w:nsid w:val="577D2F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5" w15:restartNumberingAfterBreak="0">
    <w:nsid w:val="579C51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6" w15:restartNumberingAfterBreak="0">
    <w:nsid w:val="57A527C0"/>
    <w:multiLevelType w:val="singleLevel"/>
    <w:tmpl w:val="55D2D130"/>
    <w:lvl w:ilvl="0">
      <w:start w:val="1"/>
      <w:numFmt w:val="decimal"/>
      <w:lvlRestart w:val="0"/>
      <w:lvlText w:val="%1."/>
      <w:lvlJc w:val="left"/>
      <w:pPr>
        <w:tabs>
          <w:tab w:val="num" w:pos="992"/>
        </w:tabs>
        <w:ind w:left="510" w:firstLine="170"/>
      </w:pPr>
    </w:lvl>
  </w:abstractNum>
  <w:abstractNum w:abstractNumId="1357" w15:restartNumberingAfterBreak="0">
    <w:nsid w:val="57B046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8" w15:restartNumberingAfterBreak="0">
    <w:nsid w:val="57BD24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9" w15:restartNumberingAfterBreak="0">
    <w:nsid w:val="57D015AE"/>
    <w:multiLevelType w:val="singleLevel"/>
    <w:tmpl w:val="13F88C94"/>
    <w:lvl w:ilvl="0">
      <w:start w:val="1"/>
      <w:numFmt w:val="bullet"/>
      <w:lvlText w:val=""/>
      <w:lvlJc w:val="left"/>
      <w:pPr>
        <w:tabs>
          <w:tab w:val="num" w:pos="360"/>
        </w:tabs>
        <w:ind w:left="360" w:hanging="360"/>
      </w:pPr>
      <w:rPr>
        <w:rFonts w:ascii="Symbol" w:hAnsi="Symbol" w:hint="default"/>
      </w:rPr>
    </w:lvl>
  </w:abstractNum>
  <w:abstractNum w:abstractNumId="1360" w15:restartNumberingAfterBreak="0">
    <w:nsid w:val="58045C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1" w15:restartNumberingAfterBreak="0">
    <w:nsid w:val="580D4418"/>
    <w:multiLevelType w:val="multilevel"/>
    <w:tmpl w:val="3FB42A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62" w15:restartNumberingAfterBreak="0">
    <w:nsid w:val="581E35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3" w15:restartNumberingAfterBreak="0">
    <w:nsid w:val="581F62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4" w15:restartNumberingAfterBreak="0">
    <w:nsid w:val="58237E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5" w15:restartNumberingAfterBreak="0">
    <w:nsid w:val="583A76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6" w15:restartNumberingAfterBreak="0">
    <w:nsid w:val="585D43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7" w15:restartNumberingAfterBreak="0">
    <w:nsid w:val="58655FD5"/>
    <w:multiLevelType w:val="multilevel"/>
    <w:tmpl w:val="441E813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68" w15:restartNumberingAfterBreak="0">
    <w:nsid w:val="587E2A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9" w15:restartNumberingAfterBreak="0">
    <w:nsid w:val="58805F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0" w15:restartNumberingAfterBreak="0">
    <w:nsid w:val="589B75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1" w15:restartNumberingAfterBreak="0">
    <w:nsid w:val="589F114B"/>
    <w:multiLevelType w:val="singleLevel"/>
    <w:tmpl w:val="302EB666"/>
    <w:lvl w:ilvl="0">
      <w:start w:val="1"/>
      <w:numFmt w:val="decimal"/>
      <w:lvlText w:val="%1."/>
      <w:legacy w:legacy="1" w:legacySpace="0" w:legacyIndent="454"/>
      <w:lvlJc w:val="left"/>
      <w:pPr>
        <w:ind w:left="454" w:hanging="454"/>
      </w:pPr>
    </w:lvl>
  </w:abstractNum>
  <w:abstractNum w:abstractNumId="1372" w15:restartNumberingAfterBreak="0">
    <w:nsid w:val="58A04680"/>
    <w:multiLevelType w:val="singleLevel"/>
    <w:tmpl w:val="C346E980"/>
    <w:lvl w:ilvl="0">
      <w:start w:val="43"/>
      <w:numFmt w:val="decimal"/>
      <w:lvlText w:val="%1."/>
      <w:legacy w:legacy="1" w:legacySpace="0" w:legacyIndent="454"/>
      <w:lvlJc w:val="left"/>
      <w:pPr>
        <w:ind w:left="454" w:hanging="454"/>
      </w:pPr>
    </w:lvl>
  </w:abstractNum>
  <w:abstractNum w:abstractNumId="1373" w15:restartNumberingAfterBreak="0">
    <w:nsid w:val="58A327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4" w15:restartNumberingAfterBreak="0">
    <w:nsid w:val="58A336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5" w15:restartNumberingAfterBreak="0">
    <w:nsid w:val="58C258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6" w15:restartNumberingAfterBreak="0">
    <w:nsid w:val="58D775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7" w15:restartNumberingAfterBreak="0">
    <w:nsid w:val="58EC2B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8" w15:restartNumberingAfterBreak="0">
    <w:nsid w:val="58FB5B1D"/>
    <w:multiLevelType w:val="multilevel"/>
    <w:tmpl w:val="532E81D0"/>
    <w:lvl w:ilvl="0">
      <w:start w:val="1"/>
      <w:numFmt w:val="decimal"/>
      <w:lvlText w:val="%1."/>
      <w:lvlJc w:val="left"/>
      <w:pPr>
        <w:tabs>
          <w:tab w:val="num" w:pos="590"/>
        </w:tabs>
        <w:ind w:left="590" w:hanging="360"/>
      </w:pPr>
      <w:rPr>
        <w:rFonts w:hint="default"/>
      </w:rPr>
    </w:lvl>
    <w:lvl w:ilvl="1" w:tentative="1">
      <w:start w:val="1"/>
      <w:numFmt w:val="lowerLetter"/>
      <w:lvlText w:val="%2."/>
      <w:lvlJc w:val="left"/>
      <w:pPr>
        <w:tabs>
          <w:tab w:val="num" w:pos="1310"/>
        </w:tabs>
        <w:ind w:left="1310" w:hanging="360"/>
      </w:pPr>
    </w:lvl>
    <w:lvl w:ilvl="2" w:tentative="1">
      <w:start w:val="1"/>
      <w:numFmt w:val="lowerRoman"/>
      <w:lvlText w:val="%3."/>
      <w:lvlJc w:val="right"/>
      <w:pPr>
        <w:tabs>
          <w:tab w:val="num" w:pos="2030"/>
        </w:tabs>
        <w:ind w:left="2030" w:hanging="180"/>
      </w:pPr>
    </w:lvl>
    <w:lvl w:ilvl="3" w:tentative="1">
      <w:start w:val="1"/>
      <w:numFmt w:val="decimal"/>
      <w:lvlText w:val="%4."/>
      <w:lvlJc w:val="left"/>
      <w:pPr>
        <w:tabs>
          <w:tab w:val="num" w:pos="2750"/>
        </w:tabs>
        <w:ind w:left="2750" w:hanging="360"/>
      </w:pPr>
    </w:lvl>
    <w:lvl w:ilvl="4" w:tentative="1">
      <w:start w:val="1"/>
      <w:numFmt w:val="lowerLetter"/>
      <w:lvlText w:val="%5."/>
      <w:lvlJc w:val="left"/>
      <w:pPr>
        <w:tabs>
          <w:tab w:val="num" w:pos="3470"/>
        </w:tabs>
        <w:ind w:left="3470" w:hanging="360"/>
      </w:pPr>
    </w:lvl>
    <w:lvl w:ilvl="5" w:tentative="1">
      <w:start w:val="1"/>
      <w:numFmt w:val="lowerRoman"/>
      <w:lvlText w:val="%6."/>
      <w:lvlJc w:val="right"/>
      <w:pPr>
        <w:tabs>
          <w:tab w:val="num" w:pos="4190"/>
        </w:tabs>
        <w:ind w:left="4190" w:hanging="180"/>
      </w:pPr>
    </w:lvl>
    <w:lvl w:ilvl="6" w:tentative="1">
      <w:start w:val="1"/>
      <w:numFmt w:val="decimal"/>
      <w:lvlText w:val="%7."/>
      <w:lvlJc w:val="left"/>
      <w:pPr>
        <w:tabs>
          <w:tab w:val="num" w:pos="4910"/>
        </w:tabs>
        <w:ind w:left="4910" w:hanging="360"/>
      </w:pPr>
    </w:lvl>
    <w:lvl w:ilvl="7" w:tentative="1">
      <w:start w:val="1"/>
      <w:numFmt w:val="lowerLetter"/>
      <w:lvlText w:val="%8."/>
      <w:lvlJc w:val="left"/>
      <w:pPr>
        <w:tabs>
          <w:tab w:val="num" w:pos="5630"/>
        </w:tabs>
        <w:ind w:left="5630" w:hanging="360"/>
      </w:pPr>
    </w:lvl>
    <w:lvl w:ilvl="8" w:tentative="1">
      <w:start w:val="1"/>
      <w:numFmt w:val="lowerRoman"/>
      <w:lvlText w:val="%9."/>
      <w:lvlJc w:val="right"/>
      <w:pPr>
        <w:tabs>
          <w:tab w:val="num" w:pos="6350"/>
        </w:tabs>
        <w:ind w:left="6350" w:hanging="180"/>
      </w:pPr>
    </w:lvl>
  </w:abstractNum>
  <w:abstractNum w:abstractNumId="1379" w15:restartNumberingAfterBreak="0">
    <w:nsid w:val="58FB5F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80" w15:restartNumberingAfterBreak="0">
    <w:nsid w:val="59125C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1" w15:restartNumberingAfterBreak="0">
    <w:nsid w:val="59346E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2" w15:restartNumberingAfterBreak="0">
    <w:nsid w:val="594875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3" w15:restartNumberingAfterBreak="0">
    <w:nsid w:val="594E53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4" w15:restartNumberingAfterBreak="0">
    <w:nsid w:val="596128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5" w15:restartNumberingAfterBreak="0">
    <w:nsid w:val="597062FF"/>
    <w:multiLevelType w:val="multilevel"/>
    <w:tmpl w:val="0548E69E"/>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86" w15:restartNumberingAfterBreak="0">
    <w:nsid w:val="59961499"/>
    <w:multiLevelType w:val="singleLevel"/>
    <w:tmpl w:val="D9EA964E"/>
    <w:lvl w:ilvl="0">
      <w:start w:val="25"/>
      <w:numFmt w:val="decimal"/>
      <w:lvlText w:val="%1."/>
      <w:legacy w:legacy="1" w:legacySpace="0" w:legacyIndent="454"/>
      <w:lvlJc w:val="left"/>
      <w:pPr>
        <w:ind w:left="454" w:hanging="454"/>
      </w:pPr>
    </w:lvl>
  </w:abstractNum>
  <w:abstractNum w:abstractNumId="1387" w15:restartNumberingAfterBreak="0">
    <w:nsid w:val="59B136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8" w15:restartNumberingAfterBreak="0">
    <w:nsid w:val="59C821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9" w15:restartNumberingAfterBreak="0">
    <w:nsid w:val="59CD697D"/>
    <w:multiLevelType w:val="singleLevel"/>
    <w:tmpl w:val="62609620"/>
    <w:lvl w:ilvl="0">
      <w:start w:val="1"/>
      <w:numFmt w:val="decimal"/>
      <w:lvlText w:val="%1."/>
      <w:legacy w:legacy="1" w:legacySpace="0" w:legacyIndent="454"/>
      <w:lvlJc w:val="left"/>
      <w:pPr>
        <w:ind w:left="454" w:hanging="454"/>
      </w:pPr>
    </w:lvl>
  </w:abstractNum>
  <w:abstractNum w:abstractNumId="1390" w15:restartNumberingAfterBreak="0">
    <w:nsid w:val="59DE6D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1" w15:restartNumberingAfterBreak="0">
    <w:nsid w:val="59E326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2" w15:restartNumberingAfterBreak="0">
    <w:nsid w:val="59EA2BD5"/>
    <w:multiLevelType w:val="singleLevel"/>
    <w:tmpl w:val="FFFFFFFF"/>
    <w:lvl w:ilvl="0">
      <w:numFmt w:val="decimal"/>
      <w:lvlText w:val="*"/>
      <w:lvlJc w:val="left"/>
    </w:lvl>
  </w:abstractNum>
  <w:abstractNum w:abstractNumId="1393" w15:restartNumberingAfterBreak="0">
    <w:nsid w:val="59F146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4" w15:restartNumberingAfterBreak="0">
    <w:nsid w:val="59F311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5"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396" w15:restartNumberingAfterBreak="0">
    <w:nsid w:val="5A246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7" w15:restartNumberingAfterBreak="0">
    <w:nsid w:val="5A2500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8" w15:restartNumberingAfterBreak="0">
    <w:nsid w:val="5A2A517C"/>
    <w:multiLevelType w:val="singleLevel"/>
    <w:tmpl w:val="05CA6016"/>
    <w:lvl w:ilvl="0">
      <w:start w:val="1"/>
      <w:numFmt w:val="lowerLetter"/>
      <w:lvlText w:val="%1)"/>
      <w:lvlJc w:val="left"/>
      <w:pPr>
        <w:tabs>
          <w:tab w:val="num" w:pos="360"/>
        </w:tabs>
        <w:ind w:left="0" w:firstLine="0"/>
      </w:pPr>
      <w:rPr>
        <w:rFonts w:hint="default"/>
        <w:i/>
      </w:rPr>
    </w:lvl>
  </w:abstractNum>
  <w:abstractNum w:abstractNumId="1399" w15:restartNumberingAfterBreak="0">
    <w:nsid w:val="5A4961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0" w15:restartNumberingAfterBreak="0">
    <w:nsid w:val="5A604C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1" w15:restartNumberingAfterBreak="0">
    <w:nsid w:val="5A6E71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2" w15:restartNumberingAfterBreak="0">
    <w:nsid w:val="5A732A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3" w15:restartNumberingAfterBreak="0">
    <w:nsid w:val="5A7754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4" w15:restartNumberingAfterBreak="0">
    <w:nsid w:val="5A9147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5" w15:restartNumberingAfterBreak="0">
    <w:nsid w:val="5A9E242A"/>
    <w:multiLevelType w:val="singleLevel"/>
    <w:tmpl w:val="041D000F"/>
    <w:lvl w:ilvl="0">
      <w:start w:val="1"/>
      <w:numFmt w:val="decimal"/>
      <w:lvlText w:val="%1."/>
      <w:lvlJc w:val="left"/>
      <w:pPr>
        <w:tabs>
          <w:tab w:val="num" w:pos="360"/>
        </w:tabs>
        <w:ind w:left="360" w:hanging="360"/>
      </w:pPr>
      <w:rPr>
        <w:rFonts w:hint="default"/>
      </w:rPr>
    </w:lvl>
  </w:abstractNum>
  <w:abstractNum w:abstractNumId="1406" w15:restartNumberingAfterBreak="0">
    <w:nsid w:val="5ABE7E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7" w15:restartNumberingAfterBreak="0">
    <w:nsid w:val="5ACA48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8" w15:restartNumberingAfterBreak="0">
    <w:nsid w:val="5AF0742C"/>
    <w:multiLevelType w:val="singleLevel"/>
    <w:tmpl w:val="32A085C0"/>
    <w:lvl w:ilvl="0">
      <w:start w:val="1"/>
      <w:numFmt w:val="decimal"/>
      <w:lvlText w:val="%1."/>
      <w:legacy w:legacy="1" w:legacySpace="0" w:legacyIndent="454"/>
      <w:lvlJc w:val="left"/>
      <w:pPr>
        <w:ind w:left="454" w:hanging="454"/>
      </w:pPr>
    </w:lvl>
  </w:abstractNum>
  <w:abstractNum w:abstractNumId="1409" w15:restartNumberingAfterBreak="0">
    <w:nsid w:val="5AF826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0" w15:restartNumberingAfterBreak="0">
    <w:nsid w:val="5B2B45DE"/>
    <w:multiLevelType w:val="multilevel"/>
    <w:tmpl w:val="5E4AD76E"/>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11" w15:restartNumberingAfterBreak="0">
    <w:nsid w:val="5B3015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2" w15:restartNumberingAfterBreak="0">
    <w:nsid w:val="5B547ABC"/>
    <w:multiLevelType w:val="multilevel"/>
    <w:tmpl w:val="243EAE0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13" w15:restartNumberingAfterBreak="0">
    <w:nsid w:val="5B5E7D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4" w15:restartNumberingAfterBreak="0">
    <w:nsid w:val="5B7B44EC"/>
    <w:multiLevelType w:val="multilevel"/>
    <w:tmpl w:val="C9A43F7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415" w15:restartNumberingAfterBreak="0">
    <w:nsid w:val="5B882D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6" w15:restartNumberingAfterBreak="0">
    <w:nsid w:val="5B910191"/>
    <w:multiLevelType w:val="singleLevel"/>
    <w:tmpl w:val="BBDEA5D2"/>
    <w:lvl w:ilvl="0">
      <w:start w:val="1"/>
      <w:numFmt w:val="decimal"/>
      <w:lvlText w:val="%1."/>
      <w:legacy w:legacy="1" w:legacySpace="0" w:legacyIndent="284"/>
      <w:lvlJc w:val="left"/>
      <w:pPr>
        <w:ind w:left="1191" w:hanging="284"/>
      </w:pPr>
    </w:lvl>
  </w:abstractNum>
  <w:abstractNum w:abstractNumId="1417" w15:restartNumberingAfterBreak="0">
    <w:nsid w:val="5BA218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8" w15:restartNumberingAfterBreak="0">
    <w:nsid w:val="5BA335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9" w15:restartNumberingAfterBreak="0">
    <w:nsid w:val="5BA87D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0" w15:restartNumberingAfterBreak="0">
    <w:nsid w:val="5BB27424"/>
    <w:multiLevelType w:val="singleLevel"/>
    <w:tmpl w:val="BFA4ABE8"/>
    <w:lvl w:ilvl="0">
      <w:start w:val="1"/>
      <w:numFmt w:val="bullet"/>
      <w:lvlText w:val=""/>
      <w:lvlJc w:val="left"/>
      <w:pPr>
        <w:tabs>
          <w:tab w:val="num" w:pos="360"/>
        </w:tabs>
        <w:ind w:left="170" w:hanging="170"/>
      </w:pPr>
      <w:rPr>
        <w:rFonts w:ascii="Symbol" w:hAnsi="Symbol" w:hint="default"/>
      </w:rPr>
    </w:lvl>
  </w:abstractNum>
  <w:abstractNum w:abstractNumId="1421" w15:restartNumberingAfterBreak="0">
    <w:nsid w:val="5BC14652"/>
    <w:multiLevelType w:val="singleLevel"/>
    <w:tmpl w:val="BBDEA5D2"/>
    <w:lvl w:ilvl="0">
      <w:start w:val="1"/>
      <w:numFmt w:val="decimal"/>
      <w:lvlText w:val="%1."/>
      <w:legacy w:legacy="1" w:legacySpace="0" w:legacyIndent="284"/>
      <w:lvlJc w:val="left"/>
      <w:pPr>
        <w:ind w:left="1191" w:hanging="284"/>
      </w:pPr>
    </w:lvl>
  </w:abstractNum>
  <w:abstractNum w:abstractNumId="1422" w15:restartNumberingAfterBreak="0">
    <w:nsid w:val="5BE40592"/>
    <w:multiLevelType w:val="singleLevel"/>
    <w:tmpl w:val="1C36BC02"/>
    <w:lvl w:ilvl="0">
      <w:start w:val="5"/>
      <w:numFmt w:val="decimal"/>
      <w:lvlText w:val="%1."/>
      <w:lvlJc w:val="left"/>
      <w:pPr>
        <w:tabs>
          <w:tab w:val="num" w:pos="1241"/>
        </w:tabs>
        <w:ind w:left="1241" w:hanging="390"/>
      </w:pPr>
      <w:rPr>
        <w:rFonts w:hint="default"/>
      </w:rPr>
    </w:lvl>
  </w:abstractNum>
  <w:abstractNum w:abstractNumId="1423" w15:restartNumberingAfterBreak="0">
    <w:nsid w:val="5BFE66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4" w15:restartNumberingAfterBreak="0">
    <w:nsid w:val="5C0D2E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5" w15:restartNumberingAfterBreak="0">
    <w:nsid w:val="5C0F00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6" w15:restartNumberingAfterBreak="0">
    <w:nsid w:val="5C142791"/>
    <w:multiLevelType w:val="singleLevel"/>
    <w:tmpl w:val="041D000F"/>
    <w:lvl w:ilvl="0">
      <w:start w:val="1"/>
      <w:numFmt w:val="decimal"/>
      <w:lvlText w:val="%1."/>
      <w:lvlJc w:val="left"/>
      <w:pPr>
        <w:tabs>
          <w:tab w:val="num" w:pos="360"/>
        </w:tabs>
        <w:ind w:left="360" w:hanging="360"/>
      </w:pPr>
      <w:rPr>
        <w:rFonts w:hint="default"/>
      </w:rPr>
    </w:lvl>
  </w:abstractNum>
  <w:abstractNum w:abstractNumId="1427" w15:restartNumberingAfterBreak="0">
    <w:nsid w:val="5C2371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8" w15:restartNumberingAfterBreak="0">
    <w:nsid w:val="5C2379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9" w15:restartNumberingAfterBreak="0">
    <w:nsid w:val="5C241D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0" w15:restartNumberingAfterBreak="0">
    <w:nsid w:val="5C2E1B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1" w15:restartNumberingAfterBreak="0">
    <w:nsid w:val="5C5B4FC9"/>
    <w:multiLevelType w:val="singleLevel"/>
    <w:tmpl w:val="D00AC6A4"/>
    <w:lvl w:ilvl="0">
      <w:start w:val="1"/>
      <w:numFmt w:val="bullet"/>
      <w:lvlText w:val=""/>
      <w:lvlJc w:val="left"/>
      <w:pPr>
        <w:tabs>
          <w:tab w:val="num" w:pos="360"/>
        </w:tabs>
        <w:ind w:left="360" w:hanging="360"/>
      </w:pPr>
      <w:rPr>
        <w:rFonts w:ascii="Symbol" w:hAnsi="Symbol" w:hint="default"/>
      </w:rPr>
    </w:lvl>
  </w:abstractNum>
  <w:abstractNum w:abstractNumId="1432" w15:restartNumberingAfterBreak="0">
    <w:nsid w:val="5C672CD3"/>
    <w:multiLevelType w:val="singleLevel"/>
    <w:tmpl w:val="041D000F"/>
    <w:lvl w:ilvl="0">
      <w:start w:val="1"/>
      <w:numFmt w:val="decimal"/>
      <w:lvlText w:val="%1."/>
      <w:lvlJc w:val="left"/>
      <w:pPr>
        <w:tabs>
          <w:tab w:val="num" w:pos="360"/>
        </w:tabs>
        <w:ind w:left="360" w:hanging="360"/>
      </w:pPr>
    </w:lvl>
  </w:abstractNum>
  <w:abstractNum w:abstractNumId="1433" w15:restartNumberingAfterBreak="0">
    <w:nsid w:val="5C6A1AB1"/>
    <w:multiLevelType w:val="multilevel"/>
    <w:tmpl w:val="6DCA638A"/>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34" w15:restartNumberingAfterBreak="0">
    <w:nsid w:val="5C700A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5" w15:restartNumberingAfterBreak="0">
    <w:nsid w:val="5C741D80"/>
    <w:multiLevelType w:val="singleLevel"/>
    <w:tmpl w:val="832A417A"/>
    <w:lvl w:ilvl="0">
      <w:start w:val="1"/>
      <w:numFmt w:val="bullet"/>
      <w:lvlText w:val=""/>
      <w:lvlJc w:val="left"/>
      <w:pPr>
        <w:tabs>
          <w:tab w:val="num" w:pos="360"/>
        </w:tabs>
        <w:ind w:left="170" w:hanging="170"/>
      </w:pPr>
      <w:rPr>
        <w:rFonts w:ascii="Symbol" w:hAnsi="Symbol" w:hint="default"/>
      </w:rPr>
    </w:lvl>
  </w:abstractNum>
  <w:abstractNum w:abstractNumId="1436" w15:restartNumberingAfterBreak="0">
    <w:nsid w:val="5C852D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7" w15:restartNumberingAfterBreak="0">
    <w:nsid w:val="5C8B1C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8" w15:restartNumberingAfterBreak="0">
    <w:nsid w:val="5CA27473"/>
    <w:multiLevelType w:val="singleLevel"/>
    <w:tmpl w:val="BBDEA5D2"/>
    <w:lvl w:ilvl="0">
      <w:start w:val="1"/>
      <w:numFmt w:val="decimal"/>
      <w:lvlText w:val="%1."/>
      <w:legacy w:legacy="1" w:legacySpace="0" w:legacyIndent="284"/>
      <w:lvlJc w:val="left"/>
      <w:pPr>
        <w:ind w:left="1191" w:hanging="284"/>
      </w:pPr>
    </w:lvl>
  </w:abstractNum>
  <w:abstractNum w:abstractNumId="1439" w15:restartNumberingAfterBreak="0">
    <w:nsid w:val="5CA57D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0" w15:restartNumberingAfterBreak="0">
    <w:nsid w:val="5CAF77D4"/>
    <w:multiLevelType w:val="singleLevel"/>
    <w:tmpl w:val="041D000F"/>
    <w:lvl w:ilvl="0">
      <w:start w:val="1"/>
      <w:numFmt w:val="decimal"/>
      <w:lvlText w:val="%1."/>
      <w:lvlJc w:val="left"/>
      <w:pPr>
        <w:tabs>
          <w:tab w:val="num" w:pos="360"/>
        </w:tabs>
        <w:ind w:left="360" w:hanging="360"/>
      </w:pPr>
    </w:lvl>
  </w:abstractNum>
  <w:abstractNum w:abstractNumId="1441" w15:restartNumberingAfterBreak="0">
    <w:nsid w:val="5CB00F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2" w15:restartNumberingAfterBreak="0">
    <w:nsid w:val="5CB55E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43" w15:restartNumberingAfterBreak="0">
    <w:nsid w:val="5CE50E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4" w15:restartNumberingAfterBreak="0">
    <w:nsid w:val="5CF72A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5" w15:restartNumberingAfterBreak="0">
    <w:nsid w:val="5D072B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6" w15:restartNumberingAfterBreak="0">
    <w:nsid w:val="5D166D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7" w15:restartNumberingAfterBreak="0">
    <w:nsid w:val="5D2C22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8" w15:restartNumberingAfterBreak="0">
    <w:nsid w:val="5D5B48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9" w15:restartNumberingAfterBreak="0">
    <w:nsid w:val="5D6114DD"/>
    <w:multiLevelType w:val="multilevel"/>
    <w:tmpl w:val="7FD20F7A"/>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50" w15:restartNumberingAfterBreak="0">
    <w:nsid w:val="5D6E06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1" w15:restartNumberingAfterBreak="0">
    <w:nsid w:val="5D834358"/>
    <w:multiLevelType w:val="multilevel"/>
    <w:tmpl w:val="BFC8FCFA"/>
    <w:lvl w:ilvl="0">
      <w:start w:val="2"/>
      <w:numFmt w:val="lowerLetter"/>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452" w15:restartNumberingAfterBreak="0">
    <w:nsid w:val="5D9204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3" w15:restartNumberingAfterBreak="0">
    <w:nsid w:val="5DA24A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4" w15:restartNumberingAfterBreak="0">
    <w:nsid w:val="5DBC49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5" w15:restartNumberingAfterBreak="0">
    <w:nsid w:val="5DC93BF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56" w15:restartNumberingAfterBreak="0">
    <w:nsid w:val="5DF24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7" w15:restartNumberingAfterBreak="0">
    <w:nsid w:val="5DF42249"/>
    <w:multiLevelType w:val="singleLevel"/>
    <w:tmpl w:val="BBDEA5D2"/>
    <w:lvl w:ilvl="0">
      <w:start w:val="1"/>
      <w:numFmt w:val="decimal"/>
      <w:lvlText w:val="%1."/>
      <w:legacy w:legacy="1" w:legacySpace="0" w:legacyIndent="284"/>
      <w:lvlJc w:val="left"/>
      <w:pPr>
        <w:ind w:left="1191" w:hanging="284"/>
      </w:pPr>
    </w:lvl>
  </w:abstractNum>
  <w:abstractNum w:abstractNumId="1458" w15:restartNumberingAfterBreak="0">
    <w:nsid w:val="5DF65E52"/>
    <w:multiLevelType w:val="singleLevel"/>
    <w:tmpl w:val="041D000F"/>
    <w:lvl w:ilvl="0">
      <w:start w:val="4"/>
      <w:numFmt w:val="decimal"/>
      <w:lvlText w:val="%1."/>
      <w:lvlJc w:val="left"/>
      <w:pPr>
        <w:tabs>
          <w:tab w:val="num" w:pos="360"/>
        </w:tabs>
        <w:ind w:left="360" w:hanging="360"/>
      </w:pPr>
      <w:rPr>
        <w:rFonts w:hint="default"/>
      </w:rPr>
    </w:lvl>
  </w:abstractNum>
  <w:abstractNum w:abstractNumId="1459" w15:restartNumberingAfterBreak="0">
    <w:nsid w:val="5E0234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0" w15:restartNumberingAfterBreak="0">
    <w:nsid w:val="5E064FC4"/>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1461" w15:restartNumberingAfterBreak="0">
    <w:nsid w:val="5E1051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2" w15:restartNumberingAfterBreak="0">
    <w:nsid w:val="5E3E2F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3" w15:restartNumberingAfterBreak="0">
    <w:nsid w:val="5E732D98"/>
    <w:multiLevelType w:val="singleLevel"/>
    <w:tmpl w:val="A89CE4A6"/>
    <w:lvl w:ilvl="0">
      <w:start w:val="1"/>
      <w:numFmt w:val="decimal"/>
      <w:lvlText w:val="%1."/>
      <w:legacy w:legacy="1" w:legacySpace="0" w:legacyIndent="454"/>
      <w:lvlJc w:val="left"/>
      <w:pPr>
        <w:ind w:left="454" w:hanging="454"/>
      </w:pPr>
    </w:lvl>
  </w:abstractNum>
  <w:abstractNum w:abstractNumId="1464" w15:restartNumberingAfterBreak="0">
    <w:nsid w:val="5E7618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5" w15:restartNumberingAfterBreak="0">
    <w:nsid w:val="5E7C78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6" w15:restartNumberingAfterBreak="0">
    <w:nsid w:val="5E8B35BA"/>
    <w:multiLevelType w:val="multilevel"/>
    <w:tmpl w:val="063A1D4E"/>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1467" w15:restartNumberingAfterBreak="0">
    <w:nsid w:val="5E8D0277"/>
    <w:multiLevelType w:val="singleLevel"/>
    <w:tmpl w:val="041D000F"/>
    <w:lvl w:ilvl="0">
      <w:start w:val="1"/>
      <w:numFmt w:val="decimal"/>
      <w:lvlText w:val="%1."/>
      <w:lvlJc w:val="left"/>
      <w:pPr>
        <w:tabs>
          <w:tab w:val="num" w:pos="360"/>
        </w:tabs>
        <w:ind w:left="360" w:hanging="360"/>
      </w:pPr>
      <w:rPr>
        <w:rFonts w:hint="default"/>
      </w:rPr>
    </w:lvl>
  </w:abstractNum>
  <w:abstractNum w:abstractNumId="1468" w15:restartNumberingAfterBreak="0">
    <w:nsid w:val="5E953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9" w15:restartNumberingAfterBreak="0">
    <w:nsid w:val="5E984A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0" w15:restartNumberingAfterBreak="0">
    <w:nsid w:val="5E9A0D48"/>
    <w:multiLevelType w:val="singleLevel"/>
    <w:tmpl w:val="BA90BCCC"/>
    <w:lvl w:ilvl="0">
      <w:start w:val="1"/>
      <w:numFmt w:val="bullet"/>
      <w:lvlText w:val=""/>
      <w:lvlJc w:val="left"/>
      <w:pPr>
        <w:tabs>
          <w:tab w:val="num" w:pos="360"/>
        </w:tabs>
        <w:ind w:left="170" w:hanging="170"/>
      </w:pPr>
      <w:rPr>
        <w:rFonts w:ascii="Symbol" w:hAnsi="Symbol" w:hint="default"/>
      </w:rPr>
    </w:lvl>
  </w:abstractNum>
  <w:abstractNum w:abstractNumId="1471" w15:restartNumberingAfterBreak="0">
    <w:nsid w:val="5E9B31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2" w15:restartNumberingAfterBreak="0">
    <w:nsid w:val="5EB916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3" w15:restartNumberingAfterBreak="0">
    <w:nsid w:val="5EE42A2A"/>
    <w:multiLevelType w:val="singleLevel"/>
    <w:tmpl w:val="01822B8A"/>
    <w:lvl w:ilvl="0">
      <w:start w:val="1"/>
      <w:numFmt w:val="decimal"/>
      <w:lvlText w:val="%1."/>
      <w:legacy w:legacy="1" w:legacySpace="0" w:legacyIndent="454"/>
      <w:lvlJc w:val="left"/>
      <w:pPr>
        <w:ind w:left="454" w:hanging="454"/>
      </w:pPr>
    </w:lvl>
  </w:abstractNum>
  <w:abstractNum w:abstractNumId="1474" w15:restartNumberingAfterBreak="0">
    <w:nsid w:val="5EEC5B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5" w15:restartNumberingAfterBreak="0">
    <w:nsid w:val="5F0C23D8"/>
    <w:multiLevelType w:val="singleLevel"/>
    <w:tmpl w:val="F36E7026"/>
    <w:lvl w:ilvl="0">
      <w:start w:val="1"/>
      <w:numFmt w:val="bullet"/>
      <w:lvlText w:val=""/>
      <w:lvlJc w:val="left"/>
      <w:pPr>
        <w:tabs>
          <w:tab w:val="num" w:pos="360"/>
        </w:tabs>
        <w:ind w:left="170" w:hanging="170"/>
      </w:pPr>
      <w:rPr>
        <w:rFonts w:ascii="Symbol" w:hAnsi="Symbol" w:hint="default"/>
      </w:rPr>
    </w:lvl>
  </w:abstractNum>
  <w:abstractNum w:abstractNumId="1476" w15:restartNumberingAfterBreak="0">
    <w:nsid w:val="5F1F6F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7" w15:restartNumberingAfterBreak="0">
    <w:nsid w:val="5F337418"/>
    <w:multiLevelType w:val="multilevel"/>
    <w:tmpl w:val="0F82534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78" w15:restartNumberingAfterBreak="0">
    <w:nsid w:val="5F371D80"/>
    <w:multiLevelType w:val="multilevel"/>
    <w:tmpl w:val="E4B69CF6"/>
    <w:lvl w:ilvl="0">
      <w:start w:val="15"/>
      <w:numFmt w:val="decimal"/>
      <w:lvlText w:val="%1."/>
      <w:legacy w:legacy="1" w:legacySpace="0" w:legacyIndent="454"/>
      <w:lvlJc w:val="left"/>
      <w:pPr>
        <w:ind w:left="454" w:hanging="454"/>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479" w15:restartNumberingAfterBreak="0">
    <w:nsid w:val="5F57639C"/>
    <w:multiLevelType w:val="multilevel"/>
    <w:tmpl w:val="321853E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80" w15:restartNumberingAfterBreak="0">
    <w:nsid w:val="5F5D3EDA"/>
    <w:multiLevelType w:val="multilevel"/>
    <w:tmpl w:val="1598E22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81" w15:restartNumberingAfterBreak="0">
    <w:nsid w:val="5F6151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2" w15:restartNumberingAfterBreak="0">
    <w:nsid w:val="5F6A2A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3" w15:restartNumberingAfterBreak="0">
    <w:nsid w:val="5F951659"/>
    <w:multiLevelType w:val="singleLevel"/>
    <w:tmpl w:val="2E5A8240"/>
    <w:lvl w:ilvl="0">
      <w:start w:val="1"/>
      <w:numFmt w:val="decimal"/>
      <w:lvlText w:val="%1."/>
      <w:legacy w:legacy="1" w:legacySpace="0" w:legacyIndent="340"/>
      <w:lvlJc w:val="left"/>
      <w:pPr>
        <w:ind w:left="340" w:hanging="340"/>
      </w:pPr>
    </w:lvl>
  </w:abstractNum>
  <w:abstractNum w:abstractNumId="1484" w15:restartNumberingAfterBreak="0">
    <w:nsid w:val="5FF910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5" w15:restartNumberingAfterBreak="0">
    <w:nsid w:val="60172ED1"/>
    <w:multiLevelType w:val="multilevel"/>
    <w:tmpl w:val="8E667826"/>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86" w15:restartNumberingAfterBreak="0">
    <w:nsid w:val="602D712D"/>
    <w:multiLevelType w:val="singleLevel"/>
    <w:tmpl w:val="55E6C1C8"/>
    <w:lvl w:ilvl="0">
      <w:start w:val="1"/>
      <w:numFmt w:val="decimal"/>
      <w:lvlText w:val="%1."/>
      <w:legacy w:legacy="1" w:legacySpace="0" w:legacyIndent="454"/>
      <w:lvlJc w:val="left"/>
      <w:pPr>
        <w:ind w:left="454" w:hanging="454"/>
      </w:pPr>
    </w:lvl>
  </w:abstractNum>
  <w:abstractNum w:abstractNumId="1487" w15:restartNumberingAfterBreak="0">
    <w:nsid w:val="6032269B"/>
    <w:multiLevelType w:val="singleLevel"/>
    <w:tmpl w:val="01822B8A"/>
    <w:lvl w:ilvl="0">
      <w:start w:val="1"/>
      <w:numFmt w:val="decimal"/>
      <w:lvlText w:val="%1."/>
      <w:legacy w:legacy="1" w:legacySpace="0" w:legacyIndent="454"/>
      <w:lvlJc w:val="left"/>
      <w:pPr>
        <w:ind w:left="454" w:hanging="454"/>
      </w:pPr>
    </w:lvl>
  </w:abstractNum>
  <w:abstractNum w:abstractNumId="1488" w15:restartNumberingAfterBreak="0">
    <w:nsid w:val="603B07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9" w15:restartNumberingAfterBreak="0">
    <w:nsid w:val="60543F2A"/>
    <w:multiLevelType w:val="multilevel"/>
    <w:tmpl w:val="C338F5D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90" w15:restartNumberingAfterBreak="0">
    <w:nsid w:val="605970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1" w15:restartNumberingAfterBreak="0">
    <w:nsid w:val="605B57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2" w15:restartNumberingAfterBreak="0">
    <w:nsid w:val="60684D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3" w15:restartNumberingAfterBreak="0">
    <w:nsid w:val="607D6F5E"/>
    <w:multiLevelType w:val="singleLevel"/>
    <w:tmpl w:val="515A5358"/>
    <w:lvl w:ilvl="0">
      <w:start w:val="1"/>
      <w:numFmt w:val="decimal"/>
      <w:lvlText w:val="%1."/>
      <w:legacy w:legacy="1" w:legacySpace="0" w:legacyIndent="454"/>
      <w:lvlJc w:val="left"/>
      <w:pPr>
        <w:ind w:left="454" w:hanging="454"/>
      </w:pPr>
    </w:lvl>
  </w:abstractNum>
  <w:abstractNum w:abstractNumId="1494" w15:restartNumberingAfterBreak="0">
    <w:nsid w:val="60A025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5" w15:restartNumberingAfterBreak="0">
    <w:nsid w:val="60A72A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6" w15:restartNumberingAfterBreak="0">
    <w:nsid w:val="60D63F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7" w15:restartNumberingAfterBreak="0">
    <w:nsid w:val="60E45AC5"/>
    <w:multiLevelType w:val="singleLevel"/>
    <w:tmpl w:val="E72E67D6"/>
    <w:lvl w:ilvl="0">
      <w:start w:val="1"/>
      <w:numFmt w:val="lowerLetter"/>
      <w:lvlText w:val="%1)"/>
      <w:lvlJc w:val="left"/>
      <w:pPr>
        <w:tabs>
          <w:tab w:val="num" w:pos="700"/>
        </w:tabs>
        <w:ind w:left="700" w:hanging="360"/>
      </w:pPr>
      <w:rPr>
        <w:rFonts w:hint="default"/>
      </w:rPr>
    </w:lvl>
  </w:abstractNum>
  <w:abstractNum w:abstractNumId="1498" w15:restartNumberingAfterBreak="0">
    <w:nsid w:val="60F200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9" w15:restartNumberingAfterBreak="0">
    <w:nsid w:val="60F31DF1"/>
    <w:multiLevelType w:val="singleLevel"/>
    <w:tmpl w:val="981E634E"/>
    <w:lvl w:ilvl="0">
      <w:start w:val="15"/>
      <w:numFmt w:val="decimal"/>
      <w:lvlText w:val="%1."/>
      <w:legacy w:legacy="1" w:legacySpace="0" w:legacyIndent="454"/>
      <w:lvlJc w:val="left"/>
      <w:pPr>
        <w:ind w:left="454" w:hanging="454"/>
      </w:pPr>
    </w:lvl>
  </w:abstractNum>
  <w:abstractNum w:abstractNumId="1500" w15:restartNumberingAfterBreak="0">
    <w:nsid w:val="60F741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1" w15:restartNumberingAfterBreak="0">
    <w:nsid w:val="611812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2" w15:restartNumberingAfterBreak="0">
    <w:nsid w:val="611834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3" w15:restartNumberingAfterBreak="0">
    <w:nsid w:val="612A65AC"/>
    <w:multiLevelType w:val="multilevel"/>
    <w:tmpl w:val="68BC6F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04" w15:restartNumberingAfterBreak="0">
    <w:nsid w:val="61511E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5" w15:restartNumberingAfterBreak="0">
    <w:nsid w:val="615D653B"/>
    <w:multiLevelType w:val="singleLevel"/>
    <w:tmpl w:val="44EA2672"/>
    <w:lvl w:ilvl="0">
      <w:start w:val="1"/>
      <w:numFmt w:val="bullet"/>
      <w:lvlText w:val=""/>
      <w:lvlJc w:val="left"/>
      <w:pPr>
        <w:tabs>
          <w:tab w:val="num" w:pos="360"/>
        </w:tabs>
        <w:ind w:left="170" w:hanging="170"/>
      </w:pPr>
      <w:rPr>
        <w:rFonts w:ascii="Symbol" w:hAnsi="Symbol" w:hint="default"/>
      </w:rPr>
    </w:lvl>
  </w:abstractNum>
  <w:abstractNum w:abstractNumId="1506" w15:restartNumberingAfterBreak="0">
    <w:nsid w:val="61607DDD"/>
    <w:multiLevelType w:val="singleLevel"/>
    <w:tmpl w:val="041D000F"/>
    <w:lvl w:ilvl="0">
      <w:start w:val="1"/>
      <w:numFmt w:val="decimal"/>
      <w:lvlText w:val="%1."/>
      <w:lvlJc w:val="left"/>
      <w:pPr>
        <w:tabs>
          <w:tab w:val="num" w:pos="360"/>
        </w:tabs>
        <w:ind w:left="360" w:hanging="360"/>
      </w:pPr>
    </w:lvl>
  </w:abstractNum>
  <w:abstractNum w:abstractNumId="1507" w15:restartNumberingAfterBreak="0">
    <w:nsid w:val="616355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8" w15:restartNumberingAfterBreak="0">
    <w:nsid w:val="6177606F"/>
    <w:multiLevelType w:val="singleLevel"/>
    <w:tmpl w:val="31BA2598"/>
    <w:lvl w:ilvl="0">
      <w:start w:val="1"/>
      <w:numFmt w:val="decimal"/>
      <w:lvlText w:val="%1."/>
      <w:legacy w:legacy="1" w:legacySpace="0" w:legacyIndent="454"/>
      <w:lvlJc w:val="left"/>
      <w:pPr>
        <w:ind w:left="454" w:hanging="454"/>
      </w:pPr>
    </w:lvl>
  </w:abstractNum>
  <w:abstractNum w:abstractNumId="1509" w15:restartNumberingAfterBreak="0">
    <w:nsid w:val="61901D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0" w15:restartNumberingAfterBreak="0">
    <w:nsid w:val="61B06C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1" w15:restartNumberingAfterBreak="0">
    <w:nsid w:val="61B80F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2" w15:restartNumberingAfterBreak="0">
    <w:nsid w:val="61D60B25"/>
    <w:multiLevelType w:val="multilevel"/>
    <w:tmpl w:val="8C646250"/>
    <w:lvl w:ilvl="0">
      <w:start w:val="1"/>
      <w:numFmt w:val="none"/>
      <w:lvlText w:val="%1"/>
      <w:lvlJc w:val="left"/>
      <w:pPr>
        <w:tabs>
          <w:tab w:val="num" w:pos="737"/>
        </w:tabs>
        <w:ind w:left="737" w:hanging="107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13" w15:restartNumberingAfterBreak="0">
    <w:nsid w:val="61F12A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4" w15:restartNumberingAfterBreak="0">
    <w:nsid w:val="61FC50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5" w15:restartNumberingAfterBreak="0">
    <w:nsid w:val="620E00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6" w15:restartNumberingAfterBreak="0">
    <w:nsid w:val="62162B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7" w15:restartNumberingAfterBreak="0">
    <w:nsid w:val="621768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8" w15:restartNumberingAfterBreak="0">
    <w:nsid w:val="622730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9" w15:restartNumberingAfterBreak="0">
    <w:nsid w:val="6227398F"/>
    <w:multiLevelType w:val="singleLevel"/>
    <w:tmpl w:val="BB52DB7A"/>
    <w:lvl w:ilvl="0">
      <w:start w:val="22"/>
      <w:numFmt w:val="decimal"/>
      <w:lvlText w:val="%1."/>
      <w:legacy w:legacy="1" w:legacySpace="0" w:legacyIndent="454"/>
      <w:lvlJc w:val="left"/>
      <w:pPr>
        <w:ind w:left="454" w:hanging="454"/>
      </w:pPr>
    </w:lvl>
  </w:abstractNum>
  <w:abstractNum w:abstractNumId="1520" w15:restartNumberingAfterBreak="0">
    <w:nsid w:val="624009BD"/>
    <w:multiLevelType w:val="multilevel"/>
    <w:tmpl w:val="BAB40C58"/>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21" w15:restartNumberingAfterBreak="0">
    <w:nsid w:val="624664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2" w15:restartNumberingAfterBreak="0">
    <w:nsid w:val="629377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3" w15:restartNumberingAfterBreak="0">
    <w:nsid w:val="629D6D0E"/>
    <w:multiLevelType w:val="singleLevel"/>
    <w:tmpl w:val="46E66C0A"/>
    <w:lvl w:ilvl="0">
      <w:start w:val="1"/>
      <w:numFmt w:val="lowerLetter"/>
      <w:lvlText w:val="%1)"/>
      <w:lvlJc w:val="left"/>
      <w:pPr>
        <w:tabs>
          <w:tab w:val="num" w:pos="700"/>
        </w:tabs>
        <w:ind w:left="700" w:hanging="360"/>
      </w:pPr>
      <w:rPr>
        <w:rFonts w:hint="default"/>
        <w:i/>
      </w:rPr>
    </w:lvl>
  </w:abstractNum>
  <w:abstractNum w:abstractNumId="1524" w15:restartNumberingAfterBreak="0">
    <w:nsid w:val="62A35B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5" w15:restartNumberingAfterBreak="0">
    <w:nsid w:val="62A928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6" w15:restartNumberingAfterBreak="0">
    <w:nsid w:val="62AA64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7" w15:restartNumberingAfterBreak="0">
    <w:nsid w:val="62B51718"/>
    <w:multiLevelType w:val="singleLevel"/>
    <w:tmpl w:val="515A5358"/>
    <w:lvl w:ilvl="0">
      <w:start w:val="1"/>
      <w:numFmt w:val="decimal"/>
      <w:lvlText w:val="%1."/>
      <w:legacy w:legacy="1" w:legacySpace="0" w:legacyIndent="454"/>
      <w:lvlJc w:val="left"/>
      <w:pPr>
        <w:ind w:left="454" w:hanging="454"/>
      </w:pPr>
    </w:lvl>
  </w:abstractNum>
  <w:abstractNum w:abstractNumId="1528" w15:restartNumberingAfterBreak="0">
    <w:nsid w:val="62C316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9" w15:restartNumberingAfterBreak="0">
    <w:nsid w:val="62CC7E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0" w15:restartNumberingAfterBreak="0">
    <w:nsid w:val="62D667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1" w15:restartNumberingAfterBreak="0">
    <w:nsid w:val="62DA08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2" w15:restartNumberingAfterBreak="0">
    <w:nsid w:val="62F819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3" w15:restartNumberingAfterBreak="0">
    <w:nsid w:val="63213700"/>
    <w:multiLevelType w:val="multilevel"/>
    <w:tmpl w:val="79CE62B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34" w15:restartNumberingAfterBreak="0">
    <w:nsid w:val="63254D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5" w15:restartNumberingAfterBreak="0">
    <w:nsid w:val="632669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6" w15:restartNumberingAfterBreak="0">
    <w:nsid w:val="633C3320"/>
    <w:multiLevelType w:val="singleLevel"/>
    <w:tmpl w:val="20522D94"/>
    <w:lvl w:ilvl="0">
      <w:start w:val="1"/>
      <w:numFmt w:val="decimal"/>
      <w:lvlText w:val="%1."/>
      <w:lvlJc w:val="left"/>
      <w:pPr>
        <w:tabs>
          <w:tab w:val="num" w:pos="0"/>
        </w:tabs>
        <w:ind w:left="454" w:hanging="454"/>
      </w:pPr>
      <w:rPr>
        <w:rFonts w:hint="default"/>
      </w:rPr>
    </w:lvl>
  </w:abstractNum>
  <w:abstractNum w:abstractNumId="1537" w15:restartNumberingAfterBreak="0">
    <w:nsid w:val="633D6B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8" w15:restartNumberingAfterBreak="0">
    <w:nsid w:val="63452072"/>
    <w:multiLevelType w:val="singleLevel"/>
    <w:tmpl w:val="19785A7E"/>
    <w:lvl w:ilvl="0">
      <w:start w:val="1"/>
      <w:numFmt w:val="bullet"/>
      <w:lvlText w:val=""/>
      <w:lvlJc w:val="left"/>
      <w:pPr>
        <w:tabs>
          <w:tab w:val="num" w:pos="360"/>
        </w:tabs>
        <w:ind w:left="360" w:hanging="360"/>
      </w:pPr>
      <w:rPr>
        <w:rFonts w:ascii="Symbol" w:hAnsi="Symbol" w:hint="default"/>
      </w:rPr>
    </w:lvl>
  </w:abstractNum>
  <w:abstractNum w:abstractNumId="1539" w15:restartNumberingAfterBreak="0">
    <w:nsid w:val="634B6F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0" w15:restartNumberingAfterBreak="0">
    <w:nsid w:val="634F07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1" w15:restartNumberingAfterBreak="0">
    <w:nsid w:val="635577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2" w15:restartNumberingAfterBreak="0">
    <w:nsid w:val="635748FC"/>
    <w:multiLevelType w:val="multilevel"/>
    <w:tmpl w:val="09C63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43" w15:restartNumberingAfterBreak="0">
    <w:nsid w:val="635B57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4" w15:restartNumberingAfterBreak="0">
    <w:nsid w:val="63812A36"/>
    <w:multiLevelType w:val="multilevel"/>
    <w:tmpl w:val="7CEC01B6"/>
    <w:lvl w:ilvl="0">
      <w:start w:val="2"/>
      <w:numFmt w:val="bullet"/>
      <w:lvlText w:val="-"/>
      <w:lvlJc w:val="left"/>
      <w:pPr>
        <w:tabs>
          <w:tab w:val="num" w:pos="602"/>
        </w:tabs>
        <w:ind w:left="602" w:hanging="375"/>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545" w15:restartNumberingAfterBreak="0">
    <w:nsid w:val="63DF2B08"/>
    <w:multiLevelType w:val="multilevel"/>
    <w:tmpl w:val="2048F52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46" w15:restartNumberingAfterBreak="0">
    <w:nsid w:val="63FA4A00"/>
    <w:multiLevelType w:val="singleLevel"/>
    <w:tmpl w:val="10BC6E9C"/>
    <w:lvl w:ilvl="0">
      <w:start w:val="1"/>
      <w:numFmt w:val="bullet"/>
      <w:lvlText w:val=""/>
      <w:lvlJc w:val="left"/>
      <w:pPr>
        <w:tabs>
          <w:tab w:val="num" w:pos="360"/>
        </w:tabs>
        <w:ind w:left="360" w:hanging="360"/>
      </w:pPr>
      <w:rPr>
        <w:rFonts w:ascii="Symbol" w:hAnsi="Symbol" w:hint="default"/>
      </w:rPr>
    </w:lvl>
  </w:abstractNum>
  <w:abstractNum w:abstractNumId="1547" w15:restartNumberingAfterBreak="0">
    <w:nsid w:val="640567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8" w15:restartNumberingAfterBreak="0">
    <w:nsid w:val="64166B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9" w15:restartNumberingAfterBreak="0">
    <w:nsid w:val="641710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0" w15:restartNumberingAfterBreak="0">
    <w:nsid w:val="6425243D"/>
    <w:multiLevelType w:val="singleLevel"/>
    <w:tmpl w:val="24DEE020"/>
    <w:lvl w:ilvl="0">
      <w:start w:val="1"/>
      <w:numFmt w:val="lowerLetter"/>
      <w:lvlText w:val="%1)"/>
      <w:lvlJc w:val="left"/>
      <w:pPr>
        <w:tabs>
          <w:tab w:val="num" w:pos="360"/>
        </w:tabs>
        <w:ind w:left="0" w:firstLine="0"/>
      </w:pPr>
      <w:rPr>
        <w:rFonts w:hint="default"/>
        <w:i/>
      </w:rPr>
    </w:lvl>
  </w:abstractNum>
  <w:abstractNum w:abstractNumId="1551" w15:restartNumberingAfterBreak="0">
    <w:nsid w:val="643059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2" w15:restartNumberingAfterBreak="0">
    <w:nsid w:val="644032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3" w15:restartNumberingAfterBreak="0">
    <w:nsid w:val="644D25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4" w15:restartNumberingAfterBreak="0">
    <w:nsid w:val="64513C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5" w15:restartNumberingAfterBreak="0">
    <w:nsid w:val="645437D9"/>
    <w:multiLevelType w:val="multilevel"/>
    <w:tmpl w:val="7864F8A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56" w15:restartNumberingAfterBreak="0">
    <w:nsid w:val="645D1136"/>
    <w:multiLevelType w:val="singleLevel"/>
    <w:tmpl w:val="F9A28116"/>
    <w:lvl w:ilvl="0">
      <w:start w:val="22"/>
      <w:numFmt w:val="decimal"/>
      <w:lvlText w:val="%1."/>
      <w:legacy w:legacy="1" w:legacySpace="0" w:legacyIndent="454"/>
      <w:lvlJc w:val="left"/>
      <w:pPr>
        <w:ind w:left="454" w:hanging="454"/>
      </w:pPr>
    </w:lvl>
  </w:abstractNum>
  <w:abstractNum w:abstractNumId="1557" w15:restartNumberingAfterBreak="0">
    <w:nsid w:val="646262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8" w15:restartNumberingAfterBreak="0">
    <w:nsid w:val="646701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9" w15:restartNumberingAfterBreak="0">
    <w:nsid w:val="646717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0" w15:restartNumberingAfterBreak="0">
    <w:nsid w:val="646B2C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1" w15:restartNumberingAfterBreak="0">
    <w:nsid w:val="646D7E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2" w15:restartNumberingAfterBreak="0">
    <w:nsid w:val="64810179"/>
    <w:multiLevelType w:val="singleLevel"/>
    <w:tmpl w:val="594E8374"/>
    <w:lvl w:ilvl="0">
      <w:start w:val="16"/>
      <w:numFmt w:val="decimal"/>
      <w:lvlText w:val="%1"/>
      <w:lvlJc w:val="left"/>
      <w:pPr>
        <w:tabs>
          <w:tab w:val="num" w:pos="420"/>
        </w:tabs>
        <w:ind w:left="420" w:hanging="420"/>
      </w:pPr>
      <w:rPr>
        <w:rFonts w:hint="default"/>
      </w:rPr>
    </w:lvl>
  </w:abstractNum>
  <w:abstractNum w:abstractNumId="1563" w15:restartNumberingAfterBreak="0">
    <w:nsid w:val="64AC68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4" w15:restartNumberingAfterBreak="0">
    <w:nsid w:val="64AD16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5" w15:restartNumberingAfterBreak="0">
    <w:nsid w:val="64D46D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6" w15:restartNumberingAfterBreak="0">
    <w:nsid w:val="64E72DE4"/>
    <w:multiLevelType w:val="singleLevel"/>
    <w:tmpl w:val="FFFFFFFF"/>
    <w:lvl w:ilvl="0">
      <w:numFmt w:val="decimal"/>
      <w:lvlText w:val="*"/>
      <w:lvlJc w:val="left"/>
    </w:lvl>
  </w:abstractNum>
  <w:abstractNum w:abstractNumId="1567" w15:restartNumberingAfterBreak="0">
    <w:nsid w:val="650F2B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8" w15:restartNumberingAfterBreak="0">
    <w:nsid w:val="65105C65"/>
    <w:multiLevelType w:val="multilevel"/>
    <w:tmpl w:val="0CFC81EA"/>
    <w:lvl w:ilvl="0">
      <w:start w:val="8"/>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69" w15:restartNumberingAfterBreak="0">
    <w:nsid w:val="651641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0" w15:restartNumberingAfterBreak="0">
    <w:nsid w:val="654668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1" w15:restartNumberingAfterBreak="0">
    <w:nsid w:val="655A03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2" w15:restartNumberingAfterBreak="0">
    <w:nsid w:val="65A77360"/>
    <w:multiLevelType w:val="multilevel"/>
    <w:tmpl w:val="24DC6CB4"/>
    <w:lvl w:ilvl="0">
      <w:start w:val="1"/>
      <w:numFmt w:val="decimal"/>
      <w:lvlText w:val="%1)"/>
      <w:lvlJc w:val="left"/>
      <w:pPr>
        <w:tabs>
          <w:tab w:val="num" w:pos="405"/>
        </w:tabs>
        <w:ind w:left="405" w:hanging="360"/>
      </w:pPr>
      <w:rPr>
        <w:rFonts w:hint="default"/>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1573" w15:restartNumberingAfterBreak="0">
    <w:nsid w:val="65C505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4" w15:restartNumberingAfterBreak="0">
    <w:nsid w:val="65CB706A"/>
    <w:multiLevelType w:val="multilevel"/>
    <w:tmpl w:val="0302C91E"/>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75" w15:restartNumberingAfterBreak="0">
    <w:nsid w:val="65E728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6" w15:restartNumberingAfterBreak="0">
    <w:nsid w:val="65EC66B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577" w15:restartNumberingAfterBreak="0">
    <w:nsid w:val="662441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8" w15:restartNumberingAfterBreak="0">
    <w:nsid w:val="666E47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9" w15:restartNumberingAfterBreak="0">
    <w:nsid w:val="666E5E7F"/>
    <w:multiLevelType w:val="singleLevel"/>
    <w:tmpl w:val="96D28B62"/>
    <w:lvl w:ilvl="0">
      <w:start w:val="1"/>
      <w:numFmt w:val="decimal"/>
      <w:lvlText w:val="%1."/>
      <w:legacy w:legacy="1" w:legacySpace="0" w:legacyIndent="454"/>
      <w:lvlJc w:val="left"/>
      <w:pPr>
        <w:ind w:left="454" w:hanging="454"/>
      </w:pPr>
    </w:lvl>
  </w:abstractNum>
  <w:abstractNum w:abstractNumId="1580" w15:restartNumberingAfterBreak="0">
    <w:nsid w:val="6684341F"/>
    <w:multiLevelType w:val="multilevel"/>
    <w:tmpl w:val="222EB282"/>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81" w15:restartNumberingAfterBreak="0">
    <w:nsid w:val="66A04C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2" w15:restartNumberingAfterBreak="0">
    <w:nsid w:val="66A753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3" w15:restartNumberingAfterBreak="0">
    <w:nsid w:val="66B206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4" w15:restartNumberingAfterBreak="0">
    <w:nsid w:val="66C014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5" w15:restartNumberingAfterBreak="0">
    <w:nsid w:val="66D838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6" w15:restartNumberingAfterBreak="0">
    <w:nsid w:val="670028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7" w15:restartNumberingAfterBreak="0">
    <w:nsid w:val="67311E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8" w15:restartNumberingAfterBreak="0">
    <w:nsid w:val="674051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9" w15:restartNumberingAfterBreak="0">
    <w:nsid w:val="677A6D8C"/>
    <w:multiLevelType w:val="singleLevel"/>
    <w:tmpl w:val="041D000F"/>
    <w:lvl w:ilvl="0">
      <w:start w:val="1"/>
      <w:numFmt w:val="decimal"/>
      <w:lvlText w:val="%1."/>
      <w:lvlJc w:val="left"/>
      <w:pPr>
        <w:tabs>
          <w:tab w:val="num" w:pos="360"/>
        </w:tabs>
        <w:ind w:left="360" w:hanging="360"/>
      </w:pPr>
      <w:rPr>
        <w:rFonts w:hint="default"/>
      </w:rPr>
    </w:lvl>
  </w:abstractNum>
  <w:abstractNum w:abstractNumId="1590" w15:restartNumberingAfterBreak="0">
    <w:nsid w:val="67881A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1" w15:restartNumberingAfterBreak="0">
    <w:nsid w:val="678946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2" w15:restartNumberingAfterBreak="0">
    <w:nsid w:val="678A65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3" w15:restartNumberingAfterBreak="0">
    <w:nsid w:val="679220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4" w15:restartNumberingAfterBreak="0">
    <w:nsid w:val="679746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5" w15:restartNumberingAfterBreak="0">
    <w:nsid w:val="679E76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6" w15:restartNumberingAfterBreak="0">
    <w:nsid w:val="67A33325"/>
    <w:multiLevelType w:val="singleLevel"/>
    <w:tmpl w:val="BBDEA5D2"/>
    <w:lvl w:ilvl="0">
      <w:start w:val="1"/>
      <w:numFmt w:val="decimal"/>
      <w:lvlText w:val="%1."/>
      <w:legacy w:legacy="1" w:legacySpace="0" w:legacyIndent="284"/>
      <w:lvlJc w:val="left"/>
      <w:pPr>
        <w:ind w:left="1191" w:hanging="284"/>
      </w:pPr>
    </w:lvl>
  </w:abstractNum>
  <w:abstractNum w:abstractNumId="1597" w15:restartNumberingAfterBreak="0">
    <w:nsid w:val="67A741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8" w15:restartNumberingAfterBreak="0">
    <w:nsid w:val="67AD33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9" w15:restartNumberingAfterBreak="0">
    <w:nsid w:val="67B843A0"/>
    <w:multiLevelType w:val="singleLevel"/>
    <w:tmpl w:val="40DE18A4"/>
    <w:lvl w:ilvl="0">
      <w:start w:val="3"/>
      <w:numFmt w:val="bullet"/>
      <w:lvlText w:val="-"/>
      <w:lvlJc w:val="left"/>
      <w:pPr>
        <w:tabs>
          <w:tab w:val="num" w:pos="360"/>
        </w:tabs>
        <w:ind w:left="360" w:hanging="360"/>
      </w:pPr>
      <w:rPr>
        <w:rFonts w:hint="default"/>
      </w:rPr>
    </w:lvl>
  </w:abstractNum>
  <w:abstractNum w:abstractNumId="1600" w15:restartNumberingAfterBreak="0">
    <w:nsid w:val="67BC6A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1" w15:restartNumberingAfterBreak="0">
    <w:nsid w:val="67D521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2" w15:restartNumberingAfterBreak="0">
    <w:nsid w:val="67E6232A"/>
    <w:multiLevelType w:val="singleLevel"/>
    <w:tmpl w:val="743EE77A"/>
    <w:lvl w:ilvl="0">
      <w:start w:val="1"/>
      <w:numFmt w:val="decimal"/>
      <w:lvlText w:val="%1."/>
      <w:legacy w:legacy="1" w:legacySpace="0" w:legacyIndent="454"/>
      <w:lvlJc w:val="left"/>
      <w:pPr>
        <w:ind w:left="454" w:hanging="454"/>
      </w:pPr>
    </w:lvl>
  </w:abstractNum>
  <w:abstractNum w:abstractNumId="1603" w15:restartNumberingAfterBreak="0">
    <w:nsid w:val="67EE6236"/>
    <w:multiLevelType w:val="multilevel"/>
    <w:tmpl w:val="08CCCE4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04" w15:restartNumberingAfterBreak="0">
    <w:nsid w:val="67FC07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5" w15:restartNumberingAfterBreak="0">
    <w:nsid w:val="67FC692F"/>
    <w:multiLevelType w:val="singleLevel"/>
    <w:tmpl w:val="041D000F"/>
    <w:lvl w:ilvl="0">
      <w:start w:val="1"/>
      <w:numFmt w:val="decimal"/>
      <w:lvlText w:val="%1."/>
      <w:lvlJc w:val="left"/>
      <w:pPr>
        <w:tabs>
          <w:tab w:val="num" w:pos="360"/>
        </w:tabs>
        <w:ind w:left="360" w:hanging="360"/>
      </w:pPr>
    </w:lvl>
  </w:abstractNum>
  <w:abstractNum w:abstractNumId="1606" w15:restartNumberingAfterBreak="0">
    <w:nsid w:val="680B39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7" w15:restartNumberingAfterBreak="0">
    <w:nsid w:val="680D1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8" w15:restartNumberingAfterBreak="0">
    <w:nsid w:val="68247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9" w15:restartNumberingAfterBreak="0">
    <w:nsid w:val="68390F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0" w15:restartNumberingAfterBreak="0">
    <w:nsid w:val="683910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1" w15:restartNumberingAfterBreak="0">
    <w:nsid w:val="68611F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2" w15:restartNumberingAfterBreak="0">
    <w:nsid w:val="68641B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3" w15:restartNumberingAfterBreak="0">
    <w:nsid w:val="687349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4" w15:restartNumberingAfterBreak="0">
    <w:nsid w:val="68AD71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5" w15:restartNumberingAfterBreak="0">
    <w:nsid w:val="68B47C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6" w15:restartNumberingAfterBreak="0">
    <w:nsid w:val="68B838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7" w15:restartNumberingAfterBreak="0">
    <w:nsid w:val="68DD2162"/>
    <w:multiLevelType w:val="singleLevel"/>
    <w:tmpl w:val="7FE86C8C"/>
    <w:lvl w:ilvl="0">
      <w:start w:val="1"/>
      <w:numFmt w:val="bullet"/>
      <w:lvlText w:val=""/>
      <w:lvlJc w:val="left"/>
      <w:pPr>
        <w:tabs>
          <w:tab w:val="num" w:pos="360"/>
        </w:tabs>
        <w:ind w:left="227" w:hanging="227"/>
      </w:pPr>
      <w:rPr>
        <w:rFonts w:ascii="Symbol" w:hAnsi="Symbol" w:hint="default"/>
      </w:rPr>
    </w:lvl>
  </w:abstractNum>
  <w:abstractNum w:abstractNumId="1618" w15:restartNumberingAfterBreak="0">
    <w:nsid w:val="68DE6A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9" w15:restartNumberingAfterBreak="0">
    <w:nsid w:val="68DF028E"/>
    <w:multiLevelType w:val="multilevel"/>
    <w:tmpl w:val="CD98D494"/>
    <w:lvl w:ilvl="0">
      <w:start w:val="2"/>
      <w:numFmt w:val="lowerLetter"/>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620" w15:restartNumberingAfterBreak="0">
    <w:nsid w:val="68EB40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1" w15:restartNumberingAfterBreak="0">
    <w:nsid w:val="69007B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2" w15:restartNumberingAfterBreak="0">
    <w:nsid w:val="69193E0D"/>
    <w:multiLevelType w:val="multilevel"/>
    <w:tmpl w:val="8048A810"/>
    <w:lvl w:ilvl="0">
      <w:start w:val="2"/>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23" w15:restartNumberingAfterBreak="0">
    <w:nsid w:val="69262316"/>
    <w:multiLevelType w:val="multilevel"/>
    <w:tmpl w:val="17EE60A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24" w15:restartNumberingAfterBreak="0">
    <w:nsid w:val="693563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5" w15:restartNumberingAfterBreak="0">
    <w:nsid w:val="695C3320"/>
    <w:multiLevelType w:val="singleLevel"/>
    <w:tmpl w:val="BBDEA5D2"/>
    <w:lvl w:ilvl="0">
      <w:start w:val="1"/>
      <w:numFmt w:val="decimal"/>
      <w:lvlText w:val="%1."/>
      <w:legacy w:legacy="1" w:legacySpace="0" w:legacyIndent="284"/>
      <w:lvlJc w:val="left"/>
      <w:pPr>
        <w:ind w:left="1191" w:hanging="284"/>
      </w:pPr>
    </w:lvl>
  </w:abstractNum>
  <w:abstractNum w:abstractNumId="1626" w15:restartNumberingAfterBreak="0">
    <w:nsid w:val="696818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7" w15:restartNumberingAfterBreak="0">
    <w:nsid w:val="69745D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8" w15:restartNumberingAfterBreak="0">
    <w:nsid w:val="69CA45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9" w15:restartNumberingAfterBreak="0">
    <w:nsid w:val="69D25F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0" w15:restartNumberingAfterBreak="0">
    <w:nsid w:val="69E007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1" w15:restartNumberingAfterBreak="0">
    <w:nsid w:val="69E25984"/>
    <w:multiLevelType w:val="multilevel"/>
    <w:tmpl w:val="CD98F97E"/>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632" w15:restartNumberingAfterBreak="0">
    <w:nsid w:val="69F06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3" w15:restartNumberingAfterBreak="0">
    <w:nsid w:val="6A145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4" w15:restartNumberingAfterBreak="0">
    <w:nsid w:val="6A2978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5" w15:restartNumberingAfterBreak="0">
    <w:nsid w:val="6A3713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6" w15:restartNumberingAfterBreak="0">
    <w:nsid w:val="6A4477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7" w15:restartNumberingAfterBreak="0">
    <w:nsid w:val="6A463F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8" w15:restartNumberingAfterBreak="0">
    <w:nsid w:val="6A5351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9" w15:restartNumberingAfterBreak="0">
    <w:nsid w:val="6A6567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0" w15:restartNumberingAfterBreak="0">
    <w:nsid w:val="6A6E50FF"/>
    <w:multiLevelType w:val="multilevel"/>
    <w:tmpl w:val="1ACA1AE2"/>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41" w15:restartNumberingAfterBreak="0">
    <w:nsid w:val="6A7317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2" w15:restartNumberingAfterBreak="0">
    <w:nsid w:val="6A7C6262"/>
    <w:multiLevelType w:val="multilevel"/>
    <w:tmpl w:val="E786C056"/>
    <w:lvl w:ilvl="0">
      <w:start w:val="1"/>
      <w:numFmt w:val="bullet"/>
      <w:lvlRestart w:val="0"/>
      <w:lvlText w:val=""/>
      <w:lvlJc w:val="left"/>
      <w:pPr>
        <w:tabs>
          <w:tab w:val="num" w:pos="357"/>
        </w:tabs>
        <w:ind w:left="357" w:hanging="357"/>
      </w:pPr>
      <w:rPr>
        <w:rFonts w:ascii="Symbol" w:hAnsi="Symbol"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43" w15:restartNumberingAfterBreak="0">
    <w:nsid w:val="6A8244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4" w15:restartNumberingAfterBreak="0">
    <w:nsid w:val="6A9D62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5" w15:restartNumberingAfterBreak="0">
    <w:nsid w:val="6AA33B43"/>
    <w:multiLevelType w:val="multilevel"/>
    <w:tmpl w:val="E8826420"/>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46" w15:restartNumberingAfterBreak="0">
    <w:nsid w:val="6AAA51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7" w15:restartNumberingAfterBreak="0">
    <w:nsid w:val="6AAD43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8" w15:restartNumberingAfterBreak="0">
    <w:nsid w:val="6AAF07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9" w15:restartNumberingAfterBreak="0">
    <w:nsid w:val="6AB73B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0" w15:restartNumberingAfterBreak="0">
    <w:nsid w:val="6ABE3703"/>
    <w:multiLevelType w:val="multilevel"/>
    <w:tmpl w:val="4224E72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51" w15:restartNumberingAfterBreak="0">
    <w:nsid w:val="6AC1301E"/>
    <w:multiLevelType w:val="singleLevel"/>
    <w:tmpl w:val="01822B8A"/>
    <w:lvl w:ilvl="0">
      <w:start w:val="1"/>
      <w:numFmt w:val="decimal"/>
      <w:lvlText w:val="%1."/>
      <w:legacy w:legacy="1" w:legacySpace="0" w:legacyIndent="454"/>
      <w:lvlJc w:val="left"/>
      <w:pPr>
        <w:ind w:left="454" w:hanging="454"/>
      </w:pPr>
    </w:lvl>
  </w:abstractNum>
  <w:abstractNum w:abstractNumId="1652" w15:restartNumberingAfterBreak="0">
    <w:nsid w:val="6ADA7B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3" w15:restartNumberingAfterBreak="0">
    <w:nsid w:val="6AEB7A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4" w15:restartNumberingAfterBreak="0">
    <w:nsid w:val="6B0313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5" w15:restartNumberingAfterBreak="0">
    <w:nsid w:val="6B0873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6" w15:restartNumberingAfterBreak="0">
    <w:nsid w:val="6B0A1B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7" w15:restartNumberingAfterBreak="0">
    <w:nsid w:val="6B1002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8" w15:restartNumberingAfterBreak="0">
    <w:nsid w:val="6B265E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9" w15:restartNumberingAfterBreak="0">
    <w:nsid w:val="6B294B0A"/>
    <w:multiLevelType w:val="multilevel"/>
    <w:tmpl w:val="AC18AA6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60" w15:restartNumberingAfterBreak="0">
    <w:nsid w:val="6B2F3162"/>
    <w:multiLevelType w:val="singleLevel"/>
    <w:tmpl w:val="7C0690A2"/>
    <w:lvl w:ilvl="0">
      <w:start w:val="735"/>
      <w:numFmt w:val="bullet"/>
      <w:lvlText w:val="–"/>
      <w:lvlJc w:val="left"/>
      <w:pPr>
        <w:tabs>
          <w:tab w:val="num" w:pos="360"/>
        </w:tabs>
        <w:ind w:left="360" w:hanging="360"/>
      </w:pPr>
      <w:rPr>
        <w:rFonts w:hint="default"/>
      </w:rPr>
    </w:lvl>
  </w:abstractNum>
  <w:abstractNum w:abstractNumId="1661" w15:restartNumberingAfterBreak="0">
    <w:nsid w:val="6B30613C"/>
    <w:multiLevelType w:val="multilevel"/>
    <w:tmpl w:val="1130A694"/>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1662" w15:restartNumberingAfterBreak="0">
    <w:nsid w:val="6B3D53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3" w15:restartNumberingAfterBreak="0">
    <w:nsid w:val="6B3F21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4" w15:restartNumberingAfterBreak="0">
    <w:nsid w:val="6B3F22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5" w15:restartNumberingAfterBreak="0">
    <w:nsid w:val="6B4D2B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6" w15:restartNumberingAfterBreak="0">
    <w:nsid w:val="6B5D1A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7" w15:restartNumberingAfterBreak="0">
    <w:nsid w:val="6B670C66"/>
    <w:multiLevelType w:val="singleLevel"/>
    <w:tmpl w:val="01822B8A"/>
    <w:lvl w:ilvl="0">
      <w:start w:val="1"/>
      <w:numFmt w:val="decimal"/>
      <w:lvlText w:val="%1."/>
      <w:legacy w:legacy="1" w:legacySpace="0" w:legacyIndent="454"/>
      <w:lvlJc w:val="left"/>
      <w:pPr>
        <w:ind w:left="454" w:hanging="454"/>
      </w:pPr>
    </w:lvl>
  </w:abstractNum>
  <w:abstractNum w:abstractNumId="1668" w15:restartNumberingAfterBreak="0">
    <w:nsid w:val="6B8174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9" w15:restartNumberingAfterBreak="0">
    <w:nsid w:val="6B852CA9"/>
    <w:multiLevelType w:val="multilevel"/>
    <w:tmpl w:val="2AF093CE"/>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1670" w15:restartNumberingAfterBreak="0">
    <w:nsid w:val="6B944D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1" w15:restartNumberingAfterBreak="0">
    <w:nsid w:val="6B950B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2" w15:restartNumberingAfterBreak="0">
    <w:nsid w:val="6BAC74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3" w15:restartNumberingAfterBreak="0">
    <w:nsid w:val="6BB728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4" w15:restartNumberingAfterBreak="0">
    <w:nsid w:val="6BCA6B18"/>
    <w:multiLevelType w:val="singleLevel"/>
    <w:tmpl w:val="7664513A"/>
    <w:lvl w:ilvl="0">
      <w:start w:val="22"/>
      <w:numFmt w:val="lowerLetter"/>
      <w:lvlText w:val="%1)"/>
      <w:lvlJc w:val="left"/>
      <w:pPr>
        <w:tabs>
          <w:tab w:val="num" w:pos="644"/>
        </w:tabs>
        <w:ind w:left="644" w:hanging="360"/>
      </w:pPr>
      <w:rPr>
        <w:rFonts w:hint="default"/>
      </w:rPr>
    </w:lvl>
  </w:abstractNum>
  <w:abstractNum w:abstractNumId="1675" w15:restartNumberingAfterBreak="0">
    <w:nsid w:val="6BD921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6" w15:restartNumberingAfterBreak="0">
    <w:nsid w:val="6BDB01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7" w15:restartNumberingAfterBreak="0">
    <w:nsid w:val="6BE56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8" w15:restartNumberingAfterBreak="0">
    <w:nsid w:val="6BE570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79" w15:restartNumberingAfterBreak="0">
    <w:nsid w:val="6C0A0F17"/>
    <w:multiLevelType w:val="multilevel"/>
    <w:tmpl w:val="39E465F4"/>
    <w:lvl w:ilvl="0">
      <w:start w:val="1"/>
      <w:numFmt w:val="decimal"/>
      <w:lvlText w:val="%1."/>
      <w:lvlJc w:val="left"/>
      <w:pPr>
        <w:tabs>
          <w:tab w:val="num" w:pos="707"/>
        </w:tabs>
        <w:ind w:left="707" w:hanging="48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680" w15:restartNumberingAfterBreak="0">
    <w:nsid w:val="6C1C3B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1" w15:restartNumberingAfterBreak="0">
    <w:nsid w:val="6C3A3E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2" w15:restartNumberingAfterBreak="0">
    <w:nsid w:val="6C3E43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3" w15:restartNumberingAfterBreak="0">
    <w:nsid w:val="6C3F09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4" w15:restartNumberingAfterBreak="0">
    <w:nsid w:val="6C4307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5" w15:restartNumberingAfterBreak="0">
    <w:nsid w:val="6C6477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6" w15:restartNumberingAfterBreak="0">
    <w:nsid w:val="6C763CE5"/>
    <w:multiLevelType w:val="singleLevel"/>
    <w:tmpl w:val="E7680DD4"/>
    <w:lvl w:ilvl="0">
      <w:start w:val="1"/>
      <w:numFmt w:val="decimal"/>
      <w:lvlText w:val="%1."/>
      <w:lvlJc w:val="left"/>
      <w:pPr>
        <w:tabs>
          <w:tab w:val="num" w:pos="360"/>
        </w:tabs>
        <w:ind w:left="360" w:hanging="360"/>
      </w:pPr>
    </w:lvl>
  </w:abstractNum>
  <w:abstractNum w:abstractNumId="1687" w15:restartNumberingAfterBreak="0">
    <w:nsid w:val="6C7A6602"/>
    <w:multiLevelType w:val="multilevel"/>
    <w:tmpl w:val="340E5E1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88" w15:restartNumberingAfterBreak="0">
    <w:nsid w:val="6C7D3472"/>
    <w:multiLevelType w:val="multilevel"/>
    <w:tmpl w:val="2DD6E31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89" w15:restartNumberingAfterBreak="0">
    <w:nsid w:val="6C997899"/>
    <w:multiLevelType w:val="singleLevel"/>
    <w:tmpl w:val="041D000F"/>
    <w:lvl w:ilvl="0">
      <w:start w:val="1"/>
      <w:numFmt w:val="decimal"/>
      <w:lvlText w:val="%1."/>
      <w:lvlJc w:val="left"/>
      <w:pPr>
        <w:tabs>
          <w:tab w:val="num" w:pos="360"/>
        </w:tabs>
        <w:ind w:left="360" w:hanging="360"/>
      </w:pPr>
      <w:rPr>
        <w:rFonts w:hint="default"/>
      </w:rPr>
    </w:lvl>
  </w:abstractNum>
  <w:abstractNum w:abstractNumId="1690" w15:restartNumberingAfterBreak="0">
    <w:nsid w:val="6CA12E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1" w15:restartNumberingAfterBreak="0">
    <w:nsid w:val="6CA711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2" w15:restartNumberingAfterBreak="0">
    <w:nsid w:val="6CC6451C"/>
    <w:multiLevelType w:val="singleLevel"/>
    <w:tmpl w:val="041D000F"/>
    <w:lvl w:ilvl="0">
      <w:start w:val="1"/>
      <w:numFmt w:val="decimal"/>
      <w:lvlText w:val="%1."/>
      <w:lvlJc w:val="left"/>
      <w:pPr>
        <w:tabs>
          <w:tab w:val="num" w:pos="360"/>
        </w:tabs>
        <w:ind w:left="360" w:hanging="360"/>
      </w:pPr>
    </w:lvl>
  </w:abstractNum>
  <w:abstractNum w:abstractNumId="1693" w15:restartNumberingAfterBreak="0">
    <w:nsid w:val="6CCA3D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4" w15:restartNumberingAfterBreak="0">
    <w:nsid w:val="6CD500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5" w15:restartNumberingAfterBreak="0">
    <w:nsid w:val="6CEA0D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6" w15:restartNumberingAfterBreak="0">
    <w:nsid w:val="6D593E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7" w15:restartNumberingAfterBreak="0">
    <w:nsid w:val="6D620C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8" w15:restartNumberingAfterBreak="0">
    <w:nsid w:val="6D7C78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9" w15:restartNumberingAfterBreak="0">
    <w:nsid w:val="6D843E64"/>
    <w:multiLevelType w:val="singleLevel"/>
    <w:tmpl w:val="7300449E"/>
    <w:lvl w:ilvl="0">
      <w:start w:val="1"/>
      <w:numFmt w:val="decimal"/>
      <w:lvlText w:val="%1."/>
      <w:legacy w:legacy="1" w:legacySpace="0" w:legacyIndent="283"/>
      <w:lvlJc w:val="left"/>
      <w:pPr>
        <w:ind w:left="283" w:hanging="283"/>
      </w:pPr>
    </w:lvl>
  </w:abstractNum>
  <w:abstractNum w:abstractNumId="1700" w15:restartNumberingAfterBreak="0">
    <w:nsid w:val="6DC73EF5"/>
    <w:multiLevelType w:val="multilevel"/>
    <w:tmpl w:val="26469CC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01" w15:restartNumberingAfterBreak="0">
    <w:nsid w:val="6DD005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2" w15:restartNumberingAfterBreak="0">
    <w:nsid w:val="6DEE15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3" w15:restartNumberingAfterBreak="0">
    <w:nsid w:val="6DF10482"/>
    <w:multiLevelType w:val="multilevel"/>
    <w:tmpl w:val="5CF241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04" w15:restartNumberingAfterBreak="0">
    <w:nsid w:val="6E0051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5" w15:restartNumberingAfterBreak="0">
    <w:nsid w:val="6E0574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6" w15:restartNumberingAfterBreak="0">
    <w:nsid w:val="6E0E622B"/>
    <w:multiLevelType w:val="singleLevel"/>
    <w:tmpl w:val="041D000F"/>
    <w:lvl w:ilvl="0">
      <w:start w:val="1"/>
      <w:numFmt w:val="decimal"/>
      <w:lvlText w:val="%1."/>
      <w:lvlJc w:val="left"/>
      <w:pPr>
        <w:tabs>
          <w:tab w:val="num" w:pos="360"/>
        </w:tabs>
        <w:ind w:left="360" w:hanging="360"/>
      </w:pPr>
    </w:lvl>
  </w:abstractNum>
  <w:abstractNum w:abstractNumId="1707" w15:restartNumberingAfterBreak="0">
    <w:nsid w:val="6E161D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8" w15:restartNumberingAfterBreak="0">
    <w:nsid w:val="6E1973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9" w15:restartNumberingAfterBreak="0">
    <w:nsid w:val="6E255512"/>
    <w:multiLevelType w:val="singleLevel"/>
    <w:tmpl w:val="A686D406"/>
    <w:lvl w:ilvl="0">
      <w:start w:val="1"/>
      <w:numFmt w:val="decimal"/>
      <w:lvlText w:val="%1."/>
      <w:lvlJc w:val="left"/>
      <w:pPr>
        <w:tabs>
          <w:tab w:val="num" w:pos="700"/>
        </w:tabs>
        <w:ind w:left="700" w:hanging="360"/>
      </w:pPr>
      <w:rPr>
        <w:rFonts w:hint="default"/>
      </w:rPr>
    </w:lvl>
  </w:abstractNum>
  <w:abstractNum w:abstractNumId="1710" w15:restartNumberingAfterBreak="0">
    <w:nsid w:val="6E2710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1" w15:restartNumberingAfterBreak="0">
    <w:nsid w:val="6E3F4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2" w15:restartNumberingAfterBreak="0">
    <w:nsid w:val="6E4647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3" w15:restartNumberingAfterBreak="0">
    <w:nsid w:val="6E5D29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4" w15:restartNumberingAfterBreak="0">
    <w:nsid w:val="6E627585"/>
    <w:multiLevelType w:val="singleLevel"/>
    <w:tmpl w:val="CA5E1CDC"/>
    <w:lvl w:ilvl="0">
      <w:start w:val="1"/>
      <w:numFmt w:val="decimal"/>
      <w:lvlText w:val="%1."/>
      <w:legacy w:legacy="1" w:legacySpace="0" w:legacyIndent="454"/>
      <w:lvlJc w:val="left"/>
      <w:pPr>
        <w:ind w:left="454" w:hanging="454"/>
      </w:pPr>
    </w:lvl>
  </w:abstractNum>
  <w:abstractNum w:abstractNumId="1715" w15:restartNumberingAfterBreak="0">
    <w:nsid w:val="6E6616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6" w15:restartNumberingAfterBreak="0">
    <w:nsid w:val="6E6C02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7" w15:restartNumberingAfterBreak="0">
    <w:nsid w:val="6E7A1096"/>
    <w:multiLevelType w:val="singleLevel"/>
    <w:tmpl w:val="C6D6AEB0"/>
    <w:lvl w:ilvl="0">
      <w:start w:val="1"/>
      <w:numFmt w:val="bullet"/>
      <w:lvlText w:val=""/>
      <w:lvlJc w:val="left"/>
      <w:pPr>
        <w:tabs>
          <w:tab w:val="num" w:pos="360"/>
        </w:tabs>
        <w:ind w:left="360" w:hanging="360"/>
      </w:pPr>
      <w:rPr>
        <w:rFonts w:ascii="Symbol" w:hAnsi="Symbol" w:hint="default"/>
      </w:rPr>
    </w:lvl>
  </w:abstractNum>
  <w:abstractNum w:abstractNumId="1718" w15:restartNumberingAfterBreak="0">
    <w:nsid w:val="6E9E6EB3"/>
    <w:multiLevelType w:val="multilevel"/>
    <w:tmpl w:val="4A40D14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19" w15:restartNumberingAfterBreak="0">
    <w:nsid w:val="6EA33763"/>
    <w:multiLevelType w:val="multilevel"/>
    <w:tmpl w:val="2C424532"/>
    <w:lvl w:ilvl="0">
      <w:start w:val="1"/>
      <w:numFmt w:val="bullet"/>
      <w:lvlText w:val=""/>
      <w:lvlJc w:val="left"/>
      <w:pPr>
        <w:tabs>
          <w:tab w:val="num" w:pos="996"/>
        </w:tabs>
        <w:ind w:left="996" w:hanging="360"/>
      </w:pPr>
      <w:rPr>
        <w:rFonts w:ascii="Symbol" w:hAnsi="Symbol" w:hint="default"/>
      </w:rPr>
    </w:lvl>
    <w:lvl w:ilvl="1" w:tentative="1">
      <w:start w:val="1"/>
      <w:numFmt w:val="bullet"/>
      <w:lvlText w:val="o"/>
      <w:lvlJc w:val="left"/>
      <w:pPr>
        <w:tabs>
          <w:tab w:val="num" w:pos="1716"/>
        </w:tabs>
        <w:ind w:left="1716" w:hanging="360"/>
      </w:pPr>
      <w:rPr>
        <w:rFonts w:ascii="Courier New" w:hAnsi="Courier New" w:hint="default"/>
      </w:rPr>
    </w:lvl>
    <w:lvl w:ilvl="2" w:tentative="1">
      <w:start w:val="1"/>
      <w:numFmt w:val="bullet"/>
      <w:lvlText w:val=""/>
      <w:lvlJc w:val="left"/>
      <w:pPr>
        <w:tabs>
          <w:tab w:val="num" w:pos="2436"/>
        </w:tabs>
        <w:ind w:left="2436" w:hanging="360"/>
      </w:pPr>
      <w:rPr>
        <w:rFonts w:ascii="Wingdings" w:hAnsi="Wingdings" w:hint="default"/>
      </w:rPr>
    </w:lvl>
    <w:lvl w:ilvl="3" w:tentative="1">
      <w:start w:val="1"/>
      <w:numFmt w:val="bullet"/>
      <w:lvlText w:val=""/>
      <w:lvlJc w:val="left"/>
      <w:pPr>
        <w:tabs>
          <w:tab w:val="num" w:pos="3156"/>
        </w:tabs>
        <w:ind w:left="3156" w:hanging="360"/>
      </w:pPr>
      <w:rPr>
        <w:rFonts w:ascii="Symbol" w:hAnsi="Symbol" w:hint="default"/>
      </w:rPr>
    </w:lvl>
    <w:lvl w:ilvl="4" w:tentative="1">
      <w:start w:val="1"/>
      <w:numFmt w:val="bullet"/>
      <w:lvlText w:val="o"/>
      <w:lvlJc w:val="left"/>
      <w:pPr>
        <w:tabs>
          <w:tab w:val="num" w:pos="3876"/>
        </w:tabs>
        <w:ind w:left="3876" w:hanging="360"/>
      </w:pPr>
      <w:rPr>
        <w:rFonts w:ascii="Courier New" w:hAnsi="Courier New" w:hint="default"/>
      </w:rPr>
    </w:lvl>
    <w:lvl w:ilvl="5" w:tentative="1">
      <w:start w:val="1"/>
      <w:numFmt w:val="bullet"/>
      <w:lvlText w:val=""/>
      <w:lvlJc w:val="left"/>
      <w:pPr>
        <w:tabs>
          <w:tab w:val="num" w:pos="4596"/>
        </w:tabs>
        <w:ind w:left="4596" w:hanging="360"/>
      </w:pPr>
      <w:rPr>
        <w:rFonts w:ascii="Wingdings" w:hAnsi="Wingdings" w:hint="default"/>
      </w:rPr>
    </w:lvl>
    <w:lvl w:ilvl="6" w:tentative="1">
      <w:start w:val="1"/>
      <w:numFmt w:val="bullet"/>
      <w:lvlText w:val=""/>
      <w:lvlJc w:val="left"/>
      <w:pPr>
        <w:tabs>
          <w:tab w:val="num" w:pos="5316"/>
        </w:tabs>
        <w:ind w:left="5316" w:hanging="360"/>
      </w:pPr>
      <w:rPr>
        <w:rFonts w:ascii="Symbol" w:hAnsi="Symbol" w:hint="default"/>
      </w:rPr>
    </w:lvl>
    <w:lvl w:ilvl="7" w:tentative="1">
      <w:start w:val="1"/>
      <w:numFmt w:val="bullet"/>
      <w:lvlText w:val="o"/>
      <w:lvlJc w:val="left"/>
      <w:pPr>
        <w:tabs>
          <w:tab w:val="num" w:pos="6036"/>
        </w:tabs>
        <w:ind w:left="6036" w:hanging="360"/>
      </w:pPr>
      <w:rPr>
        <w:rFonts w:ascii="Courier New" w:hAnsi="Courier New" w:hint="default"/>
      </w:rPr>
    </w:lvl>
    <w:lvl w:ilvl="8" w:tentative="1">
      <w:start w:val="1"/>
      <w:numFmt w:val="bullet"/>
      <w:lvlText w:val=""/>
      <w:lvlJc w:val="left"/>
      <w:pPr>
        <w:tabs>
          <w:tab w:val="num" w:pos="6756"/>
        </w:tabs>
        <w:ind w:left="6756" w:hanging="360"/>
      </w:pPr>
      <w:rPr>
        <w:rFonts w:ascii="Wingdings" w:hAnsi="Wingdings" w:hint="default"/>
      </w:rPr>
    </w:lvl>
  </w:abstractNum>
  <w:abstractNum w:abstractNumId="1720" w15:restartNumberingAfterBreak="0">
    <w:nsid w:val="6EA906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1" w15:restartNumberingAfterBreak="0">
    <w:nsid w:val="6EBF6B3E"/>
    <w:multiLevelType w:val="singleLevel"/>
    <w:tmpl w:val="BBDEA5D2"/>
    <w:lvl w:ilvl="0">
      <w:start w:val="1"/>
      <w:numFmt w:val="decimal"/>
      <w:lvlText w:val="%1."/>
      <w:legacy w:legacy="1" w:legacySpace="0" w:legacyIndent="284"/>
      <w:lvlJc w:val="left"/>
      <w:pPr>
        <w:ind w:left="1191" w:hanging="284"/>
      </w:pPr>
    </w:lvl>
  </w:abstractNum>
  <w:abstractNum w:abstractNumId="1722" w15:restartNumberingAfterBreak="0">
    <w:nsid w:val="6EC42DAD"/>
    <w:multiLevelType w:val="singleLevel"/>
    <w:tmpl w:val="2A72E5E0"/>
    <w:lvl w:ilvl="0">
      <w:start w:val="1"/>
      <w:numFmt w:val="decimal"/>
      <w:lvlText w:val="%1."/>
      <w:legacy w:legacy="1" w:legacySpace="0" w:legacyIndent="454"/>
      <w:lvlJc w:val="left"/>
      <w:pPr>
        <w:ind w:left="454" w:hanging="454"/>
      </w:pPr>
    </w:lvl>
  </w:abstractNum>
  <w:abstractNum w:abstractNumId="1723" w15:restartNumberingAfterBreak="0">
    <w:nsid w:val="6EE75A13"/>
    <w:multiLevelType w:val="singleLevel"/>
    <w:tmpl w:val="C728FAF2"/>
    <w:lvl w:ilvl="0">
      <w:start w:val="1"/>
      <w:numFmt w:val="decimal"/>
      <w:lvlText w:val="%1."/>
      <w:legacy w:legacy="1" w:legacySpace="0" w:legacyIndent="454"/>
      <w:lvlJc w:val="left"/>
      <w:pPr>
        <w:ind w:left="454" w:hanging="454"/>
      </w:pPr>
    </w:lvl>
  </w:abstractNum>
  <w:abstractNum w:abstractNumId="1724" w15:restartNumberingAfterBreak="0">
    <w:nsid w:val="6EF468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5" w15:restartNumberingAfterBreak="0">
    <w:nsid w:val="6EFC0BD2"/>
    <w:multiLevelType w:val="singleLevel"/>
    <w:tmpl w:val="6E924156"/>
    <w:lvl w:ilvl="0">
      <w:start w:val="1"/>
      <w:numFmt w:val="decimal"/>
      <w:lvlText w:val="(%1)"/>
      <w:lvlJc w:val="left"/>
      <w:pPr>
        <w:tabs>
          <w:tab w:val="num" w:pos="870"/>
        </w:tabs>
        <w:ind w:left="870" w:hanging="360"/>
      </w:pPr>
      <w:rPr>
        <w:rFonts w:hint="default"/>
      </w:rPr>
    </w:lvl>
  </w:abstractNum>
  <w:abstractNum w:abstractNumId="1726" w15:restartNumberingAfterBreak="0">
    <w:nsid w:val="6F044463"/>
    <w:multiLevelType w:val="singleLevel"/>
    <w:tmpl w:val="BBDEA5D2"/>
    <w:lvl w:ilvl="0">
      <w:start w:val="1"/>
      <w:numFmt w:val="decimal"/>
      <w:lvlText w:val="%1."/>
      <w:legacy w:legacy="1" w:legacySpace="0" w:legacyIndent="284"/>
      <w:lvlJc w:val="left"/>
      <w:pPr>
        <w:ind w:left="1191" w:hanging="284"/>
      </w:pPr>
    </w:lvl>
  </w:abstractNum>
  <w:abstractNum w:abstractNumId="1727" w15:restartNumberingAfterBreak="0">
    <w:nsid w:val="6F0A10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8" w15:restartNumberingAfterBreak="0">
    <w:nsid w:val="6F3D59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9" w15:restartNumberingAfterBreak="0">
    <w:nsid w:val="6F415C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0" w15:restartNumberingAfterBreak="0">
    <w:nsid w:val="6F6F40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1" w15:restartNumberingAfterBreak="0">
    <w:nsid w:val="6F7D58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2" w15:restartNumberingAfterBreak="0">
    <w:nsid w:val="6F9754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3"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1734" w15:restartNumberingAfterBreak="0">
    <w:nsid w:val="6FAE39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5" w15:restartNumberingAfterBreak="0">
    <w:nsid w:val="6FB839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6" w15:restartNumberingAfterBreak="0">
    <w:nsid w:val="6FBA0858"/>
    <w:multiLevelType w:val="multilevel"/>
    <w:tmpl w:val="9814CB5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37" w15:restartNumberingAfterBreak="0">
    <w:nsid w:val="6FC773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8" w15:restartNumberingAfterBreak="0">
    <w:nsid w:val="6FD63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9" w15:restartNumberingAfterBreak="0">
    <w:nsid w:val="701764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0" w15:restartNumberingAfterBreak="0">
    <w:nsid w:val="702213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1" w15:restartNumberingAfterBreak="0">
    <w:nsid w:val="702C25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2" w15:restartNumberingAfterBreak="0">
    <w:nsid w:val="704B4C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3" w15:restartNumberingAfterBreak="0">
    <w:nsid w:val="707208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4" w15:restartNumberingAfterBreak="0">
    <w:nsid w:val="707B66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5" w15:restartNumberingAfterBreak="0">
    <w:nsid w:val="708141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6" w15:restartNumberingAfterBreak="0">
    <w:nsid w:val="709027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7" w15:restartNumberingAfterBreak="0">
    <w:nsid w:val="70A255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8" w15:restartNumberingAfterBreak="0">
    <w:nsid w:val="70A830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9" w15:restartNumberingAfterBreak="0">
    <w:nsid w:val="70A83604"/>
    <w:multiLevelType w:val="singleLevel"/>
    <w:tmpl w:val="D4FC8258"/>
    <w:lvl w:ilvl="0">
      <w:start w:val="1"/>
      <w:numFmt w:val="bullet"/>
      <w:lvlText w:val=""/>
      <w:lvlJc w:val="left"/>
      <w:pPr>
        <w:tabs>
          <w:tab w:val="num" w:pos="360"/>
        </w:tabs>
        <w:ind w:left="357" w:hanging="357"/>
      </w:pPr>
      <w:rPr>
        <w:rFonts w:ascii="Symbol" w:hAnsi="Symbol" w:hint="default"/>
      </w:rPr>
    </w:lvl>
  </w:abstractNum>
  <w:abstractNum w:abstractNumId="1750" w15:restartNumberingAfterBreak="0">
    <w:nsid w:val="70B64E86"/>
    <w:multiLevelType w:val="multilevel"/>
    <w:tmpl w:val="EA7E7CF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51" w15:restartNumberingAfterBreak="0">
    <w:nsid w:val="70E72C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2" w15:restartNumberingAfterBreak="0">
    <w:nsid w:val="71145B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3" w15:restartNumberingAfterBreak="0">
    <w:nsid w:val="71163141"/>
    <w:multiLevelType w:val="singleLevel"/>
    <w:tmpl w:val="BFD00C24"/>
    <w:lvl w:ilvl="0">
      <w:start w:val="1"/>
      <w:numFmt w:val="bullet"/>
      <w:lvlText w:val=""/>
      <w:lvlJc w:val="left"/>
      <w:pPr>
        <w:tabs>
          <w:tab w:val="num" w:pos="360"/>
        </w:tabs>
        <w:ind w:left="170" w:hanging="170"/>
      </w:pPr>
      <w:rPr>
        <w:rFonts w:ascii="Symbol" w:hAnsi="Symbol" w:hint="default"/>
      </w:rPr>
    </w:lvl>
  </w:abstractNum>
  <w:abstractNum w:abstractNumId="1754" w15:restartNumberingAfterBreak="0">
    <w:nsid w:val="71187D5D"/>
    <w:multiLevelType w:val="multilevel"/>
    <w:tmpl w:val="22EC0DB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55" w15:restartNumberingAfterBreak="0">
    <w:nsid w:val="711F0E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6" w15:restartNumberingAfterBreak="0">
    <w:nsid w:val="71261F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7" w15:restartNumberingAfterBreak="0">
    <w:nsid w:val="71300847"/>
    <w:multiLevelType w:val="multilevel"/>
    <w:tmpl w:val="55AE6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58" w15:restartNumberingAfterBreak="0">
    <w:nsid w:val="71510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59" w15:restartNumberingAfterBreak="0">
    <w:nsid w:val="715A564C"/>
    <w:multiLevelType w:val="singleLevel"/>
    <w:tmpl w:val="31CA9286"/>
    <w:lvl w:ilvl="0">
      <w:start w:val="1"/>
      <w:numFmt w:val="bullet"/>
      <w:lvlText w:val=""/>
      <w:lvlJc w:val="left"/>
      <w:pPr>
        <w:tabs>
          <w:tab w:val="num" w:pos="360"/>
        </w:tabs>
        <w:ind w:left="360" w:hanging="360"/>
      </w:pPr>
      <w:rPr>
        <w:rFonts w:ascii="Symbol" w:hAnsi="Symbol" w:hint="default"/>
      </w:rPr>
    </w:lvl>
  </w:abstractNum>
  <w:abstractNum w:abstractNumId="1760" w15:restartNumberingAfterBreak="0">
    <w:nsid w:val="716F0D5A"/>
    <w:multiLevelType w:val="singleLevel"/>
    <w:tmpl w:val="BA90BCCC"/>
    <w:lvl w:ilvl="0">
      <w:start w:val="1"/>
      <w:numFmt w:val="bullet"/>
      <w:lvlText w:val=""/>
      <w:lvlJc w:val="left"/>
      <w:pPr>
        <w:tabs>
          <w:tab w:val="num" w:pos="360"/>
        </w:tabs>
        <w:ind w:left="170" w:hanging="170"/>
      </w:pPr>
      <w:rPr>
        <w:rFonts w:ascii="Symbol" w:hAnsi="Symbol" w:hint="default"/>
      </w:rPr>
    </w:lvl>
  </w:abstractNum>
  <w:abstractNum w:abstractNumId="1761" w15:restartNumberingAfterBreak="0">
    <w:nsid w:val="71727B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2" w15:restartNumberingAfterBreak="0">
    <w:nsid w:val="71732321"/>
    <w:multiLevelType w:val="singleLevel"/>
    <w:tmpl w:val="D346E40E"/>
    <w:lvl w:ilvl="0">
      <w:start w:val="15"/>
      <w:numFmt w:val="decimal"/>
      <w:lvlText w:val="%1."/>
      <w:legacy w:legacy="1" w:legacySpace="0" w:legacyIndent="454"/>
      <w:lvlJc w:val="left"/>
      <w:pPr>
        <w:ind w:left="454" w:hanging="454"/>
      </w:pPr>
    </w:lvl>
  </w:abstractNum>
  <w:abstractNum w:abstractNumId="1763" w15:restartNumberingAfterBreak="0">
    <w:nsid w:val="717451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4" w15:restartNumberingAfterBreak="0">
    <w:nsid w:val="71772E76"/>
    <w:multiLevelType w:val="multilevel"/>
    <w:tmpl w:val="D47290CA"/>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65" w15:restartNumberingAfterBreak="0">
    <w:nsid w:val="71872B3A"/>
    <w:multiLevelType w:val="multilevel"/>
    <w:tmpl w:val="568462F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66" w15:restartNumberingAfterBreak="0">
    <w:nsid w:val="718E22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7" w15:restartNumberingAfterBreak="0">
    <w:nsid w:val="71CA2B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8" w15:restartNumberingAfterBreak="0">
    <w:nsid w:val="71CD20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9" w15:restartNumberingAfterBreak="0">
    <w:nsid w:val="71DA7D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0" w15:restartNumberingAfterBreak="0">
    <w:nsid w:val="71E125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1" w15:restartNumberingAfterBreak="0">
    <w:nsid w:val="71E70C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2" w15:restartNumberingAfterBreak="0">
    <w:nsid w:val="71EE10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3" w15:restartNumberingAfterBreak="0">
    <w:nsid w:val="71F172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4" w15:restartNumberingAfterBreak="0">
    <w:nsid w:val="720872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5" w15:restartNumberingAfterBreak="0">
    <w:nsid w:val="721551BD"/>
    <w:multiLevelType w:val="singleLevel"/>
    <w:tmpl w:val="29A05A0E"/>
    <w:lvl w:ilvl="0">
      <w:start w:val="1"/>
      <w:numFmt w:val="decimal"/>
      <w:lvlText w:val="%1."/>
      <w:legacy w:legacy="1" w:legacySpace="0" w:legacyIndent="454"/>
      <w:lvlJc w:val="left"/>
      <w:pPr>
        <w:ind w:left="454" w:hanging="454"/>
      </w:pPr>
    </w:lvl>
  </w:abstractNum>
  <w:abstractNum w:abstractNumId="1776" w15:restartNumberingAfterBreak="0">
    <w:nsid w:val="721602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7" w15:restartNumberingAfterBreak="0">
    <w:nsid w:val="723473CA"/>
    <w:multiLevelType w:val="singleLevel"/>
    <w:tmpl w:val="BBDEA5D2"/>
    <w:lvl w:ilvl="0">
      <w:start w:val="1"/>
      <w:numFmt w:val="decimal"/>
      <w:lvlText w:val="%1."/>
      <w:legacy w:legacy="1" w:legacySpace="0" w:legacyIndent="284"/>
      <w:lvlJc w:val="left"/>
      <w:pPr>
        <w:ind w:left="1191" w:hanging="284"/>
      </w:pPr>
    </w:lvl>
  </w:abstractNum>
  <w:abstractNum w:abstractNumId="1778" w15:restartNumberingAfterBreak="0">
    <w:nsid w:val="72380F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9" w15:restartNumberingAfterBreak="0">
    <w:nsid w:val="72474CFC"/>
    <w:multiLevelType w:val="multilevel"/>
    <w:tmpl w:val="57189A0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80" w15:restartNumberingAfterBreak="0">
    <w:nsid w:val="72516B04"/>
    <w:multiLevelType w:val="singleLevel"/>
    <w:tmpl w:val="A0F8EADE"/>
    <w:lvl w:ilvl="0">
      <w:start w:val="1"/>
      <w:numFmt w:val="lowerLetter"/>
      <w:lvlText w:val="%1."/>
      <w:lvlJc w:val="left"/>
      <w:pPr>
        <w:tabs>
          <w:tab w:val="num" w:pos="360"/>
        </w:tabs>
        <w:ind w:left="360" w:hanging="360"/>
      </w:pPr>
      <w:rPr>
        <w:rFonts w:hint="default"/>
      </w:rPr>
    </w:lvl>
  </w:abstractNum>
  <w:abstractNum w:abstractNumId="1781" w15:restartNumberingAfterBreak="0">
    <w:nsid w:val="726D22F0"/>
    <w:multiLevelType w:val="singleLevel"/>
    <w:tmpl w:val="FA6C8738"/>
    <w:lvl w:ilvl="0">
      <w:start w:val="1"/>
      <w:numFmt w:val="bullet"/>
      <w:lvlText w:val=""/>
      <w:lvlJc w:val="left"/>
      <w:pPr>
        <w:tabs>
          <w:tab w:val="num" w:pos="360"/>
        </w:tabs>
        <w:ind w:left="357" w:hanging="357"/>
      </w:pPr>
      <w:rPr>
        <w:rFonts w:ascii="Symbol" w:hAnsi="Symbol" w:hint="default"/>
      </w:rPr>
    </w:lvl>
  </w:abstractNum>
  <w:abstractNum w:abstractNumId="1782" w15:restartNumberingAfterBreak="0">
    <w:nsid w:val="72BD0B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3" w15:restartNumberingAfterBreak="0">
    <w:nsid w:val="72CB22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4" w15:restartNumberingAfterBreak="0">
    <w:nsid w:val="72E058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5" w15:restartNumberingAfterBreak="0">
    <w:nsid w:val="72E05B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6" w15:restartNumberingAfterBreak="0">
    <w:nsid w:val="72E927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7" w15:restartNumberingAfterBreak="0">
    <w:nsid w:val="73001E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8" w15:restartNumberingAfterBreak="0">
    <w:nsid w:val="73025AA3"/>
    <w:multiLevelType w:val="multilevel"/>
    <w:tmpl w:val="5F54A5DE"/>
    <w:lvl w:ilvl="0">
      <w:start w:val="1"/>
      <w:numFmt w:val="bullet"/>
      <w:lvlText w:val="–"/>
      <w:lvlJc w:val="left"/>
      <w:pPr>
        <w:tabs>
          <w:tab w:val="num" w:pos="454"/>
        </w:tabs>
        <w:ind w:left="454" w:hanging="454"/>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89" w15:restartNumberingAfterBreak="0">
    <w:nsid w:val="730838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0" w15:restartNumberingAfterBreak="0">
    <w:nsid w:val="733B00D7"/>
    <w:multiLevelType w:val="singleLevel"/>
    <w:tmpl w:val="E2FC9A16"/>
    <w:lvl w:ilvl="0">
      <w:start w:val="1"/>
      <w:numFmt w:val="decimal"/>
      <w:lvlText w:val="%1."/>
      <w:legacy w:legacy="1" w:legacySpace="0" w:legacyIndent="454"/>
      <w:lvlJc w:val="left"/>
      <w:pPr>
        <w:ind w:left="454" w:hanging="454"/>
      </w:pPr>
    </w:lvl>
  </w:abstractNum>
  <w:abstractNum w:abstractNumId="1791" w15:restartNumberingAfterBreak="0">
    <w:nsid w:val="734904E8"/>
    <w:multiLevelType w:val="multilevel"/>
    <w:tmpl w:val="F058283C"/>
    <w:lvl w:ilvl="0">
      <w:start w:val="9"/>
      <w:numFmt w:val="decimal"/>
      <w:lvlText w:val="%1."/>
      <w:lvlJc w:val="left"/>
      <w:pPr>
        <w:tabs>
          <w:tab w:val="num" w:pos="600"/>
        </w:tabs>
        <w:ind w:left="600" w:hanging="600"/>
      </w:pPr>
      <w:rPr>
        <w:rFonts w:hint="default"/>
      </w:rPr>
    </w:lvl>
    <w:lvl w:ilvl="1">
      <w:start w:val="4"/>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92" w15:restartNumberingAfterBreak="0">
    <w:nsid w:val="73560E00"/>
    <w:multiLevelType w:val="multilevel"/>
    <w:tmpl w:val="B20C0900"/>
    <w:lvl w:ilvl="0">
      <w:start w:val="1"/>
      <w:numFmt w:val="decimal"/>
      <w:lvlText w:val="%1."/>
      <w:lvlJc w:val="left"/>
      <w:pPr>
        <w:tabs>
          <w:tab w:val="num" w:pos="575"/>
        </w:tabs>
        <w:ind w:left="575" w:hanging="360"/>
      </w:pPr>
      <w:rPr>
        <w:rFonts w:hint="default"/>
      </w:rPr>
    </w:lvl>
    <w:lvl w:ilvl="1" w:tentative="1">
      <w:start w:val="1"/>
      <w:numFmt w:val="lowerLetter"/>
      <w:lvlText w:val="%2."/>
      <w:lvlJc w:val="left"/>
      <w:pPr>
        <w:tabs>
          <w:tab w:val="num" w:pos="1295"/>
        </w:tabs>
        <w:ind w:left="1295" w:hanging="360"/>
      </w:pPr>
    </w:lvl>
    <w:lvl w:ilvl="2" w:tentative="1">
      <w:start w:val="1"/>
      <w:numFmt w:val="lowerRoman"/>
      <w:lvlText w:val="%3."/>
      <w:lvlJc w:val="right"/>
      <w:pPr>
        <w:tabs>
          <w:tab w:val="num" w:pos="2015"/>
        </w:tabs>
        <w:ind w:left="2015" w:hanging="180"/>
      </w:pPr>
    </w:lvl>
    <w:lvl w:ilvl="3" w:tentative="1">
      <w:start w:val="1"/>
      <w:numFmt w:val="decimal"/>
      <w:lvlText w:val="%4."/>
      <w:lvlJc w:val="left"/>
      <w:pPr>
        <w:tabs>
          <w:tab w:val="num" w:pos="2735"/>
        </w:tabs>
        <w:ind w:left="2735" w:hanging="360"/>
      </w:pPr>
    </w:lvl>
    <w:lvl w:ilvl="4" w:tentative="1">
      <w:start w:val="1"/>
      <w:numFmt w:val="lowerLetter"/>
      <w:lvlText w:val="%5."/>
      <w:lvlJc w:val="left"/>
      <w:pPr>
        <w:tabs>
          <w:tab w:val="num" w:pos="3455"/>
        </w:tabs>
        <w:ind w:left="3455" w:hanging="360"/>
      </w:pPr>
    </w:lvl>
    <w:lvl w:ilvl="5" w:tentative="1">
      <w:start w:val="1"/>
      <w:numFmt w:val="lowerRoman"/>
      <w:lvlText w:val="%6."/>
      <w:lvlJc w:val="right"/>
      <w:pPr>
        <w:tabs>
          <w:tab w:val="num" w:pos="4175"/>
        </w:tabs>
        <w:ind w:left="4175" w:hanging="180"/>
      </w:pPr>
    </w:lvl>
    <w:lvl w:ilvl="6" w:tentative="1">
      <w:start w:val="1"/>
      <w:numFmt w:val="decimal"/>
      <w:lvlText w:val="%7."/>
      <w:lvlJc w:val="left"/>
      <w:pPr>
        <w:tabs>
          <w:tab w:val="num" w:pos="4895"/>
        </w:tabs>
        <w:ind w:left="4895" w:hanging="360"/>
      </w:pPr>
    </w:lvl>
    <w:lvl w:ilvl="7" w:tentative="1">
      <w:start w:val="1"/>
      <w:numFmt w:val="lowerLetter"/>
      <w:lvlText w:val="%8."/>
      <w:lvlJc w:val="left"/>
      <w:pPr>
        <w:tabs>
          <w:tab w:val="num" w:pos="5615"/>
        </w:tabs>
        <w:ind w:left="5615" w:hanging="360"/>
      </w:pPr>
    </w:lvl>
    <w:lvl w:ilvl="8" w:tentative="1">
      <w:start w:val="1"/>
      <w:numFmt w:val="lowerRoman"/>
      <w:lvlText w:val="%9."/>
      <w:lvlJc w:val="right"/>
      <w:pPr>
        <w:tabs>
          <w:tab w:val="num" w:pos="6335"/>
        </w:tabs>
        <w:ind w:left="6335" w:hanging="180"/>
      </w:pPr>
    </w:lvl>
  </w:abstractNum>
  <w:abstractNum w:abstractNumId="1793" w15:restartNumberingAfterBreak="0">
    <w:nsid w:val="736131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4" w15:restartNumberingAfterBreak="0">
    <w:nsid w:val="73625410"/>
    <w:multiLevelType w:val="singleLevel"/>
    <w:tmpl w:val="E2FC9A16"/>
    <w:lvl w:ilvl="0">
      <w:start w:val="1"/>
      <w:numFmt w:val="decimal"/>
      <w:lvlText w:val="%1."/>
      <w:legacy w:legacy="1" w:legacySpace="0" w:legacyIndent="454"/>
      <w:lvlJc w:val="left"/>
      <w:pPr>
        <w:ind w:left="454" w:hanging="454"/>
      </w:pPr>
    </w:lvl>
  </w:abstractNum>
  <w:abstractNum w:abstractNumId="1795" w15:restartNumberingAfterBreak="0">
    <w:nsid w:val="737351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6" w15:restartNumberingAfterBreak="0">
    <w:nsid w:val="737641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7" w15:restartNumberingAfterBreak="0">
    <w:nsid w:val="739E57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8" w15:restartNumberingAfterBreak="0">
    <w:nsid w:val="73A139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9" w15:restartNumberingAfterBreak="0">
    <w:nsid w:val="73AE2B2A"/>
    <w:multiLevelType w:val="multilevel"/>
    <w:tmpl w:val="2666A1D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00" w15:restartNumberingAfterBreak="0">
    <w:nsid w:val="73BD59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1" w15:restartNumberingAfterBreak="0">
    <w:nsid w:val="73E60E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2" w15:restartNumberingAfterBreak="0">
    <w:nsid w:val="73FC5CB5"/>
    <w:multiLevelType w:val="singleLevel"/>
    <w:tmpl w:val="96D28B62"/>
    <w:lvl w:ilvl="0">
      <w:start w:val="1"/>
      <w:numFmt w:val="decimal"/>
      <w:lvlText w:val="%1."/>
      <w:legacy w:legacy="1" w:legacySpace="0" w:legacyIndent="454"/>
      <w:lvlJc w:val="left"/>
      <w:pPr>
        <w:ind w:left="454" w:hanging="454"/>
      </w:pPr>
    </w:lvl>
  </w:abstractNum>
  <w:abstractNum w:abstractNumId="1803" w15:restartNumberingAfterBreak="0">
    <w:nsid w:val="743153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4" w15:restartNumberingAfterBreak="0">
    <w:nsid w:val="74595170"/>
    <w:multiLevelType w:val="singleLevel"/>
    <w:tmpl w:val="BBDEA5D2"/>
    <w:lvl w:ilvl="0">
      <w:start w:val="1"/>
      <w:numFmt w:val="decimal"/>
      <w:lvlText w:val="%1."/>
      <w:legacy w:legacy="1" w:legacySpace="0" w:legacyIndent="284"/>
      <w:lvlJc w:val="left"/>
      <w:pPr>
        <w:ind w:left="1191" w:hanging="284"/>
      </w:pPr>
    </w:lvl>
  </w:abstractNum>
  <w:abstractNum w:abstractNumId="1805" w15:restartNumberingAfterBreak="0">
    <w:nsid w:val="745B25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6" w15:restartNumberingAfterBreak="0">
    <w:nsid w:val="74633DDB"/>
    <w:multiLevelType w:val="multilevel"/>
    <w:tmpl w:val="543287B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07" w15:restartNumberingAfterBreak="0">
    <w:nsid w:val="747468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8" w15:restartNumberingAfterBreak="0">
    <w:nsid w:val="747628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9" w15:restartNumberingAfterBreak="0">
    <w:nsid w:val="74791582"/>
    <w:multiLevelType w:val="multilevel"/>
    <w:tmpl w:val="8BFCE8A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10" w15:restartNumberingAfterBreak="0">
    <w:nsid w:val="74802E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1" w15:restartNumberingAfterBreak="0">
    <w:nsid w:val="7481395B"/>
    <w:multiLevelType w:val="singleLevel"/>
    <w:tmpl w:val="BBDEA5D2"/>
    <w:lvl w:ilvl="0">
      <w:start w:val="1"/>
      <w:numFmt w:val="decimal"/>
      <w:lvlText w:val="%1."/>
      <w:legacy w:legacy="1" w:legacySpace="0" w:legacyIndent="284"/>
      <w:lvlJc w:val="left"/>
      <w:pPr>
        <w:ind w:left="1191" w:hanging="284"/>
      </w:pPr>
    </w:lvl>
  </w:abstractNum>
  <w:abstractNum w:abstractNumId="1812" w15:restartNumberingAfterBreak="0">
    <w:nsid w:val="748C76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3" w15:restartNumberingAfterBreak="0">
    <w:nsid w:val="74A94110"/>
    <w:multiLevelType w:val="singleLevel"/>
    <w:tmpl w:val="9F2E4ED0"/>
    <w:lvl w:ilvl="0">
      <w:start w:val="1"/>
      <w:numFmt w:val="decimal"/>
      <w:lvlText w:val="%1."/>
      <w:lvlJc w:val="left"/>
      <w:pPr>
        <w:tabs>
          <w:tab w:val="num" w:pos="1211"/>
        </w:tabs>
        <w:ind w:left="1211" w:hanging="360"/>
      </w:pPr>
      <w:rPr>
        <w:rFonts w:hint="default"/>
      </w:rPr>
    </w:lvl>
  </w:abstractNum>
  <w:abstractNum w:abstractNumId="1814" w15:restartNumberingAfterBreak="0">
    <w:nsid w:val="74A957EB"/>
    <w:multiLevelType w:val="singleLevel"/>
    <w:tmpl w:val="440A9390"/>
    <w:lvl w:ilvl="0">
      <w:start w:val="1"/>
      <w:numFmt w:val="decimal"/>
      <w:lvlText w:val="%1."/>
      <w:legacy w:legacy="1" w:legacySpace="0" w:legacyIndent="454"/>
      <w:lvlJc w:val="left"/>
      <w:pPr>
        <w:ind w:left="454" w:hanging="454"/>
      </w:pPr>
    </w:lvl>
  </w:abstractNum>
  <w:abstractNum w:abstractNumId="1815" w15:restartNumberingAfterBreak="0">
    <w:nsid w:val="74B046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6" w15:restartNumberingAfterBreak="0">
    <w:nsid w:val="74B511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7" w15:restartNumberingAfterBreak="0">
    <w:nsid w:val="74F946AB"/>
    <w:multiLevelType w:val="singleLevel"/>
    <w:tmpl w:val="BA12B42A"/>
    <w:lvl w:ilvl="0">
      <w:start w:val="1"/>
      <w:numFmt w:val="decimal"/>
      <w:lvlText w:val="%1."/>
      <w:legacy w:legacy="1" w:legacySpace="0" w:legacyIndent="454"/>
      <w:lvlJc w:val="left"/>
      <w:pPr>
        <w:ind w:left="454" w:hanging="454"/>
      </w:pPr>
    </w:lvl>
  </w:abstractNum>
  <w:abstractNum w:abstractNumId="1818" w15:restartNumberingAfterBreak="0">
    <w:nsid w:val="74FC2ACE"/>
    <w:multiLevelType w:val="singleLevel"/>
    <w:tmpl w:val="041D000F"/>
    <w:lvl w:ilvl="0">
      <w:start w:val="1"/>
      <w:numFmt w:val="decimal"/>
      <w:lvlText w:val="%1."/>
      <w:lvlJc w:val="left"/>
      <w:pPr>
        <w:tabs>
          <w:tab w:val="num" w:pos="360"/>
        </w:tabs>
        <w:ind w:left="360" w:hanging="360"/>
      </w:pPr>
    </w:lvl>
  </w:abstractNum>
  <w:abstractNum w:abstractNumId="1819" w15:restartNumberingAfterBreak="0">
    <w:nsid w:val="74FF288A"/>
    <w:multiLevelType w:val="singleLevel"/>
    <w:tmpl w:val="041D000F"/>
    <w:lvl w:ilvl="0">
      <w:start w:val="1"/>
      <w:numFmt w:val="decimal"/>
      <w:lvlText w:val="%1."/>
      <w:lvlJc w:val="left"/>
      <w:pPr>
        <w:tabs>
          <w:tab w:val="num" w:pos="360"/>
        </w:tabs>
        <w:ind w:left="360" w:hanging="360"/>
      </w:pPr>
    </w:lvl>
  </w:abstractNum>
  <w:abstractNum w:abstractNumId="1820" w15:restartNumberingAfterBreak="0">
    <w:nsid w:val="750639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1" w15:restartNumberingAfterBreak="0">
    <w:nsid w:val="750813B8"/>
    <w:multiLevelType w:val="singleLevel"/>
    <w:tmpl w:val="BBDEA5D2"/>
    <w:lvl w:ilvl="0">
      <w:start w:val="1"/>
      <w:numFmt w:val="decimal"/>
      <w:lvlText w:val="%1."/>
      <w:legacy w:legacy="1" w:legacySpace="0" w:legacyIndent="284"/>
      <w:lvlJc w:val="left"/>
      <w:pPr>
        <w:ind w:left="1191" w:hanging="284"/>
      </w:pPr>
    </w:lvl>
  </w:abstractNum>
  <w:abstractNum w:abstractNumId="1822" w15:restartNumberingAfterBreak="0">
    <w:nsid w:val="752E3C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3" w15:restartNumberingAfterBreak="0">
    <w:nsid w:val="755472A6"/>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24" w15:restartNumberingAfterBreak="0">
    <w:nsid w:val="755756AC"/>
    <w:multiLevelType w:val="multilevel"/>
    <w:tmpl w:val="CF0A402E"/>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25" w15:restartNumberingAfterBreak="0">
    <w:nsid w:val="755D33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6" w15:restartNumberingAfterBreak="0">
    <w:nsid w:val="756913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7" w15:restartNumberingAfterBreak="0">
    <w:nsid w:val="75725D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8" w15:restartNumberingAfterBreak="0">
    <w:nsid w:val="75A767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9" w15:restartNumberingAfterBreak="0">
    <w:nsid w:val="75DB2377"/>
    <w:multiLevelType w:val="singleLevel"/>
    <w:tmpl w:val="CA5E1CDC"/>
    <w:lvl w:ilvl="0">
      <w:start w:val="1"/>
      <w:numFmt w:val="decimal"/>
      <w:lvlText w:val="%1."/>
      <w:legacy w:legacy="1" w:legacySpace="0" w:legacyIndent="454"/>
      <w:lvlJc w:val="left"/>
      <w:pPr>
        <w:ind w:left="454" w:hanging="454"/>
      </w:pPr>
    </w:lvl>
  </w:abstractNum>
  <w:abstractNum w:abstractNumId="1830" w15:restartNumberingAfterBreak="0">
    <w:nsid w:val="75E822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1" w15:restartNumberingAfterBreak="0">
    <w:nsid w:val="75EB78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2" w15:restartNumberingAfterBreak="0">
    <w:nsid w:val="75FA41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3" w15:restartNumberingAfterBreak="0">
    <w:nsid w:val="7608703B"/>
    <w:multiLevelType w:val="multilevel"/>
    <w:tmpl w:val="8368BAB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34" w15:restartNumberingAfterBreak="0">
    <w:nsid w:val="760906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5" w15:restartNumberingAfterBreak="0">
    <w:nsid w:val="76125E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6" w15:restartNumberingAfterBreak="0">
    <w:nsid w:val="761B2F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37" w15:restartNumberingAfterBreak="0">
    <w:nsid w:val="764174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8" w15:restartNumberingAfterBreak="0">
    <w:nsid w:val="76491058"/>
    <w:multiLevelType w:val="singleLevel"/>
    <w:tmpl w:val="79343A60"/>
    <w:lvl w:ilvl="0">
      <w:start w:val="1"/>
      <w:numFmt w:val="bullet"/>
      <w:lvlText w:val=""/>
      <w:lvlJc w:val="left"/>
      <w:pPr>
        <w:tabs>
          <w:tab w:val="num" w:pos="360"/>
        </w:tabs>
        <w:ind w:left="227" w:hanging="227"/>
      </w:pPr>
      <w:rPr>
        <w:rFonts w:ascii="Symbol" w:hAnsi="Symbol" w:hint="default"/>
        <w:sz w:val="18"/>
      </w:rPr>
    </w:lvl>
  </w:abstractNum>
  <w:abstractNum w:abstractNumId="1839" w15:restartNumberingAfterBreak="0">
    <w:nsid w:val="764D2E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0" w15:restartNumberingAfterBreak="0">
    <w:nsid w:val="764E71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1" w15:restartNumberingAfterBreak="0">
    <w:nsid w:val="765B5BDD"/>
    <w:multiLevelType w:val="singleLevel"/>
    <w:tmpl w:val="FFFFFFFF"/>
    <w:lvl w:ilvl="0">
      <w:numFmt w:val="decimal"/>
      <w:lvlText w:val="*"/>
      <w:lvlJc w:val="left"/>
    </w:lvl>
  </w:abstractNum>
  <w:abstractNum w:abstractNumId="1842" w15:restartNumberingAfterBreak="0">
    <w:nsid w:val="766D09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3" w15:restartNumberingAfterBreak="0">
    <w:nsid w:val="76945D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4" w15:restartNumberingAfterBreak="0">
    <w:nsid w:val="76A738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5" w15:restartNumberingAfterBreak="0">
    <w:nsid w:val="76B26064"/>
    <w:multiLevelType w:val="singleLevel"/>
    <w:tmpl w:val="68B420A0"/>
    <w:lvl w:ilvl="0">
      <w:start w:val="1"/>
      <w:numFmt w:val="bullet"/>
      <w:lvlText w:val=""/>
      <w:lvlJc w:val="left"/>
      <w:pPr>
        <w:tabs>
          <w:tab w:val="num" w:pos="360"/>
        </w:tabs>
        <w:ind w:left="340" w:hanging="340"/>
      </w:pPr>
      <w:rPr>
        <w:rFonts w:ascii="Symbol" w:hAnsi="Symbol" w:hint="default"/>
      </w:rPr>
    </w:lvl>
  </w:abstractNum>
  <w:abstractNum w:abstractNumId="1846" w15:restartNumberingAfterBreak="0">
    <w:nsid w:val="76D644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7" w15:restartNumberingAfterBreak="0">
    <w:nsid w:val="76DE73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8" w15:restartNumberingAfterBreak="0">
    <w:nsid w:val="77042178"/>
    <w:multiLevelType w:val="multilevel"/>
    <w:tmpl w:val="5B2CFC7A"/>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49" w15:restartNumberingAfterBreak="0">
    <w:nsid w:val="770C5511"/>
    <w:multiLevelType w:val="singleLevel"/>
    <w:tmpl w:val="F4A88A94"/>
    <w:lvl w:ilvl="0">
      <w:start w:val="1"/>
      <w:numFmt w:val="none"/>
      <w:lvlText w:val="%1./."/>
      <w:lvlJc w:val="left"/>
      <w:pPr>
        <w:tabs>
          <w:tab w:val="num" w:pos="0"/>
        </w:tabs>
        <w:ind w:left="0" w:hanging="425"/>
      </w:pPr>
    </w:lvl>
  </w:abstractNum>
  <w:abstractNum w:abstractNumId="1850" w15:restartNumberingAfterBreak="0">
    <w:nsid w:val="770F4F0D"/>
    <w:multiLevelType w:val="singleLevel"/>
    <w:tmpl w:val="EAD0F5E0"/>
    <w:lvl w:ilvl="0">
      <w:start w:val="1"/>
      <w:numFmt w:val="bullet"/>
      <w:lvlText w:val=""/>
      <w:lvlJc w:val="left"/>
      <w:pPr>
        <w:tabs>
          <w:tab w:val="num" w:pos="360"/>
        </w:tabs>
        <w:ind w:left="360" w:hanging="360"/>
      </w:pPr>
      <w:rPr>
        <w:rFonts w:ascii="Symbol" w:hAnsi="Symbol" w:hint="default"/>
      </w:rPr>
    </w:lvl>
  </w:abstractNum>
  <w:abstractNum w:abstractNumId="1851" w15:restartNumberingAfterBreak="0">
    <w:nsid w:val="771077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2" w15:restartNumberingAfterBreak="0">
    <w:nsid w:val="775B2F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3" w15:restartNumberingAfterBreak="0">
    <w:nsid w:val="775F47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4" w15:restartNumberingAfterBreak="0">
    <w:nsid w:val="77606FDE"/>
    <w:multiLevelType w:val="multilevel"/>
    <w:tmpl w:val="C016B13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55" w15:restartNumberingAfterBreak="0">
    <w:nsid w:val="7769515A"/>
    <w:multiLevelType w:val="singleLevel"/>
    <w:tmpl w:val="BBDEA5D2"/>
    <w:lvl w:ilvl="0">
      <w:start w:val="1"/>
      <w:numFmt w:val="decimal"/>
      <w:lvlText w:val="%1."/>
      <w:legacy w:legacy="1" w:legacySpace="0" w:legacyIndent="284"/>
      <w:lvlJc w:val="left"/>
      <w:pPr>
        <w:ind w:left="1191" w:hanging="284"/>
      </w:pPr>
    </w:lvl>
  </w:abstractNum>
  <w:abstractNum w:abstractNumId="1856" w15:restartNumberingAfterBreak="0">
    <w:nsid w:val="777878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7" w15:restartNumberingAfterBreak="0">
    <w:nsid w:val="778D2D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8" w15:restartNumberingAfterBreak="0">
    <w:nsid w:val="77A30A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9" w15:restartNumberingAfterBreak="0">
    <w:nsid w:val="77B070B6"/>
    <w:multiLevelType w:val="multilevel"/>
    <w:tmpl w:val="6BF61488"/>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1860" w15:restartNumberingAfterBreak="0">
    <w:nsid w:val="77CD48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1" w15:restartNumberingAfterBreak="0">
    <w:nsid w:val="77DE54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2" w15:restartNumberingAfterBreak="0">
    <w:nsid w:val="77DF6D27"/>
    <w:multiLevelType w:val="singleLevel"/>
    <w:tmpl w:val="81981A0A"/>
    <w:lvl w:ilvl="0">
      <w:start w:val="1"/>
      <w:numFmt w:val="decimal"/>
      <w:lvlText w:val="%1."/>
      <w:legacy w:legacy="1" w:legacySpace="0" w:legacyIndent="454"/>
      <w:lvlJc w:val="left"/>
      <w:pPr>
        <w:ind w:left="454" w:hanging="454"/>
      </w:pPr>
    </w:lvl>
  </w:abstractNum>
  <w:abstractNum w:abstractNumId="1863" w15:restartNumberingAfterBreak="0">
    <w:nsid w:val="77E153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4" w15:restartNumberingAfterBreak="0">
    <w:nsid w:val="77EE35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5" w15:restartNumberingAfterBreak="0">
    <w:nsid w:val="77FF31E5"/>
    <w:multiLevelType w:val="singleLevel"/>
    <w:tmpl w:val="041D000F"/>
    <w:lvl w:ilvl="0">
      <w:start w:val="1"/>
      <w:numFmt w:val="decimal"/>
      <w:lvlText w:val="%1."/>
      <w:lvlJc w:val="left"/>
      <w:pPr>
        <w:tabs>
          <w:tab w:val="num" w:pos="360"/>
        </w:tabs>
        <w:ind w:left="360" w:hanging="360"/>
      </w:pPr>
    </w:lvl>
  </w:abstractNum>
  <w:abstractNum w:abstractNumId="1866" w15:restartNumberingAfterBreak="0">
    <w:nsid w:val="780413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7" w15:restartNumberingAfterBreak="0">
    <w:nsid w:val="780D54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8" w15:restartNumberingAfterBreak="0">
    <w:nsid w:val="781C113E"/>
    <w:multiLevelType w:val="singleLevel"/>
    <w:tmpl w:val="21F2C9CE"/>
    <w:lvl w:ilvl="0">
      <w:start w:val="1"/>
      <w:numFmt w:val="bullet"/>
      <w:lvlText w:val=""/>
      <w:lvlJc w:val="left"/>
      <w:pPr>
        <w:tabs>
          <w:tab w:val="num" w:pos="360"/>
        </w:tabs>
        <w:ind w:left="360" w:hanging="360"/>
      </w:pPr>
      <w:rPr>
        <w:rFonts w:ascii="Symbol" w:hAnsi="Symbol" w:hint="default"/>
      </w:rPr>
    </w:lvl>
  </w:abstractNum>
  <w:abstractNum w:abstractNumId="1869" w15:restartNumberingAfterBreak="0">
    <w:nsid w:val="781C2A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0" w15:restartNumberingAfterBreak="0">
    <w:nsid w:val="78215F15"/>
    <w:multiLevelType w:val="multilevel"/>
    <w:tmpl w:val="36EC513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71" w15:restartNumberingAfterBreak="0">
    <w:nsid w:val="78256CE4"/>
    <w:multiLevelType w:val="singleLevel"/>
    <w:tmpl w:val="3118CB70"/>
    <w:lvl w:ilvl="0">
      <w:start w:val="1"/>
      <w:numFmt w:val="bullet"/>
      <w:lvlText w:val=""/>
      <w:lvlJc w:val="left"/>
      <w:pPr>
        <w:tabs>
          <w:tab w:val="num" w:pos="360"/>
        </w:tabs>
        <w:ind w:left="360" w:hanging="360"/>
      </w:pPr>
      <w:rPr>
        <w:rFonts w:ascii="Symbol" w:hAnsi="Symbol" w:hint="default"/>
      </w:rPr>
    </w:lvl>
  </w:abstractNum>
  <w:abstractNum w:abstractNumId="1872" w15:restartNumberingAfterBreak="0">
    <w:nsid w:val="782B69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3" w15:restartNumberingAfterBreak="0">
    <w:nsid w:val="78565D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4" w15:restartNumberingAfterBreak="0">
    <w:nsid w:val="785C3C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5" w15:restartNumberingAfterBreak="0">
    <w:nsid w:val="786E543B"/>
    <w:multiLevelType w:val="multilevel"/>
    <w:tmpl w:val="375416C4"/>
    <w:lvl w:ilvl="0">
      <w:start w:val="15"/>
      <w:numFmt w:val="decimal"/>
      <w:lvlText w:val="%1."/>
      <w:legacy w:legacy="1" w:legacySpace="0" w:legacyIndent="454"/>
      <w:lvlJc w:val="left"/>
      <w:pPr>
        <w:ind w:left="454" w:hanging="454"/>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876" w15:restartNumberingAfterBreak="0">
    <w:nsid w:val="78774D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7" w15:restartNumberingAfterBreak="0">
    <w:nsid w:val="788443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8" w15:restartNumberingAfterBreak="0">
    <w:nsid w:val="78A94F68"/>
    <w:multiLevelType w:val="singleLevel"/>
    <w:tmpl w:val="9A6A8032"/>
    <w:lvl w:ilvl="0">
      <w:start w:val="1"/>
      <w:numFmt w:val="decimal"/>
      <w:lvlText w:val="%1."/>
      <w:legacy w:legacy="1" w:legacySpace="0" w:legacyIndent="454"/>
      <w:lvlJc w:val="left"/>
      <w:pPr>
        <w:ind w:left="454" w:hanging="454"/>
      </w:pPr>
    </w:lvl>
  </w:abstractNum>
  <w:abstractNum w:abstractNumId="1879" w15:restartNumberingAfterBreak="0">
    <w:nsid w:val="78B45A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0" w15:restartNumberingAfterBreak="0">
    <w:nsid w:val="78B744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1" w15:restartNumberingAfterBreak="0">
    <w:nsid w:val="78EC35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2" w15:restartNumberingAfterBreak="0">
    <w:nsid w:val="79212C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3" w15:restartNumberingAfterBreak="0">
    <w:nsid w:val="79382E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4" w15:restartNumberingAfterBreak="0">
    <w:nsid w:val="794928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5" w15:restartNumberingAfterBreak="0">
    <w:nsid w:val="794F24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6" w15:restartNumberingAfterBreak="0">
    <w:nsid w:val="796201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7" w15:restartNumberingAfterBreak="0">
    <w:nsid w:val="797D74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8" w15:restartNumberingAfterBreak="0">
    <w:nsid w:val="79934A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9" w15:restartNumberingAfterBreak="0">
    <w:nsid w:val="79AA46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0" w15:restartNumberingAfterBreak="0">
    <w:nsid w:val="79AE69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1" w15:restartNumberingAfterBreak="0">
    <w:nsid w:val="79B971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2" w15:restartNumberingAfterBreak="0">
    <w:nsid w:val="79BD2C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3" w15:restartNumberingAfterBreak="0">
    <w:nsid w:val="79BE30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4" w15:restartNumberingAfterBreak="0">
    <w:nsid w:val="79E92BDD"/>
    <w:multiLevelType w:val="singleLevel"/>
    <w:tmpl w:val="5F0CCA38"/>
    <w:lvl w:ilvl="0">
      <w:start w:val="1"/>
      <w:numFmt w:val="bullet"/>
      <w:lvlText w:val=""/>
      <w:lvlJc w:val="left"/>
      <w:pPr>
        <w:tabs>
          <w:tab w:val="num" w:pos="360"/>
        </w:tabs>
        <w:ind w:left="360" w:hanging="360"/>
      </w:pPr>
      <w:rPr>
        <w:rFonts w:ascii="Symbol" w:hAnsi="Symbol" w:hint="default"/>
      </w:rPr>
    </w:lvl>
  </w:abstractNum>
  <w:abstractNum w:abstractNumId="1895" w15:restartNumberingAfterBreak="0">
    <w:nsid w:val="79F916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6" w15:restartNumberingAfterBreak="0">
    <w:nsid w:val="7A0F5B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7" w15:restartNumberingAfterBreak="0">
    <w:nsid w:val="7A572037"/>
    <w:multiLevelType w:val="singleLevel"/>
    <w:tmpl w:val="CA5E1CDC"/>
    <w:lvl w:ilvl="0">
      <w:start w:val="1"/>
      <w:numFmt w:val="decimal"/>
      <w:lvlText w:val="%1."/>
      <w:legacy w:legacy="1" w:legacySpace="0" w:legacyIndent="454"/>
      <w:lvlJc w:val="left"/>
      <w:pPr>
        <w:ind w:left="454" w:hanging="454"/>
      </w:pPr>
    </w:lvl>
  </w:abstractNum>
  <w:abstractNum w:abstractNumId="1898" w15:restartNumberingAfterBreak="0">
    <w:nsid w:val="7A8175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9" w15:restartNumberingAfterBreak="0">
    <w:nsid w:val="7A8178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0" w15:restartNumberingAfterBreak="0">
    <w:nsid w:val="7A8760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1" w15:restartNumberingAfterBreak="0">
    <w:nsid w:val="7AA258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2" w15:restartNumberingAfterBreak="0">
    <w:nsid w:val="7AAB40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3" w15:restartNumberingAfterBreak="0">
    <w:nsid w:val="7AD934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4" w15:restartNumberingAfterBreak="0">
    <w:nsid w:val="7B0409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5" w15:restartNumberingAfterBreak="0">
    <w:nsid w:val="7B2509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6" w15:restartNumberingAfterBreak="0">
    <w:nsid w:val="7B4C6C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7" w15:restartNumberingAfterBreak="0">
    <w:nsid w:val="7BB809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8" w15:restartNumberingAfterBreak="0">
    <w:nsid w:val="7BDF7F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9" w15:restartNumberingAfterBreak="0">
    <w:nsid w:val="7C0B78AE"/>
    <w:multiLevelType w:val="multilevel"/>
    <w:tmpl w:val="0BB6A2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0" w15:restartNumberingAfterBreak="0">
    <w:nsid w:val="7C1329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1" w15:restartNumberingAfterBreak="0">
    <w:nsid w:val="7C504AE5"/>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1912" w15:restartNumberingAfterBreak="0">
    <w:nsid w:val="7C6805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3" w15:restartNumberingAfterBreak="0">
    <w:nsid w:val="7C896FE1"/>
    <w:multiLevelType w:val="multilevel"/>
    <w:tmpl w:val="D1F2E4B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14" w15:restartNumberingAfterBreak="0">
    <w:nsid w:val="7C911E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15" w15:restartNumberingAfterBreak="0">
    <w:nsid w:val="7C9122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6" w15:restartNumberingAfterBreak="0">
    <w:nsid w:val="7C9827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7" w15:restartNumberingAfterBreak="0">
    <w:nsid w:val="7CAB7E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8" w15:restartNumberingAfterBreak="0">
    <w:nsid w:val="7CDC61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9" w15:restartNumberingAfterBreak="0">
    <w:nsid w:val="7CDD79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0" w15:restartNumberingAfterBreak="0">
    <w:nsid w:val="7CEF3E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1" w15:restartNumberingAfterBreak="0">
    <w:nsid w:val="7CF941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22" w15:restartNumberingAfterBreak="0">
    <w:nsid w:val="7CFB02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3" w15:restartNumberingAfterBreak="0">
    <w:nsid w:val="7D1555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4" w15:restartNumberingAfterBreak="0">
    <w:nsid w:val="7D2961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5" w15:restartNumberingAfterBreak="0">
    <w:nsid w:val="7D3351BB"/>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26" w15:restartNumberingAfterBreak="0">
    <w:nsid w:val="7D5B6525"/>
    <w:multiLevelType w:val="multilevel"/>
    <w:tmpl w:val="12745A8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27" w15:restartNumberingAfterBreak="0">
    <w:nsid w:val="7D602094"/>
    <w:multiLevelType w:val="singleLevel"/>
    <w:tmpl w:val="5882FD0A"/>
    <w:lvl w:ilvl="0">
      <w:start w:val="1"/>
      <w:numFmt w:val="bullet"/>
      <w:lvlText w:val=""/>
      <w:lvlJc w:val="left"/>
      <w:pPr>
        <w:tabs>
          <w:tab w:val="num" w:pos="360"/>
        </w:tabs>
        <w:ind w:left="360" w:hanging="360"/>
      </w:pPr>
      <w:rPr>
        <w:rFonts w:ascii="Symbol" w:hAnsi="Symbol" w:hint="default"/>
      </w:rPr>
    </w:lvl>
  </w:abstractNum>
  <w:abstractNum w:abstractNumId="1928" w15:restartNumberingAfterBreak="0">
    <w:nsid w:val="7D6568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9" w15:restartNumberingAfterBreak="0">
    <w:nsid w:val="7D6F63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0" w15:restartNumberingAfterBreak="0">
    <w:nsid w:val="7DA444EB"/>
    <w:multiLevelType w:val="singleLevel"/>
    <w:tmpl w:val="98CA23C0"/>
    <w:lvl w:ilvl="0">
      <w:start w:val="1"/>
      <w:numFmt w:val="bullet"/>
      <w:lvlText w:val=""/>
      <w:lvlJc w:val="left"/>
      <w:pPr>
        <w:tabs>
          <w:tab w:val="num" w:pos="360"/>
        </w:tabs>
        <w:ind w:left="357" w:hanging="357"/>
      </w:pPr>
      <w:rPr>
        <w:rFonts w:ascii="Symbol" w:hAnsi="Symbol" w:hint="default"/>
      </w:rPr>
    </w:lvl>
  </w:abstractNum>
  <w:abstractNum w:abstractNumId="1931" w15:restartNumberingAfterBreak="0">
    <w:nsid w:val="7DBE29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2" w15:restartNumberingAfterBreak="0">
    <w:nsid w:val="7DC246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3" w15:restartNumberingAfterBreak="0">
    <w:nsid w:val="7DC71FAF"/>
    <w:multiLevelType w:val="singleLevel"/>
    <w:tmpl w:val="6D746CDA"/>
    <w:lvl w:ilvl="0">
      <w:start w:val="1"/>
      <w:numFmt w:val="decimal"/>
      <w:lvlText w:val="%1."/>
      <w:legacy w:legacy="1" w:legacySpace="0" w:legacyIndent="284"/>
      <w:lvlJc w:val="left"/>
      <w:pPr>
        <w:ind w:left="1191" w:hanging="284"/>
      </w:pPr>
    </w:lvl>
  </w:abstractNum>
  <w:abstractNum w:abstractNumId="1934" w15:restartNumberingAfterBreak="0">
    <w:nsid w:val="7DD640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5" w15:restartNumberingAfterBreak="0">
    <w:nsid w:val="7DD94D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6" w15:restartNumberingAfterBreak="0">
    <w:nsid w:val="7DDE6F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7" w15:restartNumberingAfterBreak="0">
    <w:nsid w:val="7DF57F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8" w15:restartNumberingAfterBreak="0">
    <w:nsid w:val="7DF730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9" w15:restartNumberingAfterBreak="0">
    <w:nsid w:val="7DF879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0" w15:restartNumberingAfterBreak="0">
    <w:nsid w:val="7E0433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1" w15:restartNumberingAfterBreak="0">
    <w:nsid w:val="7E112A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2" w15:restartNumberingAfterBreak="0">
    <w:nsid w:val="7E1661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3" w15:restartNumberingAfterBreak="0">
    <w:nsid w:val="7E247E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4" w15:restartNumberingAfterBreak="0">
    <w:nsid w:val="7E264D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5" w15:restartNumberingAfterBreak="0">
    <w:nsid w:val="7E332B6C"/>
    <w:multiLevelType w:val="multilevel"/>
    <w:tmpl w:val="29760A8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46" w15:restartNumberingAfterBreak="0">
    <w:nsid w:val="7E4D30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7" w15:restartNumberingAfterBreak="0">
    <w:nsid w:val="7E4E4572"/>
    <w:multiLevelType w:val="singleLevel"/>
    <w:tmpl w:val="BBDEA5D2"/>
    <w:lvl w:ilvl="0">
      <w:start w:val="1"/>
      <w:numFmt w:val="decimal"/>
      <w:lvlText w:val="%1."/>
      <w:legacy w:legacy="1" w:legacySpace="0" w:legacyIndent="284"/>
      <w:lvlJc w:val="left"/>
      <w:pPr>
        <w:ind w:left="1191" w:hanging="284"/>
      </w:pPr>
    </w:lvl>
  </w:abstractNum>
  <w:abstractNum w:abstractNumId="1948" w15:restartNumberingAfterBreak="0">
    <w:nsid w:val="7E560B88"/>
    <w:multiLevelType w:val="singleLevel"/>
    <w:tmpl w:val="3AD8DEDA"/>
    <w:lvl w:ilvl="0">
      <w:start w:val="1"/>
      <w:numFmt w:val="decimal"/>
      <w:lvlText w:val="%1."/>
      <w:legacy w:legacy="1" w:legacySpace="0" w:legacyIndent="284"/>
      <w:lvlJc w:val="left"/>
      <w:pPr>
        <w:ind w:left="1191" w:hanging="284"/>
      </w:pPr>
    </w:lvl>
  </w:abstractNum>
  <w:abstractNum w:abstractNumId="1949" w15:restartNumberingAfterBreak="0">
    <w:nsid w:val="7E845AD7"/>
    <w:multiLevelType w:val="multilevel"/>
    <w:tmpl w:val="085285F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50" w15:restartNumberingAfterBreak="0">
    <w:nsid w:val="7ED86B4C"/>
    <w:multiLevelType w:val="singleLevel"/>
    <w:tmpl w:val="041D000F"/>
    <w:lvl w:ilvl="0">
      <w:start w:val="4"/>
      <w:numFmt w:val="decimal"/>
      <w:lvlText w:val="%1."/>
      <w:lvlJc w:val="left"/>
      <w:pPr>
        <w:tabs>
          <w:tab w:val="num" w:pos="360"/>
        </w:tabs>
        <w:ind w:left="360" w:hanging="360"/>
      </w:pPr>
      <w:rPr>
        <w:rFonts w:hint="default"/>
      </w:rPr>
    </w:lvl>
  </w:abstractNum>
  <w:abstractNum w:abstractNumId="1951" w15:restartNumberingAfterBreak="0">
    <w:nsid w:val="7EE90304"/>
    <w:multiLevelType w:val="singleLevel"/>
    <w:tmpl w:val="BBDEA5D2"/>
    <w:lvl w:ilvl="0">
      <w:start w:val="1"/>
      <w:numFmt w:val="decimal"/>
      <w:lvlText w:val="%1."/>
      <w:legacy w:legacy="1" w:legacySpace="0" w:legacyIndent="284"/>
      <w:lvlJc w:val="left"/>
      <w:pPr>
        <w:ind w:left="1191" w:hanging="284"/>
      </w:pPr>
    </w:lvl>
  </w:abstractNum>
  <w:abstractNum w:abstractNumId="1952" w15:restartNumberingAfterBreak="0">
    <w:nsid w:val="7EEF71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3" w15:restartNumberingAfterBreak="0">
    <w:nsid w:val="7F010D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4" w15:restartNumberingAfterBreak="0">
    <w:nsid w:val="7F0549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5" w15:restartNumberingAfterBreak="0">
    <w:nsid w:val="7F0C413D"/>
    <w:multiLevelType w:val="singleLevel"/>
    <w:tmpl w:val="BBDEA5D2"/>
    <w:lvl w:ilvl="0">
      <w:start w:val="1"/>
      <w:numFmt w:val="decimal"/>
      <w:lvlText w:val="%1."/>
      <w:legacy w:legacy="1" w:legacySpace="0" w:legacyIndent="284"/>
      <w:lvlJc w:val="left"/>
      <w:pPr>
        <w:ind w:left="1191" w:hanging="284"/>
      </w:pPr>
    </w:lvl>
  </w:abstractNum>
  <w:abstractNum w:abstractNumId="1956" w15:restartNumberingAfterBreak="0">
    <w:nsid w:val="7F1B74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7" w15:restartNumberingAfterBreak="0">
    <w:nsid w:val="7F2167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8" w15:restartNumberingAfterBreak="0">
    <w:nsid w:val="7F2B56BB"/>
    <w:multiLevelType w:val="multilevel"/>
    <w:tmpl w:val="F7EA71E4"/>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59" w15:restartNumberingAfterBreak="0">
    <w:nsid w:val="7F30351C"/>
    <w:multiLevelType w:val="singleLevel"/>
    <w:tmpl w:val="713C86EC"/>
    <w:lvl w:ilvl="0">
      <w:start w:val="1"/>
      <w:numFmt w:val="bullet"/>
      <w:lvlText w:val=""/>
      <w:lvlJc w:val="left"/>
      <w:pPr>
        <w:tabs>
          <w:tab w:val="num" w:pos="360"/>
        </w:tabs>
        <w:ind w:left="360" w:hanging="360"/>
      </w:pPr>
      <w:rPr>
        <w:rFonts w:ascii="Symbol" w:hAnsi="Symbol" w:hint="default"/>
      </w:rPr>
    </w:lvl>
  </w:abstractNum>
  <w:abstractNum w:abstractNumId="1960" w15:restartNumberingAfterBreak="0">
    <w:nsid w:val="7F4556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1" w15:restartNumberingAfterBreak="0">
    <w:nsid w:val="7F455A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2" w15:restartNumberingAfterBreak="0">
    <w:nsid w:val="7F4C47D9"/>
    <w:multiLevelType w:val="multilevel"/>
    <w:tmpl w:val="C792DB9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63" w15:restartNumberingAfterBreak="0">
    <w:nsid w:val="7F536896"/>
    <w:multiLevelType w:val="singleLevel"/>
    <w:tmpl w:val="BBDEA5D2"/>
    <w:lvl w:ilvl="0">
      <w:start w:val="1"/>
      <w:numFmt w:val="decimal"/>
      <w:lvlText w:val="%1."/>
      <w:legacy w:legacy="1" w:legacySpace="0" w:legacyIndent="284"/>
      <w:lvlJc w:val="left"/>
      <w:pPr>
        <w:ind w:left="1191" w:hanging="284"/>
      </w:pPr>
    </w:lvl>
  </w:abstractNum>
  <w:abstractNum w:abstractNumId="1964" w15:restartNumberingAfterBreak="0">
    <w:nsid w:val="7F593A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5" w15:restartNumberingAfterBreak="0">
    <w:nsid w:val="7F6F22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6" w15:restartNumberingAfterBreak="0">
    <w:nsid w:val="7F6F2815"/>
    <w:multiLevelType w:val="singleLevel"/>
    <w:tmpl w:val="041D000F"/>
    <w:lvl w:ilvl="0">
      <w:start w:val="1"/>
      <w:numFmt w:val="decimal"/>
      <w:lvlText w:val="%1."/>
      <w:lvlJc w:val="left"/>
      <w:pPr>
        <w:tabs>
          <w:tab w:val="num" w:pos="360"/>
        </w:tabs>
        <w:ind w:left="360" w:hanging="360"/>
      </w:pPr>
      <w:rPr>
        <w:rFonts w:hint="default"/>
      </w:rPr>
    </w:lvl>
  </w:abstractNum>
  <w:abstractNum w:abstractNumId="1967" w15:restartNumberingAfterBreak="0">
    <w:nsid w:val="7F791C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8" w15:restartNumberingAfterBreak="0">
    <w:nsid w:val="7F7F0A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9" w15:restartNumberingAfterBreak="0">
    <w:nsid w:val="7FA81B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0" w15:restartNumberingAfterBreak="0">
    <w:nsid w:val="7FC74135"/>
    <w:multiLevelType w:val="multilevel"/>
    <w:tmpl w:val="A486256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71" w15:restartNumberingAfterBreak="0">
    <w:nsid w:val="7FD8656C"/>
    <w:multiLevelType w:val="multilevel"/>
    <w:tmpl w:val="93AA636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972" w15:restartNumberingAfterBreak="0">
    <w:nsid w:val="7FE844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3" w15:restartNumberingAfterBreak="0">
    <w:nsid w:val="7FF079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4" w15:restartNumberingAfterBreak="0">
    <w:nsid w:val="7FF23F70"/>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947859209">
    <w:abstractNumId w:val="356"/>
  </w:num>
  <w:num w:numId="2" w16cid:durableId="473763366">
    <w:abstractNumId w:val="22"/>
  </w:num>
  <w:num w:numId="3" w16cid:durableId="49043679">
    <w:abstractNumId w:val="1219"/>
  </w:num>
  <w:num w:numId="4" w16cid:durableId="903024341">
    <w:abstractNumId w:val="897"/>
  </w:num>
  <w:num w:numId="5" w16cid:durableId="614673698">
    <w:abstractNumId w:val="774"/>
  </w:num>
  <w:num w:numId="6" w16cid:durableId="473722170">
    <w:abstractNumId w:val="1345"/>
  </w:num>
  <w:num w:numId="7" w16cid:durableId="168250624">
    <w:abstractNumId w:val="475"/>
  </w:num>
  <w:num w:numId="8" w16cid:durableId="742337694">
    <w:abstractNumId w:val="1674"/>
  </w:num>
  <w:num w:numId="9" w16cid:durableId="1967275079">
    <w:abstractNumId w:val="3"/>
  </w:num>
  <w:num w:numId="10" w16cid:durableId="1125082265">
    <w:abstractNumId w:val="1709"/>
  </w:num>
  <w:num w:numId="11" w16cid:durableId="60057870">
    <w:abstractNumId w:val="9"/>
  </w:num>
  <w:num w:numId="12" w16cid:durableId="167790838">
    <w:abstractNumId w:val="8"/>
  </w:num>
  <w:num w:numId="13" w16cid:durableId="931008607">
    <w:abstractNumId w:val="10"/>
  </w:num>
  <w:num w:numId="14" w16cid:durableId="1181167596">
    <w:abstractNumId w:val="160"/>
  </w:num>
  <w:num w:numId="15" w16cid:durableId="767195458">
    <w:abstractNumId w:val="766"/>
  </w:num>
  <w:num w:numId="16" w16cid:durableId="440225802">
    <w:abstractNumId w:val="957"/>
  </w:num>
  <w:num w:numId="17" w16cid:durableId="1707095126">
    <w:abstractNumId w:val="1099"/>
  </w:num>
  <w:num w:numId="18" w16cid:durableId="1912157987">
    <w:abstractNumId w:val="547"/>
  </w:num>
  <w:num w:numId="19" w16cid:durableId="1759935033">
    <w:abstractNumId w:val="1555"/>
  </w:num>
  <w:num w:numId="20" w16cid:durableId="1091125424">
    <w:abstractNumId w:val="28"/>
  </w:num>
  <w:num w:numId="21" w16cid:durableId="1495342831">
    <w:abstractNumId w:val="159"/>
  </w:num>
  <w:num w:numId="22" w16cid:durableId="1674920214">
    <w:abstractNumId w:val="1829"/>
  </w:num>
  <w:num w:numId="23" w16cid:durableId="900143132">
    <w:abstractNumId w:val="683"/>
  </w:num>
  <w:num w:numId="24" w16cid:durableId="695890357">
    <w:abstractNumId w:val="1714"/>
  </w:num>
  <w:num w:numId="25" w16cid:durableId="2115589959">
    <w:abstractNumId w:val="1687"/>
  </w:num>
  <w:num w:numId="26" w16cid:durableId="2085106162">
    <w:abstractNumId w:val="1897"/>
  </w:num>
  <w:num w:numId="27" w16cid:durableId="1590577003">
    <w:abstractNumId w:val="1479"/>
  </w:num>
  <w:num w:numId="28" w16cid:durableId="682129672">
    <w:abstractNumId w:val="1094"/>
  </w:num>
  <w:num w:numId="29" w16cid:durableId="140467342">
    <w:abstractNumId w:val="1814"/>
  </w:num>
  <w:num w:numId="30" w16cid:durableId="54742025">
    <w:abstractNumId w:val="260"/>
  </w:num>
  <w:num w:numId="31" w16cid:durableId="1190872224">
    <w:abstractNumId w:val="1603"/>
  </w:num>
  <w:num w:numId="32" w16cid:durableId="2101487451">
    <w:abstractNumId w:val="536"/>
  </w:num>
  <w:num w:numId="33" w16cid:durableId="142432984">
    <w:abstractNumId w:val="920"/>
  </w:num>
  <w:num w:numId="34" w16cid:durableId="1319264557">
    <w:abstractNumId w:val="150"/>
  </w:num>
  <w:num w:numId="35" w16cid:durableId="1041170587">
    <w:abstractNumId w:val="416"/>
  </w:num>
  <w:num w:numId="36" w16cid:durableId="1520850281">
    <w:abstractNumId w:val="143"/>
  </w:num>
  <w:num w:numId="37" w16cid:durableId="1948653163">
    <w:abstractNumId w:val="1719"/>
  </w:num>
  <w:num w:numId="38" w16cid:durableId="1033574677">
    <w:abstractNumId w:val="9"/>
    <w:lvlOverride w:ilvl="0">
      <w:startOverride w:val="1"/>
    </w:lvlOverride>
  </w:num>
  <w:num w:numId="39" w16cid:durableId="1618755278">
    <w:abstractNumId w:val="852"/>
  </w:num>
  <w:num w:numId="40" w16cid:durableId="743533290">
    <w:abstractNumId w:val="469"/>
  </w:num>
  <w:num w:numId="41" w16cid:durableId="1714109465">
    <w:abstractNumId w:val="727"/>
  </w:num>
  <w:num w:numId="42" w16cid:durableId="1387873582">
    <w:abstractNumId w:val="1642"/>
  </w:num>
  <w:num w:numId="43" w16cid:durableId="924874628">
    <w:abstractNumId w:val="176"/>
  </w:num>
  <w:num w:numId="44" w16cid:durableId="1632898310">
    <w:abstractNumId w:val="373"/>
  </w:num>
  <w:num w:numId="45" w16cid:durableId="1355496863">
    <w:abstractNumId w:val="1001"/>
  </w:num>
  <w:num w:numId="46" w16cid:durableId="1134518680">
    <w:abstractNumId w:val="764"/>
  </w:num>
  <w:num w:numId="47" w16cid:durableId="1618902869">
    <w:abstractNumId w:val="1058"/>
  </w:num>
  <w:num w:numId="48" w16cid:durableId="713820397">
    <w:abstractNumId w:val="1878"/>
  </w:num>
  <w:num w:numId="49" w16cid:durableId="377097438">
    <w:abstractNumId w:val="1945"/>
  </w:num>
  <w:num w:numId="50" w16cid:durableId="1307399409">
    <w:abstractNumId w:val="162"/>
  </w:num>
  <w:num w:numId="51" w16cid:durableId="1504856164">
    <w:abstractNumId w:val="100"/>
  </w:num>
  <w:num w:numId="52" w16cid:durableId="2066953294">
    <w:abstractNumId w:val="258"/>
  </w:num>
  <w:num w:numId="53" w16cid:durableId="1090079335">
    <w:abstractNumId w:val="1463"/>
  </w:num>
  <w:num w:numId="54" w16cid:durableId="503742125">
    <w:abstractNumId w:val="306"/>
  </w:num>
  <w:num w:numId="55" w16cid:durableId="337972518">
    <w:abstractNumId w:val="207"/>
  </w:num>
  <w:num w:numId="56" w16cid:durableId="407263798">
    <w:abstractNumId w:val="1493"/>
  </w:num>
  <w:num w:numId="57" w16cid:durableId="334378837">
    <w:abstractNumId w:val="1527"/>
  </w:num>
  <w:num w:numId="58" w16cid:durableId="5598599">
    <w:abstractNumId w:val="1132"/>
  </w:num>
  <w:num w:numId="59" w16cid:durableId="374428247">
    <w:abstractNumId w:val="1579"/>
  </w:num>
  <w:num w:numId="60" w16cid:durableId="572274341">
    <w:abstractNumId w:val="1056"/>
  </w:num>
  <w:num w:numId="61" w16cid:durableId="575669621">
    <w:abstractNumId w:val="1066"/>
  </w:num>
  <w:num w:numId="62" w16cid:durableId="393745580">
    <w:abstractNumId w:val="338"/>
  </w:num>
  <w:num w:numId="63" w16cid:durableId="1090351158">
    <w:abstractNumId w:val="204"/>
  </w:num>
  <w:num w:numId="64" w16cid:durableId="632058935">
    <w:abstractNumId w:val="577"/>
  </w:num>
  <w:num w:numId="65" w16cid:durableId="738792804">
    <w:abstractNumId w:val="1802"/>
  </w:num>
  <w:num w:numId="66" w16cid:durableId="1376349891">
    <w:abstractNumId w:val="494"/>
  </w:num>
  <w:num w:numId="67" w16cid:durableId="2025476955">
    <w:abstractNumId w:val="459"/>
  </w:num>
  <w:num w:numId="68" w16cid:durableId="122583078">
    <w:abstractNumId w:val="1395"/>
  </w:num>
  <w:num w:numId="69" w16cid:durableId="336661325">
    <w:abstractNumId w:val="956"/>
  </w:num>
  <w:num w:numId="70" w16cid:durableId="1274021808">
    <w:abstractNumId w:val="299"/>
  </w:num>
  <w:num w:numId="71" w16cid:durableId="305091388">
    <w:abstractNumId w:val="1572"/>
  </w:num>
  <w:num w:numId="72" w16cid:durableId="2101296146">
    <w:abstractNumId w:val="1533"/>
  </w:num>
  <w:num w:numId="73" w16cid:durableId="1132752349">
    <w:abstractNumId w:val="1700"/>
  </w:num>
  <w:num w:numId="74" w16cid:durableId="309792499">
    <w:abstractNumId w:val="1926"/>
  </w:num>
  <w:num w:numId="75" w16cid:durableId="631057499">
    <w:abstractNumId w:val="1544"/>
  </w:num>
  <w:num w:numId="76" w16cid:durableId="1814832284">
    <w:abstractNumId w:val="1248"/>
  </w:num>
  <w:num w:numId="77" w16cid:durableId="888958752">
    <w:abstractNumId w:val="1508"/>
  </w:num>
  <w:num w:numId="78" w16cid:durableId="1669138038">
    <w:abstractNumId w:val="744"/>
  </w:num>
  <w:num w:numId="79" w16cid:durableId="182793717">
    <w:abstractNumId w:val="1669"/>
  </w:num>
  <w:num w:numId="80" w16cid:durableId="683752676">
    <w:abstractNumId w:val="1661"/>
  </w:num>
  <w:num w:numId="81" w16cid:durableId="960572899">
    <w:abstractNumId w:val="1859"/>
  </w:num>
  <w:num w:numId="82" w16cid:durableId="682246573">
    <w:abstractNumId w:val="1385"/>
  </w:num>
  <w:num w:numId="83" w16cid:durableId="1398212671">
    <w:abstractNumId w:val="430"/>
  </w:num>
  <w:num w:numId="84" w16cid:durableId="2043894820">
    <w:abstractNumId w:val="1149"/>
  </w:num>
  <w:num w:numId="85" w16cid:durableId="225577359">
    <w:abstractNumId w:val="328"/>
  </w:num>
  <w:num w:numId="86" w16cid:durableId="1408263936">
    <w:abstractNumId w:val="408"/>
  </w:num>
  <w:num w:numId="87" w16cid:durableId="1254122459">
    <w:abstractNumId w:val="1261"/>
  </w:num>
  <w:num w:numId="88" w16cid:durableId="518588019">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89" w16cid:durableId="289673022">
    <w:abstractNumId w:val="1757"/>
  </w:num>
  <w:num w:numId="90" w16cid:durableId="2636845">
    <w:abstractNumId w:val="725"/>
  </w:num>
  <w:num w:numId="91" w16cid:durableId="1461341896">
    <w:abstractNumId w:val="26"/>
  </w:num>
  <w:num w:numId="92" w16cid:durableId="460808718">
    <w:abstractNumId w:val="1317"/>
  </w:num>
  <w:num w:numId="93" w16cid:durableId="173737279">
    <w:abstractNumId w:val="1095"/>
  </w:num>
  <w:num w:numId="94" w16cid:durableId="54162801">
    <w:abstractNumId w:val="419"/>
  </w:num>
  <w:num w:numId="95" w16cid:durableId="1043748407">
    <w:abstractNumId w:val="1468"/>
  </w:num>
  <w:num w:numId="96" w16cid:durableId="998120820">
    <w:abstractNumId w:val="1543"/>
  </w:num>
  <w:num w:numId="97" w16cid:durableId="306400780">
    <w:abstractNumId w:val="1091"/>
  </w:num>
  <w:num w:numId="98" w16cid:durableId="1695037261">
    <w:abstractNumId w:val="854"/>
  </w:num>
  <w:num w:numId="99" w16cid:durableId="1298142777">
    <w:abstractNumId w:val="620"/>
  </w:num>
  <w:num w:numId="100" w16cid:durableId="1258978562">
    <w:abstractNumId w:val="1913"/>
  </w:num>
  <w:num w:numId="101" w16cid:durableId="359402456">
    <w:abstractNumId w:val="1862"/>
  </w:num>
  <w:num w:numId="102" w16cid:durableId="104814989">
    <w:abstractNumId w:val="109"/>
  </w:num>
  <w:num w:numId="103" w16cid:durableId="1363166675">
    <w:abstractNumId w:val="675"/>
  </w:num>
  <w:num w:numId="104" w16cid:durableId="1834569466">
    <w:abstractNumId w:val="1788"/>
  </w:num>
  <w:num w:numId="105" w16cid:durableId="109521583">
    <w:abstractNumId w:val="1536"/>
  </w:num>
  <w:num w:numId="106" w16cid:durableId="1032999002">
    <w:abstractNumId w:val="361"/>
  </w:num>
  <w:num w:numId="107" w16cid:durableId="1305961513">
    <w:abstractNumId w:val="935"/>
  </w:num>
  <w:num w:numId="108" w16cid:durableId="898708193">
    <w:abstractNumId w:val="7"/>
  </w:num>
  <w:num w:numId="109" w16cid:durableId="399523659">
    <w:abstractNumId w:val="1449"/>
  </w:num>
  <w:num w:numId="110" w16cid:durableId="1375733199">
    <w:abstractNumId w:val="969"/>
  </w:num>
  <w:num w:numId="111" w16cid:durableId="1999262262">
    <w:abstractNumId w:val="977"/>
  </w:num>
  <w:num w:numId="112" w16cid:durableId="913052813">
    <w:abstractNumId w:val="1003"/>
  </w:num>
  <w:num w:numId="113" w16cid:durableId="506870694">
    <w:abstractNumId w:val="60"/>
  </w:num>
  <w:num w:numId="114" w16cid:durableId="126552416">
    <w:abstractNumId w:val="11"/>
    <w:lvlOverride w:ilvl="0">
      <w:lvl w:ilvl="0">
        <w:start w:val="1"/>
        <w:numFmt w:val="bullet"/>
        <w:lvlText w:val="-"/>
        <w:legacy w:legacy="1" w:legacySpace="0" w:legacyIndent="454"/>
        <w:lvlJc w:val="left"/>
        <w:pPr>
          <w:ind w:left="454" w:hanging="454"/>
        </w:pPr>
        <w:rPr>
          <w:rFonts w:ascii="OrigGarmnd BT" w:hAnsi="OrigGarmnd BT" w:hint="default"/>
        </w:rPr>
      </w:lvl>
    </w:lvlOverride>
  </w:num>
  <w:num w:numId="115" w16cid:durableId="1643195843">
    <w:abstractNumId w:val="11"/>
    <w:lvlOverride w:ilvl="0">
      <w:lvl w:ilvl="0">
        <w:start w:val="1"/>
        <w:numFmt w:val="bullet"/>
        <w:lvlText w:val="–"/>
        <w:legacy w:legacy="1" w:legacySpace="0" w:legacyIndent="454"/>
        <w:lvlJc w:val="left"/>
        <w:pPr>
          <w:ind w:left="454" w:hanging="454"/>
        </w:pPr>
        <w:rPr>
          <w:rFonts w:ascii="OrigGarmnd BT" w:hAnsi="OrigGarmnd BT" w:hint="default"/>
        </w:rPr>
      </w:lvl>
    </w:lvlOverride>
  </w:num>
  <w:num w:numId="116" w16cid:durableId="1353726630">
    <w:abstractNumId w:val="418"/>
  </w:num>
  <w:num w:numId="117" w16cid:durableId="1155531223">
    <w:abstractNumId w:val="320"/>
  </w:num>
  <w:num w:numId="118" w16cid:durableId="993265622">
    <w:abstractNumId w:val="1336"/>
  </w:num>
  <w:num w:numId="119" w16cid:durableId="1391811048">
    <w:abstractNumId w:val="1688"/>
  </w:num>
  <w:num w:numId="120" w16cid:durableId="1607498095">
    <w:abstractNumId w:val="619"/>
  </w:num>
  <w:num w:numId="121" w16cid:durableId="1509559085">
    <w:abstractNumId w:val="1433"/>
  </w:num>
  <w:num w:numId="122" w16cid:durableId="1620722309">
    <w:abstractNumId w:val="105"/>
  </w:num>
  <w:num w:numId="123" w16cid:durableId="590354611">
    <w:abstractNumId w:val="718"/>
  </w:num>
  <w:num w:numId="124" w16cid:durableId="1009262022">
    <w:abstractNumId w:val="478"/>
  </w:num>
  <w:num w:numId="125" w16cid:durableId="1589075393">
    <w:abstractNumId w:val="1642"/>
    <w:lvlOverride w:ilvl="0">
      <w:startOverride w:val="1"/>
    </w:lvlOverride>
  </w:num>
  <w:num w:numId="126" w16cid:durableId="75172618">
    <w:abstractNumId w:val="1503"/>
  </w:num>
  <w:num w:numId="127" w16cid:durableId="999768529">
    <w:abstractNumId w:val="174"/>
  </w:num>
  <w:num w:numId="128" w16cid:durableId="693582128">
    <w:abstractNumId w:val="54"/>
  </w:num>
  <w:num w:numId="129" w16cid:durableId="721902836">
    <w:abstractNumId w:val="1775"/>
  </w:num>
  <w:num w:numId="130" w16cid:durableId="878593076">
    <w:abstractNumId w:val="838"/>
  </w:num>
  <w:num w:numId="131" w16cid:durableId="1137605177">
    <w:abstractNumId w:val="385"/>
  </w:num>
  <w:num w:numId="132" w16cid:durableId="592906373">
    <w:abstractNumId w:val="116"/>
  </w:num>
  <w:num w:numId="133" w16cid:durableId="2088725213">
    <w:abstractNumId w:val="1574"/>
  </w:num>
  <w:num w:numId="134" w16cid:durableId="2084453102">
    <w:abstractNumId w:val="402"/>
  </w:num>
  <w:num w:numId="135" w16cid:durableId="2063139485">
    <w:abstractNumId w:val="1299"/>
  </w:num>
  <w:num w:numId="136" w16cid:durableId="1974941834">
    <w:abstractNumId w:val="1347"/>
  </w:num>
  <w:num w:numId="137" w16cid:durableId="1005671268">
    <w:abstractNumId w:val="1138"/>
  </w:num>
  <w:num w:numId="138" w16cid:durableId="1899049342">
    <w:abstractNumId w:val="1962"/>
  </w:num>
  <w:num w:numId="139" w16cid:durableId="1967202326">
    <w:abstractNumId w:val="800"/>
  </w:num>
  <w:num w:numId="140" w16cid:durableId="651369824">
    <w:abstractNumId w:val="1017"/>
  </w:num>
  <w:num w:numId="141" w16cid:durableId="399258759">
    <w:abstractNumId w:val="1480"/>
  </w:num>
  <w:num w:numId="142" w16cid:durableId="1806657893">
    <w:abstractNumId w:val="1750"/>
  </w:num>
  <w:num w:numId="143" w16cid:durableId="592249523">
    <w:abstractNumId w:val="1128"/>
  </w:num>
  <w:num w:numId="144" w16cid:durableId="1218204043">
    <w:abstractNumId w:val="85"/>
  </w:num>
  <w:num w:numId="145" w16cid:durableId="2011058508">
    <w:abstractNumId w:val="844"/>
  </w:num>
  <w:num w:numId="146" w16cid:durableId="411783684">
    <w:abstractNumId w:val="273"/>
  </w:num>
  <w:num w:numId="147" w16cid:durableId="789520047">
    <w:abstractNumId w:val="1485"/>
  </w:num>
  <w:num w:numId="148" w16cid:durableId="1162620020">
    <w:abstractNumId w:val="1823"/>
  </w:num>
  <w:num w:numId="149" w16cid:durableId="302928775">
    <w:abstractNumId w:val="1679"/>
  </w:num>
  <w:num w:numId="150" w16cid:durableId="717170666">
    <w:abstractNumId w:val="1631"/>
  </w:num>
  <w:num w:numId="151" w16cid:durableId="85074441">
    <w:abstractNumId w:val="737"/>
  </w:num>
  <w:num w:numId="152" w16cid:durableId="1931114403">
    <w:abstractNumId w:val="726"/>
  </w:num>
  <w:num w:numId="153" w16cid:durableId="1916820941">
    <w:abstractNumId w:val="1619"/>
  </w:num>
  <w:num w:numId="154" w16cid:durableId="1054230793">
    <w:abstractNumId w:val="1451"/>
  </w:num>
  <w:num w:numId="155" w16cid:durableId="511719693">
    <w:abstractNumId w:val="770"/>
  </w:num>
  <w:num w:numId="156" w16cid:durableId="2028868707">
    <w:abstractNumId w:val="215"/>
  </w:num>
  <w:num w:numId="157" w16cid:durableId="1497527217">
    <w:abstractNumId w:val="1792"/>
  </w:num>
  <w:num w:numId="158" w16cid:durableId="828324113">
    <w:abstractNumId w:val="1466"/>
  </w:num>
  <w:num w:numId="159" w16cid:durableId="2133009603">
    <w:abstractNumId w:val="1160"/>
  </w:num>
  <w:num w:numId="160" w16cid:durableId="218564106">
    <w:abstractNumId w:val="1241"/>
  </w:num>
  <w:num w:numId="161" w16cid:durableId="1792552386">
    <w:abstractNumId w:val="1925"/>
  </w:num>
  <w:num w:numId="162" w16cid:durableId="929044031">
    <w:abstractNumId w:val="118"/>
  </w:num>
  <w:num w:numId="163" w16cid:durableId="309754766">
    <w:abstractNumId w:val="294"/>
  </w:num>
  <w:num w:numId="164" w16cid:durableId="1555701162">
    <w:abstractNumId w:val="594"/>
  </w:num>
  <w:num w:numId="165" w16cid:durableId="711686872">
    <w:abstractNumId w:val="296"/>
  </w:num>
  <w:num w:numId="166" w16cid:durableId="2093040086">
    <w:abstractNumId w:val="1378"/>
  </w:num>
  <w:num w:numId="167" w16cid:durableId="1844860473">
    <w:abstractNumId w:val="126"/>
  </w:num>
  <w:num w:numId="168" w16cid:durableId="186868660">
    <w:abstractNumId w:val="227"/>
  </w:num>
  <w:num w:numId="169" w16cid:durableId="1068383099">
    <w:abstractNumId w:val="301"/>
  </w:num>
  <w:num w:numId="170" w16cid:durableId="346634527">
    <w:abstractNumId w:val="706"/>
  </w:num>
  <w:num w:numId="171" w16cid:durableId="253131451">
    <w:abstractNumId w:val="739"/>
  </w:num>
  <w:num w:numId="172" w16cid:durableId="602155346">
    <w:abstractNumId w:val="336"/>
  </w:num>
  <w:num w:numId="173" w16cid:durableId="1980304109">
    <w:abstractNumId w:val="1848"/>
  </w:num>
  <w:num w:numId="174" w16cid:durableId="1273244296">
    <w:abstractNumId w:val="1213"/>
  </w:num>
  <w:num w:numId="175" w16cid:durableId="1808276512">
    <w:abstractNumId w:val="329"/>
  </w:num>
  <w:num w:numId="176" w16cid:durableId="651643765">
    <w:abstractNumId w:val="472"/>
  </w:num>
  <w:num w:numId="177" w16cid:durableId="227959210">
    <w:abstractNumId w:val="1198"/>
  </w:num>
  <w:num w:numId="178" w16cid:durableId="1976180645">
    <w:abstractNumId w:val="1623"/>
  </w:num>
  <w:num w:numId="179" w16cid:durableId="1156074877">
    <w:abstractNumId w:val="1512"/>
  </w:num>
  <w:num w:numId="180" w16cid:durableId="152307385">
    <w:abstractNumId w:val="1412"/>
  </w:num>
  <w:num w:numId="181" w16cid:durableId="140199829">
    <w:abstractNumId w:val="1824"/>
  </w:num>
  <w:num w:numId="182" w16cid:durableId="1830751925">
    <w:abstractNumId w:val="477"/>
  </w:num>
  <w:num w:numId="183" w16cid:durableId="1841893037">
    <w:abstractNumId w:val="181"/>
  </w:num>
  <w:num w:numId="184" w16cid:durableId="998310687">
    <w:abstractNumId w:val="508"/>
  </w:num>
  <w:num w:numId="185" w16cid:durableId="1571231955">
    <w:abstractNumId w:val="42"/>
  </w:num>
  <w:num w:numId="186" w16cid:durableId="80687810">
    <w:abstractNumId w:val="401"/>
  </w:num>
  <w:num w:numId="187" w16cid:durableId="2126193515">
    <w:abstractNumId w:val="1100"/>
  </w:num>
  <w:num w:numId="188" w16cid:durableId="137260944">
    <w:abstractNumId w:val="946"/>
  </w:num>
  <w:num w:numId="189" w16cid:durableId="606041875">
    <w:abstractNumId w:val="850"/>
  </w:num>
  <w:num w:numId="190" w16cid:durableId="1912347185">
    <w:abstractNumId w:val="1909"/>
  </w:num>
  <w:num w:numId="191" w16cid:durableId="1892691052">
    <w:abstractNumId w:val="439"/>
  </w:num>
  <w:num w:numId="192" w16cid:durableId="1625960623">
    <w:abstractNumId w:val="1489"/>
  </w:num>
  <w:num w:numId="193" w16cid:durableId="1701541061">
    <w:abstractNumId w:val="1312"/>
  </w:num>
  <w:num w:numId="194" w16cid:durableId="1922913316">
    <w:abstractNumId w:val="1545"/>
  </w:num>
  <w:num w:numId="195" w16cid:durableId="890726728">
    <w:abstractNumId w:val="1854"/>
  </w:num>
  <w:num w:numId="196" w16cid:durableId="993947342">
    <w:abstractNumId w:val="914"/>
  </w:num>
  <w:num w:numId="197" w16cid:durableId="542720330">
    <w:abstractNumId w:val="1273"/>
  </w:num>
  <w:num w:numId="198" w16cid:durableId="1813251111">
    <w:abstractNumId w:val="35"/>
  </w:num>
  <w:num w:numId="199" w16cid:durableId="243607953">
    <w:abstractNumId w:val="107"/>
  </w:num>
  <w:num w:numId="200" w16cid:durableId="1413238124">
    <w:abstractNumId w:val="89"/>
  </w:num>
  <w:num w:numId="201" w16cid:durableId="1886939956">
    <w:abstractNumId w:val="1361"/>
  </w:num>
  <w:num w:numId="202" w16cid:durableId="58283838">
    <w:abstractNumId w:val="343"/>
  </w:num>
  <w:num w:numId="203" w16cid:durableId="482355317">
    <w:abstractNumId w:val="944"/>
  </w:num>
  <w:num w:numId="204" w16cid:durableId="1303002869">
    <w:abstractNumId w:val="1958"/>
  </w:num>
  <w:num w:numId="205" w16cid:durableId="2047099988">
    <w:abstractNumId w:val="1718"/>
  </w:num>
  <w:num w:numId="206" w16cid:durableId="2124155630">
    <w:abstractNumId w:val="1244"/>
  </w:num>
  <w:num w:numId="207" w16cid:durableId="1873837469">
    <w:abstractNumId w:val="804"/>
  </w:num>
  <w:num w:numId="208" w16cid:durableId="1448507011">
    <w:abstractNumId w:val="1178"/>
  </w:num>
  <w:num w:numId="209" w16cid:durableId="1682507887">
    <w:abstractNumId w:val="405"/>
  </w:num>
  <w:num w:numId="210" w16cid:durableId="762341230">
    <w:abstractNumId w:val="541"/>
  </w:num>
  <w:num w:numId="211" w16cid:durableId="910699960">
    <w:abstractNumId w:val="860"/>
  </w:num>
  <w:num w:numId="212" w16cid:durableId="779686568">
    <w:abstractNumId w:val="1292"/>
  </w:num>
  <w:num w:numId="213" w16cid:durableId="2039505069">
    <w:abstractNumId w:val="1622"/>
  </w:num>
  <w:num w:numId="214" w16cid:durableId="650793360">
    <w:abstractNumId w:val="37"/>
  </w:num>
  <w:num w:numId="215" w16cid:durableId="1446147165">
    <w:abstractNumId w:val="1323"/>
  </w:num>
  <w:num w:numId="216" w16cid:durableId="1873766546">
    <w:abstractNumId w:val="890"/>
  </w:num>
  <w:num w:numId="217" w16cid:durableId="1749114258">
    <w:abstractNumId w:val="890"/>
    <w:lvlOverride w:ilvl="0">
      <w:lvl w:ilvl="0">
        <w:start w:val="12"/>
        <w:numFmt w:val="decimal"/>
        <w:lvlText w:val="%1."/>
        <w:legacy w:legacy="1" w:legacySpace="0" w:legacyIndent="454"/>
        <w:lvlJc w:val="left"/>
        <w:pPr>
          <w:ind w:left="454" w:hanging="454"/>
        </w:pPr>
        <w:rPr>
          <w:b w:val="0"/>
          <w:i w:val="0"/>
        </w:rPr>
      </w:lvl>
    </w:lvlOverride>
  </w:num>
  <w:num w:numId="218" w16cid:durableId="1872106240">
    <w:abstractNumId w:val="703"/>
  </w:num>
  <w:num w:numId="219" w16cid:durableId="581111674">
    <w:abstractNumId w:val="1386"/>
  </w:num>
  <w:num w:numId="220" w16cid:durableId="1658724423">
    <w:abstractNumId w:val="757"/>
  </w:num>
  <w:num w:numId="221" w16cid:durableId="195437141">
    <w:abstractNumId w:val="627"/>
  </w:num>
  <w:num w:numId="222" w16cid:durableId="1576428732">
    <w:abstractNumId w:val="52"/>
  </w:num>
  <w:num w:numId="223" w16cid:durableId="1008798334">
    <w:abstractNumId w:val="119"/>
  </w:num>
  <w:num w:numId="224" w16cid:durableId="1054618537">
    <w:abstractNumId w:val="119"/>
    <w:lvlOverride w:ilvl="0">
      <w:lvl w:ilvl="0">
        <w:start w:val="3"/>
        <w:numFmt w:val="decimal"/>
        <w:lvlText w:val="%1."/>
        <w:legacy w:legacy="1" w:legacySpace="0" w:legacyIndent="454"/>
        <w:lvlJc w:val="left"/>
        <w:pPr>
          <w:ind w:left="454" w:hanging="454"/>
        </w:pPr>
      </w:lvl>
    </w:lvlOverride>
  </w:num>
  <w:num w:numId="225" w16cid:durableId="643122219">
    <w:abstractNumId w:val="298"/>
  </w:num>
  <w:num w:numId="226" w16cid:durableId="1677686639">
    <w:abstractNumId w:val="298"/>
    <w:lvlOverride w:ilvl="0">
      <w:lvl w:ilvl="0">
        <w:start w:val="8"/>
        <w:numFmt w:val="decimal"/>
        <w:lvlText w:val="%1."/>
        <w:legacy w:legacy="1" w:legacySpace="0" w:legacyIndent="454"/>
        <w:lvlJc w:val="left"/>
        <w:pPr>
          <w:ind w:left="454" w:hanging="454"/>
        </w:pPr>
      </w:lvl>
    </w:lvlOverride>
  </w:num>
  <w:num w:numId="227" w16cid:durableId="891425248">
    <w:abstractNumId w:val="1030"/>
  </w:num>
  <w:num w:numId="228" w16cid:durableId="1600676405">
    <w:abstractNumId w:val="1372"/>
  </w:num>
  <w:num w:numId="229" w16cid:durableId="1384327048">
    <w:abstractNumId w:val="1123"/>
  </w:num>
  <w:num w:numId="230" w16cid:durableId="1253394630">
    <w:abstractNumId w:val="457"/>
  </w:num>
  <w:num w:numId="231" w16cid:durableId="279386569">
    <w:abstractNumId w:val="1949"/>
  </w:num>
  <w:num w:numId="232" w16cid:durableId="2038002203">
    <w:abstractNumId w:val="33"/>
  </w:num>
  <w:num w:numId="233" w16cid:durableId="1038894930">
    <w:abstractNumId w:val="637"/>
  </w:num>
  <w:num w:numId="234" w16cid:durableId="1183857200">
    <w:abstractNumId w:val="1043"/>
  </w:num>
  <w:num w:numId="235" w16cid:durableId="130368516">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34566239">
    <w:abstractNumId w:val="657"/>
  </w:num>
  <w:num w:numId="237" w16cid:durableId="1797025702">
    <w:abstractNumId w:val="629"/>
  </w:num>
  <w:num w:numId="238" w16cid:durableId="185487110">
    <w:abstractNumId w:val="83"/>
  </w:num>
  <w:num w:numId="239" w16cid:durableId="1434326736">
    <w:abstractNumId w:val="778"/>
  </w:num>
  <w:num w:numId="240" w16cid:durableId="1842115772">
    <w:abstractNumId w:val="911"/>
  </w:num>
  <w:num w:numId="241" w16cid:durableId="280188581">
    <w:abstractNumId w:val="1061"/>
  </w:num>
  <w:num w:numId="242" w16cid:durableId="827406858">
    <w:abstractNumId w:val="1651"/>
  </w:num>
  <w:num w:numId="243" w16cid:durableId="1387534704">
    <w:abstractNumId w:val="203"/>
  </w:num>
  <w:num w:numId="244" w16cid:durableId="503128156">
    <w:abstractNumId w:val="1667"/>
  </w:num>
  <w:num w:numId="245" w16cid:durableId="441002841">
    <w:abstractNumId w:val="448"/>
  </w:num>
  <w:num w:numId="246" w16cid:durableId="1060178022">
    <w:abstractNumId w:val="1007"/>
  </w:num>
  <w:num w:numId="247" w16cid:durableId="1348756088">
    <w:abstractNumId w:val="263"/>
  </w:num>
  <w:num w:numId="248" w16cid:durableId="1885874250">
    <w:abstractNumId w:val="632"/>
  </w:num>
  <w:num w:numId="249" w16cid:durableId="1519780231">
    <w:abstractNumId w:val="1473"/>
  </w:num>
  <w:num w:numId="250" w16cid:durableId="1442265370">
    <w:abstractNumId w:val="129"/>
  </w:num>
  <w:num w:numId="251" w16cid:durableId="1749377076">
    <w:abstractNumId w:val="1487"/>
  </w:num>
  <w:num w:numId="252" w16cid:durableId="2001762063">
    <w:abstractNumId w:val="789"/>
  </w:num>
  <w:num w:numId="253" w16cid:durableId="1497064089">
    <w:abstractNumId w:val="1580"/>
  </w:num>
  <w:num w:numId="254" w16cid:durableId="1617371673">
    <w:abstractNumId w:val="895"/>
  </w:num>
  <w:num w:numId="255" w16cid:durableId="1081290783">
    <w:abstractNumId w:val="365"/>
  </w:num>
  <w:num w:numId="256" w16cid:durableId="1155877655">
    <w:abstractNumId w:val="1794"/>
  </w:num>
  <w:num w:numId="257" w16cid:durableId="2112436536">
    <w:abstractNumId w:val="1153"/>
  </w:num>
  <w:num w:numId="258" w16cid:durableId="1745375114">
    <w:abstractNumId w:val="1151"/>
  </w:num>
  <w:num w:numId="259" w16cid:durableId="798307127">
    <w:abstractNumId w:val="793"/>
  </w:num>
  <w:num w:numId="260" w16cid:durableId="2100368805">
    <w:abstractNumId w:val="1410"/>
  </w:num>
  <w:num w:numId="261" w16cid:durableId="2113163094">
    <w:abstractNumId w:val="1640"/>
  </w:num>
  <w:num w:numId="262" w16cid:durableId="1403522743">
    <w:abstractNumId w:val="647"/>
  </w:num>
  <w:num w:numId="263" w16cid:durableId="887228024">
    <w:abstractNumId w:val="991"/>
  </w:num>
  <w:num w:numId="264" w16cid:durableId="1475950351">
    <w:abstractNumId w:val="678"/>
  </w:num>
  <w:num w:numId="265" w16cid:durableId="1887252920">
    <w:abstractNumId w:val="900"/>
  </w:num>
  <w:num w:numId="266" w16cid:durableId="567500677">
    <w:abstractNumId w:val="647"/>
    <w:lvlOverride w:ilvl="0">
      <w:startOverride w:val="9"/>
    </w:lvlOverride>
    <w:lvlOverride w:ilvl="1">
      <w:startOverride w:val="4"/>
    </w:lvlOverride>
    <w:lvlOverride w:ilvl="2">
      <w:startOverride w:val="2"/>
    </w:lvlOverride>
  </w:num>
  <w:num w:numId="267" w16cid:durableId="1177379508">
    <w:abstractNumId w:val="647"/>
    <w:lvlOverride w:ilvl="0">
      <w:startOverride w:val="9"/>
    </w:lvlOverride>
    <w:lvlOverride w:ilvl="1">
      <w:startOverride w:val="4"/>
    </w:lvlOverride>
    <w:lvlOverride w:ilvl="2">
      <w:startOverride w:val="4"/>
    </w:lvlOverride>
  </w:num>
  <w:num w:numId="268" w16cid:durableId="1506093229">
    <w:abstractNumId w:val="1791"/>
  </w:num>
  <w:num w:numId="269" w16cid:durableId="958881229">
    <w:abstractNumId w:val="647"/>
    <w:lvlOverride w:ilvl="0"/>
    <w:lvlOverride w:ilvl="1"/>
    <w:lvlOverride w:ilvl="2"/>
  </w:num>
  <w:num w:numId="270" w16cid:durableId="1260793562">
    <w:abstractNumId w:val="647"/>
    <w:lvlOverride w:ilvl="0">
      <w:startOverride w:val="9"/>
    </w:lvlOverride>
    <w:lvlOverride w:ilvl="1">
      <w:startOverride w:val="5"/>
    </w:lvlOverride>
    <w:lvlOverride w:ilvl="2">
      <w:startOverride w:val="3"/>
    </w:lvlOverride>
  </w:num>
  <w:num w:numId="271" w16cid:durableId="296230555">
    <w:abstractNumId w:val="647"/>
    <w:lvlOverride w:ilvl="0">
      <w:startOverride w:val="9"/>
    </w:lvlOverride>
    <w:lvlOverride w:ilvl="1">
      <w:startOverride w:val="3"/>
    </w:lvlOverride>
    <w:lvlOverride w:ilvl="2">
      <w:startOverride w:val="2"/>
    </w:lvlOverride>
  </w:num>
  <w:num w:numId="272" w16cid:durableId="1198158677">
    <w:abstractNumId w:val="602"/>
  </w:num>
  <w:num w:numId="273" w16cid:durableId="1655910393">
    <w:abstractNumId w:val="1790"/>
  </w:num>
  <w:num w:numId="274" w16cid:durableId="474027347">
    <w:abstractNumId w:val="908"/>
  </w:num>
  <w:num w:numId="275" w16cid:durableId="1246038384">
    <w:abstractNumId w:val="473"/>
  </w:num>
  <w:num w:numId="276" w16cid:durableId="910585052">
    <w:abstractNumId w:val="264"/>
  </w:num>
  <w:num w:numId="277" w16cid:durableId="121848717">
    <w:abstractNumId w:val="1722"/>
  </w:num>
  <w:num w:numId="278" w16cid:durableId="827788939">
    <w:abstractNumId w:val="423"/>
  </w:num>
  <w:num w:numId="279" w16cid:durableId="384137100">
    <w:abstractNumId w:val="479"/>
  </w:num>
  <w:num w:numId="280" w16cid:durableId="332268031">
    <w:abstractNumId w:val="501"/>
  </w:num>
  <w:num w:numId="281" w16cid:durableId="834145223">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82" w16cid:durableId="60174975">
    <w:abstractNumId w:val="11"/>
    <w:lvlOverride w:ilvl="0">
      <w:lvl w:ilvl="0">
        <w:start w:val="1"/>
        <w:numFmt w:val="bullet"/>
        <w:lvlText w:val=""/>
        <w:legacy w:legacy="1" w:legacySpace="0" w:legacyIndent="284"/>
        <w:lvlJc w:val="left"/>
        <w:pPr>
          <w:ind w:left="284" w:hanging="284"/>
        </w:pPr>
        <w:rPr>
          <w:rFonts w:ascii="Symbol" w:hAnsi="Symbol" w:hint="default"/>
        </w:rPr>
      </w:lvl>
    </w:lvlOverride>
  </w:num>
  <w:num w:numId="283" w16cid:durableId="2049717961">
    <w:abstractNumId w:val="1483"/>
  </w:num>
  <w:num w:numId="284" w16cid:durableId="13846579">
    <w:abstractNumId w:val="937"/>
  </w:num>
  <w:num w:numId="285" w16cid:durableId="9533944">
    <w:abstractNumId w:val="1478"/>
  </w:num>
  <w:num w:numId="286" w16cid:durableId="1995449282">
    <w:abstractNumId w:val="87"/>
  </w:num>
  <w:num w:numId="287" w16cid:durableId="2040425947">
    <w:abstractNumId w:val="87"/>
    <w:lvlOverride w:ilvl="0">
      <w:lvl w:ilvl="0">
        <w:start w:val="1"/>
        <w:numFmt w:val="decimal"/>
        <w:lvlText w:val="%1."/>
        <w:legacy w:legacy="1" w:legacySpace="0" w:legacyIndent="454"/>
        <w:lvlJc w:val="left"/>
        <w:pPr>
          <w:ind w:left="454" w:hanging="454"/>
        </w:pPr>
      </w:lvl>
    </w:lvlOverride>
  </w:num>
  <w:num w:numId="288" w16cid:durableId="760955858">
    <w:abstractNumId w:val="781"/>
  </w:num>
  <w:num w:numId="289" w16cid:durableId="22246682">
    <w:abstractNumId w:val="11"/>
    <w:lvlOverride w:ilvl="0">
      <w:lvl w:ilvl="0">
        <w:start w:val="1"/>
        <w:numFmt w:val="bullet"/>
        <w:lvlText w:val=""/>
        <w:legacy w:legacy="1" w:legacySpace="0" w:legacyIndent="454"/>
        <w:lvlJc w:val="left"/>
        <w:pPr>
          <w:ind w:left="454" w:hanging="454"/>
        </w:pPr>
        <w:rPr>
          <w:rFonts w:ascii="Symbol" w:hAnsi="Symbol" w:hint="default"/>
        </w:rPr>
      </w:lvl>
    </w:lvlOverride>
  </w:num>
  <w:num w:numId="290" w16cid:durableId="926695988">
    <w:abstractNumId w:val="1764"/>
  </w:num>
  <w:num w:numId="291" w16cid:durableId="60521119">
    <w:abstractNumId w:val="1520"/>
  </w:num>
  <w:num w:numId="292" w16cid:durableId="1736590566">
    <w:abstractNumId w:val="1645"/>
  </w:num>
  <w:num w:numId="293" w16cid:durableId="1819374680">
    <w:abstractNumId w:val="1568"/>
  </w:num>
  <w:num w:numId="294" w16cid:durableId="465901218">
    <w:abstractNumId w:val="10"/>
    <w:lvlOverride w:ilvl="0">
      <w:startOverride w:val="7"/>
    </w:lvlOverride>
    <w:lvlOverride w:ilvl="1">
      <w:startOverride w:val="9"/>
    </w:lvlOverride>
  </w:num>
  <w:num w:numId="295" w16cid:durableId="172914071">
    <w:abstractNumId w:val="1229"/>
  </w:num>
  <w:num w:numId="296" w16cid:durableId="1626497416">
    <w:abstractNumId w:val="9"/>
    <w:lvlOverride w:ilvl="0">
      <w:startOverride w:val="1"/>
    </w:lvlOverride>
  </w:num>
  <w:num w:numId="297" w16cid:durableId="1704284634">
    <w:abstractNumId w:val="1642"/>
    <w:lvlOverride w:ilvl="0">
      <w:startOverride w:val="1"/>
    </w:lvlOverride>
  </w:num>
  <w:num w:numId="298" w16cid:durableId="1606158311">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692297559">
    <w:abstractNumId w:val="647"/>
    <w:lvlOverride w:ilvl="0">
      <w:startOverride w:val="9"/>
    </w:lvlOverride>
    <w:lvlOverride w:ilvl="1">
      <w:startOverride w:val="4"/>
    </w:lvlOverride>
    <w:lvlOverride w:ilvl="2">
      <w:startOverride w:val="2"/>
    </w:lvlOverride>
  </w:num>
  <w:num w:numId="300" w16cid:durableId="1874003325">
    <w:abstractNumId w:val="647"/>
    <w:lvlOverride w:ilvl="0">
      <w:startOverride w:val="9"/>
    </w:lvlOverride>
    <w:lvlOverride w:ilvl="1">
      <w:startOverride w:val="4"/>
    </w:lvlOverride>
    <w:lvlOverride w:ilvl="2">
      <w:startOverride w:val="4"/>
    </w:lvlOverride>
  </w:num>
  <w:num w:numId="301" w16cid:durableId="1267998737">
    <w:abstractNumId w:val="647"/>
    <w:lvlOverride w:ilvl="0">
      <w:startOverride w:val="9"/>
    </w:lvlOverride>
    <w:lvlOverride w:ilvl="1">
      <w:startOverride w:val="5"/>
    </w:lvlOverride>
    <w:lvlOverride w:ilvl="2">
      <w:startOverride w:val="3"/>
    </w:lvlOverride>
  </w:num>
  <w:num w:numId="302" w16cid:durableId="1496873167">
    <w:abstractNumId w:val="647"/>
    <w:lvlOverride w:ilvl="0">
      <w:startOverride w:val="9"/>
    </w:lvlOverride>
    <w:lvlOverride w:ilvl="1">
      <w:startOverride w:val="3"/>
    </w:lvlOverride>
    <w:lvlOverride w:ilvl="2">
      <w:startOverride w:val="2"/>
    </w:lvlOverride>
  </w:num>
  <w:num w:numId="303" w16cid:durableId="1773863116">
    <w:abstractNumId w:val="10"/>
    <w:lvlOverride w:ilvl="0">
      <w:startOverride w:val="7"/>
    </w:lvlOverride>
    <w:lvlOverride w:ilvl="1">
      <w:startOverride w:val="9"/>
    </w:lvlOverride>
  </w:num>
  <w:num w:numId="304" w16cid:durableId="1262450677">
    <w:abstractNumId w:val="1507"/>
  </w:num>
  <w:num w:numId="305" w16cid:durableId="924609405">
    <w:abstractNumId w:val="1415"/>
  </w:num>
  <w:num w:numId="306" w16cid:durableId="1997879808">
    <w:abstractNumId w:val="332"/>
  </w:num>
  <w:num w:numId="307" w16cid:durableId="1199005088">
    <w:abstractNumId w:val="330"/>
  </w:num>
  <w:num w:numId="308" w16cid:durableId="325324146">
    <w:abstractNumId w:val="859"/>
  </w:num>
  <w:num w:numId="309" w16cid:durableId="233783060">
    <w:abstractNumId w:val="820"/>
  </w:num>
  <w:num w:numId="310" w16cid:durableId="303581770">
    <w:abstractNumId w:val="1339"/>
  </w:num>
  <w:num w:numId="311" w16cid:durableId="1126239307">
    <w:abstractNumId w:val="168"/>
  </w:num>
  <w:num w:numId="312" w16cid:durableId="1409185279">
    <w:abstractNumId w:val="1589"/>
  </w:num>
  <w:num w:numId="313" w16cid:durableId="225579503">
    <w:abstractNumId w:val="1325"/>
  </w:num>
  <w:num w:numId="314" w16cid:durableId="655962542">
    <w:abstractNumId w:val="1799"/>
  </w:num>
  <w:num w:numId="315" w16cid:durableId="811562614">
    <w:abstractNumId w:val="128"/>
  </w:num>
  <w:num w:numId="316" w16cid:durableId="1792938906">
    <w:abstractNumId w:val="575"/>
  </w:num>
  <w:num w:numId="317" w16cid:durableId="471748465">
    <w:abstractNumId w:val="1295"/>
  </w:num>
  <w:num w:numId="318" w16cid:durableId="2023239599">
    <w:abstractNumId w:val="653"/>
  </w:num>
  <w:num w:numId="319" w16cid:durableId="267397197">
    <w:abstractNumId w:val="290"/>
  </w:num>
  <w:num w:numId="320" w16cid:durableId="1568566546">
    <w:abstractNumId w:val="443"/>
  </w:num>
  <w:num w:numId="321" w16cid:durableId="183253155">
    <w:abstractNumId w:val="446"/>
  </w:num>
  <w:num w:numId="322" w16cid:durableId="2121876511">
    <w:abstractNumId w:val="255"/>
  </w:num>
  <w:num w:numId="323" w16cid:durableId="245699519">
    <w:abstractNumId w:val="1143"/>
  </w:num>
  <w:num w:numId="324" w16cid:durableId="943802797">
    <w:abstractNumId w:val="1448"/>
  </w:num>
  <w:num w:numId="325" w16cid:durableId="1148783476">
    <w:abstractNumId w:val="1075"/>
  </w:num>
  <w:num w:numId="326" w16cid:durableId="539515748">
    <w:abstractNumId w:val="1582"/>
  </w:num>
  <w:num w:numId="327" w16cid:durableId="1192692064">
    <w:abstractNumId w:val="796"/>
  </w:num>
  <w:num w:numId="328" w16cid:durableId="1557155641">
    <w:abstractNumId w:val="940"/>
  </w:num>
  <w:num w:numId="329" w16cid:durableId="1910383387">
    <w:abstractNumId w:val="315"/>
  </w:num>
  <w:num w:numId="330" w16cid:durableId="2036153531">
    <w:abstractNumId w:val="1114"/>
  </w:num>
  <w:num w:numId="331" w16cid:durableId="414669703">
    <w:abstractNumId w:val="1157"/>
  </w:num>
  <w:num w:numId="332" w16cid:durableId="408187435">
    <w:abstractNumId w:val="1461"/>
  </w:num>
  <w:num w:numId="333" w16cid:durableId="693768821">
    <w:abstractNumId w:val="12"/>
  </w:num>
  <w:num w:numId="334" w16cid:durableId="1133060553">
    <w:abstractNumId w:val="864"/>
  </w:num>
  <w:num w:numId="335" w16cid:durableId="1415662151">
    <w:abstractNumId w:val="714"/>
  </w:num>
  <w:num w:numId="336" w16cid:durableId="1075979783">
    <w:abstractNumId w:val="354"/>
  </w:num>
  <w:num w:numId="337" w16cid:durableId="300186158">
    <w:abstractNumId w:val="139"/>
  </w:num>
  <w:num w:numId="338" w16cid:durableId="221256381">
    <w:abstractNumId w:val="1127"/>
  </w:num>
  <w:num w:numId="339" w16cid:durableId="1744519917">
    <w:abstractNumId w:val="1393"/>
  </w:num>
  <w:num w:numId="340" w16cid:durableId="988169470">
    <w:abstractNumId w:val="164"/>
  </w:num>
  <w:num w:numId="341" w16cid:durableId="51077819">
    <w:abstractNumId w:val="768"/>
  </w:num>
  <w:num w:numId="342" w16cid:durableId="2119594925">
    <w:abstractNumId w:val="178"/>
  </w:num>
  <w:num w:numId="343" w16cid:durableId="356855770">
    <w:abstractNumId w:val="386"/>
  </w:num>
  <w:num w:numId="344" w16cid:durableId="2825614">
    <w:abstractNumId w:val="1117"/>
  </w:num>
  <w:num w:numId="345" w16cid:durableId="83692290">
    <w:abstractNumId w:val="1394"/>
  </w:num>
  <w:num w:numId="346" w16cid:durableId="2060544425">
    <w:abstractNumId w:val="1590"/>
  </w:num>
  <w:num w:numId="347" w16cid:durableId="1266695649">
    <w:abstractNumId w:val="1430"/>
  </w:num>
  <w:num w:numId="348" w16cid:durableId="528302952">
    <w:abstractNumId w:val="1365"/>
  </w:num>
  <w:num w:numId="349" w16cid:durableId="1003045501">
    <w:abstractNumId w:val="417"/>
  </w:num>
  <w:num w:numId="350" w16cid:durableId="1981499315">
    <w:abstractNumId w:val="1851"/>
  </w:num>
  <w:num w:numId="351" w16cid:durableId="1722560518">
    <w:abstractNumId w:val="598"/>
  </w:num>
  <w:num w:numId="352" w16cid:durableId="5834864">
    <w:abstractNumId w:val="1263"/>
  </w:num>
  <w:num w:numId="353" w16cid:durableId="1414624122">
    <w:abstractNumId w:val="614"/>
  </w:num>
  <w:num w:numId="354" w16cid:durableId="1469394679">
    <w:abstractNumId w:val="1874"/>
  </w:num>
  <w:num w:numId="355" w16cid:durableId="1768773693">
    <w:abstractNumId w:val="833"/>
  </w:num>
  <w:num w:numId="356" w16cid:durableId="1638412701">
    <w:abstractNumId w:val="1403"/>
  </w:num>
  <w:num w:numId="357" w16cid:durableId="404302815">
    <w:abstractNumId w:val="1800"/>
  </w:num>
  <w:num w:numId="358" w16cid:durableId="1332874889">
    <w:abstractNumId w:val="930"/>
  </w:num>
  <w:num w:numId="359" w16cid:durableId="1114713730">
    <w:abstractNumId w:val="1680"/>
  </w:num>
  <w:num w:numId="360" w16cid:durableId="1893300385">
    <w:abstractNumId w:val="1637"/>
  </w:num>
  <w:num w:numId="361" w16cid:durableId="2132891677">
    <w:abstractNumId w:val="1035"/>
  </w:num>
  <w:num w:numId="362" w16cid:durableId="415830638">
    <w:abstractNumId w:val="1650"/>
  </w:num>
  <w:num w:numId="363" w16cid:durableId="820971283">
    <w:abstractNumId w:val="120"/>
  </w:num>
  <w:num w:numId="364" w16cid:durableId="633877265">
    <w:abstractNumId w:val="505"/>
  </w:num>
  <w:num w:numId="365" w16cid:durableId="1665932172">
    <w:abstractNumId w:val="1211"/>
  </w:num>
  <w:num w:numId="366" w16cid:durableId="2037778229">
    <w:abstractNumId w:val="651"/>
  </w:num>
  <w:num w:numId="367" w16cid:durableId="808742115">
    <w:abstractNumId w:val="195"/>
  </w:num>
  <w:num w:numId="368" w16cid:durableId="408770088">
    <w:abstractNumId w:val="1425"/>
  </w:num>
  <w:num w:numId="369" w16cid:durableId="71511969">
    <w:abstractNumId w:val="1214"/>
  </w:num>
  <w:num w:numId="370" w16cid:durableId="1995179262">
    <w:abstractNumId w:val="566"/>
  </w:num>
  <w:num w:numId="371" w16cid:durableId="731075877">
    <w:abstractNumId w:val="1440"/>
  </w:num>
  <w:num w:numId="372" w16cid:durableId="611939615">
    <w:abstractNumId w:val="1000"/>
  </w:num>
  <w:num w:numId="373" w16cid:durableId="1950818537">
    <w:abstractNumId w:val="809"/>
  </w:num>
  <w:num w:numId="374" w16cid:durableId="1282227656">
    <w:abstractNumId w:val="411"/>
  </w:num>
  <w:num w:numId="375" w16cid:durableId="1924993223">
    <w:abstractNumId w:val="14"/>
  </w:num>
  <w:num w:numId="376" w16cid:durableId="1722943502">
    <w:abstractNumId w:val="14"/>
    <w:lvlOverride w:ilvl="0">
      <w:lvl w:ilvl="0">
        <w:start w:val="1"/>
        <w:numFmt w:val="decimal"/>
        <w:lvlText w:val="%1."/>
        <w:legacy w:legacy="1" w:legacySpace="0" w:legacyIndent="340"/>
        <w:lvlJc w:val="left"/>
        <w:pPr>
          <w:ind w:left="340" w:hanging="340"/>
        </w:pPr>
      </w:lvl>
    </w:lvlOverride>
  </w:num>
  <w:num w:numId="377" w16cid:durableId="769086473">
    <w:abstractNumId w:val="1053"/>
  </w:num>
  <w:num w:numId="378" w16cid:durableId="423259504">
    <w:abstractNumId w:val="1053"/>
    <w:lvlOverride w:ilvl="0">
      <w:lvl w:ilvl="0">
        <w:start w:val="1"/>
        <w:numFmt w:val="decimal"/>
        <w:lvlText w:val="%1."/>
        <w:legacy w:legacy="1" w:legacySpace="0" w:legacyIndent="454"/>
        <w:lvlJc w:val="left"/>
        <w:pPr>
          <w:ind w:left="454" w:hanging="454"/>
        </w:pPr>
      </w:lvl>
    </w:lvlOverride>
  </w:num>
  <w:num w:numId="379" w16cid:durableId="765229606">
    <w:abstractNumId w:val="1875"/>
  </w:num>
  <w:num w:numId="380" w16cid:durableId="1645039908">
    <w:abstractNumId w:val="1875"/>
    <w:lvlOverride w:ilvl="0">
      <w:lvl w:ilvl="0">
        <w:start w:val="15"/>
        <w:numFmt w:val="decimal"/>
        <w:lvlText w:val="%1."/>
        <w:legacy w:legacy="1" w:legacySpace="0" w:legacyIndent="454"/>
        <w:lvlJc w:val="left"/>
        <w:pPr>
          <w:ind w:left="454" w:hanging="454"/>
        </w:pPr>
      </w:lvl>
    </w:lvlOverride>
    <w:lvlOverride w:ilvl="1">
      <w:lvl w:ilvl="1">
        <w:numFmt w:val="none"/>
        <w:lvlText w:val=""/>
        <w:legacy w:legacy="1" w:legacySpace="0" w:legacyIndent="0"/>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381" w16cid:durableId="362482071">
    <w:abstractNumId w:val="1326"/>
  </w:num>
  <w:num w:numId="382" w16cid:durableId="407263629">
    <w:abstractNumId w:val="1326"/>
    <w:lvlOverride w:ilvl="0">
      <w:lvl w:ilvl="0">
        <w:start w:val="1"/>
        <w:numFmt w:val="decimal"/>
        <w:lvlText w:val="%1."/>
        <w:legacy w:legacy="1" w:legacySpace="0" w:legacyIndent="454"/>
        <w:lvlJc w:val="left"/>
        <w:pPr>
          <w:ind w:left="454" w:hanging="454"/>
        </w:pPr>
      </w:lvl>
    </w:lvlOverride>
  </w:num>
  <w:num w:numId="383" w16cid:durableId="1368144617">
    <w:abstractNumId w:val="907"/>
  </w:num>
  <w:num w:numId="384" w16cid:durableId="842473920">
    <w:abstractNumId w:val="1408"/>
  </w:num>
  <w:num w:numId="385" w16cid:durableId="1781879910">
    <w:abstractNumId w:val="1408"/>
    <w:lvlOverride w:ilvl="0">
      <w:lvl w:ilvl="0">
        <w:start w:val="1"/>
        <w:numFmt w:val="decimal"/>
        <w:lvlText w:val="%1."/>
        <w:legacy w:legacy="1" w:legacySpace="0" w:legacyIndent="454"/>
        <w:lvlJc w:val="left"/>
        <w:pPr>
          <w:ind w:left="454" w:hanging="454"/>
        </w:pPr>
      </w:lvl>
    </w:lvlOverride>
  </w:num>
  <w:num w:numId="386" w16cid:durableId="450592267">
    <w:abstractNumId w:val="1497"/>
  </w:num>
  <w:num w:numId="387" w16cid:durableId="1046485148">
    <w:abstractNumId w:val="282"/>
  </w:num>
  <w:num w:numId="388" w16cid:durableId="1389109295">
    <w:abstractNumId w:val="1152"/>
  </w:num>
  <w:num w:numId="389" w16cid:durableId="1883975952">
    <w:abstractNumId w:val="872"/>
  </w:num>
  <w:num w:numId="390" w16cid:durableId="1971864597">
    <w:abstractNumId w:val="769"/>
  </w:num>
  <w:num w:numId="391" w16cid:durableId="423304818">
    <w:abstractNumId w:val="92"/>
  </w:num>
  <w:num w:numId="392" w16cid:durableId="982850689">
    <w:abstractNumId w:val="708"/>
  </w:num>
  <w:num w:numId="393" w16cid:durableId="1163817858">
    <w:abstractNumId w:val="1778"/>
  </w:num>
  <w:num w:numId="394" w16cid:durableId="145980972">
    <w:abstractNumId w:val="1077"/>
  </w:num>
  <w:num w:numId="395" w16cid:durableId="781072593">
    <w:abstractNumId w:val="545"/>
  </w:num>
  <w:num w:numId="396" w16cid:durableId="1915360900">
    <w:abstractNumId w:val="1614"/>
  </w:num>
  <w:num w:numId="397" w16cid:durableId="2119911019">
    <w:abstractNumId w:val="618"/>
  </w:num>
  <w:num w:numId="398" w16cid:durableId="783840273">
    <w:abstractNumId w:val="39"/>
  </w:num>
  <w:num w:numId="399" w16cid:durableId="303700718">
    <w:abstractNumId w:val="1827"/>
  </w:num>
  <w:num w:numId="400" w16cid:durableId="1680815907">
    <w:abstractNumId w:val="362"/>
  </w:num>
  <w:num w:numId="401" w16cid:durableId="85805328">
    <w:abstractNumId w:val="186"/>
  </w:num>
  <w:num w:numId="402" w16cid:durableId="994379341">
    <w:abstractNumId w:val="1362"/>
  </w:num>
  <w:num w:numId="403" w16cid:durableId="1719088994">
    <w:abstractNumId w:val="171"/>
  </w:num>
  <w:num w:numId="404" w16cid:durableId="1741295025">
    <w:abstractNumId w:val="889"/>
  </w:num>
  <w:num w:numId="405" w16cid:durableId="33623667">
    <w:abstractNumId w:val="1882"/>
  </w:num>
  <w:num w:numId="406" w16cid:durableId="195117640">
    <w:abstractNumId w:val="1877"/>
  </w:num>
  <w:num w:numId="407" w16cid:durableId="258296208">
    <w:abstractNumId w:val="1472"/>
  </w:num>
  <w:num w:numId="408" w16cid:durableId="1437018543">
    <w:abstractNumId w:val="1190"/>
  </w:num>
  <w:num w:numId="409" w16cid:durableId="1563784519">
    <w:abstractNumId w:val="1675"/>
  </w:num>
  <w:num w:numId="410" w16cid:durableId="103233133">
    <w:abstractNumId w:val="1344"/>
  </w:num>
  <w:num w:numId="411" w16cid:durableId="869563055">
    <w:abstractNumId w:val="671"/>
  </w:num>
  <w:num w:numId="412" w16cid:durableId="1505049245">
    <w:abstractNumId w:val="1724"/>
  </w:num>
  <w:num w:numId="413" w16cid:durableId="1659646554">
    <w:abstractNumId w:val="1539"/>
  </w:num>
  <w:num w:numId="414" w16cid:durableId="1510870152">
    <w:abstractNumId w:val="534"/>
  </w:num>
  <w:num w:numId="415" w16cid:durableId="2057774155">
    <w:abstractNumId w:val="1224"/>
  </w:num>
  <w:num w:numId="416" w16cid:durableId="113136190">
    <w:abstractNumId w:val="1015"/>
  </w:num>
  <w:num w:numId="417" w16cid:durableId="1536313597">
    <w:abstractNumId w:val="1554"/>
  </w:num>
  <w:num w:numId="418" w16cid:durableId="1360936979">
    <w:abstractNumId w:val="433"/>
  </w:num>
  <w:num w:numId="419" w16cid:durableId="1502312444">
    <w:abstractNumId w:val="661"/>
  </w:num>
  <w:num w:numId="420" w16cid:durableId="1424107983">
    <w:abstractNumId w:val="481"/>
  </w:num>
  <w:num w:numId="421" w16cid:durableId="360328400">
    <w:abstractNumId w:val="221"/>
  </w:num>
  <w:num w:numId="422" w16cid:durableId="1364554692">
    <w:abstractNumId w:val="1629"/>
  </w:num>
  <w:num w:numId="423" w16cid:durableId="1789931372">
    <w:abstractNumId w:val="829"/>
  </w:num>
  <w:num w:numId="424" w16cid:durableId="1942447426">
    <w:abstractNumId w:val="1742"/>
  </w:num>
  <w:num w:numId="425" w16cid:durableId="1935820824">
    <w:abstractNumId w:val="51"/>
  </w:num>
  <w:num w:numId="426" w16cid:durableId="84766569">
    <w:abstractNumId w:val="1513"/>
  </w:num>
  <w:num w:numId="427" w16cid:durableId="1702632651">
    <w:abstractNumId w:val="989"/>
  </w:num>
  <w:num w:numId="428" w16cid:durableId="1187138958">
    <w:abstractNumId w:val="1032"/>
  </w:num>
  <w:num w:numId="429" w16cid:durableId="291518780">
    <w:abstractNumId w:val="888"/>
  </w:num>
  <w:num w:numId="430" w16cid:durableId="1998799409">
    <w:abstractNumId w:val="1907"/>
  </w:num>
  <w:num w:numId="431" w16cid:durableId="433981294">
    <w:abstractNumId w:val="266"/>
  </w:num>
  <w:num w:numId="432" w16cid:durableId="828129486">
    <w:abstractNumId w:val="965"/>
  </w:num>
  <w:num w:numId="433" w16cid:durableId="1767459084">
    <w:abstractNumId w:val="693"/>
  </w:num>
  <w:num w:numId="434" w16cid:durableId="308635928">
    <w:abstractNumId w:val="280"/>
  </w:num>
  <w:num w:numId="435" w16cid:durableId="489757925">
    <w:abstractNumId w:val="1028"/>
  </w:num>
  <w:num w:numId="436" w16cid:durableId="787820348">
    <w:abstractNumId w:val="1072"/>
  </w:num>
  <w:num w:numId="437" w16cid:durableId="1338842871">
    <w:abstractNumId w:val="1490"/>
  </w:num>
  <w:num w:numId="438" w16cid:durableId="693070727">
    <w:abstractNumId w:val="813"/>
  </w:num>
  <w:num w:numId="439" w16cid:durableId="1628119592">
    <w:abstractNumId w:val="1437"/>
  </w:num>
  <w:num w:numId="440" w16cid:durableId="316303222">
    <w:abstractNumId w:val="950"/>
  </w:num>
  <w:num w:numId="441" w16cid:durableId="1596209099">
    <w:abstractNumId w:val="1756"/>
  </w:num>
  <w:num w:numId="442" w16cid:durableId="567568558">
    <w:abstractNumId w:val="1400"/>
  </w:num>
  <w:num w:numId="443" w16cid:durableId="836463457">
    <w:abstractNumId w:val="1164"/>
  </w:num>
  <w:num w:numId="444" w16cid:durableId="675614447">
    <w:abstractNumId w:val="538"/>
  </w:num>
  <w:num w:numId="445" w16cid:durableId="548995954">
    <w:abstractNumId w:val="655"/>
  </w:num>
  <w:num w:numId="446" w16cid:durableId="1436750272">
    <w:abstractNumId w:val="1626"/>
  </w:num>
  <w:num w:numId="447" w16cid:durableId="395932965">
    <w:abstractNumId w:val="999"/>
  </w:num>
  <w:num w:numId="448" w16cid:durableId="1404988017">
    <w:abstractNumId w:val="344"/>
  </w:num>
  <w:num w:numId="449" w16cid:durableId="1027873384">
    <w:abstractNumId w:val="1861"/>
  </w:num>
  <w:num w:numId="450" w16cid:durableId="1335188216">
    <w:abstractNumId w:val="1758"/>
  </w:num>
  <w:num w:numId="451" w16cid:durableId="771977028">
    <w:abstractNumId w:val="1249"/>
  </w:num>
  <w:num w:numId="452" w16cid:durableId="1460224719">
    <w:abstractNumId w:val="555"/>
  </w:num>
  <w:num w:numId="453" w16cid:durableId="1103695927">
    <w:abstractNumId w:val="736"/>
  </w:num>
  <w:num w:numId="454" w16cid:durableId="1247111933">
    <w:abstractNumId w:val="1260"/>
  </w:num>
  <w:num w:numId="455" w16cid:durableId="1191802655">
    <w:abstractNumId w:val="552"/>
  </w:num>
  <w:num w:numId="456" w16cid:durableId="1032533721">
    <w:abstractNumId w:val="441"/>
  </w:num>
  <w:num w:numId="457" w16cid:durableId="1440106220">
    <w:abstractNumId w:val="929"/>
  </w:num>
  <w:num w:numId="458" w16cid:durableId="454910542">
    <w:abstractNumId w:val="243"/>
  </w:num>
  <w:num w:numId="459" w16cid:durableId="600840529">
    <w:abstractNumId w:val="857"/>
  </w:num>
  <w:num w:numId="460" w16cid:durableId="1954089971">
    <w:abstractNumId w:val="1291"/>
  </w:num>
  <w:num w:numId="461" w16cid:durableId="441648912">
    <w:abstractNumId w:val="1006"/>
  </w:num>
  <w:num w:numId="462" w16cid:durableId="256717250">
    <w:abstractNumId w:val="1620"/>
  </w:num>
  <w:num w:numId="463" w16cid:durableId="763498338">
    <w:abstractNumId w:val="1648"/>
  </w:num>
  <w:num w:numId="464" w16cid:durableId="1487017488">
    <w:abstractNumId w:val="687"/>
  </w:num>
  <w:num w:numId="465" w16cid:durableId="435633155">
    <w:abstractNumId w:val="1222"/>
  </w:num>
  <w:num w:numId="466" w16cid:durableId="193077887">
    <w:abstractNumId w:val="1967"/>
  </w:num>
  <w:num w:numId="467" w16cid:durableId="364185250">
    <w:abstractNumId w:val="369"/>
  </w:num>
  <w:num w:numId="468" w16cid:durableId="339743305">
    <w:abstractNumId w:val="644"/>
  </w:num>
  <w:num w:numId="469" w16cid:durableId="729378332">
    <w:abstractNumId w:val="76"/>
  </w:num>
  <w:num w:numId="470" w16cid:durableId="1863124805">
    <w:abstractNumId w:val="519"/>
  </w:num>
  <w:num w:numId="471" w16cid:durableId="571813499">
    <w:abstractNumId w:val="808"/>
  </w:num>
  <w:num w:numId="472" w16cid:durableId="1312713750">
    <w:abstractNumId w:val="1510"/>
  </w:num>
  <w:num w:numId="473" w16cid:durableId="1607032424">
    <w:abstractNumId w:val="779"/>
  </w:num>
  <w:num w:numId="474" w16cid:durableId="40447559">
    <w:abstractNumId w:val="1290"/>
  </w:num>
  <w:num w:numId="475" w16cid:durableId="118956609">
    <w:abstractNumId w:val="318"/>
  </w:num>
  <w:num w:numId="476" w16cid:durableId="1661152897">
    <w:abstractNumId w:val="1144"/>
  </w:num>
  <w:num w:numId="477" w16cid:durableId="1349017099">
    <w:abstractNumId w:val="316"/>
  </w:num>
  <w:num w:numId="478" w16cid:durableId="657003913">
    <w:abstractNumId w:val="1484"/>
  </w:num>
  <w:num w:numId="479" w16cid:durableId="1418095541">
    <w:abstractNumId w:val="1816"/>
  </w:num>
  <w:num w:numId="480" w16cid:durableId="1068964664">
    <w:abstractNumId w:val="122"/>
  </w:num>
  <w:num w:numId="481" w16cid:durableId="1725832183">
    <w:abstractNumId w:val="1561"/>
  </w:num>
  <w:num w:numId="482" w16cid:durableId="2032029385">
    <w:abstractNumId w:val="1923"/>
  </w:num>
  <w:num w:numId="483" w16cid:durableId="769859847">
    <w:abstractNumId w:val="1189"/>
  </w:num>
  <w:num w:numId="484" w16cid:durableId="1108085808">
    <w:abstractNumId w:val="1179"/>
  </w:num>
  <w:num w:numId="485" w16cid:durableId="1279995371">
    <w:abstractNumId w:val="954"/>
  </w:num>
  <w:num w:numId="486" w16cid:durableId="1080715558">
    <w:abstractNumId w:val="607"/>
  </w:num>
  <w:num w:numId="487" w16cid:durableId="343678029">
    <w:abstractNumId w:val="450"/>
  </w:num>
  <w:num w:numId="488" w16cid:durableId="1588150713">
    <w:abstractNumId w:val="1782"/>
  </w:num>
  <w:num w:numId="489" w16cid:durableId="638194414">
    <w:abstractNumId w:val="1306"/>
  </w:num>
  <w:num w:numId="490" w16cid:durableId="2018269773">
    <w:abstractNumId w:val="1846"/>
  </w:num>
  <w:num w:numId="491" w16cid:durableId="86389764">
    <w:abstractNumId w:val="489"/>
  </w:num>
  <w:num w:numId="492" w16cid:durableId="773481553">
    <w:abstractNumId w:val="1401"/>
  </w:num>
  <w:num w:numId="493" w16cid:durableId="1451052571">
    <w:abstractNumId w:val="612"/>
  </w:num>
  <w:num w:numId="494" w16cid:durableId="407384076">
    <w:abstractNumId w:val="543"/>
  </w:num>
  <w:num w:numId="495" w16cid:durableId="2128042966">
    <w:abstractNumId w:val="95"/>
  </w:num>
  <w:num w:numId="496" w16cid:durableId="1592664546">
    <w:abstractNumId w:val="689"/>
  </w:num>
  <w:num w:numId="497" w16cid:durableId="374547092">
    <w:abstractNumId w:val="585"/>
  </w:num>
  <w:num w:numId="498" w16cid:durableId="1178545378">
    <w:abstractNumId w:val="325"/>
  </w:num>
  <w:num w:numId="499" w16cid:durableId="489367834">
    <w:abstractNumId w:val="836"/>
  </w:num>
  <w:num w:numId="500" w16cid:durableId="129790674">
    <w:abstractNumId w:val="117"/>
  </w:num>
  <w:num w:numId="501" w16cid:durableId="1115560551">
    <w:abstractNumId w:val="642"/>
  </w:num>
  <w:num w:numId="502" w16cid:durableId="241528382">
    <w:abstractNumId w:val="379"/>
  </w:num>
  <w:num w:numId="503" w16cid:durableId="484856476">
    <w:abstractNumId w:val="1082"/>
  </w:num>
  <w:num w:numId="504" w16cid:durableId="2147045009">
    <w:abstractNumId w:val="346"/>
  </w:num>
  <w:num w:numId="505" w16cid:durableId="1257205487">
    <w:abstractNumId w:val="1653"/>
  </w:num>
  <w:num w:numId="506" w16cid:durableId="73088788">
    <w:abstractNumId w:val="403"/>
  </w:num>
  <w:num w:numId="507" w16cid:durableId="707225278">
    <w:abstractNumId w:val="802"/>
  </w:num>
  <w:num w:numId="508" w16cid:durableId="1237982059">
    <w:abstractNumId w:val="1090"/>
  </w:num>
  <w:num w:numId="509" w16cid:durableId="15273587">
    <w:abstractNumId w:val="43"/>
  </w:num>
  <w:num w:numId="510" w16cid:durableId="35325261">
    <w:abstractNumId w:val="720"/>
  </w:num>
  <w:num w:numId="511" w16cid:durableId="87967508">
    <w:abstractNumId w:val="1915"/>
  </w:num>
  <w:num w:numId="512" w16cid:durableId="305135711">
    <w:abstractNumId w:val="1022"/>
  </w:num>
  <w:num w:numId="513" w16cid:durableId="2022968367">
    <w:abstractNumId w:val="1161"/>
  </w:num>
  <w:num w:numId="514" w16cid:durableId="550002786">
    <w:abstractNumId w:val="1230"/>
  </w:num>
  <w:num w:numId="515" w16cid:durableId="1353652017">
    <w:abstractNumId w:val="510"/>
  </w:num>
  <w:num w:numId="516" w16cid:durableId="1819227864">
    <w:abstractNumId w:val="1588"/>
  </w:num>
  <w:num w:numId="517" w16cid:durableId="735663211">
    <w:abstractNumId w:val="388"/>
  </w:num>
  <w:num w:numId="518" w16cid:durableId="1676417787">
    <w:abstractNumId w:val="53"/>
  </w:num>
  <w:num w:numId="519" w16cid:durableId="1436631577">
    <w:abstractNumId w:val="1786"/>
  </w:num>
  <w:num w:numId="520" w16cid:durableId="127020192">
    <w:abstractNumId w:val="531"/>
  </w:num>
  <w:num w:numId="521" w16cid:durableId="1103961851">
    <w:abstractNumId w:val="652"/>
  </w:num>
  <w:num w:numId="522" w16cid:durableId="721557031">
    <w:abstractNumId w:val="1905"/>
  </w:num>
  <w:num w:numId="523" w16cid:durableId="180896253">
    <w:abstractNumId w:val="1331"/>
  </w:num>
  <w:num w:numId="524" w16cid:durableId="986055392">
    <w:abstractNumId w:val="634"/>
  </w:num>
  <w:num w:numId="525" w16cid:durableId="2011638204">
    <w:abstractNumId w:val="1831"/>
  </w:num>
  <w:num w:numId="526" w16cid:durableId="1445997296">
    <w:abstractNumId w:val="196"/>
  </w:num>
  <w:num w:numId="527" w16cid:durableId="81221818">
    <w:abstractNumId w:val="165"/>
  </w:num>
  <w:num w:numId="528" w16cid:durableId="411707323">
    <w:abstractNumId w:val="377"/>
  </w:num>
  <w:num w:numId="529" w16cid:durableId="1527060351">
    <w:abstractNumId w:val="1868"/>
  </w:num>
  <w:num w:numId="530" w16cid:durableId="422579823">
    <w:abstractNumId w:val="11"/>
    <w:lvlOverride w:ilvl="0">
      <w:lvl w:ilvl="0">
        <w:start w:val="1"/>
        <w:numFmt w:val="bullet"/>
        <w:lvlText w:val=""/>
        <w:legacy w:legacy="1" w:legacySpace="0" w:legacyIndent="283"/>
        <w:lvlJc w:val="left"/>
        <w:rPr>
          <w:rFonts w:ascii="Symbol" w:hAnsi="Symbol" w:hint="default"/>
        </w:rPr>
      </w:lvl>
    </w:lvlOverride>
  </w:num>
  <w:num w:numId="531" w16cid:durableId="1888495408">
    <w:abstractNumId w:val="1163"/>
  </w:num>
  <w:num w:numId="532" w16cid:durableId="336201736">
    <w:abstractNumId w:val="114"/>
  </w:num>
  <w:num w:numId="533" w16cid:durableId="1518350983">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534" w16cid:durableId="454102493">
    <w:abstractNumId w:val="1442"/>
  </w:num>
  <w:num w:numId="535" w16cid:durableId="125853592">
    <w:abstractNumId w:val="1307"/>
  </w:num>
  <w:num w:numId="536" w16cid:durableId="467481644">
    <w:abstractNumId w:val="885"/>
  </w:num>
  <w:num w:numId="537" w16cid:durableId="791940432">
    <w:abstractNumId w:val="94"/>
  </w:num>
  <w:num w:numId="538" w16cid:durableId="1498109371">
    <w:abstractNumId w:val="57"/>
  </w:num>
  <w:num w:numId="539" w16cid:durableId="1036851718">
    <w:abstractNumId w:val="492"/>
  </w:num>
  <w:num w:numId="540" w16cid:durableId="345179143">
    <w:abstractNumId w:val="1495"/>
  </w:num>
  <w:num w:numId="541" w16cid:durableId="904533266">
    <w:abstractNumId w:val="1005"/>
  </w:num>
  <w:num w:numId="542" w16cid:durableId="2052417253">
    <w:abstractNumId w:val="1557"/>
  </w:num>
  <w:num w:numId="543" w16cid:durableId="886722641">
    <w:abstractNumId w:val="1852"/>
  </w:num>
  <w:num w:numId="544" w16cid:durableId="177084217">
    <w:abstractNumId w:val="334"/>
  </w:num>
  <w:num w:numId="545" w16cid:durableId="153422625">
    <w:abstractNumId w:val="504"/>
  </w:num>
  <w:num w:numId="546" w16cid:durableId="509295172">
    <w:abstractNumId w:val="691"/>
  </w:num>
  <w:num w:numId="547" w16cid:durableId="180969608">
    <w:abstractNumId w:val="803"/>
  </w:num>
  <w:num w:numId="548" w16cid:durableId="457842829">
    <w:abstractNumId w:val="1354"/>
  </w:num>
  <w:num w:numId="549" w16cid:durableId="2066492055">
    <w:abstractNumId w:val="1262"/>
  </w:num>
  <w:num w:numId="550" w16cid:durableId="431820827">
    <w:abstractNumId w:val="514"/>
  </w:num>
  <w:num w:numId="551" w16cid:durableId="357319513">
    <w:abstractNumId w:val="1269"/>
  </w:num>
  <w:num w:numId="552" w16cid:durableId="2052030244">
    <w:abstractNumId w:val="1175"/>
  </w:num>
  <w:num w:numId="553" w16cid:durableId="1229421815">
    <w:abstractNumId w:val="245"/>
  </w:num>
  <w:num w:numId="554" w16cid:durableId="1665619487">
    <w:abstractNumId w:val="1126"/>
  </w:num>
  <w:num w:numId="555" w16cid:durableId="432406911">
    <w:abstractNumId w:val="1781"/>
  </w:num>
  <w:num w:numId="556" w16cid:durableId="198056623">
    <w:abstractNumId w:val="270"/>
  </w:num>
  <w:num w:numId="557" w16cid:durableId="1736539179">
    <w:abstractNumId w:val="1271"/>
  </w:num>
  <w:num w:numId="558" w16cid:durableId="1283725736">
    <w:abstractNumId w:val="1617"/>
  </w:num>
  <w:num w:numId="559" w16cid:durableId="1966695070">
    <w:abstractNumId w:val="1749"/>
  </w:num>
  <w:num w:numId="560" w16cid:durableId="401098256">
    <w:abstractNumId w:val="1039"/>
  </w:num>
  <w:num w:numId="561" w16cid:durableId="91634145">
    <w:abstractNumId w:val="1930"/>
  </w:num>
  <w:num w:numId="562" w16cid:durableId="669260117">
    <w:abstractNumId w:val="422"/>
  </w:num>
  <w:num w:numId="563" w16cid:durableId="203447458">
    <w:abstractNumId w:val="1379"/>
  </w:num>
  <w:num w:numId="564" w16cid:durableId="219050799">
    <w:abstractNumId w:val="942"/>
  </w:num>
  <w:num w:numId="565" w16cid:durableId="278297267">
    <w:abstractNumId w:val="686"/>
  </w:num>
  <w:num w:numId="566" w16cid:durableId="2089039871">
    <w:abstractNumId w:val="1836"/>
  </w:num>
  <w:num w:numId="567" w16cid:durableId="11036616">
    <w:abstractNumId w:val="906"/>
  </w:num>
  <w:num w:numId="568" w16cid:durableId="972521147">
    <w:abstractNumId w:val="1914"/>
  </w:num>
  <w:num w:numId="569" w16cid:durableId="305163654">
    <w:abstractNumId w:val="454"/>
  </w:num>
  <w:num w:numId="570" w16cid:durableId="1827168261">
    <w:abstractNumId w:val="1627"/>
  </w:num>
  <w:num w:numId="571" w16cid:durableId="2085102044">
    <w:abstractNumId w:val="1462"/>
  </w:num>
  <w:num w:numId="572" w16cid:durableId="851257127">
    <w:abstractNumId w:val="1452"/>
  </w:num>
  <w:num w:numId="573" w16cid:durableId="1188984308">
    <w:abstractNumId w:val="1258"/>
  </w:num>
  <w:num w:numId="574" w16cid:durableId="1615012745">
    <w:abstractNumId w:val="1252"/>
  </w:num>
  <w:num w:numId="575" w16cid:durableId="1935939135">
    <w:abstractNumId w:val="1209"/>
  </w:num>
  <w:num w:numId="576" w16cid:durableId="719481093">
    <w:abstractNumId w:val="319"/>
  </w:num>
  <w:num w:numId="577" w16cid:durableId="805202892">
    <w:abstractNumId w:val="855"/>
  </w:num>
  <w:num w:numId="578" w16cid:durableId="1365328798">
    <w:abstractNumId w:val="1221"/>
  </w:num>
  <w:num w:numId="579" w16cid:durableId="1146584633">
    <w:abstractNumId w:val="465"/>
  </w:num>
  <w:num w:numId="580" w16cid:durableId="302584130">
    <w:abstractNumId w:val="866"/>
  </w:num>
  <w:num w:numId="581" w16cid:durableId="1290941632">
    <w:abstractNumId w:val="1939"/>
  </w:num>
  <w:num w:numId="582" w16cid:durableId="1588927540">
    <w:abstractNumId w:val="1205"/>
  </w:num>
  <w:num w:numId="583" w16cid:durableId="632100170">
    <w:abstractNumId w:val="1734"/>
  </w:num>
  <w:num w:numId="584" w16cid:durableId="1862545503">
    <w:abstractNumId w:val="461"/>
  </w:num>
  <w:num w:numId="585" w16cid:durableId="1502313426">
    <w:abstractNumId w:val="754"/>
  </w:num>
  <w:num w:numId="586" w16cid:durableId="168643013">
    <w:abstractNumId w:val="217"/>
  </w:num>
  <w:num w:numId="587" w16cid:durableId="1191919671">
    <w:abstractNumId w:val="1424"/>
  </w:num>
  <w:num w:numId="588" w16cid:durableId="1255747601">
    <w:abstractNumId w:val="1341"/>
  </w:num>
  <w:num w:numId="589" w16cid:durableId="1060053248">
    <w:abstractNumId w:val="799"/>
  </w:num>
  <w:num w:numId="590" w16cid:durableId="1180585722">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591" w16cid:durableId="214128725">
    <w:abstractNumId w:val="1542"/>
  </w:num>
  <w:num w:numId="592" w16cid:durableId="1899898798">
    <w:abstractNumId w:val="581"/>
  </w:num>
  <w:num w:numId="593" w16cid:durableId="32578165">
    <w:abstractNumId w:val="1889"/>
  </w:num>
  <w:num w:numId="594" w16cid:durableId="766535367">
    <w:abstractNumId w:val="310"/>
  </w:num>
  <w:num w:numId="595" w16cid:durableId="667319935">
    <w:abstractNumId w:val="220"/>
  </w:num>
  <w:num w:numId="596" w16cid:durableId="874731204">
    <w:abstractNumId w:val="1658"/>
  </w:num>
  <w:num w:numId="597" w16cid:durableId="1549612263">
    <w:abstractNumId w:val="1146"/>
  </w:num>
  <w:num w:numId="598" w16cid:durableId="1351368925">
    <w:abstractNumId w:val="47"/>
  </w:num>
  <w:num w:numId="599" w16cid:durableId="359936155">
    <w:abstractNumId w:val="23"/>
  </w:num>
  <w:num w:numId="600" w16cid:durableId="1932662826">
    <w:abstractNumId w:val="1014"/>
  </w:num>
  <w:num w:numId="601" w16cid:durableId="1243104324">
    <w:abstractNumId w:val="1303"/>
  </w:num>
  <w:num w:numId="602" w16cid:durableId="857814712">
    <w:abstractNumId w:val="1879"/>
  </w:num>
  <w:num w:numId="603" w16cid:durableId="1924605312">
    <w:abstractNumId w:val="1767"/>
  </w:num>
  <w:num w:numId="604" w16cid:durableId="1196771870">
    <w:abstractNumId w:val="470"/>
  </w:num>
  <w:num w:numId="605" w16cid:durableId="506753726">
    <w:abstractNumId w:val="64"/>
  </w:num>
  <w:num w:numId="606" w16cid:durableId="1167359644">
    <w:abstractNumId w:val="658"/>
  </w:num>
  <w:num w:numId="607" w16cid:durableId="2140949486">
    <w:abstractNumId w:val="865"/>
  </w:num>
  <w:num w:numId="608" w16cid:durableId="565259270">
    <w:abstractNumId w:val="93"/>
  </w:num>
  <w:num w:numId="609" w16cid:durableId="798299374">
    <w:abstractNumId w:val="1011"/>
  </w:num>
  <w:num w:numId="610" w16cid:durableId="764231434">
    <w:abstractNumId w:val="601"/>
  </w:num>
  <w:num w:numId="611" w16cid:durableId="412241513">
    <w:abstractNumId w:val="1698"/>
  </w:num>
  <w:num w:numId="612" w16cid:durableId="1500119602">
    <w:abstractNumId w:val="30"/>
  </w:num>
  <w:num w:numId="613" w16cid:durableId="1848247077">
    <w:abstractNumId w:val="250"/>
  </w:num>
  <w:num w:numId="614" w16cid:durableId="1336611139">
    <w:abstractNumId w:val="1453"/>
  </w:num>
  <w:num w:numId="615" w16cid:durableId="1689794330">
    <w:abstractNumId w:val="1278"/>
  </w:num>
  <w:num w:numId="616" w16cid:durableId="390348044">
    <w:abstractNumId w:val="1895"/>
  </w:num>
  <w:num w:numId="617" w16cid:durableId="1005134035">
    <w:abstractNumId w:val="1504"/>
  </w:num>
  <w:num w:numId="618" w16cid:durableId="1709985769">
    <w:abstractNumId w:val="1856"/>
  </w:num>
  <w:num w:numId="619" w16cid:durableId="1664968079">
    <w:abstractNumId w:val="1812"/>
  </w:num>
  <w:num w:numId="620" w16cid:durableId="1965767226">
    <w:abstractNumId w:val="11"/>
  </w:num>
  <w:num w:numId="621" w16cid:durableId="1953708632">
    <w:abstractNumId w:val="59"/>
  </w:num>
  <w:num w:numId="622" w16cid:durableId="195627138">
    <w:abstractNumId w:val="1402"/>
  </w:num>
  <w:num w:numId="623" w16cid:durableId="621809778">
    <w:abstractNumId w:val="1632"/>
  </w:num>
  <w:num w:numId="624" w16cid:durableId="380642788">
    <w:abstractNumId w:val="11"/>
  </w:num>
  <w:num w:numId="625" w16cid:durableId="1503274230">
    <w:abstractNumId w:val="1089"/>
  </w:num>
  <w:num w:numId="626" w16cid:durableId="856581215">
    <w:abstractNumId w:val="973"/>
  </w:num>
  <w:num w:numId="627" w16cid:durableId="1334452998">
    <w:abstractNumId w:val="413"/>
  </w:num>
  <w:num w:numId="628" w16cid:durableId="1714618699">
    <w:abstractNumId w:val="237"/>
  </w:num>
  <w:num w:numId="629" w16cid:durableId="1070034835">
    <w:abstractNumId w:val="371"/>
  </w:num>
  <w:num w:numId="630" w16cid:durableId="860624302">
    <w:abstractNumId w:val="1174"/>
  </w:num>
  <w:num w:numId="631" w16cid:durableId="1850555881">
    <w:abstractNumId w:val="1567"/>
  </w:num>
  <w:num w:numId="632" w16cid:durableId="1368676728">
    <w:abstractNumId w:val="1172"/>
  </w:num>
  <w:num w:numId="633" w16cid:durableId="379668653">
    <w:abstractNumId w:val="916"/>
  </w:num>
  <w:num w:numId="634" w16cid:durableId="1498185604">
    <w:abstractNumId w:val="351"/>
  </w:num>
  <w:num w:numId="635" w16cid:durableId="931742863">
    <w:abstractNumId w:val="849"/>
  </w:num>
  <w:num w:numId="636" w16cid:durableId="1505784853">
    <w:abstractNumId w:val="837"/>
  </w:num>
  <w:num w:numId="637" w16cid:durableId="256132496">
    <w:abstractNumId w:val="828"/>
  </w:num>
  <w:num w:numId="638" w16cid:durableId="1646469417">
    <w:abstractNumId w:val="716"/>
  </w:num>
  <w:num w:numId="639" w16cid:durableId="1498686728">
    <w:abstractNumId w:val="688"/>
  </w:num>
  <w:num w:numId="640" w16cid:durableId="1722368273">
    <w:abstractNumId w:val="1391"/>
  </w:num>
  <w:num w:numId="641" w16cid:durableId="1874423313">
    <w:abstractNumId w:val="1548"/>
  </w:num>
  <w:num w:numId="642" w16cid:durableId="1677145339">
    <w:abstractNumId w:val="1191"/>
  </w:num>
  <w:num w:numId="643" w16cid:durableId="1220357168">
    <w:abstractNumId w:val="1532"/>
  </w:num>
  <w:num w:numId="644" w16cid:durableId="1513380023">
    <w:abstractNumId w:val="1606"/>
  </w:num>
  <w:num w:numId="645" w16cid:durableId="754595992">
    <w:abstractNumId w:val="429"/>
  </w:num>
  <w:num w:numId="646" w16cid:durableId="1676569989">
    <w:abstractNumId w:val="759"/>
  </w:num>
  <w:num w:numId="647" w16cid:durableId="1247688866">
    <w:abstractNumId w:val="1774"/>
  </w:num>
  <w:num w:numId="648" w16cid:durableId="1526284411">
    <w:abstractNumId w:val="660"/>
  </w:num>
  <w:num w:numId="649" w16cid:durableId="2130271464">
    <w:abstractNumId w:val="497"/>
  </w:num>
  <w:num w:numId="650" w16cid:durableId="46345474">
    <w:abstractNumId w:val="1055"/>
  </w:num>
  <w:num w:numId="651" w16cid:durableId="1948584373">
    <w:abstractNumId w:val="700"/>
  </w:num>
  <w:num w:numId="652" w16cid:durableId="492375457">
    <w:abstractNumId w:val="1087"/>
  </w:num>
  <w:num w:numId="653" w16cid:durableId="158009435">
    <w:abstractNumId w:val="1858"/>
  </w:num>
  <w:num w:numId="654" w16cid:durableId="1285229342">
    <w:abstractNumId w:val="1246"/>
  </w:num>
  <w:num w:numId="655" w16cid:durableId="914165542">
    <w:abstractNumId w:val="1324"/>
  </w:num>
  <w:num w:numId="656" w16cid:durableId="1190753053">
    <w:abstractNumId w:val="1233"/>
  </w:num>
  <w:num w:numId="657" w16cid:durableId="1753358915">
    <w:abstractNumId w:val="483"/>
  </w:num>
  <w:num w:numId="658" w16cid:durableId="635599314">
    <w:abstractNumId w:val="1256"/>
  </w:num>
  <w:num w:numId="659" w16cid:durableId="992638529">
    <w:abstractNumId w:val="1828"/>
  </w:num>
  <w:num w:numId="660" w16cid:durableId="1773667241">
    <w:abstractNumId w:val="445"/>
  </w:num>
  <w:num w:numId="661" w16cid:durableId="275211714">
    <w:abstractNumId w:val="370"/>
  </w:num>
  <w:num w:numId="662" w16cid:durableId="2109111631">
    <w:abstractNumId w:val="1384"/>
  </w:num>
  <w:num w:numId="663" w16cid:durableId="383060815">
    <w:abstractNumId w:val="1871"/>
  </w:num>
  <w:num w:numId="664" w16cid:durableId="2065136756">
    <w:abstractNumId w:val="1064"/>
  </w:num>
  <w:num w:numId="665" w16cid:durableId="1213884934">
    <w:abstractNumId w:val="1746"/>
  </w:num>
  <w:num w:numId="666" w16cid:durableId="918322251">
    <w:abstractNumId w:val="1654"/>
  </w:num>
  <w:num w:numId="667" w16cid:durableId="633871977">
    <w:abstractNumId w:val="625"/>
  </w:num>
  <w:num w:numId="668" w16cid:durableId="1667971915">
    <w:abstractNumId w:val="1245"/>
  </w:num>
  <w:num w:numId="669" w16cid:durableId="1786387776">
    <w:abstractNumId w:val="1118"/>
  </w:num>
  <w:num w:numId="670" w16cid:durableId="1741295230">
    <w:abstractNumId w:val="668"/>
  </w:num>
  <w:num w:numId="671" w16cid:durableId="547574190">
    <w:abstractNumId w:val="1047"/>
  </w:num>
  <w:num w:numId="672" w16cid:durableId="1425954351">
    <w:abstractNumId w:val="1275"/>
  </w:num>
  <w:num w:numId="673" w16cid:durableId="178931509">
    <w:abstractNumId w:val="903"/>
  </w:num>
  <w:num w:numId="674" w16cid:durableId="1838110478">
    <w:abstractNumId w:val="1960"/>
  </w:num>
  <w:num w:numId="675" w16cid:durableId="52579462">
    <w:abstractNumId w:val="1524"/>
  </w:num>
  <w:num w:numId="676" w16cid:durableId="116527390">
    <w:abstractNumId w:val="1807"/>
  </w:num>
  <w:num w:numId="677" w16cid:durableId="1610432927">
    <w:abstractNumId w:val="1873"/>
  </w:num>
  <w:num w:numId="678" w16cid:durableId="689642076">
    <w:abstractNumId w:val="1662"/>
  </w:num>
  <w:num w:numId="679" w16cid:durableId="1995526251">
    <w:abstractNumId w:val="731"/>
  </w:num>
  <w:num w:numId="680" w16cid:durableId="1780686242">
    <w:abstractNumId w:val="1445"/>
  </w:num>
  <w:num w:numId="681" w16cid:durableId="328480389">
    <w:abstractNumId w:val="1796"/>
  </w:num>
  <w:num w:numId="682" w16cid:durableId="1157265808">
    <w:abstractNumId w:val="635"/>
  </w:num>
  <w:num w:numId="683" w16cid:durableId="1409765849">
    <w:abstractNumId w:val="1805"/>
  </w:num>
  <w:num w:numId="684" w16cid:durableId="890002811">
    <w:abstractNumId w:val="1129"/>
  </w:num>
  <w:num w:numId="685" w16cid:durableId="151993867">
    <w:abstractNumId w:val="785"/>
  </w:num>
  <w:num w:numId="686" w16cid:durableId="2122989922">
    <w:abstractNumId w:val="1036"/>
  </w:num>
  <w:num w:numId="687" w16cid:durableId="389420450">
    <w:abstractNumId w:val="77"/>
  </w:num>
  <w:num w:numId="688" w16cid:durableId="217012829">
    <w:abstractNumId w:val="1013"/>
  </w:num>
  <w:num w:numId="689" w16cid:durableId="1776755698">
    <w:abstractNumId w:val="1296"/>
  </w:num>
  <w:num w:numId="690" w16cid:durableId="1112749467">
    <w:abstractNumId w:val="1311"/>
  </w:num>
  <w:num w:numId="691" w16cid:durableId="1200321233">
    <w:abstractNumId w:val="503"/>
  </w:num>
  <w:num w:numId="692" w16cid:durableId="3018734">
    <w:abstractNumId w:val="1711"/>
  </w:num>
  <w:num w:numId="693" w16cid:durableId="1486781156">
    <w:abstractNumId w:val="1021"/>
  </w:num>
  <w:num w:numId="694" w16cid:durableId="1661344423">
    <w:abstractNumId w:val="130"/>
  </w:num>
  <w:num w:numId="695" w16cid:durableId="712121705">
    <w:abstractNumId w:val="1795"/>
  </w:num>
  <w:num w:numId="696" w16cid:durableId="1913075385">
    <w:abstractNumId w:val="1618"/>
  </w:num>
  <w:num w:numId="697" w16cid:durableId="508714944">
    <w:abstractNumId w:val="684"/>
  </w:num>
  <w:num w:numId="698" w16cid:durableId="456722332">
    <w:abstractNumId w:val="1102"/>
  </w:num>
  <w:num w:numId="699" w16cid:durableId="172762962">
    <w:abstractNumId w:val="617"/>
  </w:num>
  <w:num w:numId="700" w16cid:durableId="605161514">
    <w:abstractNumId w:val="1547"/>
  </w:num>
  <w:num w:numId="701" w16cid:durableId="1440949425">
    <w:abstractNumId w:val="1210"/>
  </w:num>
  <w:num w:numId="702" w16cid:durableId="1251812417">
    <w:abstractNumId w:val="1242"/>
  </w:num>
  <w:num w:numId="703" w16cid:durableId="2030914069">
    <w:abstractNumId w:val="1069"/>
  </w:num>
  <w:num w:numId="704" w16cid:durableId="1079525160">
    <w:abstractNumId w:val="1134"/>
  </w:num>
  <w:num w:numId="705" w16cid:durableId="623999231">
    <w:abstractNumId w:val="1407"/>
  </w:num>
  <w:num w:numId="706" w16cid:durableId="246156069">
    <w:abstractNumId w:val="1899"/>
  </w:num>
  <w:num w:numId="707" w16cid:durableId="955410065">
    <w:abstractNumId w:val="722"/>
  </w:num>
  <w:num w:numId="708" w16cid:durableId="580718940">
    <w:abstractNumId w:val="1076"/>
  </w:num>
  <w:num w:numId="709" w16cid:durableId="442504205">
    <w:abstractNumId w:val="488"/>
  </w:num>
  <w:num w:numId="710" w16cid:durableId="1738236404">
    <w:abstractNumId w:val="1073"/>
  </w:num>
  <w:num w:numId="711" w16cid:durableId="502549986">
    <w:abstractNumId w:val="747"/>
  </w:num>
  <w:num w:numId="712" w16cid:durableId="513107275">
    <w:abstractNumId w:val="901"/>
  </w:num>
  <w:num w:numId="713" w16cid:durableId="665714740">
    <w:abstractNumId w:val="680"/>
  </w:num>
  <w:num w:numId="714" w16cid:durableId="1835293137">
    <w:abstractNumId w:val="396"/>
  </w:num>
  <w:num w:numId="715" w16cid:durableId="1847208281">
    <w:abstractNumId w:val="1728"/>
  </w:num>
  <w:num w:numId="716" w16cid:durableId="2081125586">
    <w:abstractNumId w:val="1330"/>
  </w:num>
  <w:num w:numId="717" w16cid:durableId="1895313672">
    <w:abstractNumId w:val="1635"/>
  </w:num>
  <w:num w:numId="718" w16cid:durableId="973410947">
    <w:abstractNumId w:val="453"/>
  </w:num>
  <w:num w:numId="719" w16cid:durableId="1381050111">
    <w:abstractNumId w:val="1065"/>
  </w:num>
  <w:num w:numId="720" w16cid:durableId="846821358">
    <w:abstractNumId w:val="1934"/>
  </w:num>
  <w:num w:numId="721" w16cid:durableId="999650299">
    <w:abstractNumId w:val="1820"/>
  </w:num>
  <w:num w:numId="722" w16cid:durableId="1197693980">
    <w:abstractNumId w:val="1685"/>
  </w:num>
  <w:num w:numId="723" w16cid:durableId="1722174994">
    <w:abstractNumId w:val="670"/>
  </w:num>
  <w:num w:numId="724" w16cid:durableId="1592398760">
    <w:abstractNumId w:val="1110"/>
  </w:num>
  <w:num w:numId="725" w16cid:durableId="1012339276">
    <w:abstractNumId w:val="1692"/>
  </w:num>
  <w:num w:numId="726" w16cid:durableId="271590956">
    <w:abstractNumId w:val="1966"/>
  </w:num>
  <w:num w:numId="727" w16cid:durableId="698973040">
    <w:abstractNumId w:val="1706"/>
  </w:num>
  <w:num w:numId="728" w16cid:durableId="1014067900">
    <w:abstractNumId w:val="1352"/>
  </w:num>
  <w:num w:numId="729" w16cid:durableId="1454440800">
    <w:abstractNumId w:val="400"/>
  </w:num>
  <w:num w:numId="730" w16cid:durableId="1971083111">
    <w:abstractNumId w:val="806"/>
  </w:num>
  <w:num w:numId="731" w16cid:durableId="1576083111">
    <w:abstractNumId w:val="1664"/>
  </w:num>
  <w:num w:numId="732" w16cid:durableId="510147789">
    <w:abstractNumId w:val="1170"/>
  </w:num>
  <w:num w:numId="733" w16cid:durableId="1219828435">
    <w:abstractNumId w:val="540"/>
  </w:num>
  <w:num w:numId="734" w16cid:durableId="1006009058">
    <w:abstractNumId w:val="312"/>
  </w:num>
  <w:num w:numId="735" w16cid:durableId="10839582">
    <w:abstractNumId w:val="313"/>
  </w:num>
  <w:num w:numId="736" w16cid:durableId="1354115916">
    <w:abstractNumId w:val="63"/>
  </w:num>
  <w:num w:numId="737" w16cid:durableId="759058885">
    <w:abstractNumId w:val="345"/>
  </w:num>
  <w:num w:numId="738" w16cid:durableId="874468069">
    <w:abstractNumId w:val="27"/>
  </w:num>
  <w:num w:numId="739" w16cid:durableId="1798836881">
    <w:abstractNumId w:val="1316"/>
  </w:num>
  <w:num w:numId="740" w16cid:durableId="145247478">
    <w:abstractNumId w:val="1898"/>
  </w:num>
  <w:num w:numId="741" w16cid:durableId="879632874">
    <w:abstractNumId w:val="1358"/>
  </w:num>
  <w:num w:numId="742" w16cid:durableId="1062680945">
    <w:abstractNumId w:val="498"/>
  </w:num>
  <w:num w:numId="743" w16cid:durableId="1892420319">
    <w:abstractNumId w:val="342"/>
  </w:num>
  <w:num w:numId="744" w16cid:durableId="796876466">
    <w:abstractNumId w:val="1902"/>
  </w:num>
  <w:num w:numId="745" w16cid:durableId="800852026">
    <w:abstractNumId w:val="267"/>
  </w:num>
  <w:num w:numId="746" w16cid:durableId="1358239440">
    <w:abstractNumId w:val="1616"/>
  </w:num>
  <w:num w:numId="747" w16cid:durableId="1757168122">
    <w:abstractNumId w:val="1284"/>
  </w:num>
  <w:num w:numId="748" w16cid:durableId="1305234281">
    <w:abstractNumId w:val="1904"/>
  </w:num>
  <w:num w:numId="749" w16cid:durableId="843403566">
    <w:abstractNumId w:val="1116"/>
  </w:num>
  <w:num w:numId="750" w16cid:durableId="158079475">
    <w:abstractNumId w:val="182"/>
  </w:num>
  <w:num w:numId="751" w16cid:durableId="766996431">
    <w:abstractNumId w:val="600"/>
  </w:num>
  <w:num w:numId="752" w16cid:durableId="790440483">
    <w:abstractNumId w:val="1684"/>
  </w:num>
  <w:num w:numId="753" w16cid:durableId="874736910">
    <w:abstractNumId w:val="1705"/>
  </w:num>
  <w:num w:numId="754" w16cid:durableId="192694362">
    <w:abstractNumId w:val="1441"/>
  </w:num>
  <w:num w:numId="755" w16cid:durableId="1867673094">
    <w:abstractNumId w:val="1186"/>
  </w:num>
  <w:num w:numId="756" w16cid:durableId="755789039">
    <w:abstractNumId w:val="749"/>
  </w:num>
  <w:num w:numId="757" w16cid:durableId="1520008014">
    <w:abstractNumId w:val="1522"/>
  </w:num>
  <w:num w:numId="758" w16cid:durableId="889734271">
    <w:abstractNumId w:val="1633"/>
  </w:num>
  <w:num w:numId="759" w16cid:durableId="256066179">
    <w:abstractNumId w:val="364"/>
  </w:num>
  <w:num w:numId="760" w16cid:durableId="1676034058">
    <w:abstractNumId w:val="839"/>
  </w:num>
  <w:num w:numId="761" w16cid:durableId="1944191661">
    <w:abstractNumId w:val="202"/>
  </w:num>
  <w:num w:numId="762" w16cid:durableId="1651980344">
    <w:abstractNumId w:val="1630"/>
  </w:num>
  <w:num w:numId="763" w16cid:durableId="73673707">
    <w:abstractNumId w:val="1482"/>
  </w:num>
  <w:num w:numId="764" w16cid:durableId="420688067">
    <w:abstractNumId w:val="1843"/>
  </w:num>
  <w:num w:numId="765" w16cid:durableId="1536891678">
    <w:abstractNumId w:val="966"/>
  </w:num>
  <w:num w:numId="766" w16cid:durableId="100225480">
    <w:abstractNumId w:val="1443"/>
  </w:num>
  <w:num w:numId="767" w16cid:durableId="903485583">
    <w:abstractNumId w:val="525"/>
  </w:num>
  <w:num w:numId="768" w16cid:durableId="1278833043">
    <w:abstractNumId w:val="1729"/>
  </w:num>
  <w:num w:numId="769" w16cid:durableId="1473061836">
    <w:abstractNumId w:val="931"/>
  </w:num>
  <w:num w:numId="770" w16cid:durableId="2025282436">
    <w:abstractNumId w:val="79"/>
  </w:num>
  <w:num w:numId="771" w16cid:durableId="635064329">
    <w:abstractNumId w:val="326"/>
  </w:num>
  <w:num w:numId="772" w16cid:durableId="1109659353">
    <w:abstractNumId w:val="663"/>
  </w:num>
  <w:num w:numId="773" w16cid:durableId="1598178080">
    <w:abstractNumId w:val="208"/>
  </w:num>
  <w:num w:numId="774" w16cid:durableId="1479804789">
    <w:abstractNumId w:val="1713"/>
  </w:num>
  <w:num w:numId="775" w16cid:durableId="1431508732">
    <w:abstractNumId w:val="1231"/>
  </w:num>
  <w:num w:numId="776" w16cid:durableId="1833139505">
    <w:abstractNumId w:val="1575"/>
  </w:num>
  <w:num w:numId="777" w16cid:durableId="481966471">
    <w:abstractNumId w:val="1200"/>
  </w:num>
  <w:num w:numId="778" w16cid:durableId="786049476">
    <w:abstractNumId w:val="1665"/>
  </w:num>
  <w:num w:numId="779" w16cid:durableId="1873958930">
    <w:abstractNumId w:val="209"/>
  </w:num>
  <w:num w:numId="780" w16cid:durableId="2141219275">
    <w:abstractNumId w:val="1537"/>
  </w:num>
  <w:num w:numId="781" w16cid:durableId="1550803273">
    <w:abstractNumId w:val="974"/>
  </w:num>
  <w:num w:numId="782" w16cid:durableId="2008824261">
    <w:abstractNumId w:val="1156"/>
  </w:num>
  <w:num w:numId="783" w16cid:durableId="1888033275">
    <w:abstractNumId w:val="212"/>
  </w:num>
  <w:num w:numId="784" w16cid:durableId="1667434017">
    <w:abstractNumId w:val="1595"/>
  </w:num>
  <w:num w:numId="785" w16cid:durableId="1401440111">
    <w:abstractNumId w:val="19"/>
  </w:num>
  <w:num w:numId="786" w16cid:durableId="947199583">
    <w:abstractNumId w:val="1917"/>
  </w:num>
  <w:num w:numId="787" w16cid:durableId="1528370129">
    <w:abstractNumId w:val="1045"/>
  </w:num>
  <w:num w:numId="788" w16cid:durableId="1532307550">
    <w:abstractNumId w:val="1456"/>
  </w:num>
  <w:num w:numId="789" w16cid:durableId="1680111587">
    <w:abstractNumId w:val="1096"/>
  </w:num>
  <w:num w:numId="790" w16cid:durableId="264072563">
    <w:abstractNumId w:val="1712"/>
  </w:num>
  <w:num w:numId="791" w16cid:durableId="599945280">
    <w:abstractNumId w:val="1465"/>
  </w:num>
  <w:num w:numId="792" w16cid:durableId="678892755">
    <w:abstractNumId w:val="1591"/>
  </w:num>
  <w:num w:numId="793" w16cid:durableId="364595467">
    <w:abstractNumId w:val="1738"/>
  </w:num>
  <w:num w:numId="794" w16cid:durableId="1704791877">
    <w:abstractNumId w:val="1592"/>
  </w:num>
  <w:num w:numId="795" w16cid:durableId="200244323">
    <w:abstractNumId w:val="381"/>
  </w:num>
  <w:num w:numId="796" w16cid:durableId="744375305">
    <w:abstractNumId w:val="1108"/>
  </w:num>
  <w:num w:numId="797" w16cid:durableId="1606425455">
    <w:abstractNumId w:val="18"/>
  </w:num>
  <w:num w:numId="798" w16cid:durableId="440148582">
    <w:abstractNumId w:val="662"/>
  </w:num>
  <w:num w:numId="799" w16cid:durableId="1426002283">
    <w:abstractNumId w:val="572"/>
  </w:num>
  <w:num w:numId="800" w16cid:durableId="1497913497">
    <w:abstractNumId w:val="1063"/>
  </w:num>
  <w:num w:numId="801" w16cid:durableId="648023979">
    <w:abstractNumId w:val="858"/>
  </w:num>
  <w:num w:numId="802" w16cid:durableId="1228691873">
    <w:abstractNumId w:val="1569"/>
  </w:num>
  <w:num w:numId="803" w16cid:durableId="987054532">
    <w:abstractNumId w:val="1751"/>
  </w:num>
  <w:num w:numId="804" w16cid:durableId="1050884297">
    <w:abstractNumId w:val="773"/>
  </w:num>
  <w:num w:numId="805" w16cid:durableId="682898641">
    <w:abstractNumId w:val="251"/>
  </w:num>
  <w:num w:numId="806" w16cid:durableId="2146388460">
    <w:abstractNumId w:val="269"/>
  </w:num>
  <w:num w:numId="807" w16cid:durableId="375736724">
    <w:abstractNumId w:val="604"/>
  </w:num>
  <w:num w:numId="808" w16cid:durableId="1768766664">
    <w:abstractNumId w:val="367"/>
  </w:num>
  <w:num w:numId="809" w16cid:durableId="2099474072">
    <w:abstractNumId w:val="884"/>
  </w:num>
  <w:num w:numId="810" w16cid:durableId="2119374977">
    <w:abstractNumId w:val="1199"/>
  </w:num>
  <w:num w:numId="811" w16cid:durableId="836263047">
    <w:abstractNumId w:val="1598"/>
  </w:num>
  <w:num w:numId="812" w16cid:durableId="18436069">
    <w:abstractNumId w:val="382"/>
  </w:num>
  <w:num w:numId="813" w16cid:durableId="1277255200">
    <w:abstractNumId w:val="1267"/>
  </w:num>
  <w:num w:numId="814" w16cid:durableId="764224251">
    <w:abstractNumId w:val="1942"/>
  </w:num>
  <w:num w:numId="815" w16cid:durableId="1042443765">
    <w:abstractNumId w:val="948"/>
  </w:num>
  <w:num w:numId="816" w16cid:durableId="541790784">
    <w:abstractNumId w:val="199"/>
  </w:num>
  <w:num w:numId="817" w16cid:durableId="1320958695">
    <w:abstractNumId w:val="434"/>
  </w:num>
  <w:num w:numId="818" w16cid:durableId="34547666">
    <w:abstractNumId w:val="66"/>
  </w:num>
  <w:num w:numId="819" w16cid:durableId="1629315458">
    <w:abstractNumId w:val="106"/>
  </w:num>
  <w:num w:numId="820" w16cid:durableId="96829202">
    <w:abstractNumId w:val="971"/>
  </w:num>
  <w:num w:numId="821" w16cid:durableId="572937248">
    <w:abstractNumId w:val="1678"/>
  </w:num>
  <w:num w:numId="822" w16cid:durableId="365450710">
    <w:abstractNumId w:val="887"/>
  </w:num>
  <w:num w:numId="823" w16cid:durableId="964387932">
    <w:abstractNumId w:val="1373"/>
  </w:num>
  <w:num w:numId="824" w16cid:durableId="1921330057">
    <w:abstractNumId w:val="82"/>
  </w:num>
  <w:num w:numId="825" w16cid:durableId="1535655934">
    <w:abstractNumId w:val="1286"/>
  </w:num>
  <w:num w:numId="826" w16cid:durableId="1043478792">
    <w:abstractNumId w:val="1560"/>
  </w:num>
  <w:num w:numId="827" w16cid:durableId="454250099">
    <w:abstractNumId w:val="1165"/>
  </w:num>
  <w:num w:numId="828" w16cid:durableId="1267231613">
    <w:abstractNumId w:val="252"/>
  </w:num>
  <w:num w:numId="829" w16cid:durableId="1462311319">
    <w:abstractNumId w:val="1310"/>
  </w:num>
  <w:num w:numId="830" w16cid:durableId="2086493847">
    <w:abstractNumId w:val="1720"/>
  </w:num>
  <w:num w:numId="831" w16cid:durableId="339234451">
    <w:abstractNumId w:val="1315"/>
  </w:num>
  <w:num w:numId="832" w16cid:durableId="864486568">
    <w:abstractNumId w:val="1265"/>
  </w:num>
  <w:num w:numId="833" w16cid:durableId="1397780848">
    <w:abstractNumId w:val="1418"/>
  </w:num>
  <w:num w:numId="834" w16cid:durableId="776489485">
    <w:abstractNumId w:val="414"/>
  </w:num>
  <w:num w:numId="835" w16cid:durableId="338702504">
    <w:abstractNumId w:val="395"/>
  </w:num>
  <w:num w:numId="836" w16cid:durableId="1624456822">
    <w:abstractNumId w:val="1193"/>
  </w:num>
  <w:num w:numId="837" w16cid:durableId="2114859174">
    <w:abstractNumId w:val="272"/>
  </w:num>
  <w:num w:numId="838" w16cid:durableId="10572835">
    <w:abstractNumId w:val="347"/>
  </w:num>
  <w:num w:numId="839" w16cid:durableId="381714097">
    <w:abstractNumId w:val="845"/>
  </w:num>
  <w:num w:numId="840" w16cid:durableId="811144028">
    <w:abstractNumId w:val="1042"/>
  </w:num>
  <w:num w:numId="841" w16cid:durableId="1469203589">
    <w:abstractNumId w:val="645"/>
  </w:num>
  <w:num w:numId="842" w16cid:durableId="1857381206">
    <w:abstractNumId w:val="780"/>
  </w:num>
  <w:num w:numId="843" w16cid:durableId="571701510">
    <w:abstractNumId w:val="157"/>
  </w:num>
  <w:num w:numId="844" w16cid:durableId="714350651">
    <w:abstractNumId w:val="1046"/>
  </w:num>
  <w:num w:numId="845" w16cid:durableId="848373398">
    <w:abstractNumId w:val="391"/>
  </w:num>
  <w:num w:numId="846" w16cid:durableId="2081831004">
    <w:abstractNumId w:val="1217"/>
  </w:num>
  <w:num w:numId="847" w16cid:durableId="1780754768">
    <w:abstractNumId w:val="1060"/>
  </w:num>
  <w:num w:numId="848" w16cid:durableId="587811552">
    <w:abstractNumId w:val="546"/>
  </w:num>
  <w:num w:numId="849" w16cid:durableId="712194776">
    <w:abstractNumId w:val="1818"/>
  </w:num>
  <w:num w:numId="850" w16cid:durableId="863861035">
    <w:abstractNumId w:val="437"/>
  </w:num>
  <w:num w:numId="851" w16cid:durableId="660086427">
    <w:abstractNumId w:val="1068"/>
  </w:num>
  <w:num w:numId="852" w16cid:durableId="1664041652">
    <w:abstractNumId w:val="158"/>
  </w:num>
  <w:num w:numId="853" w16cid:durableId="1062681337">
    <w:abstractNumId w:val="877"/>
  </w:num>
  <w:num w:numId="854" w16cid:durableId="550070390">
    <w:abstractNumId w:val="792"/>
  </w:num>
  <w:num w:numId="855" w16cid:durableId="864755246">
    <w:abstractNumId w:val="1044"/>
  </w:num>
  <w:num w:numId="856" w16cid:durableId="2084990314">
    <w:abstractNumId w:val="309"/>
  </w:num>
  <w:num w:numId="857" w16cid:durableId="1212114568">
    <w:abstractNumId w:val="735"/>
  </w:num>
  <w:num w:numId="858" w16cid:durableId="932543749">
    <w:abstractNumId w:val="694"/>
  </w:num>
  <w:num w:numId="859" w16cid:durableId="80152176">
    <w:abstractNumId w:val="933"/>
  </w:num>
  <w:num w:numId="860" w16cid:durableId="590309306">
    <w:abstractNumId w:val="1447"/>
  </w:num>
  <w:num w:numId="861" w16cid:durableId="178935607">
    <w:abstractNumId w:val="1406"/>
  </w:num>
  <w:num w:numId="862" w16cid:durableId="710544400">
    <w:abstractNumId w:val="409"/>
  </w:num>
  <w:num w:numId="863" w16cid:durableId="1740206647">
    <w:abstractNumId w:val="542"/>
  </w:num>
  <w:num w:numId="864" w16cid:durableId="2043700089">
    <w:abstractNumId w:val="1008"/>
  </w:num>
  <w:num w:numId="865" w16cid:durableId="1893619062">
    <w:abstractNumId w:val="1704"/>
  </w:num>
  <w:num w:numId="866" w16cid:durableId="1342396521">
    <w:abstractNumId w:val="1184"/>
  </w:num>
  <w:num w:numId="867" w16cid:durableId="1933388396">
    <w:abstractNumId w:val="1298"/>
  </w:num>
  <w:num w:numId="868" w16cid:durableId="833423328">
    <w:abstractNumId w:val="527"/>
  </w:num>
  <w:num w:numId="869" w16cid:durableId="1310943340">
    <w:abstractNumId w:val="374"/>
  </w:num>
  <w:num w:numId="870" w16cid:durableId="1192918123">
    <w:abstractNumId w:val="674"/>
  </w:num>
  <w:num w:numId="871" w16cid:durableId="1594967820">
    <w:abstractNumId w:val="1892"/>
  </w:num>
  <w:num w:numId="872" w16cid:durableId="1507869285">
    <w:abstractNumId w:val="1234"/>
  </w:num>
  <w:num w:numId="873" w16cid:durableId="1471944906">
    <w:abstractNumId w:val="223"/>
  </w:num>
  <w:num w:numId="874" w16cid:durableId="980615478">
    <w:abstractNumId w:val="1638"/>
  </w:num>
  <w:num w:numId="875" w16cid:durableId="857234332">
    <w:abstractNumId w:val="786"/>
  </w:num>
  <w:num w:numId="876" w16cid:durableId="957763825">
    <w:abstractNumId w:val="1159"/>
  </w:num>
  <w:num w:numId="877" w16cid:durableId="88543972">
    <w:abstractNumId w:val="750"/>
  </w:num>
  <w:num w:numId="878" w16cid:durableId="1559243097">
    <w:abstractNumId w:val="274"/>
  </w:num>
  <w:num w:numId="879" w16cid:durableId="55324142">
    <w:abstractNumId w:val="981"/>
  </w:num>
  <w:num w:numId="880" w16cid:durableId="1333558530">
    <w:abstractNumId w:val="1396"/>
  </w:num>
  <w:num w:numId="881" w16cid:durableId="323433226">
    <w:abstractNumId w:val="1893"/>
  </w:num>
  <w:num w:numId="882" w16cid:durableId="918951167">
    <w:abstractNumId w:val="1528"/>
  </w:num>
  <w:num w:numId="883" w16cid:durableId="639844907">
    <w:abstractNumId w:val="1803"/>
  </w:num>
  <w:num w:numId="884" w16cid:durableId="519708385">
    <w:abstractNumId w:val="967"/>
  </w:num>
  <w:num w:numId="885" w16cid:durableId="1493259446">
    <w:abstractNumId w:val="512"/>
  </w:num>
  <w:num w:numId="886" w16cid:durableId="451829417">
    <w:abstractNumId w:val="1847"/>
  </w:num>
  <w:num w:numId="887" w16cid:durableId="1374571589">
    <w:abstractNumId w:val="211"/>
  </w:num>
  <w:num w:numId="888" w16cid:durableId="663317202">
    <w:abstractNumId w:val="179"/>
  </w:num>
  <w:num w:numId="889" w16cid:durableId="1247106143">
    <w:abstractNumId w:val="463"/>
  </w:num>
  <w:num w:numId="890" w16cid:durableId="319044691">
    <w:abstractNumId w:val="790"/>
  </w:num>
  <w:num w:numId="891" w16cid:durableId="1805156325">
    <w:abstractNumId w:val="794"/>
  </w:num>
  <w:num w:numId="892" w16cid:durableId="1204714245">
    <w:abstractNumId w:val="1399"/>
  </w:num>
  <w:num w:numId="893" w16cid:durableId="1301616409">
    <w:abstractNumId w:val="862"/>
  </w:num>
  <w:num w:numId="894" w16cid:durableId="1212378351">
    <w:abstractNumId w:val="1173"/>
  </w:num>
  <w:num w:numId="895" w16cid:durableId="1711222533">
    <w:abstractNumId w:val="570"/>
  </w:num>
  <w:num w:numId="896" w16cid:durableId="10962441">
    <w:abstractNumId w:val="1169"/>
  </w:num>
  <w:num w:numId="897" w16cid:durableId="12004019">
    <w:abstractNumId w:val="1604"/>
  </w:num>
  <w:num w:numId="898" w16cid:durableId="1437755486">
    <w:abstractNumId w:val="1049"/>
  </w:num>
  <w:num w:numId="899" w16cid:durableId="824858447">
    <w:abstractNumId w:val="765"/>
  </w:num>
  <w:num w:numId="900" w16cid:durableId="878855171">
    <w:abstractNumId w:val="451"/>
  </w:num>
  <w:num w:numId="901" w16cid:durableId="1642660752">
    <w:abstractNumId w:val="327"/>
  </w:num>
  <w:num w:numId="902" w16cid:durableId="1212376650">
    <w:abstractNumId w:val="1207"/>
  </w:num>
  <w:num w:numId="903" w16cid:durableId="1898784207">
    <w:abstractNumId w:val="881"/>
  </w:num>
  <w:num w:numId="904" w16cid:durableId="1086073259">
    <w:abstractNumId w:val="975"/>
  </w:num>
  <w:num w:numId="905" w16cid:durableId="1099374312">
    <w:abstractNumId w:val="1973"/>
  </w:num>
  <w:num w:numId="906" w16cid:durableId="1882399047">
    <w:abstractNumId w:val="886"/>
  </w:num>
  <w:num w:numId="907" w16cid:durableId="1521510142">
    <w:abstractNumId w:val="1609"/>
  </w:num>
  <w:num w:numId="908" w16cid:durableId="1955401968">
    <w:abstractNumId w:val="322"/>
  </w:num>
  <w:num w:numId="909" w16cid:durableId="2055079507">
    <w:abstractNumId w:val="1681"/>
  </w:num>
  <w:num w:numId="910" w16cid:durableId="1545870110">
    <w:abstractNumId w:val="1702"/>
  </w:num>
  <w:num w:numId="911" w16cid:durableId="383339253">
    <w:abstractNumId w:val="784"/>
  </w:num>
  <w:num w:numId="912" w16cid:durableId="1446000695">
    <w:abstractNumId w:val="67"/>
  </w:num>
  <w:num w:numId="913" w16cid:durableId="1664621551">
    <w:abstractNumId w:val="1601"/>
  </w:num>
  <w:num w:numId="914" w16cid:durableId="1364935802">
    <w:abstractNumId w:val="1830"/>
  </w:num>
  <w:num w:numId="915" w16cid:durableId="1272709736">
    <w:abstractNumId w:val="1641"/>
  </w:num>
  <w:num w:numId="916" w16cid:durableId="278534348">
    <w:abstractNumId w:val="863"/>
  </w:num>
  <w:num w:numId="917" w16cid:durableId="1892376880">
    <w:abstractNumId w:val="1024"/>
  </w:num>
  <w:num w:numId="918" w16cid:durableId="1167288699">
    <w:abstractNumId w:val="1302"/>
  </w:num>
  <w:num w:numId="919" w16cid:durableId="1699233329">
    <w:abstractNumId w:val="591"/>
  </w:num>
  <w:num w:numId="920" w16cid:durableId="694310562">
    <w:abstractNumId w:val="709"/>
  </w:num>
  <w:num w:numId="921" w16cid:durableId="1238780542">
    <w:abstractNumId w:val="606"/>
  </w:num>
  <w:num w:numId="922" w16cid:durableId="2036075602">
    <w:abstractNumId w:val="1844"/>
  </w:num>
  <w:num w:numId="923" w16cid:durableId="1177233760">
    <w:abstractNumId w:val="1531"/>
  </w:num>
  <w:num w:numId="924" w16cid:durableId="319164780">
    <w:abstractNumId w:val="958"/>
  </w:num>
  <w:num w:numId="925" w16cid:durableId="65692084">
    <w:abstractNumId w:val="482"/>
  </w:num>
  <w:num w:numId="926" w16cid:durableId="242880204">
    <w:abstractNumId w:val="1197"/>
  </w:num>
  <w:num w:numId="927" w16cid:durableId="1269657097">
    <w:abstractNumId w:val="1348"/>
  </w:num>
  <w:num w:numId="928" w16cid:durableId="397092724">
    <w:abstractNumId w:val="711"/>
  </w:num>
  <w:num w:numId="929" w16cid:durableId="999892260">
    <w:abstractNumId w:val="1009"/>
  </w:num>
  <w:num w:numId="930" w16cid:durableId="198204251">
    <w:abstractNumId w:val="1444"/>
  </w:num>
  <w:num w:numId="931" w16cid:durableId="1927885740">
    <w:abstractNumId w:val="1232"/>
  </w:num>
  <w:num w:numId="932" w16cid:durableId="2058045372">
    <w:abstractNumId w:val="1676"/>
  </w:num>
  <w:num w:numId="933" w16cid:durableId="892035780">
    <w:abstractNumId w:val="340"/>
  </w:num>
  <w:num w:numId="934" w16cid:durableId="1396128444">
    <w:abstractNumId w:val="1797"/>
  </w:num>
  <w:num w:numId="935" w16cid:durableId="1903903393">
    <w:abstractNumId w:val="124"/>
  </w:num>
  <w:num w:numId="936" w16cid:durableId="1824160152">
    <w:abstractNumId w:val="1436"/>
  </w:num>
  <w:num w:numId="937" w16cid:durableId="113254048">
    <w:abstractNumId w:val="1881"/>
  </w:num>
  <w:num w:numId="938" w16cid:durableId="194581941">
    <w:abstractNumId w:val="1587"/>
  </w:num>
  <w:num w:numId="939" w16cid:durableId="49381293">
    <w:abstractNumId w:val="1716"/>
  </w:num>
  <w:num w:numId="940" w16cid:durableId="1461411170">
    <w:abstractNumId w:val="399"/>
  </w:num>
  <w:num w:numId="941" w16cid:durableId="973677560">
    <w:abstractNumId w:val="640"/>
  </w:num>
  <w:num w:numId="942" w16cid:durableId="272516371">
    <w:abstractNumId w:val="1088"/>
  </w:num>
  <w:num w:numId="943" w16cid:durableId="916138054">
    <w:abstractNumId w:val="621"/>
  </w:num>
  <w:num w:numId="944" w16cid:durableId="854270180">
    <w:abstractNumId w:val="1581"/>
  </w:num>
  <w:num w:numId="945" w16cid:durableId="1966112423">
    <w:abstractNumId w:val="1074"/>
  </w:num>
  <w:num w:numId="946" w16cid:durableId="300692153">
    <w:abstractNumId w:val="984"/>
  </w:num>
  <w:num w:numId="947" w16cid:durableId="535581405">
    <w:abstractNumId w:val="549"/>
  </w:num>
  <w:num w:numId="948" w16cid:durableId="1067462800">
    <w:abstractNumId w:val="146"/>
  </w:num>
  <w:num w:numId="949" w16cid:durableId="808860201">
    <w:abstractNumId w:val="1944"/>
  </w:num>
  <w:num w:numId="950" w16cid:durableId="1672828261">
    <w:abstractNumId w:val="314"/>
  </w:num>
  <w:num w:numId="951" w16cid:durableId="1021511392">
    <w:abstractNumId w:val="1360"/>
  </w:num>
  <w:num w:numId="952" w16cid:durableId="1839465994">
    <w:abstractNumId w:val="71"/>
  </w:num>
  <w:num w:numId="953" w16cid:durableId="1868712336">
    <w:abstractNumId w:val="1578"/>
  </w:num>
  <w:num w:numId="954" w16cid:durableId="1651787569">
    <w:abstractNumId w:val="968"/>
  </w:num>
  <w:num w:numId="955" w16cid:durableId="1639067316">
    <w:abstractNumId w:val="121"/>
  </w:num>
  <w:num w:numId="956" w16cid:durableId="2047293403">
    <w:abstractNumId w:val="580"/>
  </w:num>
  <w:num w:numId="957" w16cid:durableId="64881477">
    <w:abstractNumId w:val="636"/>
  </w:num>
  <w:num w:numId="958" w16cid:durableId="601642183">
    <w:abstractNumId w:val="996"/>
  </w:num>
  <w:num w:numId="959" w16cid:durableId="534579962">
    <w:abstractNumId w:val="74"/>
  </w:num>
  <w:num w:numId="960" w16cid:durableId="1321273404">
    <w:abstractNumId w:val="1235"/>
  </w:num>
  <w:num w:numId="961" w16cid:durableId="497042507">
    <w:abstractNumId w:val="1784"/>
  </w:num>
  <w:num w:numId="962" w16cid:durableId="602342560">
    <w:abstractNumId w:val="102"/>
  </w:num>
  <w:num w:numId="963" w16cid:durableId="391275230">
    <w:abstractNumId w:val="1092"/>
  </w:num>
  <w:num w:numId="964" w16cid:durableId="430247295">
    <w:abstractNumId w:val="918"/>
  </w:num>
  <w:num w:numId="965" w16cid:durableId="1675838554">
    <w:abstractNumId w:val="943"/>
  </w:num>
  <w:num w:numId="966" w16cid:durableId="1746226213">
    <w:abstractNumId w:val="707"/>
  </w:num>
  <w:num w:numId="967" w16cid:durableId="1812165517">
    <w:abstractNumId w:val="1389"/>
  </w:num>
  <w:num w:numId="968" w16cid:durableId="1194268848">
    <w:abstractNumId w:val="1389"/>
    <w:lvlOverride w:ilvl="0">
      <w:lvl w:ilvl="0">
        <w:start w:val="1"/>
        <w:numFmt w:val="decimal"/>
        <w:lvlText w:val="%1."/>
        <w:legacy w:legacy="1" w:legacySpace="0" w:legacyIndent="454"/>
        <w:lvlJc w:val="left"/>
        <w:pPr>
          <w:ind w:left="454" w:hanging="454"/>
        </w:pPr>
      </w:lvl>
    </w:lvlOverride>
  </w:num>
  <w:num w:numId="969" w16cid:durableId="1276642216">
    <w:abstractNumId w:val="1762"/>
  </w:num>
  <w:num w:numId="970" w16cid:durableId="2033725314">
    <w:abstractNumId w:val="1762"/>
    <w:lvlOverride w:ilvl="0">
      <w:lvl w:ilvl="0">
        <w:start w:val="1"/>
        <w:numFmt w:val="decimal"/>
        <w:lvlText w:val="%1."/>
        <w:legacy w:legacy="1" w:legacySpace="0" w:legacyIndent="454"/>
        <w:lvlJc w:val="left"/>
        <w:pPr>
          <w:ind w:left="454" w:hanging="454"/>
        </w:pPr>
      </w:lvl>
    </w:lvlOverride>
  </w:num>
  <w:num w:numId="971" w16cid:durableId="977994166">
    <w:abstractNumId w:val="1078"/>
  </w:num>
  <w:num w:numId="972" w16cid:durableId="1605335235">
    <w:abstractNumId w:val="1078"/>
    <w:lvlOverride w:ilvl="0">
      <w:lvl w:ilvl="0">
        <w:start w:val="1"/>
        <w:numFmt w:val="decimal"/>
        <w:lvlText w:val="%1."/>
        <w:legacy w:legacy="1" w:legacySpace="0" w:legacyIndent="454"/>
        <w:lvlJc w:val="left"/>
        <w:pPr>
          <w:ind w:left="454" w:hanging="454"/>
        </w:pPr>
      </w:lvl>
    </w:lvlOverride>
  </w:num>
  <w:num w:numId="973" w16cid:durableId="680813360">
    <w:abstractNumId w:val="1277"/>
  </w:num>
  <w:num w:numId="974" w16cid:durableId="13192502">
    <w:abstractNumId w:val="238"/>
  </w:num>
  <w:num w:numId="975" w16cid:durableId="1413548326">
    <w:abstractNumId w:val="1699"/>
  </w:num>
  <w:num w:numId="976" w16cid:durableId="904412257">
    <w:abstractNumId w:val="1699"/>
    <w:lvlOverride w:ilvl="0">
      <w:lvl w:ilvl="0">
        <w:start w:val="1"/>
        <w:numFmt w:val="decimal"/>
        <w:lvlText w:val="%1."/>
        <w:legacy w:legacy="1" w:legacySpace="0" w:legacyIndent="283"/>
        <w:lvlJc w:val="left"/>
        <w:pPr>
          <w:ind w:left="283" w:hanging="283"/>
        </w:pPr>
      </w:lvl>
    </w:lvlOverride>
  </w:num>
  <w:num w:numId="977" w16cid:durableId="148375390">
    <w:abstractNumId w:val="874"/>
  </w:num>
  <w:num w:numId="978" w16cid:durableId="1366102522">
    <w:abstractNumId w:val="807"/>
  </w:num>
  <w:num w:numId="979" w16cid:durableId="1183477546">
    <w:abstractNumId w:val="807"/>
    <w:lvlOverride w:ilvl="0">
      <w:lvl w:ilvl="0">
        <w:start w:val="1"/>
        <w:numFmt w:val="decimal"/>
        <w:lvlText w:val="%1."/>
        <w:legacy w:legacy="1" w:legacySpace="0" w:legacyIndent="454"/>
        <w:lvlJc w:val="left"/>
        <w:pPr>
          <w:ind w:left="454" w:hanging="454"/>
        </w:pPr>
      </w:lvl>
    </w:lvlOverride>
  </w:num>
  <w:num w:numId="980" w16cid:durableId="2065331228">
    <w:abstractNumId w:val="1145"/>
  </w:num>
  <w:num w:numId="981" w16cid:durableId="451632273">
    <w:abstractNumId w:val="1145"/>
    <w:lvlOverride w:ilvl="0">
      <w:lvl w:ilvl="0">
        <w:start w:val="1"/>
        <w:numFmt w:val="decimal"/>
        <w:lvlText w:val="%1."/>
        <w:legacy w:legacy="1" w:legacySpace="0" w:legacyIndent="454"/>
        <w:lvlJc w:val="left"/>
        <w:pPr>
          <w:ind w:left="454" w:hanging="454"/>
        </w:pPr>
      </w:lvl>
    </w:lvlOverride>
  </w:num>
  <w:num w:numId="982" w16cid:durableId="1587181804">
    <w:abstractNumId w:val="1556"/>
  </w:num>
  <w:num w:numId="983" w16cid:durableId="966424831">
    <w:abstractNumId w:val="1556"/>
    <w:lvlOverride w:ilvl="0">
      <w:lvl w:ilvl="0">
        <w:start w:val="1"/>
        <w:numFmt w:val="decimal"/>
        <w:lvlText w:val="%1."/>
        <w:legacy w:legacy="1" w:legacySpace="0" w:legacyIndent="454"/>
        <w:lvlJc w:val="left"/>
        <w:pPr>
          <w:ind w:left="454" w:hanging="454"/>
        </w:pPr>
      </w:lvl>
    </w:lvlOverride>
  </w:num>
  <w:num w:numId="984" w16cid:durableId="345131267">
    <w:abstractNumId w:val="1139"/>
  </w:num>
  <w:num w:numId="985" w16cid:durableId="1196579256">
    <w:abstractNumId w:val="603"/>
  </w:num>
  <w:num w:numId="986" w16cid:durableId="1019090025">
    <w:abstractNumId w:val="149"/>
  </w:num>
  <w:num w:numId="987" w16cid:durableId="693457822">
    <w:abstractNumId w:val="149"/>
    <w:lvlOverride w:ilvl="0">
      <w:lvl w:ilvl="0">
        <w:start w:val="1"/>
        <w:numFmt w:val="decimal"/>
        <w:lvlText w:val="%1."/>
        <w:legacy w:legacy="1" w:legacySpace="0" w:legacyIndent="283"/>
        <w:lvlJc w:val="left"/>
        <w:pPr>
          <w:ind w:left="283" w:hanging="283"/>
        </w:pPr>
      </w:lvl>
    </w:lvlOverride>
  </w:num>
  <w:num w:numId="988" w16cid:durableId="584654610">
    <w:abstractNumId w:val="595"/>
  </w:num>
  <w:num w:numId="989" w16cid:durableId="1030184569">
    <w:abstractNumId w:val="11"/>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990" w16cid:durableId="597759964">
    <w:abstractNumId w:val="11"/>
  </w:num>
  <w:num w:numId="991" w16cid:durableId="449325483">
    <w:abstractNumId w:val="248"/>
  </w:num>
  <w:num w:numId="992" w16cid:durableId="1329750339">
    <w:abstractNumId w:val="1120"/>
  </w:num>
  <w:num w:numId="993" w16cid:durableId="285238780">
    <w:abstractNumId w:val="1813"/>
  </w:num>
  <w:num w:numId="994" w16cid:durableId="1107889326">
    <w:abstractNumId w:val="300"/>
  </w:num>
  <w:num w:numId="995" w16cid:durableId="539245236">
    <w:abstractNumId w:val="1125"/>
  </w:num>
  <w:num w:numId="996" w16cid:durableId="1444492740">
    <w:abstractNumId w:val="713"/>
  </w:num>
  <w:num w:numId="997" w16cid:durableId="1645161664">
    <w:abstractNumId w:val="1565"/>
  </w:num>
  <w:num w:numId="998" w16cid:durableId="1987784614">
    <w:abstractNumId w:val="1397"/>
  </w:num>
  <w:num w:numId="999" w16cid:durableId="922448263">
    <w:abstractNumId w:val="358"/>
  </w:num>
  <w:num w:numId="1000" w16cid:durableId="180171568">
    <w:abstractNumId w:val="1422"/>
  </w:num>
  <w:num w:numId="1001" w16cid:durableId="1812865223">
    <w:abstractNumId w:val="1309"/>
  </w:num>
  <w:num w:numId="1002" w16cid:durableId="555239671">
    <w:abstractNumId w:val="90"/>
  </w:num>
  <w:num w:numId="1003" w16cid:durableId="2083214082">
    <w:abstractNumId w:val="1733"/>
  </w:num>
  <w:num w:numId="1004" w16cid:durableId="930235435">
    <w:abstractNumId w:val="1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005" w16cid:durableId="1834175458">
    <w:abstractNumId w:val="1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006" w16cid:durableId="1408724750">
    <w:abstractNumId w:val="1196"/>
  </w:num>
  <w:num w:numId="1007" w16cid:durableId="872154711">
    <w:abstractNumId w:val="994"/>
  </w:num>
  <w:num w:numId="1008" w16cid:durableId="1539708326">
    <w:abstractNumId w:val="1320"/>
  </w:num>
  <w:num w:numId="1009" w16cid:durableId="894199231">
    <w:abstractNumId w:val="1328"/>
  </w:num>
  <w:num w:numId="1010" w16cid:durableId="648750514">
    <w:abstractNumId w:val="11"/>
    <w:lvlOverride w:ilvl="0">
      <w:lvl w:ilvl="0">
        <w:start w:val="1"/>
        <w:numFmt w:val="bullet"/>
        <w:lvlText w:val=""/>
        <w:legacy w:legacy="1" w:legacySpace="0" w:legacyIndent="283"/>
        <w:lvlJc w:val="left"/>
        <w:pPr>
          <w:ind w:left="453" w:hanging="283"/>
        </w:pPr>
        <w:rPr>
          <w:rFonts w:ascii="Symbol" w:hAnsi="Symbol" w:hint="default"/>
        </w:rPr>
      </w:lvl>
    </w:lvlOverride>
  </w:num>
  <w:num w:numId="1011" w16cid:durableId="155484613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16cid:durableId="1988512836">
    <w:abstractNumId w:val="1710"/>
  </w:num>
  <w:num w:numId="1013" w16cid:durableId="2142188578">
    <w:abstractNumId w:val="256"/>
  </w:num>
  <w:num w:numId="1014" w16cid:durableId="677851491">
    <w:abstractNumId w:val="1208"/>
  </w:num>
  <w:num w:numId="1015" w16cid:durableId="1806314164">
    <w:abstractNumId w:val="1952"/>
  </w:num>
  <w:num w:numId="1016" w16cid:durableId="1715231541">
    <w:abstractNumId w:val="11"/>
    <w:lvlOverride w:ilvl="0">
      <w:lvl w:ilvl="0">
        <w:start w:val="1"/>
        <w:numFmt w:val="bullet"/>
        <w:lvlText w:val="–"/>
        <w:legacy w:legacy="1" w:legacySpace="0" w:legacyIndent="0"/>
        <w:lvlJc w:val="left"/>
        <w:pPr>
          <w:ind w:left="170" w:firstLine="0"/>
        </w:pPr>
        <w:rPr>
          <w:rFonts w:ascii="Times New Roman" w:hAnsi="Times New Roman" w:hint="default"/>
        </w:rPr>
      </w:lvl>
    </w:lvlOverride>
  </w:num>
  <w:num w:numId="1017" w16cid:durableId="1138959212">
    <w:abstractNumId w:val="1182"/>
  </w:num>
  <w:num w:numId="1018" w16cid:durableId="650334772">
    <w:abstractNumId w:val="1182"/>
    <w:lvlOverride w:ilvl="0">
      <w:lvl w:ilvl="0">
        <w:start w:val="1"/>
        <w:numFmt w:val="decimal"/>
        <w:lvlText w:val="%1."/>
        <w:legacy w:legacy="1" w:legacySpace="0" w:legacyIndent="283"/>
        <w:lvlJc w:val="left"/>
        <w:pPr>
          <w:ind w:left="283" w:hanging="283"/>
        </w:pPr>
      </w:lvl>
    </w:lvlOverride>
  </w:num>
  <w:num w:numId="1019" w16cid:durableId="1280573791">
    <w:abstractNumId w:val="1948"/>
  </w:num>
  <w:num w:numId="1020" w16cid:durableId="1347827722">
    <w:abstractNumId w:val="390"/>
  </w:num>
  <w:num w:numId="1021" w16cid:durableId="360865224">
    <w:abstractNumId w:val="88"/>
  </w:num>
  <w:num w:numId="1022" w16cid:durableId="216943122">
    <w:abstractNumId w:val="767"/>
  </w:num>
  <w:num w:numId="1023" w16cid:durableId="1281643099">
    <w:abstractNumId w:val="1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16cid:durableId="1153255365">
    <w:abstractNumId w:val="748"/>
  </w:num>
  <w:num w:numId="1025" w16cid:durableId="45641627">
    <w:abstractNumId w:val="748"/>
    <w:lvlOverride w:ilvl="0">
      <w:lvl w:ilvl="0">
        <w:start w:val="1"/>
        <w:numFmt w:val="decimal"/>
        <w:lvlText w:val="%1."/>
        <w:legacy w:legacy="1" w:legacySpace="0" w:legacyIndent="283"/>
        <w:lvlJc w:val="left"/>
        <w:pPr>
          <w:ind w:left="283" w:hanging="283"/>
        </w:pPr>
      </w:lvl>
    </w:lvlOverride>
  </w:num>
  <w:num w:numId="1026" w16cid:durableId="1548832102">
    <w:abstractNumId w:val="1933"/>
  </w:num>
  <w:num w:numId="1027" w16cid:durableId="85883609">
    <w:abstractNumId w:val="1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16cid:durableId="504826210">
    <w:abstractNumId w:val="1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16cid:durableId="848256233">
    <w:abstractNumId w:val="1432"/>
  </w:num>
  <w:num w:numId="1030" w16cid:durableId="634019207">
    <w:abstractNumId w:val="335"/>
  </w:num>
  <w:num w:numId="1031" w16cid:durableId="1210339770">
    <w:abstractNumId w:val="1955"/>
  </w:num>
  <w:num w:numId="1032" w16cid:durableId="625502214">
    <w:abstractNumId w:val="1951"/>
  </w:num>
  <w:num w:numId="1033" w16cid:durableId="2097436605">
    <w:abstractNumId w:val="1883"/>
  </w:num>
  <w:num w:numId="1034" w16cid:durableId="1174416937">
    <w:abstractNumId w:val="1236"/>
  </w:num>
  <w:num w:numId="1035" w16cid:durableId="363331664">
    <w:abstractNumId w:val="183"/>
  </w:num>
  <w:num w:numId="1036" w16cid:durableId="686248883">
    <w:abstractNumId w:val="1257"/>
  </w:num>
  <w:num w:numId="1037" w16cid:durableId="799112355">
    <w:abstractNumId w:val="1413"/>
  </w:num>
  <w:num w:numId="1038" w16cid:durableId="1593974949">
    <w:abstractNumId w:val="558"/>
  </w:num>
  <w:num w:numId="1039" w16cid:durableId="294877619">
    <w:abstractNumId w:val="16"/>
  </w:num>
  <w:num w:numId="1040" w16cid:durableId="466819284">
    <w:abstractNumId w:val="1643"/>
  </w:num>
  <w:num w:numId="1041" w16cid:durableId="1033766193">
    <w:abstractNumId w:val="1657"/>
  </w:num>
  <w:num w:numId="1042" w16cid:durableId="1689599231">
    <w:abstractNumId w:val="1608"/>
  </w:num>
  <w:num w:numId="1043" w16cid:durableId="1182161361">
    <w:abstractNumId w:val="1821"/>
  </w:num>
  <w:num w:numId="1044" w16cid:durableId="1604722328">
    <w:abstractNumId w:val="1721"/>
  </w:num>
  <w:num w:numId="1045" w16cid:durableId="1776822569">
    <w:abstractNumId w:val="1596"/>
  </w:num>
  <w:num w:numId="1046" w16cid:durableId="964239913">
    <w:abstractNumId w:val="210"/>
  </w:num>
  <w:num w:numId="1047" w16cid:durableId="1217817197">
    <w:abstractNumId w:val="1963"/>
  </w:num>
  <w:num w:numId="1048" w16cid:durableId="313023272">
    <w:abstractNumId w:val="698"/>
  </w:num>
  <w:num w:numId="1049" w16cid:durableId="1178889021">
    <w:abstractNumId w:val="1287"/>
  </w:num>
  <w:num w:numId="1050" w16cid:durableId="1583487380">
    <w:abstractNumId w:val="194"/>
  </w:num>
  <w:num w:numId="1051" w16cid:durableId="67119021">
    <w:abstractNumId w:val="1855"/>
  </w:num>
  <w:num w:numId="1052" w16cid:durableId="1192258003">
    <w:abstractNumId w:val="1070"/>
  </w:num>
  <w:num w:numId="1053" w16cid:durableId="118383146">
    <w:abstractNumId w:val="1804"/>
  </w:num>
  <w:num w:numId="1054" w16cid:durableId="1054277993">
    <w:abstractNumId w:val="771"/>
  </w:num>
  <w:num w:numId="1055" w16cid:durableId="1482968281">
    <w:abstractNumId w:val="127"/>
  </w:num>
  <w:num w:numId="1056" w16cid:durableId="1905337622">
    <w:abstractNumId w:val="352"/>
  </w:num>
  <w:num w:numId="1057" w16cid:durableId="1814058867">
    <w:abstractNumId w:val="49"/>
  </w:num>
  <w:num w:numId="1058" w16cid:durableId="339236443">
    <w:abstractNumId w:val="702"/>
  </w:num>
  <w:num w:numId="1059" w16cid:durableId="962422328">
    <w:abstractNumId w:val="1811"/>
  </w:num>
  <w:num w:numId="1060" w16cid:durableId="741753023">
    <w:abstractNumId w:val="444"/>
  </w:num>
  <w:num w:numId="1061" w16cid:durableId="822043474">
    <w:abstractNumId w:val="421"/>
  </w:num>
  <w:num w:numId="1062" w16cid:durableId="2102604784">
    <w:abstractNumId w:val="998"/>
  </w:num>
  <w:num w:numId="1063" w16cid:durableId="1075661954">
    <w:abstractNumId w:val="188"/>
  </w:num>
  <w:num w:numId="1064" w16cid:durableId="1735541159">
    <w:abstractNumId w:val="976"/>
  </w:num>
  <w:num w:numId="1065" w16cid:durableId="1774520222">
    <w:abstractNumId w:val="1438"/>
  </w:num>
  <w:num w:numId="1066" w16cid:durableId="2010717043">
    <w:abstractNumId w:val="1947"/>
  </w:num>
  <w:num w:numId="1067" w16cid:durableId="1364096009">
    <w:abstractNumId w:val="892"/>
  </w:num>
  <w:num w:numId="1068" w16cid:durableId="1438452031">
    <w:abstractNumId w:val="244"/>
  </w:num>
  <w:num w:numId="1069" w16cid:durableId="1940406131">
    <w:abstractNumId w:val="427"/>
  </w:num>
  <w:num w:numId="1070" w16cid:durableId="1398359568">
    <w:abstractNumId w:val="1726"/>
  </w:num>
  <w:num w:numId="1071" w16cid:durableId="439841105">
    <w:abstractNumId w:val="1457"/>
  </w:num>
  <w:num w:numId="1072" w16cid:durableId="1938321843">
    <w:abstractNumId w:val="1048"/>
  </w:num>
  <w:num w:numId="1073" w16cid:durableId="674649967">
    <w:abstractNumId w:val="246"/>
  </w:num>
  <w:num w:numId="1074" w16cid:durableId="87509822">
    <w:abstractNumId w:val="1416"/>
  </w:num>
  <w:num w:numId="1075" w16cid:durableId="1606838316">
    <w:abstractNumId w:val="163"/>
  </w:num>
  <w:num w:numId="1076" w16cid:durableId="991711199">
    <w:abstractNumId w:val="926"/>
  </w:num>
  <w:num w:numId="1077" w16cid:durableId="1506048714">
    <w:abstractNumId w:val="1693"/>
  </w:num>
  <w:num w:numId="1078" w16cid:durableId="1487282292">
    <w:abstractNumId w:val="986"/>
  </w:num>
  <w:num w:numId="1079" w16cid:durableId="681082068">
    <w:abstractNumId w:val="1237"/>
  </w:num>
  <w:num w:numId="1080" w16cid:durableId="452291662">
    <w:abstractNumId w:val="226"/>
  </w:num>
  <w:num w:numId="1081" w16cid:durableId="979267538">
    <w:abstractNumId w:val="1777"/>
  </w:num>
  <w:num w:numId="1082" w16cid:durableId="705982537">
    <w:abstractNumId w:val="1625"/>
  </w:num>
  <w:num w:numId="1083" w16cid:durableId="45839075">
    <w:abstractNumId w:val="1421"/>
  </w:num>
  <w:num w:numId="1084" w16cid:durableId="935944649">
    <w:abstractNumId w:val="1686"/>
  </w:num>
  <w:num w:numId="1085" w16cid:durableId="430472509">
    <w:abstractNumId w:val="1301"/>
  </w:num>
  <w:num w:numId="1086" w16cid:durableId="1368680937">
    <w:abstractNumId w:val="134"/>
  </w:num>
  <w:num w:numId="1087" w16cid:durableId="1748651146">
    <w:abstractNumId w:val="366"/>
  </w:num>
  <w:num w:numId="1088" w16cid:durableId="400374767">
    <w:abstractNumId w:val="1840"/>
  </w:num>
  <w:num w:numId="1089" w16cid:durableId="1938438640">
    <w:abstractNumId w:val="112"/>
  </w:num>
  <w:num w:numId="1090" w16cid:durableId="2112047942">
    <w:abstractNumId w:val="389"/>
  </w:num>
  <w:num w:numId="1091" w16cid:durableId="82722952">
    <w:abstractNumId w:val="922"/>
  </w:num>
  <w:num w:numId="1092" w16cid:durableId="1877543659">
    <w:abstractNumId w:val="1029"/>
  </w:num>
  <w:num w:numId="1093" w16cid:durableId="2141724485">
    <w:abstractNumId w:val="136"/>
  </w:num>
  <w:num w:numId="1094" w16cid:durableId="1407456615">
    <w:abstractNumId w:val="1534"/>
  </w:num>
  <w:num w:numId="1095" w16cid:durableId="985743971">
    <w:abstractNumId w:val="1745"/>
  </w:num>
  <w:num w:numId="1096" w16cid:durableId="91049953">
    <w:abstractNumId w:val="1754"/>
  </w:num>
  <w:num w:numId="1097" w16cid:durableId="752362182">
    <w:abstractNumId w:val="622"/>
  </w:num>
  <w:num w:numId="1098" w16cid:durableId="762847326">
    <w:abstractNumId w:val="1849"/>
  </w:num>
  <w:num w:numId="1099" w16cid:durableId="1628508584">
    <w:abstractNumId w:val="1130"/>
  </w:num>
  <w:num w:numId="1100" w16cid:durableId="26637918">
    <w:abstractNumId w:val="337"/>
  </w:num>
  <w:num w:numId="1101" w16cid:durableId="917640239">
    <w:abstractNumId w:val="1834"/>
  </w:num>
  <w:num w:numId="1102" w16cid:durableId="1959945481">
    <w:abstractNumId w:val="1364"/>
  </w:num>
  <w:num w:numId="1103" w16cid:durableId="1209679796">
    <w:abstractNumId w:val="412"/>
  </w:num>
  <w:num w:numId="1104" w16cid:durableId="536240843">
    <w:abstractNumId w:val="1954"/>
  </w:num>
  <w:num w:numId="1105" w16cid:durableId="1574656602">
    <w:abstractNumId w:val="368"/>
  </w:num>
  <w:num w:numId="1106" w16cid:durableId="1994604658">
    <w:abstractNumId w:val="1188"/>
  </w:num>
  <w:num w:numId="1107" w16cid:durableId="382750842">
    <w:abstractNumId w:val="1322"/>
  </w:num>
  <w:num w:numId="1108" w16cid:durableId="742459318">
    <w:abstractNumId w:val="613"/>
  </w:num>
  <w:num w:numId="1109" w16cid:durableId="67844389">
    <w:abstractNumId w:val="375"/>
  </w:num>
  <w:num w:numId="1110" w16cid:durableId="124396320">
    <w:abstractNumId w:val="1162"/>
  </w:num>
  <w:num w:numId="1111" w16cid:durableId="1190484087">
    <w:abstractNumId w:val="145"/>
  </w:num>
  <w:num w:numId="1112" w16cid:durableId="50008220">
    <w:abstractNumId w:val="1427"/>
  </w:num>
  <w:num w:numId="1113" w16cid:durableId="1475180412">
    <w:abstractNumId w:val="1715"/>
  </w:num>
  <w:num w:numId="1114" w16cid:durableId="893736819">
    <w:abstractNumId w:val="513"/>
  </w:num>
  <w:num w:numId="1115" w16cid:durableId="826676844">
    <w:abstractNumId w:val="835"/>
  </w:num>
  <w:num w:numId="1116" w16cid:durableId="1482968677">
    <w:abstractNumId w:val="1225"/>
  </w:num>
  <w:num w:numId="1117" w16cid:durableId="893660489">
    <w:abstractNumId w:val="870"/>
  </w:num>
  <w:num w:numId="1118" w16cid:durableId="43333997">
    <w:abstractNumId w:val="1563"/>
  </w:num>
  <w:num w:numId="1119" w16cid:durableId="1233269175">
    <w:abstractNumId w:val="1798"/>
  </w:num>
  <w:num w:numId="1120" w16cid:durableId="1856536347">
    <w:abstractNumId w:val="394"/>
  </w:num>
  <w:num w:numId="1121" w16cid:durableId="205414797">
    <w:abstractNumId w:val="1282"/>
  </w:num>
  <w:num w:numId="1122" w16cid:durableId="923227614">
    <w:abstractNumId w:val="951"/>
  </w:num>
  <w:num w:numId="1123" w16cid:durableId="1839034839">
    <w:abstractNumId w:val="646"/>
  </w:num>
  <w:num w:numId="1124" w16cid:durableId="450515697">
    <w:abstractNumId w:val="1107"/>
  </w:num>
  <w:num w:numId="1125" w16cid:durableId="755639216">
    <w:abstractNumId w:val="225"/>
  </w:num>
  <w:num w:numId="1126" w16cid:durableId="1395275783">
    <w:abstractNumId w:val="1908"/>
  </w:num>
  <w:num w:numId="1127" w16cid:durableId="757480459">
    <w:abstractNumId w:val="1450"/>
  </w:num>
  <w:num w:numId="1128" w16cid:durableId="979654203">
    <w:abstractNumId w:val="0"/>
  </w:num>
  <w:num w:numId="1129" w16cid:durableId="1531794182">
    <w:abstractNumId w:val="1"/>
  </w:num>
  <w:num w:numId="1130" w16cid:durableId="1452624651">
    <w:abstractNumId w:val="4"/>
  </w:num>
  <w:num w:numId="1131" w16cid:durableId="633876993">
    <w:abstractNumId w:val="321"/>
  </w:num>
  <w:num w:numId="1132" w16cid:durableId="31225875">
    <w:abstractNumId w:val="1759"/>
  </w:num>
  <w:num w:numId="1133" w16cid:durableId="1200705379">
    <w:abstractNumId w:val="1546"/>
  </w:num>
  <w:num w:numId="1134" w16cid:durableId="1128166388">
    <w:abstractNumId w:val="1431"/>
  </w:num>
  <w:num w:numId="1135" w16cid:durableId="671029905">
    <w:abstractNumId w:val="1538"/>
  </w:num>
  <w:num w:numId="1136" w16cid:durableId="1822426009">
    <w:abstractNumId w:val="1833"/>
  </w:num>
  <w:num w:numId="1137" w16cid:durableId="992484067">
    <w:abstractNumId w:val="185"/>
  </w:num>
  <w:num w:numId="1138" w16cid:durableId="1050807324">
    <w:abstractNumId w:val="1850"/>
  </w:num>
  <w:num w:numId="1139" w16cid:durableId="844711086">
    <w:abstractNumId w:val="452"/>
  </w:num>
  <w:num w:numId="1140" w16cid:durableId="195968173">
    <w:abstractNumId w:val="169"/>
  </w:num>
  <w:num w:numId="1141" w16cid:durableId="26565558">
    <w:abstractNumId w:val="1359"/>
  </w:num>
  <w:num w:numId="1142" w16cid:durableId="473716230">
    <w:abstractNumId w:val="1717"/>
  </w:num>
  <w:num w:numId="1143" w16cid:durableId="1982146708">
    <w:abstractNumId w:val="532"/>
  </w:num>
  <w:num w:numId="1144" w16cid:durableId="1724021272">
    <w:abstractNumId w:val="532"/>
    <w:lvlOverride w:ilvl="0">
      <w:lvl w:ilvl="0">
        <w:start w:val="1"/>
        <w:numFmt w:val="decimal"/>
        <w:lvlText w:val="%1."/>
        <w:legacy w:legacy="1" w:legacySpace="0" w:legacyIndent="454"/>
        <w:lvlJc w:val="left"/>
        <w:pPr>
          <w:ind w:left="454" w:hanging="454"/>
        </w:pPr>
      </w:lvl>
    </w:lvlOverride>
  </w:num>
  <w:num w:numId="1145" w16cid:durableId="825366225">
    <w:abstractNumId w:val="1343"/>
  </w:num>
  <w:num w:numId="1146" w16cid:durableId="2140027275">
    <w:abstractNumId w:val="1343"/>
    <w:lvlOverride w:ilvl="0">
      <w:lvl w:ilvl="0">
        <w:start w:val="1"/>
        <w:numFmt w:val="decimal"/>
        <w:lvlText w:val="%1."/>
        <w:legacy w:legacy="1" w:legacySpace="0" w:legacyIndent="454"/>
        <w:lvlJc w:val="left"/>
        <w:pPr>
          <w:ind w:left="454" w:hanging="454"/>
        </w:pPr>
      </w:lvl>
    </w:lvlOverride>
  </w:num>
  <w:num w:numId="1147" w16cid:durableId="1166020228">
    <w:abstractNumId w:val="1519"/>
  </w:num>
  <w:num w:numId="1148" w16cid:durableId="222713759">
    <w:abstractNumId w:val="1519"/>
    <w:lvlOverride w:ilvl="0">
      <w:lvl w:ilvl="0">
        <w:start w:val="1"/>
        <w:numFmt w:val="decimal"/>
        <w:lvlText w:val="%1."/>
        <w:legacy w:legacy="1" w:legacySpace="0" w:legacyIndent="454"/>
        <w:lvlJc w:val="left"/>
        <w:pPr>
          <w:ind w:left="454" w:hanging="454"/>
        </w:pPr>
      </w:lvl>
    </w:lvlOverride>
  </w:num>
  <w:num w:numId="1149" w16cid:durableId="1224439921">
    <w:abstractNumId w:val="1083"/>
  </w:num>
  <w:num w:numId="1150" w16cid:durableId="1668290149">
    <w:abstractNumId w:val="1371"/>
  </w:num>
  <w:num w:numId="1151" w16cid:durableId="1601717255">
    <w:abstractNumId w:val="144"/>
  </w:num>
  <w:num w:numId="1152" w16cid:durableId="2101559350">
    <w:abstractNumId w:val="144"/>
    <w:lvlOverride w:ilvl="0">
      <w:lvl w:ilvl="0">
        <w:start w:val="1"/>
        <w:numFmt w:val="decimal"/>
        <w:lvlText w:val="%1."/>
        <w:legacy w:legacy="1" w:legacySpace="0" w:legacyIndent="283"/>
        <w:lvlJc w:val="left"/>
        <w:pPr>
          <w:ind w:left="283" w:hanging="283"/>
        </w:pPr>
      </w:lvl>
    </w:lvlOverride>
  </w:num>
  <w:num w:numId="1153" w16cid:durableId="350840224">
    <w:abstractNumId w:val="1016"/>
  </w:num>
  <w:num w:numId="1154" w16cid:durableId="176163363">
    <w:abstractNumId w:val="528"/>
  </w:num>
  <w:num w:numId="1155" w16cid:durableId="2142459103">
    <w:abstractNumId w:val="1743"/>
  </w:num>
  <w:num w:numId="1156" w16cid:durableId="1124735244">
    <w:abstractNumId w:val="1423"/>
  </w:num>
  <w:num w:numId="1157" w16cid:durableId="566653461">
    <w:abstractNumId w:val="80"/>
  </w:num>
  <w:num w:numId="1158" w16cid:durableId="1773626455">
    <w:abstractNumId w:val="925"/>
  </w:num>
  <w:num w:numId="1159" w16cid:durableId="980961666">
    <w:abstractNumId w:val="253"/>
  </w:num>
  <w:num w:numId="1160" w16cid:durableId="901792587">
    <w:abstractNumId w:val="1525"/>
  </w:num>
  <w:num w:numId="1161" w16cid:durableId="1379551792">
    <w:abstractNumId w:val="1876"/>
  </w:num>
  <w:num w:numId="1162" w16cid:durableId="1452549186">
    <w:abstractNumId w:val="458"/>
  </w:num>
  <w:num w:numId="1163" w16cid:durableId="816844670">
    <w:abstractNumId w:val="1597"/>
  </w:num>
  <w:num w:numId="1164" w16cid:durableId="123158061">
    <w:abstractNumId w:val="287"/>
  </w:num>
  <w:num w:numId="1165" w16cid:durableId="317153418">
    <w:abstractNumId w:val="1119"/>
  </w:num>
  <w:num w:numId="1166" w16cid:durableId="1758600481">
    <w:abstractNumId w:val="101"/>
  </w:num>
  <w:num w:numId="1167" w16cid:durableId="909189692">
    <w:abstractNumId w:val="139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168" w16cid:durableId="2112316070">
    <w:abstractNumId w:val="90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169" w16cid:durableId="1008944615">
    <w:abstractNumId w:val="130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170" w16cid:durableId="1875148316">
    <w:abstractNumId w:val="114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171" w16cid:durableId="1567106318">
    <w:abstractNumId w:val="279"/>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172" w16cid:durableId="810631313">
    <w:abstractNumId w:val="723"/>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173" w16cid:durableId="1088693751">
    <w:abstractNumId w:val="119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174" w16cid:durableId="777023784">
    <w:abstractNumId w:val="184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175" w16cid:durableId="1472136516">
    <w:abstractNumId w:val="1566"/>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176" w16cid:durableId="777724787">
    <w:abstractNumId w:val="1594"/>
  </w:num>
  <w:num w:numId="1177" w16cid:durableId="1051197709">
    <w:abstractNumId w:val="1460"/>
  </w:num>
  <w:num w:numId="1178" w16cid:durableId="1954285920">
    <w:abstractNumId w:val="1171"/>
  </w:num>
  <w:num w:numId="1179" w16cid:durableId="1776906213">
    <w:abstractNumId w:val="1375"/>
  </w:num>
  <w:num w:numId="1180" w16cid:durableId="1747146525">
    <w:abstractNumId w:val="1535"/>
  </w:num>
  <w:num w:numId="1181" w16cid:durableId="1221557013">
    <w:abstractNumId w:val="893"/>
  </w:num>
  <w:num w:numId="1182" w16cid:durableId="524564671">
    <w:abstractNumId w:val="921"/>
  </w:num>
  <w:num w:numId="1183" w16cid:durableId="1129251052">
    <w:abstractNumId w:val="1454"/>
  </w:num>
  <w:num w:numId="1184" w16cid:durableId="61220836">
    <w:abstractNumId w:val="1176"/>
  </w:num>
  <w:num w:numId="1185" w16cid:durableId="84808216">
    <w:abstractNumId w:val="609"/>
  </w:num>
  <w:num w:numId="1186" w16cid:durableId="1693875642">
    <w:abstractNumId w:val="1240"/>
  </w:num>
  <w:num w:numId="1187" w16cid:durableId="438259325">
    <w:abstractNumId w:val="317"/>
  </w:num>
  <w:num w:numId="1188" w16cid:durableId="1314870084">
    <w:abstractNumId w:val="1368"/>
  </w:num>
  <w:num w:numId="1189" w16cid:durableId="212929607">
    <w:abstractNumId w:val="1837"/>
  </w:num>
  <w:num w:numId="1190" w16cid:durableId="583808568">
    <w:abstractNumId w:val="1238"/>
  </w:num>
  <w:num w:numId="1191" w16cid:durableId="1132938087">
    <w:abstractNumId w:val="1166"/>
  </w:num>
  <w:num w:numId="1192" w16cid:durableId="14116851">
    <w:abstractNumId w:val="917"/>
  </w:num>
  <w:num w:numId="1193" w16cid:durableId="595484044">
    <w:abstractNumId w:val="1476"/>
  </w:num>
  <w:num w:numId="1194" w16cid:durableId="454444627">
    <w:abstractNumId w:val="1109"/>
  </w:num>
  <w:num w:numId="1195" w16cid:durableId="479616075">
    <w:abstractNumId w:val="1020"/>
  </w:num>
  <w:num w:numId="1196" w16cid:durableId="1849637601">
    <w:abstractNumId w:val="1500"/>
  </w:num>
  <w:num w:numId="1197" w16cid:durableId="243153477">
    <w:abstractNumId w:val="275"/>
  </w:num>
  <w:num w:numId="1198" w16cid:durableId="784739251">
    <w:abstractNumId w:val="1822"/>
  </w:num>
  <w:num w:numId="1199" w16cid:durableId="471750033">
    <w:abstractNumId w:val="1183"/>
  </w:num>
  <w:num w:numId="1200" w16cid:durableId="1772890544">
    <w:abstractNumId w:val="745"/>
  </w:num>
  <w:num w:numId="1201" w16cid:durableId="10187674">
    <w:abstractNumId w:val="1038"/>
  </w:num>
  <w:num w:numId="1202" w16cid:durableId="598830216">
    <w:abstractNumId w:val="58"/>
  </w:num>
  <w:num w:numId="1203" w16cid:durableId="2110074899">
    <w:abstractNumId w:val="1251"/>
  </w:num>
  <w:num w:numId="1204" w16cid:durableId="1964798312">
    <w:abstractNumId w:val="1297"/>
  </w:num>
  <w:num w:numId="1205" w16cid:durableId="1975869985">
    <w:abstractNumId w:val="1181"/>
  </w:num>
  <w:num w:numId="1206" w16cid:durableId="1271280129">
    <w:abstractNumId w:val="824"/>
  </w:num>
  <w:num w:numId="1207" w16cid:durableId="215968829">
    <w:abstractNumId w:val="1113"/>
  </w:num>
  <w:num w:numId="1208" w16cid:durableId="727343384">
    <w:abstractNumId w:val="75"/>
  </w:num>
  <w:num w:numId="1209" w16cid:durableId="736515471">
    <w:abstractNumId w:val="1268"/>
  </w:num>
  <w:num w:numId="1210" w16cid:durableId="100150015">
    <w:abstractNumId w:val="777"/>
  </w:num>
  <w:num w:numId="1211" w16cid:durableId="602686389">
    <w:abstractNumId w:val="1695"/>
  </w:num>
  <w:num w:numId="1212" w16cid:durableId="1009793596">
    <w:abstractNumId w:val="187"/>
  </w:num>
  <w:num w:numId="1213" w16cid:durableId="1632898252">
    <w:abstractNumId w:val="1929"/>
  </w:num>
  <w:num w:numId="1214" w16cid:durableId="746418426">
    <w:abstractNumId w:val="1682"/>
  </w:num>
  <w:num w:numId="1215" w16cid:durableId="1885866206">
    <w:abstractNumId w:val="1885"/>
  </w:num>
  <w:num w:numId="1216" w16cid:durableId="1624384397">
    <w:abstractNumId w:val="810"/>
  </w:num>
  <w:num w:numId="1217" w16cid:durableId="151920743">
    <w:abstractNumId w:val="1938"/>
  </w:num>
  <w:num w:numId="1218" w16cid:durableId="999767697">
    <w:abstractNumId w:val="1570"/>
  </w:num>
  <w:num w:numId="1219" w16cid:durableId="157772844">
    <w:abstractNumId w:val="1887"/>
  </w:num>
  <w:num w:numId="1220" w16cid:durableId="685912557">
    <w:abstractNumId w:val="1832"/>
  </w:num>
  <w:num w:numId="1221" w16cid:durableId="409692441">
    <w:abstractNumId w:val="1085"/>
  </w:num>
  <w:num w:numId="1222" w16cid:durableId="912198759">
    <w:abstractNumId w:val="928"/>
  </w:num>
  <w:num w:numId="1223" w16cid:durableId="1822384665">
    <w:abstractNumId w:val="676"/>
  </w:num>
  <w:num w:numId="1224" w16cid:durableId="642545315">
    <w:abstractNumId w:val="523"/>
  </w:num>
  <w:num w:numId="1225" w16cid:durableId="689529602">
    <w:abstractNumId w:val="1059"/>
  </w:num>
  <w:num w:numId="1226" w16cid:durableId="50858251">
    <w:abstractNumId w:val="1727"/>
  </w:num>
  <w:num w:numId="1227" w16cid:durableId="199131018">
    <w:abstractNumId w:val="1708"/>
  </w:num>
  <w:num w:numId="1228" w16cid:durableId="547305499">
    <w:abstractNumId w:val="1518"/>
  </w:num>
  <w:num w:numId="1229" w16cid:durableId="831608302">
    <w:abstractNumId w:val="1471"/>
  </w:num>
  <w:num w:numId="1230" w16cid:durableId="1475564002">
    <w:abstractNumId w:val="432"/>
  </w:num>
  <w:num w:numId="1231" w16cid:durableId="249510633">
    <w:abstractNumId w:val="1723"/>
  </w:num>
  <w:num w:numId="1232" w16cid:durableId="1089160492">
    <w:abstractNumId w:val="1723"/>
    <w:lvlOverride w:ilvl="0">
      <w:lvl w:ilvl="0">
        <w:start w:val="1"/>
        <w:numFmt w:val="decimal"/>
        <w:lvlText w:val="%1."/>
        <w:legacy w:legacy="1" w:legacySpace="0" w:legacyIndent="454"/>
        <w:lvlJc w:val="left"/>
        <w:pPr>
          <w:ind w:left="454" w:hanging="454"/>
        </w:pPr>
      </w:lvl>
    </w:lvlOverride>
  </w:num>
  <w:num w:numId="1233" w16cid:durableId="1962496967">
    <w:abstractNumId w:val="1499"/>
  </w:num>
  <w:num w:numId="1234" w16cid:durableId="1240290154">
    <w:abstractNumId w:val="1499"/>
    <w:lvlOverride w:ilvl="0">
      <w:lvl w:ilvl="0">
        <w:start w:val="1"/>
        <w:numFmt w:val="decimal"/>
        <w:lvlText w:val="%1."/>
        <w:legacy w:legacy="1" w:legacySpace="0" w:legacyIndent="454"/>
        <w:lvlJc w:val="left"/>
        <w:pPr>
          <w:ind w:left="454" w:hanging="454"/>
        </w:pPr>
      </w:lvl>
    </w:lvlOverride>
  </w:num>
  <w:num w:numId="1235" w16cid:durableId="1101490758">
    <w:abstractNumId w:val="551"/>
  </w:num>
  <w:num w:numId="1236" w16cid:durableId="1049264079">
    <w:abstractNumId w:val="551"/>
    <w:lvlOverride w:ilvl="0">
      <w:lvl w:ilvl="0">
        <w:start w:val="1"/>
        <w:numFmt w:val="decimal"/>
        <w:lvlText w:val="%1."/>
        <w:legacy w:legacy="1" w:legacySpace="0" w:legacyIndent="454"/>
        <w:lvlJc w:val="left"/>
        <w:pPr>
          <w:ind w:left="454" w:hanging="454"/>
        </w:pPr>
      </w:lvl>
    </w:lvlOverride>
  </w:num>
  <w:num w:numId="1237" w16cid:durableId="1779718096">
    <w:abstractNumId w:val="218"/>
  </w:num>
  <w:num w:numId="1238" w16cid:durableId="483086868">
    <w:abstractNumId w:val="291"/>
  </w:num>
  <w:num w:numId="1239" w16cid:durableId="501775247">
    <w:abstractNumId w:val="232"/>
  </w:num>
  <w:num w:numId="1240" w16cid:durableId="1759249369">
    <w:abstractNumId w:val="232"/>
    <w:lvlOverride w:ilvl="0">
      <w:lvl w:ilvl="0">
        <w:start w:val="1"/>
        <w:numFmt w:val="decimal"/>
        <w:lvlText w:val="%1."/>
        <w:legacy w:legacy="1" w:legacySpace="0" w:legacyIndent="283"/>
        <w:lvlJc w:val="left"/>
        <w:pPr>
          <w:ind w:left="283" w:hanging="283"/>
        </w:pPr>
      </w:lvl>
    </w:lvlOverride>
  </w:num>
  <w:num w:numId="1241" w16cid:durableId="1339041467">
    <w:abstractNumId w:val="242"/>
  </w:num>
  <w:num w:numId="1242" w16cid:durableId="2123113838">
    <w:abstractNumId w:val="1835"/>
  </w:num>
  <w:num w:numId="1243" w16cid:durableId="658702415">
    <w:abstractNumId w:val="311"/>
  </w:num>
  <w:num w:numId="1244" w16cid:durableId="400904278">
    <w:abstractNumId w:val="177"/>
  </w:num>
  <w:num w:numId="1245" w16cid:durableId="953748360">
    <w:abstractNumId w:val="277"/>
  </w:num>
  <w:num w:numId="1246" w16cid:durableId="578366992">
    <w:abstractNumId w:val="1434"/>
  </w:num>
  <w:num w:numId="1247" w16cid:durableId="1216045445">
    <w:abstractNumId w:val="841"/>
  </w:num>
  <w:num w:numId="1248" w16cid:durableId="1887795030">
    <w:abstractNumId w:val="507"/>
  </w:num>
  <w:num w:numId="1249" w16cid:durableId="1755543625">
    <w:abstractNumId w:val="184"/>
  </w:num>
  <w:num w:numId="1250" w16cid:durableId="1239899462">
    <w:abstractNumId w:val="891"/>
  </w:num>
  <w:num w:numId="1251" w16cid:durableId="380787821">
    <w:abstractNumId w:val="1927"/>
  </w:num>
  <w:num w:numId="1252" w16cid:durableId="360514971">
    <w:abstractNumId w:val="1766"/>
  </w:num>
  <w:num w:numId="1253" w16cid:durableId="1218591112">
    <w:abstractNumId w:val="1647"/>
  </w:num>
  <w:num w:numId="1254" w16cid:durableId="1609699428">
    <w:abstractNumId w:val="611"/>
  </w:num>
  <w:num w:numId="1255" w16cid:durableId="120342216">
    <w:abstractNumId w:val="945"/>
  </w:num>
  <w:num w:numId="1256" w16cid:durableId="973635483">
    <w:abstractNumId w:val="1924"/>
  </w:num>
  <w:num w:numId="1257" w16cid:durableId="1118571440">
    <w:abstractNumId w:val="548"/>
  </w:num>
  <w:num w:numId="1258" w16cid:durableId="373503599">
    <w:abstractNumId w:val="496"/>
  </w:num>
  <w:num w:numId="1259" w16cid:durableId="110786430">
    <w:abstractNumId w:val="1366"/>
  </w:num>
  <w:num w:numId="1260" w16cid:durableId="1857771728">
    <w:abstractNumId w:val="1694"/>
  </w:num>
  <w:num w:numId="1261" w16cid:durableId="2135755359">
    <w:abstractNumId w:val="1891"/>
  </w:num>
  <w:num w:numId="1262" w16cid:durableId="2132943227">
    <w:abstractNumId w:val="535"/>
  </w:num>
  <w:num w:numId="1263" w16cid:durableId="412699730">
    <w:abstractNumId w:val="1494"/>
  </w:num>
  <w:num w:numId="1264" w16cid:durableId="728654305">
    <w:abstractNumId w:val="1628"/>
  </w:num>
  <w:num w:numId="1265" w16cid:durableId="819806026">
    <w:abstractNumId w:val="1080"/>
  </w:num>
  <w:num w:numId="1266" w16cid:durableId="1073772070">
    <w:abstractNumId w:val="861"/>
  </w:num>
  <w:num w:numId="1267" w16cid:durableId="1713385914">
    <w:abstractNumId w:val="1319"/>
  </w:num>
  <w:num w:numId="1268" w16cid:durableId="2063553153">
    <w:abstractNumId w:val="1136"/>
  </w:num>
  <w:num w:numId="1269" w16cid:durableId="1834641943">
    <w:abstractNumId w:val="553"/>
  </w:num>
  <w:num w:numId="1270" w16cid:durableId="822547899">
    <w:abstractNumId w:val="1916"/>
  </w:num>
  <w:num w:numId="1271" w16cid:durableId="1737822452">
    <w:abstractNumId w:val="1228"/>
  </w:num>
  <w:num w:numId="1272" w16cid:durableId="374082409">
    <w:abstractNumId w:val="509"/>
  </w:num>
  <w:num w:numId="1273" w16cid:durableId="1571621909">
    <w:abstractNumId w:val="1492"/>
  </w:num>
  <w:num w:numId="1274" w16cid:durableId="750853730">
    <w:abstractNumId w:val="155"/>
  </w:num>
  <w:num w:numId="1275" w16cid:durableId="1084884476">
    <w:abstractNumId w:val="36"/>
  </w:num>
  <w:num w:numId="1276" w16cid:durableId="1310482191">
    <w:abstractNumId w:val="36"/>
    <w:lvlOverride w:ilvl="0">
      <w:lvl w:ilvl="0">
        <w:start w:val="1"/>
        <w:numFmt w:val="decimal"/>
        <w:lvlText w:val="%1."/>
        <w:legacy w:legacy="1" w:legacySpace="0" w:legacyIndent="454"/>
        <w:lvlJc w:val="left"/>
        <w:pPr>
          <w:ind w:left="454" w:hanging="454"/>
        </w:pPr>
      </w:lvl>
    </w:lvlOverride>
  </w:num>
  <w:num w:numId="1277" w16cid:durableId="174999840">
    <w:abstractNumId w:val="1920"/>
  </w:num>
  <w:num w:numId="1278" w16cid:durableId="456803839">
    <w:abstractNumId w:val="1731"/>
  </w:num>
  <w:num w:numId="1279" w16cid:durableId="2069374045">
    <w:abstractNumId w:val="818"/>
  </w:num>
  <w:num w:numId="1280" w16cid:durableId="823203307">
    <w:abstractNumId w:val="65"/>
  </w:num>
  <w:num w:numId="1281" w16cid:durableId="353270801">
    <w:abstractNumId w:val="1455"/>
  </w:num>
  <w:num w:numId="1282" w16cid:durableId="2012371036">
    <w:abstractNumId w:val="1911"/>
  </w:num>
  <w:num w:numId="1283" w16cid:durableId="431242743">
    <w:abstractNumId w:val="96"/>
  </w:num>
  <w:num w:numId="1284" w16cid:durableId="1984770960">
    <w:abstractNumId w:val="297"/>
  </w:num>
  <w:num w:numId="1285" w16cid:durableId="1427381602">
    <w:abstractNumId w:val="73"/>
  </w:num>
  <w:num w:numId="1286" w16cid:durableId="1776048113">
    <w:abstractNumId w:val="91"/>
  </w:num>
  <w:num w:numId="1287" w16cid:durableId="311254443">
    <w:abstractNumId w:val="578"/>
  </w:num>
  <w:num w:numId="1288" w16cid:durableId="1129085090">
    <w:abstractNumId w:val="915"/>
  </w:num>
  <w:num w:numId="1289" w16cid:durableId="673186975">
    <w:abstractNumId w:val="1912"/>
  </w:num>
  <w:num w:numId="1290" w16cid:durableId="104428911">
    <w:abstractNumId w:val="133"/>
  </w:num>
  <w:num w:numId="1291" w16cid:durableId="1738357551">
    <w:abstractNumId w:val="993"/>
  </w:num>
  <w:num w:numId="1292" w16cid:durableId="1050230677">
    <w:abstractNumId w:val="518"/>
  </w:num>
  <w:num w:numId="1293" w16cid:durableId="2114402332">
    <w:abstractNumId w:val="1768"/>
  </w:num>
  <w:num w:numId="1294" w16cid:durableId="1485462710">
    <w:abstractNumId w:val="1382"/>
  </w:num>
  <w:num w:numId="1295" w16cid:durableId="1921330096">
    <w:abstractNumId w:val="1140"/>
  </w:num>
  <w:num w:numId="1296" w16cid:durableId="990524388">
    <w:abstractNumId w:val="1404"/>
  </w:num>
  <w:num w:numId="1297" w16cid:durableId="1654989796">
    <w:abstractNumId w:val="805"/>
  </w:num>
  <w:num w:numId="1298" w16cid:durableId="743647915">
    <w:abstractNumId w:val="1936"/>
  </w:num>
  <w:num w:numId="1299" w16cid:durableId="646325917">
    <w:abstractNumId w:val="561"/>
  </w:num>
  <w:num w:numId="1300" w16cid:durableId="464738861">
    <w:abstractNumId w:val="797"/>
  </w:num>
  <w:num w:numId="1301" w16cid:durableId="877204573">
    <w:abstractNumId w:val="630"/>
  </w:num>
  <w:num w:numId="1302" w16cid:durableId="1460683004">
    <w:abstractNumId w:val="173"/>
  </w:num>
  <w:num w:numId="1303" w16cid:durableId="1154645107">
    <w:abstractNumId w:val="699"/>
  </w:num>
  <w:num w:numId="1304" w16cid:durableId="224413658">
    <w:abstractNumId w:val="587"/>
  </w:num>
  <w:num w:numId="1305" w16cid:durableId="811017964">
    <w:abstractNumId w:val="1086"/>
  </w:num>
  <w:num w:numId="1306" w16cid:durableId="1505045723">
    <w:abstractNumId w:val="1304"/>
  </w:num>
  <w:num w:numId="1307" w16cid:durableId="225066847">
    <w:abstractNumId w:val="830"/>
  </w:num>
  <w:num w:numId="1308" w16cid:durableId="1634675464">
    <w:abstractNumId w:val="626"/>
  </w:num>
  <w:num w:numId="1309" w16cid:durableId="272135897">
    <w:abstractNumId w:val="1515"/>
  </w:num>
  <w:num w:numId="1310" w16cid:durableId="1189106934">
    <w:abstractNumId w:val="69"/>
  </w:num>
  <w:num w:numId="1311" w16cid:durableId="844588921">
    <w:abstractNumId w:val="1806"/>
  </w:num>
  <w:num w:numId="1312" w16cid:durableId="1303150034">
    <w:abstractNumId w:val="1168"/>
  </w:num>
  <w:num w:numId="1313" w16cid:durableId="1131292543">
    <w:abstractNumId w:val="1571"/>
  </w:num>
  <w:num w:numId="1314" w16cid:durableId="2124761208">
    <w:abstractNumId w:val="1932"/>
  </w:num>
  <w:num w:numId="1315" w16cid:durableId="1514227558">
    <w:abstractNumId w:val="1369"/>
  </w:num>
  <w:num w:numId="1316" w16cid:durableId="1623919687">
    <w:abstractNumId w:val="1785"/>
  </w:num>
  <w:num w:numId="1317" w16cid:durableId="943414605">
    <w:abstractNumId w:val="262"/>
  </w:num>
  <w:num w:numId="1318" w16cid:durableId="569390809">
    <w:abstractNumId w:val="697"/>
  </w:num>
  <w:num w:numId="1319" w16cid:durableId="1908878492">
    <w:abstractNumId w:val="447"/>
  </w:num>
  <w:num w:numId="1320" w16cid:durableId="667828322">
    <w:abstractNumId w:val="605"/>
  </w:num>
  <w:num w:numId="1321" w16cid:durableId="564486705">
    <w:abstractNumId w:val="1357"/>
  </w:num>
  <w:num w:numId="1322" w16cid:durableId="811218257">
    <w:abstractNumId w:val="1501"/>
  </w:num>
  <w:num w:numId="1323" w16cid:durableId="452748612">
    <w:abstractNumId w:val="522"/>
  </w:num>
  <w:num w:numId="1324" w16cid:durableId="572280859">
    <w:abstractNumId w:val="843"/>
  </w:num>
  <w:num w:numId="1325" w16cid:durableId="1937252490">
    <w:abstractNumId w:val="156"/>
  </w:num>
  <w:num w:numId="1326" w16cid:durableId="1964071284">
    <w:abstractNumId w:val="392"/>
  </w:num>
  <w:num w:numId="1327" w16cid:durableId="1971132168">
    <w:abstractNumId w:val="1817"/>
  </w:num>
  <w:num w:numId="1328" w16cid:durableId="1433010359">
    <w:abstractNumId w:val="1817"/>
    <w:lvlOverride w:ilvl="0">
      <w:lvl w:ilvl="0">
        <w:start w:val="3"/>
        <w:numFmt w:val="decimal"/>
        <w:lvlText w:val="%1."/>
        <w:legacy w:legacy="1" w:legacySpace="0" w:legacyIndent="454"/>
        <w:lvlJc w:val="left"/>
        <w:pPr>
          <w:ind w:left="454" w:hanging="454"/>
        </w:pPr>
      </w:lvl>
    </w:lvlOverride>
  </w:num>
  <w:num w:numId="1329" w16cid:durableId="463229849">
    <w:abstractNumId w:val="425"/>
  </w:num>
  <w:num w:numId="1330" w16cid:durableId="1666321313">
    <w:abstractNumId w:val="425"/>
    <w:lvlOverride w:ilvl="0">
      <w:lvl w:ilvl="0">
        <w:start w:val="8"/>
        <w:numFmt w:val="decimal"/>
        <w:lvlText w:val="%1."/>
        <w:legacy w:legacy="1" w:legacySpace="0" w:legacyIndent="454"/>
        <w:lvlJc w:val="left"/>
        <w:pPr>
          <w:ind w:left="454" w:hanging="454"/>
        </w:pPr>
      </w:lvl>
    </w:lvlOverride>
  </w:num>
  <w:num w:numId="1331" w16cid:durableId="1564751183">
    <w:abstractNumId w:val="1135"/>
  </w:num>
  <w:num w:numId="1332" w16cid:durableId="1366100543">
    <w:abstractNumId w:val="873"/>
  </w:num>
  <w:num w:numId="1333" w16cid:durableId="1327368359">
    <w:abstractNumId w:val="285"/>
  </w:num>
  <w:num w:numId="1334" w16cid:durableId="531496991">
    <w:abstractNumId w:val="46"/>
  </w:num>
  <w:num w:numId="1335" w16cid:durableId="1335493409">
    <w:abstractNumId w:val="1285"/>
  </w:num>
  <w:num w:numId="1336" w16cid:durableId="814757358">
    <w:abstractNumId w:val="761"/>
  </w:num>
  <w:num w:numId="1337" w16cid:durableId="467402845">
    <w:abstractNumId w:val="45"/>
  </w:num>
  <w:num w:numId="1338" w16cid:durableId="539704417">
    <w:abstractNumId w:val="559"/>
  </w:num>
  <w:num w:numId="1339" w16cid:durableId="296764013">
    <w:abstractNumId w:val="964"/>
  </w:num>
  <w:num w:numId="1340" w16cid:durableId="2135711962">
    <w:abstractNumId w:val="137"/>
  </w:num>
  <w:num w:numId="1341" w16cid:durableId="1467624766">
    <w:abstractNumId w:val="1192"/>
  </w:num>
  <w:num w:numId="1342" w16cid:durableId="1394155932">
    <w:abstractNumId w:val="682"/>
  </w:num>
  <w:num w:numId="1343" w16cid:durableId="53162194">
    <w:abstractNumId w:val="241"/>
  </w:num>
  <w:num w:numId="1344" w16cid:durableId="673654429">
    <w:abstractNumId w:val="511"/>
  </w:num>
  <w:num w:numId="1345" w16cid:durableId="357514542">
    <w:abstractNumId w:val="278"/>
  </w:num>
  <w:num w:numId="1346" w16cid:durableId="1050377391">
    <w:abstractNumId w:val="2"/>
  </w:num>
  <w:num w:numId="1347" w16cid:durableId="743139119">
    <w:abstractNumId w:val="6"/>
  </w:num>
  <w:num w:numId="1348" w16cid:durableId="855457376">
    <w:abstractNumId w:val="5"/>
  </w:num>
  <w:num w:numId="1349" w16cid:durableId="960957982">
    <w:abstractNumId w:val="1689"/>
  </w:num>
  <w:num w:numId="1350" w16cid:durableId="1230269768">
    <w:abstractNumId w:val="710"/>
  </w:num>
  <w:num w:numId="1351" w16cid:durableId="603536214">
    <w:abstractNumId w:val="955"/>
  </w:num>
  <w:num w:numId="1352" w16cid:durableId="296230241">
    <w:abstractNumId w:val="972"/>
  </w:num>
  <w:num w:numId="1353" w16cid:durableId="1168061831">
    <w:abstractNumId w:val="791"/>
  </w:num>
  <w:num w:numId="1354" w16cid:durableId="932053924">
    <w:abstractNumId w:val="938"/>
  </w:num>
  <w:num w:numId="1355" w16cid:durableId="1494373292">
    <w:abstractNumId w:val="1409"/>
  </w:num>
  <w:num w:numId="1356" w16cid:durableId="1109012448">
    <w:abstractNumId w:val="1701"/>
  </w:num>
  <w:num w:numId="1357" w16cid:durableId="1928466108">
    <w:abstractNumId w:val="283"/>
  </w:num>
  <w:num w:numId="1358" w16cid:durableId="1692607562">
    <w:abstractNumId w:val="899"/>
  </w:num>
  <w:num w:numId="1359" w16cid:durableId="1654262034">
    <w:abstractNumId w:val="1051"/>
  </w:num>
  <w:num w:numId="1360" w16cid:durableId="891379362">
    <w:abstractNumId w:val="103"/>
  </w:num>
  <w:num w:numId="1361" w16cid:durableId="1172262296">
    <w:abstractNumId w:val="1377"/>
  </w:num>
  <w:num w:numId="1362" w16cid:durableId="1994337043">
    <w:abstractNumId w:val="435"/>
  </w:num>
  <w:num w:numId="1363" w16cid:durableId="984046918">
    <w:abstractNumId w:val="524"/>
  </w:num>
  <w:num w:numId="1364" w16cid:durableId="422918151">
    <w:abstractNumId w:val="1866"/>
  </w:num>
  <w:num w:numId="1365" w16cid:durableId="824200294">
    <w:abstractNumId w:val="628"/>
  </w:num>
  <w:num w:numId="1366" w16cid:durableId="889801147">
    <w:abstractNumId w:val="1765"/>
  </w:num>
  <w:num w:numId="1367" w16cid:durableId="1092895028">
    <w:abstractNumId w:val="1659"/>
  </w:num>
  <w:num w:numId="1368" w16cid:durableId="609438732">
    <w:abstractNumId w:val="104"/>
  </w:num>
  <w:num w:numId="1369" w16cid:durableId="693847009">
    <w:abstractNumId w:val="819"/>
  </w:num>
  <w:num w:numId="1370" w16cid:durableId="1550530956">
    <w:abstractNumId w:val="1327"/>
  </w:num>
  <w:num w:numId="1371" w16cid:durableId="2134984081">
    <w:abstractNumId w:val="586"/>
  </w:num>
  <w:num w:numId="1372" w16cid:durableId="187761854">
    <w:abstractNumId w:val="1356"/>
  </w:num>
  <w:num w:numId="1373" w16cid:durableId="197667823">
    <w:abstractNumId w:val="1870"/>
  </w:num>
  <w:num w:numId="1374" w16cid:durableId="670449235">
    <w:abstractNumId w:val="1194"/>
  </w:num>
  <w:num w:numId="1375" w16cid:durableId="701244519">
    <w:abstractNumId w:val="677"/>
  </w:num>
  <w:num w:numId="1376" w16cid:durableId="945894120">
    <w:abstractNumId w:val="753"/>
  </w:num>
  <w:num w:numId="1377" w16cid:durableId="882865725">
    <w:abstractNumId w:val="624"/>
  </w:num>
  <w:num w:numId="1378" w16cid:durableId="1641228917">
    <w:abstractNumId w:val="1037"/>
  </w:num>
  <w:num w:numId="1379" w16cid:durableId="313722435">
    <w:abstractNumId w:val="70"/>
  </w:num>
  <w:num w:numId="1380" w16cid:durableId="1895699107">
    <w:abstractNumId w:val="486"/>
  </w:num>
  <w:num w:numId="1381" w16cid:durableId="568228878">
    <w:abstractNumId w:val="1124"/>
  </w:num>
  <w:num w:numId="1382" w16cid:durableId="1768962864">
    <w:abstractNumId w:val="1439"/>
  </w:num>
  <w:num w:numId="1383" w16cid:durableId="1413042406">
    <w:abstractNumId w:val="1212"/>
  </w:num>
  <w:num w:numId="1384" w16cid:durableId="1368531879">
    <w:abstractNumId w:val="1691"/>
  </w:num>
  <w:num w:numId="1385" w16cid:durableId="1785340877">
    <w:abstractNumId w:val="721"/>
  </w:num>
  <w:num w:numId="1386" w16cid:durableId="883445723">
    <w:abstractNumId w:val="426"/>
  </w:num>
  <w:num w:numId="1387" w16cid:durableId="1201432875">
    <w:abstractNumId w:val="659"/>
  </w:num>
  <w:num w:numId="1388" w16cid:durableId="1635211481">
    <w:abstractNumId w:val="949"/>
  </w:num>
  <w:num w:numId="1389" w16cid:durableId="1189023692">
    <w:abstractNumId w:val="1779"/>
  </w:num>
  <w:num w:numId="1390" w16cid:durableId="695541923">
    <w:abstractNumId w:val="1283"/>
  </w:num>
  <w:num w:numId="1391" w16cid:durableId="859245203">
    <w:abstractNumId w:val="1272"/>
  </w:num>
  <w:num w:numId="1392" w16cid:durableId="1218514461">
    <w:abstractNumId w:val="1216"/>
  </w:num>
  <w:num w:numId="1393" w16cid:durableId="632757735">
    <w:abstractNumId w:val="557"/>
  </w:num>
  <w:num w:numId="1394" w16cid:durableId="1695036958">
    <w:abstractNumId w:val="1937"/>
  </w:num>
  <w:num w:numId="1395" w16cid:durableId="1725104190">
    <w:abstractNumId w:val="961"/>
  </w:num>
  <w:num w:numId="1396" w16cid:durableId="2026052010">
    <w:abstractNumId w:val="1683"/>
  </w:num>
  <w:num w:numId="1397" w16cid:durableId="1080786521">
    <w:abstractNumId w:val="1752"/>
  </w:num>
  <w:num w:numId="1398" w16cid:durableId="1645357348">
    <w:abstractNumId w:val="1337"/>
  </w:num>
  <w:num w:numId="1399" w16cid:durableId="2010063365">
    <w:abstractNumId w:val="1697"/>
  </w:num>
  <w:num w:numId="1400" w16cid:durableId="1108503185">
    <w:abstractNumId w:val="530"/>
  </w:num>
  <w:num w:numId="1401" w16cid:durableId="241375465">
    <w:abstractNumId w:val="1419"/>
  </w:num>
  <w:num w:numId="1402" w16cid:durableId="1649817385">
    <w:abstractNumId w:val="424"/>
  </w:num>
  <w:num w:numId="1403" w16cid:durableId="1721245349">
    <w:abstractNumId w:val="141"/>
  </w:num>
  <w:num w:numId="1404" w16cid:durableId="1475371948">
    <w:abstractNumId w:val="398"/>
  </w:num>
  <w:num w:numId="1405" w16cid:durableId="1992753247">
    <w:abstractNumId w:val="1959"/>
  </w:num>
  <w:num w:numId="1406" w16cid:durableId="1836719511">
    <w:abstractNumId w:val="293"/>
  </w:num>
  <w:num w:numId="1407" w16cid:durableId="1660889124">
    <w:abstractNumId w:val="1725"/>
  </w:num>
  <w:num w:numId="1408" w16cid:durableId="651907506">
    <w:abstractNumId w:val="719"/>
  </w:num>
  <w:num w:numId="1409" w16cid:durableId="1460339903">
    <w:abstractNumId w:val="1968"/>
  </w:num>
  <w:num w:numId="1410" w16cid:durableId="1091123175">
    <w:abstractNumId w:val="1956"/>
  </w:num>
  <w:num w:numId="1411" w16cid:durableId="1459571061">
    <w:abstractNumId w:val="574"/>
  </w:num>
  <w:num w:numId="1412" w16cid:durableId="1493570089">
    <w:abstractNumId w:val="404"/>
  </w:num>
  <w:num w:numId="1413" w16cid:durableId="1733893476">
    <w:abstractNumId w:val="1220"/>
  </w:num>
  <w:num w:numId="1414" w16cid:durableId="1103889038">
    <w:abstractNumId w:val="1903"/>
  </w:num>
  <w:num w:numId="1415" w16cid:durableId="921648653">
    <w:abstractNumId w:val="1755"/>
  </w:num>
  <w:num w:numId="1416" w16cid:durableId="1049256876">
    <w:abstractNumId w:val="1860"/>
  </w:num>
  <w:num w:numId="1417" w16cid:durableId="58213405">
    <w:abstractNumId w:val="1491"/>
  </w:num>
  <w:num w:numId="1418" w16cid:durableId="1026060613">
    <w:abstractNumId w:val="1281"/>
  </w:num>
  <w:num w:numId="1419" w16cid:durableId="1073504803">
    <w:abstractNumId w:val="1663"/>
  </w:num>
  <w:num w:numId="1420" w16cid:durableId="531965901">
    <w:abstractNumId w:val="1141"/>
  </w:num>
  <w:num w:numId="1421" w16cid:durableId="378751703">
    <w:abstractNumId w:val="360"/>
  </w:num>
  <w:num w:numId="1422" w16cid:durableId="1617446455">
    <w:abstractNumId w:val="992"/>
  </w:num>
  <w:num w:numId="1423" w16cid:durableId="1909804133">
    <w:abstractNumId w:val="623"/>
  </w:num>
  <w:num w:numId="1424" w16cid:durableId="126702893">
    <w:abstractNumId w:val="349"/>
  </w:num>
  <w:num w:numId="1425" w16cid:durableId="1456102773">
    <w:abstractNumId w:val="1106"/>
  </w:num>
  <w:num w:numId="1426" w16cid:durableId="634796218">
    <w:abstractNumId w:val="932"/>
  </w:num>
  <w:num w:numId="1427" w16cid:durableId="143350371">
    <w:abstractNumId w:val="1121"/>
  </w:num>
  <w:num w:numId="1428" w16cid:durableId="1614288502">
    <w:abstractNumId w:val="1943"/>
  </w:num>
  <w:num w:numId="1429" w16cid:durableId="1683238886">
    <w:abstractNumId w:val="38"/>
  </w:num>
  <w:num w:numId="1430" w16cid:durableId="1142045530">
    <w:abstractNumId w:val="487"/>
  </w:num>
  <w:num w:numId="1431" w16cid:durableId="741610052">
    <w:abstractNumId w:val="876"/>
  </w:num>
  <w:num w:numId="1432" w16cid:durableId="1837382285">
    <w:abstractNumId w:val="1067"/>
  </w:num>
  <w:num w:numId="1433" w16cid:durableId="2001303233">
    <w:abstractNumId w:val="639"/>
  </w:num>
  <w:num w:numId="1434" w16cid:durableId="334965604">
    <w:abstractNumId w:val="842"/>
  </w:num>
  <w:num w:numId="1435" w16cid:durableId="1730304341">
    <w:abstractNumId w:val="1940"/>
  </w:num>
  <w:num w:numId="1436" w16cid:durableId="1679773286">
    <w:abstractNumId w:val="1771"/>
  </w:num>
  <w:num w:numId="1437" w16cid:durableId="1481073936">
    <w:abstractNumId w:val="1666"/>
  </w:num>
  <w:num w:numId="1438" w16cid:durableId="1525512446">
    <w:abstractNumId w:val="1634"/>
  </w:num>
  <w:num w:numId="1439" w16cid:durableId="1793866544">
    <w:abstractNumId w:val="1772"/>
  </w:num>
  <w:num w:numId="1440" w16cid:durableId="1594164574">
    <w:abstractNumId w:val="261"/>
  </w:num>
  <w:num w:numId="1441" w16cid:durableId="154226973">
    <w:abstractNumId w:val="904"/>
  </w:num>
  <w:num w:numId="1442" w16cid:durableId="2067414861">
    <w:abstractNumId w:val="115"/>
  </w:num>
  <w:num w:numId="1443" w16cid:durableId="621961591">
    <w:abstractNumId w:val="249"/>
  </w:num>
  <w:num w:numId="1444" w16cid:durableId="1752383731">
    <w:abstractNumId w:val="240"/>
  </w:num>
  <w:num w:numId="1445" w16cid:durableId="1920287438">
    <w:abstractNumId w:val="1293"/>
  </w:num>
  <w:num w:numId="1446" w16cid:durableId="628974538">
    <w:abstractNumId w:val="1918"/>
  </w:num>
  <w:num w:numId="1447" w16cid:durableId="381097898">
    <w:abstractNumId w:val="666"/>
  </w:num>
  <w:num w:numId="1448" w16cid:durableId="546088">
    <w:abstractNumId w:val="438"/>
  </w:num>
  <w:num w:numId="1449" w16cid:durableId="379132054">
    <w:abstractNumId w:val="970"/>
  </w:num>
  <w:num w:numId="1450" w16cid:durableId="1474643077">
    <w:abstractNumId w:val="772"/>
  </w:num>
  <w:num w:numId="1451" w16cid:durableId="1813524700">
    <w:abstractNumId w:val="1103"/>
  </w:num>
  <w:num w:numId="1452" w16cid:durableId="904755830">
    <w:abstractNumId w:val="1810"/>
  </w:num>
  <w:num w:numId="1453" w16cid:durableId="1141574948">
    <w:abstractNumId w:val="1886"/>
  </w:num>
  <w:num w:numId="1454" w16cid:durableId="1187058755">
    <w:abstractNumId w:val="350"/>
  </w:num>
  <w:num w:numId="1455" w16cid:durableId="1972134002">
    <w:abstractNumId w:val="1308"/>
  </w:num>
  <w:num w:numId="1456" w16cid:durableId="1004671064">
    <w:abstractNumId w:val="1884"/>
  </w:num>
  <w:num w:numId="1457" w16cid:durableId="1171874447">
    <w:abstractNumId w:val="816"/>
  </w:num>
  <w:num w:numId="1458" w16cid:durableId="1272668664">
    <w:abstractNumId w:val="436"/>
  </w:num>
  <w:num w:numId="1459" w16cid:durableId="828902805">
    <w:abstractNumId w:val="1890"/>
  </w:num>
  <w:num w:numId="1460" w16cid:durableId="1373534406">
    <w:abstractNumId w:val="198"/>
  </w:num>
  <w:num w:numId="1461" w16cid:durableId="448551846">
    <w:abstractNumId w:val="502"/>
  </w:num>
  <w:num w:numId="1462" w16cid:durableId="829831424">
    <w:abstractNumId w:val="431"/>
  </w:num>
  <w:num w:numId="1463" w16cid:durableId="1835492850">
    <w:abstractNumId w:val="34"/>
  </w:num>
  <w:num w:numId="1464" w16cid:durableId="826552522">
    <w:abstractNumId w:val="1133"/>
  </w:num>
  <w:num w:numId="1465" w16cid:durableId="1620605524">
    <w:abstractNumId w:val="1739"/>
  </w:num>
  <w:num w:numId="1466" w16cid:durableId="959530794">
    <w:abstractNumId w:val="1922"/>
  </w:num>
  <w:num w:numId="1467" w16cid:durableId="1625648770">
    <w:abstractNumId w:val="1773"/>
  </w:num>
  <w:num w:numId="1468" w16cid:durableId="1249269612">
    <w:abstractNumId w:val="485"/>
  </w:num>
  <w:num w:numId="1469" w16cid:durableId="138151387">
    <w:abstractNumId w:val="1670"/>
  </w:num>
  <w:num w:numId="1470" w16cid:durableId="1698001225">
    <w:abstractNumId w:val="1672"/>
  </w:num>
  <w:num w:numId="1471" w16cid:durableId="1528517768">
    <w:abstractNumId w:val="871"/>
  </w:num>
  <w:num w:numId="1472" w16cid:durableId="638461156">
    <w:abstractNumId w:val="1671"/>
  </w:num>
  <w:num w:numId="1473" w16cid:durableId="1809929026">
    <w:abstractNumId w:val="1593"/>
  </w:num>
  <w:num w:numId="1474" w16cid:durableId="1664777696">
    <w:abstractNumId w:val="125"/>
  </w:num>
  <w:num w:numId="1475" w16cid:durableId="1196576365">
    <w:abstractNumId w:val="526"/>
  </w:num>
  <w:num w:numId="1476" w16cid:durableId="2053264864">
    <w:abstractNumId w:val="108"/>
  </w:num>
  <w:num w:numId="1477" w16cid:durableId="1082021904">
    <w:abstractNumId w:val="610"/>
  </w:num>
  <w:num w:numId="1478" w16cid:durableId="813723154">
    <w:abstractNumId w:val="667"/>
  </w:num>
  <w:num w:numId="1479" w16cid:durableId="47456069">
    <w:abstractNumId w:val="1867"/>
  </w:num>
  <w:num w:numId="1480" w16cid:durableId="1367874471">
    <w:abstractNumId w:val="1380"/>
  </w:num>
  <w:num w:numId="1481" w16cid:durableId="502627855">
    <w:abstractNumId w:val="48"/>
  </w:num>
  <w:num w:numId="1482" w16cid:durableId="1694721519">
    <w:abstractNumId w:val="24"/>
  </w:num>
  <w:num w:numId="1483" w16cid:durableId="1054545917">
    <w:abstractNumId w:val="1941"/>
  </w:num>
  <w:num w:numId="1484" w16cid:durableId="24214650">
    <w:abstractNumId w:val="1012"/>
  </w:num>
  <w:num w:numId="1485" w16cid:durableId="538475279">
    <w:abstractNumId w:val="1247"/>
  </w:num>
  <w:num w:numId="1486" w16cid:durableId="1076823657">
    <w:abstractNumId w:val="590"/>
  </w:num>
  <w:num w:numId="1487" w16cid:durableId="297565162">
    <w:abstractNumId w:val="979"/>
  </w:num>
  <w:num w:numId="1488" w16cid:durableId="636649357">
    <w:abstractNumId w:val="292"/>
  </w:num>
  <w:num w:numId="1489" w16cid:durableId="281571229">
    <w:abstractNumId w:val="856"/>
  </w:num>
  <w:num w:numId="1490" w16cid:durableId="742336134">
    <w:abstractNumId w:val="952"/>
  </w:num>
  <w:num w:numId="1491" w16cid:durableId="336738922">
    <w:abstractNumId w:val="696"/>
  </w:num>
  <w:num w:numId="1492" w16cid:durableId="1183713949">
    <w:abstractNumId w:val="1226"/>
  </w:num>
  <w:num w:numId="1493" w16cid:durableId="1201087234">
    <w:abstractNumId w:val="690"/>
  </w:num>
  <w:num w:numId="1494" w16cid:durableId="1324429458">
    <w:abstractNumId w:val="1553"/>
  </w:num>
  <w:num w:numId="1495" w16cid:durableId="2094816374">
    <w:abstractNumId w:val="1516"/>
  </w:num>
  <w:num w:numId="1496" w16cid:durableId="1402365982">
    <w:abstractNumId w:val="1367"/>
  </w:num>
  <w:num w:numId="1497" w16cid:durableId="118764120">
    <w:abstractNumId w:val="1600"/>
  </w:num>
  <w:num w:numId="1498" w16cid:durableId="99760839">
    <w:abstractNumId w:val="692"/>
  </w:num>
  <w:num w:numId="1499" w16cid:durableId="721750991">
    <w:abstractNumId w:val="495"/>
  </w:num>
  <w:num w:numId="1500" w16cid:durableId="1136945205">
    <w:abstractNumId w:val="474"/>
  </w:num>
  <w:num w:numId="1501" w16cid:durableId="55859409">
    <w:abstractNumId w:val="811"/>
  </w:num>
  <w:num w:numId="1502" w16cid:durableId="415443284">
    <w:abstractNumId w:val="1215"/>
  </w:num>
  <w:num w:numId="1503" w16cid:durableId="770122675">
    <w:abstractNumId w:val="281"/>
  </w:num>
  <w:num w:numId="1504" w16cid:durableId="843545372">
    <w:abstractNumId w:val="197"/>
  </w:num>
  <w:num w:numId="1505" w16cid:durableId="598100170">
    <w:abstractNumId w:val="823"/>
  </w:num>
  <w:num w:numId="1506" w16cid:durableId="951283292">
    <w:abstractNumId w:val="456"/>
  </w:num>
  <w:num w:numId="1507" w16cid:durableId="31611644">
    <w:abstractNumId w:val="962"/>
  </w:num>
  <w:num w:numId="1508" w16cid:durableId="1053042131">
    <w:abstractNumId w:val="219"/>
  </w:num>
  <w:num w:numId="1509" w16cid:durableId="1101756434">
    <w:abstractNumId w:val="1577"/>
  </w:num>
  <w:num w:numId="1510" w16cid:durableId="233399035">
    <w:abstractNumId w:val="563"/>
  </w:num>
  <w:num w:numId="1511" w16cid:durableId="2027632786">
    <w:abstractNumId w:val="1961"/>
  </w:num>
  <w:num w:numId="1512" w16cid:durableId="57673212">
    <w:abstractNumId w:val="462"/>
  </w:num>
  <w:num w:numId="1513" w16cid:durableId="1324701071">
    <w:abstractNumId w:val="733"/>
  </w:num>
  <w:num w:numId="1514" w16cid:durableId="612399563">
    <w:abstractNumId w:val="515"/>
  </w:num>
  <w:num w:numId="1515" w16cid:durableId="1111168909">
    <w:abstractNumId w:val="756"/>
  </w:num>
  <w:num w:numId="1516" w16cid:durableId="1036543050">
    <w:abstractNumId w:val="685"/>
  </w:num>
  <w:num w:numId="1517" w16cid:durableId="643464816">
    <w:abstractNumId w:val="1381"/>
  </w:num>
  <w:num w:numId="1518" w16cid:durableId="1402798382">
    <w:abstractNumId w:val="1040"/>
  </w:num>
  <w:num w:numId="1519" w16cid:durableId="2067411639">
    <w:abstractNumId w:val="827"/>
  </w:num>
  <w:num w:numId="1520" w16cid:durableId="1602644800">
    <w:abstractNumId w:val="1420"/>
  </w:num>
  <w:num w:numId="1521" w16cid:durableId="1384912050">
    <w:abstractNumId w:val="1505"/>
  </w:num>
  <w:num w:numId="1522" w16cid:durableId="317850212">
    <w:abstractNumId w:val="826"/>
  </w:num>
  <w:num w:numId="1523" w16cid:durableId="1382368183">
    <w:abstractNumId w:val="407"/>
  </w:num>
  <w:num w:numId="1524" w16cid:durableId="262764035">
    <w:abstractNumId w:val="1470"/>
  </w:num>
  <w:num w:numId="1525" w16cid:durableId="531965484">
    <w:abstractNumId w:val="200"/>
  </w:num>
  <w:num w:numId="1526" w16cid:durableId="778527348">
    <w:abstractNumId w:val="1760"/>
  </w:num>
  <w:num w:numId="1527" w16cid:durableId="1514758510">
    <w:abstractNumId w:val="383"/>
  </w:num>
  <w:num w:numId="1528" w16cid:durableId="181555837">
    <w:abstractNumId w:val="378"/>
  </w:num>
  <w:num w:numId="1529" w16cid:durableId="1018312895">
    <w:abstractNumId w:val="565"/>
  </w:num>
  <w:num w:numId="1530" w16cid:durableId="1002780817">
    <w:abstractNumId w:val="1052"/>
  </w:num>
  <w:num w:numId="1531" w16cid:durableId="1661035231">
    <w:abstractNumId w:val="583"/>
  </w:num>
  <w:num w:numId="1532" w16cid:durableId="1166943939">
    <w:abstractNumId w:val="1255"/>
  </w:num>
  <w:num w:numId="1533" w16cid:durableId="1266573030">
    <w:abstractNumId w:val="596"/>
  </w:num>
  <w:num w:numId="1534" w16cid:durableId="1470708104">
    <w:abstractNumId w:val="787"/>
  </w:num>
  <w:num w:numId="1535" w16cid:durableId="1577279119">
    <w:abstractNumId w:val="825"/>
  </w:num>
  <w:num w:numId="1536" w16cid:durableId="1513645211">
    <w:abstractNumId w:val="814"/>
  </w:num>
  <w:num w:numId="1537" w16cid:durableId="1833913893">
    <w:abstractNumId w:val="44"/>
  </w:num>
  <w:num w:numId="1538" w16cid:durableId="917446311">
    <w:abstractNumId w:val="331"/>
  </w:num>
  <w:num w:numId="1539" w16cid:durableId="599141554">
    <w:abstractNumId w:val="68"/>
  </w:num>
  <w:num w:numId="1540" w16cid:durableId="1912689582">
    <w:abstractNumId w:val="393"/>
  </w:num>
  <w:num w:numId="1541" w16cid:durableId="252593893">
    <w:abstractNumId w:val="286"/>
  </w:num>
  <w:num w:numId="1542" w16cid:durableId="1889339233">
    <w:abstractNumId w:val="1611"/>
  </w:num>
  <w:num w:numId="1543" w16cid:durableId="1237328126">
    <w:abstractNumId w:val="1677"/>
  </w:num>
  <w:num w:numId="1544" w16cid:durableId="1944221205">
    <w:abstractNumId w:val="205"/>
  </w:num>
  <w:num w:numId="1545" w16cid:durableId="1111321330">
    <w:abstractNumId w:val="190"/>
  </w:num>
  <w:num w:numId="1546" w16cid:durableId="213079178">
    <w:abstractNumId w:val="560"/>
  </w:num>
  <w:num w:numId="1547" w16cid:durableId="128323737">
    <w:abstractNumId w:val="1111"/>
  </w:num>
  <w:num w:numId="1548" w16cid:durableId="1683320852">
    <w:abstractNumId w:val="415"/>
  </w:num>
  <w:num w:numId="1549" w16cid:durableId="1932658905">
    <w:abstractNumId w:val="960"/>
  </w:num>
  <w:num w:numId="1550" w16cid:durableId="691687469">
    <w:abstractNumId w:val="442"/>
  </w:num>
  <w:num w:numId="1551" w16cid:durableId="341321646">
    <w:abstractNumId w:val="679"/>
  </w:num>
  <w:num w:numId="1552" w16cid:durableId="1922793019">
    <w:abstractNumId w:val="516"/>
  </w:num>
  <w:num w:numId="1553" w16cid:durableId="1608269594">
    <w:abstractNumId w:val="72"/>
  </w:num>
  <w:num w:numId="1554" w16cid:durableId="2138914911">
    <w:abstractNumId w:val="1530"/>
  </w:num>
  <w:num w:numId="1555" w16cid:durableId="1080714534">
    <w:abstractNumId w:val="1969"/>
  </w:num>
  <w:num w:numId="1556" w16cid:durableId="686448074">
    <w:abstractNumId w:val="440"/>
  </w:num>
  <w:num w:numId="1557" w16cid:durableId="1717657562">
    <w:abstractNumId w:val="1131"/>
  </w:num>
  <w:num w:numId="1558" w16cid:durableId="1765565877">
    <w:abstractNumId w:val="1010"/>
  </w:num>
  <w:num w:numId="1559" w16cid:durableId="719086129">
    <w:abstractNumId w:val="1888"/>
  </w:num>
  <w:num w:numId="1560" w16cid:durableId="1342855319">
    <w:abstractNumId w:val="544"/>
  </w:num>
  <w:num w:numId="1561" w16cid:durableId="1468011544">
    <w:abstractNumId w:val="579"/>
  </w:num>
  <w:num w:numId="1562" w16cid:durableId="154419842">
    <w:abstractNumId w:val="1115"/>
  </w:num>
  <w:num w:numId="1563" w16cid:durableId="1196845354">
    <w:abstractNumId w:val="732"/>
  </w:num>
  <w:num w:numId="1564" w16cid:durableId="849295460">
    <w:abstractNumId w:val="633"/>
  </w:num>
  <w:num w:numId="1565" w16cid:durableId="541789943">
    <w:abstractNumId w:val="878"/>
  </w:num>
  <w:num w:numId="1566" w16cid:durableId="1483767684">
    <w:abstractNumId w:val="1148"/>
  </w:num>
  <w:num w:numId="1567" w16cid:durableId="820120665">
    <w:abstractNumId w:val="420"/>
  </w:num>
  <w:num w:numId="1568" w16cid:durableId="1638686969">
    <w:abstractNumId w:val="880"/>
  </w:num>
  <w:num w:numId="1569" w16cid:durableId="199830157">
    <w:abstractNumId w:val="55"/>
  </w:num>
  <w:num w:numId="1570" w16cid:durableId="646668604">
    <w:abstractNumId w:val="410"/>
  </w:num>
  <w:num w:numId="1571" w16cid:durableId="2145851023">
    <w:abstractNumId w:val="1776"/>
  </w:num>
  <w:num w:numId="1572" w16cid:durableId="784273882">
    <w:abstractNumId w:val="192"/>
  </w:num>
  <w:num w:numId="1573" w16cid:durableId="337655781">
    <w:abstractNumId w:val="123"/>
  </w:num>
  <w:num w:numId="1574" w16cid:durableId="109474636">
    <w:abstractNumId w:val="1313"/>
  </w:num>
  <w:num w:numId="1575" w16cid:durableId="1890724553">
    <w:abstractNumId w:val="980"/>
  </w:num>
  <w:num w:numId="1576" w16cid:durableId="593707559">
    <w:abstractNumId w:val="1390"/>
  </w:num>
  <w:num w:numId="1577" w16cid:durableId="517693644">
    <w:abstractNumId w:val="1202"/>
  </w:num>
  <w:num w:numId="1578" w16cid:durableId="1187400513">
    <w:abstractNumId w:val="97"/>
  </w:num>
  <w:num w:numId="1579" w16cid:durableId="1301686496">
    <w:abstractNumId w:val="875"/>
  </w:num>
  <w:num w:numId="1580" w16cid:durableId="1548057420">
    <w:abstractNumId w:val="822"/>
  </w:num>
  <w:num w:numId="1581" w16cid:durableId="1504662207">
    <w:abstractNumId w:val="1735"/>
  </w:num>
  <w:num w:numId="1582" w16cid:durableId="1069227169">
    <w:abstractNumId w:val="712"/>
  </w:num>
  <w:num w:numId="1583" w16cid:durableId="2056347502">
    <w:abstractNumId w:val="1613"/>
  </w:num>
  <w:num w:numId="1584" w16cid:durableId="1342780379">
    <w:abstractNumId w:val="247"/>
  </w:num>
  <w:num w:numId="1585" w16cid:durableId="570118799">
    <w:abstractNumId w:val="1514"/>
  </w:num>
  <w:num w:numId="1586" w16cid:durableId="2038000130">
    <w:abstractNumId w:val="1763"/>
  </w:num>
  <w:num w:numId="1587" w16cid:durableId="602417575">
    <w:abstractNumId w:val="233"/>
  </w:num>
  <w:num w:numId="1588" w16cid:durableId="567884144">
    <w:abstractNumId w:val="1264"/>
  </w:num>
  <w:num w:numId="1589" w16cid:durableId="762990761">
    <w:abstractNumId w:val="1264"/>
    <w:lvlOverride w:ilvl="0">
      <w:lvl w:ilvl="0">
        <w:start w:val="1"/>
        <w:numFmt w:val="decimal"/>
        <w:lvlText w:val="%1."/>
        <w:legacy w:legacy="1" w:legacySpace="0" w:legacyIndent="340"/>
        <w:lvlJc w:val="left"/>
        <w:pPr>
          <w:ind w:left="340" w:hanging="340"/>
        </w:pPr>
      </w:lvl>
    </w:lvlOverride>
  </w:num>
  <w:num w:numId="1590" w16cid:durableId="868955352">
    <w:abstractNumId w:val="597"/>
  </w:num>
  <w:num w:numId="1591" w16cid:durableId="2011716995">
    <w:abstractNumId w:val="597"/>
    <w:lvlOverride w:ilvl="0">
      <w:lvl w:ilvl="0">
        <w:start w:val="1"/>
        <w:numFmt w:val="decimal"/>
        <w:lvlText w:val="%1."/>
        <w:legacy w:legacy="1" w:legacySpace="0" w:legacyIndent="454"/>
        <w:lvlJc w:val="left"/>
        <w:pPr>
          <w:ind w:left="454" w:hanging="454"/>
        </w:pPr>
      </w:lvl>
    </w:lvlOverride>
  </w:num>
  <w:num w:numId="1592" w16cid:durableId="733040159">
    <w:abstractNumId w:val="783"/>
  </w:num>
  <w:num w:numId="1593" w16cid:durableId="1064764246">
    <w:abstractNumId w:val="783"/>
    <w:lvlOverride w:ilvl="0">
      <w:lvl w:ilvl="0">
        <w:start w:val="15"/>
        <w:numFmt w:val="decimal"/>
        <w:lvlText w:val="%1."/>
        <w:legacy w:legacy="1" w:legacySpace="0" w:legacyIndent="454"/>
        <w:lvlJc w:val="left"/>
        <w:pPr>
          <w:ind w:left="454" w:hanging="454"/>
        </w:pPr>
      </w:lvl>
    </w:lvlOverride>
    <w:lvlOverride w:ilvl="1">
      <w:lvl w:ilvl="1">
        <w:numFmt w:val="none"/>
        <w:lvlText w:val=""/>
        <w:legacy w:legacy="1" w:legacySpace="0" w:legacyIndent="0"/>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1594" w16cid:durableId="897865611">
    <w:abstractNumId w:val="1167"/>
  </w:num>
  <w:num w:numId="1595" w16cid:durableId="858203523">
    <w:abstractNumId w:val="1167"/>
    <w:lvlOverride w:ilvl="0">
      <w:lvl w:ilvl="0">
        <w:start w:val="1"/>
        <w:numFmt w:val="decimal"/>
        <w:lvlText w:val="%1."/>
        <w:legacy w:legacy="1" w:legacySpace="0" w:legacyIndent="454"/>
        <w:lvlJc w:val="left"/>
        <w:pPr>
          <w:ind w:left="454" w:hanging="454"/>
        </w:pPr>
      </w:lvl>
    </w:lvlOverride>
  </w:num>
  <w:num w:numId="1596" w16cid:durableId="1533881987">
    <w:abstractNumId w:val="1486"/>
  </w:num>
  <w:num w:numId="1597" w16cid:durableId="492333349">
    <w:abstractNumId w:val="1602"/>
  </w:num>
  <w:num w:numId="1598" w16cid:durableId="1801651346">
    <w:abstractNumId w:val="1602"/>
    <w:lvlOverride w:ilvl="0">
      <w:lvl w:ilvl="0">
        <w:start w:val="1"/>
        <w:numFmt w:val="decimal"/>
        <w:lvlText w:val="%1."/>
        <w:legacy w:legacy="1" w:legacySpace="0" w:legacyIndent="454"/>
        <w:lvlJc w:val="left"/>
        <w:pPr>
          <w:ind w:left="454" w:hanging="454"/>
        </w:pPr>
      </w:lvl>
    </w:lvlOverride>
  </w:num>
  <w:num w:numId="1599" w16cid:durableId="374427339">
    <w:abstractNumId w:val="1660"/>
  </w:num>
  <w:num w:numId="1600" w16cid:durableId="180709403">
    <w:abstractNumId w:val="681"/>
  </w:num>
  <w:num w:numId="1601" w16cid:durableId="637346130">
    <w:abstractNumId w:val="132"/>
  </w:num>
  <w:num w:numId="1602" w16cid:durableId="259945737">
    <w:abstractNumId w:val="151"/>
  </w:num>
  <w:num w:numId="1603" w16cid:durableId="413624792">
    <w:abstractNumId w:val="1736"/>
  </w:num>
  <w:num w:numId="1604" w16cid:durableId="1322851682">
    <w:abstractNumId w:val="1477"/>
  </w:num>
  <w:num w:numId="1605" w16cid:durableId="2012633195">
    <w:abstractNumId w:val="387"/>
  </w:num>
  <w:num w:numId="1606" w16cid:durableId="916787465">
    <w:abstractNumId w:val="1254"/>
  </w:num>
  <w:num w:numId="1607" w16cid:durableId="705253830">
    <w:abstractNumId w:val="1842"/>
  </w:num>
  <w:num w:numId="1608" w16cid:durableId="1471903936">
    <w:abstractNumId w:val="615"/>
  </w:num>
  <w:num w:numId="1609" w16cid:durableId="889418602">
    <w:abstractNumId w:val="1825"/>
  </w:num>
  <w:num w:numId="1610" w16cid:durableId="1947730733">
    <w:abstractNumId w:val="214"/>
  </w:num>
  <w:num w:numId="1611" w16cid:durableId="316111866">
    <w:abstractNumId w:val="1498"/>
  </w:num>
  <w:num w:numId="1612" w16cid:durableId="2134328746">
    <w:abstractNumId w:val="1279"/>
  </w:num>
  <w:num w:numId="1613" w16cid:durableId="1464274589">
    <w:abstractNumId w:val="1864"/>
  </w:num>
  <w:num w:numId="1614" w16cid:durableId="1413310870">
    <w:abstractNumId w:val="1690"/>
  </w:num>
  <w:num w:numId="1615" w16cid:durableId="1553686316">
    <w:abstractNumId w:val="1314"/>
  </w:num>
  <w:num w:numId="1616" w16cid:durableId="1931236656">
    <w:abstractNumId w:val="978"/>
  </w:num>
  <w:num w:numId="1617" w16cid:durableId="1730495968">
    <w:abstractNumId w:val="254"/>
  </w:num>
  <w:num w:numId="1618" w16cid:durableId="1716004139">
    <w:abstractNumId w:val="1276"/>
  </w:num>
  <w:num w:numId="1619" w16cid:durableId="237710555">
    <w:abstractNumId w:val="1703"/>
  </w:num>
  <w:num w:numId="1620" w16cid:durableId="429006617">
    <w:abstractNumId w:val="983"/>
  </w:num>
  <w:num w:numId="1621" w16cid:durableId="1201355158">
    <w:abstractNumId w:val="1965"/>
  </w:num>
  <w:num w:numId="1622" w16cid:durableId="2042626402">
    <w:abstractNumId w:val="1018"/>
  </w:num>
  <w:num w:numId="1623" w16cid:durableId="825246923">
    <w:abstractNumId w:val="1250"/>
  </w:num>
  <w:num w:numId="1624" w16cid:durableId="1958098628">
    <w:abstractNumId w:val="550"/>
  </w:num>
  <w:num w:numId="1625" w16cid:durableId="945848154">
    <w:abstractNumId w:val="1203"/>
  </w:num>
  <w:num w:numId="1626" w16cid:durableId="54090577">
    <w:abstractNumId w:val="1853"/>
  </w:num>
  <w:num w:numId="1627" w16cid:durableId="1860460116">
    <w:abstractNumId w:val="924"/>
  </w:num>
  <w:num w:numId="1628" w16cid:durableId="2025010154">
    <w:abstractNumId w:val="521"/>
  </w:num>
  <w:num w:numId="1629" w16cid:durableId="1602059361">
    <w:abstractNumId w:val="11"/>
    <w:lvlOverride w:ilvl="0">
      <w:lvl w:ilvl="0">
        <w:numFmt w:val="bullet"/>
        <w:lvlText w:val=""/>
        <w:legacy w:legacy="1" w:legacySpace="0" w:legacyIndent="360"/>
        <w:lvlJc w:val="left"/>
        <w:pPr>
          <w:ind w:left="720" w:hanging="360"/>
        </w:pPr>
        <w:rPr>
          <w:rFonts w:ascii="Symbol" w:hAnsi="Symbol" w:hint="default"/>
        </w:rPr>
      </w:lvl>
    </w:lvlOverride>
  </w:num>
  <w:num w:numId="1630" w16cid:durableId="1821186316">
    <w:abstractNumId w:val="1576"/>
  </w:num>
  <w:num w:numId="1631" w16cid:durableId="556823546">
    <w:abstractNumId w:val="428"/>
  </w:num>
  <w:num w:numId="1632" w16cid:durableId="119225268">
    <w:abstractNumId w:val="1057"/>
  </w:num>
  <w:num w:numId="1633" w16cid:durableId="565918321">
    <w:abstractNumId w:val="1333"/>
  </w:num>
  <w:num w:numId="1634" w16cid:durableId="851064476">
    <w:abstractNumId w:val="1019"/>
  </w:num>
  <w:num w:numId="1635" w16cid:durableId="1212571532">
    <w:abstractNumId w:val="152"/>
  </w:num>
  <w:num w:numId="1636" w16cid:durableId="1482233391">
    <w:abstractNumId w:val="1919"/>
  </w:num>
  <w:num w:numId="1637" w16cid:durableId="804466918">
    <w:abstractNumId w:val="1079"/>
  </w:num>
  <w:num w:numId="1638" w16cid:durableId="394164947">
    <w:abstractNumId w:val="1656"/>
  </w:num>
  <w:num w:numId="1639" w16cid:durableId="1172060711">
    <w:abstractNumId w:val="990"/>
  </w:num>
  <w:num w:numId="1640" w16cid:durableId="809782774">
    <w:abstractNumId w:val="588"/>
  </w:num>
  <w:num w:numId="1641" w16cid:durableId="366879139">
    <w:abstractNumId w:val="308"/>
  </w:num>
  <w:num w:numId="1642" w16cid:durableId="888616830">
    <w:abstractNumId w:val="234"/>
  </w:num>
  <w:num w:numId="1643" w16cid:durableId="659163369">
    <w:abstractNumId w:val="506"/>
  </w:num>
  <w:num w:numId="1644" w16cid:durableId="297957048">
    <w:abstractNumId w:val="936"/>
  </w:num>
  <w:num w:numId="1645" w16cid:durableId="1216742132">
    <w:abstractNumId w:val="1097"/>
  </w:num>
  <w:num w:numId="1646" w16cid:durableId="118454184">
    <w:abstractNumId w:val="490"/>
  </w:num>
  <w:num w:numId="1647" w16cid:durableId="997000622">
    <w:abstractNumId w:val="997"/>
  </w:num>
  <w:num w:numId="1648" w16cid:durableId="171797968">
    <w:abstractNumId w:val="1227"/>
  </w:num>
  <w:num w:numId="1649" w16cid:durableId="179977649">
    <w:abstractNumId w:val="1865"/>
  </w:num>
  <w:num w:numId="1650" w16cid:durableId="2012947576">
    <w:abstractNumId w:val="1610"/>
  </w:num>
  <w:num w:numId="1651" w16cid:durableId="1147548988">
    <w:abstractNumId w:val="1770"/>
  </w:num>
  <w:num w:numId="1652" w16cid:durableId="45379855">
    <w:abstractNumId w:val="631"/>
  </w:num>
  <w:num w:numId="1653" w16cid:durableId="792527300">
    <w:abstractNumId w:val="1446"/>
  </w:num>
  <w:num w:numId="1654" w16cid:durableId="1727146973">
    <w:abstractNumId w:val="229"/>
  </w:num>
  <w:num w:numId="1655" w16cid:durableId="32658210">
    <w:abstractNumId w:val="62"/>
  </w:num>
  <w:num w:numId="1656" w16cid:durableId="185481647">
    <w:abstractNumId w:val="1081"/>
  </w:num>
  <w:num w:numId="1657" w16cid:durableId="731932317">
    <w:abstractNumId w:val="84"/>
  </w:num>
  <w:num w:numId="1658" w16cid:durableId="1389374807">
    <w:abstractNumId w:val="1206"/>
  </w:num>
  <w:num w:numId="1659" w16cid:durableId="344871252">
    <w:abstractNumId w:val="868"/>
  </w:num>
  <w:num w:numId="1660" w16cid:durableId="1177303819">
    <w:abstractNumId w:val="869"/>
  </w:num>
  <w:num w:numId="1661" w16cid:durableId="1739939001">
    <w:abstractNumId w:val="1906"/>
  </w:num>
  <w:num w:numId="1662" w16cid:durableId="1759986869">
    <w:abstractNumId w:val="1509"/>
  </w:num>
  <w:num w:numId="1663" w16cid:durableId="328606175">
    <w:abstractNumId w:val="746"/>
  </w:num>
  <w:num w:numId="1664" w16cid:durableId="750614567">
    <w:abstractNumId w:val="801"/>
  </w:num>
  <w:num w:numId="1665" w16cid:durableId="956638430">
    <w:abstractNumId w:val="86"/>
  </w:num>
  <w:num w:numId="1666" w16cid:durableId="436215266">
    <w:abstractNumId w:val="919"/>
  </w:num>
  <w:num w:numId="1667" w16cid:durableId="419985123">
    <w:abstractNumId w:val="909"/>
  </w:num>
  <w:num w:numId="1668" w16cid:durableId="882792155">
    <w:abstractNumId w:val="638"/>
  </w:num>
  <w:num w:numId="1669" w16cid:durableId="1641882931">
    <w:abstractNumId w:val="324"/>
  </w:num>
  <w:num w:numId="1670" w16cid:durableId="1088892219">
    <w:abstractNumId w:val="341"/>
  </w:num>
  <w:num w:numId="1671" w16cid:durableId="2039965802">
    <w:abstractNumId w:val="1523"/>
  </w:num>
  <w:num w:numId="1672" w16cid:durableId="1693190290">
    <w:abstractNumId w:val="230"/>
  </w:num>
  <w:num w:numId="1673" w16cid:durableId="1780055318">
    <w:abstractNumId w:val="1435"/>
  </w:num>
  <w:num w:numId="1674" w16cid:durableId="192505076">
    <w:abstractNumId w:val="1475"/>
  </w:num>
  <w:num w:numId="1675" w16cid:durableId="785197703">
    <w:abstractNumId w:val="923"/>
  </w:num>
  <w:num w:numId="1676" w16cid:durableId="725643422">
    <w:abstractNumId w:val="1753"/>
  </w:num>
  <w:num w:numId="1677" w16cid:durableId="869345585">
    <w:abstractNumId w:val="222"/>
  </w:num>
  <w:num w:numId="1678" w16cid:durableId="2063865148">
    <w:abstractNumId w:val="166"/>
  </w:num>
  <w:num w:numId="1679" w16cid:durableId="1672294937">
    <w:abstractNumId w:val="1050"/>
  </w:num>
  <w:num w:numId="1680" w16cid:durableId="778179210">
    <w:abstractNumId w:val="851"/>
  </w:num>
  <w:num w:numId="1681" w16cid:durableId="2002199520">
    <w:abstractNumId w:val="110"/>
  </w:num>
  <w:num w:numId="1682" w16cid:durableId="151878047">
    <w:abstractNumId w:val="1549"/>
  </w:num>
  <w:num w:numId="1683" w16cid:durableId="220943165">
    <w:abstractNumId w:val="271"/>
  </w:num>
  <w:num w:numId="1684" w16cid:durableId="622925564">
    <w:abstractNumId w:val="339"/>
  </w:num>
  <w:num w:numId="1685" w16cid:durableId="2041928162">
    <w:abstractNumId w:val="1624"/>
  </w:num>
  <w:num w:numId="1686" w16cid:durableId="2101102536">
    <w:abstractNumId w:val="471"/>
  </w:num>
  <w:num w:numId="1687" w16cid:durableId="274754314">
    <w:abstractNumId w:val="576"/>
  </w:num>
  <w:num w:numId="1688" w16cid:durableId="712928462">
    <w:abstractNumId w:val="734"/>
  </w:num>
  <w:num w:numId="1689" w16cid:durableId="1536580902">
    <w:abstractNumId w:val="1793"/>
  </w:num>
  <w:num w:numId="1690" w16cid:durableId="1242059064">
    <w:abstractNumId w:val="1496"/>
  </w:num>
  <w:num w:numId="1691" w16cid:durableId="714814141">
    <w:abstractNumId w:val="1093"/>
  </w:num>
  <w:num w:numId="1692" w16cid:durableId="754742195">
    <w:abstractNumId w:val="934"/>
  </w:num>
  <w:num w:numId="1693" w16cid:durableId="2073233635">
    <w:abstractNumId w:val="1550"/>
  </w:num>
  <w:num w:numId="1694" w16cid:durableId="741558658">
    <w:abstractNumId w:val="1398"/>
  </w:num>
  <w:num w:numId="1695" w16cid:durableId="885022556">
    <w:abstractNumId w:val="17"/>
  </w:num>
  <w:num w:numId="1696" w16cid:durableId="523177254">
    <w:abstractNumId w:val="216"/>
  </w:num>
  <w:num w:numId="1697" w16cid:durableId="643238782">
    <w:abstractNumId w:val="589"/>
  </w:num>
  <w:num w:numId="1698" w16cid:durableId="488788950">
    <w:abstractNumId w:val="1034"/>
  </w:num>
  <w:num w:numId="1699" w16cid:durableId="221335228">
    <w:abstractNumId w:val="1748"/>
  </w:num>
  <w:num w:numId="1700" w16cid:durableId="1469392426">
    <w:abstractNumId w:val="520"/>
  </w:num>
  <w:num w:numId="1701" w16cid:durableId="1659842672">
    <w:abstractNumId w:val="815"/>
  </w:num>
  <w:num w:numId="1702" w16cid:durableId="2027637874">
    <w:abstractNumId w:val="284"/>
  </w:num>
  <w:num w:numId="1703" w16cid:durableId="83571117">
    <w:abstractNumId w:val="1335"/>
  </w:num>
  <w:num w:numId="1704" w16cid:durableId="1854034004">
    <w:abstractNumId w:val="1426"/>
  </w:num>
  <w:num w:numId="1705" w16cid:durableId="1534924207">
    <w:abstractNumId w:val="641"/>
  </w:num>
  <w:num w:numId="1706" w16cid:durableId="2126734163">
    <w:abstractNumId w:val="464"/>
  </w:num>
  <w:num w:numId="1707" w16cid:durableId="973872988">
    <w:abstractNumId w:val="1031"/>
  </w:num>
  <w:num w:numId="1708" w16cid:durableId="1354920132">
    <w:abstractNumId w:val="1950"/>
  </w:num>
  <w:num w:numId="1709" w16cid:durableId="1360817754">
    <w:abstractNumId w:val="228"/>
  </w:num>
  <w:num w:numId="1710" w16cid:durableId="1062291169">
    <w:abstractNumId w:val="1467"/>
  </w:num>
  <w:num w:numId="1711" w16cid:durableId="1521359728">
    <w:abstractNumId w:val="1147"/>
  </w:num>
  <w:num w:numId="1712" w16cid:durableId="1609586547">
    <w:abstractNumId w:val="1280"/>
  </w:num>
  <w:num w:numId="1713" w16cid:durableId="416823963">
    <w:abstractNumId w:val="1458"/>
  </w:num>
  <w:num w:numId="1714" w16cid:durableId="2112316042">
    <w:abstractNumId w:val="1405"/>
  </w:num>
  <w:num w:numId="1715" w16cid:durableId="394133599">
    <w:abstractNumId w:val="499"/>
  </w:num>
  <w:num w:numId="1716" w16cid:durableId="2103067185">
    <w:abstractNumId w:val="562"/>
  </w:num>
  <w:num w:numId="1717" w16cid:durableId="412166799">
    <w:abstractNumId w:val="910"/>
  </w:num>
  <w:num w:numId="1718" w16cid:durableId="2031830463">
    <w:abstractNumId w:val="1346"/>
  </w:num>
  <w:num w:numId="1719" w16cid:durableId="1944847755">
    <w:abstractNumId w:val="1243"/>
  </w:num>
  <w:num w:numId="1720" w16cid:durableId="1249536633">
    <w:abstractNumId w:val="466"/>
  </w:num>
  <w:num w:numId="1721" w16cid:durableId="1677077428">
    <w:abstractNumId w:val="355"/>
  </w:num>
  <w:num w:numId="1722" w16cid:durableId="1657683193">
    <w:abstractNumId w:val="206"/>
  </w:num>
  <w:num w:numId="1723" w16cid:durableId="1620529276">
    <w:abstractNumId w:val="1737"/>
  </w:num>
  <w:num w:numId="1724" w16cid:durableId="1528787168">
    <w:abstractNumId w:val="848"/>
  </w:num>
  <w:num w:numId="1725" w16cid:durableId="154272638">
    <w:abstractNumId w:val="1084"/>
  </w:num>
  <w:num w:numId="1726" w16cid:durableId="688877270">
    <w:abstractNumId w:val="654"/>
  </w:num>
  <w:num w:numId="1727" w16cid:durableId="1450931416">
    <w:abstractNumId w:val="455"/>
  </w:num>
  <w:num w:numId="1728" w16cid:durableId="1356812269">
    <w:abstractNumId w:val="353"/>
  </w:num>
  <w:num w:numId="1729" w16cid:durableId="1829058157">
    <w:abstractNumId w:val="673"/>
  </w:num>
  <w:num w:numId="1730" w16cid:durableId="645741005">
    <w:abstractNumId w:val="1964"/>
  </w:num>
  <w:num w:numId="1731" w16cid:durableId="563415263">
    <w:abstractNumId w:val="939"/>
  </w:num>
  <w:num w:numId="1732" w16cid:durableId="60756623">
    <w:abstractNumId w:val="941"/>
  </w:num>
  <w:num w:numId="1733" w16cid:durableId="654185179">
    <w:abstractNumId w:val="1655"/>
  </w:num>
  <w:num w:numId="1734" w16cid:durableId="370229436">
    <w:abstractNumId w:val="29"/>
  </w:num>
  <w:num w:numId="1735" w16cid:durableId="564099356">
    <w:abstractNumId w:val="1815"/>
  </w:num>
  <w:num w:numId="1736" w16cid:durableId="2057007292">
    <w:abstractNumId w:val="1761"/>
  </w:num>
  <w:num w:numId="1737" w16cid:durableId="849443981">
    <w:abstractNumId w:val="795"/>
  </w:num>
  <w:num w:numId="1738" w16cid:durableId="1935091845">
    <w:abstractNumId w:val="1411"/>
  </w:num>
  <w:num w:numId="1739" w16cid:durableId="1032153042">
    <w:abstractNumId w:val="650"/>
  </w:num>
  <w:num w:numId="1740" w16cid:durableId="797719614">
    <w:abstractNumId w:val="1808"/>
  </w:num>
  <w:num w:numId="1741" w16cid:durableId="1558931484">
    <w:abstractNumId w:val="741"/>
  </w:num>
  <w:num w:numId="1742" w16cid:durableId="1381322411">
    <w:abstractNumId w:val="147"/>
  </w:num>
  <w:num w:numId="1743" w16cid:durableId="1175655214">
    <w:abstractNumId w:val="50"/>
  </w:num>
  <w:num w:numId="1744" w16cid:durableId="1880707104">
    <w:abstractNumId w:val="1526"/>
  </w:num>
  <w:num w:numId="1745" w16cid:durableId="541791321">
    <w:abstractNumId w:val="406"/>
  </w:num>
  <w:num w:numId="1746" w16cid:durableId="1601334262">
    <w:abstractNumId w:val="982"/>
  </w:num>
  <w:num w:numId="1747" w16cid:durableId="479730171">
    <w:abstractNumId w:val="467"/>
  </w:num>
  <w:num w:numId="1748" w16cid:durableId="1575815144">
    <w:abstractNumId w:val="592"/>
  </w:num>
  <w:num w:numId="1749" w16cid:durableId="1868251847">
    <w:abstractNumId w:val="573"/>
  </w:num>
  <w:num w:numId="1750" w16cid:durableId="2134862016">
    <w:abstractNumId w:val="1428"/>
  </w:num>
  <w:num w:numId="1751" w16cid:durableId="1422291574">
    <w:abstractNumId w:val="1239"/>
  </w:num>
  <w:num w:numId="1752" w16cid:durableId="1712266285">
    <w:abstractNumId w:val="953"/>
  </w:num>
  <w:num w:numId="1753" w16cid:durableId="838540990">
    <w:abstractNumId w:val="1607"/>
  </w:num>
  <w:num w:numId="1754" w16cid:durableId="258148022">
    <w:abstractNumId w:val="1644"/>
  </w:num>
  <w:num w:numId="1755" w16cid:durableId="670451743">
    <w:abstractNumId w:val="788"/>
  </w:num>
  <w:num w:numId="1756" w16cid:durableId="531966625">
    <w:abstractNumId w:val="288"/>
  </w:num>
  <w:num w:numId="1757" w16cid:durableId="204293388">
    <w:abstractNumId w:val="493"/>
  </w:num>
  <w:num w:numId="1758" w16cid:durableId="824663024">
    <w:abstractNumId w:val="1880"/>
  </w:num>
  <w:num w:numId="1759" w16cid:durableId="1318798498">
    <w:abstractNumId w:val="1730"/>
  </w:num>
  <w:num w:numId="1760" w16cid:durableId="1101800224">
    <w:abstractNumId w:val="1338"/>
  </w:num>
  <w:num w:numId="1761" w16cid:durableId="700013734">
    <w:abstractNumId w:val="259"/>
  </w:num>
  <w:num w:numId="1762" w16cid:durableId="182477183">
    <w:abstractNumId w:val="1464"/>
  </w:num>
  <w:num w:numId="1763" w16cid:durableId="48308146">
    <w:abstractNumId w:val="98"/>
  </w:num>
  <w:num w:numId="1764" w16cid:durableId="548415171">
    <w:abstractNumId w:val="40"/>
  </w:num>
  <w:num w:numId="1765" w16cid:durableId="938148118">
    <w:abstractNumId w:val="138"/>
  </w:num>
  <w:num w:numId="1766" w16cid:durableId="1399480148">
    <w:abstractNumId w:val="776"/>
  </w:num>
  <w:num w:numId="1767" w16cid:durableId="1478567166">
    <w:abstractNumId w:val="1639"/>
  </w:num>
  <w:num w:numId="1768" w16cid:durableId="1763068189">
    <w:abstractNumId w:val="593"/>
  </w:num>
  <w:num w:numId="1769" w16cid:durableId="759957703">
    <w:abstractNumId w:val="449"/>
  </w:num>
  <w:num w:numId="1770" w16cid:durableId="1880437658">
    <w:abstractNumId w:val="568"/>
  </w:num>
  <w:num w:numId="1771" w16cid:durableId="1413624568">
    <w:abstractNumId w:val="1741"/>
  </w:num>
  <w:num w:numId="1772" w16cid:durableId="2135056449">
    <w:abstractNumId w:val="257"/>
  </w:num>
  <w:num w:numId="1773" w16cid:durableId="1647276197">
    <w:abstractNumId w:val="1646"/>
  </w:num>
  <w:num w:numId="1774" w16cid:durableId="936865595">
    <w:abstractNumId w:val="1041"/>
  </w:num>
  <w:num w:numId="1775" w16cid:durableId="1869757427">
    <w:abstractNumId w:val="995"/>
  </w:num>
  <w:num w:numId="1776" w16cid:durableId="322127485">
    <w:abstractNumId w:val="1204"/>
  </w:num>
  <w:num w:numId="1777" w16cid:durableId="1557936104">
    <w:abstractNumId w:val="1288"/>
  </w:num>
  <w:num w:numId="1778" w16cid:durableId="162550330">
    <w:abstractNumId w:val="1387"/>
  </w:num>
  <w:num w:numId="1779" w16cid:durableId="1047491429">
    <w:abstractNumId w:val="1744"/>
  </w:num>
  <w:num w:numId="1780" w16cid:durableId="1000237966">
    <w:abstractNumId w:val="135"/>
  </w:num>
  <w:num w:numId="1781" w16cid:durableId="2057851766">
    <w:abstractNumId w:val="1429"/>
  </w:num>
  <w:num w:numId="1782" w16cid:durableId="263853854">
    <w:abstractNumId w:val="742"/>
  </w:num>
  <w:num w:numId="1783" w16cid:durableId="21059984">
    <w:abstractNumId w:val="1374"/>
  </w:num>
  <w:num w:numId="1784" w16cid:durableId="949974621">
    <w:abstractNumId w:val="1023"/>
  </w:num>
  <w:num w:numId="1785" w16cid:durableId="353309141">
    <w:abstractNumId w:val="1033"/>
  </w:num>
  <w:num w:numId="1786" w16cid:durableId="1339499926">
    <w:abstractNumId w:val="111"/>
  </w:num>
  <w:num w:numId="1787" w16cid:durableId="534391413">
    <w:abstractNumId w:val="1801"/>
  </w:num>
  <w:num w:numId="1788" w16cid:durableId="51851947">
    <w:abstractNumId w:val="831"/>
  </w:num>
  <w:num w:numId="1789" w16cid:durableId="94061783">
    <w:abstractNumId w:val="1612"/>
  </w:num>
  <w:num w:numId="1790" w16cid:durableId="935557490">
    <w:abstractNumId w:val="758"/>
  </w:num>
  <w:num w:numId="1791" w16cid:durableId="1843818033">
    <w:abstractNumId w:val="268"/>
  </w:num>
  <w:num w:numId="1792" w16cid:durableId="246307605">
    <w:abstractNumId w:val="175"/>
  </w:num>
  <w:num w:numId="1793" w16cid:durableId="185335907">
    <w:abstractNumId w:val="1474"/>
  </w:num>
  <w:num w:numId="1794" w16cid:durableId="1056819">
    <w:abstractNumId w:val="61"/>
  </w:num>
  <w:num w:numId="1795" w16cid:durableId="127938759">
    <w:abstractNumId w:val="491"/>
  </w:num>
  <w:num w:numId="1796" w16cid:durableId="1960136423">
    <w:abstractNumId w:val="853"/>
  </w:num>
  <w:num w:numId="1797" w16cid:durableId="1256357533">
    <w:abstractNumId w:val="896"/>
  </w:num>
  <w:num w:numId="1798" w16cid:durableId="371812185">
    <w:abstractNumId w:val="584"/>
  </w:num>
  <w:num w:numId="1799" w16cid:durableId="2119828606">
    <w:abstractNumId w:val="582"/>
  </w:num>
  <w:num w:numId="1800" w16cid:durableId="382095074">
    <w:abstractNumId w:val="564"/>
  </w:num>
  <w:num w:numId="1801" w16cid:durableId="2050454526">
    <w:abstractNumId w:val="1350"/>
  </w:num>
  <w:num w:numId="1802" w16cid:durableId="869609460">
    <w:abstractNumId w:val="812"/>
  </w:num>
  <w:num w:numId="1803" w16cid:durableId="1449739056">
    <w:abstractNumId w:val="987"/>
  </w:num>
  <w:num w:numId="1804" w16cid:durableId="1190679955">
    <w:abstractNumId w:val="1329"/>
  </w:num>
  <w:num w:numId="1805" w16cid:durableId="845173072">
    <w:abstractNumId w:val="1318"/>
  </w:num>
  <w:num w:numId="1806" w16cid:durableId="870919373">
    <w:abstractNumId w:val="140"/>
  </w:num>
  <w:num w:numId="1807" w16cid:durableId="1732775202">
    <w:abstractNumId w:val="1274"/>
  </w:num>
  <w:num w:numId="1808" w16cid:durableId="310402829">
    <w:abstractNumId w:val="1783"/>
  </w:num>
  <w:num w:numId="1809" w16cid:durableId="820737454">
    <w:abstractNumId w:val="556"/>
  </w:num>
  <w:num w:numId="1810" w16cid:durableId="1575583430">
    <w:abstractNumId w:val="1972"/>
  </w:num>
  <w:num w:numId="1811" w16cid:durableId="1175732635">
    <w:abstractNumId w:val="81"/>
  </w:num>
  <w:num w:numId="1812" w16cid:durableId="277875488">
    <w:abstractNumId w:val="154"/>
  </w:num>
  <w:num w:numId="1813" w16cid:durableId="81490772">
    <w:abstractNumId w:val="1469"/>
  </w:num>
  <w:num w:numId="1814" w16cid:durableId="1002121171">
    <w:abstractNumId w:val="571"/>
  </w:num>
  <w:num w:numId="1815" w16cid:durableId="1948391277">
    <w:abstractNumId w:val="729"/>
  </w:num>
  <w:num w:numId="1816" w16cid:durableId="2025789021">
    <w:abstractNumId w:val="705"/>
  </w:num>
  <w:num w:numId="1817" w16cid:durableId="592856845">
    <w:abstractNumId w:val="1747"/>
  </w:num>
  <w:num w:numId="1818" w16cid:durableId="89470637">
    <w:abstractNumId w:val="1289"/>
  </w:num>
  <w:num w:numId="1819" w16cid:durableId="1160777588">
    <w:abstractNumId w:val="985"/>
  </w:num>
  <w:num w:numId="1820" w16cid:durableId="1973829854">
    <w:abstractNumId w:val="832"/>
  </w:num>
  <w:num w:numId="1821" w16cid:durableId="1217159457">
    <w:abstractNumId w:val="333"/>
  </w:num>
  <w:num w:numId="1822" w16cid:durableId="1753896425">
    <w:abstractNumId w:val="567"/>
  </w:num>
  <w:num w:numId="1823" w16cid:durableId="347290602">
    <w:abstractNumId w:val="276"/>
  </w:num>
  <w:num w:numId="1824" w16cid:durableId="1176922759">
    <w:abstractNumId w:val="798"/>
  </w:num>
  <w:num w:numId="1825" w16cid:durableId="465438079">
    <w:abstractNumId w:val="760"/>
  </w:num>
  <w:num w:numId="1826" w16cid:durableId="302008463">
    <w:abstractNumId w:val="289"/>
  </w:num>
  <w:num w:numId="1827" w16cid:durableId="1767387012">
    <w:abstractNumId w:val="193"/>
  </w:num>
  <w:num w:numId="1828" w16cid:durableId="475606779">
    <w:abstractNumId w:val="1266"/>
  </w:num>
  <w:num w:numId="1829" w16cid:durableId="474874658">
    <w:abstractNumId w:val="751"/>
  </w:num>
  <w:num w:numId="1830" w16cid:durableId="1374116115">
    <w:abstractNumId w:val="460"/>
  </w:num>
  <w:num w:numId="1831" w16cid:durableId="139927796">
    <w:abstractNumId w:val="738"/>
  </w:num>
  <w:num w:numId="1832" w16cid:durableId="1655137357">
    <w:abstractNumId w:val="1004"/>
  </w:num>
  <w:num w:numId="1833" w16cid:durableId="1016537868">
    <w:abstractNumId w:val="1809"/>
  </w:num>
  <w:num w:numId="1834" w16cid:durableId="1138108608">
    <w:abstractNumId w:val="1970"/>
  </w:num>
  <w:num w:numId="1835" w16cid:durableId="295457859">
    <w:abstractNumId w:val="307"/>
  </w:num>
  <w:num w:numId="1836" w16cid:durableId="1213035639">
    <w:abstractNumId w:val="1511"/>
  </w:num>
  <w:num w:numId="1837" w16cid:durableId="1249120535">
    <w:abstractNumId w:val="480"/>
  </w:num>
  <w:num w:numId="1838" w16cid:durableId="1231114885">
    <w:abstractNumId w:val="724"/>
  </w:num>
  <w:num w:numId="1839" w16cid:durableId="308365086">
    <w:abstractNumId w:val="235"/>
  </w:num>
  <w:num w:numId="1840" w16cid:durableId="86966321">
    <w:abstractNumId w:val="643"/>
  </w:num>
  <w:num w:numId="1841" w16cid:durableId="47531161">
    <w:abstractNumId w:val="99"/>
  </w:num>
  <w:num w:numId="1842" w16cid:durableId="1823882879">
    <w:abstractNumId w:val="1787"/>
  </w:num>
  <w:num w:numId="1843" w16cid:durableId="1166358519">
    <w:abstractNumId w:val="1931"/>
  </w:num>
  <w:num w:numId="1844" w16cid:durableId="1164318712">
    <w:abstractNumId w:val="879"/>
  </w:num>
  <w:num w:numId="1845" w16cid:durableId="1073813086">
    <w:abstractNumId w:val="1502"/>
  </w:num>
  <w:num w:numId="1846" w16cid:durableId="1082918054">
    <w:abstractNumId w:val="1584"/>
  </w:num>
  <w:num w:numId="1847" w16cid:durableId="1942103218">
    <w:abstractNumId w:val="1332"/>
  </w:num>
  <w:num w:numId="1848" w16cid:durableId="2020691978">
    <w:abstractNumId w:val="537"/>
  </w:num>
  <w:num w:numId="1849" w16cid:durableId="1730641254">
    <w:abstractNumId w:val="265"/>
  </w:num>
  <w:num w:numId="1850" w16cid:durableId="2131779856">
    <w:abstractNumId w:val="1071"/>
  </w:num>
  <w:num w:numId="1851" w16cid:durableId="1910194374">
    <w:abstractNumId w:val="236"/>
  </w:num>
  <w:num w:numId="1852" w16cid:durableId="544029991">
    <w:abstractNumId w:val="1185"/>
  </w:num>
  <w:num w:numId="1853" w16cid:durableId="1423917234">
    <w:abstractNumId w:val="189"/>
  </w:num>
  <w:num w:numId="1854" w16cid:durableId="640888325">
    <w:abstractNumId w:val="1388"/>
  </w:num>
  <w:num w:numId="1855" w16cid:durableId="917398789">
    <w:abstractNumId w:val="517"/>
  </w:num>
  <w:num w:numId="1856" w16cid:durableId="916136357">
    <w:abstractNumId w:val="1732"/>
  </w:num>
  <w:num w:numId="1857" w16cid:durableId="1643075323">
    <w:abstractNumId w:val="372"/>
  </w:num>
  <w:num w:numId="1858" w16cid:durableId="802499482">
    <w:abstractNumId w:val="1488"/>
  </w:num>
  <w:num w:numId="1859" w16cid:durableId="1626621779">
    <w:abstractNumId w:val="1896"/>
  </w:num>
  <w:num w:numId="1860" w16cid:durableId="2041204912">
    <w:abstractNumId w:val="1187"/>
  </w:num>
  <w:num w:numId="1861" w16cid:durableId="723911454">
    <w:abstractNumId w:val="302"/>
  </w:num>
  <w:num w:numId="1862" w16cid:durableId="1430539138">
    <w:abstractNumId w:val="1863"/>
  </w:num>
  <w:num w:numId="1863" w16cid:durableId="2010326303">
    <w:abstractNumId w:val="1615"/>
  </w:num>
  <w:num w:numId="1864" w16cid:durableId="1056974275">
    <w:abstractNumId w:val="775"/>
  </w:num>
  <w:num w:numId="1865" w16cid:durableId="1920669920">
    <w:abstractNumId w:val="468"/>
  </w:num>
  <w:num w:numId="1866" w16cid:durableId="84696843">
    <w:abstractNumId w:val="1869"/>
  </w:num>
  <w:num w:numId="1867" w16cid:durableId="15935489">
    <w:abstractNumId w:val="1342"/>
  </w:num>
  <w:num w:numId="1868" w16cid:durableId="2074502776">
    <w:abstractNumId w:val="1559"/>
  </w:num>
  <w:num w:numId="1869" w16cid:durableId="1678772441">
    <w:abstractNumId w:val="1826"/>
  </w:num>
  <w:num w:numId="1870" w16cid:durableId="769357038">
    <w:abstractNumId w:val="500"/>
  </w:num>
  <w:num w:numId="1871" w16cid:durableId="319891348">
    <w:abstractNumId w:val="867"/>
  </w:num>
  <w:num w:numId="1872" w16cid:durableId="493447937">
    <w:abstractNumId w:val="1027"/>
  </w:num>
  <w:num w:numId="1873" w16cid:durableId="1575623696">
    <w:abstractNumId w:val="902"/>
  </w:num>
  <w:num w:numId="1874" w16cid:durableId="1018627787">
    <w:abstractNumId w:val="672"/>
  </w:num>
  <w:num w:numId="1875" w16cid:durableId="1106194581">
    <w:abstractNumId w:val="213"/>
  </w:num>
  <w:num w:numId="1876" w16cid:durableId="208153826">
    <w:abstractNumId w:val="1839"/>
  </w:num>
  <w:num w:numId="1877" w16cid:durableId="604458323">
    <w:abstractNumId w:val="963"/>
  </w:num>
  <w:num w:numId="1878" w16cid:durableId="872572275">
    <w:abstractNumId w:val="113"/>
  </w:num>
  <w:num w:numId="1879" w16cid:durableId="679702731">
    <w:abstractNumId w:val="167"/>
  </w:num>
  <w:num w:numId="1880" w16cid:durableId="1626303040">
    <w:abstractNumId w:val="21"/>
  </w:num>
  <w:num w:numId="1881" w16cid:durableId="1881548366">
    <w:abstractNumId w:val="303"/>
  </w:num>
  <w:num w:numId="1882" w16cid:durableId="1004281787">
    <w:abstractNumId w:val="1270"/>
  </w:num>
  <w:num w:numId="1883" w16cid:durableId="247734471">
    <w:abstractNumId w:val="762"/>
  </w:num>
  <w:num w:numId="1884" w16cid:durableId="396822722">
    <w:abstractNumId w:val="1652"/>
  </w:num>
  <w:num w:numId="1885" w16cid:durableId="631138625">
    <w:abstractNumId w:val="78"/>
  </w:num>
  <w:num w:numId="1886" w16cid:durableId="660544193">
    <w:abstractNumId w:val="730"/>
  </w:num>
  <w:num w:numId="1887" w16cid:durableId="414591887">
    <w:abstractNumId w:val="913"/>
  </w:num>
  <w:num w:numId="1888" w16cid:durableId="1409377031">
    <w:abstractNumId w:val="1921"/>
  </w:num>
  <w:num w:numId="1889" w16cid:durableId="1281179668">
    <w:abstractNumId w:val="1177"/>
  </w:num>
  <w:num w:numId="1890" w16cid:durableId="4939252">
    <w:abstractNumId w:val="348"/>
  </w:num>
  <w:num w:numId="1891" w16cid:durableId="442118683">
    <w:abstractNumId w:val="1974"/>
  </w:num>
  <w:num w:numId="1892" w16cid:durableId="2020958429">
    <w:abstractNumId w:val="131"/>
  </w:num>
  <w:num w:numId="1893" w16cid:durableId="920411690">
    <w:abstractNumId w:val="1201"/>
  </w:num>
  <w:num w:numId="1894" w16cid:durableId="1176336511">
    <w:abstractNumId w:val="1562"/>
  </w:num>
  <w:num w:numId="1895" w16cid:durableId="1670865209">
    <w:abstractNumId w:val="1376"/>
  </w:num>
  <w:num w:numId="1896" w16cid:durableId="191383821">
    <w:abstractNumId w:val="1928"/>
  </w:num>
  <w:num w:numId="1897" w16cid:durableId="1213270548">
    <w:abstractNumId w:val="180"/>
  </w:num>
  <w:num w:numId="1898" w16cid:durableId="1120224474">
    <w:abstractNumId w:val="1253"/>
  </w:num>
  <w:num w:numId="1899" w16cid:durableId="864517302">
    <w:abstractNumId w:val="1417"/>
  </w:num>
  <w:num w:numId="1900" w16cid:durableId="372655655">
    <w:abstractNumId w:val="817"/>
  </w:num>
  <w:num w:numId="1901" w16cid:durableId="280889971">
    <w:abstractNumId w:val="533"/>
  </w:num>
  <w:num w:numId="1902" w16cid:durableId="235094069">
    <w:abstractNumId w:val="1819"/>
  </w:num>
  <w:num w:numId="1903" w16cid:durableId="202181068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4" w16cid:durableId="1032918399">
    <w:abstractNumId w:val="1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5" w16cid:durableId="1785996090">
    <w:abstractNumId w:val="1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6" w16cid:durableId="786895831">
    <w:abstractNumId w:val="1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7" w16cid:durableId="1457331893">
    <w:abstractNumId w:val="1845"/>
  </w:num>
  <w:num w:numId="1908" w16cid:durableId="1195146950">
    <w:abstractNumId w:val="649"/>
  </w:num>
  <w:num w:numId="1909" w16cid:durableId="1060442995">
    <w:abstractNumId w:val="357"/>
  </w:num>
  <w:num w:numId="1910" w16cid:durableId="1770350689">
    <w:abstractNumId w:val="1026"/>
  </w:num>
  <w:num w:numId="1911" w16cid:durableId="229313373">
    <w:abstractNumId w:val="1414"/>
  </w:num>
  <w:num w:numId="1912" w16cid:durableId="689143367">
    <w:abstractNumId w:val="1349"/>
  </w:num>
  <w:num w:numId="1913" w16cid:durableId="1222868438">
    <w:abstractNumId w:val="1294"/>
  </w:num>
  <w:num w:numId="1914" w16cid:durableId="1286811285">
    <w:abstractNumId w:val="1506"/>
  </w:num>
  <w:num w:numId="1915" w16cid:durableId="949320081">
    <w:abstractNumId w:val="1605"/>
  </w:num>
  <w:num w:numId="1916" w16cid:durableId="1866402142">
    <w:abstractNumId w:val="1180"/>
  </w:num>
  <w:num w:numId="1917" w16cid:durableId="317349560">
    <w:abstractNumId w:val="359"/>
  </w:num>
  <w:num w:numId="1918" w16cid:durableId="2045789742">
    <w:abstractNumId w:val="397"/>
  </w:num>
  <w:num w:numId="1919" w16cid:durableId="377894162">
    <w:abstractNumId w:val="846"/>
  </w:num>
  <w:num w:numId="1920" w16cid:durableId="902103411">
    <w:abstractNumId w:val="161"/>
  </w:num>
  <w:num w:numId="1921" w16cid:durableId="1318459285">
    <w:abstractNumId w:val="1971"/>
  </w:num>
  <w:num w:numId="1922" w16cid:durableId="1607155966">
    <w:abstractNumId w:val="927"/>
  </w:num>
  <w:num w:numId="1923" w16cid:durableId="182403127">
    <w:abstractNumId w:val="1894"/>
  </w:num>
  <w:num w:numId="1924" w16cid:durableId="910967233">
    <w:abstractNumId w:val="912"/>
  </w:num>
  <w:num w:numId="1925" w16cid:durableId="1193615605">
    <w:abstractNumId w:val="599"/>
  </w:num>
  <w:num w:numId="1926" w16cid:durableId="450907322">
    <w:abstractNumId w:val="1112"/>
  </w:num>
  <w:num w:numId="1927" w16cid:durableId="1347101589">
    <w:abstractNumId w:val="201"/>
  </w:num>
  <w:num w:numId="1928" w16cid:durableId="1107508987">
    <w:abstractNumId w:val="1900"/>
  </w:num>
  <w:num w:numId="1929" w16cid:durableId="1400588800">
    <w:abstractNumId w:val="988"/>
  </w:num>
  <w:num w:numId="1930" w16cid:durableId="376900185">
    <w:abstractNumId w:val="1636"/>
  </w:num>
  <w:num w:numId="1931" w16cid:durableId="743186354">
    <w:abstractNumId w:val="239"/>
  </w:num>
  <w:num w:numId="1932" w16cid:durableId="773987707">
    <w:abstractNumId w:val="172"/>
  </w:num>
  <w:num w:numId="1933" w16cid:durableId="826089521">
    <w:abstractNumId w:val="763"/>
  </w:num>
  <w:num w:numId="1934" w16cid:durableId="503860390">
    <w:abstractNumId w:val="1953"/>
  </w:num>
  <w:num w:numId="1935" w16cid:durableId="1246647762">
    <w:abstractNumId w:val="1105"/>
  </w:num>
  <w:num w:numId="1936" w16cid:durableId="455488117">
    <w:abstractNumId w:val="304"/>
  </w:num>
  <w:num w:numId="1937" w16cid:durableId="1917281863">
    <w:abstractNumId w:val="1054"/>
  </w:num>
  <w:num w:numId="1938" w16cid:durableId="198326955">
    <w:abstractNumId w:val="148"/>
  </w:num>
  <w:num w:numId="1939" w16cid:durableId="1810780597">
    <w:abstractNumId w:val="1668"/>
  </w:num>
  <w:num w:numId="1940" w16cid:durableId="1531606745">
    <w:abstractNumId w:val="1259"/>
  </w:num>
  <w:num w:numId="1941" w16cid:durableId="974069764">
    <w:abstractNumId w:val="740"/>
  </w:num>
  <w:num w:numId="1942" w16cid:durableId="2117556957">
    <w:abstractNumId w:val="1599"/>
  </w:num>
  <w:num w:numId="1943" w16cid:durableId="694501258">
    <w:abstractNumId w:val="1529"/>
  </w:num>
  <w:num w:numId="1944" w16cid:durableId="1339502643">
    <w:abstractNumId w:val="1517"/>
  </w:num>
  <w:num w:numId="1945" w16cid:durableId="1497106867">
    <w:abstractNumId w:val="32"/>
  </w:num>
  <w:num w:numId="1946" w16cid:durableId="1079406580">
    <w:abstractNumId w:val="1002"/>
  </w:num>
  <w:num w:numId="1947" w16cid:durableId="686249098">
    <w:abstractNumId w:val="191"/>
  </w:num>
  <w:num w:numId="1948" w16cid:durableId="2020307664">
    <w:abstractNumId w:val="1223"/>
  </w:num>
  <w:num w:numId="1949" w16cid:durableId="1750034091">
    <w:abstractNumId w:val="1910"/>
  </w:num>
  <w:num w:numId="1950" w16cid:durableId="110439359">
    <w:abstractNumId w:val="755"/>
  </w:num>
  <w:num w:numId="1951" w16cid:durableId="2118326827">
    <w:abstractNumId w:val="1780"/>
  </w:num>
  <w:num w:numId="1952" w16cid:durableId="412361594">
    <w:abstractNumId w:val="1521"/>
  </w:num>
  <w:num w:numId="1953" w16cid:durableId="1087507695">
    <w:abstractNumId w:val="840"/>
  </w:num>
  <w:num w:numId="1954" w16cid:durableId="1559592911">
    <w:abstractNumId w:val="1300"/>
  </w:num>
  <w:num w:numId="1955" w16cid:durableId="79764534">
    <w:abstractNumId w:val="1137"/>
  </w:num>
  <w:num w:numId="1956" w16cid:durableId="26954281">
    <w:abstractNumId w:val="1363"/>
  </w:num>
  <w:num w:numId="1957" w16cid:durableId="1447846837">
    <w:abstractNumId w:val="717"/>
  </w:num>
  <w:num w:numId="1958" w16cid:durableId="1470509718">
    <w:abstractNumId w:val="669"/>
  </w:num>
  <w:num w:numId="1959" w16cid:durableId="1645306976">
    <w:abstractNumId w:val="1707"/>
  </w:num>
  <w:num w:numId="1960" w16cid:durableId="150341376">
    <w:abstractNumId w:val="323"/>
  </w:num>
  <w:num w:numId="1961" w16cid:durableId="1171868127">
    <w:abstractNumId w:val="1946"/>
  </w:num>
  <w:num w:numId="1962" w16cid:durableId="917061535">
    <w:abstractNumId w:val="142"/>
  </w:num>
  <w:num w:numId="1963" w16cid:durableId="175386493">
    <w:abstractNumId w:val="20"/>
  </w:num>
  <w:num w:numId="1964" w16cid:durableId="70742212">
    <w:abstractNumId w:val="1459"/>
  </w:num>
  <w:num w:numId="1965" w16cid:durableId="1457410186">
    <w:abstractNumId w:val="1355"/>
  </w:num>
  <w:num w:numId="1966" w16cid:durableId="2128967861">
    <w:abstractNumId w:val="13"/>
  </w:num>
  <w:num w:numId="1967" w16cid:durableId="2070566165">
    <w:abstractNumId w:val="616"/>
  </w:num>
  <w:num w:numId="1968" w16cid:durableId="1429040399">
    <w:abstractNumId w:val="959"/>
  </w:num>
  <w:num w:numId="1969" w16cid:durableId="779571828">
    <w:abstractNumId w:val="1585"/>
  </w:num>
  <w:num w:numId="1970" w16cid:durableId="2144500184">
    <w:abstractNumId w:val="882"/>
  </w:num>
  <w:num w:numId="1971" w16cid:durableId="798570698">
    <w:abstractNumId w:val="1158"/>
  </w:num>
  <w:num w:numId="1972" w16cid:durableId="1409695845">
    <w:abstractNumId w:val="384"/>
  </w:num>
  <w:num w:numId="1973" w16cid:durableId="522672657">
    <w:abstractNumId w:val="1540"/>
  </w:num>
  <w:num w:numId="1974" w16cid:durableId="2099977584">
    <w:abstractNumId w:val="56"/>
  </w:num>
  <w:num w:numId="1975" w16cid:durableId="362749652">
    <w:abstractNumId w:val="1789"/>
  </w:num>
  <w:num w:numId="1976" w16cid:durableId="1445928721">
    <w:abstractNumId w:val="656"/>
  </w:num>
  <w:num w:numId="1977" w16cid:durableId="281035390">
    <w:abstractNumId w:val="1370"/>
  </w:num>
  <w:num w:numId="1978" w16cid:durableId="683290887">
    <w:abstractNumId w:val="1857"/>
  </w:num>
  <w:num w:numId="1979" w16cid:durableId="410201478">
    <w:abstractNumId w:val="1154"/>
  </w:num>
  <w:num w:numId="1980" w16cid:durableId="835539249">
    <w:abstractNumId w:val="529"/>
  </w:num>
  <w:num w:numId="1981" w16cid:durableId="2128348605">
    <w:abstractNumId w:val="476"/>
  </w:num>
  <w:num w:numId="1982" w16cid:durableId="1629968333">
    <w:abstractNumId w:val="376"/>
  </w:num>
  <w:num w:numId="1983" w16cid:durableId="177428044">
    <w:abstractNumId w:val="821"/>
  </w:num>
  <w:num w:numId="1984" w16cid:durableId="1781952953">
    <w:abstractNumId w:val="1740"/>
  </w:num>
  <w:num w:numId="1985" w16cid:durableId="471753722">
    <w:abstractNumId w:val="1551"/>
  </w:num>
  <w:num w:numId="1986" w16cid:durableId="930545668">
    <w:abstractNumId w:val="1935"/>
  </w:num>
  <w:num w:numId="1987" w16cid:durableId="1127236818">
    <w:abstractNumId w:val="153"/>
  </w:num>
  <w:num w:numId="1988" w16cid:durableId="1983079961">
    <w:abstractNumId w:val="1901"/>
  </w:num>
  <w:num w:numId="1989" w16cid:durableId="281889790">
    <w:abstractNumId w:val="1583"/>
  </w:num>
  <w:num w:numId="1990" w16cid:durableId="250820913">
    <w:abstractNumId w:val="1340"/>
  </w:num>
  <w:num w:numId="1991" w16cid:durableId="1046416677">
    <w:abstractNumId w:val="1104"/>
  </w:num>
  <w:num w:numId="1992" w16cid:durableId="1672223174">
    <w:abstractNumId w:val="947"/>
  </w:num>
  <w:num w:numId="1993" w16cid:durableId="1937472067">
    <w:abstractNumId w:val="883"/>
  </w:num>
  <w:num w:numId="1994" w16cid:durableId="921643381">
    <w:abstractNumId w:val="1353"/>
  </w:num>
  <w:num w:numId="1995" w16cid:durableId="417945787">
    <w:abstractNumId w:val="484"/>
  </w:num>
  <w:num w:numId="1996" w16cid:durableId="920526951">
    <w:abstractNumId w:val="608"/>
  </w:num>
  <w:num w:numId="1997" w16cid:durableId="1396123601">
    <w:abstractNumId w:val="1552"/>
  </w:num>
  <w:num w:numId="1998" w16cid:durableId="782385503">
    <w:abstractNumId w:val="539"/>
  </w:num>
  <w:num w:numId="1999" w16cid:durableId="676421167">
    <w:abstractNumId w:val="648"/>
  </w:num>
  <w:num w:numId="2000" w16cid:durableId="1894460985">
    <w:abstractNumId w:val="1481"/>
  </w:num>
  <w:num w:numId="2001" w16cid:durableId="1775784956">
    <w:abstractNumId w:val="1101"/>
  </w:num>
  <w:num w:numId="2002" w16cid:durableId="588347805">
    <w:abstractNumId w:val="41"/>
  </w:num>
  <w:num w:numId="2003" w16cid:durableId="1495417948">
    <w:abstractNumId w:val="664"/>
  </w:num>
  <w:num w:numId="2004" w16cid:durableId="916934935">
    <w:abstractNumId w:val="715"/>
  </w:num>
  <w:num w:numId="2005" w16cid:durableId="495923180">
    <w:abstractNumId w:val="1558"/>
  </w:num>
  <w:num w:numId="2006" w16cid:durableId="783157121">
    <w:abstractNumId w:val="894"/>
  </w:num>
  <w:num w:numId="2007" w16cid:durableId="130950556">
    <w:abstractNumId w:val="1122"/>
  </w:num>
  <w:num w:numId="2008" w16cid:durableId="147089786">
    <w:abstractNumId w:val="31"/>
  </w:num>
  <w:num w:numId="2009" w16cid:durableId="1100875984">
    <w:abstractNumId w:val="704"/>
  </w:num>
  <w:num w:numId="2010" w16cid:durableId="1062220238">
    <w:abstractNumId w:val="752"/>
  </w:num>
  <w:num w:numId="2011" w16cid:durableId="1927498648">
    <w:abstractNumId w:val="743"/>
  </w:num>
  <w:num w:numId="2012" w16cid:durableId="1461454117">
    <w:abstractNumId w:val="834"/>
  </w:num>
  <w:num w:numId="2013" w16cid:durableId="448160229">
    <w:abstractNumId w:val="1573"/>
  </w:num>
  <w:num w:numId="2014" w16cid:durableId="1416823496">
    <w:abstractNumId w:val="782"/>
  </w:num>
  <w:num w:numId="2015" w16cid:durableId="1355884506">
    <w:abstractNumId w:val="898"/>
  </w:num>
  <w:num w:numId="2016" w16cid:durableId="422796897">
    <w:abstractNumId w:val="1564"/>
  </w:num>
  <w:num w:numId="2017" w16cid:durableId="2093698804">
    <w:abstractNumId w:val="1025"/>
  </w:num>
  <w:num w:numId="2018" w16cid:durableId="599728512">
    <w:abstractNumId w:val="554"/>
  </w:num>
  <w:num w:numId="2019" w16cid:durableId="1970819183">
    <w:abstractNumId w:val="1649"/>
  </w:num>
  <w:num w:numId="2020" w16cid:durableId="1863199661">
    <w:abstractNumId w:val="1957"/>
  </w:num>
  <w:num w:numId="2021" w16cid:durableId="1255747176">
    <w:abstractNumId w:val="695"/>
  </w:num>
  <w:num w:numId="2022" w16cid:durableId="398066043">
    <w:abstractNumId w:val="701"/>
  </w:num>
  <w:num w:numId="2023" w16cid:durableId="1791897311">
    <w:abstractNumId w:val="1541"/>
  </w:num>
  <w:num w:numId="2024" w16cid:durableId="1864711756">
    <w:abstractNumId w:val="305"/>
  </w:num>
  <w:num w:numId="2025" w16cid:durableId="513568936">
    <w:abstractNumId w:val="15"/>
  </w:num>
  <w:num w:numId="2026" w16cid:durableId="931553423">
    <w:abstractNumId w:val="380"/>
  </w:num>
  <w:num w:numId="2027" w16cid:durableId="612514894">
    <w:abstractNumId w:val="847"/>
  </w:num>
  <w:num w:numId="2028" w16cid:durableId="1270164302">
    <w:abstractNumId w:val="1696"/>
  </w:num>
  <w:num w:numId="2029" w16cid:durableId="2125609294">
    <w:abstractNumId w:val="1150"/>
  </w:num>
  <w:num w:numId="2030" w16cid:durableId="699621727">
    <w:abstractNumId w:val="728"/>
  </w:num>
  <w:num w:numId="2031" w16cid:durableId="1209415042">
    <w:abstractNumId w:val="665"/>
  </w:num>
  <w:num w:numId="2032" w16cid:durableId="123814007">
    <w:abstractNumId w:val="1383"/>
  </w:num>
  <w:num w:numId="2033" w16cid:durableId="1410887279">
    <w:abstractNumId w:val="224"/>
  </w:num>
  <w:num w:numId="2034" w16cid:durableId="1491553439">
    <w:abstractNumId w:val="25"/>
  </w:num>
  <w:num w:numId="2035" w16cid:durableId="974218739">
    <w:abstractNumId w:val="569"/>
  </w:num>
  <w:num w:numId="2036" w16cid:durableId="1465151821">
    <w:abstractNumId w:val="1621"/>
  </w:num>
  <w:num w:numId="2037" w16cid:durableId="1564289808">
    <w:abstractNumId w:val="1769"/>
  </w:num>
  <w:num w:numId="2038" w16cid:durableId="846208738">
    <w:abstractNumId w:val="170"/>
  </w:num>
  <w:num w:numId="2039" w16cid:durableId="1827239293">
    <w:abstractNumId w:val="1321"/>
  </w:num>
  <w:num w:numId="2040" w16cid:durableId="415244446">
    <w:abstractNumId w:val="231"/>
  </w:num>
  <w:num w:numId="2041" w16cid:durableId="232784064">
    <w:abstractNumId w:val="1098"/>
  </w:num>
  <w:num w:numId="2042" w16cid:durableId="2104953008">
    <w:abstractNumId w:val="1586"/>
  </w:num>
  <w:num w:numId="2043" w16cid:durableId="157692603">
    <w:abstractNumId w:val="1872"/>
  </w:num>
  <w:num w:numId="2044" w16cid:durableId="1719936660">
    <w:abstractNumId w:val="1673"/>
  </w:num>
  <w:num w:numId="2045" w16cid:durableId="632173594">
    <w:abstractNumId w:val="1155"/>
  </w:num>
  <w:num w:numId="2046" w16cid:durableId="190463795">
    <w:abstractNumId w:val="1334"/>
  </w:num>
  <w:num w:numId="2047" w16cid:durableId="1106118091">
    <w:abstractNumId w:val="16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8F0C39"/>
    <w:rsid w:val="006C40C1"/>
    <w:rsid w:val="008F0C39"/>
    <w:rsid w:val="00AA5D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5C9685-7F95-4D52-AC6E-7DBE8F42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aliases w:val="KursivRubrik"/>
    <w:basedOn w:val="Rubrik3"/>
    <w:next w:val="Normal"/>
    <w:qFormat/>
    <w:pPr>
      <w:spacing w:before="250"/>
      <w:outlineLvl w:val="3"/>
    </w:pPr>
    <w:rPr>
      <w:b w:val="0"/>
      <w:i/>
    </w:rPr>
  </w:style>
  <w:style w:type="paragraph" w:styleId="Rubrik5">
    <w:name w:val="heading 5"/>
    <w:aliases w:val="PackadFetRubrik,PackadKursivRubrik"/>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aliases w:val="SFS Fotnots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medindrag">
    <w:name w:val="Body Text Indent"/>
    <w:basedOn w:val="Brdtext"/>
    <w:semiHidden/>
    <w:pPr>
      <w:ind w:firstLine="227"/>
    </w:p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LagRubrik2">
    <w:name w:val="Lag Rubrik 2"/>
    <w:basedOn w:val="Normal"/>
    <w:next w:val="Brdtext"/>
    <w:pPr>
      <w:overflowPunct w:val="0"/>
      <w:autoSpaceDE w:val="0"/>
      <w:autoSpaceDN w:val="0"/>
      <w:adjustRightInd w:val="0"/>
      <w:spacing w:before="0" w:line="240" w:lineRule="atLeast"/>
      <w:jc w:val="left"/>
      <w:textAlignment w:val="baseline"/>
    </w:pPr>
    <w:rPr>
      <w:i/>
      <w:spacing w:val="-2"/>
      <w:kern w:val="16"/>
      <w:sz w:val="22"/>
    </w:rPr>
  </w:style>
  <w:style w:type="paragraph" w:customStyle="1" w:styleId="TabellAnslag">
    <w:name w:val="Tabell Anslag"/>
    <w:basedOn w:val="Tabell"/>
    <w:pPr>
      <w:spacing w:before="60" w:after="20"/>
    </w:pPr>
    <w:rPr>
      <w:sz w:val="18"/>
    </w:rPr>
  </w:style>
  <w:style w:type="paragraph" w:customStyle="1" w:styleId="Tabell">
    <w:name w:val="Tabell"/>
    <w:basedOn w:val="Brdtext"/>
    <w:pPr>
      <w:spacing w:line="200" w:lineRule="exact"/>
      <w:jc w:val="left"/>
    </w:pPr>
    <w:rPr>
      <w:rFonts w:ascii="TradeGothic CondEighteen" w:hAnsi="TradeGothic CondEighteen"/>
      <w:spacing w:val="8"/>
      <w:sz w:val="16"/>
    </w:rPr>
  </w:style>
  <w:style w:type="paragraph" w:customStyle="1" w:styleId="Tabellfrklaring">
    <w:name w:val="Tabellförklaring"/>
    <w:basedOn w:val="Normal"/>
    <w:pPr>
      <w:keepNext/>
      <w:keepLines/>
      <w:spacing w:before="60" w:after="60" w:line="240" w:lineRule="auto"/>
    </w:pPr>
    <w:rPr>
      <w:sz w:val="14"/>
    </w:rPr>
  </w:style>
  <w:style w:type="paragraph" w:customStyle="1" w:styleId="FiU1tabellrubrik2000">
    <w:name w:val="FiU1 tabellrubrik 2000"/>
    <w:basedOn w:val="Normal"/>
    <w:next w:val="Normal"/>
    <w:pPr>
      <w:spacing w:before="300" w:line="300" w:lineRule="exact"/>
    </w:pPr>
    <w:rPr>
      <w:b/>
      <w:sz w:val="17"/>
    </w:rPr>
  </w:style>
  <w:style w:type="paragraph" w:customStyle="1" w:styleId="TabellfrklaringFiU20">
    <w:name w:val="Tabellförklaring FiU20"/>
    <w:basedOn w:val="Tabell"/>
    <w:pPr>
      <w:keepNext/>
      <w:keepLines/>
      <w:overflowPunct/>
      <w:autoSpaceDE/>
      <w:autoSpaceDN/>
      <w:adjustRightInd/>
      <w:spacing w:before="60" w:after="60" w:line="240" w:lineRule="auto"/>
      <w:jc w:val="both"/>
      <w:textAlignment w:val="auto"/>
    </w:pPr>
    <w:rPr>
      <w:rFonts w:ascii="Times New Roman" w:hAnsi="Times New Roman"/>
      <w:spacing w:val="0"/>
      <w:sz w:val="14"/>
    </w:rPr>
  </w:style>
  <w:style w:type="character" w:styleId="AnvndHyperlnk">
    <w:name w:val="FollowedHyperlink"/>
    <w:basedOn w:val="Standardstycketeckensnitt"/>
    <w:semiHidden/>
    <w:rPr>
      <w:color w:val="800080"/>
      <w:u w:val="single"/>
    </w:rPr>
  </w:style>
  <w:style w:type="paragraph" w:customStyle="1" w:styleId="Reservationstabell">
    <w:name w:val="Reservationstabell"/>
    <w:basedOn w:val="Tabellrubrik"/>
    <w:next w:val="Normal"/>
    <w:rPr>
      <w:b/>
      <w:caps w:val="0"/>
      <w:spacing w:val="0"/>
      <w:sz w:val="16"/>
    </w:rPr>
  </w:style>
  <w:style w:type="character" w:customStyle="1" w:styleId="Typewriter">
    <w:name w:val="Typewriter"/>
    <w:rPr>
      <w:rFonts w:ascii="Courier New" w:hAnsi="Courier New"/>
      <w:sz w:val="20"/>
    </w:rPr>
  </w:style>
  <w:style w:type="paragraph" w:customStyle="1" w:styleId="Reservationer-underrubrik">
    <w:name w:val="Reservationer - underrubrik"/>
    <w:basedOn w:val="Normal"/>
    <w:pPr>
      <w:keepNext/>
      <w:keepLines/>
      <w:suppressAutoHyphens/>
      <w:spacing w:before="190" w:after="60" w:line="250" w:lineRule="exact"/>
      <w:jc w:val="left"/>
      <w:outlineLvl w:val="2"/>
    </w:pPr>
    <w:rPr>
      <w:i/>
      <w:noProof/>
      <w:sz w:val="21"/>
    </w:rPr>
  </w:style>
  <w:style w:type="paragraph" w:customStyle="1" w:styleId="Normalfrsta">
    <w:name w:val="Normal första"/>
    <w:basedOn w:val="Normal"/>
    <w:next w:val="Normal"/>
    <w:pPr>
      <w:spacing w:before="120" w:line="240" w:lineRule="auto"/>
      <w:jc w:val="left"/>
    </w:pPr>
    <w:rPr>
      <w:sz w:val="24"/>
    </w:rPr>
  </w:style>
  <w:style w:type="paragraph" w:customStyle="1" w:styleId="NormaltindragNormalindragNormalIndrag">
    <w:name w:val="Normalt indrag.Normal_indrag.Normal Indrag"/>
    <w:basedOn w:val="Normal"/>
    <w:pPr>
      <w:ind w:left="1304"/>
    </w:pPr>
    <w:rPr>
      <w:lang w:eastAsia="sv-SE"/>
    </w:rPr>
  </w:style>
  <w:style w:type="paragraph" w:customStyle="1" w:styleId="PunktlistaBomb">
    <w:name w:val="Punktlista_Bomb"/>
    <w:basedOn w:val="Normal"/>
    <w:pPr>
      <w:ind w:left="357" w:hanging="357"/>
    </w:pPr>
  </w:style>
  <w:style w:type="paragraph" w:customStyle="1" w:styleId="Punktlistastreck">
    <w:name w:val="Punktlista streck"/>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header" Target="header8.xml"/><Relationship Id="rId42" Type="http://schemas.openxmlformats.org/officeDocument/2006/relationships/header" Target="header18.xml"/><Relationship Id="rId63" Type="http://schemas.openxmlformats.org/officeDocument/2006/relationships/image" Target="media/image15.wmf"/><Relationship Id="rId84" Type="http://schemas.openxmlformats.org/officeDocument/2006/relationships/image" Target="media/image36.wmf"/><Relationship Id="rId138" Type="http://schemas.openxmlformats.org/officeDocument/2006/relationships/image" Target="media/image78.wmf"/><Relationship Id="rId159" Type="http://schemas.openxmlformats.org/officeDocument/2006/relationships/image" Target="media/image87.wmf"/><Relationship Id="rId170" Type="http://schemas.openxmlformats.org/officeDocument/2006/relationships/image" Target="media/image92.wmf"/><Relationship Id="rId191" Type="http://schemas.openxmlformats.org/officeDocument/2006/relationships/footer" Target="footer46.xml"/><Relationship Id="rId107" Type="http://schemas.openxmlformats.org/officeDocument/2006/relationships/image" Target="media/image53.wmf"/><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image" Target="media/image11.wmf"/><Relationship Id="rId74" Type="http://schemas.openxmlformats.org/officeDocument/2006/relationships/image" Target="media/image26.wmf"/><Relationship Id="rId128" Type="http://schemas.openxmlformats.org/officeDocument/2006/relationships/image" Target="media/image68.wmf"/><Relationship Id="rId149" Type="http://schemas.openxmlformats.org/officeDocument/2006/relationships/header" Target="header30.xml"/><Relationship Id="rId5" Type="http://schemas.openxmlformats.org/officeDocument/2006/relationships/footnotes" Target="footnotes.xml"/><Relationship Id="rId95" Type="http://schemas.openxmlformats.org/officeDocument/2006/relationships/footer" Target="footer24.xml"/><Relationship Id="rId160" Type="http://schemas.openxmlformats.org/officeDocument/2006/relationships/image" Target="media/image88.wmf"/><Relationship Id="rId181" Type="http://schemas.openxmlformats.org/officeDocument/2006/relationships/header" Target="header42.xml"/><Relationship Id="rId22" Type="http://schemas.openxmlformats.org/officeDocument/2006/relationships/footer" Target="footer7.xml"/><Relationship Id="rId43" Type="http://schemas.openxmlformats.org/officeDocument/2006/relationships/footer" Target="footer18.xml"/><Relationship Id="rId64" Type="http://schemas.openxmlformats.org/officeDocument/2006/relationships/image" Target="media/image16.wmf"/><Relationship Id="rId118" Type="http://schemas.openxmlformats.org/officeDocument/2006/relationships/image" Target="media/image58.wmf"/><Relationship Id="rId139" Type="http://schemas.openxmlformats.org/officeDocument/2006/relationships/image" Target="media/image79.wmf"/><Relationship Id="rId85" Type="http://schemas.openxmlformats.org/officeDocument/2006/relationships/image" Target="media/image37.wmf"/><Relationship Id="rId150" Type="http://schemas.openxmlformats.org/officeDocument/2006/relationships/footer" Target="footer30.xml"/><Relationship Id="rId171" Type="http://schemas.openxmlformats.org/officeDocument/2006/relationships/header" Target="header37.xml"/><Relationship Id="rId192" Type="http://schemas.openxmlformats.org/officeDocument/2006/relationships/footer" Target="footer47.xml"/><Relationship Id="rId12" Type="http://schemas.openxmlformats.org/officeDocument/2006/relationships/header" Target="header3.xml"/><Relationship Id="rId33" Type="http://schemas.openxmlformats.org/officeDocument/2006/relationships/header" Target="header14.xml"/><Relationship Id="rId108" Type="http://schemas.openxmlformats.org/officeDocument/2006/relationships/image" Target="media/image54.wmf"/><Relationship Id="rId129" Type="http://schemas.openxmlformats.org/officeDocument/2006/relationships/image" Target="media/image69.wmf"/><Relationship Id="rId54" Type="http://schemas.openxmlformats.org/officeDocument/2006/relationships/image" Target="media/image12.wmf"/><Relationship Id="rId75" Type="http://schemas.openxmlformats.org/officeDocument/2006/relationships/image" Target="media/image27.wmf"/><Relationship Id="rId96" Type="http://schemas.openxmlformats.org/officeDocument/2006/relationships/image" Target="media/image42.wmf"/><Relationship Id="rId140" Type="http://schemas.openxmlformats.org/officeDocument/2006/relationships/image" Target="media/image80.wmf"/><Relationship Id="rId161" Type="http://schemas.openxmlformats.org/officeDocument/2006/relationships/image" Target="media/image89.wmf"/><Relationship Id="rId182" Type="http://schemas.openxmlformats.org/officeDocument/2006/relationships/footer" Target="footer42.xml"/><Relationship Id="rId6" Type="http://schemas.openxmlformats.org/officeDocument/2006/relationships/endnotes" Target="endnotes.xml"/><Relationship Id="rId23" Type="http://schemas.openxmlformats.org/officeDocument/2006/relationships/footer" Target="footer8.xml"/><Relationship Id="rId119" Type="http://schemas.openxmlformats.org/officeDocument/2006/relationships/image" Target="media/image59.wmf"/><Relationship Id="rId44" Type="http://schemas.openxmlformats.org/officeDocument/2006/relationships/image" Target="media/image2.wmf"/><Relationship Id="rId65" Type="http://schemas.openxmlformats.org/officeDocument/2006/relationships/image" Target="media/image17.wmf"/><Relationship Id="rId86" Type="http://schemas.openxmlformats.org/officeDocument/2006/relationships/image" Target="media/image38.wmf"/><Relationship Id="rId130" Type="http://schemas.openxmlformats.org/officeDocument/2006/relationships/image" Target="media/image70.wmf"/><Relationship Id="rId151" Type="http://schemas.openxmlformats.org/officeDocument/2006/relationships/header" Target="header31.xml"/><Relationship Id="rId172" Type="http://schemas.openxmlformats.org/officeDocument/2006/relationships/header" Target="header38.xml"/><Relationship Id="rId193" Type="http://schemas.openxmlformats.org/officeDocument/2006/relationships/header" Target="header48.xml"/><Relationship Id="rId13" Type="http://schemas.openxmlformats.org/officeDocument/2006/relationships/footer" Target="footer3.xml"/><Relationship Id="rId109" Type="http://schemas.openxmlformats.org/officeDocument/2006/relationships/image" Target="media/image55.wmf"/><Relationship Id="rId34" Type="http://schemas.openxmlformats.org/officeDocument/2006/relationships/footer" Target="footer13.xml"/><Relationship Id="rId50" Type="http://schemas.openxmlformats.org/officeDocument/2006/relationships/image" Target="media/image8.wmf"/><Relationship Id="rId55" Type="http://schemas.openxmlformats.org/officeDocument/2006/relationships/image" Target="media/image13.wmf"/><Relationship Id="rId76" Type="http://schemas.openxmlformats.org/officeDocument/2006/relationships/image" Target="media/image28.wmf"/><Relationship Id="rId97" Type="http://schemas.openxmlformats.org/officeDocument/2006/relationships/image" Target="media/image43.wmf"/><Relationship Id="rId104" Type="http://schemas.openxmlformats.org/officeDocument/2006/relationships/image" Target="media/image50.wmf"/><Relationship Id="rId120" Type="http://schemas.openxmlformats.org/officeDocument/2006/relationships/image" Target="media/image60.wmf"/><Relationship Id="rId125" Type="http://schemas.openxmlformats.org/officeDocument/2006/relationships/image" Target="media/image65.wmf"/><Relationship Id="rId141" Type="http://schemas.openxmlformats.org/officeDocument/2006/relationships/image" Target="media/image81.wmf"/><Relationship Id="rId146" Type="http://schemas.openxmlformats.org/officeDocument/2006/relationships/header" Target="header29.xml"/><Relationship Id="rId167" Type="http://schemas.openxmlformats.org/officeDocument/2006/relationships/footer" Target="footer35.xml"/><Relationship Id="rId188" Type="http://schemas.openxmlformats.org/officeDocument/2006/relationships/footer" Target="footer45.xml"/><Relationship Id="rId7" Type="http://schemas.openxmlformats.org/officeDocument/2006/relationships/image" Target="media/image1.wmf"/><Relationship Id="rId71" Type="http://schemas.openxmlformats.org/officeDocument/2006/relationships/image" Target="media/image23.wmf"/><Relationship Id="rId92" Type="http://schemas.openxmlformats.org/officeDocument/2006/relationships/footer" Target="footer22.xml"/><Relationship Id="rId162" Type="http://schemas.openxmlformats.org/officeDocument/2006/relationships/image" Target="media/image90.wmf"/><Relationship Id="rId183"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image" Target="media/image3.wmf"/><Relationship Id="rId66" Type="http://schemas.openxmlformats.org/officeDocument/2006/relationships/image" Target="media/image18.wmf"/><Relationship Id="rId87" Type="http://schemas.openxmlformats.org/officeDocument/2006/relationships/image" Target="media/image39.wmf"/><Relationship Id="rId110" Type="http://schemas.openxmlformats.org/officeDocument/2006/relationships/header" Target="header25.xml"/><Relationship Id="rId115" Type="http://schemas.openxmlformats.org/officeDocument/2006/relationships/footer" Target="footer27.xml"/><Relationship Id="rId131" Type="http://schemas.openxmlformats.org/officeDocument/2006/relationships/image" Target="media/image71.wmf"/><Relationship Id="rId136" Type="http://schemas.openxmlformats.org/officeDocument/2006/relationships/image" Target="media/image76.wmf"/><Relationship Id="rId157" Type="http://schemas.openxmlformats.org/officeDocument/2006/relationships/image" Target="media/image85.wmf"/><Relationship Id="rId178" Type="http://schemas.openxmlformats.org/officeDocument/2006/relationships/header" Target="header41.xml"/><Relationship Id="rId61" Type="http://schemas.openxmlformats.org/officeDocument/2006/relationships/header" Target="header21.xml"/><Relationship Id="rId82" Type="http://schemas.openxmlformats.org/officeDocument/2006/relationships/image" Target="media/image34.wmf"/><Relationship Id="rId152" Type="http://schemas.openxmlformats.org/officeDocument/2006/relationships/header" Target="header32.xml"/><Relationship Id="rId173" Type="http://schemas.openxmlformats.org/officeDocument/2006/relationships/footer" Target="footer37.xml"/><Relationship Id="rId194" Type="http://schemas.openxmlformats.org/officeDocument/2006/relationships/footer" Target="footer48.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image" Target="media/image14.wmf"/><Relationship Id="rId77" Type="http://schemas.openxmlformats.org/officeDocument/2006/relationships/image" Target="media/image29.wmf"/><Relationship Id="rId100" Type="http://schemas.openxmlformats.org/officeDocument/2006/relationships/image" Target="media/image46.wmf"/><Relationship Id="rId105" Type="http://schemas.openxmlformats.org/officeDocument/2006/relationships/image" Target="media/image51.wmf"/><Relationship Id="rId126" Type="http://schemas.openxmlformats.org/officeDocument/2006/relationships/image" Target="media/image66.wmf"/><Relationship Id="rId147" Type="http://schemas.openxmlformats.org/officeDocument/2006/relationships/footer" Target="footer28.xml"/><Relationship Id="rId168" Type="http://schemas.openxmlformats.org/officeDocument/2006/relationships/header" Target="header36.xml"/><Relationship Id="rId8" Type="http://schemas.openxmlformats.org/officeDocument/2006/relationships/header" Target="header1.xml"/><Relationship Id="rId51" Type="http://schemas.openxmlformats.org/officeDocument/2006/relationships/image" Target="media/image9.wmf"/><Relationship Id="rId72" Type="http://schemas.openxmlformats.org/officeDocument/2006/relationships/image" Target="media/image24.wmf"/><Relationship Id="rId93" Type="http://schemas.openxmlformats.org/officeDocument/2006/relationships/footer" Target="footer23.xml"/><Relationship Id="rId98" Type="http://schemas.openxmlformats.org/officeDocument/2006/relationships/image" Target="media/image44.wmf"/><Relationship Id="rId121" Type="http://schemas.openxmlformats.org/officeDocument/2006/relationships/image" Target="media/image61.wmf"/><Relationship Id="rId142" Type="http://schemas.openxmlformats.org/officeDocument/2006/relationships/image" Target="media/image82.wmf"/><Relationship Id="rId163" Type="http://schemas.openxmlformats.org/officeDocument/2006/relationships/image" Target="media/image91.wmf"/><Relationship Id="rId184" Type="http://schemas.openxmlformats.org/officeDocument/2006/relationships/header" Target="header44.xml"/><Relationship Id="rId189" Type="http://schemas.openxmlformats.org/officeDocument/2006/relationships/header" Target="header46.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image" Target="media/image4.wmf"/><Relationship Id="rId67" Type="http://schemas.openxmlformats.org/officeDocument/2006/relationships/image" Target="media/image19.wmf"/><Relationship Id="rId116" Type="http://schemas.openxmlformats.org/officeDocument/2006/relationships/image" Target="media/image56.wmf"/><Relationship Id="rId137" Type="http://schemas.openxmlformats.org/officeDocument/2006/relationships/image" Target="media/image77.wmf"/><Relationship Id="rId158" Type="http://schemas.openxmlformats.org/officeDocument/2006/relationships/image" Target="media/image86.wmf"/><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footer" Target="footer21.xml"/><Relationship Id="rId83" Type="http://schemas.openxmlformats.org/officeDocument/2006/relationships/image" Target="media/image35.wmf"/><Relationship Id="rId88" Type="http://schemas.openxmlformats.org/officeDocument/2006/relationships/image" Target="media/image40.wmf"/><Relationship Id="rId111" Type="http://schemas.openxmlformats.org/officeDocument/2006/relationships/header" Target="header26.xml"/><Relationship Id="rId132" Type="http://schemas.openxmlformats.org/officeDocument/2006/relationships/image" Target="media/image72.wmf"/><Relationship Id="rId153" Type="http://schemas.openxmlformats.org/officeDocument/2006/relationships/footer" Target="footer31.xml"/><Relationship Id="rId174" Type="http://schemas.openxmlformats.org/officeDocument/2006/relationships/footer" Target="footer38.xml"/><Relationship Id="rId179" Type="http://schemas.openxmlformats.org/officeDocument/2006/relationships/footer" Target="footer40.xml"/><Relationship Id="rId195" Type="http://schemas.openxmlformats.org/officeDocument/2006/relationships/fontTable" Target="fontTable.xml"/><Relationship Id="rId190" Type="http://schemas.openxmlformats.org/officeDocument/2006/relationships/header" Target="header47.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19.xml"/><Relationship Id="rId106" Type="http://schemas.openxmlformats.org/officeDocument/2006/relationships/image" Target="media/image52.wmf"/><Relationship Id="rId127" Type="http://schemas.openxmlformats.org/officeDocument/2006/relationships/image" Target="media/image67.wmf"/><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image" Target="media/image10.wmf"/><Relationship Id="rId73" Type="http://schemas.openxmlformats.org/officeDocument/2006/relationships/image" Target="media/image25.wmf"/><Relationship Id="rId78" Type="http://schemas.openxmlformats.org/officeDocument/2006/relationships/image" Target="media/image30.wmf"/><Relationship Id="rId94" Type="http://schemas.openxmlformats.org/officeDocument/2006/relationships/header" Target="header24.xml"/><Relationship Id="rId99" Type="http://schemas.openxmlformats.org/officeDocument/2006/relationships/image" Target="media/image45.wmf"/><Relationship Id="rId101" Type="http://schemas.openxmlformats.org/officeDocument/2006/relationships/image" Target="media/image47.wmf"/><Relationship Id="rId122" Type="http://schemas.openxmlformats.org/officeDocument/2006/relationships/image" Target="media/image62.wmf"/><Relationship Id="rId143" Type="http://schemas.openxmlformats.org/officeDocument/2006/relationships/image" Target="media/image83.wmf"/><Relationship Id="rId148" Type="http://schemas.openxmlformats.org/officeDocument/2006/relationships/footer" Target="footer29.xml"/><Relationship Id="rId164" Type="http://schemas.openxmlformats.org/officeDocument/2006/relationships/header" Target="header34.xml"/><Relationship Id="rId169" Type="http://schemas.openxmlformats.org/officeDocument/2006/relationships/footer" Target="footer36.xml"/><Relationship Id="rId185" Type="http://schemas.openxmlformats.org/officeDocument/2006/relationships/footer" Target="footer43.xm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footer" Target="footer41.xml"/><Relationship Id="rId26" Type="http://schemas.openxmlformats.org/officeDocument/2006/relationships/header" Target="header10.xml"/><Relationship Id="rId47" Type="http://schemas.openxmlformats.org/officeDocument/2006/relationships/image" Target="media/image5.wmf"/><Relationship Id="rId68" Type="http://schemas.openxmlformats.org/officeDocument/2006/relationships/image" Target="media/image20.wmf"/><Relationship Id="rId89" Type="http://schemas.openxmlformats.org/officeDocument/2006/relationships/image" Target="media/image41.wmf"/><Relationship Id="rId112" Type="http://schemas.openxmlformats.org/officeDocument/2006/relationships/footer" Target="footer25.xml"/><Relationship Id="rId133" Type="http://schemas.openxmlformats.org/officeDocument/2006/relationships/image" Target="media/image73.wmf"/><Relationship Id="rId154" Type="http://schemas.openxmlformats.org/officeDocument/2006/relationships/footer" Target="footer32.xml"/><Relationship Id="rId175" Type="http://schemas.openxmlformats.org/officeDocument/2006/relationships/header" Target="header39.xml"/><Relationship Id="rId196" Type="http://schemas.openxmlformats.org/officeDocument/2006/relationships/theme" Target="theme/theme1.xml"/><Relationship Id="rId16" Type="http://schemas.openxmlformats.org/officeDocument/2006/relationships/footer" Target="footer4.xml"/><Relationship Id="rId37" Type="http://schemas.openxmlformats.org/officeDocument/2006/relationships/footer" Target="footer15.xml"/><Relationship Id="rId58" Type="http://schemas.openxmlformats.org/officeDocument/2006/relationships/header" Target="header20.xml"/><Relationship Id="rId79" Type="http://schemas.openxmlformats.org/officeDocument/2006/relationships/image" Target="media/image31.wmf"/><Relationship Id="rId102" Type="http://schemas.openxmlformats.org/officeDocument/2006/relationships/image" Target="media/image48.wmf"/><Relationship Id="rId123" Type="http://schemas.openxmlformats.org/officeDocument/2006/relationships/image" Target="media/image63.wmf"/><Relationship Id="rId144" Type="http://schemas.openxmlformats.org/officeDocument/2006/relationships/image" Target="media/image84.wmf"/><Relationship Id="rId90" Type="http://schemas.openxmlformats.org/officeDocument/2006/relationships/header" Target="header22.xml"/><Relationship Id="rId165" Type="http://schemas.openxmlformats.org/officeDocument/2006/relationships/header" Target="header35.xml"/><Relationship Id="rId186" Type="http://schemas.openxmlformats.org/officeDocument/2006/relationships/footer" Target="footer44.xml"/><Relationship Id="rId27" Type="http://schemas.openxmlformats.org/officeDocument/2006/relationships/header" Target="header11.xml"/><Relationship Id="rId48" Type="http://schemas.openxmlformats.org/officeDocument/2006/relationships/image" Target="media/image6.wmf"/><Relationship Id="rId69" Type="http://schemas.openxmlformats.org/officeDocument/2006/relationships/image" Target="media/image21.wmf"/><Relationship Id="rId113" Type="http://schemas.openxmlformats.org/officeDocument/2006/relationships/footer" Target="footer26.xml"/><Relationship Id="rId134" Type="http://schemas.openxmlformats.org/officeDocument/2006/relationships/image" Target="media/image74.wmf"/><Relationship Id="rId80" Type="http://schemas.openxmlformats.org/officeDocument/2006/relationships/image" Target="media/image32.wmf"/><Relationship Id="rId155" Type="http://schemas.openxmlformats.org/officeDocument/2006/relationships/header" Target="header33.xml"/><Relationship Id="rId176" Type="http://schemas.openxmlformats.org/officeDocument/2006/relationships/footer" Target="footer39.xml"/><Relationship Id="rId17" Type="http://schemas.openxmlformats.org/officeDocument/2006/relationships/footer" Target="footer5.xml"/><Relationship Id="rId38" Type="http://schemas.openxmlformats.org/officeDocument/2006/relationships/header" Target="header16.xml"/><Relationship Id="rId59" Type="http://schemas.openxmlformats.org/officeDocument/2006/relationships/footer" Target="footer19.xml"/><Relationship Id="rId103" Type="http://schemas.openxmlformats.org/officeDocument/2006/relationships/image" Target="media/image49.wmf"/><Relationship Id="rId124" Type="http://schemas.openxmlformats.org/officeDocument/2006/relationships/image" Target="media/image64.wmf"/><Relationship Id="rId70" Type="http://schemas.openxmlformats.org/officeDocument/2006/relationships/image" Target="media/image22.wmf"/><Relationship Id="rId91" Type="http://schemas.openxmlformats.org/officeDocument/2006/relationships/header" Target="header23.xml"/><Relationship Id="rId145" Type="http://schemas.openxmlformats.org/officeDocument/2006/relationships/header" Target="header28.xml"/><Relationship Id="rId166" Type="http://schemas.openxmlformats.org/officeDocument/2006/relationships/footer" Target="footer34.xml"/><Relationship Id="rId187" Type="http://schemas.openxmlformats.org/officeDocument/2006/relationships/header" Target="header45.xml"/><Relationship Id="rId1" Type="http://schemas.openxmlformats.org/officeDocument/2006/relationships/numbering" Target="numbering.xml"/><Relationship Id="rId28" Type="http://schemas.openxmlformats.org/officeDocument/2006/relationships/footer" Target="footer10.xml"/><Relationship Id="rId49" Type="http://schemas.openxmlformats.org/officeDocument/2006/relationships/image" Target="media/image7.wmf"/><Relationship Id="rId114" Type="http://schemas.openxmlformats.org/officeDocument/2006/relationships/header" Target="header27.xml"/><Relationship Id="rId60" Type="http://schemas.openxmlformats.org/officeDocument/2006/relationships/footer" Target="footer20.xml"/><Relationship Id="rId81" Type="http://schemas.openxmlformats.org/officeDocument/2006/relationships/image" Target="media/image33.wmf"/><Relationship Id="rId135" Type="http://schemas.openxmlformats.org/officeDocument/2006/relationships/image" Target="media/image75.wmf"/><Relationship Id="rId156" Type="http://schemas.openxmlformats.org/officeDocument/2006/relationships/footer" Target="footer33.xml"/><Relationship Id="rId177" Type="http://schemas.openxmlformats.org/officeDocument/2006/relationships/header" Target="header40.xml"/><Relationship Id="rId18" Type="http://schemas.openxmlformats.org/officeDocument/2006/relationships/header" Target="header6.xml"/><Relationship Id="rId39" Type="http://schemas.openxmlformats.org/officeDocument/2006/relationships/header" Target="head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157483</Words>
  <Characters>966948</Characters>
  <Application>Microsoft Office Word</Application>
  <DocSecurity>4</DocSecurity>
  <Lines>21487</Lines>
  <Paragraphs>7918</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Finansutskottets betänkande</vt:lpstr>
      <vt:lpstr>Sammanfattning</vt:lpstr>
      <vt:lpstr>Innehållsförteckning</vt:lpstr>
      <vt:lpstr>Utskottets förslag till riksdagsbeslut</vt:lpstr>
      <vt:lpstr>    Förslag till fördelning av statsbudgetens utgifter för 2003 på ut</vt:lpstr>
      <vt:lpstr>    </vt:lpstr>
      <vt:lpstr>    Förslag till beräkning av statsbudgetens inkomster för 2003 per inkomsttitel</vt:lpstr>
      <vt:lpstr>    Förteckning över av utskottet i punkt 5 avstyrkta motionsyrkanden</vt:lpstr>
      <vt:lpstr>Redogörelse för ärendet</vt:lpstr>
      <vt:lpstr>    Ärendet och dess beredning</vt:lpstr>
      <vt:lpstr>I detta betänkande behandlar utskottet</vt:lpstr>
      <vt:lpstr>        Regeringens lagförslag</vt:lpstr>
      <vt:lpstr>        Yttranden från andra utskott</vt:lpstr>
      <vt:lpstr>        Utfrågningar</vt:lpstr>
      <vt:lpstr>        Skrivelser</vt:lpstr>
      <vt:lpstr>Utskottets överväganden</vt:lpstr>
      <vt:lpstr>1 Den ekonomiska politiken</vt:lpstr>
      <vt:lpstr>    1.1 Den internationella utvecklingen</vt:lpstr>
      <vt:lpstr>        1.1.1 Långsammare återhämtning </vt:lpstr>
      <vt:lpstr>        1.1.2 Återhämtningen i Förenta staterna svagare än förväntat</vt:lpstr>
      <vt:lpstr>        1.1.3 Svag konjunktur i euroområdet</vt:lpstr>
      <vt:lpstr>        1.1.4 Deflationen i Japan består</vt:lpstr>
      <vt:lpstr>        1.1.5 Svag utveckling i Latinamerika</vt:lpstr>
      <vt:lpstr>        1.1.6 Osäkerheter i den internationella bedömningen</vt:lpstr>
      <vt:lpstr>    1.2 Den ekonomiska utvecklingen i Sverige</vt:lpstr>
      <vt:lpstr>        1.2.1 Bättre än förväntat i den svenska ekonomin</vt:lpstr>
      <vt:lpstr>        1.2.2 Prognosförutsättningar och nyckeltal</vt:lpstr>
      <vt:lpstr>        1.2.3 Försörjningsbalansen</vt:lpstr>
      <vt:lpstr>        1.2.4 Oväntat stark export hittills i år</vt:lpstr>
      <vt:lpstr>        1.2.5 Även sysselsättningen bättre än väntat</vt:lpstr>
      <vt:lpstr>        1 Antalet personer i procent av arbetskraften.</vt:lpstr>
      <vt:lpstr>        1.2.6 Alternativa kalkyler för utvecklingen fram till 2004</vt:lpstr>
      <vt:lpstr>        1 Skillnaden i procent mellan faktisk och potentiell produktion.</vt:lpstr>
      <vt:lpstr>        1.2.7 Ny information efter det att regeringens prognos färdigställts</vt:lpstr>
    </vt:vector>
  </TitlesOfParts>
  <Company>Riksdagen</Company>
  <LinksUpToDate>false</LinksUpToDate>
  <CharactersWithSpaces>1116513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2002-11-27T21:54:00Z</cp:lastPrinted>
  <dcterms:created xsi:type="dcterms:W3CDTF">2025-12-16T01:05:00Z</dcterms:created>
  <dcterms:modified xsi:type="dcterms:W3CDTF">2025-12-16T01:05:00Z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