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CD60D6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DD0161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CD60D6">
              <w:rPr>
                <w:szCs w:val="24"/>
              </w:rPr>
              <w:t>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5874BB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5874BB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CD60D6" w:rsidRPr="005874BB">
              <w:rPr>
                <w:snapToGrid w:val="0"/>
                <w:szCs w:val="24"/>
              </w:rPr>
              <w:t>Larry Söder (KD)</w:t>
            </w:r>
            <w:r w:rsidR="00FA15AF" w:rsidRPr="005874BB">
              <w:rPr>
                <w:snapToGrid w:val="0"/>
                <w:szCs w:val="24"/>
              </w:rPr>
              <w:t xml:space="preserve">, </w:t>
            </w:r>
            <w:r w:rsidRPr="005874BB">
              <w:rPr>
                <w:snapToGrid w:val="0"/>
                <w:szCs w:val="24"/>
              </w:rPr>
              <w:t xml:space="preserve">Johan Löfstrand (S), </w:t>
            </w:r>
            <w:r w:rsidR="00E6630C" w:rsidRPr="005874BB">
              <w:rPr>
                <w:snapToGrid w:val="0"/>
                <w:szCs w:val="24"/>
              </w:rPr>
              <w:t>Carl-Oskar Bohlin</w:t>
            </w:r>
            <w:r w:rsidRPr="005874BB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5874BB">
              <w:rPr>
                <w:snapToGrid w:val="0"/>
                <w:szCs w:val="24"/>
              </w:rPr>
              <w:t xml:space="preserve">Roger Hedlund (SD), </w:t>
            </w:r>
            <w:r w:rsidRPr="005874BB">
              <w:rPr>
                <w:snapToGrid w:val="0"/>
                <w:szCs w:val="24"/>
              </w:rPr>
              <w:t xml:space="preserve">Sanne Lennström (S), </w:t>
            </w:r>
            <w:r w:rsidR="00054112" w:rsidRPr="005874BB">
              <w:rPr>
                <w:snapToGrid w:val="0"/>
                <w:szCs w:val="24"/>
              </w:rPr>
              <w:t xml:space="preserve">Robert Hannah (L), </w:t>
            </w:r>
            <w:r w:rsidRPr="005874BB">
              <w:rPr>
                <w:snapToGrid w:val="0"/>
                <w:szCs w:val="24"/>
              </w:rPr>
              <w:t>Joakim Järrebring (S), Angelica Lundberg (SD), David Josefsson (M), Ola Möller (S),</w:t>
            </w:r>
            <w:r w:rsidR="008A6A3A" w:rsidRPr="005874BB">
              <w:rPr>
                <w:snapToGrid w:val="0"/>
                <w:szCs w:val="24"/>
              </w:rPr>
              <w:t xml:space="preserve"> </w:t>
            </w:r>
            <w:r w:rsidR="008B3709" w:rsidRPr="005874BB">
              <w:rPr>
                <w:snapToGrid w:val="0"/>
                <w:szCs w:val="24"/>
              </w:rPr>
              <w:t xml:space="preserve">Catarina Deremar (C), </w:t>
            </w:r>
            <w:r w:rsidR="008A6A3A" w:rsidRPr="005874BB">
              <w:rPr>
                <w:snapToGrid w:val="0"/>
                <w:szCs w:val="24"/>
              </w:rPr>
              <w:t>Jon Thorbjörnson (V)</w:t>
            </w:r>
            <w:r w:rsidR="005874BB" w:rsidRPr="005874BB">
              <w:rPr>
                <w:snapToGrid w:val="0"/>
                <w:szCs w:val="24"/>
              </w:rPr>
              <w:t xml:space="preserve"> och Malin Danielsson (L).</w:t>
            </w:r>
          </w:p>
          <w:p w:rsidR="0005411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5874BB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874BB">
              <w:rPr>
                <w:snapToGrid w:val="0"/>
                <w:szCs w:val="24"/>
              </w:rPr>
              <w:t>Tre</w:t>
            </w:r>
            <w:r w:rsidR="00E6630C" w:rsidRPr="009371A8">
              <w:rPr>
                <w:snapToGrid w:val="0"/>
                <w:szCs w:val="24"/>
              </w:rPr>
              <w:t xml:space="preserve"> tjänstem</w:t>
            </w:r>
            <w:r w:rsidR="00E27850" w:rsidRPr="009371A8">
              <w:rPr>
                <w:snapToGrid w:val="0"/>
                <w:szCs w:val="24"/>
              </w:rPr>
              <w:t>ä</w:t>
            </w:r>
            <w:r w:rsidR="00E6630C" w:rsidRPr="009371A8">
              <w:rPr>
                <w:snapToGrid w:val="0"/>
                <w:szCs w:val="24"/>
              </w:rPr>
              <w:t xml:space="preserve">n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CD60D6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3D8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CD60D6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Konsument</w:t>
            </w:r>
            <w:r w:rsidR="002F31DA">
              <w:rPr>
                <w:b/>
                <w:bCs/>
                <w:szCs w:val="24"/>
              </w:rPr>
              <w:t>rätt (CU1</w:t>
            </w:r>
            <w:r w:rsidR="00FD3D8C">
              <w:rPr>
                <w:b/>
                <w:bCs/>
                <w:szCs w:val="24"/>
              </w:rPr>
              <w:t>2</w:t>
            </w:r>
            <w:r w:rsidR="002F31DA">
              <w:rPr>
                <w:b/>
                <w:bCs/>
                <w:szCs w:val="24"/>
              </w:rPr>
              <w:t>)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FD3D8C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2020/21:CU12.</w:t>
            </w:r>
          </w:p>
          <w:p w:rsidR="00FD3D8C" w:rsidRDefault="00FD3D8C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3D8C" w:rsidRPr="00F85C0F" w:rsidRDefault="00B67540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5C0F">
              <w:rPr>
                <w:bCs/>
                <w:szCs w:val="24"/>
              </w:rPr>
              <w:t xml:space="preserve">S-, </w:t>
            </w:r>
            <w:r w:rsidR="00FD3D8C" w:rsidRPr="00F85C0F">
              <w:rPr>
                <w:bCs/>
                <w:szCs w:val="24"/>
              </w:rPr>
              <w:t>M-, SD-</w:t>
            </w:r>
            <w:r w:rsidRPr="00F85C0F">
              <w:rPr>
                <w:bCs/>
                <w:szCs w:val="24"/>
              </w:rPr>
              <w:t>, C-, V-,</w:t>
            </w:r>
            <w:r w:rsidR="00FD3D8C" w:rsidRPr="00F85C0F">
              <w:rPr>
                <w:bCs/>
                <w:szCs w:val="24"/>
              </w:rPr>
              <w:t xml:space="preserve"> KD-</w:t>
            </w:r>
            <w:r w:rsidRPr="00F85C0F">
              <w:rPr>
                <w:bCs/>
                <w:szCs w:val="24"/>
              </w:rPr>
              <w:t>, L- och MP-</w:t>
            </w:r>
            <w:r w:rsidR="00FD3D8C" w:rsidRPr="00F85C0F">
              <w:rPr>
                <w:bCs/>
                <w:szCs w:val="24"/>
              </w:rPr>
              <w:t xml:space="preserve">ledamöterna anmälde </w:t>
            </w:r>
            <w:proofErr w:type="spellStart"/>
            <w:r w:rsidR="00FD3D8C" w:rsidRPr="00F85C0F">
              <w:rPr>
                <w:bCs/>
                <w:szCs w:val="24"/>
              </w:rPr>
              <w:t>reserva</w:t>
            </w:r>
            <w:r w:rsidRPr="00F85C0F">
              <w:rPr>
                <w:bCs/>
                <w:szCs w:val="24"/>
              </w:rPr>
              <w:t>-</w:t>
            </w:r>
            <w:r w:rsidR="00FD3D8C" w:rsidRPr="00F85C0F">
              <w:rPr>
                <w:bCs/>
                <w:szCs w:val="24"/>
              </w:rPr>
              <w:t>tioner</w:t>
            </w:r>
            <w:proofErr w:type="spellEnd"/>
            <w:r w:rsidR="00FD3D8C" w:rsidRPr="00F85C0F">
              <w:rPr>
                <w:bCs/>
                <w:szCs w:val="24"/>
              </w:rPr>
              <w:t>.</w:t>
            </w:r>
          </w:p>
          <w:p w:rsidR="002F31DA" w:rsidRDefault="002F31DA" w:rsidP="005874B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D3D8C" w:rsidRPr="00F85C0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85C0F">
              <w:rPr>
                <w:b/>
                <w:bCs/>
                <w:szCs w:val="24"/>
              </w:rPr>
              <w:t>Planering och byggande (CU13)</w:t>
            </w:r>
          </w:p>
          <w:p w:rsidR="00FD3D8C" w:rsidRPr="00F85C0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D3D8C" w:rsidRPr="00F85C0F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5C0F">
              <w:rPr>
                <w:bCs/>
                <w:szCs w:val="24"/>
              </w:rPr>
              <w:t>Utskottet fortsatte behandlingen av motioner.</w:t>
            </w:r>
          </w:p>
          <w:p w:rsidR="00FD3D8C" w:rsidRPr="00F85C0F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3D8C" w:rsidRPr="00F85C0F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5C0F">
              <w:rPr>
                <w:bCs/>
                <w:szCs w:val="24"/>
              </w:rPr>
              <w:t>Utskottet justerade betänkande 2020/21:CU13.</w:t>
            </w:r>
          </w:p>
          <w:p w:rsidR="00FD3D8C" w:rsidRPr="00F85C0F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3D8C" w:rsidRPr="00F85C0F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5C0F">
              <w:rPr>
                <w:bCs/>
                <w:szCs w:val="24"/>
              </w:rPr>
              <w:t>M-, SD-</w:t>
            </w:r>
            <w:r w:rsidR="00DD7785" w:rsidRPr="00F85C0F">
              <w:rPr>
                <w:bCs/>
                <w:szCs w:val="24"/>
              </w:rPr>
              <w:t xml:space="preserve">, C-, V-, </w:t>
            </w:r>
            <w:r w:rsidRPr="00F85C0F">
              <w:rPr>
                <w:bCs/>
                <w:szCs w:val="24"/>
              </w:rPr>
              <w:t>KD-</w:t>
            </w:r>
            <w:r w:rsidR="00DD7785" w:rsidRPr="00F85C0F">
              <w:rPr>
                <w:bCs/>
                <w:szCs w:val="24"/>
              </w:rPr>
              <w:t xml:space="preserve"> och L-</w:t>
            </w:r>
            <w:r w:rsidRPr="00F85C0F">
              <w:rPr>
                <w:bCs/>
                <w:szCs w:val="24"/>
              </w:rPr>
              <w:t>ledamöterna anmälde reservationer.</w:t>
            </w:r>
          </w:p>
          <w:p w:rsidR="00DD7785" w:rsidRPr="00F85C0F" w:rsidRDefault="00DD7785" w:rsidP="00FD3D8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D7785" w:rsidRPr="00F85C0F" w:rsidRDefault="00DD7785" w:rsidP="00DD778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5C0F">
              <w:rPr>
                <w:bCs/>
                <w:szCs w:val="24"/>
              </w:rPr>
              <w:t>C-ledamoten anmälde ett särskilt yttrande.</w:t>
            </w:r>
          </w:p>
          <w:p w:rsidR="00FD3D8C" w:rsidRPr="00F85C0F" w:rsidRDefault="00FD3D8C" w:rsidP="005471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3D8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F31DA" w:rsidRPr="008C36D8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med mark- och vattenområden (CU14)</w:t>
            </w:r>
          </w:p>
          <w:p w:rsidR="002F31DA" w:rsidRPr="006B08A7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FD3D8C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FD3D8C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3D8C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2020/21:CU14.</w:t>
            </w:r>
          </w:p>
          <w:p w:rsidR="00FD3D8C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3D8C" w:rsidRPr="00F85C0F" w:rsidRDefault="00DD7785" w:rsidP="00FD3D8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5C0F">
              <w:rPr>
                <w:bCs/>
                <w:szCs w:val="24"/>
              </w:rPr>
              <w:lastRenderedPageBreak/>
              <w:t xml:space="preserve">S-, </w:t>
            </w:r>
            <w:r w:rsidR="00FD3D8C" w:rsidRPr="00F85C0F">
              <w:rPr>
                <w:bCs/>
                <w:szCs w:val="24"/>
              </w:rPr>
              <w:t>M-, SD-</w:t>
            </w:r>
            <w:r w:rsidRPr="00F85C0F">
              <w:rPr>
                <w:bCs/>
                <w:szCs w:val="24"/>
              </w:rPr>
              <w:t>, C-, V-,</w:t>
            </w:r>
            <w:r w:rsidR="00FD3D8C" w:rsidRPr="00F85C0F">
              <w:rPr>
                <w:bCs/>
                <w:szCs w:val="24"/>
              </w:rPr>
              <w:t xml:space="preserve"> KD-</w:t>
            </w:r>
            <w:r w:rsidRPr="00F85C0F">
              <w:rPr>
                <w:bCs/>
                <w:szCs w:val="24"/>
              </w:rPr>
              <w:t>, L- och MP-</w:t>
            </w:r>
            <w:r w:rsidR="00FD3D8C" w:rsidRPr="00F85C0F">
              <w:rPr>
                <w:bCs/>
                <w:szCs w:val="24"/>
              </w:rPr>
              <w:t xml:space="preserve">ledamöterna anmälde </w:t>
            </w:r>
            <w:proofErr w:type="spellStart"/>
            <w:r w:rsidR="00FD3D8C" w:rsidRPr="00F85C0F">
              <w:rPr>
                <w:bCs/>
                <w:szCs w:val="24"/>
              </w:rPr>
              <w:t>reserva</w:t>
            </w:r>
            <w:r w:rsidRPr="00F85C0F">
              <w:rPr>
                <w:bCs/>
                <w:szCs w:val="24"/>
              </w:rPr>
              <w:t>-</w:t>
            </w:r>
            <w:r w:rsidR="00FD3D8C" w:rsidRPr="00F85C0F">
              <w:rPr>
                <w:bCs/>
                <w:szCs w:val="24"/>
              </w:rPr>
              <w:t>tioner</w:t>
            </w:r>
            <w:proofErr w:type="spellEnd"/>
            <w:r w:rsidR="00FD3D8C" w:rsidRPr="00F85C0F">
              <w:rPr>
                <w:bCs/>
                <w:szCs w:val="24"/>
              </w:rPr>
              <w:t>.</w:t>
            </w:r>
          </w:p>
          <w:p w:rsidR="00FD3D8C" w:rsidRPr="00F85C0F" w:rsidRDefault="00FD3D8C" w:rsidP="00FD3D8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Pr="00370C65" w:rsidRDefault="00DD7785" w:rsidP="00ED400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85C0F">
              <w:rPr>
                <w:bCs/>
                <w:szCs w:val="24"/>
              </w:rPr>
              <w:t>C</w:t>
            </w:r>
            <w:r w:rsidR="00FD3D8C" w:rsidRPr="00F85C0F">
              <w:rPr>
                <w:bCs/>
                <w:szCs w:val="24"/>
              </w:rPr>
              <w:t>-ledamoten anmälde ett särskilt yttrande.</w:t>
            </w: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Riksdagens skrivelser till </w:t>
            </w:r>
            <w:r w:rsidRPr="00562840">
              <w:rPr>
                <w:b/>
                <w:bCs/>
                <w:szCs w:val="24"/>
              </w:rPr>
              <w:t xml:space="preserve">regeringen </w:t>
            </w:r>
            <w:r w:rsidRPr="00562840">
              <w:rPr>
                <w:b/>
                <w:szCs w:val="24"/>
              </w:rPr>
              <w:t>‒ åtgärder under 2020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67BFC" w:rsidRPr="003776E7" w:rsidRDefault="00167BFC" w:rsidP="00167B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behandlade fråga om yttrande till konstitutionsutskottet över skrivelse 2020/21:75.</w:t>
            </w:r>
          </w:p>
          <w:p w:rsidR="00167BFC" w:rsidRPr="001E6414" w:rsidRDefault="00167BFC" w:rsidP="00167BFC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62840" w:rsidRPr="00167BFC" w:rsidRDefault="00167BFC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D7089">
              <w:rPr>
                <w:bCs/>
                <w:szCs w:val="24"/>
              </w:rPr>
              <w:t>Ärendet bordlades.</w:t>
            </w:r>
          </w:p>
          <w:p w:rsidR="00562840" w:rsidRP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Verksamheten i Europeiska unionen under 2020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60305" w:rsidRDefault="00A60305" w:rsidP="00A6030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t xml:space="preserve">Utskottet behandlade fråga om yttrande till utrikesutskottet </w:t>
            </w:r>
            <w:r w:rsidRPr="003D11A2">
              <w:rPr>
                <w:bCs/>
                <w:szCs w:val="24"/>
              </w:rPr>
              <w:t xml:space="preserve">över </w:t>
            </w:r>
            <w:r>
              <w:rPr>
                <w:bCs/>
                <w:szCs w:val="24"/>
              </w:rPr>
              <w:t>skrivelse 2020/21:115 och följdmotioner i de delar som berör civilutskottets beredningsområde.</w:t>
            </w:r>
          </w:p>
          <w:p w:rsidR="00A60305" w:rsidRDefault="00A60305" w:rsidP="00A6030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A60305" w:rsidRDefault="00A60305" w:rsidP="00A60305">
            <w:r>
              <w:t xml:space="preserve">Utskottet beslutade att yttra sig genom följande protokollsanteckning: </w:t>
            </w:r>
          </w:p>
          <w:p w:rsidR="00A60305" w:rsidRDefault="00A60305" w:rsidP="00A60305"/>
          <w:p w:rsidR="00A60305" w:rsidRDefault="00A60305" w:rsidP="00A60305">
            <w:r>
              <w:t xml:space="preserve">Utskottet begränsar sitt yttrande till att avse motion 2020/21:3909 (SD) yrkande 31. Utskottet avstyrker motionsyrkandet. Utskottet hänvisar till vad utskottet uttalat om </w:t>
            </w:r>
            <w:r w:rsidR="00C6525B">
              <w:t xml:space="preserve">tågpassagerares rättigheter </w:t>
            </w:r>
            <w:r>
              <w:t xml:space="preserve">i betänkande 2020/21:CU12 (se förslagspunkt 19, s. </w:t>
            </w:r>
            <w:r w:rsidR="00BD2BDF">
              <w:t>8</w:t>
            </w:r>
            <w:r w:rsidR="007D17E6">
              <w:t>1</w:t>
            </w:r>
            <w:r>
              <w:t xml:space="preserve"> f. i betänkandet). </w:t>
            </w:r>
          </w:p>
          <w:p w:rsidR="00A60305" w:rsidRDefault="00A60305" w:rsidP="00A60305"/>
          <w:p w:rsidR="00A60305" w:rsidRDefault="00A60305" w:rsidP="00A60305">
            <w:r>
              <w:t>En avvikande mening anmäldes av SD-ledamöterna som tillstyrkte motion 2020/21:3909 yrkande 31.</w:t>
            </w:r>
            <w:r w:rsidR="00ED4003">
              <w:t> </w:t>
            </w:r>
            <w:r w:rsidR="007D17E6">
              <w:t>SD-ledamöterna hänvisade till sitt ställningstagande i bet. 2020/21:CU12 (se res. 18, s. 138 i betänkandet).</w:t>
            </w:r>
          </w:p>
          <w:p w:rsidR="00953683" w:rsidRDefault="00953683" w:rsidP="00A60305"/>
          <w:p w:rsidR="00953683" w:rsidRDefault="00953683" w:rsidP="0095368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85C0F" w:rsidRPr="00BA38FB" w:rsidTr="00B7009B">
        <w:tc>
          <w:tcPr>
            <w:tcW w:w="567" w:type="dxa"/>
          </w:tcPr>
          <w:p w:rsidR="00F85C0F" w:rsidRDefault="00F85C0F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F85C0F" w:rsidRDefault="00F85C0F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utskottsinitiativ om att göra det enklare för myndigheterna att kräva återbetalning vid felaktiga utbetalningar</w:t>
            </w:r>
          </w:p>
          <w:p w:rsidR="00F85C0F" w:rsidRDefault="00F85C0F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85C0F" w:rsidRDefault="00F85C0F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förslag </w:t>
            </w:r>
            <w:r w:rsidR="00ED4003">
              <w:rPr>
                <w:bCs/>
                <w:szCs w:val="24"/>
              </w:rPr>
              <w:t xml:space="preserve">till </w:t>
            </w:r>
            <w:r>
              <w:rPr>
                <w:bCs/>
                <w:szCs w:val="24"/>
              </w:rPr>
              <w:t xml:space="preserve">utskottsinitiativ om att </w:t>
            </w:r>
            <w:r w:rsidRPr="00F85C0F">
              <w:rPr>
                <w:bCs/>
                <w:szCs w:val="24"/>
              </w:rPr>
              <w:t>göra det enklare för myndigheterna att kräva återbetalning vid felak</w:t>
            </w:r>
            <w:r>
              <w:rPr>
                <w:bCs/>
                <w:szCs w:val="24"/>
              </w:rPr>
              <w:t>-</w:t>
            </w:r>
            <w:r w:rsidRPr="00F85C0F">
              <w:rPr>
                <w:bCs/>
                <w:szCs w:val="24"/>
              </w:rPr>
              <w:t>tiga utbetalningar</w:t>
            </w:r>
            <w:r>
              <w:rPr>
                <w:bCs/>
                <w:szCs w:val="24"/>
              </w:rPr>
              <w:t>.</w:t>
            </w:r>
          </w:p>
          <w:p w:rsidR="00F85C0F" w:rsidRDefault="00F85C0F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85C0F" w:rsidRDefault="00F85C0F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påbörja ett beredningsarbete i syfte att kunna ta ett utskottsinitiativ i frågan.</w:t>
            </w:r>
          </w:p>
          <w:p w:rsidR="00F85C0F" w:rsidRPr="00F85C0F" w:rsidRDefault="00F85C0F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4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058DB" w:rsidRDefault="006058DB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8DB">
              <w:rPr>
                <w:snapToGrid w:val="0"/>
                <w:szCs w:val="24"/>
              </w:rPr>
              <w:t>Inkommen skrivelse anmäldes enligt förteckning.</w:t>
            </w:r>
          </w:p>
          <w:p w:rsidR="0011217A" w:rsidRDefault="0011217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1217A" w:rsidRPr="006058DB" w:rsidRDefault="0011217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ha sammanträde den 20 april 2021.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4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FD3D8C">
              <w:rPr>
                <w:bCs/>
                <w:szCs w:val="24"/>
              </w:rPr>
              <w:t>2</w:t>
            </w:r>
            <w:r w:rsidR="0011217A">
              <w:rPr>
                <w:bCs/>
                <w:szCs w:val="24"/>
              </w:rPr>
              <w:t>2</w:t>
            </w:r>
            <w:r w:rsidRPr="009371A8">
              <w:rPr>
                <w:bCs/>
                <w:szCs w:val="24"/>
              </w:rPr>
              <w:t xml:space="preserve"> april </w:t>
            </w:r>
            <w:r>
              <w:rPr>
                <w:bCs/>
                <w:szCs w:val="24"/>
              </w:rPr>
              <w:t xml:space="preserve">2021 kl. </w:t>
            </w:r>
            <w:r w:rsidR="0011217A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11217A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FD3D8C">
              <w:rPr>
                <w:szCs w:val="24"/>
              </w:rPr>
              <w:t>2</w:t>
            </w:r>
            <w:r w:rsidR="00D82F03">
              <w:rPr>
                <w:szCs w:val="24"/>
              </w:rPr>
              <w:t>2</w:t>
            </w:r>
            <w:r w:rsidR="009371A8">
              <w:rPr>
                <w:szCs w:val="24"/>
              </w:rPr>
              <w:t xml:space="preserve"> april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C2D9D" w:rsidRDefault="009C2D9D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9C2D9D" w:rsidP="009C2D9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Larry Söder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AD108E">
              <w:rPr>
                <w:sz w:val="22"/>
                <w:szCs w:val="22"/>
              </w:rPr>
              <w:t>5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 w:rsidR="001235C9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0F1E">
              <w:rPr>
                <w:sz w:val="20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400B3A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0B3A">
              <w:rPr>
                <w:sz w:val="20"/>
              </w:rPr>
              <w:t xml:space="preserve">§ </w:t>
            </w:r>
            <w:r w:rsidRPr="00400B3A">
              <w:rPr>
                <w:sz w:val="22"/>
                <w:szCs w:val="22"/>
              </w:rPr>
              <w:t>4–5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400B3A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0B3A">
              <w:rPr>
                <w:sz w:val="20"/>
              </w:rPr>
              <w:t xml:space="preserve">§ </w:t>
            </w:r>
            <w:r w:rsidRPr="00400B3A">
              <w:rPr>
                <w:sz w:val="22"/>
                <w:szCs w:val="22"/>
              </w:rPr>
              <w:t>6–8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400B3A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0B3A">
              <w:rPr>
                <w:sz w:val="20"/>
              </w:rPr>
              <w:t>§ 9–10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40CC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5124F8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0B3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0B3A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830A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830A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830A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830A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830A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830AB" w:rsidRDefault="001E1B5B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E1B5B" w:rsidRDefault="001E1B5B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1B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E1B5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E1B5B" w:rsidRDefault="001E1B5B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E1B5B"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Pr="001E1B5B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1E1B5B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1E1B5B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1E1B5B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B3A" w:rsidRDefault="00400B3A" w:rsidP="00400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3A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400B3A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D8E" w:rsidRDefault="00B31D8E" w:rsidP="00AD6647">
      <w:r>
        <w:separator/>
      </w:r>
    </w:p>
  </w:endnote>
  <w:endnote w:type="continuationSeparator" w:id="0">
    <w:p w:rsidR="00B31D8E" w:rsidRDefault="00B31D8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D8E" w:rsidRDefault="00B31D8E" w:rsidP="00AD6647">
      <w:r>
        <w:separator/>
      </w:r>
    </w:p>
  </w:footnote>
  <w:footnote w:type="continuationSeparator" w:id="0">
    <w:p w:rsidR="00B31D8E" w:rsidRDefault="00B31D8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60857"/>
    <w:rsid w:val="00463804"/>
    <w:rsid w:val="0047440D"/>
    <w:rsid w:val="00474C15"/>
    <w:rsid w:val="00477939"/>
    <w:rsid w:val="004800F9"/>
    <w:rsid w:val="0048401D"/>
    <w:rsid w:val="004848B4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3037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B84"/>
    <w:rsid w:val="00547F54"/>
    <w:rsid w:val="005522C5"/>
    <w:rsid w:val="00554C06"/>
    <w:rsid w:val="00555707"/>
    <w:rsid w:val="005626C5"/>
    <w:rsid w:val="00562840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1A8"/>
    <w:rsid w:val="00937A42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2D9D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1D8E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2CE6"/>
    <w:rsid w:val="00C730EF"/>
    <w:rsid w:val="00C73311"/>
    <w:rsid w:val="00C74837"/>
    <w:rsid w:val="00C7561C"/>
    <w:rsid w:val="00C84A65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D7785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F0161A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6EB1-516F-4BBC-AA9C-02D46DBE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4457</Characters>
  <Application>Microsoft Office Word</Application>
  <DocSecurity>4</DocSecurity>
  <Lines>1114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2021-05-28T08:07:00Z</dcterms:created>
  <dcterms:modified xsi:type="dcterms:W3CDTF">2021-05-28T08:07:00Z</dcterms:modified>
</cp:coreProperties>
</file>