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A30" w:rsidRPr="00885A30" w:rsidRDefault="00885A30">
      <w:pPr>
        <w:pStyle w:val="Hemstlrubrik"/>
        <w:shd w:val="clear" w:color="000000" w:fill="auto"/>
      </w:pPr>
      <w:r w:rsidRPr="00885A30">
        <w:t>Förslag till riksdagsbeslut</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ändringar och tillägg i översikt</w:t>
      </w:r>
      <w:r w:rsidRPr="00885A30">
        <w:t>s</w:t>
      </w:r>
      <w:r w:rsidRPr="00885A30">
        <w:t>planer.</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nya skärpningar i miljöbalken (1998:808) och plan- och bygglagen (1987:10) för att balansera de föreslagna lättnade</w:t>
      </w:r>
      <w:r w:rsidRPr="00885A30">
        <w:t>r</w:t>
      </w:r>
      <w:r w:rsidRPr="00885A30">
        <w:t>na.</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att en generellt utformad ny bestämmelse bör införas som anger att s</w:t>
      </w:r>
      <w:r w:rsidRPr="00885A30">
        <w:rPr>
          <w:i/>
        </w:rPr>
        <w:t>ynnerliga skäl</w:t>
      </w:r>
      <w:r w:rsidRPr="00885A30">
        <w:t xml:space="preserve"> ska krävas för upphävande och di</w:t>
      </w:r>
      <w:r w:rsidRPr="00885A30">
        <w:t>s</w:t>
      </w:r>
      <w:r w:rsidRPr="00885A30">
        <w:t>pens.</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länsstyrelsernas beslutanderätt gällande up</w:t>
      </w:r>
      <w:r w:rsidRPr="00885A30">
        <w:t>p</w:t>
      </w:r>
      <w:r w:rsidRPr="00885A30">
        <w:t>hävande och dispensgivning i områden av riksintressen.</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tydligare definitioner av såväl begreppet ”landsbygdsutveckling” som ”fri passage” för att undvika misstolknin</w:t>
      </w:r>
      <w:r w:rsidRPr="00885A30">
        <w:t>g</w:t>
      </w:r>
      <w:r w:rsidRPr="00885A30">
        <w:t>ar.</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högre krav på beslutsunderlaget när områden för landsbygdsutveckling ska inrättas.</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att kommunen i ärende rörande strandskydd och landsbygdsutveckling också bör redogöra för konsekvenser för b</w:t>
      </w:r>
      <w:r w:rsidRPr="00885A30">
        <w:t>e</w:t>
      </w:r>
      <w:r w:rsidRPr="00885A30">
        <w:t>fintlig näringsverksamhet på landsbygden.</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att specialregeln för befintliga bostäder i o</w:t>
      </w:r>
      <w:r w:rsidRPr="00885A30">
        <w:t>m</w:t>
      </w:r>
      <w:r w:rsidRPr="00885A30">
        <w:t>råde för landsbygdsutveckling bör skärpas.</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rättsverkningarna av kommunala beslut om dispens eller upphävande som saknar redovisning av skälen för besl</w:t>
      </w:r>
      <w:r w:rsidRPr="00885A30">
        <w:t>u</w:t>
      </w:r>
      <w:r w:rsidRPr="00885A30">
        <w:t>tet.</w:t>
      </w:r>
    </w:p>
    <w:p w:rsidR="00885A30" w:rsidRPr="00885A30" w:rsidRDefault="00885A30">
      <w:pPr>
        <w:pStyle w:val="Hemstlatt"/>
        <w:numPr>
          <w:ilvl w:val="0"/>
          <w:numId w:val="1"/>
        </w:numPr>
        <w:shd w:val="clear" w:color="000000" w:fill="auto"/>
      </w:pPr>
      <w:r w:rsidRPr="00885A30">
        <w:t>Riksdagen tillkännager för regeringen som sin mening vad som anförs i motionen om överklaganderätt.</w:t>
      </w:r>
    </w:p>
    <w:p w:rsidR="00885A30" w:rsidRPr="00885A30" w:rsidRDefault="00885A30">
      <w:pPr>
        <w:pStyle w:val="Hemstlatt"/>
        <w:numPr>
          <w:ilvl w:val="0"/>
          <w:numId w:val="1"/>
        </w:numPr>
        <w:shd w:val="clear" w:color="000000" w:fill="auto"/>
      </w:pPr>
      <w:r w:rsidRPr="00885A30">
        <w:lastRenderedPageBreak/>
        <w:t>Riksdagen tillkännager för regeringen som sin mening vad som anförs i motionen om en fri passage på minst 60 meter.</w:t>
      </w:r>
    </w:p>
    <w:p w:rsidR="00885A30" w:rsidRPr="00885A30" w:rsidRDefault="00885A30">
      <w:pPr>
        <w:pStyle w:val="Rubrik1"/>
        <w:shd w:val="clear" w:color="000000" w:fill="auto"/>
      </w:pPr>
      <w:r w:rsidRPr="00885A30">
        <w:t>Motivering</w:t>
      </w:r>
    </w:p>
    <w:p w:rsidR="00885A30" w:rsidRPr="00885A30" w:rsidRDefault="00885A30">
      <w:pPr>
        <w:shd w:val="clear" w:color="000000" w:fill="auto"/>
      </w:pPr>
      <w:r w:rsidRPr="00885A30">
        <w:t xml:space="preserve">I Sverige är stränderna till för alla. Så har det varit i snart 60 år sedan det beslutades om de första strandskyddsbestämmelserna i början av 1950-talet för att motverka exploateringen av strandtomter runt Stockholm, Göteborg och Malmö. Bestämmelserna infördes för att säkra allmänhetens tillgång till badplatser, strandpromenader och fritt vatten. Skyddet konstruerades som ett principiellt förbud mot att bygga närmare strandlinjen än </w:t>
      </w:r>
      <w:smartTag w:uri="urn:schemas-microsoft-com:office:smarttags" w:element="metricconverter">
        <w:smartTagPr>
          <w:attr w:name="ProductID" w:val="100 meter"/>
        </w:smartTagPr>
        <w:r w:rsidRPr="00885A30">
          <w:t>100 meter</w:t>
        </w:r>
      </w:smartTag>
      <w:r w:rsidRPr="00885A30">
        <w:t>, med möjlighet till dispens om stranden ändå inte var tillgänglig för allmänheten. Bevarandet av den biologiska mångfalden tillkom 1994 som ett eget, lika tungt vägande syfte bakom strandskyddet.</w:t>
      </w:r>
    </w:p>
    <w:p w:rsidR="00885A30" w:rsidRPr="00885A30" w:rsidRDefault="00885A30">
      <w:pPr>
        <w:pStyle w:val="Normaltindrag"/>
        <w:shd w:val="clear" w:color="000000" w:fill="auto"/>
      </w:pPr>
      <w:r w:rsidRPr="00885A30">
        <w:t>Strandskyddet är ett viktigt uttryck för den svenska allemansrätten som i sin tur har varit en central del i vår nationella välfärdspolitik. Den generella tillgången till skog och mark, hav och sjöar – vilket i många andra länder är en exklusiv rättighet för ett fåtal – har hos oss betraktats som en själv</w:t>
      </w:r>
      <w:r w:rsidRPr="00885A30">
        <w:t>klarhet. Som bärplockare, skogsvandrare eller segelentusiaster har vi aldrig behövt fundera över vem som äger tuvan eller klippan där vi väljer att slå oss ned, alternativt lägga till. Detta är en grundbult i allemansrätten som är värd att kämpa för.</w:t>
      </w:r>
    </w:p>
    <w:p w:rsidR="00885A30" w:rsidRPr="00885A30" w:rsidRDefault="00885A30">
      <w:pPr>
        <w:pStyle w:val="Normaltindrag"/>
        <w:shd w:val="clear" w:color="000000" w:fill="auto"/>
      </w:pPr>
      <w:r w:rsidRPr="00885A30">
        <w:t>Strandzonerna fungerar även som en livsviktig del av bevarandet av den biologiska mångfalden. Många av våra fiskarter är helt beroende av den skyddade och näringsrika miljön vid stranden. Stränderna är hållplatser för flyttfåglar då de fyller på sina energirese</w:t>
      </w:r>
      <w:r w:rsidRPr="00885A30">
        <w:t xml:space="preserve">rver. </w:t>
      </w:r>
      <w:r w:rsidRPr="00885A30">
        <w:rPr>
          <w:szCs w:val="22"/>
        </w:rPr>
        <w:t>Nästan en tredjedel av landets rödlistade arter är knutna till strand- eller vattenmiljöer</w:t>
      </w:r>
      <w:r w:rsidRPr="00885A30">
        <w:t>.</w:t>
      </w:r>
    </w:p>
    <w:p w:rsidR="00885A30" w:rsidRPr="00885A30" w:rsidRDefault="00885A30">
      <w:pPr>
        <w:pStyle w:val="Normaltindrag"/>
        <w:shd w:val="clear" w:color="000000" w:fill="auto"/>
      </w:pPr>
      <w:r w:rsidRPr="00885A30">
        <w:t>Slutligen har strandskyddet under senare år också fått ökad betydelse i klimatarbetet. En restriktiv inställning till att bygga invid vattnet betalar sig när effekterna av den globala uppvärmningen blir alltmer påtagliga. Stora samhällskostnader kan då undvikas när stränderna utsätts för översvämningar, ras och erosion.</w:t>
      </w:r>
    </w:p>
    <w:p w:rsidR="00885A30" w:rsidRPr="00885A30" w:rsidRDefault="00885A30">
      <w:pPr>
        <w:pStyle w:val="Normaltindrag"/>
        <w:shd w:val="clear" w:color="000000" w:fill="auto"/>
      </w:pPr>
      <w:r w:rsidRPr="00885A30">
        <w:t>Dagens strandskyddslagstiftning är dock inte tillräckligt robust för att stå emot det enorma tryck på dispenser som har uppstått i attraktiva, tätortsnära områden. Många kommuner har utnyttjat möjligheterna till dispens alltför generöst. Beslut om dispens har ibland knappt ens motiverats. Några komm</w:t>
      </w:r>
      <w:r w:rsidRPr="00885A30">
        <w:t>u</w:t>
      </w:r>
      <w:r w:rsidRPr="00885A30">
        <w:t>ner har meddelat dispens i direkt strid mot lagen, vilket låtit sig göras efte</w:t>
      </w:r>
      <w:r w:rsidRPr="00885A30">
        <w:t>r</w:t>
      </w:r>
      <w:r w:rsidRPr="00885A30">
        <w:t>som resurserna för överprövning och tillsyn har varit minimala.</w:t>
      </w:r>
    </w:p>
    <w:p w:rsidR="00885A30" w:rsidRPr="00885A30" w:rsidRDefault="00885A30">
      <w:pPr>
        <w:pStyle w:val="Normaltindrag"/>
        <w:shd w:val="clear" w:color="000000" w:fill="auto"/>
      </w:pPr>
      <w:r w:rsidRPr="00885A30">
        <w:t>Dagens regler är inte heller tillräckligt nyanserade. Vi anser att vissa lät</w:t>
      </w:r>
      <w:r w:rsidRPr="00885A30">
        <w:t>t</w:t>
      </w:r>
      <w:r w:rsidRPr="00885A30">
        <w:t>nader är motiverade i glest bebyggda områden. Vi värnar allemansrätten sa</w:t>
      </w:r>
      <w:r w:rsidRPr="00885A30">
        <w:t>m</w:t>
      </w:r>
      <w:r w:rsidRPr="00885A30">
        <w:t>tidigt som vi värnar den framtida landsbygdsutvecklingen. Flexiblare stran</w:t>
      </w:r>
      <w:r w:rsidRPr="00885A30">
        <w:t>d</w:t>
      </w:r>
      <w:r w:rsidRPr="00885A30">
        <w:t xml:space="preserve">skyddsregler kan främja den regionala utvecklingen och ge möjlighet till lättnader i områden som behöver det av regionalpolitiska skäl </w:t>
      </w:r>
      <w:r w:rsidRPr="00885A30">
        <w:rPr>
          <w:i/>
        </w:rPr>
        <w:t xml:space="preserve">och </w:t>
      </w:r>
      <w:r w:rsidRPr="00885A30">
        <w:t>som tål det utan att strandskyddets syften urholkas.</w:t>
      </w:r>
    </w:p>
    <w:p w:rsidR="00885A30" w:rsidRPr="00885A30" w:rsidRDefault="00885A30">
      <w:pPr>
        <w:pStyle w:val="Rubrik1"/>
        <w:shd w:val="clear" w:color="000000" w:fill="auto"/>
      </w:pPr>
      <w:r w:rsidRPr="00885A30">
        <w:t>Regeringens förslag luckrar upp</w:t>
      </w:r>
    </w:p>
    <w:p w:rsidR="00885A30" w:rsidRPr="00885A30" w:rsidRDefault="00885A30">
      <w:pPr>
        <w:shd w:val="clear" w:color="000000" w:fill="auto"/>
      </w:pPr>
      <w:r w:rsidRPr="00885A30">
        <w:t>När den borgerliga regeringen nu i sin proposition (2008/09:119) säger sig vilja stärka skyddet vid hårt exploaterade kuster, samtidigt som man öppnar upp för fler strandnära byggen i glest befolkade delar av landet, kan det tolkas som en bra ansats. Men regeringen klarar inte uppgiften. Risken är fortfara</w:t>
      </w:r>
      <w:r w:rsidRPr="00885A30">
        <w:t>n</w:t>
      </w:r>
      <w:r w:rsidRPr="00885A30">
        <w:t>de stor att stränderna blir tillgängliga för ett fåtal i stället för alla.</w:t>
      </w:r>
    </w:p>
    <w:p w:rsidR="00885A30" w:rsidRPr="00885A30" w:rsidRDefault="00885A30">
      <w:pPr>
        <w:pStyle w:val="Normaltindrag"/>
        <w:shd w:val="clear" w:color="000000" w:fill="auto"/>
      </w:pPr>
      <w:r w:rsidRPr="00885A30">
        <w:t>Regeringen gör ingen ordentlig analys av problemen med en alltför restri</w:t>
      </w:r>
      <w:r w:rsidRPr="00885A30">
        <w:t>k</w:t>
      </w:r>
      <w:r w:rsidRPr="00885A30">
        <w:t>tiv tillämpning av strandskyddet i vissa delar av landet och en alltför svag tillämpning där det behövs som mest. Regeringens förslag räcker inte till.</w:t>
      </w:r>
    </w:p>
    <w:p w:rsidR="00885A30" w:rsidRPr="00885A30" w:rsidRDefault="00885A30">
      <w:pPr>
        <w:pStyle w:val="Normaltindrag"/>
        <w:shd w:val="clear" w:color="000000" w:fill="auto"/>
      </w:pPr>
      <w:r w:rsidRPr="00885A30">
        <w:t>Vi får en ytterligare försvagad lagstiftning: uppluckrade strandskyddsre</w:t>
      </w:r>
      <w:r w:rsidRPr="00885A30">
        <w:t>g</w:t>
      </w:r>
      <w:r w:rsidRPr="00885A30">
        <w:t>ler vars tolkningar kan slå hårt mot allemansrätten och även innebära ett steg tillbaka i klimat- och miljöarbetet.</w:t>
      </w:r>
    </w:p>
    <w:p w:rsidR="00885A30" w:rsidRPr="00885A30" w:rsidRDefault="00885A30">
      <w:pPr>
        <w:pStyle w:val="Normaltindrag"/>
        <w:shd w:val="clear" w:color="000000" w:fill="auto"/>
      </w:pPr>
      <w:r w:rsidRPr="00885A30">
        <w:t>Den borgerliga regeringen föreslår att kommunerna ska få huvudansvaret för att pröva strandskyddsärendena och att en stor del av besluten ska ske genom planläggning. Kommunerna ska i sina översiktsplaner redovisa vilka platser som kan anses lämpliga för landsbygdsutveckling och var eventuella lättnader i strandskyddet planeras. Detta är tänkt att få betydelse i framför allt inlandets glest be</w:t>
      </w:r>
      <w:r w:rsidRPr="00885A30">
        <w:t>folkade områden. Redovisningen ska vara vägledande vid prövningar av upphävandefrågor och dispenser. Vi anser att beslut som ger förutsättningar för nyutbyggnad av stränderna måste ske genom en uppdat</w:t>
      </w:r>
      <w:r w:rsidRPr="00885A30">
        <w:t>e</w:t>
      </w:r>
      <w:r w:rsidRPr="00885A30">
        <w:t>rad bild av kommunernas utveckling. För att ändringar och tillägg av en b</w:t>
      </w:r>
      <w:r w:rsidRPr="00885A30">
        <w:t>e</w:t>
      </w:r>
      <w:r w:rsidRPr="00885A30">
        <w:t>fintlig översiktsplan ska kunna utgöra en sådan grund krävs det att denna är uppdaterad och beslutad i enlighet med gällande lagstiftning. Detta bör ges regeringen till känna.</w:t>
      </w:r>
    </w:p>
    <w:p w:rsidR="00885A30" w:rsidRPr="00885A30" w:rsidRDefault="00885A30">
      <w:pPr>
        <w:pStyle w:val="Normaltindrag"/>
        <w:shd w:val="clear" w:color="000000" w:fill="auto"/>
      </w:pPr>
      <w:r w:rsidRPr="00885A30">
        <w:t>Avsikten är att länsstyrelsernas roll ska stärkas genom att l</w:t>
      </w:r>
      <w:r w:rsidRPr="00885A30">
        <w:t>änsstyrelserna får möjlighet att överpröva de kommunala besluten.</w:t>
      </w:r>
    </w:p>
    <w:p w:rsidR="00885A30" w:rsidRPr="00885A30" w:rsidRDefault="00885A30">
      <w:pPr>
        <w:pStyle w:val="Normaltindrag"/>
        <w:shd w:val="clear" w:color="000000" w:fill="auto"/>
      </w:pPr>
      <w:r w:rsidRPr="00885A30">
        <w:t>Vi menar att regeringens förslag fått en alltför stark övervikt åt lättnader i strandskyddet, utan att nödvändiga balanserande skärpningar genomförs. I likhet med flera tunga remissinstanser anser vi att regeringens förslag är all</w:t>
      </w:r>
      <w:r w:rsidRPr="00885A30">
        <w:t>t</w:t>
      </w:r>
      <w:r w:rsidRPr="00885A30">
        <w:t>för vaga och otydliga och att de lämnar ett stort tolkningsutrymme. Tydligare regler måste därför till.</w:t>
      </w:r>
    </w:p>
    <w:p w:rsidR="00885A30" w:rsidRPr="00885A30" w:rsidRDefault="00885A30">
      <w:pPr>
        <w:pStyle w:val="Rubrik1"/>
        <w:shd w:val="clear" w:color="000000" w:fill="auto"/>
      </w:pPr>
      <w:r w:rsidRPr="00885A30">
        <w:t>Ett balanserat strandskydd</w:t>
      </w:r>
    </w:p>
    <w:p w:rsidR="00885A30" w:rsidRPr="00885A30" w:rsidRDefault="00885A30">
      <w:pPr>
        <w:shd w:val="clear" w:color="000000" w:fill="auto"/>
      </w:pPr>
      <w:r w:rsidRPr="00885A30">
        <w:t xml:space="preserve">Som nämnts gäller dagens strandskydd generellt </w:t>
      </w:r>
      <w:smartTag w:uri="urn:schemas-microsoft-com:office:smarttags" w:element="metricconverter">
        <w:smartTagPr>
          <w:attr w:name="ProductID" w:val="100 meter"/>
        </w:smartTagPr>
        <w:r w:rsidRPr="00885A30">
          <w:t>100 meter</w:t>
        </w:r>
      </w:smartTag>
      <w:r w:rsidRPr="00885A30">
        <w:t xml:space="preserve"> närmast strand</w:t>
      </w:r>
      <w:r w:rsidRPr="00885A30">
        <w:softHyphen/>
        <w:t xml:space="preserve">linjen vid hav, sjöar och vattendrag. Området kan utvidgas till </w:t>
      </w:r>
      <w:smartTag w:uri="urn:schemas-microsoft-com:office:smarttags" w:element="metricconverter">
        <w:smartTagPr>
          <w:attr w:name="ProductID" w:val="300 meter"/>
        </w:smartTagPr>
        <w:r w:rsidRPr="00885A30">
          <w:t>300 meter</w:t>
        </w:r>
      </w:smartTag>
      <w:r w:rsidRPr="00885A30">
        <w:t xml:space="preserve"> av länsstyrelsen. Inom den zonen ska endast bebyggelse och andra åtgärder som inverkar på strandskyddets syften kunna ske om ”särskilda skäl” föreligger. Regeringen gör här ingen ändring. Förändringen kommer i den nya listan över olika ”särskilda skäl”. Dessa har tidigare beskrivits i förarbeten och prejud</w:t>
      </w:r>
      <w:r w:rsidRPr="00885A30">
        <w:t>i</w:t>
      </w:r>
      <w:r w:rsidRPr="00885A30">
        <w:t>kat. Nu föreslås att de läggs in i miljöbalkens sjunde kapitel i en uppräkning av skäl som ska ligga till</w:t>
      </w:r>
      <w:r w:rsidRPr="00885A30">
        <w:t xml:space="preserve"> grund för dispens eller upphävande.</w:t>
      </w:r>
    </w:p>
    <w:p w:rsidR="00885A30" w:rsidRPr="00885A30" w:rsidRDefault="00885A30">
      <w:pPr>
        <w:pStyle w:val="Normaltindrag"/>
        <w:shd w:val="clear" w:color="000000" w:fill="auto"/>
      </w:pPr>
      <w:r w:rsidRPr="00885A30">
        <w:t>Enligt regeringen ska miljöbalken sålunda innehålla en lång rad särskilda skäl för att undanta strandskyddet. Vi konstaterar med stor oro att de bestä</w:t>
      </w:r>
      <w:r w:rsidRPr="00885A30">
        <w:t>m</w:t>
      </w:r>
      <w:r w:rsidRPr="00885A30">
        <w:t>melser som ger kommunerna vägledning i hur de bäst bevarar strandskyddet är betydligt färre. Detta rimmar illa med den restriktivitet som ska gälla vid reglernas tillämpning. För att komma till rätta med de nu existerande tilläm</w:t>
      </w:r>
      <w:r w:rsidRPr="00885A30">
        <w:t>p</w:t>
      </w:r>
      <w:r w:rsidRPr="00885A30">
        <w:t>ningssvårigheterna av lagstiftningen i hårt exploaterade områden måste enkla, tydliga och robusta skärpningar införas i miljöbalkens sjunde kapitel. Skär</w:t>
      </w:r>
      <w:r w:rsidRPr="00885A30">
        <w:t>p</w:t>
      </w:r>
      <w:r w:rsidRPr="00885A30">
        <w:t>ningarna ska balansera lättnaderna i förslaget och skapa bra förutsättningar för den kommunala handläggningen. Detta bör riksdag</w:t>
      </w:r>
      <w:r w:rsidRPr="00885A30">
        <w:t>en som sin mening ge regeringen till känna.</w:t>
      </w:r>
    </w:p>
    <w:p w:rsidR="00885A30" w:rsidRPr="00885A30" w:rsidRDefault="00885A30">
      <w:pPr>
        <w:pStyle w:val="Normaltindrag"/>
        <w:shd w:val="clear" w:color="000000" w:fill="auto"/>
      </w:pPr>
      <w:r w:rsidRPr="00885A30">
        <w:t>Att införa en liknande uppräkning för de tillfällen när strandskyddet ska ha företräde låter sig knappast göras. Lagstiftningen skulle bli än mer svåröve</w:t>
      </w:r>
      <w:r w:rsidRPr="00885A30">
        <w:t>r</w:t>
      </w:r>
      <w:r w:rsidRPr="00885A30">
        <w:t>skådlig. Därtill skulle strandskyddet få en oönskad karaktär av avvägning</w:t>
      </w:r>
      <w:r w:rsidRPr="00885A30">
        <w:t>s</w:t>
      </w:r>
      <w:r w:rsidRPr="00885A30">
        <w:t>regler, i stället för att vara ett förbud med några restriktiva undantag. Vi anser därför att en ny bestämmelse om ett skärpt strandskydd krävs. En striktare tillämpning av strandskyddet måste till, inte minst för de delar av landet där systemet kollapsat och där lagens intentioner inte upprätthålls. En generellt utformad ny bestämmelse bör införas som anger att s</w:t>
      </w:r>
      <w:r w:rsidRPr="00885A30">
        <w:rPr>
          <w:i/>
        </w:rPr>
        <w:t>ynnerliga skäl</w:t>
      </w:r>
      <w:r w:rsidRPr="00885A30">
        <w:t xml:space="preserve"> ska kr</w:t>
      </w:r>
      <w:r w:rsidRPr="00885A30">
        <w:t>ä</w:t>
      </w:r>
      <w:r w:rsidRPr="00885A30">
        <w:t>vas för upphävande och dispens. Synnerliga skäl s</w:t>
      </w:r>
      <w:r w:rsidRPr="00885A30">
        <w:t>ka ha företräde framför regeln om landsbygdsutveckling och krävas för</w:t>
      </w:r>
    </w:p>
    <w:p w:rsidR="00885A30" w:rsidRPr="00885A30" w:rsidRDefault="00885A30">
      <w:pPr>
        <w:pStyle w:val="PunktlistaNummer"/>
        <w:shd w:val="clear" w:color="000000" w:fill="auto"/>
      </w:pPr>
      <w:r w:rsidRPr="00885A30">
        <w:t>områden av riksintresse som faller under hushållningsbestämmelserna i miljöbalken 3 kap. 2, 3 och 6 §§. Det handlar om stora orörda områden, ekologiskt känsliga områden och områden av betydelse för natur- och ku</w:t>
      </w:r>
      <w:r w:rsidRPr="00885A30">
        <w:t>l</w:t>
      </w:r>
      <w:r w:rsidRPr="00885A30">
        <w:t>turvård samt friluftsliv.</w:t>
      </w:r>
    </w:p>
    <w:p w:rsidR="00885A30" w:rsidRPr="00885A30" w:rsidRDefault="00885A30">
      <w:pPr>
        <w:pStyle w:val="PunktlistaNummer"/>
        <w:shd w:val="clear" w:color="000000" w:fill="auto"/>
        <w:spacing w:before="0"/>
      </w:pPr>
      <w:r w:rsidRPr="00885A30">
        <w:t>områden av riksintresse i miljöbalken 4 kap. 2–8 §§. Bestämmelserna omfattar primära rekreationsområden, obrutna kustområden, högt explo</w:t>
      </w:r>
      <w:r w:rsidRPr="00885A30">
        <w:t>a</w:t>
      </w:r>
      <w:r w:rsidRPr="00885A30">
        <w:t>terade kustområden, obrutna fjällområden och nationalälvarna.</w:t>
      </w:r>
    </w:p>
    <w:p w:rsidR="00885A30" w:rsidRPr="00885A30" w:rsidRDefault="00885A30">
      <w:pPr>
        <w:pStyle w:val="PunktlistaNummer"/>
        <w:shd w:val="clear" w:color="000000" w:fill="auto"/>
        <w:spacing w:before="0"/>
      </w:pPr>
      <w:r w:rsidRPr="00885A30">
        <w:t>områden som omfattas av annat naturskydd enligt miljöbalken 7 kap.</w:t>
      </w:r>
    </w:p>
    <w:p w:rsidR="00885A30" w:rsidRPr="00885A30" w:rsidRDefault="00885A30">
      <w:pPr>
        <w:shd w:val="clear" w:color="000000" w:fill="auto"/>
      </w:pPr>
      <w:r w:rsidRPr="00885A30">
        <w:t>En uppdelning av strandskyddet i två skyddsnivåer, ”särskilda skäl” och ”synnerliga skäl”, följer terminologin i 7 kap. miljöbalken. Särskilda skäl krävs t.ex. för dispens från reservatsbestämmelserna i naturreservat och sy</w:t>
      </w:r>
      <w:r w:rsidRPr="00885A30">
        <w:t>n</w:t>
      </w:r>
      <w:r w:rsidRPr="00885A30">
        <w:t>nerliga skäl för att upphäva naturreservat (miljöbalken 7 kap. 7 §). Begreppen existerar redan i gällande rätt och innebär ett visst skydd mot att skyddsnivån för den lägre gränsen (särskilda skäl) inte devalveras ytterligare. Exempel på vad som kan anses vara synnerliga skäl bör anges i motiven. Det kan handla om naturvårdande åtgärder som sjösänkningar, åtgärder av väsentligt allmä</w:t>
      </w:r>
      <w:r w:rsidRPr="00885A30">
        <w:t>n</w:t>
      </w:r>
      <w:r w:rsidRPr="00885A30">
        <w:t>intresse som akuta försvarsåtgärder, åtgärder för att förhindra olyckor och för att höja klimatberedskapen. Detta bör riksda</w:t>
      </w:r>
      <w:r w:rsidRPr="00885A30">
        <w:t>gen som sin mening ge regerin</w:t>
      </w:r>
      <w:r w:rsidRPr="00885A30">
        <w:t>g</w:t>
      </w:r>
      <w:r w:rsidRPr="00885A30">
        <w:t>en till känna.</w:t>
      </w:r>
    </w:p>
    <w:p w:rsidR="00885A30" w:rsidRPr="00885A30" w:rsidRDefault="00885A30">
      <w:pPr>
        <w:pStyle w:val="Normaltindrag"/>
        <w:shd w:val="clear" w:color="000000" w:fill="auto"/>
      </w:pPr>
      <w:r w:rsidRPr="00885A30">
        <w:t>Beslut av områden av riksintresse ska inte tas på kommunal nivå utan d</w:t>
      </w:r>
      <w:r w:rsidRPr="00885A30">
        <w:t>i</w:t>
      </w:r>
      <w:r w:rsidRPr="00885A30">
        <w:t>rekt av länsstyrelserna. Detta bör riksdagen som sin mening ge regeringen till känna.</w:t>
      </w:r>
    </w:p>
    <w:p w:rsidR="00885A30" w:rsidRPr="00885A30" w:rsidRDefault="00885A30">
      <w:pPr>
        <w:pStyle w:val="Rubrik1"/>
        <w:shd w:val="clear" w:color="000000" w:fill="auto"/>
      </w:pPr>
      <w:r w:rsidRPr="00885A30">
        <w:t>Tydliga regler i områden för landsbygdsutveckling</w:t>
      </w:r>
    </w:p>
    <w:p w:rsidR="00885A30" w:rsidRPr="00885A30" w:rsidRDefault="00885A30">
      <w:pPr>
        <w:shd w:val="clear" w:color="000000" w:fill="auto"/>
      </w:pPr>
      <w:r w:rsidRPr="00885A30">
        <w:t>Huvudsyftet med det lagstiftningsarbete om strandskyddet som har pågått inom Miljödepartementet de senaste fyra fem åren är att komma till rätta med det hot mot strandskyddet som kommunernas i hög utsträckning rättsstridiga dispensgivning har orsakat. Ytterligare en bevekelsegrund, som vuxit sig allt starkare under senare tid, har varit att kunna ge utökade möjligheter till lät</w:t>
      </w:r>
      <w:r w:rsidRPr="00885A30">
        <w:t>t</w:t>
      </w:r>
      <w:r w:rsidRPr="00885A30">
        <w:t>nader i andra delar av landet. Dagens situation kan karakteriseras som en bakvänd flexibilitet: Strandskyddet tillämpas för slappt där exploatering</w:t>
      </w:r>
      <w:r w:rsidRPr="00885A30">
        <w:t>s</w:t>
      </w:r>
      <w:r w:rsidRPr="00885A30">
        <w:t>trycket är som hårdast och för restriktivt där lättnader kan motiveras. Det finns på många platser runtom i Sverige ett välmotiverat behov av att ge u</w:t>
      </w:r>
      <w:r w:rsidRPr="00885A30">
        <w:t>t</w:t>
      </w:r>
      <w:r w:rsidRPr="00885A30">
        <w:t>rymme för ett strandnära byggande.</w:t>
      </w:r>
    </w:p>
    <w:p w:rsidR="00885A30" w:rsidRPr="00885A30" w:rsidRDefault="00885A30">
      <w:pPr>
        <w:pStyle w:val="Normaltindrag"/>
        <w:shd w:val="clear" w:color="000000" w:fill="auto"/>
      </w:pPr>
      <w:r w:rsidRPr="00885A30">
        <w:t>Vi är eniga om att glesbefolkade områden med god tillgång till obebyggda stränder ska kunna få fler dispenser, utan att strandskyddets syften äventyras. Vi är också eniga om att</w:t>
      </w:r>
      <w:r w:rsidRPr="00885A30">
        <w:t xml:space="preserve"> sådana lättnader i lagstiftningen, i syfte att underlätta utvecklingen av landsbygden, inte ska kunna missbrukas. Av den anledningen anser vi att den lättnadsregel som regeringen föreslår inte är tillräcklig. Rege</w:t>
      </w:r>
      <w:r w:rsidRPr="00885A30">
        <w:t>r</w:t>
      </w:r>
      <w:r w:rsidRPr="00885A30">
        <w:t xml:space="preserve">ingens proposition sägs syfta till ett förtydligande av lagstiftningen. Vi hävdar det motsatta; många oklarheter tillkommer. Klargörande definitioner krävs t.ex. för ”landsbygdsutveckling”, ett begrepp som regeringen lämnat vagt och obestämt, och ”säkerställandet av fri passage för allmänheten”, </w:t>
      </w:r>
      <w:r w:rsidRPr="00885A30">
        <w:t xml:space="preserve">som är något helt annat än allemansrätt och i många fall kan komma att bli verkningslöst. Regeringen måste precisera sina definitioner av begreppen </w:t>
      </w:r>
      <w:r w:rsidRPr="00885A30">
        <w:rPr>
          <w:i/>
        </w:rPr>
        <w:t>landsbygd</w:t>
      </w:r>
      <w:r w:rsidRPr="00885A30">
        <w:t xml:space="preserve"> och </w:t>
      </w:r>
      <w:r w:rsidRPr="00885A30">
        <w:rPr>
          <w:i/>
        </w:rPr>
        <w:t>utveckling</w:t>
      </w:r>
      <w:r w:rsidRPr="00885A30">
        <w:t>. Begreppet utveckling måste tolkas som åtgärder som ger möjli</w:t>
      </w:r>
      <w:r w:rsidRPr="00885A30">
        <w:t>g</w:t>
      </w:r>
      <w:r w:rsidRPr="00885A30">
        <w:t>het till fler bestående arbetstillfällen. Detta bör riksdagen som sin mening ge regeringen till känna.</w:t>
      </w:r>
    </w:p>
    <w:p w:rsidR="00885A30" w:rsidRPr="00885A30" w:rsidRDefault="00885A30">
      <w:pPr>
        <w:pStyle w:val="Normaltindrag"/>
        <w:shd w:val="clear" w:color="000000" w:fill="auto"/>
      </w:pPr>
      <w:r w:rsidRPr="00885A30">
        <w:t>Vi vill ställa högre krav på beslutsunderlaget när områden för landsbygd</w:t>
      </w:r>
      <w:r w:rsidRPr="00885A30">
        <w:t>s</w:t>
      </w:r>
      <w:r w:rsidRPr="00885A30">
        <w:t>utveckling ska inrättas. När ett område ska utgöra grund för dispens eller upphävande ska kommunens tillgång på stränder kartläggas enligt motiven i regeringens förslag. Kartläggningen av kommunens strandområden måste redovisa naturvärden och friluftsaspekter och innehålla kartmaterial som gör det möjligt att bedöma tillgången på olika strandmiljöer. Uppgifter om sä</w:t>
      </w:r>
      <w:r w:rsidRPr="00885A30">
        <w:t>r</w:t>
      </w:r>
      <w:r w:rsidRPr="00885A30">
        <w:t>skilt värdefulla strandbiotoper eller hotade arter ska markeras i kartmaterialet. Populära utflyktsmål ska också kartläggas, liksom strandområ</w:t>
      </w:r>
      <w:r w:rsidRPr="00885A30">
        <w:t>den som är nödvändiga för tätorternas tillgång till natur – även på lång sikt.</w:t>
      </w:r>
    </w:p>
    <w:p w:rsidR="00885A30" w:rsidRPr="00885A30" w:rsidRDefault="00885A30">
      <w:pPr>
        <w:pStyle w:val="Normaltindrag"/>
        <w:shd w:val="clear" w:color="000000" w:fill="auto"/>
        <w:ind w:firstLine="0"/>
      </w:pPr>
      <w:r w:rsidRPr="00885A30">
        <w:t>Detta bör riksdagen som sin mening ge regeringen till känna.</w:t>
      </w:r>
    </w:p>
    <w:p w:rsidR="00885A30" w:rsidRPr="00885A30" w:rsidRDefault="00885A30">
      <w:pPr>
        <w:pStyle w:val="Normaltindrag"/>
        <w:shd w:val="clear" w:color="000000" w:fill="auto"/>
      </w:pPr>
      <w:r w:rsidRPr="00885A30">
        <w:t>Ett uppluckrat strandskydd kan skapa nya konflikter mellan fritids- eller permantboende och områdets befintliga näringsverksamhet. De nytillkomna kan ha synpunkter på t.ex. buller, vilket kan skapa svårigheter för näringsi</w:t>
      </w:r>
      <w:r w:rsidRPr="00885A30">
        <w:t>d</w:t>
      </w:r>
      <w:r w:rsidRPr="00885A30">
        <w:t>kare. I motiveringen för dispens för strandskydd av landsbygdsutveckling</w:t>
      </w:r>
      <w:r w:rsidRPr="00885A30">
        <w:t>s</w:t>
      </w:r>
      <w:r w:rsidRPr="00885A30">
        <w:t>skäl bör kommunen redogöra för rätlinjigheterna för den befintliga näring</w:t>
      </w:r>
      <w:r w:rsidRPr="00885A30">
        <w:t>s</w:t>
      </w:r>
      <w:r w:rsidRPr="00885A30">
        <w:t>verksamheten. Detta bör riksdagen som sin mening ge regeringen till känna.</w:t>
      </w:r>
    </w:p>
    <w:p w:rsidR="00885A30" w:rsidRPr="00885A30" w:rsidRDefault="00885A30">
      <w:pPr>
        <w:pStyle w:val="Normaltindrag"/>
        <w:shd w:val="clear" w:color="000000" w:fill="auto"/>
      </w:pPr>
      <w:r w:rsidRPr="00885A30">
        <w:t>Enligt regeringen går det att bortse från kravet på landsbygdsutveckling om ett bostadshus planeras invid redan befintliga bostadshus i området. R</w:t>
      </w:r>
      <w:r w:rsidRPr="00885A30">
        <w:t>e</w:t>
      </w:r>
      <w:r w:rsidRPr="00885A30">
        <w:t>geln riskerar att ge upphov till oönskade kedjereaktioner; ett nytt hus byggs vid ett hus som byggts vid ett befintligt hus osv. Därför är det av största vikt att nybyggen av detta slag kan härledas till landsbygdsutveckling som leder till bestående arbetstillfällen. Detta bör riksdagen som sin mening ge rege</w:t>
      </w:r>
      <w:r w:rsidRPr="00885A30">
        <w:t>r</w:t>
      </w:r>
      <w:r w:rsidRPr="00885A30">
        <w:t>ingen till känna.</w:t>
      </w:r>
    </w:p>
    <w:p w:rsidR="00885A30" w:rsidRPr="00885A30" w:rsidRDefault="00885A30">
      <w:pPr>
        <w:pStyle w:val="Rubrik1"/>
        <w:shd w:val="clear" w:color="000000" w:fill="auto"/>
      </w:pPr>
      <w:r w:rsidRPr="00885A30">
        <w:t>Skärpningar i handläggningen av strandskyddsbeslut</w:t>
      </w:r>
    </w:p>
    <w:p w:rsidR="00885A30" w:rsidRPr="00885A30" w:rsidRDefault="00885A30">
      <w:pPr>
        <w:pStyle w:val="Normaltindrag"/>
        <w:shd w:val="clear" w:color="000000" w:fill="auto"/>
        <w:ind w:firstLine="0"/>
      </w:pPr>
      <w:r w:rsidRPr="00885A30">
        <w:t>Dagens strandskydd bygger på stränga regler, tillkomna för att skydda allas intresse. Men möjligheterna till överprövning har varit närmast obefintliga, och kommunerna har under årens lopp – medvetet eller av okunskap – kunnat utfärda ett stort antal tveksamma dispenser. Som exempel kan nämnas att av de dryga 150 fall som Naturvårdsverket överklagade 2007 hade verket fra</w:t>
      </w:r>
      <w:r w:rsidRPr="00885A30">
        <w:t>m</w:t>
      </w:r>
      <w:r w:rsidRPr="00885A30">
        <w:t>gång i 80–90 % av fallen. Behovet av en starkare kontroll är stort.</w:t>
      </w:r>
    </w:p>
    <w:p w:rsidR="00885A30" w:rsidRPr="00885A30" w:rsidRDefault="00885A30">
      <w:pPr>
        <w:pStyle w:val="Normaltindrag"/>
        <w:shd w:val="clear" w:color="000000" w:fill="auto"/>
      </w:pPr>
      <w:r w:rsidRPr="00885A30">
        <w:t>Vi föreslår därför följande: När ett kommunalt beslut om dispens eller upphävande saknar redovisning av skälen för beslutet ska detta utgöra grund för att beslutet ska kunna rivas upp efter överklagande eller i en överprö</w:t>
      </w:r>
      <w:r w:rsidRPr="00885A30">
        <w:t>v</w:t>
      </w:r>
      <w:r w:rsidRPr="00885A30">
        <w:t>ning. Detta bör riksdagen som sin mening ge regeringen till känna.</w:t>
      </w:r>
    </w:p>
    <w:p w:rsidR="00885A30" w:rsidRPr="00885A30" w:rsidRDefault="00885A30">
      <w:pPr>
        <w:pStyle w:val="Normaltindrag"/>
        <w:shd w:val="clear" w:color="000000" w:fill="auto"/>
      </w:pPr>
      <w:r w:rsidRPr="00885A30">
        <w:t>Den svaga rättstillämpningen av strandskyddet har också sin orsak i sv</w:t>
      </w:r>
      <w:r w:rsidRPr="00885A30">
        <w:t>å</w:t>
      </w:r>
      <w:r w:rsidRPr="00885A30">
        <w:t>righeterna att överklaga. Ideella föreningar som enligt sina stadgar tar till vara på naturskydds- och miljöskyddsintressen har rätten att överklaga dispenser. Föreningen ska dock ha bedrivit verksamhet i Sverige under minst tre år och ha lägst 2 000 medlemmar. Även lokala miljö- och friluftsorganisationer med som kortast tre års aktivitet och lägst 500 medlemmar ska ha överklagand</w:t>
      </w:r>
      <w:r w:rsidRPr="00885A30">
        <w:t>e</w:t>
      </w:r>
      <w:r w:rsidRPr="00885A30">
        <w:t>rätt. Detta bör riksdagen som sin mening ge regeringen till känna.</w:t>
      </w:r>
    </w:p>
    <w:p w:rsidR="00885A30" w:rsidRPr="00885A30" w:rsidRDefault="00885A30">
      <w:pPr>
        <w:pStyle w:val="Normaltindrag"/>
        <w:shd w:val="clear" w:color="000000" w:fill="auto"/>
      </w:pPr>
      <w:r w:rsidRPr="00885A30">
        <w:t>Vi vill förtydliga regeringens förslag om att en fri passag</w:t>
      </w:r>
      <w:r w:rsidRPr="00885A30">
        <w:t>e alltid ska sparas närmast strandlinjen, såvida det ”inte är omöjligt” med hänsyn till byggn</w:t>
      </w:r>
      <w:r w:rsidRPr="00885A30">
        <w:t>a</w:t>
      </w:r>
      <w:r w:rsidRPr="00885A30">
        <w:t>dens eller anläggningens funktion. Kommunerna måste i sina nämnder fatta beslut om tomtplatsavgränsning; i annat fall är det olagligt att passera nära bostäderna. Det är inte alltid kommuner fattar dessa beslut. Därför ska di</w:t>
      </w:r>
      <w:r w:rsidRPr="00885A30">
        <w:t>s</w:t>
      </w:r>
      <w:r w:rsidRPr="00885A30">
        <w:t>pens- eller upphävandebeslut gällande bostäder utan tomtplatsavgränsning kunna rivas upp efter ett överklagande.</w:t>
      </w:r>
    </w:p>
    <w:p w:rsidR="00885A30" w:rsidRPr="00885A30" w:rsidRDefault="00885A30">
      <w:pPr>
        <w:pStyle w:val="Normaltindrag"/>
        <w:shd w:val="clear" w:color="000000" w:fill="auto"/>
      </w:pPr>
      <w:r w:rsidRPr="00885A30">
        <w:t xml:space="preserve">Vidare ska passagen i normalfallet vara minst </w:t>
      </w:r>
      <w:smartTag w:uri="urn:schemas-microsoft-com:office:smarttags" w:element="metricconverter">
        <w:smartTagPr>
          <w:attr w:name="ProductID" w:val="60 meter"/>
        </w:smartTagPr>
        <w:r w:rsidRPr="00885A30">
          <w:t>60 meter</w:t>
        </w:r>
      </w:smartTag>
      <w:r w:rsidRPr="00885A30">
        <w:t xml:space="preserve"> – inte ”minst några tiotal meter” som regeringen anger. En bred passage krävs för att allmänheten ska våga</w:t>
      </w:r>
      <w:r w:rsidRPr="00885A30">
        <w:rPr>
          <w:spacing w:val="-2"/>
        </w:rPr>
        <w:t xml:space="preserve"> passera. Detta bör riksdagen som sin mening ge regeringen till kän</w:t>
      </w:r>
      <w:r w:rsidRPr="00885A30">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A30">
        <w:trPr>
          <w:cantSplit/>
        </w:trPr>
        <w:tc>
          <w:tcPr>
            <w:tcW w:w="3046" w:type="dxa"/>
          </w:tcPr>
          <w:p w:rsidR="00885A30" w:rsidRPr="00885A30" w:rsidRDefault="00885A30">
            <w:pPr>
              <w:pStyle w:val="UnderskriftDatum"/>
              <w:shd w:val="clear" w:color="000000" w:fill="auto"/>
              <w:spacing w:before="240"/>
            </w:pPr>
            <w:r w:rsidRPr="00885A30">
              <w:t>Stockholm den 10 mars 2009</w:t>
            </w:r>
          </w:p>
        </w:tc>
        <w:tc>
          <w:tcPr>
            <w:tcW w:w="3047" w:type="dxa"/>
          </w:tcPr>
          <w:p w:rsidR="00885A30" w:rsidRPr="00885A30" w:rsidRDefault="00885A30">
            <w:pPr>
              <w:pStyle w:val="Underskrifter"/>
              <w:shd w:val="clear" w:color="000000" w:fill="auto"/>
              <w:spacing w:before="240"/>
            </w:pPr>
          </w:p>
        </w:tc>
      </w:tr>
      <w:tr w:rsidR="00000000" w:rsidRPr="00885A30">
        <w:trPr>
          <w:cantSplit/>
        </w:trPr>
        <w:tc>
          <w:tcPr>
            <w:tcW w:w="3046" w:type="dxa"/>
          </w:tcPr>
          <w:p w:rsidR="00885A30" w:rsidRPr="00885A30" w:rsidRDefault="00885A30">
            <w:pPr>
              <w:pStyle w:val="Underskrifter"/>
              <w:shd w:val="clear" w:color="000000" w:fill="auto"/>
            </w:pPr>
            <w:r w:rsidRPr="00885A30">
              <w:t>Wiwi-Anne Johansson (v)</w:t>
            </w:r>
          </w:p>
        </w:tc>
        <w:tc>
          <w:tcPr>
            <w:tcW w:w="3046" w:type="dxa"/>
          </w:tcPr>
          <w:p w:rsidR="00885A30" w:rsidRPr="00885A30" w:rsidRDefault="00885A30">
            <w:pPr>
              <w:pStyle w:val="Underskrifter"/>
              <w:shd w:val="clear" w:color="000000" w:fill="auto"/>
            </w:pPr>
          </w:p>
        </w:tc>
      </w:tr>
      <w:tr w:rsidR="00000000" w:rsidRPr="00885A30">
        <w:trPr>
          <w:cantSplit/>
        </w:trPr>
        <w:tc>
          <w:tcPr>
            <w:tcW w:w="3046" w:type="dxa"/>
          </w:tcPr>
          <w:p w:rsidR="00885A30" w:rsidRPr="00885A30" w:rsidRDefault="00885A30">
            <w:pPr>
              <w:pStyle w:val="Underskrifter"/>
              <w:shd w:val="clear" w:color="000000" w:fill="auto"/>
            </w:pPr>
            <w:r w:rsidRPr="00885A30">
              <w:t>Jacob Johnson (v)</w:t>
            </w:r>
          </w:p>
        </w:tc>
        <w:tc>
          <w:tcPr>
            <w:tcW w:w="3046" w:type="dxa"/>
          </w:tcPr>
          <w:p w:rsidR="00885A30" w:rsidRPr="00885A30" w:rsidRDefault="00885A30">
            <w:pPr>
              <w:pStyle w:val="Underskrifter"/>
              <w:shd w:val="clear" w:color="000000" w:fill="auto"/>
            </w:pPr>
            <w:r w:rsidRPr="00885A30">
              <w:t>Jan-Olof Larsson (s)</w:t>
            </w:r>
          </w:p>
        </w:tc>
      </w:tr>
      <w:tr w:rsidR="00000000" w:rsidRPr="00885A30">
        <w:trPr>
          <w:cantSplit/>
        </w:trPr>
        <w:tc>
          <w:tcPr>
            <w:tcW w:w="3046" w:type="dxa"/>
          </w:tcPr>
          <w:p w:rsidR="00885A30" w:rsidRPr="00885A30" w:rsidRDefault="00885A30">
            <w:pPr>
              <w:pStyle w:val="Underskrifter"/>
              <w:shd w:val="clear" w:color="000000" w:fill="auto"/>
            </w:pPr>
            <w:r w:rsidRPr="00885A30">
              <w:t>Anders Ygeman (s)</w:t>
            </w:r>
          </w:p>
        </w:tc>
        <w:tc>
          <w:tcPr>
            <w:tcW w:w="3046" w:type="dxa"/>
          </w:tcPr>
          <w:p w:rsidR="00885A30" w:rsidRPr="00885A30" w:rsidRDefault="00885A30">
            <w:pPr>
              <w:pStyle w:val="Underskrifter"/>
              <w:shd w:val="clear" w:color="000000" w:fill="auto"/>
            </w:pPr>
            <w:r w:rsidRPr="00885A30">
              <w:t>Tina Ehn (mp)</w:t>
            </w:r>
          </w:p>
        </w:tc>
      </w:tr>
      <w:tr w:rsidR="00000000" w:rsidRPr="00885A30">
        <w:trPr>
          <w:cantSplit/>
        </w:trPr>
        <w:tc>
          <w:tcPr>
            <w:tcW w:w="3046" w:type="dxa"/>
          </w:tcPr>
          <w:p w:rsidR="00885A30" w:rsidRPr="00885A30" w:rsidRDefault="00885A30">
            <w:pPr>
              <w:pStyle w:val="Underskrifter"/>
              <w:shd w:val="clear" w:color="000000" w:fill="auto"/>
            </w:pPr>
            <w:r w:rsidRPr="00885A30">
              <w:t>Per Bolund (mp)</w:t>
            </w:r>
          </w:p>
        </w:tc>
        <w:tc>
          <w:tcPr>
            <w:tcW w:w="3046" w:type="dxa"/>
          </w:tcPr>
          <w:p w:rsidR="00885A30" w:rsidRPr="00885A30" w:rsidRDefault="00885A30">
            <w:pPr>
              <w:pStyle w:val="Underskrifter"/>
              <w:shd w:val="clear" w:color="000000" w:fill="auto"/>
            </w:pPr>
          </w:p>
        </w:tc>
      </w:tr>
    </w:tbl>
    <w:p w:rsidR="00885A30" w:rsidRPr="00885A30" w:rsidRDefault="00885A30">
      <w:pPr>
        <w:pStyle w:val="Normaltindrag"/>
        <w:shd w:val="clear" w:color="000000" w:fill="auto"/>
      </w:pPr>
    </w:p>
    <w:sectPr w:rsidR="00000000" w:rsidRPr="00885A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A30" w:rsidRPr="00885A30" w:rsidRDefault="00885A30">
      <w:r w:rsidRPr="00885A30">
        <w:separator/>
      </w:r>
    </w:p>
  </w:endnote>
  <w:endnote w:type="continuationSeparator" w:id="0">
    <w:p w:rsidR="00885A30" w:rsidRPr="00885A30" w:rsidRDefault="00885A30">
      <w:r w:rsidRPr="00885A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3000000"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30" w:rsidRPr="00885A30" w:rsidRDefault="00885A30">
    <w:pPr>
      <w:pStyle w:val="Sidfot"/>
    </w:pPr>
    <w:r w:rsidRPr="00885A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2969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A30" w:rsidRDefault="00885A3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5A30" w:rsidRDefault="00885A3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30" w:rsidRPr="00885A30" w:rsidRDefault="00885A30">
    <w:pPr>
      <w:pStyle w:val="Sidfot"/>
    </w:pPr>
    <w:r w:rsidRPr="00885A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4593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A30" w:rsidRDefault="00885A3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5A30" w:rsidRDefault="00885A3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30" w:rsidRPr="00885A30" w:rsidRDefault="00885A30">
    <w:pPr>
      <w:pStyle w:val="Sidfot"/>
    </w:pPr>
    <w:r w:rsidRPr="00885A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639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A30" w:rsidRDefault="00885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5A30" w:rsidRDefault="00885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A30" w:rsidRPr="00885A30" w:rsidRDefault="00885A30">
      <w:r w:rsidRPr="00885A30">
        <w:separator/>
      </w:r>
    </w:p>
  </w:footnote>
  <w:footnote w:type="continuationSeparator" w:id="0">
    <w:p w:rsidR="00885A30" w:rsidRPr="00885A30" w:rsidRDefault="00885A30">
      <w:r w:rsidRPr="00885A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30" w:rsidRPr="00885A30" w:rsidRDefault="00885A30">
    <w:pPr>
      <w:pStyle w:val="Sidhuvud"/>
    </w:pPr>
    <w:r w:rsidRPr="00885A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3765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A30" w:rsidRDefault="00885A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5A30" w:rsidRDefault="00885A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30" w:rsidRPr="00885A30" w:rsidRDefault="00885A30">
    <w:pPr>
      <w:pStyle w:val="Sidhuvud"/>
    </w:pPr>
    <w:r w:rsidRPr="00885A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1847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A30" w:rsidRDefault="00885A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5A30" w:rsidRDefault="00885A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A30" w:rsidRPr="00885A30" w:rsidRDefault="00885A30">
    <w:pPr>
      <w:pStyle w:val="FSHNormal"/>
      <w:tabs>
        <w:tab w:val="right" w:pos="5840"/>
      </w:tabs>
    </w:pPr>
    <w:r w:rsidRPr="00885A30">
      <w:br/>
    </w:r>
    <w:r w:rsidRPr="00885A30">
      <w:fldChar w:fldCharType="begin" w:fldLock="1"/>
    </w:r>
    <w:r w:rsidRPr="00885A30">
      <w:instrText xml:space="preserve"> DOCPROPERTY</w:instrText>
    </w:r>
    <w:r w:rsidRPr="00885A30">
      <w:rPr>
        <w:sz w:val="18"/>
      </w:rPr>
      <w:instrText xml:space="preserve"> "YearUser" *\charformat </w:instrText>
    </w:r>
    <w:r w:rsidRPr="00885A30">
      <w:fldChar w:fldCharType="separate"/>
    </w:r>
    <w:r w:rsidRPr="00885A30">
      <w:t>2008/09</w:t>
    </w:r>
    <w:r w:rsidRPr="00885A30">
      <w:fldChar w:fldCharType="end"/>
    </w:r>
    <w:r w:rsidRPr="00885A30">
      <w:t xml:space="preserve"> </w:t>
    </w:r>
    <w:r w:rsidRPr="00885A30">
      <w:tab/>
      <w:t xml:space="preserve">mnr: </w:t>
    </w:r>
    <w:r w:rsidRPr="00885A30">
      <w:fldChar w:fldCharType="begin" w:fldLock="1"/>
    </w:r>
    <w:r w:rsidRPr="00885A30">
      <w:instrText xml:space="preserve"> DOCPROPERTY</w:instrText>
    </w:r>
    <w:r w:rsidRPr="00885A30">
      <w:rPr>
        <w:sz w:val="18"/>
      </w:rPr>
      <w:instrText xml:space="preserve"> "Motionsnummer" *\charformat </w:instrText>
    </w:r>
    <w:r w:rsidRPr="00885A30">
      <w:fldChar w:fldCharType="separate"/>
    </w:r>
    <w:r w:rsidRPr="00885A30">
      <w:t>MJ6</w:t>
    </w:r>
    <w:r w:rsidRPr="00885A30">
      <w:fldChar w:fldCharType="end"/>
    </w:r>
    <w:r w:rsidRPr="00885A30">
      <w:br/>
    </w:r>
    <w:r w:rsidRPr="00885A30">
      <w:fldChar w:fldCharType="begin" w:fldLock="1"/>
    </w:r>
    <w:r w:rsidRPr="00885A30">
      <w:instrText xml:space="preserve"> DOCPROPERTY</w:instrText>
    </w:r>
    <w:r w:rsidRPr="00885A30">
      <w:rPr>
        <w:sz w:val="18"/>
      </w:rPr>
      <w:instrText xml:space="preserve"> "Samling" *\charformat </w:instrText>
    </w:r>
    <w:r w:rsidRPr="00885A30">
      <w:fldChar w:fldCharType="end"/>
    </w:r>
    <w:r w:rsidRPr="00885A30">
      <w:tab/>
      <w:t xml:space="preserve">pnr: </w:t>
    </w:r>
    <w:r w:rsidRPr="00885A30">
      <w:fldChar w:fldCharType="begin" w:fldLock="1"/>
    </w:r>
    <w:r w:rsidRPr="00885A30">
      <w:instrText xml:space="preserve"> DOCPROPERTY</w:instrText>
    </w:r>
    <w:r w:rsidRPr="00885A30">
      <w:rPr>
        <w:sz w:val="18"/>
      </w:rPr>
      <w:instrText xml:space="preserve"> "Partinummer" *\charformat </w:instrText>
    </w:r>
    <w:r w:rsidRPr="00885A30">
      <w:fldChar w:fldCharType="separate"/>
    </w:r>
    <w:r w:rsidRPr="00885A30">
      <w:t>-s44</w:t>
    </w:r>
    <w:r w:rsidRPr="00885A30">
      <w:fldChar w:fldCharType="end"/>
    </w:r>
  </w:p>
  <w:p w:rsidR="00885A30" w:rsidRPr="00885A30" w:rsidRDefault="00885A30">
    <w:pPr>
      <w:pStyle w:val="FSHRub1"/>
    </w:pPr>
    <w:r w:rsidRPr="00885A30">
      <w:t>Motion till riksdagen</w:t>
    </w:r>
    <w:r w:rsidRPr="00885A30">
      <w:br/>
    </w:r>
    <w:r w:rsidRPr="00885A30">
      <w:fldChar w:fldCharType="begin" w:fldLock="1"/>
    </w:r>
    <w:r w:rsidRPr="00885A30">
      <w:instrText xml:space="preserve"> DOCPROPERTY "YearUser" *\charformat </w:instrText>
    </w:r>
    <w:r w:rsidRPr="00885A30">
      <w:fldChar w:fldCharType="separate"/>
    </w:r>
    <w:r w:rsidRPr="00885A30">
      <w:t>2008/09</w:t>
    </w:r>
    <w:r w:rsidRPr="00885A30">
      <w:fldChar w:fldCharType="end"/>
    </w:r>
    <w:r w:rsidRPr="00885A30">
      <w:t>:</w:t>
    </w:r>
    <w:r w:rsidRPr="00885A30">
      <w:fldChar w:fldCharType="begin" w:fldLock="1"/>
    </w:r>
    <w:r w:rsidRPr="00885A30">
      <w:instrText xml:space="preserve"> DOCPROPERTY "Motionsnummer" *\charformat </w:instrText>
    </w:r>
    <w:r w:rsidRPr="00885A30">
      <w:fldChar w:fldCharType="separate"/>
    </w:r>
    <w:r w:rsidRPr="00885A30">
      <w:t>MJ6</w:t>
    </w:r>
    <w:r w:rsidRPr="00885A30">
      <w:fldChar w:fldCharType="end"/>
    </w:r>
  </w:p>
  <w:p w:rsidR="00885A30" w:rsidRPr="00885A30" w:rsidRDefault="00885A30">
    <w:pPr>
      <w:pStyle w:val="FSHNormalS5"/>
    </w:pPr>
    <w:r w:rsidRPr="00885A30">
      <w:fldChar w:fldCharType="begin" w:fldLock="1"/>
    </w:r>
    <w:r w:rsidRPr="00885A30">
      <w:instrText xml:space="preserve"> DOCPROPERTY "MotionarText" *\charformat </w:instrText>
    </w:r>
    <w:r w:rsidRPr="00885A30">
      <w:fldChar w:fldCharType="separate"/>
    </w:r>
    <w:r w:rsidRPr="00885A30">
      <w:t>av Wiwi-Anne Johansson m.fl. (v, s, mp)</w:t>
    </w:r>
    <w:r w:rsidRPr="00885A30">
      <w:fldChar w:fldCharType="end"/>
    </w:r>
    <w:r w:rsidRPr="00885A30">
      <w:br/>
    </w:r>
    <w:r w:rsidRPr="00885A30">
      <w:fldChar w:fldCharType="begin" w:fldLock="1"/>
    </w:r>
    <w:r w:rsidRPr="00885A30">
      <w:instrText xml:space="preserve"> DOCPROPERTY "SvarFrasKort" *\charformat </w:instrText>
    </w:r>
    <w:r w:rsidRPr="00885A30">
      <w:fldChar w:fldCharType="separate"/>
    </w:r>
    <w:r w:rsidRPr="00885A30">
      <w:t>med anledning av prop. 2008/09:119</w:t>
    </w:r>
    <w:r w:rsidRPr="00885A30">
      <w:fldChar w:fldCharType="end"/>
    </w:r>
  </w:p>
  <w:p w:rsidR="00885A30" w:rsidRPr="00885A30" w:rsidRDefault="00885A30">
    <w:pPr>
      <w:pStyle w:val="FSHTitel"/>
    </w:pPr>
    <w:r w:rsidRPr="00885A30">
      <w:fldChar w:fldCharType="begin" w:fldLock="1"/>
    </w:r>
    <w:r w:rsidRPr="00885A30">
      <w:instrText xml:space="preserve"> DOCPROPERTY</w:instrText>
    </w:r>
    <w:r w:rsidRPr="00885A30">
      <w:rPr>
        <w:sz w:val="18"/>
      </w:rPr>
      <w:instrText xml:space="preserve"> "RubrikSvar" *\charformat </w:instrText>
    </w:r>
    <w:r w:rsidRPr="00885A30">
      <w:fldChar w:fldCharType="separate"/>
    </w:r>
    <w:r w:rsidRPr="00885A30">
      <w:t>Strandskyddet och utvecklingen av landsbygden</w:t>
    </w:r>
    <w:r w:rsidRPr="00885A30">
      <w:fldChar w:fldCharType="end"/>
    </w:r>
  </w:p>
  <w:p w:rsidR="00885A30" w:rsidRPr="00885A30" w:rsidRDefault="00885A30">
    <w:pPr>
      <w:pStyle w:val="Normal00"/>
    </w:pPr>
  </w:p>
  <w:p w:rsidR="00885A30" w:rsidRPr="00885A30" w:rsidRDefault="00885A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621E04"/>
    <w:multiLevelType w:val="hybridMultilevel"/>
    <w:tmpl w:val="60181778"/>
    <w:lvl w:ilvl="0" w:tplc="602E3BCC">
      <w:numFmt w:val="bullet"/>
      <w:lvlText w:val="?"/>
      <w:lvlJc w:val="left"/>
      <w:pPr>
        <w:tabs>
          <w:tab w:val="num" w:pos="632"/>
        </w:tabs>
        <w:ind w:left="632" w:hanging="405"/>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Wingdings"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Wingdings"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Wingdings"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132C27"/>
    <w:multiLevelType w:val="hybridMultilevel"/>
    <w:tmpl w:val="5710511E"/>
    <w:lvl w:ilvl="0" w:tplc="0B505A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DC2"/>
    <w:multiLevelType w:val="multilevel"/>
    <w:tmpl w:val="DA84A7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97D32FD"/>
    <w:multiLevelType w:val="multilevel"/>
    <w:tmpl w:val="7C8C92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6E1C6D45"/>
    <w:multiLevelType w:val="multilevel"/>
    <w:tmpl w:val="C80E57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7772372">
    <w:abstractNumId w:val="8"/>
  </w:num>
  <w:num w:numId="2" w16cid:durableId="1252663153">
    <w:abstractNumId w:val="9"/>
  </w:num>
  <w:num w:numId="3" w16cid:durableId="1570798970">
    <w:abstractNumId w:val="8"/>
  </w:num>
  <w:num w:numId="4" w16cid:durableId="175928653">
    <w:abstractNumId w:val="9"/>
  </w:num>
  <w:num w:numId="5" w16cid:durableId="1347751886">
    <w:abstractNumId w:val="15"/>
  </w:num>
  <w:num w:numId="6" w16cid:durableId="1948468178">
    <w:abstractNumId w:val="10"/>
  </w:num>
  <w:num w:numId="7" w16cid:durableId="369382643">
    <w:abstractNumId w:val="12"/>
  </w:num>
  <w:num w:numId="8" w16cid:durableId="1095706469">
    <w:abstractNumId w:val="13"/>
  </w:num>
  <w:num w:numId="9" w16cid:durableId="102262296">
    <w:abstractNumId w:val="8"/>
  </w:num>
  <w:num w:numId="10" w16cid:durableId="2094081346">
    <w:abstractNumId w:val="3"/>
  </w:num>
  <w:num w:numId="11" w16cid:durableId="37975018">
    <w:abstractNumId w:val="2"/>
  </w:num>
  <w:num w:numId="12" w16cid:durableId="582959862">
    <w:abstractNumId w:val="1"/>
  </w:num>
  <w:num w:numId="13" w16cid:durableId="356933005">
    <w:abstractNumId w:val="0"/>
  </w:num>
  <w:num w:numId="14" w16cid:durableId="769818620">
    <w:abstractNumId w:val="9"/>
  </w:num>
  <w:num w:numId="15" w16cid:durableId="1299993374">
    <w:abstractNumId w:val="7"/>
  </w:num>
  <w:num w:numId="16" w16cid:durableId="2014331678">
    <w:abstractNumId w:val="6"/>
  </w:num>
  <w:num w:numId="17" w16cid:durableId="242299178">
    <w:abstractNumId w:val="5"/>
  </w:num>
  <w:num w:numId="18" w16cid:durableId="1717005796">
    <w:abstractNumId w:val="4"/>
  </w:num>
  <w:num w:numId="19" w16cid:durableId="116804232">
    <w:abstractNumId w:val="11"/>
  </w:num>
  <w:num w:numId="20" w16cid:durableId="2099785442">
    <w:abstractNumId w:val="16"/>
  </w:num>
  <w:num w:numId="21" w16cid:durableId="1046875437">
    <w:abstractNumId w:val="12"/>
    <w:lvlOverride w:ilvl="0">
      <w:startOverride w:val="1"/>
    </w:lvlOverride>
  </w:num>
  <w:num w:numId="22" w16cid:durableId="614555672">
    <w:abstractNumId w:val="14"/>
  </w:num>
  <w:num w:numId="23" w16cid:durableId="1231230204">
    <w:abstractNumId w:val="18"/>
  </w:num>
  <w:num w:numId="24" w16cid:durableId="1035928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3"/>
    <w:docVar w:name="PersonGUIDs" w:val="{93F71F64-B3B2-464F-BCC5-C49DA1B8F0E4},{70ED92E7-062B-44F5-98C0-1732E6D079B7},{2A510361-2DB0-49A0-A348-7593CE268EB9},{A507F21D-0507-473C-BE5A-C36D18D583BF},{18C74A2A-AE65-4127-9CEA-CFF157E3C4FA},{7CC9A58C-3141-48A3-86B8-8EA19B911E01}"/>
  </w:docVars>
  <w:rsids>
    <w:rsidRoot w:val="000F4B0D"/>
    <w:rsid w:val="000F4B0D"/>
    <w:rsid w:val="00885A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F1A92E2D-907F-4930-B247-714BB7BB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link w:val="BallongtextChar"/>
    <w:pPr>
      <w:spacing w:line="240" w:lineRule="auto"/>
    </w:pPr>
    <w:rPr>
      <w:rFonts w:ascii="Lucida Grande" w:hAnsi="Lucida Grande"/>
      <w:sz w:val="18"/>
      <w:szCs w:val="18"/>
    </w:rPr>
  </w:style>
  <w:style w:type="character" w:customStyle="1" w:styleId="BallongtextChar">
    <w:name w:val="Ballongtext Char"/>
    <w:basedOn w:val="Standardstycketeckensnitt"/>
    <w:link w:val="Ballongtext"/>
    <w:rPr>
      <w:rFonts w:ascii="Lucida Grande" w:hAnsi="Lucida Grande"/>
      <w:sz w:val="18"/>
      <w:szCs w:val="18"/>
    </w:rPr>
  </w:style>
  <w:style w:type="character" w:styleId="Kommentarsreferens">
    <w:name w:val="annotation reference"/>
    <w:basedOn w:val="Standardstycketeckensnitt"/>
    <w:rPr>
      <w:sz w:val="18"/>
      <w:szCs w:val="18"/>
    </w:rPr>
  </w:style>
  <w:style w:type="paragraph" w:styleId="Kommentarer">
    <w:name w:val="annotation text"/>
    <w:basedOn w:val="Normal"/>
    <w:link w:val="KommentarerChar"/>
    <w:rPr>
      <w:szCs w:val="24"/>
    </w:rPr>
  </w:style>
  <w:style w:type="character" w:customStyle="1" w:styleId="KommentarerChar">
    <w:name w:val="Kommentarer Char"/>
    <w:basedOn w:val="Standardstycketeckensnitt"/>
    <w:link w:val="Kommentarer"/>
    <w:rPr>
      <w:sz w:val="24"/>
      <w:szCs w:val="24"/>
    </w:rPr>
  </w:style>
  <w:style w:type="paragraph" w:styleId="Kommentarsmne">
    <w:name w:val="annotation subject"/>
    <w:basedOn w:val="Kommentarer"/>
    <w:next w:val="Kommentarer"/>
    <w:link w:val="KommentarsmneChar"/>
    <w:rPr>
      <w:b/>
      <w:bCs/>
      <w:sz w:val="20"/>
      <w:szCs w:val="20"/>
    </w:rPr>
  </w:style>
  <w:style w:type="character" w:customStyle="1" w:styleId="KommentarsmneChar">
    <w:name w:val="Kommentarsämne Char"/>
    <w:basedOn w:val="KommentarerChar"/>
    <w:link w:val="Kommentarsmn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13624</Characters>
  <Application>Microsoft Office Word</Application>
  <DocSecurity>4</DocSecurity>
  <Lines>243</Lines>
  <Paragraphs>63</Paragraphs>
  <ScaleCrop>false</ScaleCrop>
  <HeadingPairs>
    <vt:vector size="2" baseType="variant">
      <vt:variant>
        <vt:lpstr>Rubrik</vt:lpstr>
      </vt:variant>
      <vt:variant>
        <vt:i4>1</vt:i4>
      </vt:variant>
    </vt:vector>
  </HeadingPairs>
  <TitlesOfParts>
    <vt:vector size="1" baseType="lpstr">
      <vt:lpstr>v044</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v044</dc:title>
  <dc:subject>v044</dc:subject>
  <dc:creator>Lars Brink</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2009-03-17T15:41:00Z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mot2000_496_2009-02-23</vt:lpwstr>
  </property>
  <property fmtid="{D5CDD505-2E9C-101B-9397-08002B2CF9AE}" pid="3" name="version">
    <vt:lpwstr>mot2000_496_2009-02-23</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2008/09:119 Strandskyddet och utvecklingen av landsbygden</vt:lpwstr>
  </property>
  <property fmtid="{D5CDD505-2E9C-101B-9397-08002B2CF9AE}" pid="11" name="SvarFrasKort">
    <vt:lpwstr>med anledning av prop. 2008/09:119</vt:lpwstr>
  </property>
  <property fmtid="{D5CDD505-2E9C-101B-9397-08002B2CF9AE}" pid="12" name="Svar">
    <vt:lpwstr>Proposition</vt:lpwstr>
  </property>
  <property fmtid="{D5CDD505-2E9C-101B-9397-08002B2CF9AE}" pid="13" name="SvarNr">
    <vt:lpwstr>2008/09:119</vt:lpwstr>
  </property>
  <property fmtid="{D5CDD505-2E9C-101B-9397-08002B2CF9AE}" pid="14" name="RubrikSvar">
    <vt:lpwstr>Strandskyddet och utvecklingen av landsbygden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Wiwi-Anne Johansson m.fl. (v, s, mp)</vt:lpwstr>
  </property>
  <property fmtid="{D5CDD505-2E9C-101B-9397-08002B2CF9AE}" pid="26" name="MotionarLista">
    <vt:lpwstr>Johansson, Wiwi-Anne (v)\Johnson, Jacob (v)\Larsson, Jan-Olof (s)\Ygeman, Anders (s)\Ehn,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Jan-Olof Larsson (s), Anders Ygeman (s), 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165</vt:lpwstr>
  </property>
  <property fmtid="{D5CDD505-2E9C-101B-9397-08002B2CF9AE}" pid="35" name="Samling">
    <vt:lpwstr/>
  </property>
  <property fmtid="{D5CDD505-2E9C-101B-9397-08002B2CF9AE}" pid="36" name="SamlingPrint">
    <vt:lpwstr/>
  </property>
  <property fmtid="{D5CDD505-2E9C-101B-9397-08002B2CF9AE}" pid="37" name="Motionsnummer">
    <vt:lpwstr>MJ6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20082009000000000118000000440070</vt:lpwstr>
  </property>
  <property fmtid="{D5CDD505-2E9C-101B-9397-08002B2CF9AE}" pid="47" name="datum">
    <vt:lpwstr>090310</vt:lpwstr>
  </property>
  <property fmtid="{D5CDD505-2E9C-101B-9397-08002B2CF9AE}" pid="48" name="avsändar-e-post">
    <vt:lpwstr>maya.ek@riksdagen.se</vt:lpwstr>
  </property>
  <property fmtid="{D5CDD505-2E9C-101B-9397-08002B2CF9AE}" pid="49" name="id">
    <vt:lpwstr>20082009000000000118000000440070</vt:lpwstr>
  </property>
  <property fmtid="{D5CDD505-2E9C-101B-9397-08002B2CF9AE}" pid="50" name="nummer">
    <vt:lpwstr>6</vt:lpwstr>
  </property>
  <property fmtid="{D5CDD505-2E9C-101B-9397-08002B2CF9AE}" pid="51" name="utskottsbeteckning">
    <vt:lpwstr>MJ</vt:lpwstr>
  </property>
  <property fmtid="{D5CDD505-2E9C-101B-9397-08002B2CF9AE}" pid="52" name="GlobalUID">
    <vt:lpwstr>{21621037-35F6-4F64-AF2A-3C93AA48B1BE}</vt:lpwstr>
  </property>
  <property fmtid="{D5CDD505-2E9C-101B-9397-08002B2CF9AE}" pid="53" name="Överföringar">
    <vt:i4>0</vt:i4>
  </property>
  <property fmtid="{D5CDD505-2E9C-101B-9397-08002B2CF9AE}" pid="54" name="Checksum">
    <vt:lpwstr>*1004938069206*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090721 10:27:18.394</vt:lpwstr>
  </property>
  <property fmtid="{D5CDD505-2E9C-101B-9397-08002B2CF9AE}" pid="58" name="urixGuid">
    <vt:lpwstr>{4B646B6E-EB00-4781-A264-7E0918F10039}</vt:lpwstr>
  </property>
</Properties>
</file>