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80BC073" w14:textId="77777777" w:rsidR="00E02004" w:rsidRPr="00D10746" w:rsidRDefault="00E0200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AA43BB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297960" w:rsidRPr="00D10746">
              <w:rPr>
                <w:b/>
                <w:szCs w:val="24"/>
              </w:rPr>
              <w:t>5</w:t>
            </w:r>
            <w:r w:rsidR="00780842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032072C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955E92">
              <w:rPr>
                <w:szCs w:val="24"/>
              </w:rPr>
              <w:t>5-</w:t>
            </w:r>
            <w:r w:rsidR="00780842">
              <w:rPr>
                <w:szCs w:val="24"/>
              </w:rPr>
              <w:t>18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4CAA8057" w14:textId="77777777" w:rsidR="004A522F" w:rsidRPr="00E02004" w:rsidRDefault="00297960" w:rsidP="00EE1733">
            <w:pPr>
              <w:rPr>
                <w:szCs w:val="24"/>
              </w:rPr>
            </w:pPr>
            <w:r w:rsidRPr="00E02004">
              <w:rPr>
                <w:szCs w:val="24"/>
              </w:rPr>
              <w:t>1</w:t>
            </w:r>
            <w:r w:rsidR="00780842" w:rsidRPr="00E02004">
              <w:rPr>
                <w:szCs w:val="24"/>
              </w:rPr>
              <w:t>1</w:t>
            </w:r>
            <w:r w:rsidR="0024734C" w:rsidRPr="00E02004">
              <w:rPr>
                <w:szCs w:val="24"/>
              </w:rPr>
              <w:t>.</w:t>
            </w:r>
            <w:r w:rsidR="00406AB0" w:rsidRPr="00E02004">
              <w:rPr>
                <w:szCs w:val="24"/>
              </w:rPr>
              <w:t>0</w:t>
            </w:r>
            <w:r w:rsidR="00DB0979" w:rsidRPr="00E02004">
              <w:rPr>
                <w:szCs w:val="24"/>
              </w:rPr>
              <w:t>0</w:t>
            </w:r>
            <w:r w:rsidR="00953995" w:rsidRPr="00E02004">
              <w:rPr>
                <w:szCs w:val="24"/>
              </w:rPr>
              <w:t>–</w:t>
            </w:r>
            <w:r w:rsidR="00E02004" w:rsidRPr="00E02004">
              <w:rPr>
                <w:szCs w:val="24"/>
              </w:rPr>
              <w:t>11</w:t>
            </w:r>
            <w:r w:rsidR="00472FD0" w:rsidRPr="00E02004">
              <w:rPr>
                <w:szCs w:val="24"/>
              </w:rPr>
              <w:t>.</w:t>
            </w:r>
            <w:r w:rsidR="00E02004" w:rsidRPr="00E02004">
              <w:rPr>
                <w:szCs w:val="24"/>
              </w:rPr>
              <w:t>25</w:t>
            </w:r>
          </w:p>
          <w:p w14:paraId="199E69E3" w14:textId="3F863107" w:rsidR="00E02004" w:rsidRPr="00D10746" w:rsidRDefault="00E02004" w:rsidP="00EE1733">
            <w:pPr>
              <w:rPr>
                <w:szCs w:val="24"/>
              </w:rPr>
            </w:pPr>
            <w:r>
              <w:rPr>
                <w:szCs w:val="24"/>
              </w:rPr>
              <w:t>11.45–12.30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8AD8C64" w14:textId="77777777" w:rsidR="00E02004" w:rsidRPr="00D10746" w:rsidRDefault="00E0200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CE1739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0102CBB3" w:rsidR="007B78E7" w:rsidRPr="00E02004" w:rsidRDefault="00737F4C" w:rsidP="00737F4C">
            <w:pPr>
              <w:ind w:right="69"/>
              <w:rPr>
                <w:szCs w:val="24"/>
              </w:rPr>
            </w:pPr>
            <w:r w:rsidRPr="00CC5FCD">
              <w:rPr>
                <w:bCs/>
                <w:szCs w:val="24"/>
              </w:rPr>
              <w:t>Utskottet medgav deltagande på distans för följande ordinarie ledamöter och suppleanter</w:t>
            </w:r>
            <w:r w:rsidRPr="00CC5FCD">
              <w:rPr>
                <w:szCs w:val="24"/>
              </w:rPr>
              <w:t>:</w:t>
            </w:r>
            <w:r w:rsidR="006D6CBA" w:rsidRPr="00CC5FCD">
              <w:rPr>
                <w:szCs w:val="24"/>
              </w:rPr>
              <w:t xml:space="preserve"> </w:t>
            </w:r>
            <w:r w:rsidR="00524134" w:rsidRPr="00E02004">
              <w:rPr>
                <w:szCs w:val="24"/>
              </w:rPr>
              <w:t xml:space="preserve">Kristina Nilsson (S), </w:t>
            </w:r>
            <w:r w:rsidR="00CD2B8A" w:rsidRPr="00E02004">
              <w:rPr>
                <w:szCs w:val="24"/>
              </w:rPr>
              <w:t xml:space="preserve">Camilla Waltersson Grönvall (M), </w:t>
            </w:r>
            <w:r w:rsidRPr="00E02004">
              <w:rPr>
                <w:szCs w:val="24"/>
              </w:rPr>
              <w:t>Ann-Christin Ahlberg (S), Johan Hultberg (M)</w:t>
            </w:r>
            <w:r w:rsidR="00D66CD9" w:rsidRPr="00E02004">
              <w:rPr>
                <w:szCs w:val="24"/>
              </w:rPr>
              <w:t>, Mikael Dahlqvist (S)</w:t>
            </w:r>
            <w:r w:rsidRPr="00E02004">
              <w:rPr>
                <w:szCs w:val="24"/>
              </w:rPr>
              <w:t xml:space="preserve">, </w:t>
            </w:r>
            <w:r w:rsidR="00DE3E9A" w:rsidRPr="00E02004">
              <w:rPr>
                <w:szCs w:val="24"/>
              </w:rPr>
              <w:t>Sofia Nilsson (C)</w:t>
            </w:r>
            <w:r w:rsidR="006D6CBA" w:rsidRPr="00E02004">
              <w:rPr>
                <w:szCs w:val="24"/>
              </w:rPr>
              <w:t xml:space="preserve">, </w:t>
            </w:r>
            <w:r w:rsidR="009D656C" w:rsidRPr="00E02004">
              <w:rPr>
                <w:szCs w:val="24"/>
              </w:rPr>
              <w:t>Karin Rågsjö (V),</w:t>
            </w:r>
            <w:r w:rsidR="00955E92" w:rsidRPr="00E02004">
              <w:rPr>
                <w:szCs w:val="24"/>
              </w:rPr>
              <w:t xml:space="preserve"> Ulrika Heindorff (M), </w:t>
            </w:r>
            <w:r w:rsidRPr="00E02004">
              <w:rPr>
                <w:szCs w:val="24"/>
              </w:rPr>
              <w:t xml:space="preserve">Carina Ståhl </w:t>
            </w:r>
            <w:proofErr w:type="spellStart"/>
            <w:r w:rsidRPr="00E02004">
              <w:rPr>
                <w:szCs w:val="24"/>
              </w:rPr>
              <w:t>Herrstedt</w:t>
            </w:r>
            <w:proofErr w:type="spellEnd"/>
            <w:r w:rsidRPr="00E02004">
              <w:rPr>
                <w:szCs w:val="24"/>
              </w:rPr>
              <w:t xml:space="preserve"> (SD), </w:t>
            </w:r>
            <w:proofErr w:type="spellStart"/>
            <w:r w:rsidR="00955E92" w:rsidRPr="00E02004">
              <w:rPr>
                <w:szCs w:val="24"/>
              </w:rPr>
              <w:t>Yasmine</w:t>
            </w:r>
            <w:proofErr w:type="spellEnd"/>
            <w:r w:rsidR="00955E92" w:rsidRPr="00E02004">
              <w:rPr>
                <w:szCs w:val="24"/>
              </w:rPr>
              <w:t xml:space="preserve"> </w:t>
            </w:r>
            <w:proofErr w:type="spellStart"/>
            <w:r w:rsidR="00955E92" w:rsidRPr="00E02004">
              <w:rPr>
                <w:szCs w:val="24"/>
              </w:rPr>
              <w:t>Bladelius</w:t>
            </w:r>
            <w:proofErr w:type="spellEnd"/>
            <w:r w:rsidR="00955E92" w:rsidRPr="00E02004">
              <w:rPr>
                <w:szCs w:val="24"/>
              </w:rPr>
              <w:t xml:space="preserve"> (S)</w:t>
            </w:r>
            <w:r w:rsidR="00E74387" w:rsidRPr="00E02004">
              <w:rPr>
                <w:szCs w:val="24"/>
              </w:rPr>
              <w:t>,</w:t>
            </w:r>
            <w:r w:rsidR="00B739D5" w:rsidRPr="00E02004">
              <w:rPr>
                <w:szCs w:val="24"/>
              </w:rPr>
              <w:t xml:space="preserve"> </w:t>
            </w:r>
            <w:r w:rsidR="0023672A" w:rsidRPr="00E02004">
              <w:rPr>
                <w:szCs w:val="24"/>
              </w:rPr>
              <w:t xml:space="preserve">Dag Larsson (S), </w:t>
            </w:r>
            <w:r w:rsidR="00B739D5" w:rsidRPr="00E02004">
              <w:rPr>
                <w:szCs w:val="24"/>
              </w:rPr>
              <w:t>Lina Nordquist (L),</w:t>
            </w:r>
            <w:r w:rsidR="00E74387" w:rsidRPr="00E02004">
              <w:rPr>
                <w:szCs w:val="24"/>
              </w:rPr>
              <w:t xml:space="preserve"> </w:t>
            </w:r>
            <w:r w:rsidRPr="00E02004">
              <w:rPr>
                <w:szCs w:val="24"/>
              </w:rPr>
              <w:t>Christina Östberg (SD)</w:t>
            </w:r>
            <w:r w:rsidR="009E79B2" w:rsidRPr="00E02004">
              <w:rPr>
                <w:szCs w:val="24"/>
              </w:rPr>
              <w:t xml:space="preserve">, </w:t>
            </w:r>
            <w:r w:rsidR="0087324E" w:rsidRPr="00E02004">
              <w:rPr>
                <w:szCs w:val="24"/>
              </w:rPr>
              <w:t>Nicklas Attefjord (MP)</w:t>
            </w:r>
            <w:r w:rsidR="00BB3A2A" w:rsidRPr="00E02004">
              <w:rPr>
                <w:szCs w:val="24"/>
              </w:rPr>
              <w:t xml:space="preserve">, </w:t>
            </w:r>
            <w:r w:rsidR="0019500B" w:rsidRPr="00E02004">
              <w:rPr>
                <w:szCs w:val="24"/>
              </w:rPr>
              <w:t xml:space="preserve">Pia Steensland (KD), </w:t>
            </w:r>
            <w:r w:rsidRPr="00E02004">
              <w:rPr>
                <w:szCs w:val="24"/>
              </w:rPr>
              <w:t>Mats Wiking (S), Ulrika Jörgensen (M)</w:t>
            </w:r>
            <w:r w:rsidR="00614FE1" w:rsidRPr="00E02004">
              <w:rPr>
                <w:szCs w:val="24"/>
              </w:rPr>
              <w:t xml:space="preserve">, </w:t>
            </w:r>
            <w:r w:rsidR="00610A81" w:rsidRPr="00E02004">
              <w:rPr>
                <w:szCs w:val="24"/>
              </w:rPr>
              <w:t xml:space="preserve">Clara </w:t>
            </w:r>
            <w:proofErr w:type="spellStart"/>
            <w:r w:rsidR="00610A81" w:rsidRPr="00E02004">
              <w:rPr>
                <w:szCs w:val="24"/>
              </w:rPr>
              <w:t>Aranda</w:t>
            </w:r>
            <w:proofErr w:type="spellEnd"/>
            <w:r w:rsidR="009D656C" w:rsidRPr="00E02004">
              <w:rPr>
                <w:szCs w:val="24"/>
              </w:rPr>
              <w:t xml:space="preserve"> (</w:t>
            </w:r>
            <w:r w:rsidR="00610A81" w:rsidRPr="00E02004">
              <w:rPr>
                <w:szCs w:val="24"/>
              </w:rPr>
              <w:t>SD</w:t>
            </w:r>
            <w:r w:rsidR="009D656C" w:rsidRPr="00E02004">
              <w:rPr>
                <w:szCs w:val="24"/>
              </w:rPr>
              <w:t>)</w:t>
            </w:r>
            <w:r w:rsidR="00955E92" w:rsidRPr="00E02004">
              <w:rPr>
                <w:szCs w:val="24"/>
              </w:rPr>
              <w:t xml:space="preserve">, </w:t>
            </w:r>
            <w:r w:rsidR="0023672A" w:rsidRPr="00E02004">
              <w:rPr>
                <w:szCs w:val="24"/>
              </w:rPr>
              <w:t xml:space="preserve">Anders W Jonsson (C), </w:t>
            </w:r>
            <w:r w:rsidR="00E02004" w:rsidRPr="00E02004">
              <w:rPr>
                <w:szCs w:val="24"/>
              </w:rPr>
              <w:t>Gudrun Brunegård (KD)</w:t>
            </w:r>
            <w:r w:rsidR="00727ED4" w:rsidRPr="00E02004">
              <w:rPr>
                <w:szCs w:val="24"/>
              </w:rPr>
              <w:t>,</w:t>
            </w:r>
            <w:r w:rsidR="00CC5FCD" w:rsidRPr="00E02004">
              <w:rPr>
                <w:szCs w:val="24"/>
              </w:rPr>
              <w:t xml:space="preserve"> </w:t>
            </w:r>
            <w:r w:rsidRPr="00E02004">
              <w:rPr>
                <w:szCs w:val="24"/>
              </w:rPr>
              <w:t>Barbro Westerholm (L)</w:t>
            </w:r>
            <w:r w:rsidR="00955E92" w:rsidRPr="00E02004">
              <w:rPr>
                <w:szCs w:val="24"/>
              </w:rPr>
              <w:t xml:space="preserve"> och </w:t>
            </w:r>
            <w:r w:rsidR="00953F54" w:rsidRPr="00E02004">
              <w:rPr>
                <w:szCs w:val="24"/>
              </w:rPr>
              <w:t>Inge Ståhlgren (S)</w:t>
            </w:r>
            <w:r w:rsidR="00DB64D7" w:rsidRPr="00E02004">
              <w:rPr>
                <w:szCs w:val="24"/>
              </w:rPr>
              <w:t>.</w:t>
            </w:r>
          </w:p>
          <w:p w14:paraId="70DB0C00" w14:textId="5D582C1C" w:rsidR="008846CB" w:rsidRPr="00E02004" w:rsidRDefault="008846CB" w:rsidP="00737F4C">
            <w:pPr>
              <w:ind w:right="69"/>
              <w:rPr>
                <w:szCs w:val="24"/>
              </w:rPr>
            </w:pPr>
          </w:p>
          <w:p w14:paraId="33159AB7" w14:textId="04B8CCA0" w:rsidR="006B7AA8" w:rsidRPr="00CA27BC" w:rsidRDefault="00E02004" w:rsidP="006B7AA8">
            <w:pPr>
              <w:ind w:right="69"/>
              <w:rPr>
                <w:szCs w:val="24"/>
              </w:rPr>
            </w:pPr>
            <w:r w:rsidRPr="00E02004">
              <w:rPr>
                <w:szCs w:val="24"/>
              </w:rPr>
              <w:t>Sex</w:t>
            </w:r>
            <w:r w:rsidR="006B7AA8" w:rsidRPr="00E02004">
              <w:rPr>
                <w:szCs w:val="24"/>
              </w:rPr>
              <w:t xml:space="preserve"> t</w:t>
            </w:r>
            <w:r w:rsidR="006B7AA8" w:rsidRPr="00CA27BC">
              <w:rPr>
                <w:szCs w:val="24"/>
              </w:rPr>
              <w:t>jänstemän från utskottets kansli</w:t>
            </w:r>
            <w:r w:rsidR="003975BD" w:rsidRPr="00CA27BC">
              <w:rPr>
                <w:szCs w:val="24"/>
              </w:rPr>
              <w:t xml:space="preserve"> </w:t>
            </w:r>
            <w:r w:rsidR="006B7AA8" w:rsidRPr="00CA27BC">
              <w:rPr>
                <w:szCs w:val="24"/>
              </w:rPr>
              <w:t>var uppkopplade på distans.</w:t>
            </w:r>
          </w:p>
          <w:p w14:paraId="4C3B3EFC" w14:textId="77777777" w:rsidR="0086408F" w:rsidRPr="00D10746" w:rsidRDefault="0086408F" w:rsidP="00ED5C8E">
            <w:pPr>
              <w:ind w:right="69"/>
              <w:rPr>
                <w:bCs/>
                <w:szCs w:val="24"/>
              </w:rPr>
            </w:pPr>
          </w:p>
        </w:tc>
      </w:tr>
      <w:tr w:rsidR="00853918" w:rsidRPr="00D10746" w14:paraId="6181A303" w14:textId="77777777" w:rsidTr="00CE1739">
        <w:tc>
          <w:tcPr>
            <w:tcW w:w="567" w:type="dxa"/>
          </w:tcPr>
          <w:p w14:paraId="5EAF07BD" w14:textId="0EA80609" w:rsidR="00853918" w:rsidRPr="00D10746" w:rsidRDefault="00853918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ED5C8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F0F70C3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  <w:p w14:paraId="524ECED8" w14:textId="2A55669E" w:rsidR="00853918" w:rsidRPr="00D10746" w:rsidRDefault="00853918" w:rsidP="00853918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406AB0" w:rsidRPr="00D10746">
              <w:rPr>
                <w:bCs/>
                <w:szCs w:val="24"/>
              </w:rPr>
              <w:t>5</w:t>
            </w:r>
            <w:r w:rsidR="0023672A">
              <w:rPr>
                <w:bCs/>
                <w:szCs w:val="24"/>
              </w:rPr>
              <w:t>7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853918" w:rsidRPr="00D10746" w:rsidRDefault="00853918" w:rsidP="00853918">
            <w:pPr>
              <w:rPr>
                <w:b/>
                <w:bCs/>
                <w:szCs w:val="24"/>
              </w:rPr>
            </w:pPr>
          </w:p>
        </w:tc>
      </w:tr>
      <w:tr w:rsidR="00296BBE" w:rsidRPr="00D10746" w14:paraId="005A26C2" w14:textId="77777777" w:rsidTr="00CE1739">
        <w:tc>
          <w:tcPr>
            <w:tcW w:w="567" w:type="dxa"/>
          </w:tcPr>
          <w:p w14:paraId="19E971BA" w14:textId="10C07AAA" w:rsidR="00296BBE" w:rsidRPr="00D10746" w:rsidRDefault="00296BBE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644D61D7" w14:textId="77777777" w:rsidR="001625AC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C3207">
              <w:rPr>
                <w:b/>
                <w:bCs/>
                <w:szCs w:val="24"/>
              </w:rPr>
              <w:t xml:space="preserve">Ungdomspolitisk skrivelse (SoU7y) </w:t>
            </w:r>
          </w:p>
          <w:p w14:paraId="07AF7294" w14:textId="77777777" w:rsidR="001625AC" w:rsidRPr="00CC5FCD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0CB3E20" w14:textId="77777777" w:rsidR="001625AC" w:rsidRPr="00CC5FCD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C5FCD">
              <w:rPr>
                <w:bCs/>
                <w:szCs w:val="24"/>
              </w:rPr>
              <w:t xml:space="preserve">Utskottet fortsatte behandlingen av fråga om yttrande till </w:t>
            </w:r>
            <w:r>
              <w:rPr>
                <w:bCs/>
                <w:szCs w:val="24"/>
              </w:rPr>
              <w:t>kultur</w:t>
            </w:r>
            <w:r w:rsidRPr="00CC5FCD">
              <w:rPr>
                <w:bCs/>
                <w:szCs w:val="24"/>
              </w:rPr>
              <w:t>utskottet över skrivelse 2020/21:</w:t>
            </w:r>
            <w:r>
              <w:rPr>
                <w:bCs/>
                <w:szCs w:val="24"/>
              </w:rPr>
              <w:t>105 och motioner</w:t>
            </w:r>
            <w:r w:rsidRPr="00CC5FCD">
              <w:rPr>
                <w:bCs/>
                <w:szCs w:val="24"/>
              </w:rPr>
              <w:t>.</w:t>
            </w:r>
          </w:p>
          <w:p w14:paraId="401B51D4" w14:textId="77777777" w:rsidR="001625AC" w:rsidRPr="00CC5FCD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54F4B46" w14:textId="21F297F7" w:rsidR="007515DC" w:rsidRPr="00CC5FCD" w:rsidRDefault="007515DC" w:rsidP="007515DC">
            <w:r w:rsidRPr="00CC5FCD">
              <w:t>Utskottet justerade yttrande 2020/</w:t>
            </w:r>
            <w:proofErr w:type="gramStart"/>
            <w:r w:rsidRPr="00CC5FCD">
              <w:t>21:SoU</w:t>
            </w:r>
            <w:proofErr w:type="gramEnd"/>
            <w:r>
              <w:t>7</w:t>
            </w:r>
            <w:r w:rsidRPr="00CC5FCD">
              <w:t>y.</w:t>
            </w:r>
          </w:p>
          <w:p w14:paraId="2E07AFBF" w14:textId="77777777" w:rsidR="007515DC" w:rsidRPr="00CC5FCD" w:rsidRDefault="007515DC" w:rsidP="007515DC"/>
          <w:p w14:paraId="77EDFAC4" w14:textId="34F418FA" w:rsidR="007515DC" w:rsidRPr="00E02004" w:rsidRDefault="003637EB" w:rsidP="007515D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02004">
              <w:rPr>
                <w:bCs/>
                <w:szCs w:val="24"/>
              </w:rPr>
              <w:t>SD</w:t>
            </w:r>
            <w:r w:rsidR="007515DC" w:rsidRPr="00E02004">
              <w:rPr>
                <w:bCs/>
                <w:szCs w:val="24"/>
              </w:rPr>
              <w:t xml:space="preserve">- och </w:t>
            </w:r>
            <w:r w:rsidRPr="00E02004">
              <w:rPr>
                <w:bCs/>
                <w:szCs w:val="24"/>
              </w:rPr>
              <w:t>KD</w:t>
            </w:r>
            <w:r w:rsidR="007515DC" w:rsidRPr="00E02004">
              <w:rPr>
                <w:bCs/>
                <w:szCs w:val="24"/>
              </w:rPr>
              <w:t xml:space="preserve">-ledamöterna anmälde </w:t>
            </w:r>
            <w:r w:rsidRPr="00E02004">
              <w:rPr>
                <w:bCs/>
                <w:szCs w:val="24"/>
              </w:rPr>
              <w:t xml:space="preserve">en </w:t>
            </w:r>
            <w:r w:rsidR="007515DC" w:rsidRPr="00E02004">
              <w:rPr>
                <w:bCs/>
                <w:szCs w:val="24"/>
              </w:rPr>
              <w:t>avvikande mening.</w:t>
            </w:r>
          </w:p>
          <w:p w14:paraId="2BBCAD89" w14:textId="1B0496D6" w:rsidR="00CA27BC" w:rsidRPr="008F7E34" w:rsidRDefault="00CA27BC" w:rsidP="001625AC">
            <w:pPr>
              <w:rPr>
                <w:bCs/>
                <w:color w:val="FF0000"/>
                <w:szCs w:val="24"/>
              </w:rPr>
            </w:pPr>
          </w:p>
        </w:tc>
      </w:tr>
      <w:tr w:rsidR="00853918" w:rsidRPr="00D10746" w14:paraId="62675421" w14:textId="77777777" w:rsidTr="00CE1739">
        <w:tc>
          <w:tcPr>
            <w:tcW w:w="567" w:type="dxa"/>
          </w:tcPr>
          <w:p w14:paraId="3F28BCB7" w14:textId="6D324BAB" w:rsidR="00853918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B118A34" w14:textId="4497C28C" w:rsidR="00406AB0" w:rsidRDefault="001625AC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Kompetensförsörjning inom h</w:t>
            </w:r>
            <w:r w:rsidR="008C3207" w:rsidRPr="008C3207">
              <w:rPr>
                <w:b/>
                <w:bCs/>
                <w:szCs w:val="24"/>
              </w:rPr>
              <w:t>älso- och sjukvården</w:t>
            </w:r>
            <w:r>
              <w:rPr>
                <w:b/>
                <w:bCs/>
                <w:szCs w:val="24"/>
              </w:rPr>
              <w:t xml:space="preserve"> </w:t>
            </w:r>
            <w:r w:rsidR="008C3207" w:rsidRPr="008C3207">
              <w:rPr>
                <w:b/>
                <w:bCs/>
                <w:szCs w:val="24"/>
              </w:rPr>
              <w:t>m.m. (SoU1</w:t>
            </w:r>
            <w:r>
              <w:rPr>
                <w:b/>
                <w:bCs/>
                <w:szCs w:val="24"/>
              </w:rPr>
              <w:t>7</w:t>
            </w:r>
            <w:r w:rsidR="008C3207" w:rsidRPr="008C3207">
              <w:rPr>
                <w:b/>
                <w:bCs/>
                <w:szCs w:val="24"/>
              </w:rPr>
              <w:t>)</w:t>
            </w:r>
          </w:p>
          <w:p w14:paraId="20DD6E4B" w14:textId="77777777" w:rsidR="008C3207" w:rsidRPr="00CC5FCD" w:rsidRDefault="008C3207" w:rsidP="00B353E6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AEE40DB" w14:textId="4F8D5FFA" w:rsidR="008C3207" w:rsidRPr="001625A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 w:rsidRPr="001625AC">
              <w:rPr>
                <w:bCs/>
                <w:szCs w:val="24"/>
              </w:rPr>
              <w:t>Utskottet fortsatte behandlingen av motioner</w:t>
            </w:r>
            <w:r w:rsidRPr="001625AC">
              <w:rPr>
                <w:bCs/>
                <w:color w:val="000000"/>
                <w:szCs w:val="24"/>
              </w:rPr>
              <w:t xml:space="preserve"> om </w:t>
            </w:r>
            <w:r w:rsidR="001625AC">
              <w:rPr>
                <w:bCs/>
                <w:szCs w:val="24"/>
              </w:rPr>
              <w:t>k</w:t>
            </w:r>
            <w:r w:rsidR="001625AC" w:rsidRPr="001625AC">
              <w:rPr>
                <w:bCs/>
                <w:szCs w:val="24"/>
              </w:rPr>
              <w:t>ompetensförsörjning inom hälso- och sjukvården</w:t>
            </w:r>
            <w:r w:rsidRPr="001625AC">
              <w:rPr>
                <w:bCs/>
                <w:color w:val="000000"/>
                <w:szCs w:val="24"/>
              </w:rPr>
              <w:t xml:space="preserve"> m.m. </w:t>
            </w:r>
          </w:p>
          <w:p w14:paraId="613AE94C" w14:textId="77777777" w:rsidR="008C3207" w:rsidRPr="001625A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C14FD59" w14:textId="77777777" w:rsidR="008C3207" w:rsidRPr="001625AC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Ärendet bordlades.</w:t>
            </w:r>
          </w:p>
          <w:p w14:paraId="18DC9C5D" w14:textId="03928A87" w:rsidR="00E02004" w:rsidRPr="00CC5FCD" w:rsidRDefault="00E02004" w:rsidP="00FA507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3130D2" w:rsidRPr="00D10746" w14:paraId="0BFFFCCF" w14:textId="77777777" w:rsidTr="00CE1739">
        <w:tc>
          <w:tcPr>
            <w:tcW w:w="567" w:type="dxa"/>
          </w:tcPr>
          <w:p w14:paraId="6A1B3086" w14:textId="055E94AE" w:rsidR="003130D2" w:rsidRPr="00D10746" w:rsidRDefault="003130D2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70C79E8F" w14:textId="77777777" w:rsidR="001625AC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C3207">
              <w:rPr>
                <w:b/>
                <w:bCs/>
                <w:szCs w:val="24"/>
              </w:rPr>
              <w:t>Hälso- och sjukvårdens organisation m.m. (SoU16)</w:t>
            </w:r>
          </w:p>
          <w:p w14:paraId="351AB761" w14:textId="77777777" w:rsidR="001625AC" w:rsidRPr="00CC5FCD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CF9DF93" w14:textId="77777777" w:rsidR="001625AC" w:rsidRPr="008C3207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Cs w:val="24"/>
              </w:rPr>
            </w:pPr>
            <w:r w:rsidRPr="008C3207">
              <w:rPr>
                <w:bCs/>
                <w:szCs w:val="24"/>
              </w:rPr>
              <w:t>Utskottet fortsatte behandlingen av motioner</w:t>
            </w:r>
            <w:r w:rsidRPr="008C3207">
              <w:rPr>
                <w:bCs/>
                <w:color w:val="000000"/>
                <w:szCs w:val="24"/>
              </w:rPr>
              <w:t xml:space="preserve"> om </w:t>
            </w:r>
            <w:r w:rsidRPr="008C3207">
              <w:rPr>
                <w:bCs/>
                <w:szCs w:val="24"/>
              </w:rPr>
              <w:t>hälso- och sjukvårdens organisation</w:t>
            </w:r>
            <w:r w:rsidRPr="008C3207">
              <w:rPr>
                <w:bCs/>
                <w:color w:val="000000"/>
                <w:szCs w:val="24"/>
              </w:rPr>
              <w:t xml:space="preserve"> m.m. </w:t>
            </w:r>
          </w:p>
          <w:p w14:paraId="7902F459" w14:textId="77777777" w:rsidR="001625AC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164F465" w14:textId="77777777" w:rsidR="001625AC" w:rsidRPr="00E92826" w:rsidRDefault="001625AC" w:rsidP="001625A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E0D77">
              <w:rPr>
                <w:bCs/>
                <w:szCs w:val="24"/>
              </w:rPr>
              <w:t>Ärendet bordlades.</w:t>
            </w:r>
          </w:p>
          <w:p w14:paraId="302163D7" w14:textId="099844F5" w:rsidR="003130D2" w:rsidRPr="00CC5FCD" w:rsidRDefault="003130D2" w:rsidP="003130D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37A71" w:rsidRPr="00D10746" w14:paraId="4ECDEAAD" w14:textId="77777777" w:rsidTr="00CE1739">
        <w:tc>
          <w:tcPr>
            <w:tcW w:w="567" w:type="dxa"/>
          </w:tcPr>
          <w:p w14:paraId="3C27FFC6" w14:textId="31BCA160" w:rsidR="00F37A71" w:rsidRPr="00D10746" w:rsidRDefault="00472FD0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96BBE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39311AD5" w14:textId="2391A4D6" w:rsidR="008C3207" w:rsidRDefault="00E2069A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granskning av statens styrning av äldreomsorgen (SoU27)</w:t>
            </w:r>
          </w:p>
          <w:p w14:paraId="256D5998" w14:textId="77777777" w:rsidR="00E2069A" w:rsidRPr="00D10746" w:rsidRDefault="00E2069A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BDF2649" w14:textId="73B8D029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D10746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D10746">
              <w:rPr>
                <w:bCs/>
                <w:szCs w:val="24"/>
              </w:rPr>
              <w:t xml:space="preserve"> proposition 2020/21:</w:t>
            </w:r>
            <w:r w:rsidR="00E2069A">
              <w:rPr>
                <w:bCs/>
                <w:szCs w:val="24"/>
              </w:rPr>
              <w:t>89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2ACC8E3F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479C48F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58C34AE" w14:textId="66F62FFA" w:rsidR="00ED5C8E" w:rsidRPr="00D10746" w:rsidRDefault="00ED5C8E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046159" w:rsidRPr="00D10746" w14:paraId="470E5135" w14:textId="77777777" w:rsidTr="00CE1739">
        <w:tc>
          <w:tcPr>
            <w:tcW w:w="567" w:type="dxa"/>
          </w:tcPr>
          <w:p w14:paraId="1EDFB4BE" w14:textId="6D039DA0" w:rsidR="00046159" w:rsidRPr="00D10746" w:rsidRDefault="00046159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3432CBAF" w14:textId="78D9647D" w:rsidR="008C3207" w:rsidRDefault="00E2069A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Stärkt kompetens i vård och omsorg – reglering av undersköterskeyrket (SoU30)</w:t>
            </w:r>
          </w:p>
          <w:p w14:paraId="46F0FD54" w14:textId="77777777" w:rsidR="00E2069A" w:rsidRDefault="00E2069A" w:rsidP="00D9581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4199DC6" w14:textId="3489430B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D10746">
              <w:rPr>
                <w:bCs/>
                <w:szCs w:val="24"/>
              </w:rPr>
              <w:t xml:space="preserve"> proposition 2020/21:1</w:t>
            </w:r>
            <w:r w:rsidR="00E2069A">
              <w:rPr>
                <w:bCs/>
                <w:szCs w:val="24"/>
              </w:rPr>
              <w:t>75</w:t>
            </w:r>
            <w:r w:rsidRPr="00D10746">
              <w:rPr>
                <w:bCs/>
                <w:szCs w:val="24"/>
              </w:rPr>
              <w:t xml:space="preserve"> och motioner.</w:t>
            </w:r>
          </w:p>
          <w:p w14:paraId="55C686D3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C2F3AF3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07258FE7" w14:textId="0A73CA83" w:rsidR="00ED5C8E" w:rsidRPr="00D10746" w:rsidRDefault="00ED5C8E" w:rsidP="00B353E6"/>
        </w:tc>
      </w:tr>
      <w:tr w:rsidR="00727ED4" w:rsidRPr="00D10746" w14:paraId="0645196B" w14:textId="77777777" w:rsidTr="00CE1739">
        <w:tc>
          <w:tcPr>
            <w:tcW w:w="567" w:type="dxa"/>
          </w:tcPr>
          <w:p w14:paraId="464530E4" w14:textId="589A73C0" w:rsidR="00727ED4" w:rsidRPr="00D10746" w:rsidRDefault="00727ED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96BB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BD99D58" w14:textId="73EBB46A" w:rsidR="008C3207" w:rsidRDefault="00E2069A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Anpassningar till EU:s nya förordningar om medicintekniska produkter – del 2 (SoU32)</w:t>
            </w:r>
          </w:p>
          <w:p w14:paraId="34752E22" w14:textId="77777777" w:rsidR="00E2069A" w:rsidRDefault="00E2069A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F40A3A6" w14:textId="7DA4A905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D10746">
              <w:rPr>
                <w:bCs/>
                <w:szCs w:val="24"/>
              </w:rPr>
              <w:t xml:space="preserve"> proposition 2020/21:1</w:t>
            </w:r>
            <w:r>
              <w:rPr>
                <w:bCs/>
                <w:szCs w:val="24"/>
              </w:rPr>
              <w:t>7</w:t>
            </w:r>
            <w:r w:rsidR="00E2069A">
              <w:rPr>
                <w:bCs/>
                <w:szCs w:val="24"/>
              </w:rPr>
              <w:t>2 och motion</w:t>
            </w:r>
            <w:r w:rsidRPr="00D10746">
              <w:rPr>
                <w:bCs/>
                <w:szCs w:val="24"/>
              </w:rPr>
              <w:t>.</w:t>
            </w:r>
          </w:p>
          <w:p w14:paraId="0DD2CF21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B60E4D3" w14:textId="77777777" w:rsidR="008C3207" w:rsidRPr="00D10746" w:rsidRDefault="008C3207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Ärendet bordlades.</w:t>
            </w:r>
          </w:p>
          <w:p w14:paraId="67717291" w14:textId="0F6FA66F" w:rsidR="00ED5C8E" w:rsidRPr="00D10746" w:rsidRDefault="00ED5C8E" w:rsidP="00B353E6">
            <w:pPr>
              <w:rPr>
                <w:b/>
              </w:rPr>
            </w:pPr>
          </w:p>
        </w:tc>
      </w:tr>
      <w:tr w:rsidR="00E02004" w:rsidRPr="00D10746" w14:paraId="0EDF96B4" w14:textId="77777777" w:rsidTr="00CE1739">
        <w:tc>
          <w:tcPr>
            <w:tcW w:w="567" w:type="dxa"/>
          </w:tcPr>
          <w:p w14:paraId="7234E706" w14:textId="34CEA121" w:rsidR="00E02004" w:rsidRDefault="00E0200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44F88871" w14:textId="77777777" w:rsidR="00E02004" w:rsidRPr="001625AC" w:rsidRDefault="00E02004" w:rsidP="00E0200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D974174" w14:textId="77777777" w:rsidR="00E02004" w:rsidRPr="001625AC" w:rsidRDefault="00E02004" w:rsidP="00E02004">
            <w:pPr>
              <w:rPr>
                <w:szCs w:val="24"/>
              </w:rPr>
            </w:pPr>
          </w:p>
          <w:p w14:paraId="7EB6AFEA" w14:textId="77777777" w:rsidR="00E02004" w:rsidRPr="001625AC" w:rsidRDefault="00E02004" w:rsidP="00E02004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28FBA00" w14:textId="77777777" w:rsidR="00E02004" w:rsidRDefault="00E02004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02004" w:rsidRPr="00D10746" w14:paraId="63A504E6" w14:textId="77777777" w:rsidTr="00CE1739">
        <w:tc>
          <w:tcPr>
            <w:tcW w:w="567" w:type="dxa"/>
          </w:tcPr>
          <w:p w14:paraId="6FC8ECAB" w14:textId="5C64DE7F" w:rsidR="00E02004" w:rsidRDefault="00E0200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7159" w:type="dxa"/>
          </w:tcPr>
          <w:p w14:paraId="3FA3CAF3" w14:textId="77777777" w:rsidR="00E02004" w:rsidRPr="001625AC" w:rsidRDefault="00E02004" w:rsidP="00E0200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9AD9988" w14:textId="77777777" w:rsidR="00E02004" w:rsidRPr="001625AC" w:rsidRDefault="00E02004" w:rsidP="00E0200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63E7B44C" w14:textId="77777777" w:rsidR="00E02004" w:rsidRPr="001625AC" w:rsidRDefault="00E02004" w:rsidP="00E02004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0A2C617F" w14:textId="77777777" w:rsidR="00E02004" w:rsidRDefault="00E02004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02004" w:rsidRPr="00D10746" w14:paraId="7CE24701" w14:textId="77777777" w:rsidTr="00CE1739">
        <w:tc>
          <w:tcPr>
            <w:tcW w:w="567" w:type="dxa"/>
          </w:tcPr>
          <w:p w14:paraId="0CEB1FEC" w14:textId="5AA61646" w:rsidR="00E02004" w:rsidRDefault="00E02004" w:rsidP="0085391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7159" w:type="dxa"/>
          </w:tcPr>
          <w:p w14:paraId="72009220" w14:textId="77777777" w:rsidR="00E02004" w:rsidRDefault="00E02004" w:rsidP="00E0200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1AF2C1E6" w14:textId="77777777" w:rsidR="00E02004" w:rsidRPr="00E02004" w:rsidRDefault="00E02004" w:rsidP="00E0200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6E055A29" w14:textId="2FCF9BF3" w:rsidR="00E02004" w:rsidRPr="00E02004" w:rsidRDefault="00E02004" w:rsidP="00E02004">
            <w:pPr>
              <w:tabs>
                <w:tab w:val="left" w:pos="1701"/>
              </w:tabs>
            </w:pPr>
            <w:r w:rsidRPr="00E02004">
              <w:t>C-ledamoten föreslog att utskottet skulle ta ett initiativ om att öka möjligheten att tillfälligt återkalla legitimation</w:t>
            </w:r>
            <w:r w:rsidR="0052040B">
              <w:t xml:space="preserve"> inom hälso- och sjukvården</w:t>
            </w:r>
            <w:r w:rsidRPr="00E02004">
              <w:t xml:space="preserve">, se bilaga 3. </w:t>
            </w:r>
          </w:p>
          <w:p w14:paraId="5E60CD48" w14:textId="77777777" w:rsidR="00E02004" w:rsidRPr="00E02004" w:rsidRDefault="00E02004" w:rsidP="00E02004">
            <w:pPr>
              <w:tabs>
                <w:tab w:val="left" w:pos="1701"/>
              </w:tabs>
            </w:pPr>
          </w:p>
          <w:p w14:paraId="42B01CB2" w14:textId="77777777" w:rsidR="00E02004" w:rsidRPr="00E02004" w:rsidRDefault="00E02004" w:rsidP="00E02004">
            <w:pPr>
              <w:tabs>
                <w:tab w:val="left" w:pos="1701"/>
              </w:tabs>
            </w:pPr>
            <w:r w:rsidRPr="00E02004">
              <w:t xml:space="preserve">Frågan bordlades. </w:t>
            </w:r>
          </w:p>
          <w:p w14:paraId="33346A64" w14:textId="77777777" w:rsidR="00E02004" w:rsidRDefault="00E02004" w:rsidP="008C320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625AC" w:rsidRPr="00CA27BC" w14:paraId="00193F05" w14:textId="77777777" w:rsidTr="00CE1739">
        <w:tc>
          <w:tcPr>
            <w:tcW w:w="567" w:type="dxa"/>
          </w:tcPr>
          <w:p w14:paraId="5D9FFBEA" w14:textId="5C376300" w:rsidR="001625AC" w:rsidRPr="001625AC" w:rsidRDefault="001625AC" w:rsidP="00853918">
            <w:pPr>
              <w:tabs>
                <w:tab w:val="left" w:pos="1701"/>
              </w:tabs>
              <w:rPr>
                <w:b/>
                <w:snapToGrid w:val="0"/>
                <w:color w:val="FF0000"/>
                <w:szCs w:val="24"/>
              </w:rPr>
            </w:pPr>
            <w:r w:rsidRPr="00203046">
              <w:rPr>
                <w:b/>
                <w:snapToGrid w:val="0"/>
                <w:szCs w:val="24"/>
              </w:rPr>
              <w:t xml:space="preserve">§ </w:t>
            </w:r>
            <w:r w:rsidR="00E02004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159" w:type="dxa"/>
          </w:tcPr>
          <w:p w14:paraId="12190583" w14:textId="7D669C3C" w:rsidR="001625AC" w:rsidRPr="00814CA8" w:rsidRDefault="001625AC" w:rsidP="001625AC">
            <w:pPr>
              <w:rPr>
                <w:b/>
                <w:bCs/>
                <w:szCs w:val="24"/>
              </w:rPr>
            </w:pPr>
            <w:r w:rsidRPr="00814CA8">
              <w:rPr>
                <w:b/>
                <w:bCs/>
                <w:szCs w:val="24"/>
              </w:rPr>
              <w:t xml:space="preserve">Medgivande att </w:t>
            </w:r>
            <w:r w:rsidR="007738BA" w:rsidRPr="00814CA8">
              <w:rPr>
                <w:b/>
                <w:bCs/>
                <w:szCs w:val="24"/>
              </w:rPr>
              <w:t>närvara på distans</w:t>
            </w:r>
          </w:p>
          <w:p w14:paraId="64F52025" w14:textId="77777777" w:rsidR="001625AC" w:rsidRPr="00814CA8" w:rsidRDefault="001625AC" w:rsidP="001625AC">
            <w:pPr>
              <w:rPr>
                <w:bCs/>
                <w:szCs w:val="24"/>
              </w:rPr>
            </w:pPr>
          </w:p>
          <w:p w14:paraId="51344DA2" w14:textId="74EF1176" w:rsidR="001625AC" w:rsidRPr="00814CA8" w:rsidRDefault="007738BA" w:rsidP="001625AC">
            <w:pPr>
              <w:rPr>
                <w:szCs w:val="24"/>
              </w:rPr>
            </w:pPr>
            <w:r w:rsidRPr="00814CA8">
              <w:rPr>
                <w:szCs w:val="24"/>
              </w:rPr>
              <w:t>Utskottet beslutade att vid punkten 1</w:t>
            </w:r>
            <w:r w:rsidR="00E02004" w:rsidRPr="00814CA8">
              <w:rPr>
                <w:szCs w:val="24"/>
              </w:rPr>
              <w:t>3</w:t>
            </w:r>
            <w:r w:rsidRPr="00814CA8">
              <w:rPr>
                <w:szCs w:val="24"/>
              </w:rPr>
              <w:t xml:space="preserve"> får följande ledamöter från konstitutionsutskottet närvara på distans</w:t>
            </w:r>
            <w:r w:rsidR="00475607" w:rsidRPr="00814CA8">
              <w:rPr>
                <w:szCs w:val="24"/>
              </w:rPr>
              <w:t xml:space="preserve">: </w:t>
            </w:r>
            <w:r w:rsidR="00C54B1C" w:rsidRPr="00814CA8">
              <w:rPr>
                <w:szCs w:val="24"/>
              </w:rPr>
              <w:t xml:space="preserve">Karin Enström (M), Hans Ekström (S), Ida </w:t>
            </w:r>
            <w:proofErr w:type="spellStart"/>
            <w:r w:rsidR="00C54B1C" w:rsidRPr="00814CA8">
              <w:rPr>
                <w:szCs w:val="24"/>
              </w:rPr>
              <w:t>Karkiainen</w:t>
            </w:r>
            <w:proofErr w:type="spellEnd"/>
            <w:r w:rsidR="00C54B1C" w:rsidRPr="00814CA8">
              <w:rPr>
                <w:szCs w:val="24"/>
              </w:rPr>
              <w:t xml:space="preserve"> (S), </w:t>
            </w:r>
            <w:proofErr w:type="spellStart"/>
            <w:r w:rsidR="00C54B1C" w:rsidRPr="00814CA8">
              <w:rPr>
                <w:szCs w:val="24"/>
              </w:rPr>
              <w:t>Matheus</w:t>
            </w:r>
            <w:proofErr w:type="spellEnd"/>
            <w:r w:rsidR="00C54B1C" w:rsidRPr="00814CA8">
              <w:rPr>
                <w:szCs w:val="24"/>
              </w:rPr>
              <w:t xml:space="preserve"> </w:t>
            </w:r>
            <w:proofErr w:type="spellStart"/>
            <w:r w:rsidR="00C54B1C" w:rsidRPr="00814CA8">
              <w:rPr>
                <w:szCs w:val="24"/>
              </w:rPr>
              <w:t>Enholm</w:t>
            </w:r>
            <w:proofErr w:type="spellEnd"/>
            <w:r w:rsidR="00C54B1C" w:rsidRPr="00814CA8">
              <w:rPr>
                <w:szCs w:val="24"/>
              </w:rPr>
              <w:t xml:space="preserve"> (SD), Per-Arne Håkansson (S), Linda Modig (C), Mia Sydow Mölleby (V), Ida Drougge (M), Fredrik Lindahl (SD), Laila </w:t>
            </w:r>
            <w:proofErr w:type="spellStart"/>
            <w:r w:rsidR="00C54B1C" w:rsidRPr="00814CA8">
              <w:rPr>
                <w:szCs w:val="24"/>
              </w:rPr>
              <w:t>Naraghi</w:t>
            </w:r>
            <w:proofErr w:type="spellEnd"/>
            <w:r w:rsidR="00C54B1C" w:rsidRPr="00814CA8">
              <w:rPr>
                <w:szCs w:val="24"/>
              </w:rPr>
              <w:t xml:space="preserve"> (S), Tuve Skånberg (KD), Tina Acketoft (L), Mikael Strandman (SD), Anna </w:t>
            </w:r>
            <w:proofErr w:type="spellStart"/>
            <w:r w:rsidR="00C54B1C" w:rsidRPr="00814CA8">
              <w:rPr>
                <w:szCs w:val="24"/>
              </w:rPr>
              <w:t>Sibinska</w:t>
            </w:r>
            <w:proofErr w:type="spellEnd"/>
            <w:r w:rsidR="00C54B1C" w:rsidRPr="00814CA8">
              <w:rPr>
                <w:szCs w:val="24"/>
              </w:rPr>
              <w:t xml:space="preserve"> (MP), Erik Ottoson (M)</w:t>
            </w:r>
            <w:r w:rsidR="00814CA8" w:rsidRPr="00814CA8">
              <w:rPr>
                <w:szCs w:val="24"/>
              </w:rPr>
              <w:t xml:space="preserve">, Erik </w:t>
            </w:r>
            <w:proofErr w:type="spellStart"/>
            <w:r w:rsidR="00814CA8" w:rsidRPr="00814CA8">
              <w:rPr>
                <w:szCs w:val="24"/>
              </w:rPr>
              <w:t>Ezelius</w:t>
            </w:r>
            <w:proofErr w:type="spellEnd"/>
            <w:r w:rsidR="00814CA8" w:rsidRPr="00814CA8">
              <w:rPr>
                <w:szCs w:val="24"/>
              </w:rPr>
              <w:t xml:space="preserve"> (S), Per Söderlund (SD), Jessica Wetterling (V), Lars </w:t>
            </w:r>
            <w:proofErr w:type="spellStart"/>
            <w:r w:rsidR="00814CA8" w:rsidRPr="00814CA8">
              <w:rPr>
                <w:szCs w:val="24"/>
              </w:rPr>
              <w:t>Jilmstad</w:t>
            </w:r>
            <w:proofErr w:type="spellEnd"/>
            <w:r w:rsidR="00814CA8" w:rsidRPr="00814CA8">
              <w:rPr>
                <w:szCs w:val="24"/>
              </w:rPr>
              <w:t xml:space="preserve"> (M), Patrik Björck (S) </w:t>
            </w:r>
            <w:r w:rsidR="00C54B1C" w:rsidRPr="00814CA8">
              <w:rPr>
                <w:szCs w:val="24"/>
              </w:rPr>
              <w:t xml:space="preserve">och </w:t>
            </w:r>
            <w:r w:rsidR="00814CA8" w:rsidRPr="00814CA8">
              <w:rPr>
                <w:szCs w:val="24"/>
              </w:rPr>
              <w:t>Per Schöldberg</w:t>
            </w:r>
            <w:r w:rsidR="00475607" w:rsidRPr="00814CA8">
              <w:rPr>
                <w:szCs w:val="24"/>
              </w:rPr>
              <w:t xml:space="preserve"> (</w:t>
            </w:r>
            <w:r w:rsidR="00814CA8" w:rsidRPr="00814CA8">
              <w:rPr>
                <w:szCs w:val="24"/>
              </w:rPr>
              <w:t>C</w:t>
            </w:r>
            <w:r w:rsidR="00475607" w:rsidRPr="00814CA8">
              <w:rPr>
                <w:szCs w:val="24"/>
              </w:rPr>
              <w:t>).</w:t>
            </w:r>
          </w:p>
          <w:p w14:paraId="7DFB181D" w14:textId="77777777" w:rsidR="007738BA" w:rsidRDefault="007738BA" w:rsidP="007738BA">
            <w:pPr>
              <w:ind w:right="69"/>
              <w:rPr>
                <w:b/>
                <w:bCs/>
                <w:szCs w:val="24"/>
              </w:rPr>
            </w:pPr>
          </w:p>
          <w:p w14:paraId="37DC838A" w14:textId="77777777" w:rsidR="00814CA8" w:rsidRDefault="00814CA8" w:rsidP="007738BA">
            <w:pPr>
              <w:ind w:right="69"/>
              <w:rPr>
                <w:b/>
                <w:bCs/>
                <w:szCs w:val="24"/>
              </w:rPr>
            </w:pPr>
          </w:p>
          <w:p w14:paraId="57DF15A2" w14:textId="77777777" w:rsidR="00814CA8" w:rsidRDefault="00814CA8" w:rsidP="007738BA">
            <w:pPr>
              <w:ind w:right="69"/>
              <w:rPr>
                <w:b/>
                <w:bCs/>
                <w:szCs w:val="24"/>
              </w:rPr>
            </w:pPr>
          </w:p>
          <w:p w14:paraId="5D90339F" w14:textId="244DD9BF" w:rsidR="00814CA8" w:rsidRPr="00814CA8" w:rsidRDefault="00814CA8" w:rsidP="007738BA">
            <w:pPr>
              <w:ind w:right="69"/>
              <w:rPr>
                <w:b/>
                <w:bCs/>
                <w:szCs w:val="24"/>
              </w:rPr>
            </w:pPr>
          </w:p>
        </w:tc>
      </w:tr>
      <w:tr w:rsidR="001625AC" w:rsidRPr="00CA27BC" w14:paraId="0A79EAC3" w14:textId="77777777" w:rsidTr="00CE1739">
        <w:tc>
          <w:tcPr>
            <w:tcW w:w="567" w:type="dxa"/>
          </w:tcPr>
          <w:p w14:paraId="44D38539" w14:textId="002E7372" w:rsidR="001625AC" w:rsidRPr="001625AC" w:rsidRDefault="001625AC" w:rsidP="001625A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2069A">
              <w:rPr>
                <w:b/>
                <w:snapToGrid w:val="0"/>
                <w:szCs w:val="24"/>
              </w:rPr>
              <w:t>1</w:t>
            </w:r>
            <w:r w:rsidR="00E0200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E9D50C7" w14:textId="77777777" w:rsidR="001625AC" w:rsidRPr="001625AC" w:rsidRDefault="001625AC" w:rsidP="001625AC">
            <w:pPr>
              <w:tabs>
                <w:tab w:val="left" w:pos="1701"/>
              </w:tabs>
              <w:rPr>
                <w:rFonts w:eastAsiaTheme="minorHAnsi"/>
                <w:szCs w:val="24"/>
                <w:lang w:eastAsia="en-US"/>
              </w:rPr>
            </w:pPr>
            <w:r w:rsidRPr="001625AC">
              <w:rPr>
                <w:rFonts w:eastAsiaTheme="minorHAnsi"/>
                <w:b/>
                <w:bCs/>
                <w:szCs w:val="24"/>
                <w:lang w:eastAsia="en-US"/>
              </w:rPr>
              <w:t>Information från Socialdepartementet och Folkhälsomyndigheten</w:t>
            </w:r>
            <w:r w:rsidRPr="001625AC">
              <w:rPr>
                <w:rFonts w:eastAsiaTheme="minorHAnsi"/>
                <w:szCs w:val="24"/>
                <w:lang w:eastAsia="en-US"/>
              </w:rPr>
              <w:br/>
            </w:r>
          </w:p>
          <w:p w14:paraId="322E8E3E" w14:textId="1920464C" w:rsidR="001625AC" w:rsidRPr="001625AC" w:rsidRDefault="001625AC" w:rsidP="001625AC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Theme="minorHAnsi"/>
                <w:szCs w:val="24"/>
                <w:lang w:eastAsia="en-US"/>
              </w:rPr>
              <w:t xml:space="preserve">Socialminister Lena Hallengren och generaldirektör Johan Carlson, Folkhälsomyndigheten informerade </w:t>
            </w:r>
            <w:r w:rsidR="005E659B">
              <w:rPr>
                <w:rFonts w:eastAsiaTheme="minorHAnsi"/>
                <w:szCs w:val="24"/>
                <w:lang w:eastAsia="en-US"/>
              </w:rPr>
              <w:t xml:space="preserve">på distans </w:t>
            </w:r>
            <w:r w:rsidRPr="001625AC">
              <w:rPr>
                <w:rFonts w:eastAsiaTheme="minorHAnsi"/>
                <w:szCs w:val="24"/>
                <w:lang w:eastAsia="en-US"/>
              </w:rPr>
              <w:t>om läget när det gäller covid-19-pandemin och</w:t>
            </w:r>
            <w:r w:rsidRPr="001625AC">
              <w:rPr>
                <w:szCs w:val="24"/>
              </w:rPr>
              <w:t xml:space="preserve"> om behovet av en förlängning av pandemilagen och omfattningen av en förlängd lag.</w:t>
            </w:r>
          </w:p>
          <w:p w14:paraId="01AAA49E" w14:textId="77777777" w:rsidR="001625AC" w:rsidRPr="001625AC" w:rsidRDefault="001625AC" w:rsidP="001625AC">
            <w:pPr>
              <w:rPr>
                <w:b/>
                <w:bCs/>
                <w:szCs w:val="24"/>
              </w:rPr>
            </w:pPr>
          </w:p>
        </w:tc>
      </w:tr>
      <w:tr w:rsidR="001625AC" w:rsidRPr="00D10746" w14:paraId="1C755367" w14:textId="77777777" w:rsidTr="00CE1739">
        <w:tc>
          <w:tcPr>
            <w:tcW w:w="567" w:type="dxa"/>
          </w:tcPr>
          <w:p w14:paraId="534497D5" w14:textId="18218500" w:rsidR="001625AC" w:rsidRPr="00CC5FCD" w:rsidRDefault="001625AC" w:rsidP="001625A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>§ 1</w:t>
            </w:r>
            <w:r w:rsidR="00E2069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981A518" w14:textId="77777777" w:rsidR="001625AC" w:rsidRPr="00CC5FCD" w:rsidRDefault="001625AC" w:rsidP="001625A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1625AC" w:rsidRPr="00CC5FCD" w:rsidRDefault="001625AC" w:rsidP="001625A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27492367" w:rsidR="001625AC" w:rsidRPr="00CC5FCD" w:rsidRDefault="001625AC" w:rsidP="001625AC">
            <w:pPr>
              <w:rPr>
                <w:szCs w:val="24"/>
              </w:rPr>
            </w:pPr>
            <w:r w:rsidRPr="00CC5FCD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tor</w:t>
            </w:r>
            <w:r w:rsidRPr="00CC5FCD">
              <w:rPr>
                <w:szCs w:val="24"/>
              </w:rPr>
              <w:t xml:space="preserve">sdag den </w:t>
            </w:r>
          </w:p>
          <w:p w14:paraId="6822FB6F" w14:textId="487947A3" w:rsidR="001625AC" w:rsidRPr="00CC5FCD" w:rsidRDefault="001625AC" w:rsidP="001625AC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20 maj</w:t>
            </w:r>
            <w:r w:rsidRPr="00CC5FCD">
              <w:rPr>
                <w:szCs w:val="24"/>
              </w:rPr>
              <w:t xml:space="preserve"> 2021 kl. </w:t>
            </w:r>
            <w:r>
              <w:rPr>
                <w:szCs w:val="24"/>
              </w:rPr>
              <w:t>10</w:t>
            </w:r>
            <w:r w:rsidRPr="00CC5FCD">
              <w:rPr>
                <w:szCs w:val="24"/>
              </w:rPr>
              <w:t>.00</w:t>
            </w:r>
            <w:r w:rsidRPr="00CC5FCD">
              <w:rPr>
                <w:snapToGrid w:val="0"/>
                <w:szCs w:val="24"/>
              </w:rPr>
              <w:t>.</w:t>
            </w:r>
          </w:p>
          <w:p w14:paraId="4F6979E0" w14:textId="77777777" w:rsidR="001625AC" w:rsidRPr="00CC5FCD" w:rsidRDefault="001625AC" w:rsidP="001625A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1625AC" w:rsidRPr="00D10746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1625AC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1625AC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107ACDBB" w:rsidR="001625AC" w:rsidRPr="00CC5FCD" w:rsidRDefault="001625AC" w:rsidP="001625AC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20 maj</w:t>
            </w:r>
            <w:r w:rsidRPr="00CC5FCD">
              <w:rPr>
                <w:snapToGrid w:val="0"/>
                <w:szCs w:val="24"/>
              </w:rPr>
              <w:t xml:space="preserve"> 2021</w:t>
            </w:r>
          </w:p>
        </w:tc>
      </w:tr>
    </w:tbl>
    <w:p w14:paraId="4138F434" w14:textId="0A57889D" w:rsidR="00553765" w:rsidRPr="00D10746" w:rsidRDefault="00991FD9" w:rsidP="00737F4C">
      <w:pPr>
        <w:widowControl/>
        <w:rPr>
          <w:sz w:val="20"/>
        </w:rPr>
      </w:pPr>
      <w:r w:rsidRPr="00D10746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D10746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lastRenderedPageBreak/>
              <w:br w:type="page"/>
            </w:r>
            <w:r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FAC08A2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296316" w:rsidRPr="00D10746">
              <w:rPr>
                <w:sz w:val="22"/>
                <w:szCs w:val="22"/>
              </w:rPr>
              <w:t>5</w:t>
            </w:r>
            <w:r w:rsidR="0023672A">
              <w:rPr>
                <w:sz w:val="22"/>
                <w:szCs w:val="22"/>
              </w:rPr>
              <w:t>8</w:t>
            </w:r>
          </w:p>
        </w:tc>
      </w:tr>
      <w:tr w:rsidR="008344E2" w:rsidRPr="00D10746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C3F578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10A81" w:rsidRPr="00D10746">
              <w:rPr>
                <w:sz w:val="20"/>
              </w:rPr>
              <w:t>2</w:t>
            </w:r>
            <w:r w:rsidR="0023672A">
              <w:rPr>
                <w:sz w:val="20"/>
              </w:rPr>
              <w:t>-</w:t>
            </w:r>
            <w:r w:rsidR="00E02004">
              <w:rPr>
                <w:sz w:val="20"/>
              </w:rPr>
              <w:t>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2B22C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E0200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4982C5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E02004">
              <w:rPr>
                <w:sz w:val="20"/>
              </w:rPr>
              <w:t>7-8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1EEA4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  <w:proofErr w:type="gramStart"/>
            <w:r w:rsidR="00E02004">
              <w:rPr>
                <w:sz w:val="20"/>
              </w:rPr>
              <w:t>9-11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66FE8E1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proofErr w:type="gramStart"/>
            <w:r w:rsidR="00E02004">
              <w:rPr>
                <w:sz w:val="20"/>
              </w:rPr>
              <w:t>12-13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77887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  <w:r w:rsidR="00E02004">
              <w:rPr>
                <w:sz w:val="20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7CBB0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307E50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63A96B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6C76CA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2C8691E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874A2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11A9CB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74E9E74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750606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E02004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FFDA211" w:rsidR="008344E2" w:rsidRPr="00EC5C4C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9C692A1" w:rsidR="008344E2" w:rsidRPr="00EC5C4C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7553475" w:rsidR="008344E2" w:rsidRPr="00EC5C4C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1487224" w:rsidR="008344E2" w:rsidRPr="00EC5C4C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48B42CD" w:rsidR="008344E2" w:rsidRPr="00EC5C4C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177880AB" w:rsidR="008344E2" w:rsidRPr="00EC5C4C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67648335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EC5C4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68FF5B3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1D5B21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3DA5011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66D37A6B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6CFE822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7A9309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0B61473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6C9596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72AD39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46B3FD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BD756F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EBB42E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ADA295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ABC3D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26CC7A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1E4745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3D9A68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460A457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2D99B76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2F0F531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0ECAC59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E975D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68190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747D50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D26CC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AC25A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25B924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74922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3A29ECC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2A5CDD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AD0499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74C7AC5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CBBBE2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399CA0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68BE2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160F34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F2E41E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0F6C103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6FF6E9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6AB092D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111171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85F7E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8FE5C2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4B38CE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679706F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8C830A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F26F3AB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8AD47E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14E31D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58C7AC5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1F1525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7EFC35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8616D4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33C6811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5DD0E14C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67562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A862FE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C27C8E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FE5E4C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5215C88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6971337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361F0B5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9919E3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5DB96C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6CFE950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07652D1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E807B8C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BD9253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30E49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6EB8B49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A77A37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08534F91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6C48763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44E619C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4FE9767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4A8F28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0F938D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18C9C3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1D9EE9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0CB0BB1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DF821B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70F5ABA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1EE65D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C57A1F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A329BE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1500A9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2C135D8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A9BC6A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0182766C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C2150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2E43929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05C53B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57FB687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1309176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53A523F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4ABDC7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67CC00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5EB963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05016EA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193406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54E4B6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C4F555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1F5200E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76D897D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229C9E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048013F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1B560DD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682CF9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650740D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B5AF51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EBA7D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CF158DB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E8CF1B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51396DE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47C46E6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84AAEC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73A0FF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26DAF81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06C2D0B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2DE264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CF05434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4F10310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5588466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6CCE4A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52A0E6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B8534C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4C702BE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3BC6A4E6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5D08E8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60AB3291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B69B425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4420F2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5FB6A3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3B736BC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019B3C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008176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633EEF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6D7E37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7DD09B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F314D6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7E91DA40" w:rsidR="00E53D30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34DCCE2C" w:rsidR="00E53D30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51D9AB17" w:rsidR="00E53D30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3C64FF98" w:rsidR="00E53D30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0F7C175" w:rsidR="00E53D30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2585A963" w:rsidR="00E53D30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2DE5C3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68A7C2A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21626761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ABC2907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D0C5283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3AEA1A68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2A3EB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5D7BC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093551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52A7C4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2342BF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154F6E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EB588D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36A54E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59EF5C4C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6F8D3891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5621E919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F55309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7D1080B2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72D31A6" w:rsidR="008344E2" w:rsidRPr="00D10746" w:rsidRDefault="00E0200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723E90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9E97DE3" w14:textId="0D513E5F" w:rsidR="006D55BA" w:rsidRDefault="006D55BA" w:rsidP="00F314D6">
      <w:pPr>
        <w:widowControl/>
      </w:pPr>
    </w:p>
    <w:sectPr w:rsidR="006D55B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31"/>
  </w:num>
  <w:num w:numId="5">
    <w:abstractNumId w:val="13"/>
  </w:num>
  <w:num w:numId="6">
    <w:abstractNumId w:val="14"/>
  </w:num>
  <w:num w:numId="7">
    <w:abstractNumId w:val="5"/>
  </w:num>
  <w:num w:numId="8">
    <w:abstractNumId w:val="22"/>
  </w:num>
  <w:num w:numId="9">
    <w:abstractNumId w:val="18"/>
  </w:num>
  <w:num w:numId="10">
    <w:abstractNumId w:val="1"/>
  </w:num>
  <w:num w:numId="11">
    <w:abstractNumId w:val="23"/>
  </w:num>
  <w:num w:numId="12">
    <w:abstractNumId w:val="9"/>
  </w:num>
  <w:num w:numId="13">
    <w:abstractNumId w:val="30"/>
  </w:num>
  <w:num w:numId="14">
    <w:abstractNumId w:val="23"/>
  </w:num>
  <w:num w:numId="15">
    <w:abstractNumId w:val="9"/>
  </w:num>
  <w:num w:numId="16">
    <w:abstractNumId w:val="30"/>
  </w:num>
  <w:num w:numId="17">
    <w:abstractNumId w:val="29"/>
  </w:num>
  <w:num w:numId="18">
    <w:abstractNumId w:val="12"/>
  </w:num>
  <w:num w:numId="19">
    <w:abstractNumId w:val="29"/>
  </w:num>
  <w:num w:numId="20">
    <w:abstractNumId w:val="11"/>
  </w:num>
  <w:num w:numId="21">
    <w:abstractNumId w:val="0"/>
  </w:num>
  <w:num w:numId="22">
    <w:abstractNumId w:val="28"/>
  </w:num>
  <w:num w:numId="23">
    <w:abstractNumId w:val="32"/>
  </w:num>
  <w:num w:numId="24">
    <w:abstractNumId w:val="4"/>
  </w:num>
  <w:num w:numId="25">
    <w:abstractNumId w:val="25"/>
  </w:num>
  <w:num w:numId="26">
    <w:abstractNumId w:val="26"/>
  </w:num>
  <w:num w:numId="27">
    <w:abstractNumId w:val="20"/>
  </w:num>
  <w:num w:numId="28">
    <w:abstractNumId w:val="15"/>
  </w:num>
  <w:num w:numId="29">
    <w:abstractNumId w:val="10"/>
  </w:num>
  <w:num w:numId="30">
    <w:abstractNumId w:val="8"/>
  </w:num>
  <w:num w:numId="31">
    <w:abstractNumId w:val="3"/>
  </w:num>
  <w:num w:numId="32">
    <w:abstractNumId w:val="7"/>
  </w:num>
  <w:num w:numId="33">
    <w:abstractNumId w:val="2"/>
  </w:num>
  <w:num w:numId="34">
    <w:abstractNumId w:val="27"/>
  </w:num>
  <w:num w:numId="35">
    <w:abstractNumId w:val="17"/>
  </w:num>
  <w:num w:numId="36">
    <w:abstractNumId w:val="16"/>
  </w:num>
  <w:num w:numId="37">
    <w:abstractNumId w:val="6"/>
  </w:num>
  <w:num w:numId="3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3046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297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13AB"/>
    <w:rsid w:val="002B15E0"/>
    <w:rsid w:val="002B199A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7EB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8A4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C5E"/>
    <w:rsid w:val="0047540E"/>
    <w:rsid w:val="00475607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040B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81B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659B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38BA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85B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4CA8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099F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A7B0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5FA8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B1C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684"/>
    <w:rsid w:val="00CA2413"/>
    <w:rsid w:val="00CA27BC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34EC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004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5C4C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D6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0425-A455-4DCF-B840-C84DCAC4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5</Pages>
  <Words>807</Words>
  <Characters>4960</Characters>
  <Application>Microsoft Office Word</Application>
  <DocSecurity>4</DocSecurity>
  <Lines>1653</Lines>
  <Paragraphs>384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2021-05-18T13:32:00Z</cp:lastPrinted>
  <dcterms:created xsi:type="dcterms:W3CDTF">2021-05-21T07:42:00Z</dcterms:created>
  <dcterms:modified xsi:type="dcterms:W3CDTF">2021-05-21T07:42:00Z</dcterms:modified>
</cp:coreProperties>
</file>