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EC6CE5">
        <w:tc>
          <w:tcPr>
            <w:tcW w:w="2268" w:type="dxa"/>
          </w:tcPr>
          <w:p w:rsidR="00EC6CE5" w:rsidRDefault="00EC6CE5">
            <w:pPr>
              <w:framePr w:w="4400" w:h="1644" w:wrap="notBeside" w:vAnchor="page" w:hAnchor="page" w:x="6573" w:y="721"/>
              <w:rPr>
                <w:rFonts w:ascii="TradeGothic" w:hAnsi="TradeGothic"/>
                <w:i/>
                <w:sz w:val="18"/>
              </w:rPr>
            </w:pPr>
          </w:p>
        </w:tc>
        <w:tc>
          <w:tcPr>
            <w:tcW w:w="2347" w:type="dxa"/>
            <w:gridSpan w:val="2"/>
          </w:tcPr>
          <w:p w:rsidR="00EC6CE5" w:rsidRDefault="00EC6CE5">
            <w:pPr>
              <w:framePr w:w="4400" w:h="1644" w:wrap="notBeside" w:vAnchor="page" w:hAnchor="page" w:x="6573" w:y="721"/>
              <w:rPr>
                <w:rFonts w:ascii="TradeGothic" w:hAnsi="TradeGothic"/>
                <w:i/>
                <w:sz w:val="18"/>
              </w:rPr>
            </w:pPr>
          </w:p>
        </w:tc>
      </w:tr>
      <w:tr w:rsidR="00EC6CE5">
        <w:tc>
          <w:tcPr>
            <w:tcW w:w="2268" w:type="dxa"/>
          </w:tcPr>
          <w:p w:rsidR="00EC6CE5" w:rsidRDefault="00EC6CE5">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EC6CE5" w:rsidRDefault="00EC6CE5">
            <w:pPr>
              <w:framePr w:w="4400" w:h="1644" w:wrap="notBeside" w:vAnchor="page" w:hAnchor="page" w:x="6573" w:y="721"/>
              <w:rPr>
                <w:rFonts w:ascii="TradeGothic" w:hAnsi="TradeGothic"/>
                <w:b/>
              </w:rPr>
            </w:pPr>
          </w:p>
        </w:tc>
      </w:tr>
      <w:tr w:rsidR="00EC6CE5">
        <w:trPr>
          <w:trHeight w:val="343"/>
        </w:trPr>
        <w:tc>
          <w:tcPr>
            <w:tcW w:w="3402" w:type="dxa"/>
            <w:gridSpan w:val="2"/>
          </w:tcPr>
          <w:p w:rsidR="00EC6CE5" w:rsidRDefault="00EC6CE5">
            <w:pPr>
              <w:framePr w:w="4400" w:h="1644" w:wrap="notBeside" w:vAnchor="page" w:hAnchor="page" w:x="6573" w:y="721"/>
            </w:pPr>
          </w:p>
        </w:tc>
        <w:tc>
          <w:tcPr>
            <w:tcW w:w="1213" w:type="dxa"/>
          </w:tcPr>
          <w:p w:rsidR="00EC6CE5" w:rsidRDefault="00EC6CE5">
            <w:pPr>
              <w:framePr w:w="4400" w:h="1644" w:wrap="notBeside" w:vAnchor="page" w:hAnchor="page" w:x="6573" w:y="721"/>
            </w:pPr>
          </w:p>
        </w:tc>
      </w:tr>
      <w:tr w:rsidR="00EC6CE5">
        <w:tc>
          <w:tcPr>
            <w:tcW w:w="2268" w:type="dxa"/>
          </w:tcPr>
          <w:p w:rsidR="00EC6CE5" w:rsidRDefault="00EC6CE5">
            <w:pPr>
              <w:framePr w:w="4400" w:h="1644" w:wrap="notBeside" w:vAnchor="page" w:hAnchor="page" w:x="6573" w:y="721"/>
            </w:pPr>
            <w:r>
              <w:t>2012-03-15</w:t>
            </w:r>
          </w:p>
        </w:tc>
        <w:tc>
          <w:tcPr>
            <w:tcW w:w="2347" w:type="dxa"/>
            <w:gridSpan w:val="2"/>
          </w:tcPr>
          <w:p w:rsidR="00EC6CE5" w:rsidRDefault="00EC6CE5">
            <w:pPr>
              <w:framePr w:w="4400" w:h="1644" w:wrap="notBeside" w:vAnchor="page" w:hAnchor="page" w:x="6573" w:y="721"/>
            </w:pPr>
          </w:p>
        </w:tc>
      </w:tr>
      <w:tr w:rsidR="00EC6CE5">
        <w:tc>
          <w:tcPr>
            <w:tcW w:w="2268" w:type="dxa"/>
          </w:tcPr>
          <w:p w:rsidR="00EC6CE5" w:rsidRDefault="00EC6CE5">
            <w:pPr>
              <w:framePr w:w="4400" w:h="1644" w:wrap="notBeside" w:vAnchor="page" w:hAnchor="page" w:x="6573" w:y="721"/>
            </w:pPr>
          </w:p>
        </w:tc>
        <w:tc>
          <w:tcPr>
            <w:tcW w:w="2347" w:type="dxa"/>
            <w:gridSpan w:val="2"/>
          </w:tcPr>
          <w:p w:rsidR="00EC6CE5" w:rsidRDefault="00EC6CE5">
            <w:pPr>
              <w:framePr w:w="4400" w:h="1644" w:wrap="notBeside" w:vAnchor="page" w:hAnchor="page" w:x="6573" w:y="721"/>
            </w:pPr>
          </w:p>
        </w:tc>
      </w:tr>
    </w:tbl>
    <w:tbl>
      <w:tblPr>
        <w:tblW w:w="0" w:type="auto"/>
        <w:tblLayout w:type="fixed"/>
        <w:tblLook w:val="0000"/>
      </w:tblPr>
      <w:tblGrid>
        <w:gridCol w:w="4911"/>
      </w:tblGrid>
      <w:tr w:rsidR="00EC6CE5">
        <w:trPr>
          <w:trHeight w:val="2400"/>
        </w:trPr>
        <w:tc>
          <w:tcPr>
            <w:tcW w:w="4911" w:type="dxa"/>
          </w:tcPr>
          <w:p w:rsidR="00EC6CE5" w:rsidRDefault="00EC6CE5">
            <w:pPr>
              <w:pStyle w:val="Avsndare"/>
              <w:framePr w:h="2483" w:wrap="notBeside" w:x="1504"/>
              <w:rPr>
                <w:b/>
                <w:i w:val="0"/>
                <w:sz w:val="22"/>
              </w:rPr>
            </w:pPr>
            <w:r>
              <w:rPr>
                <w:b/>
                <w:i w:val="0"/>
                <w:sz w:val="22"/>
              </w:rPr>
              <w:t>Statsrådsberedningen</w:t>
            </w:r>
          </w:p>
          <w:p w:rsidR="00EC6CE5" w:rsidRDefault="00EC6CE5">
            <w:pPr>
              <w:pStyle w:val="Avsndare"/>
              <w:framePr w:h="2483" w:wrap="notBeside" w:x="1504"/>
            </w:pPr>
          </w:p>
          <w:p w:rsidR="00EC6CE5" w:rsidRDefault="00EC6CE5">
            <w:pPr>
              <w:pStyle w:val="Avsndare"/>
              <w:framePr w:h="2483" w:wrap="notBeside" w:x="1504"/>
            </w:pPr>
            <w:r>
              <w:t>EU-kansliet</w:t>
            </w:r>
          </w:p>
          <w:p w:rsidR="00EC6CE5" w:rsidRDefault="00EC6CE5">
            <w:pPr>
              <w:pStyle w:val="Avsndare"/>
              <w:framePr w:h="2483" w:wrap="notBeside" w:x="1504"/>
            </w:pPr>
          </w:p>
          <w:p w:rsidR="00EC6CE5" w:rsidRDefault="00EC6CE5">
            <w:pPr>
              <w:pStyle w:val="Avsndare"/>
              <w:framePr w:h="2483" w:wrap="notBeside" w:x="1504"/>
            </w:pPr>
          </w:p>
          <w:p w:rsidR="00EC6CE5" w:rsidRDefault="00EC6CE5">
            <w:pPr>
              <w:pStyle w:val="Avsndare"/>
              <w:framePr w:h="2483" w:wrap="notBeside" w:x="1504"/>
            </w:pPr>
          </w:p>
          <w:p w:rsidR="00EC6CE5" w:rsidRDefault="00EC6CE5">
            <w:pPr>
              <w:pStyle w:val="Avsndare"/>
              <w:framePr w:h="2483" w:wrap="notBeside" w:x="1504"/>
              <w:rPr>
                <w:b/>
                <w:i w:val="0"/>
                <w:sz w:val="22"/>
              </w:rPr>
            </w:pPr>
          </w:p>
        </w:tc>
      </w:tr>
    </w:tbl>
    <w:p w:rsidR="00EC6CE5" w:rsidRDefault="00EC6CE5">
      <w:pPr>
        <w:framePr w:w="4400" w:h="2523" w:wrap="notBeside" w:vAnchor="page" w:hAnchor="page" w:x="6453" w:y="2445"/>
        <w:ind w:left="142"/>
      </w:pPr>
    </w:p>
    <w:p w:rsidR="00EC6CE5" w:rsidRDefault="00EC6CE5">
      <w:pPr>
        <w:pStyle w:val="UDrubrik"/>
        <w:tabs>
          <w:tab w:val="left" w:pos="1701"/>
          <w:tab w:val="left" w:pos="1985"/>
        </w:tabs>
        <w:rPr>
          <w:rFonts w:cs="Arial"/>
          <w:sz w:val="28"/>
        </w:rPr>
      </w:pPr>
      <w:bookmarkStart w:id="0" w:name="_Toc67391946"/>
      <w:bookmarkStart w:id="1" w:name="_Toc70473239"/>
      <w:r>
        <w:rPr>
          <w:rFonts w:cs="Arial"/>
          <w:sz w:val="28"/>
        </w:rPr>
        <w:t xml:space="preserve">Troliga A-punkter inför kommande rådsmöten som </w:t>
      </w:r>
      <w:bookmarkEnd w:id="0"/>
      <w:bookmarkEnd w:id="1"/>
      <w:r>
        <w:rPr>
          <w:rFonts w:cs="Arial"/>
          <w:sz w:val="28"/>
        </w:rPr>
        <w:t>godkändes vid Coreper I och II vecka 11.</w:t>
      </w:r>
    </w:p>
    <w:p w:rsidR="00EC6CE5" w:rsidRDefault="00EC6CE5" w:rsidP="009B20DB">
      <w:pPr>
        <w:pStyle w:val="BodyText"/>
      </w:pPr>
    </w:p>
    <w:p w:rsidR="00EC6CE5" w:rsidRPr="009B20DB" w:rsidRDefault="00EC6CE5" w:rsidP="009B20DB">
      <w:r>
        <w:t>Översänds för skriftligt samråd v. 11, till fredagen den 16 mars 09.00.</w:t>
      </w:r>
    </w:p>
    <w:p w:rsidR="00EC6CE5" w:rsidRDefault="00EC6CE5">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Pr>
          <w:b/>
          <w:bCs/>
        </w:rPr>
        <w:br w:type="page"/>
      </w:r>
    </w:p>
    <w:p w:rsidR="00EC6CE5" w:rsidRDefault="00EC6CE5">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9567651" w:history="1">
        <w:r w:rsidRPr="00464504">
          <w:rPr>
            <w:rStyle w:val="Hyperlink"/>
            <w:noProof/>
          </w:rPr>
          <w:t>Frågor som lösts i förberedande instanser</w:t>
        </w:r>
        <w:r>
          <w:rPr>
            <w:noProof/>
            <w:webHidden/>
          </w:rPr>
          <w:tab/>
        </w:r>
        <w:r>
          <w:rPr>
            <w:noProof/>
            <w:webHidden/>
          </w:rPr>
          <w:fldChar w:fldCharType="begin"/>
        </w:r>
        <w:r>
          <w:rPr>
            <w:noProof/>
            <w:webHidden/>
          </w:rPr>
          <w:instrText xml:space="preserve"> PAGEREF _Toc319567651 \h </w:instrText>
        </w:r>
        <w:r>
          <w:rPr>
            <w:noProof/>
            <w:webHidden/>
          </w:rPr>
        </w:r>
        <w:r>
          <w:rPr>
            <w:noProof/>
            <w:webHidden/>
          </w:rPr>
          <w:fldChar w:fldCharType="separate"/>
        </w:r>
        <w:r>
          <w:rPr>
            <w:noProof/>
            <w:webHidden/>
          </w:rPr>
          <w:t>5</w:t>
        </w:r>
        <w:r>
          <w:rPr>
            <w:noProof/>
            <w:webHidden/>
          </w:rPr>
          <w:fldChar w:fldCharType="end"/>
        </w:r>
      </w:hyperlink>
    </w:p>
    <w:p w:rsidR="00EC6CE5" w:rsidRDefault="00EC6CE5">
      <w:pPr>
        <w:pStyle w:val="TOC1"/>
        <w:tabs>
          <w:tab w:val="right" w:leader="dot" w:pos="7644"/>
        </w:tabs>
        <w:rPr>
          <w:rFonts w:ascii="Calibri" w:hAnsi="Calibri"/>
          <w:b w:val="0"/>
          <w:bCs w:val="0"/>
          <w:caps w:val="0"/>
          <w:noProof/>
          <w:sz w:val="22"/>
          <w:szCs w:val="22"/>
          <w:lang w:eastAsia="sv-SE"/>
        </w:rPr>
      </w:pPr>
      <w:hyperlink w:anchor="_Toc319567652" w:history="1">
        <w:r w:rsidRPr="00464504">
          <w:rPr>
            <w:rStyle w:val="Hyperlink"/>
            <w:noProof/>
          </w:rPr>
          <w:t>Troliga A-punkter inför kommande rådsmöten som  godkändes vid Coreper I 2012-03-14</w:t>
        </w:r>
        <w:r>
          <w:rPr>
            <w:noProof/>
            <w:webHidden/>
          </w:rPr>
          <w:tab/>
        </w:r>
        <w:r>
          <w:rPr>
            <w:noProof/>
            <w:webHidden/>
          </w:rPr>
          <w:fldChar w:fldCharType="begin"/>
        </w:r>
        <w:r>
          <w:rPr>
            <w:noProof/>
            <w:webHidden/>
          </w:rPr>
          <w:instrText xml:space="preserve"> PAGEREF _Toc319567652 \h </w:instrText>
        </w:r>
        <w:r>
          <w:rPr>
            <w:noProof/>
            <w:webHidden/>
          </w:rPr>
        </w:r>
        <w:r>
          <w:rPr>
            <w:noProof/>
            <w:webHidden/>
          </w:rPr>
          <w:fldChar w:fldCharType="separate"/>
        </w:r>
        <w:r>
          <w:rPr>
            <w:noProof/>
            <w:webHidden/>
          </w:rPr>
          <w:t>5</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53" w:history="1">
        <w:r w:rsidRPr="00464504">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_Toc319567653 \h </w:instrText>
        </w:r>
        <w:r>
          <w:rPr>
            <w:noProof/>
            <w:webHidden/>
          </w:rPr>
        </w:r>
        <w:r>
          <w:rPr>
            <w:noProof/>
            <w:webHidden/>
          </w:rPr>
          <w:fldChar w:fldCharType="separate"/>
        </w:r>
        <w:r>
          <w:rPr>
            <w:noProof/>
            <w:webHidden/>
          </w:rPr>
          <w:t>5</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54" w:history="1">
        <w:r w:rsidRPr="00464504">
          <w:rPr>
            <w:rStyle w:val="Hyperlink"/>
            <w:noProof/>
            <w:lang w:val="en-US"/>
          </w:rPr>
          <w:t>2. Case before the General Court of the European Union Case T-17/12 (Moritz Hagenmeyer und Andreas Hahn against the European Commission) = Information note for the Perm</w:t>
        </w:r>
        <w:bookmarkStart w:id="16" w:name="_GoBack"/>
        <w:bookmarkEnd w:id="16"/>
        <w:r w:rsidRPr="00464504">
          <w:rPr>
            <w:rStyle w:val="Hyperlink"/>
            <w:noProof/>
            <w:lang w:val="en-US"/>
          </w:rPr>
          <w:t>anent Representatives Committee (Part 1)</w:t>
        </w:r>
        <w:r>
          <w:rPr>
            <w:noProof/>
            <w:webHidden/>
          </w:rPr>
          <w:tab/>
        </w:r>
        <w:r>
          <w:rPr>
            <w:noProof/>
            <w:webHidden/>
          </w:rPr>
          <w:fldChar w:fldCharType="begin"/>
        </w:r>
        <w:r>
          <w:rPr>
            <w:noProof/>
            <w:webHidden/>
          </w:rPr>
          <w:instrText xml:space="preserve"> PAGEREF _Toc319567654 \h </w:instrText>
        </w:r>
        <w:r>
          <w:rPr>
            <w:noProof/>
            <w:webHidden/>
          </w:rPr>
        </w:r>
        <w:r>
          <w:rPr>
            <w:noProof/>
            <w:webHidden/>
          </w:rPr>
          <w:fldChar w:fldCharType="separate"/>
        </w:r>
        <w:r>
          <w:rPr>
            <w:noProof/>
            <w:webHidden/>
          </w:rPr>
          <w:t>6</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55" w:history="1">
        <w:r w:rsidRPr="00464504">
          <w:rPr>
            <w:rStyle w:val="Hyperlink"/>
            <w:noProof/>
            <w:lang w:val="en-US"/>
          </w:rPr>
          <w:t>3. Case before the Court of justice Case C-63/12 Commission v/Council = Information note for the Permanent Representatives Committee (Part 1)</w:t>
        </w:r>
        <w:r>
          <w:rPr>
            <w:noProof/>
            <w:webHidden/>
          </w:rPr>
          <w:tab/>
        </w:r>
        <w:r>
          <w:rPr>
            <w:noProof/>
            <w:webHidden/>
          </w:rPr>
          <w:fldChar w:fldCharType="begin"/>
        </w:r>
        <w:r>
          <w:rPr>
            <w:noProof/>
            <w:webHidden/>
          </w:rPr>
          <w:instrText xml:space="preserve"> PAGEREF _Toc319567655 \h </w:instrText>
        </w:r>
        <w:r>
          <w:rPr>
            <w:noProof/>
            <w:webHidden/>
          </w:rPr>
        </w:r>
        <w:r>
          <w:rPr>
            <w:noProof/>
            <w:webHidden/>
          </w:rPr>
          <w:fldChar w:fldCharType="separate"/>
        </w:r>
        <w:r>
          <w:rPr>
            <w:noProof/>
            <w:webHidden/>
          </w:rPr>
          <w:t>6</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56" w:history="1">
        <w:r w:rsidRPr="00464504">
          <w:rPr>
            <w:rStyle w:val="Hyperlink"/>
            <w:noProof/>
            <w:lang w:val="en-US"/>
          </w:rPr>
          <w:t>4. Consumption of EAGF appropriations for the period from 16 October to 31 December 2011 = Information note for the Permanent Representatives Committee (Part 1)</w:t>
        </w:r>
        <w:r>
          <w:rPr>
            <w:noProof/>
            <w:webHidden/>
          </w:rPr>
          <w:tab/>
        </w:r>
        <w:r>
          <w:rPr>
            <w:noProof/>
            <w:webHidden/>
          </w:rPr>
          <w:fldChar w:fldCharType="begin"/>
        </w:r>
        <w:r>
          <w:rPr>
            <w:noProof/>
            <w:webHidden/>
          </w:rPr>
          <w:instrText xml:space="preserve"> PAGEREF _Toc319567656 \h </w:instrText>
        </w:r>
        <w:r>
          <w:rPr>
            <w:noProof/>
            <w:webHidden/>
          </w:rPr>
        </w:r>
        <w:r>
          <w:rPr>
            <w:noProof/>
            <w:webHidden/>
          </w:rPr>
          <w:fldChar w:fldCharType="separate"/>
        </w:r>
        <w:r>
          <w:rPr>
            <w:noProof/>
            <w:webHidden/>
          </w:rPr>
          <w:t>6</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57" w:history="1">
        <w:r w:rsidRPr="00464504">
          <w:rPr>
            <w:rStyle w:val="Hyperlink"/>
            <w:noProof/>
            <w:lang w:val="en-US"/>
          </w:rPr>
          <w:t>5. Advisory Committee on Freedom of Movement for Workers Appointment of Ms Katri AALTONEN, Finnish member, in place of Ms Elina IMMONEN who has resigned = Adoption</w:t>
        </w:r>
        <w:r>
          <w:rPr>
            <w:noProof/>
            <w:webHidden/>
          </w:rPr>
          <w:tab/>
        </w:r>
        <w:r>
          <w:rPr>
            <w:noProof/>
            <w:webHidden/>
          </w:rPr>
          <w:fldChar w:fldCharType="begin"/>
        </w:r>
        <w:r>
          <w:rPr>
            <w:noProof/>
            <w:webHidden/>
          </w:rPr>
          <w:instrText xml:space="preserve"> PAGEREF _Toc319567657 \h </w:instrText>
        </w:r>
        <w:r>
          <w:rPr>
            <w:noProof/>
            <w:webHidden/>
          </w:rPr>
        </w:r>
        <w:r>
          <w:rPr>
            <w:noProof/>
            <w:webHidden/>
          </w:rPr>
          <w:fldChar w:fldCharType="separate"/>
        </w:r>
        <w:r>
          <w:rPr>
            <w:noProof/>
            <w:webHidden/>
          </w:rPr>
          <w:t>7</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58" w:history="1">
        <w:r w:rsidRPr="00464504">
          <w:rPr>
            <w:rStyle w:val="Hyperlink"/>
            <w:noProof/>
            <w:lang w:val="en-US"/>
          </w:rPr>
          <w:t>6. Advisory Committee on Freedom of Movement for Workers Appointment of Mr Olli SORAINEN, Finnish member, in place of Ms Tiina OINONEN who has resigned = Adoption</w:t>
        </w:r>
        <w:r>
          <w:rPr>
            <w:noProof/>
            <w:webHidden/>
          </w:rPr>
          <w:tab/>
        </w:r>
        <w:r>
          <w:rPr>
            <w:noProof/>
            <w:webHidden/>
          </w:rPr>
          <w:fldChar w:fldCharType="begin"/>
        </w:r>
        <w:r>
          <w:rPr>
            <w:noProof/>
            <w:webHidden/>
          </w:rPr>
          <w:instrText xml:space="preserve"> PAGEREF _Toc319567658 \h </w:instrText>
        </w:r>
        <w:r>
          <w:rPr>
            <w:noProof/>
            <w:webHidden/>
          </w:rPr>
        </w:r>
        <w:r>
          <w:rPr>
            <w:noProof/>
            <w:webHidden/>
          </w:rPr>
          <w:fldChar w:fldCharType="separate"/>
        </w:r>
        <w:r>
          <w:rPr>
            <w:noProof/>
            <w:webHidden/>
          </w:rPr>
          <w:t>7</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59" w:history="1">
        <w:r w:rsidRPr="00464504">
          <w:rPr>
            <w:rStyle w:val="Hyperlink"/>
            <w:noProof/>
            <w:lang w:val="en-US"/>
          </w:rPr>
          <w:t>7. Advisory Committee on Freedom of Movement for Workers Appointment of Ms Elena SIVITANIDOU, Cyprus alternate member, in place of Ms Eleni KALAVA who has resigned = Adoption</w:t>
        </w:r>
        <w:r>
          <w:rPr>
            <w:noProof/>
            <w:webHidden/>
          </w:rPr>
          <w:tab/>
        </w:r>
        <w:r>
          <w:rPr>
            <w:noProof/>
            <w:webHidden/>
          </w:rPr>
          <w:fldChar w:fldCharType="begin"/>
        </w:r>
        <w:r>
          <w:rPr>
            <w:noProof/>
            <w:webHidden/>
          </w:rPr>
          <w:instrText xml:space="preserve"> PAGEREF _Toc319567659 \h </w:instrText>
        </w:r>
        <w:r>
          <w:rPr>
            <w:noProof/>
            <w:webHidden/>
          </w:rPr>
        </w:r>
        <w:r>
          <w:rPr>
            <w:noProof/>
            <w:webHidden/>
          </w:rPr>
          <w:fldChar w:fldCharType="separate"/>
        </w:r>
        <w:r>
          <w:rPr>
            <w:noProof/>
            <w:webHidden/>
          </w:rPr>
          <w:t>7</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60" w:history="1">
        <w:r w:rsidRPr="00464504">
          <w:rPr>
            <w:rStyle w:val="Hyperlink"/>
            <w:noProof/>
            <w:lang w:val="en-US"/>
          </w:rPr>
          <w:t xml:space="preserve">8. Special Report No 11/2011 from the European Court of Auditors entitled "Do the design and management of the geographical indications scheme allow it to be effective?"= </w:t>
        </w:r>
        <w:r w:rsidRPr="00464504">
          <w:rPr>
            <w:rStyle w:val="Hyperlink"/>
            <w:noProof/>
          </w:rPr>
          <w:t>Adoption of Council conclusions</w:t>
        </w:r>
        <w:r>
          <w:rPr>
            <w:noProof/>
            <w:webHidden/>
          </w:rPr>
          <w:tab/>
        </w:r>
        <w:r>
          <w:rPr>
            <w:noProof/>
            <w:webHidden/>
          </w:rPr>
          <w:fldChar w:fldCharType="begin"/>
        </w:r>
        <w:r>
          <w:rPr>
            <w:noProof/>
            <w:webHidden/>
          </w:rPr>
          <w:instrText xml:space="preserve"> PAGEREF _Toc319567660 \h </w:instrText>
        </w:r>
        <w:r>
          <w:rPr>
            <w:noProof/>
            <w:webHidden/>
          </w:rPr>
        </w:r>
        <w:r>
          <w:rPr>
            <w:noProof/>
            <w:webHidden/>
          </w:rPr>
          <w:fldChar w:fldCharType="separate"/>
        </w:r>
        <w:r>
          <w:rPr>
            <w:noProof/>
            <w:webHidden/>
          </w:rPr>
          <w:t>8</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61" w:history="1">
        <w:r w:rsidRPr="00464504">
          <w:rPr>
            <w:rStyle w:val="Hyperlink"/>
            <w:noProof/>
            <w:lang w:val="en-US"/>
          </w:rPr>
          <w:t>9. Commission Regulation (EU) amending Regulation (EU) No 850/2004 of the European Parliament and of the Council on persistent organic pollutants as regards Annex I = Decision not to oppose adoption</w:t>
        </w:r>
        <w:r>
          <w:rPr>
            <w:noProof/>
            <w:webHidden/>
          </w:rPr>
          <w:tab/>
        </w:r>
        <w:r>
          <w:rPr>
            <w:noProof/>
            <w:webHidden/>
          </w:rPr>
          <w:fldChar w:fldCharType="begin"/>
        </w:r>
        <w:r>
          <w:rPr>
            <w:noProof/>
            <w:webHidden/>
          </w:rPr>
          <w:instrText xml:space="preserve"> PAGEREF _Toc319567661 \h </w:instrText>
        </w:r>
        <w:r>
          <w:rPr>
            <w:noProof/>
            <w:webHidden/>
          </w:rPr>
        </w:r>
        <w:r>
          <w:rPr>
            <w:noProof/>
            <w:webHidden/>
          </w:rPr>
          <w:fldChar w:fldCharType="separate"/>
        </w:r>
        <w:r>
          <w:rPr>
            <w:noProof/>
            <w:webHidden/>
          </w:rPr>
          <w:t>8</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62" w:history="1">
        <w:r w:rsidRPr="00464504">
          <w:rPr>
            <w:rStyle w:val="Hyperlink"/>
            <w:noProof/>
            <w:lang w:val="en-US"/>
          </w:rPr>
          <w:t>10. Recommendation for a Council Decision authorising the Commission to open negotiations on behalf of the European Union for a new Protocol to the Fisheries Partnership Agreement with the Republic of Kiribati = Adoption</w:t>
        </w:r>
        <w:r>
          <w:rPr>
            <w:noProof/>
            <w:webHidden/>
          </w:rPr>
          <w:tab/>
        </w:r>
        <w:r>
          <w:rPr>
            <w:noProof/>
            <w:webHidden/>
          </w:rPr>
          <w:fldChar w:fldCharType="begin"/>
        </w:r>
        <w:r>
          <w:rPr>
            <w:noProof/>
            <w:webHidden/>
          </w:rPr>
          <w:instrText xml:space="preserve"> PAGEREF _Toc319567662 \h </w:instrText>
        </w:r>
        <w:r>
          <w:rPr>
            <w:noProof/>
            <w:webHidden/>
          </w:rPr>
        </w:r>
        <w:r>
          <w:rPr>
            <w:noProof/>
            <w:webHidden/>
          </w:rPr>
          <w:fldChar w:fldCharType="separate"/>
        </w:r>
        <w:r>
          <w:rPr>
            <w:noProof/>
            <w:webHidden/>
          </w:rPr>
          <w:t>10</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63" w:history="1">
        <w:r w:rsidRPr="00464504">
          <w:rPr>
            <w:rStyle w:val="Hyperlink"/>
            <w:noProof/>
            <w:lang w:val="en-US"/>
          </w:rPr>
          <w:t>11. Request from the Council to the Commission to apply the provisions of Article 10 of Annex XI to the Staff Regulations = Adoption</w:t>
        </w:r>
        <w:r>
          <w:rPr>
            <w:noProof/>
            <w:webHidden/>
          </w:rPr>
          <w:tab/>
        </w:r>
        <w:r>
          <w:rPr>
            <w:noProof/>
            <w:webHidden/>
          </w:rPr>
          <w:fldChar w:fldCharType="begin"/>
        </w:r>
        <w:r>
          <w:rPr>
            <w:noProof/>
            <w:webHidden/>
          </w:rPr>
          <w:instrText xml:space="preserve"> PAGEREF _Toc319567663 \h </w:instrText>
        </w:r>
        <w:r>
          <w:rPr>
            <w:noProof/>
            <w:webHidden/>
          </w:rPr>
        </w:r>
        <w:r>
          <w:rPr>
            <w:noProof/>
            <w:webHidden/>
          </w:rPr>
          <w:fldChar w:fldCharType="separate"/>
        </w:r>
        <w:r>
          <w:rPr>
            <w:noProof/>
            <w:webHidden/>
          </w:rPr>
          <w:t>11</w:t>
        </w:r>
        <w:r>
          <w:rPr>
            <w:noProof/>
            <w:webHidden/>
          </w:rPr>
          <w:fldChar w:fldCharType="end"/>
        </w:r>
      </w:hyperlink>
    </w:p>
    <w:p w:rsidR="00EC6CE5" w:rsidRDefault="00EC6CE5">
      <w:pPr>
        <w:pStyle w:val="TOC1"/>
        <w:tabs>
          <w:tab w:val="right" w:leader="dot" w:pos="7644"/>
        </w:tabs>
        <w:rPr>
          <w:rFonts w:ascii="Calibri" w:hAnsi="Calibri"/>
          <w:b w:val="0"/>
          <w:bCs w:val="0"/>
          <w:caps w:val="0"/>
          <w:noProof/>
          <w:sz w:val="22"/>
          <w:szCs w:val="22"/>
          <w:lang w:eastAsia="sv-SE"/>
        </w:rPr>
      </w:pPr>
      <w:hyperlink w:anchor="_Toc319567664" w:history="1">
        <w:r w:rsidRPr="00464504">
          <w:rPr>
            <w:rStyle w:val="Hyperlink"/>
            <w:noProof/>
          </w:rPr>
          <w:t>Troliga A-punkter inför kommande rådsmöten som förväntas godkännas vid Coreper I 2012-03-16</w:t>
        </w:r>
        <w:r>
          <w:rPr>
            <w:noProof/>
            <w:webHidden/>
          </w:rPr>
          <w:tab/>
        </w:r>
        <w:r>
          <w:rPr>
            <w:noProof/>
            <w:webHidden/>
          </w:rPr>
          <w:fldChar w:fldCharType="begin"/>
        </w:r>
        <w:r>
          <w:rPr>
            <w:noProof/>
            <w:webHidden/>
          </w:rPr>
          <w:instrText xml:space="preserve"> PAGEREF _Toc319567664 \h </w:instrText>
        </w:r>
        <w:r>
          <w:rPr>
            <w:noProof/>
            <w:webHidden/>
          </w:rPr>
        </w:r>
        <w:r>
          <w:rPr>
            <w:noProof/>
            <w:webHidden/>
          </w:rPr>
          <w:fldChar w:fldCharType="separate"/>
        </w:r>
        <w:r>
          <w:rPr>
            <w:noProof/>
            <w:webHidden/>
          </w:rPr>
          <w:t>12</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65" w:history="1">
        <w:r w:rsidRPr="00464504">
          <w:rPr>
            <w:rStyle w:val="Hyperlink"/>
            <w:noProof/>
            <w:lang w:val="en-US"/>
          </w:rPr>
          <w:t>12. EU strategy regarding the International Plant Protection Convention (IPPC) = Adoption of Council conclusions</w:t>
        </w:r>
        <w:r>
          <w:rPr>
            <w:noProof/>
            <w:webHidden/>
          </w:rPr>
          <w:tab/>
        </w:r>
        <w:r>
          <w:rPr>
            <w:noProof/>
            <w:webHidden/>
          </w:rPr>
          <w:fldChar w:fldCharType="begin"/>
        </w:r>
        <w:r>
          <w:rPr>
            <w:noProof/>
            <w:webHidden/>
          </w:rPr>
          <w:instrText xml:space="preserve"> PAGEREF _Toc319567665 \h </w:instrText>
        </w:r>
        <w:r>
          <w:rPr>
            <w:noProof/>
            <w:webHidden/>
          </w:rPr>
        </w:r>
        <w:r>
          <w:rPr>
            <w:noProof/>
            <w:webHidden/>
          </w:rPr>
          <w:fldChar w:fldCharType="separate"/>
        </w:r>
        <w:r>
          <w:rPr>
            <w:noProof/>
            <w:webHidden/>
          </w:rPr>
          <w:t>12</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66" w:history="1">
        <w:r w:rsidRPr="00464504">
          <w:rPr>
            <w:rStyle w:val="Hyperlink"/>
            <w:noProof/>
            <w:lang w:val="en-US"/>
          </w:rPr>
          <w:t>13. Proposal for a Regulation of the European Parliament and of the Council on OTC derivative transactions, central counterparties and trade repositories (EMIR) (First reading) (Legislative deliberation) = Approval of the final compromise text</w:t>
        </w:r>
        <w:r>
          <w:rPr>
            <w:noProof/>
            <w:webHidden/>
          </w:rPr>
          <w:tab/>
        </w:r>
        <w:r>
          <w:rPr>
            <w:noProof/>
            <w:webHidden/>
          </w:rPr>
          <w:fldChar w:fldCharType="begin"/>
        </w:r>
        <w:r>
          <w:rPr>
            <w:noProof/>
            <w:webHidden/>
          </w:rPr>
          <w:instrText xml:space="preserve"> PAGEREF _Toc319567666 \h </w:instrText>
        </w:r>
        <w:r>
          <w:rPr>
            <w:noProof/>
            <w:webHidden/>
          </w:rPr>
        </w:r>
        <w:r>
          <w:rPr>
            <w:noProof/>
            <w:webHidden/>
          </w:rPr>
          <w:fldChar w:fldCharType="separate"/>
        </w:r>
        <w:r>
          <w:rPr>
            <w:noProof/>
            <w:webHidden/>
          </w:rPr>
          <w:t>13</w:t>
        </w:r>
        <w:r>
          <w:rPr>
            <w:noProof/>
            <w:webHidden/>
          </w:rPr>
          <w:fldChar w:fldCharType="end"/>
        </w:r>
      </w:hyperlink>
    </w:p>
    <w:p w:rsidR="00EC6CE5" w:rsidRDefault="00EC6CE5">
      <w:pPr>
        <w:pStyle w:val="TOC1"/>
        <w:tabs>
          <w:tab w:val="right" w:leader="dot" w:pos="7644"/>
        </w:tabs>
        <w:rPr>
          <w:rFonts w:ascii="Calibri" w:hAnsi="Calibri"/>
          <w:b w:val="0"/>
          <w:bCs w:val="0"/>
          <w:caps w:val="0"/>
          <w:noProof/>
          <w:sz w:val="22"/>
          <w:szCs w:val="22"/>
          <w:lang w:eastAsia="sv-SE"/>
        </w:rPr>
      </w:pPr>
      <w:hyperlink w:anchor="_Toc319567667" w:history="1">
        <w:r w:rsidRPr="00464504">
          <w:rPr>
            <w:rStyle w:val="Hyperlink"/>
            <w:rFonts w:cs="Arial"/>
            <w:noProof/>
          </w:rPr>
          <w:t>Troliga A-punkter inför kommande rådsmöten som godkändes vid Coreper II 2012-03-14</w:t>
        </w:r>
        <w:r>
          <w:rPr>
            <w:noProof/>
            <w:webHidden/>
          </w:rPr>
          <w:tab/>
        </w:r>
        <w:r>
          <w:rPr>
            <w:noProof/>
            <w:webHidden/>
          </w:rPr>
          <w:fldChar w:fldCharType="begin"/>
        </w:r>
        <w:r>
          <w:rPr>
            <w:noProof/>
            <w:webHidden/>
          </w:rPr>
          <w:instrText xml:space="preserve"> PAGEREF _Toc319567667 \h </w:instrText>
        </w:r>
        <w:r>
          <w:rPr>
            <w:noProof/>
            <w:webHidden/>
          </w:rPr>
        </w:r>
        <w:r>
          <w:rPr>
            <w:noProof/>
            <w:webHidden/>
          </w:rPr>
          <w:fldChar w:fldCharType="separate"/>
        </w:r>
        <w:r>
          <w:rPr>
            <w:noProof/>
            <w:webHidden/>
          </w:rPr>
          <w:t>14</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68" w:history="1">
        <w:r w:rsidRPr="00464504">
          <w:rPr>
            <w:rStyle w:val="Hyperlink"/>
            <w:noProof/>
            <w:lang w:val="en-US"/>
          </w:rPr>
          <w:t>14. Case before the General Court of the European Union = Case T-42/12 (Naser Bateni against the Council of the European Union)</w:t>
        </w:r>
        <w:r>
          <w:rPr>
            <w:noProof/>
            <w:webHidden/>
          </w:rPr>
          <w:tab/>
        </w:r>
        <w:r>
          <w:rPr>
            <w:noProof/>
            <w:webHidden/>
          </w:rPr>
          <w:fldChar w:fldCharType="begin"/>
        </w:r>
        <w:r>
          <w:rPr>
            <w:noProof/>
            <w:webHidden/>
          </w:rPr>
          <w:instrText xml:space="preserve"> PAGEREF _Toc319567668 \h </w:instrText>
        </w:r>
        <w:r>
          <w:rPr>
            <w:noProof/>
            <w:webHidden/>
          </w:rPr>
        </w:r>
        <w:r>
          <w:rPr>
            <w:noProof/>
            <w:webHidden/>
          </w:rPr>
          <w:fldChar w:fldCharType="separate"/>
        </w:r>
        <w:r>
          <w:rPr>
            <w:noProof/>
            <w:webHidden/>
          </w:rPr>
          <w:t>14</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69" w:history="1">
        <w:r w:rsidRPr="00464504">
          <w:rPr>
            <w:rStyle w:val="Hyperlink"/>
            <w:noProof/>
            <w:lang w:val="en-US"/>
          </w:rPr>
          <w:t>15. Case before the General Court of the European Union= Case T-63/12 (Oil Turbo Compressor Company v. Council)</w:t>
        </w:r>
        <w:r>
          <w:rPr>
            <w:noProof/>
            <w:webHidden/>
          </w:rPr>
          <w:tab/>
        </w:r>
        <w:r>
          <w:rPr>
            <w:noProof/>
            <w:webHidden/>
          </w:rPr>
          <w:fldChar w:fldCharType="begin"/>
        </w:r>
        <w:r>
          <w:rPr>
            <w:noProof/>
            <w:webHidden/>
          </w:rPr>
          <w:instrText xml:space="preserve"> PAGEREF _Toc319567669 \h </w:instrText>
        </w:r>
        <w:r>
          <w:rPr>
            <w:noProof/>
            <w:webHidden/>
          </w:rPr>
        </w:r>
        <w:r>
          <w:rPr>
            <w:noProof/>
            <w:webHidden/>
          </w:rPr>
          <w:fldChar w:fldCharType="separate"/>
        </w:r>
        <w:r>
          <w:rPr>
            <w:noProof/>
            <w:webHidden/>
          </w:rPr>
          <w:t>14</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0" w:history="1">
        <w:r w:rsidRPr="00464504">
          <w:rPr>
            <w:rStyle w:val="Hyperlink"/>
            <w:noProof/>
            <w:lang w:val="en-US"/>
          </w:rPr>
          <w:t>16. Council Decision of ...amending Decision 1999/70/EC concerning the external auditors of the national central banks, as regards the external auditors of the Bank of Greece</w:t>
        </w:r>
        <w:r>
          <w:rPr>
            <w:noProof/>
            <w:webHidden/>
          </w:rPr>
          <w:tab/>
        </w:r>
        <w:r>
          <w:rPr>
            <w:noProof/>
            <w:webHidden/>
          </w:rPr>
          <w:fldChar w:fldCharType="begin"/>
        </w:r>
        <w:r>
          <w:rPr>
            <w:noProof/>
            <w:webHidden/>
          </w:rPr>
          <w:instrText xml:space="preserve"> PAGEREF _Toc319567670 \h </w:instrText>
        </w:r>
        <w:r>
          <w:rPr>
            <w:noProof/>
            <w:webHidden/>
          </w:rPr>
        </w:r>
        <w:r>
          <w:rPr>
            <w:noProof/>
            <w:webHidden/>
          </w:rPr>
          <w:fldChar w:fldCharType="separate"/>
        </w:r>
        <w:r>
          <w:rPr>
            <w:noProof/>
            <w:webHidden/>
          </w:rPr>
          <w:t>15</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1" w:history="1">
        <w:r w:rsidRPr="00464504">
          <w:rPr>
            <w:rStyle w:val="Hyperlink"/>
            <w:noProof/>
            <w:lang w:val="en-US"/>
          </w:rPr>
          <w:t>17. Commission delegated Decision of 8.2.2012 amending Annex III to Decision No 1080/2011/EU of the European Parliament and of the Council granting an EU guarantee to the European Investment Bank against losses under loans and loan guarantees for projects outside the Union and repealing Decision No 633/2009/EC, as regards Syria = Intention not to raise objections to a delegated act</w:t>
        </w:r>
        <w:r>
          <w:rPr>
            <w:noProof/>
            <w:webHidden/>
          </w:rPr>
          <w:tab/>
        </w:r>
        <w:r>
          <w:rPr>
            <w:noProof/>
            <w:webHidden/>
          </w:rPr>
          <w:fldChar w:fldCharType="begin"/>
        </w:r>
        <w:r>
          <w:rPr>
            <w:noProof/>
            <w:webHidden/>
          </w:rPr>
          <w:instrText xml:space="preserve"> PAGEREF _Toc319567671 \h </w:instrText>
        </w:r>
        <w:r>
          <w:rPr>
            <w:noProof/>
            <w:webHidden/>
          </w:rPr>
        </w:r>
        <w:r>
          <w:rPr>
            <w:noProof/>
            <w:webHidden/>
          </w:rPr>
          <w:fldChar w:fldCharType="separate"/>
        </w:r>
        <w:r>
          <w:rPr>
            <w:noProof/>
            <w:webHidden/>
          </w:rPr>
          <w:t>15</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2" w:history="1">
        <w:r w:rsidRPr="00464504">
          <w:rPr>
            <w:rStyle w:val="Hyperlink"/>
            <w:noProof/>
            <w:lang w:val="en-US"/>
          </w:rPr>
          <w:t>18. Commission Delegated Regulation (EU) No .../.. of 7.2.2012 supplementing Regulation (EC) 1060/2009 of the European Parliament and of the Council with regard to fees charged by the European Securities and Markets Authority to credit rating agencies = Intention not to raise objections to a delegated act</w:t>
        </w:r>
        <w:r>
          <w:rPr>
            <w:noProof/>
            <w:webHidden/>
          </w:rPr>
          <w:tab/>
        </w:r>
        <w:r>
          <w:rPr>
            <w:noProof/>
            <w:webHidden/>
          </w:rPr>
          <w:fldChar w:fldCharType="begin"/>
        </w:r>
        <w:r>
          <w:rPr>
            <w:noProof/>
            <w:webHidden/>
          </w:rPr>
          <w:instrText xml:space="preserve"> PAGEREF _Toc319567672 \h </w:instrText>
        </w:r>
        <w:r>
          <w:rPr>
            <w:noProof/>
            <w:webHidden/>
          </w:rPr>
        </w:r>
        <w:r>
          <w:rPr>
            <w:noProof/>
            <w:webHidden/>
          </w:rPr>
          <w:fldChar w:fldCharType="separate"/>
        </w:r>
        <w:r>
          <w:rPr>
            <w:noProof/>
            <w:webHidden/>
          </w:rPr>
          <w:t>16</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3" w:history="1">
        <w:r w:rsidRPr="00464504">
          <w:rPr>
            <w:rStyle w:val="Hyperlink"/>
            <w:noProof/>
            <w:lang w:val="en-US"/>
          </w:rPr>
          <w:t>19. Proposal for a Regulation of the European Parliament and of the Council amending Council Regulation (EC) No 1083/2006 as regards certain provisions relating to risk sharing instruments for Member States experiencing or threatened with serious difficulties with respect to their financial stability [First reading] = Preparation of a General approach</w:t>
        </w:r>
        <w:r>
          <w:rPr>
            <w:noProof/>
            <w:webHidden/>
          </w:rPr>
          <w:tab/>
        </w:r>
        <w:r>
          <w:rPr>
            <w:noProof/>
            <w:webHidden/>
          </w:rPr>
          <w:fldChar w:fldCharType="begin"/>
        </w:r>
        <w:r>
          <w:rPr>
            <w:noProof/>
            <w:webHidden/>
          </w:rPr>
          <w:instrText xml:space="preserve"> PAGEREF _Toc319567673 \h </w:instrText>
        </w:r>
        <w:r>
          <w:rPr>
            <w:noProof/>
            <w:webHidden/>
          </w:rPr>
        </w:r>
        <w:r>
          <w:rPr>
            <w:noProof/>
            <w:webHidden/>
          </w:rPr>
          <w:fldChar w:fldCharType="separate"/>
        </w:r>
        <w:r>
          <w:rPr>
            <w:noProof/>
            <w:webHidden/>
          </w:rPr>
          <w:t>17</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4" w:history="1">
        <w:r w:rsidRPr="00464504">
          <w:rPr>
            <w:rStyle w:val="Hyperlink"/>
            <w:noProof/>
            <w:lang w:val="en-US"/>
          </w:rPr>
          <w:t>20. Council Decision amending Decision 2011/173/CFSP concerning restrictive measures in view of the situation in Bosnia and Herzegovina</w:t>
        </w:r>
        <w:r>
          <w:rPr>
            <w:noProof/>
            <w:webHidden/>
          </w:rPr>
          <w:tab/>
        </w:r>
        <w:r>
          <w:rPr>
            <w:noProof/>
            <w:webHidden/>
          </w:rPr>
          <w:fldChar w:fldCharType="begin"/>
        </w:r>
        <w:r>
          <w:rPr>
            <w:noProof/>
            <w:webHidden/>
          </w:rPr>
          <w:instrText xml:space="preserve"> PAGEREF _Toc319567674 \h </w:instrText>
        </w:r>
        <w:r>
          <w:rPr>
            <w:noProof/>
            <w:webHidden/>
          </w:rPr>
        </w:r>
        <w:r>
          <w:rPr>
            <w:noProof/>
            <w:webHidden/>
          </w:rPr>
          <w:fldChar w:fldCharType="separate"/>
        </w:r>
        <w:r>
          <w:rPr>
            <w:noProof/>
            <w:webHidden/>
          </w:rPr>
          <w:t>18</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5" w:history="1">
        <w:r w:rsidRPr="00464504">
          <w:rPr>
            <w:rStyle w:val="Hyperlink"/>
            <w:noProof/>
            <w:lang w:val="en-US"/>
          </w:rPr>
          <w:t>21. Restrictive measures against Syria = Letters of reply to persons and entities subject to the restrictive measures provided for in Council Decision 2011/273/CFSP and in Council Regulation (EU) No 442/2011</w:t>
        </w:r>
        <w:r>
          <w:rPr>
            <w:noProof/>
            <w:webHidden/>
          </w:rPr>
          <w:tab/>
        </w:r>
        <w:r>
          <w:rPr>
            <w:noProof/>
            <w:webHidden/>
          </w:rPr>
          <w:fldChar w:fldCharType="begin"/>
        </w:r>
        <w:r>
          <w:rPr>
            <w:noProof/>
            <w:webHidden/>
          </w:rPr>
          <w:instrText xml:space="preserve"> PAGEREF _Toc319567675 \h </w:instrText>
        </w:r>
        <w:r>
          <w:rPr>
            <w:noProof/>
            <w:webHidden/>
          </w:rPr>
        </w:r>
        <w:r>
          <w:rPr>
            <w:noProof/>
            <w:webHidden/>
          </w:rPr>
          <w:fldChar w:fldCharType="separate"/>
        </w:r>
        <w:r>
          <w:rPr>
            <w:noProof/>
            <w:webHidden/>
          </w:rPr>
          <w:t>18</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6" w:history="1">
        <w:r w:rsidRPr="00464504">
          <w:rPr>
            <w:rStyle w:val="Hyperlink"/>
            <w:noProof/>
            <w:lang w:val="en-US"/>
          </w:rPr>
          <w:t>22. Restrictive measures against Côte d'Ivoire:- Letters of individual notification to be sent to listed persons</w:t>
        </w:r>
        <w:r>
          <w:rPr>
            <w:noProof/>
            <w:webHidden/>
          </w:rPr>
          <w:tab/>
        </w:r>
        <w:r>
          <w:rPr>
            <w:noProof/>
            <w:webHidden/>
          </w:rPr>
          <w:fldChar w:fldCharType="begin"/>
        </w:r>
        <w:r>
          <w:rPr>
            <w:noProof/>
            <w:webHidden/>
          </w:rPr>
          <w:instrText xml:space="preserve"> PAGEREF _Toc319567676 \h </w:instrText>
        </w:r>
        <w:r>
          <w:rPr>
            <w:noProof/>
            <w:webHidden/>
          </w:rPr>
        </w:r>
        <w:r>
          <w:rPr>
            <w:noProof/>
            <w:webHidden/>
          </w:rPr>
          <w:fldChar w:fldCharType="separate"/>
        </w:r>
        <w:r>
          <w:rPr>
            <w:noProof/>
            <w:webHidden/>
          </w:rPr>
          <w:t>19</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7" w:history="1">
        <w:r w:rsidRPr="00464504">
          <w:rPr>
            <w:rStyle w:val="Hyperlink"/>
            <w:noProof/>
            <w:lang w:val="en-US"/>
          </w:rPr>
          <w:t>23. Council Decision amending Council Decision 2011/172/CFSP concerning restrictive measures directed against certain persons, entities and bodies in view of the situation in Egypt</w:t>
        </w:r>
        <w:r>
          <w:rPr>
            <w:noProof/>
            <w:webHidden/>
          </w:rPr>
          <w:tab/>
        </w:r>
        <w:r>
          <w:rPr>
            <w:noProof/>
            <w:webHidden/>
          </w:rPr>
          <w:fldChar w:fldCharType="begin"/>
        </w:r>
        <w:r>
          <w:rPr>
            <w:noProof/>
            <w:webHidden/>
          </w:rPr>
          <w:instrText xml:space="preserve"> PAGEREF _Toc319567677 \h </w:instrText>
        </w:r>
        <w:r>
          <w:rPr>
            <w:noProof/>
            <w:webHidden/>
          </w:rPr>
        </w:r>
        <w:r>
          <w:rPr>
            <w:noProof/>
            <w:webHidden/>
          </w:rPr>
          <w:fldChar w:fldCharType="separate"/>
        </w:r>
        <w:r>
          <w:rPr>
            <w:noProof/>
            <w:webHidden/>
          </w:rPr>
          <w:t>20</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8" w:history="1">
        <w:r w:rsidRPr="00464504">
          <w:rPr>
            <w:rStyle w:val="Hyperlink"/>
            <w:noProof/>
            <w:lang w:val="en-US"/>
          </w:rPr>
          <w:t>24. Implementation of UNSCRs on Women, Peace and Security in the context of CSDP missions and operations</w:t>
        </w:r>
        <w:r>
          <w:rPr>
            <w:noProof/>
            <w:webHidden/>
          </w:rPr>
          <w:tab/>
        </w:r>
        <w:r>
          <w:rPr>
            <w:noProof/>
            <w:webHidden/>
          </w:rPr>
          <w:fldChar w:fldCharType="begin"/>
        </w:r>
        <w:r>
          <w:rPr>
            <w:noProof/>
            <w:webHidden/>
          </w:rPr>
          <w:instrText xml:space="preserve"> PAGEREF _Toc319567678 \h </w:instrText>
        </w:r>
        <w:r>
          <w:rPr>
            <w:noProof/>
            <w:webHidden/>
          </w:rPr>
        </w:r>
        <w:r>
          <w:rPr>
            <w:noProof/>
            <w:webHidden/>
          </w:rPr>
          <w:fldChar w:fldCharType="separate"/>
        </w:r>
        <w:r>
          <w:rPr>
            <w:noProof/>
            <w:webHidden/>
          </w:rPr>
          <w:t>20</w:t>
        </w:r>
        <w:r>
          <w:rPr>
            <w:noProof/>
            <w:webHidden/>
          </w:rPr>
          <w:fldChar w:fldCharType="end"/>
        </w:r>
      </w:hyperlink>
    </w:p>
    <w:p w:rsidR="00EC6CE5" w:rsidRDefault="00EC6CE5">
      <w:pPr>
        <w:pStyle w:val="TOC2"/>
        <w:tabs>
          <w:tab w:val="right" w:leader="dot" w:pos="7644"/>
        </w:tabs>
        <w:rPr>
          <w:rFonts w:ascii="Calibri" w:hAnsi="Calibri"/>
          <w:b w:val="0"/>
          <w:bCs w:val="0"/>
          <w:noProof/>
          <w:sz w:val="22"/>
          <w:szCs w:val="22"/>
          <w:lang w:eastAsia="sv-SE"/>
        </w:rPr>
      </w:pPr>
      <w:hyperlink w:anchor="_Toc319567679" w:history="1">
        <w:r w:rsidRPr="00464504">
          <w:rPr>
            <w:rStyle w:val="Hyperlink"/>
            <w:noProof/>
            <w:lang w:val="en-US"/>
          </w:rPr>
          <w:t>25. Enlargement - Accession negotiations with Iceland = Outcome of screening on Chapter 9: Financial Services</w:t>
        </w:r>
        <w:r>
          <w:rPr>
            <w:noProof/>
            <w:webHidden/>
          </w:rPr>
          <w:tab/>
        </w:r>
        <w:r>
          <w:rPr>
            <w:noProof/>
            <w:webHidden/>
          </w:rPr>
          <w:fldChar w:fldCharType="begin"/>
        </w:r>
        <w:r>
          <w:rPr>
            <w:noProof/>
            <w:webHidden/>
          </w:rPr>
          <w:instrText xml:space="preserve"> PAGEREF _Toc319567679 \h </w:instrText>
        </w:r>
        <w:r>
          <w:rPr>
            <w:noProof/>
            <w:webHidden/>
          </w:rPr>
        </w:r>
        <w:r>
          <w:rPr>
            <w:noProof/>
            <w:webHidden/>
          </w:rPr>
          <w:fldChar w:fldCharType="separate"/>
        </w:r>
        <w:r>
          <w:rPr>
            <w:noProof/>
            <w:webHidden/>
          </w:rPr>
          <w:t>21</w:t>
        </w:r>
        <w:r>
          <w:rPr>
            <w:noProof/>
            <w:webHidden/>
          </w:rPr>
          <w:fldChar w:fldCharType="end"/>
        </w:r>
      </w:hyperlink>
    </w:p>
    <w:p w:rsidR="00EC6CE5" w:rsidRDefault="00EC6CE5">
      <w:pPr>
        <w:pStyle w:val="RKnormal"/>
        <w:ind w:left="0"/>
        <w:rPr>
          <w:b/>
          <w:bCs/>
        </w:rPr>
      </w:pPr>
      <w:r>
        <w:rPr>
          <w:b/>
          <w:bCs/>
        </w:rPr>
        <w:fldChar w:fldCharType="end"/>
      </w:r>
    </w:p>
    <w:p w:rsidR="00EC6CE5" w:rsidRDefault="00EC6CE5">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9567651"/>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C6CE5" w:rsidRDefault="00EC6CE5">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EC6CE5" w:rsidRPr="00D86C13" w:rsidRDefault="00EC6CE5">
      <w:pPr>
        <w:pStyle w:val="Heading1"/>
        <w:spacing w:before="0" w:after="0"/>
      </w:pPr>
      <w:r w:rsidRPr="00D86C13">
        <w:t xml:space="preserve"> </w:t>
      </w:r>
      <w:bookmarkStart w:id="55" w:name="Punkt"/>
      <w:bookmarkEnd w:id="55"/>
    </w:p>
    <w:p w:rsidR="00EC6CE5" w:rsidRPr="00D86C13" w:rsidRDefault="00EC6CE5" w:rsidP="003C0F78">
      <w:pPr>
        <w:pStyle w:val="RKnormal"/>
      </w:pPr>
    </w:p>
    <w:p w:rsidR="00EC6CE5" w:rsidRDefault="00EC6CE5" w:rsidP="008A515C">
      <w:pPr>
        <w:pStyle w:val="Heading1"/>
      </w:pPr>
      <w:bookmarkStart w:id="56" w:name="_Toc319567652"/>
      <w:r>
        <w:t>Troliga A-punkter inför kommande rådsmöten som  godkändes vid Coreper I 2012-03-14</w:t>
      </w:r>
      <w:bookmarkEnd w:id="56"/>
    </w:p>
    <w:p w:rsidR="00EC6CE5" w:rsidRPr="009B20DB" w:rsidRDefault="00EC6CE5">
      <w:pPr>
        <w:pStyle w:val="RKnormal"/>
        <w:tabs>
          <w:tab w:val="clear" w:pos="1843"/>
          <w:tab w:val="left" w:pos="0"/>
        </w:tabs>
        <w:ind w:left="0"/>
      </w:pPr>
    </w:p>
    <w:p w:rsidR="00EC6CE5" w:rsidRDefault="00EC6CE5" w:rsidP="00086CA6">
      <w:pPr>
        <w:pStyle w:val="Heading2"/>
        <w:rPr>
          <w:lang w:val="en-US"/>
        </w:rPr>
      </w:pPr>
      <w:bookmarkStart w:id="57" w:name="_Toc319567653"/>
      <w:r w:rsidRPr="00086CA6">
        <w:rPr>
          <w:lang w:val="en-US"/>
        </w:rPr>
        <w:t>1. Replies to written questions put to the Council by Members of the European Parliament (+)</w:t>
      </w:r>
      <w:bookmarkEnd w:id="57"/>
    </w:p>
    <w:p w:rsidR="00EC6CE5" w:rsidRPr="00086CA6" w:rsidRDefault="00EC6CE5" w:rsidP="003C0F78">
      <w:pPr>
        <w:rPr>
          <w:lang w:val="en-US"/>
        </w:rPr>
      </w:pPr>
      <w:r w:rsidRPr="00086CA6">
        <w:rPr>
          <w:lang w:val="en-US"/>
        </w:rPr>
        <w:t>(a) n° E-000422/2012 put by Andreas Mölzer "Complaints about excessive numbers of German students studying abroad in EU Member States" (b) n° E-001069/2012 put by Andreas Mölzer "Use of successive fixed-term employment contracts"(c) n° E-001078/2012 put by Sir Graham Watson "Hague Convention and the Brussels II Convention and grandparents" (d) n° E-001326/2012 put by David Campbell Bannerman "Public meetings" (e) n° E-001661/2012 put by Nuno Melo "Van Rompuy in favour of restricting sovereignty in countries that fail to meet obligations"</w:t>
      </w:r>
    </w:p>
    <w:p w:rsidR="00EC6CE5" w:rsidRDefault="00EC6CE5">
      <w:pPr>
        <w:pStyle w:val="RKnormal"/>
        <w:tabs>
          <w:tab w:val="clear" w:pos="1843"/>
          <w:tab w:val="left" w:pos="0"/>
        </w:tabs>
        <w:ind w:left="0"/>
        <w:rPr>
          <w:lang w:val="en-US"/>
        </w:rPr>
      </w:pPr>
    </w:p>
    <w:p w:rsidR="00EC6CE5" w:rsidRPr="00D86C13" w:rsidRDefault="00EC6CE5" w:rsidP="00086CA6">
      <w:r w:rsidRPr="00D86C13">
        <w:t>6732/12, 6731/12, 6707/12, 6526/12, 7030/12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Statsrådsberedningen</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Birgitta Ohlsson</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Default="00EC6CE5" w:rsidP="00255496">
      <w:pPr>
        <w:rPr>
          <w:lang w:val="en-US"/>
        </w:rPr>
      </w:pPr>
      <w:r w:rsidRPr="00086CA6">
        <w:rPr>
          <w:lang w:val="en-US"/>
        </w:rPr>
        <w:t>Föranleder ingen annotering.</w:t>
      </w:r>
    </w:p>
    <w:p w:rsidR="00EC6CE5" w:rsidRDefault="00EC6CE5" w:rsidP="00255496">
      <w:pPr>
        <w:rPr>
          <w:lang w:val="en-US"/>
        </w:rPr>
      </w:pPr>
      <w:r>
        <w:rPr>
          <w:lang w:val="en-US"/>
        </w:rPr>
        <w:br w:type="page"/>
      </w:r>
      <w:r w:rsidRPr="00086CA6">
        <w:rPr>
          <w:lang w:val="en-US"/>
        </w:rPr>
        <w:t xml:space="preserve"> </w:t>
      </w:r>
    </w:p>
    <w:p w:rsidR="00EC6CE5" w:rsidRPr="00086CA6" w:rsidRDefault="00EC6CE5" w:rsidP="00086CA6">
      <w:pPr>
        <w:pStyle w:val="Heading2"/>
        <w:rPr>
          <w:lang w:val="en-US"/>
        </w:rPr>
      </w:pPr>
      <w:bookmarkStart w:id="58" w:name="_Toc319567654"/>
      <w:r w:rsidRPr="00086CA6">
        <w:rPr>
          <w:lang w:val="en-US"/>
        </w:rPr>
        <w:t>2. Case before the General Court of the European Union Case T-17/12 (Moritz Hagenmeyer und Andreas Hahn against the European Commission)</w:t>
      </w:r>
      <w:r>
        <w:rPr>
          <w:lang w:val="en-US"/>
        </w:rPr>
        <w:t xml:space="preserve"> </w:t>
      </w:r>
      <w:r w:rsidRPr="00086CA6">
        <w:rPr>
          <w:lang w:val="en-US"/>
        </w:rPr>
        <w:t>= Information note for the Permanent Representatives Committee (Part 1)</w:t>
      </w:r>
      <w:bookmarkEnd w:id="58"/>
    </w:p>
    <w:p w:rsidR="00EC6CE5" w:rsidRPr="00D86C13" w:rsidRDefault="00EC6CE5" w:rsidP="00086CA6">
      <w:r w:rsidRPr="00D86C13">
        <w:t>7151/12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Birgitta Olsson</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Pr="00086CA6" w:rsidRDefault="00EC6CE5" w:rsidP="00255496">
      <w:pPr>
        <w:rPr>
          <w:lang w:val="en-US"/>
        </w:rPr>
      </w:pPr>
      <w:r w:rsidRPr="00086CA6">
        <w:rPr>
          <w:lang w:val="en-US"/>
        </w:rPr>
        <w:t xml:space="preserve">Föranleder ingen annotering. </w:t>
      </w:r>
    </w:p>
    <w:p w:rsidR="00EC6CE5" w:rsidRPr="00086CA6" w:rsidRDefault="00EC6CE5" w:rsidP="00086CA6">
      <w:pPr>
        <w:pStyle w:val="Heading2"/>
        <w:rPr>
          <w:lang w:val="en-US"/>
        </w:rPr>
      </w:pPr>
      <w:bookmarkStart w:id="59" w:name="_Toc319567655"/>
      <w:r w:rsidRPr="00086CA6">
        <w:rPr>
          <w:lang w:val="en-US"/>
        </w:rPr>
        <w:t>3. Case before the Court of justice Case C-63/12 Commission v/Council</w:t>
      </w:r>
      <w:r>
        <w:rPr>
          <w:lang w:val="en-US"/>
        </w:rPr>
        <w:t xml:space="preserve"> </w:t>
      </w:r>
      <w:r w:rsidRPr="00086CA6">
        <w:rPr>
          <w:lang w:val="en-US"/>
        </w:rPr>
        <w:t>= Information note for the Permanent Representatives Committee (Part 1)</w:t>
      </w:r>
      <w:bookmarkEnd w:id="59"/>
    </w:p>
    <w:p w:rsidR="00EC6CE5" w:rsidRPr="00D86C13" w:rsidRDefault="00EC6CE5" w:rsidP="00086CA6">
      <w:r w:rsidRPr="00D86C13">
        <w:t>7264/12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Birgitta Olsson</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Pr="00086CA6" w:rsidRDefault="00EC6CE5" w:rsidP="00255496">
      <w:pPr>
        <w:rPr>
          <w:lang w:val="en-US"/>
        </w:rPr>
      </w:pPr>
      <w:r w:rsidRPr="00086CA6">
        <w:rPr>
          <w:lang w:val="en-US"/>
        </w:rPr>
        <w:t xml:space="preserve">Föranleder ingen annotering. </w:t>
      </w:r>
    </w:p>
    <w:p w:rsidR="00EC6CE5" w:rsidRPr="00086CA6" w:rsidRDefault="00EC6CE5" w:rsidP="00086CA6">
      <w:pPr>
        <w:pStyle w:val="Heading2"/>
        <w:rPr>
          <w:lang w:val="en-US"/>
        </w:rPr>
      </w:pPr>
      <w:bookmarkStart w:id="60" w:name="_Toc319567656"/>
      <w:r w:rsidRPr="00086CA6">
        <w:rPr>
          <w:lang w:val="en-US"/>
        </w:rPr>
        <w:t>4. Consumption of EAGF appropriations for the period from 16 October to 31 December 2011</w:t>
      </w:r>
      <w:r>
        <w:rPr>
          <w:lang w:val="en-US"/>
        </w:rPr>
        <w:t xml:space="preserve"> </w:t>
      </w:r>
      <w:r w:rsidRPr="00086CA6">
        <w:rPr>
          <w:lang w:val="en-US"/>
        </w:rPr>
        <w:t>= Information note for the Permanent Representatives Committee (Part 1)</w:t>
      </w:r>
      <w:bookmarkEnd w:id="60"/>
    </w:p>
    <w:p w:rsidR="00EC6CE5" w:rsidRPr="00D86C13" w:rsidRDefault="00EC6CE5" w:rsidP="00086CA6">
      <w:r w:rsidRPr="00D86C13">
        <w:t>7248/12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Finansdepartementet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Anders Borg</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Default="00EC6CE5" w:rsidP="00086CA6">
      <w:r>
        <w:t>Rådet föreslås godkänna informationsnoten.</w:t>
      </w:r>
    </w:p>
    <w:p w:rsidR="00EC6CE5" w:rsidRDefault="00EC6CE5" w:rsidP="00086CA6"/>
    <w:p w:rsidR="00EC6CE5" w:rsidRDefault="00EC6CE5" w:rsidP="00086CA6">
      <w:r>
        <w:t>Regeringen avser rösta ja.</w:t>
      </w:r>
    </w:p>
    <w:p w:rsidR="00EC6CE5" w:rsidRDefault="00EC6CE5" w:rsidP="00086CA6"/>
    <w:p w:rsidR="00EC6CE5" w:rsidRPr="00086CA6" w:rsidRDefault="00EC6CE5" w:rsidP="00086CA6">
      <w:r>
        <w:t>Informationsnot till Coreper om förbrukningen av medel inom Europeiska Garantifonden för Jordbruket för perioden 16 oktober till 31 december 2011.</w:t>
      </w:r>
    </w:p>
    <w:p w:rsidR="00EC6CE5" w:rsidRPr="00086CA6" w:rsidRDefault="00EC6CE5" w:rsidP="00086CA6">
      <w:pPr>
        <w:pStyle w:val="Heading2"/>
        <w:rPr>
          <w:lang w:val="en-US"/>
        </w:rPr>
      </w:pPr>
      <w:bookmarkStart w:id="61" w:name="_Toc319567657"/>
      <w:r w:rsidRPr="00086CA6">
        <w:rPr>
          <w:lang w:val="en-US"/>
        </w:rPr>
        <w:t>5. Advisory Committee on Freedom of Movement for Workers Appointment of Ms Katri AALTONEN, Finnish member, in place of Ms Elina IMMONEN who has resigned</w:t>
      </w:r>
      <w:r>
        <w:rPr>
          <w:lang w:val="en-US"/>
        </w:rPr>
        <w:t xml:space="preserve"> </w:t>
      </w:r>
      <w:r w:rsidRPr="00086CA6">
        <w:rPr>
          <w:lang w:val="en-US"/>
        </w:rPr>
        <w:t>= Adoption</w:t>
      </w:r>
      <w:bookmarkEnd w:id="61"/>
    </w:p>
    <w:p w:rsidR="00EC6CE5" w:rsidRPr="00D86C13" w:rsidRDefault="00EC6CE5" w:rsidP="00086CA6">
      <w:r w:rsidRPr="00D86C13">
        <w:t>7162/12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Arbetsmarknadsdepartementet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Hillevi Engström</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Pr="00086CA6" w:rsidRDefault="00EC6CE5" w:rsidP="00D86C13">
      <w:pPr>
        <w:rPr>
          <w:lang w:val="en-US"/>
        </w:rPr>
      </w:pPr>
      <w:r w:rsidRPr="00086CA6">
        <w:rPr>
          <w:lang w:val="en-US"/>
        </w:rPr>
        <w:t xml:space="preserve">Föranleder ingen annotering. </w:t>
      </w:r>
    </w:p>
    <w:p w:rsidR="00EC6CE5" w:rsidRPr="00086CA6" w:rsidRDefault="00EC6CE5" w:rsidP="00086CA6">
      <w:pPr>
        <w:pStyle w:val="Heading2"/>
        <w:rPr>
          <w:lang w:val="en-US"/>
        </w:rPr>
      </w:pPr>
      <w:bookmarkStart w:id="62" w:name="_Toc319567658"/>
      <w:r w:rsidRPr="00086CA6">
        <w:rPr>
          <w:lang w:val="en-US"/>
        </w:rPr>
        <w:t>6. Advisory Committee on Freedom of Movement for Workers Appointment of Mr Olli SORAINEN, Finnish member, in place of Ms Tiina OINONEN who has resigned</w:t>
      </w:r>
      <w:r>
        <w:rPr>
          <w:lang w:val="en-US"/>
        </w:rPr>
        <w:t xml:space="preserve"> </w:t>
      </w:r>
      <w:r w:rsidRPr="00086CA6">
        <w:rPr>
          <w:lang w:val="en-US"/>
        </w:rPr>
        <w:t>= Adoption</w:t>
      </w:r>
      <w:bookmarkEnd w:id="62"/>
    </w:p>
    <w:p w:rsidR="00EC6CE5" w:rsidRPr="00D86C13" w:rsidRDefault="00EC6CE5" w:rsidP="00086CA6">
      <w:r w:rsidRPr="00D86C13">
        <w:t>7163/12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Arbetsmarknadsdepartementet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Hillevi Engström</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Pr="00086CA6" w:rsidRDefault="00EC6CE5" w:rsidP="00D86C13">
      <w:pPr>
        <w:rPr>
          <w:lang w:val="en-US"/>
        </w:rPr>
      </w:pPr>
      <w:r w:rsidRPr="00086CA6">
        <w:rPr>
          <w:lang w:val="en-US"/>
        </w:rPr>
        <w:t xml:space="preserve">Föranleder ingen annotering. </w:t>
      </w:r>
    </w:p>
    <w:p w:rsidR="00EC6CE5" w:rsidRPr="00086CA6" w:rsidRDefault="00EC6CE5" w:rsidP="00086CA6">
      <w:pPr>
        <w:pStyle w:val="Heading2"/>
        <w:rPr>
          <w:lang w:val="en-US"/>
        </w:rPr>
      </w:pPr>
      <w:bookmarkStart w:id="63" w:name="_Toc319567659"/>
      <w:r w:rsidRPr="00086CA6">
        <w:rPr>
          <w:lang w:val="en-US"/>
        </w:rPr>
        <w:t>7. Advisory Committee on Freedom of Movement for Workers Appointment of Ms Elena SIVITANIDOU, Cyprus alternate member, in place of Ms Eleni KALAVA who has resigned</w:t>
      </w:r>
      <w:r>
        <w:rPr>
          <w:lang w:val="en-US"/>
        </w:rPr>
        <w:t xml:space="preserve"> </w:t>
      </w:r>
      <w:r w:rsidRPr="00086CA6">
        <w:rPr>
          <w:lang w:val="en-US"/>
        </w:rPr>
        <w:t>= Adoption</w:t>
      </w:r>
      <w:bookmarkEnd w:id="63"/>
    </w:p>
    <w:p w:rsidR="00EC6CE5" w:rsidRPr="00D86C13" w:rsidRDefault="00EC6CE5" w:rsidP="00086CA6">
      <w:r w:rsidRPr="00D86C13">
        <w:t>7288/12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Arbetsmarknadsdepartementet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Hillevi Engström</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Pr="00086CA6" w:rsidRDefault="00EC6CE5" w:rsidP="00255496">
      <w:pPr>
        <w:rPr>
          <w:lang w:val="en-US"/>
        </w:rPr>
      </w:pPr>
      <w:r w:rsidRPr="00086CA6">
        <w:rPr>
          <w:lang w:val="en-US"/>
        </w:rPr>
        <w:t xml:space="preserve">Föranleder ingen annotering. </w:t>
      </w:r>
    </w:p>
    <w:p w:rsidR="00EC6CE5" w:rsidRPr="00086CA6" w:rsidRDefault="00EC6CE5" w:rsidP="00086CA6">
      <w:pPr>
        <w:pStyle w:val="Heading2"/>
      </w:pPr>
      <w:bookmarkStart w:id="64" w:name="_Toc319567660"/>
      <w:r w:rsidRPr="00086CA6">
        <w:rPr>
          <w:lang w:val="en-US"/>
        </w:rPr>
        <w:t xml:space="preserve">8. Special Report No 11/2011 from the European Court of Auditors entitled "Do the design and management of the geographical indications scheme allow it to be effective?"= </w:t>
      </w:r>
      <w:r>
        <w:t>Adoption of Council conclusions</w:t>
      </w:r>
      <w:bookmarkEnd w:id="64"/>
    </w:p>
    <w:p w:rsidR="00EC6CE5" w:rsidRPr="00086CA6" w:rsidRDefault="00EC6CE5" w:rsidP="00086CA6">
      <w:r>
        <w:t>7484/12</w:t>
      </w:r>
    </w:p>
    <w:p w:rsidR="00EC6CE5" w:rsidRDefault="00EC6CE5">
      <w:pPr>
        <w:pStyle w:val="RKnormal"/>
        <w:tabs>
          <w:tab w:val="clear" w:pos="1843"/>
          <w:tab w:val="left" w:pos="0"/>
        </w:tabs>
        <w:ind w:left="0"/>
      </w:pPr>
    </w:p>
    <w:p w:rsidR="00EC6CE5" w:rsidRPr="00086CA6" w:rsidRDefault="00EC6CE5" w:rsidP="00086CA6">
      <w:r>
        <w:t>Ansvarigt departement: Finansdepartementet</w:t>
      </w:r>
    </w:p>
    <w:p w:rsidR="00EC6CE5" w:rsidRDefault="00EC6CE5">
      <w:pPr>
        <w:pStyle w:val="RKnormal"/>
        <w:tabs>
          <w:tab w:val="clear" w:pos="1843"/>
          <w:tab w:val="left" w:pos="0"/>
        </w:tabs>
        <w:ind w:left="0"/>
      </w:pPr>
    </w:p>
    <w:p w:rsidR="00EC6CE5" w:rsidRPr="00086CA6" w:rsidRDefault="00EC6CE5" w:rsidP="00086CA6">
      <w:r>
        <w:t>Ansvarigt statsråd: Anders Borg</w:t>
      </w:r>
    </w:p>
    <w:p w:rsidR="00EC6CE5" w:rsidRDefault="00EC6CE5">
      <w:pPr>
        <w:pStyle w:val="RKnormal"/>
        <w:tabs>
          <w:tab w:val="clear" w:pos="1843"/>
          <w:tab w:val="left" w:pos="0"/>
        </w:tabs>
        <w:ind w:left="0"/>
      </w:pPr>
    </w:p>
    <w:p w:rsidR="00EC6CE5" w:rsidRPr="00086CA6" w:rsidRDefault="00EC6CE5" w:rsidP="00086CA6">
      <w:r>
        <w:t>Godkänd av Coreper I den 14 mars 2012</w:t>
      </w:r>
    </w:p>
    <w:p w:rsidR="00EC6CE5" w:rsidRDefault="00EC6CE5">
      <w:pPr>
        <w:pStyle w:val="RKnormal"/>
        <w:tabs>
          <w:tab w:val="clear" w:pos="1843"/>
          <w:tab w:val="left" w:pos="0"/>
        </w:tabs>
        <w:ind w:left="0"/>
      </w:pPr>
    </w:p>
    <w:p w:rsidR="00EC6CE5" w:rsidRDefault="00EC6CE5" w:rsidP="00086CA6">
      <w:r>
        <w:t>Antagande av utkast till rådsslutsatser.</w:t>
      </w:r>
    </w:p>
    <w:p w:rsidR="00EC6CE5" w:rsidRDefault="00EC6CE5" w:rsidP="00086CA6"/>
    <w:p w:rsidR="00EC6CE5" w:rsidRDefault="00EC6CE5" w:rsidP="00086CA6">
      <w:r>
        <w:t xml:space="preserve">Regeringen avser rösta ja </w:t>
      </w:r>
    </w:p>
    <w:p w:rsidR="00EC6CE5" w:rsidRDefault="00EC6CE5" w:rsidP="00086CA6"/>
    <w:p w:rsidR="00EC6CE5" w:rsidRPr="00D86C13" w:rsidRDefault="00EC6CE5" w:rsidP="00D86C13">
      <w:r>
        <w:t>Utkast till rådsslutsatser om systemet med skyddade geografiska beteckningar för jordbruksprodukter. I utkastet noteras att programmets genomslag har varit tämligen begränsat. Rådet uppmuntrar därför KOM att utveckla en strategi för att öka medvetenheten om programmen bland brukare och konsumenter. Vidare uppmuntras KOM att införliva kontroller av MS genomförande av programmen i sina ordinarie revisionskontroller av MS hantering av jordbruksstöd.</w:t>
      </w:r>
    </w:p>
    <w:p w:rsidR="00EC6CE5" w:rsidRPr="00086CA6" w:rsidRDefault="00EC6CE5" w:rsidP="00086CA6">
      <w:pPr>
        <w:pStyle w:val="Heading2"/>
        <w:rPr>
          <w:lang w:val="en-US"/>
        </w:rPr>
      </w:pPr>
      <w:bookmarkStart w:id="65" w:name="_Toc319567661"/>
      <w:r w:rsidRPr="00086CA6">
        <w:rPr>
          <w:lang w:val="en-US"/>
        </w:rPr>
        <w:t>9. Commission Regulation (EU) amending Regulation (EU) No 850/2004 of the European Parliament and of the Council on persistent organic pollutants as regards Annex I = Decision not to oppose adoption</w:t>
      </w:r>
      <w:bookmarkEnd w:id="65"/>
    </w:p>
    <w:p w:rsidR="00EC6CE5" w:rsidRPr="00D86C13" w:rsidRDefault="00EC6CE5" w:rsidP="00086CA6">
      <w:r w:rsidRPr="00D86C13">
        <w:t>7249/12, 6782/12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Miljödepartementet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Lena Ek</w:t>
      </w:r>
    </w:p>
    <w:p w:rsidR="00EC6CE5" w:rsidRPr="00D86C13" w:rsidRDefault="00EC6CE5">
      <w:pPr>
        <w:pStyle w:val="RKnormal"/>
        <w:tabs>
          <w:tab w:val="clear" w:pos="1843"/>
          <w:tab w:val="left" w:pos="0"/>
        </w:tabs>
        <w:ind w:left="0"/>
      </w:pPr>
    </w:p>
    <w:p w:rsidR="00EC6CE5" w:rsidRPr="00D86C13" w:rsidRDefault="00EC6CE5" w:rsidP="00086CA6">
      <w:r w:rsidRPr="00D86C13">
        <w:t>Tidigare behandling vid rådsmöte: Miljörådet</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Default="00EC6CE5" w:rsidP="00086CA6">
      <w:r>
        <w:t>Rådet föreslås anta Kommissionens förordning om ändring av Europaparlamentets och rådets förordning (EG) nr 850/2004 av den 29 april 2004 om långlivade organiska föroreningar och om ändring av direktiv 79/117/EEG (s.k. POPs-förordningen).</w:t>
      </w:r>
    </w:p>
    <w:p w:rsidR="00EC6CE5" w:rsidRDefault="00EC6CE5" w:rsidP="00086CA6"/>
    <w:p w:rsidR="00EC6CE5" w:rsidRDefault="00EC6CE5" w:rsidP="00086CA6">
      <w:r>
        <w:t xml:space="preserve">Sverige stödjer den föreslagna förordningen. </w:t>
      </w:r>
    </w:p>
    <w:p w:rsidR="00EC6CE5" w:rsidRDefault="00EC6CE5" w:rsidP="00086CA6"/>
    <w:p w:rsidR="00EC6CE5" w:rsidRDefault="00EC6CE5" w:rsidP="00086CA6">
      <w:r>
        <w:t>Samlingsnamnet Långlivade organiska föroreningar (på engelska persistent organic pollutant - POPs) omfattar organiska miljögifter som är persistenta, det vill säga motstår nedbrytning som t.ex. DDT, polyklorerade bifenyler och dioxiner. POP-ämnen har visats kunna transporteras över långa avstånd i miljön till platser där de tidigare aldrig använts och i Sverige har substanser som varit förbjudna sedan länge uppmätts i bl.a. modersmjölk.</w:t>
      </w:r>
    </w:p>
    <w:p w:rsidR="00EC6CE5" w:rsidRDefault="00EC6CE5" w:rsidP="00086CA6"/>
    <w:p w:rsidR="00EC6CE5" w:rsidRDefault="00EC6CE5" w:rsidP="00086CA6">
      <w:r>
        <w:t>22 av dessa miljögifter regleras av Stockholmskonventionen, ett multilateralt avtal som behandlar förbud och begränsning av POPs. Stockholmskonventionen trädde ikraft den 17 maj 2004 och införlivas inom EU genom Europaparlamentets och rådets förordning (EG) nr 850/2004 av den 29 april 2004 om långlivade organiska föroreningar och om ändring av direktiv 79/117/EEG (s.k. POPs-förordningen).</w:t>
      </w:r>
    </w:p>
    <w:p w:rsidR="00EC6CE5" w:rsidRDefault="00EC6CE5" w:rsidP="00086CA6"/>
    <w:p w:rsidR="00EC6CE5" w:rsidRDefault="00EC6CE5" w:rsidP="00086CA6">
      <w:r>
        <w:t xml:space="preserve">Ett antal POPs-ämnen regleras även internationellt genom FN:s luftvårdskonvention, CLRTAP, och dess protokoll om långlivade organiska föroreningar från 1998, det s.k. Århusprotokollet. </w:t>
      </w:r>
    </w:p>
    <w:p w:rsidR="00EC6CE5" w:rsidRDefault="00EC6CE5" w:rsidP="00086CA6"/>
    <w:p w:rsidR="00EC6CE5" w:rsidRPr="00086CA6" w:rsidRDefault="00EC6CE5" w:rsidP="00086CA6">
      <w:pPr>
        <w:rPr>
          <w:lang w:val="en-US"/>
        </w:rPr>
      </w:pPr>
      <w:r w:rsidRPr="00086CA6">
        <w:rPr>
          <w:lang w:val="en-US"/>
        </w:rPr>
        <w:t xml:space="preserve">TAC-kommittén C12400 “for the adaptation to technical progress of legislation to remove technical barriers to trade in dangerous substances and preparations” ansvarar för anpassningar av POPs-förordningen.  </w:t>
      </w:r>
    </w:p>
    <w:p w:rsidR="00EC6CE5" w:rsidRPr="00086CA6" w:rsidRDefault="00EC6CE5" w:rsidP="00086CA6">
      <w:pPr>
        <w:rPr>
          <w:lang w:val="en-US"/>
        </w:rPr>
      </w:pPr>
    </w:p>
    <w:p w:rsidR="00EC6CE5" w:rsidRDefault="00EC6CE5" w:rsidP="00086CA6">
      <w:r>
        <w:t>I december 2009 beslutades att ta in hexaklorbutadien, polyklorerade naftalener och klorparaffiner med kort kolkedja i LRTAP:s Århusprotokoll om långlivade organiska föroreningar. Därför måste nu del B i bilaga I till POPs-förordningen uppdateras så att den omfattar dessa tre ämnen. Kommissionens förslag till ändringar omfattar också att lägga till Endosulfan i förteckningen i del A i bilaga I till förordningen efter att ämnet togs in i Stockholmskonventionen vid dess 5:e partsmöte i april 2011.</w:t>
      </w:r>
    </w:p>
    <w:p w:rsidR="00EC6CE5" w:rsidRDefault="00EC6CE5" w:rsidP="00086CA6"/>
    <w:p w:rsidR="00EC6CE5" w:rsidRDefault="00EC6CE5" w:rsidP="00255496">
      <w:r>
        <w:t>Omröstningen skedde skriftligt med deadline 15 februari 2012 och Sverige röstade ja.</w:t>
      </w:r>
    </w:p>
    <w:p w:rsidR="00EC6CE5" w:rsidRPr="00086CA6" w:rsidRDefault="00EC6CE5" w:rsidP="00255496">
      <w:r>
        <w:br w:type="page"/>
      </w:r>
      <w:r w:rsidRPr="00086CA6">
        <w:t xml:space="preserve"> </w:t>
      </w:r>
    </w:p>
    <w:p w:rsidR="00EC6CE5" w:rsidRPr="00086CA6" w:rsidRDefault="00EC6CE5" w:rsidP="00086CA6">
      <w:pPr>
        <w:pStyle w:val="Heading2"/>
        <w:rPr>
          <w:lang w:val="en-US"/>
        </w:rPr>
      </w:pPr>
      <w:bookmarkStart w:id="66" w:name="_Toc319567662"/>
      <w:r w:rsidRPr="00D86C13">
        <w:rPr>
          <w:lang w:val="en-US"/>
        </w:rPr>
        <w:t>10. Recommendation for a Council Decision authorising the Commission to open negotiations on behalf of the European Union for a new Protocol to the Fisheries Partnership Agreement with the Republic of Kiribati = Adoption</w:t>
      </w:r>
      <w:bookmarkEnd w:id="66"/>
    </w:p>
    <w:p w:rsidR="00EC6CE5" w:rsidRPr="00D86C13" w:rsidRDefault="00EC6CE5" w:rsidP="00086CA6">
      <w:r w:rsidRPr="00D86C13">
        <w:t>7345/12, 7346/12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Landsbygdsdepartementet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Eskil Erlandsson</w:t>
      </w:r>
    </w:p>
    <w:p w:rsidR="00EC6CE5" w:rsidRPr="00D86C13" w:rsidRDefault="00EC6CE5">
      <w:pPr>
        <w:pStyle w:val="RKnormal"/>
        <w:tabs>
          <w:tab w:val="clear" w:pos="1843"/>
          <w:tab w:val="left" w:pos="0"/>
        </w:tabs>
        <w:ind w:left="0"/>
      </w:pPr>
    </w:p>
    <w:p w:rsidR="00EC6CE5" w:rsidRDefault="00EC6CE5" w:rsidP="00086CA6">
      <w:r w:rsidRPr="00086CA6">
        <w:t>Godkänd av Coreper I den 14 mars 2012</w:t>
      </w:r>
    </w:p>
    <w:p w:rsidR="00EC6CE5" w:rsidRDefault="00EC6CE5" w:rsidP="00086CA6"/>
    <w:p w:rsidR="00EC6CE5" w:rsidRDefault="00EC6CE5" w:rsidP="00D86C13">
      <w:r>
        <w:t xml:space="preserve">Regeringen anser att Sverige bör rösta ja till att rådet beslutar att ge kommissionen mandat att inleda förhandlingarmed republiken Kiribati om ett nytt protokoll under fiskapartnerskapsavtalet. </w:t>
      </w:r>
    </w:p>
    <w:p w:rsidR="00EC6CE5" w:rsidRDefault="00EC6CE5" w:rsidP="00D86C13"/>
    <w:p w:rsidR="00EC6CE5" w:rsidRDefault="00EC6CE5" w:rsidP="00D86C13">
      <w:r>
        <w:t xml:space="preserve">Fiskepartnerskapsavtalet och det tillhörande protokollet med Kiribati löper båda till den 15 september 2012. Avtalet avser enbart tonfiskarter. Den årliga ekonomiska ersättningen är 478 400 euro varav 62 400 till sektorutveckling, plus 35 euro per ton i licensavgifter som betalas av fartygens redare. </w:t>
      </w:r>
    </w:p>
    <w:p w:rsidR="00EC6CE5" w:rsidRDefault="00EC6CE5" w:rsidP="00D86C13"/>
    <w:p w:rsidR="00EC6CE5" w:rsidRDefault="00EC6CE5" w:rsidP="00D86C13">
      <w:r>
        <w:t xml:space="preserve">Kiribatis fiskezon är ett viktigt område för tonfisk-fiske med höga fångster per fiskeansträngning och fisk av god kvalitet. För de europeiska tonfiskfartygen är detta avtal, även om det är relativt begränsat, således av stor betydelse. Avtalet har även stor betydelse för Kiribatis nationella ekonomi då uppskattningsvis 40 % av den statliga inkomsten kommer från fiskelicenser, dock inte enbart för EU-fartyg. </w:t>
      </w:r>
    </w:p>
    <w:p w:rsidR="00EC6CE5" w:rsidRDefault="00EC6CE5" w:rsidP="00D86C13"/>
    <w:p w:rsidR="00EC6CE5" w:rsidRDefault="00EC6CE5" w:rsidP="00D86C13">
      <w:r>
        <w:t>Fisket efter tonfisk i området regleras genom den regionala fiskeriorganisationen Western and Central Pacific Fisheries Commission (WCPFC). WCPFC har begränsat fisketrycket för de befiskade arterna och har sagt att kvoten för storögd tonfisk bör sänkas och att kvoterna  för gulfenad och blåfenad tonfisk bör bibehållas på innevarande nivåer och inte höjas.</w:t>
      </w:r>
    </w:p>
    <w:p w:rsidR="00EC6CE5" w:rsidRDefault="00EC6CE5" w:rsidP="00D86C13"/>
    <w:p w:rsidR="00EC6CE5" w:rsidRPr="00D86C13" w:rsidRDefault="00EC6CE5" w:rsidP="00D86C13">
      <w:r>
        <w:t xml:space="preserve">Regeringen kan stödja det föreslagna mandatet att inleda förhandlingar med Kiribati, då mandatet uppfyller kriterierna i rådets slutsatser från 2004 om ett integrerat regelverk för avtal om fiskepartnerskap med tredjeländer. Detta innebär bl.a. att fisket ska vara långsiktigt hållbart och bedrivas på ett överskott av kuststatens resurser, samt att ekonomiska och sociala utvärderingar ska genomföras både före och efter avtalen. Vidare ska samarbetsparterna i ökad omfattning förbättra det vetenskapliga underlaget för beslut avseende kvoter, samt motarbeta illegalt fiske. Mandatet specificerar även att det nya protokollet ska inkludera en klausul om mänskliga rättigheter. Regeringen föreslår därför att Sverige röstar ja till att ge kommissionen ett mandatet att inleda förhandlingar med Kiribati. </w:t>
      </w:r>
      <w:r w:rsidRPr="00D86C13">
        <w:t xml:space="preserve"> </w:t>
      </w:r>
    </w:p>
    <w:p w:rsidR="00EC6CE5" w:rsidRPr="00086CA6" w:rsidRDefault="00EC6CE5" w:rsidP="00086CA6">
      <w:pPr>
        <w:pStyle w:val="Heading2"/>
        <w:rPr>
          <w:lang w:val="en-US"/>
        </w:rPr>
      </w:pPr>
      <w:bookmarkStart w:id="67" w:name="_Toc319567663"/>
      <w:r w:rsidRPr="003C0F78">
        <w:rPr>
          <w:lang w:val="en-US"/>
        </w:rPr>
        <w:t>11. Request from the Council to the Commission to apply the provisions of Article 10 of Annex XI to the Staff Regulations</w:t>
      </w:r>
      <w:r>
        <w:rPr>
          <w:lang w:val="en-US"/>
        </w:rPr>
        <w:t xml:space="preserve"> </w:t>
      </w:r>
      <w:r w:rsidRPr="003C0F78">
        <w:rPr>
          <w:lang w:val="en-US"/>
        </w:rPr>
        <w:t>= Adoption</w:t>
      </w:r>
      <w:bookmarkEnd w:id="67"/>
    </w:p>
    <w:p w:rsidR="00EC6CE5" w:rsidRPr="00D86C13" w:rsidRDefault="00EC6CE5" w:rsidP="00086CA6">
      <w:r w:rsidRPr="00D86C13">
        <w:t>7421/12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Socialdepartementet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Stefan Attefall</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 den 14 mars 2012</w:t>
      </w:r>
    </w:p>
    <w:p w:rsidR="00EC6CE5" w:rsidRDefault="00EC6CE5">
      <w:pPr>
        <w:pStyle w:val="RKnormal"/>
        <w:tabs>
          <w:tab w:val="clear" w:pos="1843"/>
          <w:tab w:val="left" w:pos="0"/>
        </w:tabs>
        <w:ind w:left="0"/>
      </w:pPr>
    </w:p>
    <w:p w:rsidR="00EC6CE5" w:rsidRDefault="00EC6CE5" w:rsidP="00086CA6">
      <w:r>
        <w:t xml:space="preserve">I enlighet med den metod som fastställdes 2004 genomförs varje år en revision av löner och pensioner för anställda i EU:s institutioner. Metoden för beräkning baseras på principen om parallellitet i köpkraftsutvecklingen för tjänstemän i medlemsstaternas centrala statsförvaltningar och verkar med ett års förskjutning mellan MS och institutionerna. </w:t>
      </w:r>
    </w:p>
    <w:p w:rsidR="00EC6CE5" w:rsidRDefault="00EC6CE5" w:rsidP="00086CA6"/>
    <w:p w:rsidR="00EC6CE5" w:rsidRDefault="00EC6CE5" w:rsidP="00086CA6">
      <w:r>
        <w:t>Inför år 2012 års lönejustering uppmanar rådet kommissionen – med hänvisning till artikel 241 i fördraget – att tillämpa den undantagsklausul som finns i metoden och med detta göra en analys baserad på objektiva data för att bedöma huruvida man kan konstatera om det föreligger en plötslig försämring av det ekonomiska och sociala läget inom unionen. Om så visar sig vara fallet har kommissionen juridisk rätt att, med hänvisning till undantagsklausulen, lägga fram ett förslag om ett annat omräkningstal än det som faller ut strikt från den ordinarie beräkningsmetoden.</w:t>
      </w:r>
    </w:p>
    <w:p w:rsidR="00EC6CE5" w:rsidRDefault="00EC6CE5" w:rsidP="00086CA6"/>
    <w:p w:rsidR="00EC6CE5" w:rsidRDefault="00EC6CE5" w:rsidP="00D86C13">
      <w:r>
        <w:t xml:space="preserve">SE ställer sig bakom rådets förslag till Kommissionen om att tillämpa artikel 10 i bilaga XI (undantagsklausulen). </w:t>
      </w:r>
      <w:r w:rsidRPr="00086CA6">
        <w:t xml:space="preserve"> </w:t>
      </w:r>
    </w:p>
    <w:p w:rsidR="00EC6CE5" w:rsidRDefault="00EC6CE5" w:rsidP="00D86C13"/>
    <w:p w:rsidR="00EC6CE5" w:rsidRDefault="00EC6CE5" w:rsidP="00BD0A57">
      <w:pPr>
        <w:pStyle w:val="Heading1"/>
      </w:pPr>
      <w:r>
        <w:br w:type="page"/>
      </w:r>
      <w:bookmarkStart w:id="68" w:name="_Toc319567664"/>
      <w:r>
        <w:t>Troliga A-punkter inför kommande rådsmöten som förväntas godkännas vid Coreper I 2012-03-16</w:t>
      </w:r>
      <w:bookmarkEnd w:id="68"/>
    </w:p>
    <w:p w:rsidR="00EC6CE5" w:rsidRPr="00086CA6" w:rsidRDefault="00EC6CE5" w:rsidP="00D86C13"/>
    <w:p w:rsidR="00EC6CE5" w:rsidRPr="00086CA6" w:rsidRDefault="00EC6CE5" w:rsidP="00086CA6">
      <w:pPr>
        <w:pStyle w:val="Heading2"/>
        <w:rPr>
          <w:lang w:val="en-US"/>
        </w:rPr>
      </w:pPr>
      <w:bookmarkStart w:id="69" w:name="_Toc319567665"/>
      <w:r w:rsidRPr="00086CA6">
        <w:rPr>
          <w:lang w:val="en-US"/>
        </w:rPr>
        <w:t>12. EU strategy regarding the International Plant Protection Convention (IPPC)</w:t>
      </w:r>
      <w:r>
        <w:rPr>
          <w:lang w:val="en-US"/>
        </w:rPr>
        <w:t xml:space="preserve"> </w:t>
      </w:r>
      <w:r w:rsidRPr="00086CA6">
        <w:rPr>
          <w:lang w:val="en-US"/>
        </w:rPr>
        <w:t>= Adoption of Council conclusions</w:t>
      </w:r>
      <w:bookmarkEnd w:id="69"/>
    </w:p>
    <w:p w:rsidR="00EC6CE5" w:rsidRPr="00D86C13" w:rsidRDefault="00EC6CE5" w:rsidP="00086CA6">
      <w:r w:rsidRPr="00D86C13">
        <w:t>7132/1/12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Landsbygdsdepartementet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Eskil Erlandsson</w:t>
      </w:r>
    </w:p>
    <w:p w:rsidR="00EC6CE5" w:rsidRPr="00D86C13" w:rsidRDefault="00EC6CE5">
      <w:pPr>
        <w:pStyle w:val="RKnormal"/>
        <w:tabs>
          <w:tab w:val="clear" w:pos="1843"/>
          <w:tab w:val="left" w:pos="0"/>
        </w:tabs>
        <w:ind w:left="0"/>
      </w:pPr>
    </w:p>
    <w:p w:rsidR="00EC6CE5" w:rsidRPr="00086CA6" w:rsidRDefault="00EC6CE5" w:rsidP="00086CA6">
      <w:r>
        <w:t>Förväntas godkännas av Coreper I den 16</w:t>
      </w:r>
      <w:r w:rsidRPr="00086CA6">
        <w:t xml:space="preserve"> mars 2012</w:t>
      </w:r>
    </w:p>
    <w:p w:rsidR="00EC6CE5" w:rsidRDefault="00EC6CE5">
      <w:pPr>
        <w:pStyle w:val="RKnormal"/>
        <w:tabs>
          <w:tab w:val="clear" w:pos="1843"/>
          <w:tab w:val="left" w:pos="0"/>
        </w:tabs>
        <w:ind w:left="0"/>
      </w:pPr>
    </w:p>
    <w:p w:rsidR="00EC6CE5" w:rsidRDefault="00EC6CE5" w:rsidP="00086CA6">
      <w:r>
        <w:t>Den Internationella växtskyddskonventionen, IPPC (International Plant Protection Convention), har som målsättning att skydda de globala växtresurserna från sjukdomar. Detta genom samarbete mellan nationer och för att trygga livsmedelsförsörjningen, bevara biodiversitet och underlätta handel. Hösten 2010 påbörjades ett arbete med att ta fram en EU-strategi för IPPC. Bakgrunden är att EU har bra system för att påverka i arbetet med utveckling av internationella standarder men inte på samma sätt för IPPC:s verksamhet i övrigt (främst frågor gällande kapacitetsuppbyggnad i utvecklingsländer, informationsutbyte och organisatoriska och finansiella frågor). EU har i dessa frågor ofta agerat reaktivt. Diskussionerna om strategi har resulterat i ett utkast till rådsslutsatser. Därefter är det tänkt att ett mer utvecklat dokument ska tas fram. Sverige stödjer utkastet till slutsatser.</w:t>
      </w:r>
    </w:p>
    <w:p w:rsidR="00EC6CE5" w:rsidRDefault="00EC6CE5" w:rsidP="00086CA6"/>
    <w:p w:rsidR="00EC6CE5" w:rsidRPr="00086CA6" w:rsidRDefault="00EC6CE5" w:rsidP="00D86C13">
      <w:r>
        <w:t>Inledningsvis så tar rådsslutsatserna sin utgångspunkt i betydelsen av resursen växter och det ökande hotet av växtskadegörare. Därefter påtalas vikten av internationell samverkan och den ledande roll som IPPC har i detta sammanhang. Själva strategin inleds med att EU och dess medlemsstater ska ha som målsättning att stärka och påverka IPPC:s arbete utifrån vad som följer i slutsatserna. Inledningsvis slås också fast att EU och dess medlemsstater ska grunda sitt växtskyddsarbete på konventionen, dess standarder och dess rekommendationer. Därefter struktureras rådslutsatserna kring IPPC:s huvudsakliga verksamhetsområden: framtagande av standarder och dess implementering, informationsutbyte och kapacitetsuppbyggnad. Dessutom lyfts vikten av effektiv förvaltning och samarbete med andra organisationer fram. Vidare framhålls vikten av ökad medvetenhet om fytosanitära frågor och allra sist att EU och dess medlemsstater ska fortsätta att utveckla sin koordinering för att kunna påverka IPPC:s verksamhet effektivt.</w:t>
      </w:r>
      <w:r w:rsidRPr="00086CA6">
        <w:t xml:space="preserve"> </w:t>
      </w:r>
    </w:p>
    <w:p w:rsidR="00EC6CE5" w:rsidRPr="00255496" w:rsidRDefault="00EC6CE5" w:rsidP="00086CA6">
      <w:pPr>
        <w:pStyle w:val="Heading2"/>
        <w:rPr>
          <w:lang w:val="en-US"/>
        </w:rPr>
      </w:pPr>
      <w:bookmarkStart w:id="70" w:name="_Toc319567666"/>
      <w:r w:rsidRPr="00255496">
        <w:rPr>
          <w:lang w:val="en-US"/>
        </w:rPr>
        <w:t>13. Proposal for a Regulation of the European Parliament and of the Council on OTC derivative transactions, central counterparties and trade repositories (EMIR) (First reading) (Legislative deliberation) = Approval of the final compromise text</w:t>
      </w:r>
      <w:bookmarkEnd w:id="70"/>
    </w:p>
    <w:p w:rsidR="00EC6CE5" w:rsidRPr="00D86C13" w:rsidRDefault="00EC6CE5" w:rsidP="00086CA6">
      <w:r w:rsidRPr="00D86C13">
        <w:t>7509/12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Finansdepartementet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Peter Norman</w:t>
      </w:r>
    </w:p>
    <w:p w:rsidR="00EC6CE5" w:rsidRPr="00D86C13" w:rsidRDefault="00EC6CE5">
      <w:pPr>
        <w:pStyle w:val="RKnormal"/>
        <w:tabs>
          <w:tab w:val="clear" w:pos="1843"/>
          <w:tab w:val="left" w:pos="0"/>
        </w:tabs>
        <w:ind w:left="0"/>
      </w:pPr>
    </w:p>
    <w:p w:rsidR="00EC6CE5" w:rsidRPr="00086CA6" w:rsidRDefault="00EC6CE5" w:rsidP="00086CA6">
      <w:r>
        <w:t>Förväntas godkännas av Coreper I den 16</w:t>
      </w:r>
      <w:r w:rsidRPr="003C0F78">
        <w:t xml:space="preserve"> mars 2012</w:t>
      </w:r>
    </w:p>
    <w:p w:rsidR="00EC6CE5" w:rsidRPr="00255496" w:rsidRDefault="00EC6CE5" w:rsidP="00255496">
      <w:pPr>
        <w:pStyle w:val="BodyText"/>
        <w:rPr>
          <w:rFonts w:ascii="OrigGarmnd BT" w:hAnsi="OrigGarmnd BT"/>
        </w:rPr>
      </w:pPr>
    </w:p>
    <w:p w:rsidR="00EC6CE5" w:rsidRPr="00255496" w:rsidRDefault="00EC6CE5" w:rsidP="00255496">
      <w:pPr>
        <w:pStyle w:val="BodyText"/>
        <w:rPr>
          <w:rFonts w:ascii="OrigGarmnd BT" w:hAnsi="OrigGarmnd BT"/>
        </w:rPr>
      </w:pPr>
      <w:r w:rsidRPr="00255496">
        <w:rPr>
          <w:rFonts w:ascii="OrigGarmnd BT" w:hAnsi="OrigGarmnd BT"/>
        </w:rPr>
        <w:t xml:space="preserve">Regeringen avser rösta ja till antagande av den slutliga kompromisstexten. </w:t>
      </w:r>
    </w:p>
    <w:p w:rsidR="00EC6CE5" w:rsidRPr="00255496" w:rsidRDefault="00EC6CE5" w:rsidP="00255496">
      <w:pPr>
        <w:pStyle w:val="BodyText"/>
        <w:rPr>
          <w:rFonts w:ascii="OrigGarmnd BT" w:hAnsi="OrigGarmnd BT"/>
        </w:rPr>
      </w:pPr>
    </w:p>
    <w:p w:rsidR="00EC6CE5" w:rsidRPr="00255496" w:rsidRDefault="00EC6CE5" w:rsidP="00255496">
      <w:pPr>
        <w:pStyle w:val="BodyText"/>
        <w:rPr>
          <w:rFonts w:ascii="OrigGarmnd BT" w:hAnsi="OrigGarmnd BT"/>
        </w:rPr>
      </w:pPr>
      <w:r w:rsidRPr="00255496">
        <w:rPr>
          <w:rFonts w:ascii="OrigGarmnd BT" w:hAnsi="OrigGarmnd BT"/>
        </w:rPr>
        <w:t xml:space="preserve">Förslaget till förordning innehåller regler för handeln med s.k. OTC-derivat och syftar till minskade motpartsrisker och förbättrad genomlysning, i enlighet med överenskommelsen i G20 från september 2009 om införandet av sådana regler senast vid utgången av 2012. OTC-derivat betecknar kontrakt som handlas bilateralt mellan köpare och säljare vid sidan av reglerade marknader. </w:t>
      </w:r>
    </w:p>
    <w:p w:rsidR="00EC6CE5" w:rsidRPr="00255496" w:rsidRDefault="00EC6CE5" w:rsidP="00255496">
      <w:pPr>
        <w:pStyle w:val="BodyText"/>
        <w:rPr>
          <w:rFonts w:ascii="OrigGarmnd BT" w:hAnsi="OrigGarmnd BT"/>
        </w:rPr>
      </w:pPr>
    </w:p>
    <w:p w:rsidR="00EC6CE5" w:rsidRPr="00255496" w:rsidRDefault="00EC6CE5" w:rsidP="00255496">
      <w:pPr>
        <w:pStyle w:val="BodyText"/>
        <w:rPr>
          <w:rFonts w:ascii="OrigGarmnd BT" w:hAnsi="OrigGarmnd BT"/>
        </w:rPr>
      </w:pPr>
      <w:r w:rsidRPr="00255496">
        <w:rPr>
          <w:rFonts w:ascii="OrigGarmnd BT" w:hAnsi="OrigGarmnd BT"/>
        </w:rPr>
        <w:t xml:space="preserve">Förordningen inför en skyldighet för finansiella motparter och icke-finansiella motparter som bedriver handel med OTC-derivat i viss omfattning att överlämna derivatkontrakt som är lämpade för det (godtagbara derivat) till en central motpart för central clearing (den centrala motparten träder då in mellan köpare och säljare som motpart till båda). Kontrakt som inte är lämpade för central clearing riskbegränsas med utnyttjande av bl.a. bilaterala säkerhetet. </w:t>
      </w:r>
    </w:p>
    <w:p w:rsidR="00EC6CE5" w:rsidRPr="00255496" w:rsidRDefault="00EC6CE5" w:rsidP="00255496">
      <w:pPr>
        <w:pStyle w:val="BodyText"/>
        <w:rPr>
          <w:rFonts w:ascii="OrigGarmnd BT" w:hAnsi="OrigGarmnd BT"/>
        </w:rPr>
      </w:pPr>
    </w:p>
    <w:p w:rsidR="00EC6CE5" w:rsidRPr="00255496" w:rsidRDefault="00EC6CE5" w:rsidP="00255496">
      <w:pPr>
        <w:pStyle w:val="BodyText"/>
        <w:rPr>
          <w:rFonts w:ascii="OrigGarmnd BT" w:hAnsi="OrigGarmnd BT"/>
        </w:rPr>
      </w:pPr>
      <w:r w:rsidRPr="00255496">
        <w:rPr>
          <w:rFonts w:ascii="OrigGarmnd BT" w:hAnsi="OrigGarmnd BT"/>
        </w:rPr>
        <w:t>Alla transaktioner med finansiella derivat, dvs. OTC-derivat och handel som äger rum på reglerade marknader, rapporteras till särskilda s.k. transaktionsregister som har till uppgift att sammanställa detaljerad information om handeln med derivat, till nytta för tillsynen.</w:t>
      </w:r>
    </w:p>
    <w:p w:rsidR="00EC6CE5" w:rsidRPr="00255496" w:rsidRDefault="00EC6CE5" w:rsidP="00255496">
      <w:pPr>
        <w:pStyle w:val="BodyText"/>
        <w:rPr>
          <w:rFonts w:ascii="OrigGarmnd BT" w:hAnsi="OrigGarmnd BT"/>
        </w:rPr>
      </w:pPr>
    </w:p>
    <w:p w:rsidR="00EC6CE5" w:rsidRPr="00255496" w:rsidRDefault="00EC6CE5" w:rsidP="00255496">
      <w:pPr>
        <w:pStyle w:val="BodyText"/>
        <w:rPr>
          <w:rFonts w:ascii="OrigGarmnd BT" w:hAnsi="OrigGarmnd BT"/>
        </w:rPr>
      </w:pPr>
      <w:r w:rsidRPr="00255496">
        <w:rPr>
          <w:rFonts w:ascii="OrigGarmnd BT" w:hAnsi="OrigGarmnd BT"/>
        </w:rPr>
        <w:t>Regelverket innehåller dessutom harmoniserade krav på centrala motparter och transaktionsregister. I synnerhet de förra är systemviktigt och måste omges av strikta försiktighetskrav för att säkerställa att central clearing verkligen leder till minskade systemrisker.</w:t>
      </w:r>
    </w:p>
    <w:p w:rsidR="00EC6CE5" w:rsidRPr="00255496" w:rsidRDefault="00EC6CE5" w:rsidP="00255496">
      <w:pPr>
        <w:pStyle w:val="BodyText"/>
        <w:rPr>
          <w:rFonts w:ascii="OrigGarmnd BT" w:hAnsi="OrigGarmnd BT"/>
        </w:rPr>
      </w:pPr>
    </w:p>
    <w:p w:rsidR="00EC6CE5" w:rsidRPr="00255496" w:rsidRDefault="00EC6CE5" w:rsidP="00255496">
      <w:pPr>
        <w:pStyle w:val="BodyText"/>
        <w:rPr>
          <w:rFonts w:ascii="OrigGarmnd BT" w:hAnsi="OrigGarmnd BT"/>
        </w:rPr>
      </w:pPr>
      <w:r w:rsidRPr="00255496">
        <w:rPr>
          <w:rFonts w:ascii="OrigGarmnd BT" w:hAnsi="OrigGarmnd BT"/>
        </w:rPr>
        <w:t>Texten har förhandlats under fyra ordförandeskap, sedan förslaget lades fram av KOM i september 2010. Flera frågor har varit kontroversiella, bl.a. fördelningen av roller och ansvar i samband med auktorisation av en central motpart. Regeringen har ansett att den behöriga myndigheten i hemmedlemsstaten måste ges ett tillräckligt inflytande, mot bakgrund av hemmedlemsstatens finansiella ansvar för den händelse en central motpart råkar i svårigheter. Texten innehåller en balanserad kompromiss som alla parter, inklusive EP, har kunnat enas om och som även SE kan stödja.</w:t>
      </w:r>
    </w:p>
    <w:p w:rsidR="00EC6CE5" w:rsidRDefault="00EC6CE5" w:rsidP="009B20DB">
      <w:pPr>
        <w:pStyle w:val="UDrubrik"/>
        <w:tabs>
          <w:tab w:val="left" w:pos="1701"/>
          <w:tab w:val="left" w:pos="1985"/>
        </w:tabs>
        <w:rPr>
          <w:rFonts w:ascii="OrigGarmnd BT" w:hAnsi="OrigGarmnd BT"/>
          <w:b w:val="0"/>
          <w:sz w:val="24"/>
        </w:rPr>
      </w:pPr>
    </w:p>
    <w:p w:rsidR="00EC6CE5" w:rsidRPr="00255496" w:rsidRDefault="00EC6CE5" w:rsidP="001E756A">
      <w:pPr>
        <w:pStyle w:val="Heading1"/>
      </w:pPr>
    </w:p>
    <w:p w:rsidR="00EC6CE5" w:rsidRDefault="00EC6CE5" w:rsidP="001E756A">
      <w:pPr>
        <w:pStyle w:val="Heading1"/>
        <w:rPr>
          <w:rFonts w:cs="Arial"/>
        </w:rPr>
      </w:pPr>
      <w:bookmarkStart w:id="71" w:name="_Toc319567667"/>
      <w:r>
        <w:rPr>
          <w:rFonts w:cs="Arial"/>
        </w:rPr>
        <w:t>Troliga A-punkter inför kommande rådsmöten som godkändes vid Coreper II 2012-03-14</w:t>
      </w:r>
      <w:bookmarkEnd w:id="71"/>
    </w:p>
    <w:p w:rsidR="00EC6CE5" w:rsidRPr="00086CA6" w:rsidRDefault="00EC6CE5" w:rsidP="00086CA6">
      <w:pPr>
        <w:pStyle w:val="Heading2"/>
        <w:rPr>
          <w:lang w:val="en-US"/>
        </w:rPr>
      </w:pPr>
      <w:bookmarkStart w:id="72" w:name="_Toc319567668"/>
      <w:r w:rsidRPr="00086CA6">
        <w:rPr>
          <w:lang w:val="en-US"/>
        </w:rPr>
        <w:t>14. Case before the General Court of the European Union</w:t>
      </w:r>
      <w:r>
        <w:rPr>
          <w:lang w:val="en-US"/>
        </w:rPr>
        <w:t xml:space="preserve"> </w:t>
      </w:r>
      <w:r w:rsidRPr="00086CA6">
        <w:rPr>
          <w:lang w:val="en-US"/>
        </w:rPr>
        <w:t>= Case T-42/12 (Naser Bateni against the Council of the European Union)</w:t>
      </w:r>
      <w:bookmarkEnd w:id="72"/>
    </w:p>
    <w:p w:rsidR="00EC6CE5" w:rsidRPr="00D86C13" w:rsidRDefault="00EC6CE5" w:rsidP="00086CA6">
      <w:r w:rsidRPr="00D86C13">
        <w:t>7245/12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Birgitta O</w:t>
      </w:r>
      <w:r>
        <w:t>h</w:t>
      </w:r>
      <w:r w:rsidRPr="00D86C13">
        <w:t>lsson</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II den 14 mars 2012</w:t>
      </w:r>
    </w:p>
    <w:p w:rsidR="00EC6CE5" w:rsidRDefault="00EC6CE5">
      <w:pPr>
        <w:pStyle w:val="RKnormal"/>
        <w:tabs>
          <w:tab w:val="clear" w:pos="1843"/>
          <w:tab w:val="left" w:pos="0"/>
        </w:tabs>
        <w:ind w:left="0"/>
      </w:pPr>
    </w:p>
    <w:p w:rsidR="00EC6CE5" w:rsidRPr="00086CA6" w:rsidRDefault="00EC6CE5" w:rsidP="00BD0A57">
      <w:pPr>
        <w:rPr>
          <w:lang w:val="en-US"/>
        </w:rPr>
      </w:pPr>
      <w:r w:rsidRPr="00086CA6">
        <w:rPr>
          <w:lang w:val="en-US"/>
        </w:rPr>
        <w:t xml:space="preserve">Föranleder ingen annotering. </w:t>
      </w:r>
    </w:p>
    <w:p w:rsidR="00EC6CE5" w:rsidRPr="00086CA6" w:rsidRDefault="00EC6CE5" w:rsidP="00086CA6">
      <w:pPr>
        <w:pStyle w:val="Heading2"/>
        <w:rPr>
          <w:lang w:val="en-US"/>
        </w:rPr>
      </w:pPr>
      <w:bookmarkStart w:id="73" w:name="_Toc319567669"/>
      <w:r w:rsidRPr="00086CA6">
        <w:rPr>
          <w:lang w:val="en-US"/>
        </w:rPr>
        <w:t>15. Case before the General Court of the European Union= Case T-63/12 (Oil Turbo Compressor Company v. Council)</w:t>
      </w:r>
      <w:bookmarkEnd w:id="73"/>
    </w:p>
    <w:p w:rsidR="00EC6CE5" w:rsidRPr="00D86C13" w:rsidRDefault="00EC6CE5" w:rsidP="00086CA6">
      <w:r w:rsidRPr="00D86C13">
        <w:t>7266/12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Birgitta O</w:t>
      </w:r>
      <w:r>
        <w:t>h</w:t>
      </w:r>
      <w:r w:rsidRPr="00D86C13">
        <w:t>lsson</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II den 14 mars 2012</w:t>
      </w:r>
    </w:p>
    <w:p w:rsidR="00EC6CE5" w:rsidRDefault="00EC6CE5">
      <w:pPr>
        <w:pStyle w:val="RKnormal"/>
        <w:tabs>
          <w:tab w:val="clear" w:pos="1843"/>
          <w:tab w:val="left" w:pos="0"/>
        </w:tabs>
        <w:ind w:left="0"/>
      </w:pPr>
    </w:p>
    <w:p w:rsidR="00EC6CE5" w:rsidRPr="00086CA6" w:rsidRDefault="00EC6CE5" w:rsidP="00BD0A57">
      <w:pPr>
        <w:rPr>
          <w:lang w:val="en-US"/>
        </w:rPr>
      </w:pPr>
      <w:r w:rsidRPr="00086CA6">
        <w:rPr>
          <w:lang w:val="en-US"/>
        </w:rPr>
        <w:t xml:space="preserve">Föranleder ingen annotering. </w:t>
      </w:r>
    </w:p>
    <w:p w:rsidR="00EC6CE5" w:rsidRPr="00086CA6" w:rsidRDefault="00EC6CE5" w:rsidP="00086CA6">
      <w:pPr>
        <w:pStyle w:val="Heading2"/>
        <w:rPr>
          <w:lang w:val="en-US"/>
        </w:rPr>
      </w:pPr>
      <w:r>
        <w:rPr>
          <w:lang w:val="en-US"/>
        </w:rPr>
        <w:br w:type="page"/>
      </w:r>
      <w:bookmarkStart w:id="74" w:name="_Toc319567670"/>
      <w:r w:rsidRPr="00086CA6">
        <w:rPr>
          <w:lang w:val="en-US"/>
        </w:rPr>
        <w:t>16. Council Decision of ...amending Decision 1999/70/EC concerning the external auditors of the national central banks, as regards the external auditors of the Bank of Greece</w:t>
      </w:r>
      <w:bookmarkEnd w:id="74"/>
    </w:p>
    <w:p w:rsidR="00EC6CE5" w:rsidRPr="00D86C13" w:rsidRDefault="00EC6CE5" w:rsidP="00086CA6">
      <w:r w:rsidRPr="00D86C13">
        <w:t>6628/12, 6627/12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Finansdepartementet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Anders Borg</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II den 14 mars 2012</w:t>
      </w:r>
    </w:p>
    <w:p w:rsidR="00EC6CE5" w:rsidRDefault="00EC6CE5">
      <w:pPr>
        <w:pStyle w:val="RKnormal"/>
        <w:tabs>
          <w:tab w:val="clear" w:pos="1843"/>
          <w:tab w:val="left" w:pos="0"/>
        </w:tabs>
        <w:ind w:left="0"/>
      </w:pPr>
    </w:p>
    <w:p w:rsidR="00EC6CE5" w:rsidRPr="00086CA6" w:rsidRDefault="00EC6CE5" w:rsidP="00BD0A57">
      <w:pPr>
        <w:rPr>
          <w:lang w:val="en-US"/>
        </w:rPr>
      </w:pPr>
      <w:r w:rsidRPr="00086CA6">
        <w:rPr>
          <w:lang w:val="en-US"/>
        </w:rPr>
        <w:t xml:space="preserve">Föranleder ingen annotering. </w:t>
      </w:r>
    </w:p>
    <w:p w:rsidR="00EC6CE5" w:rsidRPr="00086CA6" w:rsidRDefault="00EC6CE5" w:rsidP="00086CA6">
      <w:pPr>
        <w:pStyle w:val="Heading2"/>
        <w:rPr>
          <w:lang w:val="en-US"/>
        </w:rPr>
      </w:pPr>
      <w:bookmarkStart w:id="75" w:name="_Toc319567671"/>
      <w:r w:rsidRPr="00086CA6">
        <w:rPr>
          <w:lang w:val="en-US"/>
        </w:rPr>
        <w:t>17. Commission delegated Decision of 8.2.2012 amending Annex III to Decision No 1080/2011/EU of the European Parliament and of the Council granting an EU guarantee to the European Investment Bank against losses under loans and loan guarantees for projects outside the Union and repealing Decision No 633/2009/EC, as regards Syria = Intention not to raise objections to a delegated act</w:t>
      </w:r>
      <w:bookmarkEnd w:id="75"/>
    </w:p>
    <w:p w:rsidR="00EC6CE5" w:rsidRPr="00D86C13" w:rsidRDefault="00EC6CE5" w:rsidP="00086CA6">
      <w:r w:rsidRPr="00D86C13">
        <w:t>7256/12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Finansdepartementet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Anders Borg</w:t>
      </w:r>
    </w:p>
    <w:p w:rsidR="00EC6CE5" w:rsidRPr="00D86C13" w:rsidRDefault="00EC6CE5">
      <w:pPr>
        <w:pStyle w:val="RKnormal"/>
        <w:tabs>
          <w:tab w:val="clear" w:pos="1843"/>
          <w:tab w:val="left" w:pos="0"/>
        </w:tabs>
        <w:ind w:left="0"/>
      </w:pPr>
    </w:p>
    <w:p w:rsidR="00EC6CE5" w:rsidRPr="00086CA6" w:rsidRDefault="00EC6CE5" w:rsidP="00086CA6">
      <w:r w:rsidRPr="00086CA6">
        <w:t>Tidigare behandling i EU -nämnden: 2011-11-11</w:t>
      </w:r>
    </w:p>
    <w:p w:rsidR="00EC6CE5" w:rsidRDefault="00EC6CE5">
      <w:pPr>
        <w:pStyle w:val="RKnormal"/>
        <w:tabs>
          <w:tab w:val="clear" w:pos="1843"/>
          <w:tab w:val="left" w:pos="0"/>
        </w:tabs>
        <w:ind w:left="0"/>
      </w:pPr>
    </w:p>
    <w:p w:rsidR="00EC6CE5" w:rsidRPr="00086CA6" w:rsidRDefault="00EC6CE5" w:rsidP="00086CA6">
      <w:r>
        <w:t>Tidigare behandling vid rådsmöte: Rådet för allmänna frågor</w:t>
      </w:r>
    </w:p>
    <w:p w:rsidR="00EC6CE5" w:rsidRDefault="00EC6CE5">
      <w:pPr>
        <w:pStyle w:val="RKnormal"/>
        <w:tabs>
          <w:tab w:val="clear" w:pos="1843"/>
          <w:tab w:val="left" w:pos="0"/>
        </w:tabs>
        <w:ind w:left="0"/>
      </w:pPr>
    </w:p>
    <w:p w:rsidR="00EC6CE5" w:rsidRPr="00086CA6" w:rsidRDefault="00EC6CE5" w:rsidP="00086CA6">
      <w:r>
        <w:t>Godkänd av Coreper II den 14 mars 2012</w:t>
      </w:r>
    </w:p>
    <w:p w:rsidR="00EC6CE5" w:rsidRDefault="00EC6CE5">
      <w:pPr>
        <w:pStyle w:val="RKnormal"/>
        <w:tabs>
          <w:tab w:val="clear" w:pos="1843"/>
          <w:tab w:val="left" w:pos="0"/>
        </w:tabs>
        <w:ind w:left="0"/>
      </w:pPr>
    </w:p>
    <w:p w:rsidR="00EC6CE5" w:rsidRDefault="00EC6CE5" w:rsidP="00086CA6">
      <w:r>
        <w:t xml:space="preserve">Rådet föreslås bekräfta sin avsikt att inte invända mot kommissionens delegerade beslut.  </w:t>
      </w:r>
    </w:p>
    <w:p w:rsidR="00EC6CE5" w:rsidRDefault="00EC6CE5" w:rsidP="00086CA6"/>
    <w:p w:rsidR="00EC6CE5" w:rsidRDefault="00EC6CE5" w:rsidP="00086CA6">
      <w:r>
        <w:t>Regeringen ställer sig bakom rådets bekräftelse.</w:t>
      </w:r>
    </w:p>
    <w:p w:rsidR="00EC6CE5" w:rsidRDefault="00EC6CE5" w:rsidP="00086CA6"/>
    <w:p w:rsidR="00EC6CE5" w:rsidRDefault="00EC6CE5" w:rsidP="00086CA6">
      <w:r>
        <w:t xml:space="preserve">Mot bakgrund av allvarliga kränkningar av mänskliga rättigheter och grundläggande friheter i Syrien beslöt rådet den 23 maj 2011 att tillfälligt avbryta pågående bilaterala EU-program med de syriska myndigheterna.  Rådet uppmanade även Europeiska investeringsbanken (EIB) att inte godkänna nya finansieringsåtaganden i Syrien. Vid sitt möte den 23 oktober 2011 ställde Europeiska rådet sig bakom rådets slutsatser om Syrien som antogs den 10 oktober 2011 som avser mer omfattande restriktiva åtgärder mot den syriska regimen så länge som förtrycket mot den civila befolkningen fortsätter. I detta sammanhang beslöt rådet den 14 november 2011 att ställa in utbetalningar från EIB till den syriska staten, samt att avbryta EIB:s tekniska bistånd i Syrien. </w:t>
      </w:r>
    </w:p>
    <w:p w:rsidR="00EC6CE5" w:rsidRDefault="00EC6CE5" w:rsidP="00086CA6"/>
    <w:p w:rsidR="00EC6CE5" w:rsidRPr="00086CA6" w:rsidRDefault="00EC6CE5" w:rsidP="00BD0A57">
      <w:r>
        <w:t>Syrien ingår i den bilaga III till beslut 1080/2011/EU som fastställer förteckningen över länder som är berättigade till EIB:s finansiering inom ramen för EU-garantin. I linje med tidigare beslut anser nu kommissionen att Syrien bör avlägsnas från bilaga III. Avlägsnandet av Syrien från Bilaga III motiveras av utrikespolitiska överväganden samt av kreditrisköverväganden i syfte att begränsa EIB:s exponering och den potentiella belastningen på EU-budgeten till följd av garantin. Beslutsfattande i frågan sker genom delegerad akt i enlighet med artikel 4.2 i beslut 1080/2011/EU.</w:t>
      </w:r>
      <w:r w:rsidRPr="00086CA6">
        <w:t xml:space="preserve"> </w:t>
      </w:r>
    </w:p>
    <w:p w:rsidR="00EC6CE5" w:rsidRPr="00086CA6" w:rsidRDefault="00EC6CE5" w:rsidP="00086CA6">
      <w:pPr>
        <w:pStyle w:val="Heading2"/>
        <w:rPr>
          <w:lang w:val="en-US"/>
        </w:rPr>
      </w:pPr>
      <w:bookmarkStart w:id="76" w:name="_Toc319567672"/>
      <w:r w:rsidRPr="00BD0A57">
        <w:rPr>
          <w:lang w:val="en-US"/>
        </w:rPr>
        <w:t>18. Commission Delegated Regulation (EU) No .../.. of 7.2.2012 supplementing Regulation (EC) 1060/2009 of the European Parliament and of the Council with regard to fees charged by the European Securities and Markets Authority to credit rating agencies = Intention not to raise objections to a delegated act</w:t>
      </w:r>
      <w:bookmarkEnd w:id="76"/>
    </w:p>
    <w:p w:rsidR="00EC6CE5" w:rsidRPr="00D86C13" w:rsidRDefault="00EC6CE5" w:rsidP="00086CA6">
      <w:r w:rsidRPr="00D86C13">
        <w:t>7138/12, 6300/12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Finansdepartementet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Peter Norman</w:t>
      </w:r>
    </w:p>
    <w:p w:rsidR="00EC6CE5" w:rsidRPr="00D86C13" w:rsidRDefault="00EC6CE5">
      <w:pPr>
        <w:pStyle w:val="RKnormal"/>
        <w:tabs>
          <w:tab w:val="clear" w:pos="1843"/>
          <w:tab w:val="left" w:pos="0"/>
        </w:tabs>
        <w:ind w:left="0"/>
      </w:pPr>
    </w:p>
    <w:p w:rsidR="00EC6CE5" w:rsidRDefault="00EC6CE5" w:rsidP="00BD0A57">
      <w:r w:rsidRPr="00086CA6">
        <w:t>Godkänd av Coreper II den 14 mars 2012</w:t>
      </w:r>
      <w:r w:rsidRPr="00D86C13">
        <w:t xml:space="preserve"> </w:t>
      </w:r>
    </w:p>
    <w:p w:rsidR="00EC6CE5" w:rsidRDefault="00EC6CE5" w:rsidP="00BD0A57"/>
    <w:p w:rsidR="00EC6CE5" w:rsidRPr="00D86C13" w:rsidRDefault="00EC6CE5" w:rsidP="00BD0A57">
      <w:r w:rsidRPr="00BD0A57">
        <w:t>En ändringsförordning (EU) nr 513/2011 antogs av Europaparlamentet och rådet den 11 maj 2011. Ändringarna innebär i korthet att tillsynen över kreditvärderingsinstituten flyttas över från nationella tillsynsmyndigheter till Europeiska värdepappers- och marknadsmyndigheten, Esma (European Securities and Markets Authority). Enligt förordningen ska kommissionen besluta om delegerade akter som avser de avgifter som Esma ska ta ut av kreditvärderingsinstitut. Nu har kommissionen fattat sitt beslut och rådet och Europaparlamentet får invända mot den delegerade akten inom viss tid. Regeringen stödjer att någon invändning inte görs och att kommissionen underrättas om detta.</w:t>
      </w:r>
    </w:p>
    <w:p w:rsidR="00EC6CE5" w:rsidRPr="00086CA6" w:rsidRDefault="00EC6CE5" w:rsidP="00086CA6">
      <w:pPr>
        <w:pStyle w:val="Heading2"/>
        <w:rPr>
          <w:lang w:val="en-US"/>
        </w:rPr>
      </w:pPr>
      <w:r>
        <w:rPr>
          <w:lang w:val="en-US"/>
        </w:rPr>
        <w:br w:type="page"/>
      </w:r>
      <w:bookmarkStart w:id="77" w:name="_Toc319567673"/>
      <w:r w:rsidRPr="00086CA6">
        <w:rPr>
          <w:lang w:val="en-US"/>
        </w:rPr>
        <w:t>19. Proposal for a Regulation of the European Parliament and of the Council amending Council Regulation (EC) No 1083/2006 as regards certain provisions relating to risk sharing instruments for Member States experiencing or threatened with serious difficulties with respect to their financial stability [First reading] = Preparation of a General approach</w:t>
      </w:r>
      <w:bookmarkEnd w:id="77"/>
    </w:p>
    <w:p w:rsidR="00EC6CE5" w:rsidRPr="00D86C13" w:rsidRDefault="00EC6CE5" w:rsidP="00086CA6">
      <w:r w:rsidRPr="00D86C13">
        <w:t>7393/12, 7332/12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Näringsdepartementet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Annie Lööf</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II den 14 mars 2012</w:t>
      </w:r>
    </w:p>
    <w:p w:rsidR="00EC6CE5" w:rsidRDefault="00EC6CE5">
      <w:pPr>
        <w:pStyle w:val="RKnormal"/>
        <w:tabs>
          <w:tab w:val="clear" w:pos="1843"/>
          <w:tab w:val="left" w:pos="0"/>
        </w:tabs>
        <w:ind w:left="0"/>
      </w:pPr>
    </w:p>
    <w:p w:rsidR="00EC6CE5" w:rsidRDefault="00EC6CE5" w:rsidP="00086CA6">
      <w:r>
        <w:t>Överenskommelse om allmän inriktning av förslaget inför ordförandeskapets förhandling med Europaparlamentet med sikte på överenskommelse i första läsningen.</w:t>
      </w:r>
    </w:p>
    <w:p w:rsidR="00EC6CE5" w:rsidRDefault="00EC6CE5" w:rsidP="00086CA6"/>
    <w:p w:rsidR="00EC6CE5" w:rsidRDefault="00EC6CE5" w:rsidP="00086CA6">
      <w:r>
        <w:t>Regeringen stödjer, liksom övriga medlemsstater, förslaget.</w:t>
      </w:r>
    </w:p>
    <w:p w:rsidR="00EC6CE5" w:rsidRDefault="00EC6CE5" w:rsidP="00086CA6"/>
    <w:p w:rsidR="00EC6CE5" w:rsidRDefault="00EC6CE5" w:rsidP="00086CA6">
      <w:r>
        <w:t>För att genomföra programmen inom ramen för sammanhållningspolitiken krävs medfinansiering via nationella offentliga medel och i många fall också nationella privata medel. Förslaget syftar till att hantera de likviditetsproblem, som även drabbar den del av projekten som finansieras av privata finansiärer. Förslaget öppnar för att medel, dock högst 10 % av de medel som avsatts för strukturfonderna och sammanhållningsfonden för ett enskilt land, ska kunna avsättas för ett riskdelningsinstrument, som etableras genom en överenskommelse mellan kommissionen och EIB eller liknande institutioner. Detta instrument ska kunna ge stöd även till den privat finansierade delen av projekt inom dessa program eller för åtgärder som bidrar till målen inom sammanhållningspolitiken. De medlemsländer som har drabbats hårdast av den finansiella krisen och som får stöd via olika finansiella räddningsprogram ska kunna omfattas av sådana instrument. Det är hittills endast Grekland som visat intresse för att utnyttja denna möjlighet.</w:t>
      </w:r>
    </w:p>
    <w:p w:rsidR="00EC6CE5" w:rsidRDefault="00EC6CE5" w:rsidP="00086CA6"/>
    <w:p w:rsidR="00EC6CE5" w:rsidRDefault="00EC6CE5" w:rsidP="00BD0A57">
      <w:r>
        <w:t xml:space="preserve">Till protokollet fogas också en gemensam deklaration mellan kommissionen och rådet om hanteringen av budgeteffekter. </w:t>
      </w:r>
    </w:p>
    <w:p w:rsidR="00EC6CE5" w:rsidRPr="00086CA6" w:rsidRDefault="00EC6CE5" w:rsidP="00086CA6">
      <w:pPr>
        <w:pStyle w:val="Heading2"/>
        <w:rPr>
          <w:lang w:val="en-US"/>
        </w:rPr>
      </w:pPr>
      <w:bookmarkStart w:id="78" w:name="_Toc319567674"/>
      <w:r w:rsidRPr="00086CA6">
        <w:rPr>
          <w:lang w:val="en-US"/>
        </w:rPr>
        <w:t>20. Council Decision amending Decision 2011/173/CFSP concerning restrictive measures in view of the situation in Bosnia and Herzegovina</w:t>
      </w:r>
      <w:bookmarkEnd w:id="78"/>
    </w:p>
    <w:p w:rsidR="00EC6CE5" w:rsidRPr="00D86C13" w:rsidRDefault="00EC6CE5" w:rsidP="00086CA6">
      <w:r w:rsidRPr="00D86C13">
        <w:t>7351/12, 7350/12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Carl Bildt</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II den 14 mars 2012</w:t>
      </w:r>
    </w:p>
    <w:p w:rsidR="00EC6CE5" w:rsidRDefault="00EC6CE5">
      <w:pPr>
        <w:pStyle w:val="RKnormal"/>
        <w:tabs>
          <w:tab w:val="clear" w:pos="1843"/>
          <w:tab w:val="left" w:pos="0"/>
        </w:tabs>
        <w:ind w:left="0"/>
      </w:pPr>
    </w:p>
    <w:p w:rsidR="00EC6CE5" w:rsidRDefault="00EC6CE5" w:rsidP="00086CA6">
      <w:r>
        <w:t>Rådet föreslås anta rådsbeslutet.</w:t>
      </w:r>
    </w:p>
    <w:p w:rsidR="00EC6CE5" w:rsidRDefault="00EC6CE5" w:rsidP="00086CA6"/>
    <w:p w:rsidR="00EC6CE5" w:rsidRDefault="00EC6CE5" w:rsidP="00086CA6">
      <w:r>
        <w:t>Regeringen avser den 15 mars fatta regeringsbeslut om att Sverige i rådet ska rösta för ett antagande av rådsbeslutet, samt därefter rösta för sådant antagande vid ett kommande ministerrådsmöte.</w:t>
      </w:r>
    </w:p>
    <w:p w:rsidR="00EC6CE5" w:rsidRDefault="00EC6CE5" w:rsidP="00086CA6"/>
    <w:p w:rsidR="00EC6CE5" w:rsidRDefault="00EC6CE5" w:rsidP="00086CA6">
      <w:r>
        <w:t xml:space="preserve">Inom ramen för samarbetet inom Europeiska unionens gemensamma utrikes- och säkerhetspolitik antog rådet den 21 mars 2011 ett rådsbeslut (2011/173/GUSP) om vissa restriktiva åtgärder med hänsyn till situationen i Bosnien och Hercegovina. Syftet med de restriktiva åtgärderna är att stödja Bosnien och Hercegovinas EU-närmande och slå vakt om Daytonavtalet och landets territoriella integritet. </w:t>
      </w:r>
    </w:p>
    <w:p w:rsidR="00EC6CE5" w:rsidRDefault="00EC6CE5" w:rsidP="00086CA6"/>
    <w:p w:rsidR="00EC6CE5" w:rsidRDefault="00EC6CE5" w:rsidP="00BD0A57">
      <w:r>
        <w:t xml:space="preserve">Åtgärderna omfattar reserestriktioner och frysning, men än så länge har inga personer listats för sådana. Rådsbeslut 2011/173/GUSP ska i dagsläget tillämpas till och med den 22 mars 2012, ska ses över kontinuerligt och ska förlängas eller vid behov ändras om rådet bedömer att målen i beslutet inte har uppnåtts. Mot bakgrund av detta förväntas rådet nu besluta om ändring i rådsbeslutet, innebärande att detta ska förlängas att tillämpas till och med den 22 mars 2013. Rådet avser att anta ett beslut av denna innebörd vid ett ministerrådsmöte den 19 mars. </w:t>
      </w:r>
    </w:p>
    <w:p w:rsidR="00EC6CE5" w:rsidRPr="00086CA6" w:rsidRDefault="00EC6CE5" w:rsidP="00086CA6">
      <w:pPr>
        <w:pStyle w:val="Heading2"/>
        <w:rPr>
          <w:lang w:val="en-US"/>
        </w:rPr>
      </w:pPr>
      <w:bookmarkStart w:id="79" w:name="_Toc319567675"/>
      <w:r w:rsidRPr="00086CA6">
        <w:rPr>
          <w:lang w:val="en-US"/>
        </w:rPr>
        <w:t>21. Restrictive measures against Syria</w:t>
      </w:r>
      <w:r>
        <w:rPr>
          <w:lang w:val="en-US"/>
        </w:rPr>
        <w:t xml:space="preserve"> </w:t>
      </w:r>
      <w:r w:rsidRPr="00086CA6">
        <w:rPr>
          <w:lang w:val="en-US"/>
        </w:rPr>
        <w:t>= Letters of reply to persons and entities subject to the restrictive measures provided for in Council Decision 2011/273/CFSP and in Council Regulation (EU) No 442/2011</w:t>
      </w:r>
      <w:bookmarkEnd w:id="79"/>
    </w:p>
    <w:p w:rsidR="00EC6CE5" w:rsidRPr="00D86C13" w:rsidRDefault="00EC6CE5" w:rsidP="00086CA6">
      <w:r w:rsidRPr="00D86C13">
        <w:t>7452/12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Carl Bildt</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II den 14 mars 2012</w:t>
      </w:r>
    </w:p>
    <w:p w:rsidR="00EC6CE5" w:rsidRDefault="00EC6CE5">
      <w:pPr>
        <w:pStyle w:val="RKnormal"/>
        <w:tabs>
          <w:tab w:val="clear" w:pos="1843"/>
          <w:tab w:val="left" w:pos="0"/>
        </w:tabs>
        <w:ind w:left="0"/>
      </w:pPr>
    </w:p>
    <w:p w:rsidR="00EC6CE5" w:rsidRDefault="00EC6CE5" w:rsidP="00086CA6">
      <w:r>
        <w:t>Den 9 maj 2011 antogs rådsbeslut 2011/273/KUSP samt förordning 442/2011 om restriktiva åtgärder mot Syrien. Bland dessa restriktiva åtgärder listades, successivt, ett antal olika personer och entiteter som bär ansvar för repressionen mot civilbefolkningen i Syrien. Några av dessa personer och entititeter har sedemera meddelat att de önskar bli avlistade eller söker mer information om listningen.</w:t>
      </w:r>
    </w:p>
    <w:p w:rsidR="00EC6CE5" w:rsidRDefault="00EC6CE5" w:rsidP="00086CA6"/>
    <w:p w:rsidR="00EC6CE5" w:rsidRDefault="00EC6CE5" w:rsidP="00086CA6">
      <w:r>
        <w:t>Förfrågningar från listade personer och entiteter, och brevsvar på dessa, har behandlats i rådsarbetsgruppen Maghreb/Mashrek. De nio aktuella brevsvaren informerar de berörda personerna/entiteterna att de inte kommer avlistas, att ytterligare information om motiven för en av listningarna kommer att delges och att för två av de listade kommer motiveringarna för listningarna att justeras.</w:t>
      </w:r>
    </w:p>
    <w:p w:rsidR="00EC6CE5" w:rsidRDefault="00EC6CE5" w:rsidP="00086CA6"/>
    <w:p w:rsidR="00EC6CE5" w:rsidRDefault="00EC6CE5" w:rsidP="00086CA6">
      <w:r>
        <w:t>Den 1 december 2011 ersattes 2011/273/KUSP av 2011/782/KUSP. Den 18 januari 2012 ersattes förordning 442/2011 av förordning 36/2012.</w:t>
      </w:r>
    </w:p>
    <w:p w:rsidR="00EC6CE5" w:rsidRDefault="00EC6CE5" w:rsidP="00086CA6"/>
    <w:p w:rsidR="00EC6CE5" w:rsidRPr="00D86C13" w:rsidRDefault="00EC6CE5" w:rsidP="00BD0A57">
      <w:r>
        <w:t>Regeringen avser rösta ja till att rådet godkänner brevsvaren.</w:t>
      </w:r>
      <w:r w:rsidRPr="00D86C13">
        <w:t xml:space="preserve"> </w:t>
      </w:r>
    </w:p>
    <w:p w:rsidR="00EC6CE5" w:rsidRPr="00086CA6" w:rsidRDefault="00EC6CE5" w:rsidP="00086CA6">
      <w:pPr>
        <w:pStyle w:val="Heading2"/>
        <w:rPr>
          <w:lang w:val="en-US"/>
        </w:rPr>
      </w:pPr>
      <w:bookmarkStart w:id="80" w:name="_Toc319567676"/>
      <w:r w:rsidRPr="00086CA6">
        <w:rPr>
          <w:lang w:val="en-US"/>
        </w:rPr>
        <w:t>22. Restrictive measures against Côte d'Ivoire:- Letters of individual notification to be sent to listed persons</w:t>
      </w:r>
      <w:bookmarkEnd w:id="80"/>
    </w:p>
    <w:p w:rsidR="00EC6CE5" w:rsidRPr="00D86C13" w:rsidRDefault="00EC6CE5" w:rsidP="00086CA6">
      <w:r w:rsidRPr="00D86C13">
        <w:t>7549/12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Carl Bildt</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II den 14 mars 2012</w:t>
      </w:r>
    </w:p>
    <w:p w:rsidR="00EC6CE5" w:rsidRDefault="00EC6CE5">
      <w:pPr>
        <w:pStyle w:val="RKnormal"/>
        <w:tabs>
          <w:tab w:val="clear" w:pos="1843"/>
          <w:tab w:val="left" w:pos="0"/>
        </w:tabs>
        <w:ind w:left="0"/>
      </w:pPr>
    </w:p>
    <w:p w:rsidR="00EC6CE5" w:rsidRDefault="00EC6CE5" w:rsidP="00086CA6">
      <w:r>
        <w:t xml:space="preserve">Mot bakgrund av den allvarliga situationen i Elfenbenskusten och FN:s säkerhetsråds resolution 1946 (2010) antog Europeiska unionens råd (rådet) den 29 oktober 2010 rådsbeslut 2010/656/GUSP om förlängning av restriktiva åtgärder mot Elfenbenskusten, genom vilket tidigare restriktiva åtgärder mot landet förnyades. Rådsbeslut 2010/656/GUSP omfattar såväl sanktioner som har beslutats direkt av FN:s säkerhetsråd och genomförts av EU, som sanktioner som införts av EU för egen del vilka riktades mot personer och entiteter som hade obstruerat den nationella freds- och försoningsprocessen och i synnerhet dem som hade hotat det korrekta slutresultatet av presidentvalet. Nämnda sanktioner omfattar bl.a. frysning av tillgångar och reserestriktioner. Sedan situationen alltmer stabiliserats, bl a att parlamentsval genomfördes 11 december, har EU börjat en process mot upphävande av de egna tilläggssanktionerna. Alla juridiska personer och andra enheter har avlistats. Rådet har beslutat december 2011 att avlista 30 personer. Avlistningsprocessen fortgår. </w:t>
      </w:r>
    </w:p>
    <w:p w:rsidR="00EC6CE5" w:rsidRDefault="00EC6CE5" w:rsidP="00086CA6"/>
    <w:p w:rsidR="00EC6CE5" w:rsidRPr="00D86C13" w:rsidRDefault="00EC6CE5" w:rsidP="00BD0A57">
      <w:r>
        <w:t>Coreper II avser fatta beslut om kompletterande individuell notifiering till två personer till vilka det tidigare saknats postadress. Notifiering innebär att EU underrättar individer och entiteter som omfattas av restriktiva åtgärder.</w:t>
      </w:r>
      <w:r w:rsidRPr="00D86C13">
        <w:t xml:space="preserve"> </w:t>
      </w:r>
    </w:p>
    <w:p w:rsidR="00EC6CE5" w:rsidRPr="00086CA6" w:rsidRDefault="00EC6CE5" w:rsidP="00086CA6">
      <w:pPr>
        <w:pStyle w:val="Heading2"/>
        <w:rPr>
          <w:lang w:val="en-US"/>
        </w:rPr>
      </w:pPr>
      <w:bookmarkStart w:id="81" w:name="_Toc319567677"/>
      <w:r w:rsidRPr="00086CA6">
        <w:rPr>
          <w:lang w:val="en-US"/>
        </w:rPr>
        <w:t>23. Council Decision amending Council Decision 2011/172/CFSP concerning restrictive measures directed against certain persons, entities and bodies in view of the situation in Egypt</w:t>
      </w:r>
      <w:bookmarkEnd w:id="81"/>
    </w:p>
    <w:p w:rsidR="00EC6CE5" w:rsidRPr="00D86C13" w:rsidRDefault="00EC6CE5" w:rsidP="00086CA6">
      <w:r w:rsidRPr="00D86C13">
        <w:t>7469/12, 7451/12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Carl Bildt</w:t>
      </w:r>
    </w:p>
    <w:p w:rsidR="00EC6CE5" w:rsidRPr="00D86C13" w:rsidRDefault="00EC6CE5">
      <w:pPr>
        <w:pStyle w:val="RKnormal"/>
        <w:tabs>
          <w:tab w:val="clear" w:pos="1843"/>
          <w:tab w:val="left" w:pos="0"/>
        </w:tabs>
        <w:ind w:left="0"/>
      </w:pPr>
    </w:p>
    <w:p w:rsidR="00EC6CE5" w:rsidRPr="00086CA6" w:rsidRDefault="00EC6CE5" w:rsidP="00086CA6">
      <w:r w:rsidRPr="00086CA6">
        <w:t>Tidigare behandling vid rådsmöte: Rådet för utrikesfrågor</w:t>
      </w:r>
    </w:p>
    <w:p w:rsidR="00EC6CE5" w:rsidRDefault="00EC6CE5">
      <w:pPr>
        <w:pStyle w:val="RKnormal"/>
        <w:tabs>
          <w:tab w:val="clear" w:pos="1843"/>
          <w:tab w:val="left" w:pos="0"/>
        </w:tabs>
        <w:ind w:left="0"/>
      </w:pPr>
    </w:p>
    <w:p w:rsidR="00EC6CE5" w:rsidRPr="00086CA6" w:rsidRDefault="00EC6CE5" w:rsidP="00086CA6">
      <w:r>
        <w:t>Godkänd av Coreper II den 14 mars 2012</w:t>
      </w:r>
    </w:p>
    <w:p w:rsidR="00EC6CE5" w:rsidRDefault="00EC6CE5">
      <w:pPr>
        <w:pStyle w:val="RKnormal"/>
        <w:tabs>
          <w:tab w:val="clear" w:pos="1843"/>
          <w:tab w:val="left" w:pos="0"/>
        </w:tabs>
        <w:ind w:left="0"/>
      </w:pPr>
    </w:p>
    <w:p w:rsidR="00EC6CE5" w:rsidRDefault="00EC6CE5" w:rsidP="00086CA6">
      <w:r>
        <w:t>Rådsbeslut 2011/172/GUSP ska i dagsläget tillämpas till och med den 22 mars 2012, samt ses över kontinuerligt och förlängas eller vid behov ändras om rådet bedömer att målen i beslutet inte har uppnåtts. Mot bakgrund av detta och ovanstående förutses rådet nu förlänga rådsbeslutet och därmed de restriktiva åtgärderna att tillämpas till och med den 22 mars 2013. Avsikten är att rådet vid ett kommande ministerrådsmöte ska anta ett rådsbeslut om ändring av denna innebörd.</w:t>
      </w:r>
    </w:p>
    <w:p w:rsidR="00EC6CE5" w:rsidRDefault="00EC6CE5" w:rsidP="00086CA6"/>
    <w:p w:rsidR="00EC6CE5" w:rsidRPr="00D86C13" w:rsidRDefault="00EC6CE5" w:rsidP="00255496">
      <w:r>
        <w:t>Regeringen avser rösta för antagande av ett rådsbeslut av ovanstående innebörd vid kommande ministerrådsmöte.</w:t>
      </w:r>
      <w:r w:rsidRPr="00D86C13">
        <w:t xml:space="preserve"> </w:t>
      </w:r>
    </w:p>
    <w:p w:rsidR="00EC6CE5" w:rsidRPr="00086CA6" w:rsidRDefault="00EC6CE5" w:rsidP="00086CA6">
      <w:pPr>
        <w:pStyle w:val="Heading2"/>
        <w:rPr>
          <w:lang w:val="en-US"/>
        </w:rPr>
      </w:pPr>
      <w:bookmarkStart w:id="82" w:name="_Toc319567678"/>
      <w:r w:rsidRPr="00086CA6">
        <w:rPr>
          <w:lang w:val="en-US"/>
        </w:rPr>
        <w:t>24. Implementation of UNSCRs on Women, Peace and Security in the context of CSDP missions and operations</w:t>
      </w:r>
      <w:bookmarkEnd w:id="82"/>
    </w:p>
    <w:p w:rsidR="00EC6CE5" w:rsidRPr="00D86C13" w:rsidRDefault="00EC6CE5" w:rsidP="00086CA6">
      <w:r w:rsidRPr="00D86C13">
        <w:t>7117/12, 7109/12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Carl Bildt</w:t>
      </w:r>
    </w:p>
    <w:p w:rsidR="00EC6CE5" w:rsidRPr="00D86C13" w:rsidRDefault="00EC6CE5">
      <w:pPr>
        <w:pStyle w:val="RKnormal"/>
        <w:tabs>
          <w:tab w:val="clear" w:pos="1843"/>
          <w:tab w:val="left" w:pos="0"/>
        </w:tabs>
        <w:ind w:left="0"/>
      </w:pPr>
    </w:p>
    <w:p w:rsidR="00EC6CE5" w:rsidRPr="00086CA6" w:rsidRDefault="00EC6CE5" w:rsidP="00086CA6">
      <w:r w:rsidRPr="00086CA6">
        <w:t>Tidigare behandling vid rådsmöte: Rådet för utrikesfrågor</w:t>
      </w:r>
    </w:p>
    <w:p w:rsidR="00EC6CE5" w:rsidRDefault="00EC6CE5">
      <w:pPr>
        <w:pStyle w:val="RKnormal"/>
        <w:tabs>
          <w:tab w:val="clear" w:pos="1843"/>
          <w:tab w:val="left" w:pos="0"/>
        </w:tabs>
        <w:ind w:left="0"/>
      </w:pPr>
    </w:p>
    <w:p w:rsidR="00EC6CE5" w:rsidRPr="00086CA6" w:rsidRDefault="00EC6CE5" w:rsidP="00086CA6">
      <w:r>
        <w:t>Godkänd av Coreper II den 14 mars 2012</w:t>
      </w:r>
    </w:p>
    <w:p w:rsidR="00EC6CE5" w:rsidRDefault="00EC6CE5">
      <w:pPr>
        <w:pStyle w:val="RKnormal"/>
        <w:tabs>
          <w:tab w:val="clear" w:pos="1843"/>
          <w:tab w:val="left" w:pos="0"/>
        </w:tabs>
        <w:ind w:left="0"/>
      </w:pPr>
    </w:p>
    <w:p w:rsidR="00EC6CE5" w:rsidRDefault="00EC6CE5" w:rsidP="00086CA6">
      <w:r>
        <w:t xml:space="preserve">Rådet föreslås anta det uppdaterade genomförandedokumentet. </w:t>
      </w:r>
    </w:p>
    <w:p w:rsidR="00EC6CE5" w:rsidRDefault="00EC6CE5" w:rsidP="00086CA6"/>
    <w:p w:rsidR="00EC6CE5" w:rsidRDefault="00EC6CE5" w:rsidP="00086CA6">
      <w:r>
        <w:t xml:space="preserve">Regeringen avser rösta ja till att rådet antar det uppdaterade genomförandedokumentet. </w:t>
      </w:r>
    </w:p>
    <w:p w:rsidR="00EC6CE5" w:rsidRDefault="00EC6CE5" w:rsidP="00086CA6"/>
    <w:p w:rsidR="00EC6CE5" w:rsidRPr="00D86C13" w:rsidRDefault="00EC6CE5" w:rsidP="00255496">
      <w:r>
        <w:t xml:space="preserve">Den 3 december 2008 antogs Genomförandedokumentet av FN:s säkerhetsråds resolution 1325 förstärkt genom FN:s säkerhetsråds resolution 1820 inom ramen för ESFP (15782/3/08). En uppdatering av detta dokument skedde i Civcom den 8 februari och 13 februari 2012. Uppdateringen innebär att genderbegreppet nu inte endast avser kvinnor, utan både kvinnor och män; att genderperspektivet ska tas till hänsyn tidigt i planeringen av ESFP-insatser; samt att ansvaret för att genderperspektivet genomsyrar hela insatsens verksamhet vilar på insatsledningen och i slutändan på insatschefen (HoM).  </w:t>
      </w:r>
      <w:r w:rsidRPr="00D86C13">
        <w:t xml:space="preserve"> </w:t>
      </w:r>
    </w:p>
    <w:p w:rsidR="00EC6CE5" w:rsidRPr="00255496" w:rsidRDefault="00EC6CE5" w:rsidP="00086CA6">
      <w:pPr>
        <w:pStyle w:val="Heading2"/>
        <w:rPr>
          <w:lang w:val="en-US"/>
        </w:rPr>
      </w:pPr>
      <w:bookmarkStart w:id="83" w:name="_Toc319567679"/>
      <w:r w:rsidRPr="00255496">
        <w:rPr>
          <w:lang w:val="en-US"/>
        </w:rPr>
        <w:t>25. Enlargement</w:t>
      </w:r>
      <w:r>
        <w:rPr>
          <w:lang w:val="en-US"/>
        </w:rPr>
        <w:t xml:space="preserve"> </w:t>
      </w:r>
      <w:r w:rsidRPr="00255496">
        <w:rPr>
          <w:lang w:val="en-US"/>
        </w:rPr>
        <w:t>- Accession negotiations with Iceland</w:t>
      </w:r>
      <w:r>
        <w:rPr>
          <w:lang w:val="en-US"/>
        </w:rPr>
        <w:t xml:space="preserve"> </w:t>
      </w:r>
      <w:r w:rsidRPr="00255496">
        <w:rPr>
          <w:lang w:val="en-US"/>
        </w:rPr>
        <w:t>= Outcome of screening on Chapter 9: Financial Services</w:t>
      </w:r>
      <w:bookmarkEnd w:id="83"/>
    </w:p>
    <w:p w:rsidR="00EC6CE5" w:rsidRPr="00D86C13" w:rsidRDefault="00EC6CE5" w:rsidP="00086CA6">
      <w:r w:rsidRPr="00D86C13">
        <w:t>7518/12</w:t>
      </w:r>
    </w:p>
    <w:p w:rsidR="00EC6CE5" w:rsidRPr="00D86C13" w:rsidRDefault="00EC6CE5">
      <w:pPr>
        <w:pStyle w:val="RKnormal"/>
        <w:tabs>
          <w:tab w:val="clear" w:pos="1843"/>
          <w:tab w:val="left" w:pos="0"/>
        </w:tabs>
        <w:ind w:left="0"/>
      </w:pPr>
    </w:p>
    <w:p w:rsidR="00EC6CE5" w:rsidRPr="00D86C13" w:rsidRDefault="00EC6CE5" w:rsidP="00086CA6">
      <w:r w:rsidRPr="00D86C13">
        <w:t>Ansvarigt departement: Utrikesdepartementet</w:t>
      </w:r>
    </w:p>
    <w:p w:rsidR="00EC6CE5" w:rsidRPr="00D86C13" w:rsidRDefault="00EC6CE5">
      <w:pPr>
        <w:pStyle w:val="RKnormal"/>
        <w:tabs>
          <w:tab w:val="clear" w:pos="1843"/>
          <w:tab w:val="left" w:pos="0"/>
        </w:tabs>
        <w:ind w:left="0"/>
      </w:pPr>
    </w:p>
    <w:p w:rsidR="00EC6CE5" w:rsidRPr="00D86C13" w:rsidRDefault="00EC6CE5" w:rsidP="00086CA6">
      <w:r w:rsidRPr="00D86C13">
        <w:t>Ansvarigt statsråd: Carl Bildt</w:t>
      </w:r>
    </w:p>
    <w:p w:rsidR="00EC6CE5" w:rsidRPr="00D86C13" w:rsidRDefault="00EC6CE5">
      <w:pPr>
        <w:pStyle w:val="RKnormal"/>
        <w:tabs>
          <w:tab w:val="clear" w:pos="1843"/>
          <w:tab w:val="left" w:pos="0"/>
        </w:tabs>
        <w:ind w:left="0"/>
      </w:pPr>
    </w:p>
    <w:p w:rsidR="00EC6CE5" w:rsidRPr="00086CA6" w:rsidRDefault="00EC6CE5" w:rsidP="00086CA6">
      <w:r w:rsidRPr="00086CA6">
        <w:t>Godkänd av Coreper II den 14 mars 2012</w:t>
      </w:r>
    </w:p>
    <w:p w:rsidR="00EC6CE5" w:rsidRDefault="00EC6CE5">
      <w:pPr>
        <w:pStyle w:val="RKnormal"/>
        <w:tabs>
          <w:tab w:val="clear" w:pos="1843"/>
          <w:tab w:val="left" w:pos="0"/>
        </w:tabs>
        <w:ind w:left="0"/>
      </w:pPr>
    </w:p>
    <w:p w:rsidR="00EC6CE5" w:rsidRDefault="00EC6CE5" w:rsidP="00086CA6">
      <w:r>
        <w:t>Inom ramen för Islands anslutningsförhandlingar med EU ska Coreper godkänna EU-kommissionens screeningrapport gällande förhandlingskapitel 9 (Finansiella tjänster).</w:t>
      </w:r>
    </w:p>
    <w:p w:rsidR="00EC6CE5" w:rsidRDefault="00EC6CE5" w:rsidP="00086CA6"/>
    <w:p w:rsidR="00EC6CE5" w:rsidRDefault="00EC6CE5" w:rsidP="00086CA6">
      <w:r>
        <w:t>Lagstiftningen inom kapitel 9 inkluderar regler för auktorisation, verksamhet och övervakning av finansiella institutioner inom områdena bank, försäkring, pension, investeringar och värdepappersmarknaden.</w:t>
      </w:r>
    </w:p>
    <w:p w:rsidR="00EC6CE5" w:rsidRDefault="00EC6CE5" w:rsidP="00086CA6"/>
    <w:p w:rsidR="00EC6CE5" w:rsidRPr="00086CA6" w:rsidRDefault="00EC6CE5" w:rsidP="00086CA6">
      <w:r>
        <w:t>Sverige instämmer i kommissionens bedömning att Island är tillräckligt förberett för att inleda förhandlingar på området.</w:t>
      </w:r>
    </w:p>
    <w:p w:rsidR="00EC6CE5" w:rsidRDefault="00EC6CE5">
      <w:pPr>
        <w:pStyle w:val="RKnormal"/>
        <w:tabs>
          <w:tab w:val="clear" w:pos="1843"/>
          <w:tab w:val="left" w:pos="0"/>
        </w:tabs>
        <w:ind w:left="0"/>
      </w:pPr>
      <w:r>
        <w:t xml:space="preserve"> </w:t>
      </w:r>
    </w:p>
    <w:p w:rsidR="00EC6CE5" w:rsidRPr="00086CA6" w:rsidRDefault="00EC6CE5">
      <w:pPr>
        <w:pStyle w:val="RKnormal"/>
        <w:tabs>
          <w:tab w:val="clear" w:pos="1843"/>
          <w:tab w:val="left" w:pos="0"/>
        </w:tabs>
        <w:ind w:left="0"/>
      </w:pPr>
    </w:p>
    <w:p w:rsidR="00EC6CE5" w:rsidRPr="00086CA6" w:rsidRDefault="00EC6CE5">
      <w:pPr>
        <w:pStyle w:val="RKnormal"/>
        <w:tabs>
          <w:tab w:val="clear" w:pos="1843"/>
          <w:tab w:val="left" w:pos="0"/>
        </w:tabs>
        <w:ind w:left="0"/>
      </w:pPr>
    </w:p>
    <w:sectPr w:rsidR="00EC6CE5" w:rsidRPr="00086CA6" w:rsidSect="00EA4C2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CE5" w:rsidRDefault="00EC6CE5">
      <w:r>
        <w:separator/>
      </w:r>
    </w:p>
  </w:endnote>
  <w:endnote w:type="continuationSeparator" w:id="0">
    <w:p w:rsidR="00EC6CE5" w:rsidRDefault="00EC6C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5" w:rsidRDefault="00EC6CE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21</w:t>
    </w:r>
    <w:r>
      <w:rPr>
        <w:rStyle w:val="PageNumber"/>
        <w:sz w:val="16"/>
      </w:rPr>
      <w:fldChar w:fldCharType="end"/>
    </w:r>
    <w:r>
      <w:rPr>
        <w:rStyle w:val="PageNumber"/>
        <w:sz w:val="16"/>
      </w:rPr>
      <w:t>)</w:t>
    </w:r>
  </w:p>
  <w:p w:rsidR="00EC6CE5" w:rsidRDefault="00EC6C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5" w:rsidRDefault="00EC6CE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EC6CE5" w:rsidRDefault="00EC6CE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5" w:rsidRDefault="00EC6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CE5" w:rsidRDefault="00EC6CE5">
      <w:r>
        <w:separator/>
      </w:r>
    </w:p>
  </w:footnote>
  <w:footnote w:type="continuationSeparator" w:id="0">
    <w:p w:rsidR="00EC6CE5" w:rsidRDefault="00EC6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5" w:rsidRDefault="00EC6CE5">
    <w:pPr>
      <w:pStyle w:val="Header"/>
      <w:framePr w:wrap="around" w:vAnchor="text" w:hAnchor="margin" w:xAlign="right" w:y="1"/>
      <w:rPr>
        <w:rStyle w:val="PageNumber"/>
      </w:rPr>
    </w:pPr>
  </w:p>
  <w:p w:rsidR="00EC6CE5" w:rsidRDefault="00EC6CE5">
    <w:pPr>
      <w:pStyle w:val="Header"/>
      <w:ind w:right="360"/>
    </w:pPr>
  </w:p>
  <w:p w:rsidR="00EC6CE5" w:rsidRDefault="00EC6CE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5" w:rsidRDefault="00EC6CE5">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EC6CE5" w:rsidRDefault="00EC6CE5">
    <w:pPr>
      <w:pStyle w:val="Header"/>
    </w:pPr>
  </w:p>
  <w:p w:rsidR="00EC6CE5" w:rsidRDefault="00EC6CE5">
    <w:pPr>
      <w:pStyle w:val="Header"/>
      <w:ind w:right="360"/>
    </w:pPr>
  </w:p>
  <w:p w:rsidR="00EC6CE5" w:rsidRDefault="00EC6CE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5" w:rsidRDefault="00EC6CE5">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EC6CE5" w:rsidRDefault="00EC6C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898234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086CA6"/>
    <w:rsid w:val="0001405D"/>
    <w:rsid w:val="00072EDE"/>
    <w:rsid w:val="00086CA6"/>
    <w:rsid w:val="000935BA"/>
    <w:rsid w:val="001E756A"/>
    <w:rsid w:val="00255496"/>
    <w:rsid w:val="00306FE3"/>
    <w:rsid w:val="003C0F78"/>
    <w:rsid w:val="00464504"/>
    <w:rsid w:val="00576F56"/>
    <w:rsid w:val="005A23F9"/>
    <w:rsid w:val="005C212F"/>
    <w:rsid w:val="005F1820"/>
    <w:rsid w:val="00790BEB"/>
    <w:rsid w:val="007D55FB"/>
    <w:rsid w:val="00847B54"/>
    <w:rsid w:val="008A515C"/>
    <w:rsid w:val="008B25AC"/>
    <w:rsid w:val="00936272"/>
    <w:rsid w:val="009B20DB"/>
    <w:rsid w:val="00A22A00"/>
    <w:rsid w:val="00A72123"/>
    <w:rsid w:val="00AD5F96"/>
    <w:rsid w:val="00AF0928"/>
    <w:rsid w:val="00B76745"/>
    <w:rsid w:val="00BA6B91"/>
    <w:rsid w:val="00BD0A57"/>
    <w:rsid w:val="00C131BB"/>
    <w:rsid w:val="00C74035"/>
    <w:rsid w:val="00CB1D26"/>
    <w:rsid w:val="00D86C13"/>
    <w:rsid w:val="00EA4C20"/>
    <w:rsid w:val="00EC3C7C"/>
    <w:rsid w:val="00EC6CE5"/>
    <w:rsid w:val="00ED5DCC"/>
    <w:rsid w:val="00F056A7"/>
    <w:rsid w:val="00FE5835"/>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20"/>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A4C20"/>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A4C20"/>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A4C20"/>
    <w:pPr>
      <w:spacing w:after="120" w:line="240" w:lineRule="atLeast"/>
      <w:outlineLvl w:val="2"/>
    </w:pPr>
    <w:rPr>
      <w:b w:val="0"/>
    </w:rPr>
  </w:style>
  <w:style w:type="paragraph" w:styleId="Heading4">
    <w:name w:val="heading 4"/>
    <w:basedOn w:val="Heading3"/>
    <w:next w:val="RKnormal"/>
    <w:link w:val="Heading4Char"/>
    <w:uiPriority w:val="99"/>
    <w:qFormat/>
    <w:rsid w:val="00EA4C20"/>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A4C20"/>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EA4C20"/>
    <w:pPr>
      <w:tabs>
        <w:tab w:val="left" w:pos="1843"/>
        <w:tab w:val="left" w:pos="2835"/>
      </w:tabs>
      <w:spacing w:line="240" w:lineRule="atLeast"/>
      <w:ind w:left="1843"/>
    </w:pPr>
  </w:style>
  <w:style w:type="paragraph" w:customStyle="1" w:styleId="Avsndare">
    <w:name w:val="Avsändare"/>
    <w:basedOn w:val="Normal"/>
    <w:uiPriority w:val="99"/>
    <w:rsid w:val="00EA4C2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A4C2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EA4C20"/>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EA4C2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A4C20"/>
    <w:rPr>
      <w:rFonts w:cs="Times New Roman"/>
    </w:rPr>
  </w:style>
  <w:style w:type="paragraph" w:styleId="BodyText">
    <w:name w:val="Body Text"/>
    <w:basedOn w:val="Normal"/>
    <w:link w:val="BodyTextChar"/>
    <w:uiPriority w:val="99"/>
    <w:rsid w:val="00EA4C20"/>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EA4C20"/>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EA4C20"/>
    <w:pPr>
      <w:spacing w:line="320" w:lineRule="exact"/>
    </w:pPr>
    <w:rPr>
      <w:rFonts w:ascii="Arial" w:hAnsi="Arial"/>
      <w:b/>
      <w:sz w:val="22"/>
    </w:rPr>
  </w:style>
  <w:style w:type="paragraph" w:styleId="TOC1">
    <w:name w:val="toc 1"/>
    <w:basedOn w:val="Normal"/>
    <w:next w:val="Normal"/>
    <w:autoRedefine/>
    <w:uiPriority w:val="99"/>
    <w:rsid w:val="00EA4C20"/>
    <w:pPr>
      <w:spacing w:before="360"/>
    </w:pPr>
    <w:rPr>
      <w:rFonts w:ascii="Arial" w:hAnsi="Arial"/>
      <w:b/>
      <w:bCs/>
      <w:caps/>
      <w:szCs w:val="28"/>
    </w:rPr>
  </w:style>
  <w:style w:type="paragraph" w:styleId="TOC2">
    <w:name w:val="toc 2"/>
    <w:basedOn w:val="Normal"/>
    <w:next w:val="Normal"/>
    <w:autoRedefine/>
    <w:uiPriority w:val="99"/>
    <w:rsid w:val="00EA4C20"/>
    <w:pPr>
      <w:spacing w:before="240"/>
    </w:pPr>
    <w:rPr>
      <w:rFonts w:ascii="Times New Roman" w:hAnsi="Times New Roman"/>
      <w:b/>
      <w:bCs/>
      <w:szCs w:val="24"/>
    </w:rPr>
  </w:style>
  <w:style w:type="paragraph" w:styleId="TOC3">
    <w:name w:val="toc 3"/>
    <w:basedOn w:val="Normal"/>
    <w:next w:val="Normal"/>
    <w:autoRedefine/>
    <w:uiPriority w:val="99"/>
    <w:semiHidden/>
    <w:rsid w:val="00EA4C20"/>
    <w:pPr>
      <w:ind w:left="240"/>
    </w:pPr>
    <w:rPr>
      <w:rFonts w:ascii="Times New Roman" w:hAnsi="Times New Roman"/>
      <w:szCs w:val="24"/>
    </w:rPr>
  </w:style>
  <w:style w:type="paragraph" w:styleId="TOC4">
    <w:name w:val="toc 4"/>
    <w:basedOn w:val="Normal"/>
    <w:next w:val="Normal"/>
    <w:autoRedefine/>
    <w:uiPriority w:val="99"/>
    <w:semiHidden/>
    <w:rsid w:val="00EA4C20"/>
    <w:pPr>
      <w:ind w:left="480"/>
    </w:pPr>
    <w:rPr>
      <w:rFonts w:ascii="Times New Roman" w:hAnsi="Times New Roman"/>
      <w:szCs w:val="24"/>
    </w:rPr>
  </w:style>
  <w:style w:type="paragraph" w:styleId="TOC5">
    <w:name w:val="toc 5"/>
    <w:basedOn w:val="Normal"/>
    <w:next w:val="Normal"/>
    <w:autoRedefine/>
    <w:uiPriority w:val="99"/>
    <w:semiHidden/>
    <w:rsid w:val="00EA4C20"/>
    <w:pPr>
      <w:ind w:left="720"/>
    </w:pPr>
    <w:rPr>
      <w:rFonts w:ascii="Times New Roman" w:hAnsi="Times New Roman"/>
      <w:szCs w:val="24"/>
    </w:rPr>
  </w:style>
  <w:style w:type="paragraph" w:styleId="TOC6">
    <w:name w:val="toc 6"/>
    <w:basedOn w:val="Normal"/>
    <w:next w:val="Normal"/>
    <w:autoRedefine/>
    <w:uiPriority w:val="99"/>
    <w:semiHidden/>
    <w:rsid w:val="00EA4C20"/>
    <w:pPr>
      <w:ind w:left="960"/>
    </w:pPr>
    <w:rPr>
      <w:rFonts w:ascii="Times New Roman" w:hAnsi="Times New Roman"/>
      <w:szCs w:val="24"/>
    </w:rPr>
  </w:style>
  <w:style w:type="paragraph" w:styleId="TOC7">
    <w:name w:val="toc 7"/>
    <w:basedOn w:val="Normal"/>
    <w:next w:val="Normal"/>
    <w:autoRedefine/>
    <w:uiPriority w:val="99"/>
    <w:semiHidden/>
    <w:rsid w:val="00EA4C20"/>
    <w:pPr>
      <w:ind w:left="1200"/>
    </w:pPr>
    <w:rPr>
      <w:rFonts w:ascii="Times New Roman" w:hAnsi="Times New Roman"/>
      <w:szCs w:val="24"/>
    </w:rPr>
  </w:style>
  <w:style w:type="paragraph" w:styleId="TOC8">
    <w:name w:val="toc 8"/>
    <w:basedOn w:val="Normal"/>
    <w:next w:val="Normal"/>
    <w:autoRedefine/>
    <w:uiPriority w:val="99"/>
    <w:semiHidden/>
    <w:rsid w:val="00EA4C20"/>
    <w:pPr>
      <w:ind w:left="1440"/>
    </w:pPr>
    <w:rPr>
      <w:rFonts w:ascii="Times New Roman" w:hAnsi="Times New Roman"/>
      <w:szCs w:val="24"/>
    </w:rPr>
  </w:style>
  <w:style w:type="paragraph" w:styleId="TOC9">
    <w:name w:val="toc 9"/>
    <w:basedOn w:val="Normal"/>
    <w:next w:val="Normal"/>
    <w:autoRedefine/>
    <w:uiPriority w:val="99"/>
    <w:semiHidden/>
    <w:rsid w:val="00EA4C20"/>
    <w:pPr>
      <w:ind w:left="1680"/>
    </w:pPr>
    <w:rPr>
      <w:rFonts w:ascii="Times New Roman" w:hAnsi="Times New Roman"/>
      <w:szCs w:val="24"/>
    </w:rPr>
  </w:style>
  <w:style w:type="paragraph" w:customStyle="1" w:styleId="Text1">
    <w:name w:val="Text 1"/>
    <w:basedOn w:val="Normal"/>
    <w:uiPriority w:val="99"/>
    <w:rsid w:val="00EA4C20"/>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A4C20"/>
    <w:rPr>
      <w:rFonts w:cs="Times New Roman"/>
      <w:vertAlign w:val="superscript"/>
    </w:rPr>
  </w:style>
  <w:style w:type="paragraph" w:styleId="Index1">
    <w:name w:val="index 1"/>
    <w:basedOn w:val="Normal"/>
    <w:next w:val="Normal"/>
    <w:autoRedefine/>
    <w:uiPriority w:val="99"/>
    <w:semiHidden/>
    <w:rsid w:val="00EA4C20"/>
    <w:pPr>
      <w:ind w:left="240" w:hanging="240"/>
    </w:pPr>
    <w:rPr>
      <w:rFonts w:ascii="Times New Roman" w:hAnsi="Times New Roman"/>
      <w:szCs w:val="24"/>
    </w:rPr>
  </w:style>
  <w:style w:type="paragraph" w:styleId="Index2">
    <w:name w:val="index 2"/>
    <w:basedOn w:val="Normal"/>
    <w:next w:val="Normal"/>
    <w:autoRedefine/>
    <w:uiPriority w:val="99"/>
    <w:semiHidden/>
    <w:rsid w:val="00EA4C20"/>
    <w:pPr>
      <w:ind w:left="480" w:hanging="240"/>
    </w:pPr>
    <w:rPr>
      <w:rFonts w:ascii="Times New Roman" w:hAnsi="Times New Roman"/>
      <w:szCs w:val="24"/>
    </w:rPr>
  </w:style>
  <w:style w:type="paragraph" w:styleId="Index3">
    <w:name w:val="index 3"/>
    <w:basedOn w:val="Normal"/>
    <w:next w:val="Normal"/>
    <w:autoRedefine/>
    <w:uiPriority w:val="99"/>
    <w:semiHidden/>
    <w:rsid w:val="00EA4C20"/>
    <w:pPr>
      <w:ind w:left="720" w:hanging="240"/>
    </w:pPr>
    <w:rPr>
      <w:rFonts w:ascii="Times New Roman" w:hAnsi="Times New Roman"/>
      <w:szCs w:val="24"/>
    </w:rPr>
  </w:style>
  <w:style w:type="paragraph" w:styleId="Index4">
    <w:name w:val="index 4"/>
    <w:basedOn w:val="Normal"/>
    <w:next w:val="Normal"/>
    <w:autoRedefine/>
    <w:uiPriority w:val="99"/>
    <w:semiHidden/>
    <w:rsid w:val="00EA4C20"/>
    <w:pPr>
      <w:ind w:left="960" w:hanging="240"/>
    </w:pPr>
    <w:rPr>
      <w:rFonts w:ascii="Times New Roman" w:hAnsi="Times New Roman"/>
      <w:szCs w:val="24"/>
    </w:rPr>
  </w:style>
  <w:style w:type="paragraph" w:styleId="Index5">
    <w:name w:val="index 5"/>
    <w:basedOn w:val="Normal"/>
    <w:next w:val="Normal"/>
    <w:autoRedefine/>
    <w:uiPriority w:val="99"/>
    <w:semiHidden/>
    <w:rsid w:val="00EA4C20"/>
    <w:pPr>
      <w:ind w:left="1200" w:hanging="240"/>
    </w:pPr>
    <w:rPr>
      <w:rFonts w:ascii="Times New Roman" w:hAnsi="Times New Roman"/>
      <w:szCs w:val="24"/>
    </w:rPr>
  </w:style>
  <w:style w:type="paragraph" w:styleId="Index6">
    <w:name w:val="index 6"/>
    <w:basedOn w:val="Normal"/>
    <w:next w:val="Normal"/>
    <w:autoRedefine/>
    <w:uiPriority w:val="99"/>
    <w:semiHidden/>
    <w:rsid w:val="00EA4C20"/>
    <w:pPr>
      <w:ind w:left="1440" w:hanging="240"/>
    </w:pPr>
    <w:rPr>
      <w:rFonts w:ascii="Times New Roman" w:hAnsi="Times New Roman"/>
      <w:szCs w:val="24"/>
    </w:rPr>
  </w:style>
  <w:style w:type="paragraph" w:styleId="Index7">
    <w:name w:val="index 7"/>
    <w:basedOn w:val="Normal"/>
    <w:next w:val="Normal"/>
    <w:autoRedefine/>
    <w:uiPriority w:val="99"/>
    <w:semiHidden/>
    <w:rsid w:val="00EA4C20"/>
    <w:pPr>
      <w:ind w:left="1680" w:hanging="240"/>
    </w:pPr>
    <w:rPr>
      <w:rFonts w:ascii="Times New Roman" w:hAnsi="Times New Roman"/>
      <w:szCs w:val="24"/>
    </w:rPr>
  </w:style>
  <w:style w:type="paragraph" w:styleId="Index8">
    <w:name w:val="index 8"/>
    <w:basedOn w:val="Normal"/>
    <w:next w:val="Normal"/>
    <w:autoRedefine/>
    <w:uiPriority w:val="99"/>
    <w:semiHidden/>
    <w:rsid w:val="00EA4C20"/>
    <w:pPr>
      <w:ind w:left="1920" w:hanging="240"/>
    </w:pPr>
    <w:rPr>
      <w:rFonts w:ascii="Times New Roman" w:hAnsi="Times New Roman"/>
      <w:szCs w:val="24"/>
    </w:rPr>
  </w:style>
  <w:style w:type="paragraph" w:styleId="Index9">
    <w:name w:val="index 9"/>
    <w:basedOn w:val="Normal"/>
    <w:next w:val="Normal"/>
    <w:autoRedefine/>
    <w:uiPriority w:val="99"/>
    <w:semiHidden/>
    <w:rsid w:val="00EA4C20"/>
    <w:pPr>
      <w:ind w:left="2160" w:hanging="240"/>
    </w:pPr>
    <w:rPr>
      <w:rFonts w:ascii="Times New Roman" w:hAnsi="Times New Roman"/>
      <w:szCs w:val="24"/>
    </w:rPr>
  </w:style>
  <w:style w:type="paragraph" w:styleId="IndexHeading">
    <w:name w:val="index heading"/>
    <w:basedOn w:val="Normal"/>
    <w:next w:val="Index1"/>
    <w:uiPriority w:val="99"/>
    <w:semiHidden/>
    <w:rsid w:val="00EA4C20"/>
    <w:pPr>
      <w:spacing w:before="120" w:after="120"/>
    </w:pPr>
    <w:rPr>
      <w:rFonts w:ascii="Times New Roman" w:hAnsi="Times New Roman"/>
      <w:b/>
      <w:bCs/>
      <w:i/>
      <w:iCs/>
      <w:szCs w:val="24"/>
    </w:rPr>
  </w:style>
  <w:style w:type="paragraph" w:customStyle="1" w:styleId="EntEmet">
    <w:name w:val="EntEmet"/>
    <w:basedOn w:val="Normal"/>
    <w:uiPriority w:val="99"/>
    <w:rsid w:val="00EA4C2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A4C20"/>
    <w:pPr>
      <w:spacing w:line="240" w:lineRule="auto"/>
    </w:pPr>
    <w:rPr>
      <w:rFonts w:ascii="Arial" w:hAnsi="Arial"/>
      <w:lang w:val="en-GB"/>
    </w:rPr>
  </w:style>
  <w:style w:type="paragraph" w:customStyle="1" w:styleId="Avsndare0">
    <w:name w:val="Avsndare"/>
    <w:basedOn w:val="Normal"/>
    <w:next w:val="Normal"/>
    <w:uiPriority w:val="99"/>
    <w:rsid w:val="00EA4C20"/>
    <w:pPr>
      <w:spacing w:line="240" w:lineRule="auto"/>
    </w:pPr>
    <w:rPr>
      <w:rFonts w:ascii="Arial" w:hAnsi="Arial"/>
      <w:i/>
      <w:lang w:val="en-GB"/>
    </w:rPr>
  </w:style>
  <w:style w:type="character" w:styleId="Hyperlink">
    <w:name w:val="Hyperlink"/>
    <w:basedOn w:val="DefaultParagraphFont"/>
    <w:uiPriority w:val="99"/>
    <w:rsid w:val="00EA4C20"/>
    <w:rPr>
      <w:rFonts w:cs="Times New Roman"/>
      <w:color w:val="0000FF"/>
      <w:u w:val="single"/>
    </w:rPr>
  </w:style>
  <w:style w:type="paragraph" w:styleId="DocumentMap">
    <w:name w:val="Document Map"/>
    <w:basedOn w:val="Normal"/>
    <w:link w:val="DocumentMapChar"/>
    <w:uiPriority w:val="99"/>
    <w:semiHidden/>
    <w:rsid w:val="00EA4C2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EA4C20"/>
    <w:rPr>
      <w:rFonts w:cs="Times New Roman"/>
      <w:color w:val="800080"/>
      <w:u w:val="single"/>
    </w:rPr>
  </w:style>
  <w:style w:type="paragraph" w:customStyle="1" w:styleId="Par-number10">
    <w:name w:val="Par-number 1)"/>
    <w:basedOn w:val="Normal"/>
    <w:next w:val="Normal"/>
    <w:uiPriority w:val="99"/>
    <w:rsid w:val="00EA4C20"/>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EA4C20"/>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A4C20"/>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A4C20"/>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A4C20"/>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EA4C20"/>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A4C20"/>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A4C20"/>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A4C20"/>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EA4C20"/>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A4C20"/>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A4C20"/>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EA4C20"/>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A4C20"/>
    <w:pPr>
      <w:spacing w:line="240" w:lineRule="auto"/>
    </w:pPr>
    <w:rPr>
      <w:rFonts w:ascii="Times New Roman" w:hAnsi="Times New Roman"/>
      <w:lang w:val="en-GB" w:eastAsia="fr-BE"/>
    </w:rPr>
  </w:style>
  <w:style w:type="paragraph" w:customStyle="1" w:styleId="Tiret1">
    <w:name w:val="Tiret 1"/>
    <w:basedOn w:val="Normal"/>
    <w:uiPriority w:val="99"/>
    <w:rsid w:val="00EA4C2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A4C20"/>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EA4C20"/>
    <w:pPr>
      <w:overflowPunct w:val="0"/>
      <w:autoSpaceDE w:val="0"/>
      <w:autoSpaceDN w:val="0"/>
      <w:adjustRightInd w:val="0"/>
      <w:ind w:left="1843"/>
      <w:textAlignment w:val="baseline"/>
    </w:pPr>
  </w:style>
  <w:style w:type="paragraph" w:customStyle="1" w:styleId="Brdtext0">
    <w:name w:val="Brˆdtext"/>
    <w:basedOn w:val="Normal"/>
    <w:uiPriority w:val="99"/>
    <w:rsid w:val="00EA4C20"/>
    <w:pPr>
      <w:spacing w:line="320" w:lineRule="exact"/>
    </w:pPr>
    <w:rPr>
      <w:rFonts w:ascii="Times New Roman" w:hAnsi="Times New Roman"/>
    </w:rPr>
  </w:style>
  <w:style w:type="character" w:customStyle="1" w:styleId="term">
    <w:name w:val="term"/>
    <w:basedOn w:val="DefaultParagraphFont"/>
    <w:uiPriority w:val="99"/>
    <w:rsid w:val="00EA4C20"/>
    <w:rPr>
      <w:rFonts w:cs="Times New Roman"/>
    </w:rPr>
  </w:style>
  <w:style w:type="paragraph" w:customStyle="1" w:styleId="Brdtexthuvud">
    <w:name w:val="Brödtext huvud"/>
    <w:basedOn w:val="Normal"/>
    <w:uiPriority w:val="99"/>
    <w:rsid w:val="00EA4C2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4962</Words>
  <Characters>30273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2012-03-15T08:25:00Z</cp:lastPrinted>
  <dcterms:created xsi:type="dcterms:W3CDTF">2012-03-16T10:21:00Z</dcterms:created>
  <dcterms:modified xsi:type="dcterms:W3CDTF">2012-03-16T10:21:00Z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