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A80" w:rsidRPr="00535E81" w:rsidRDefault="00B32A80">
      <w:pPr>
        <w:pStyle w:val="Frslagsrubrik"/>
        <w:shd w:val="clear" w:color="000000" w:fill="auto"/>
      </w:pPr>
      <w:r w:rsidRPr="00535E81">
        <w:t>Förslag till riksdagsbeslut</w:t>
      </w:r>
    </w:p>
    <w:p w:rsidR="00B32A80" w:rsidRPr="00535E81" w:rsidRDefault="00B32A80">
      <w:pPr>
        <w:pStyle w:val="Hemstlatt"/>
        <w:shd w:val="clear" w:color="000000" w:fill="auto"/>
      </w:pPr>
      <w:r w:rsidRPr="00535E81">
        <w:t>Riksdagen tillkännager för regeringen som sin mening vad som anförs i motionen om att avskaffa den obligatoriska modersmålsu</w:t>
      </w:r>
      <w:r w:rsidRPr="00535E81">
        <w:t>n</w:t>
      </w:r>
      <w:r w:rsidRPr="00535E81">
        <w:t>dervisningen, de nationella minoritetsspråken undanta</w:t>
      </w:r>
      <w:r w:rsidRPr="00535E81">
        <w:t>g</w:t>
      </w:r>
      <w:r w:rsidRPr="00535E81">
        <w:t>na.</w:t>
      </w:r>
    </w:p>
    <w:p w:rsidR="00B32A80" w:rsidRPr="00535E81" w:rsidRDefault="00B32A80">
      <w:pPr>
        <w:pStyle w:val="Rubrik1"/>
        <w:shd w:val="clear" w:color="000000" w:fill="auto"/>
      </w:pPr>
      <w:r w:rsidRPr="00535E81">
        <w:t>Motivering</w:t>
      </w:r>
    </w:p>
    <w:p w:rsidR="00B32A80" w:rsidRPr="00535E81" w:rsidRDefault="00B32A80">
      <w:pPr>
        <w:shd w:val="clear" w:color="000000" w:fill="auto"/>
        <w:rPr>
          <w:color w:val="000000"/>
        </w:rPr>
      </w:pPr>
      <w:r w:rsidRPr="00535E81">
        <w:t>Skollagen stipulerar att förskolan, förskoleklass, grundskolan, grundsärsk</w:t>
      </w:r>
      <w:r w:rsidRPr="00535E81">
        <w:t>o</w:t>
      </w:r>
      <w:r w:rsidRPr="00535E81">
        <w:t>lan, specialskolan samt gymnasieskolan skall erbjuda modersmålsundervi</w:t>
      </w:r>
      <w:r w:rsidRPr="00535E81">
        <w:t>s</w:t>
      </w:r>
      <w:r w:rsidRPr="00535E81">
        <w:t xml:space="preserve">ning. Detta gäller då det är </w:t>
      </w:r>
      <w:r w:rsidRPr="00535E81">
        <w:rPr>
          <w:color w:val="000000"/>
        </w:rPr>
        <w:t xml:space="preserve">elevens dagliga umgängesspråk i hemmet eller då eleven har grundläggande eller goda kunskaper i språket. </w:t>
      </w:r>
    </w:p>
    <w:p w:rsidR="00B32A80" w:rsidRPr="00535E81" w:rsidRDefault="00B32A80">
      <w:pPr>
        <w:pStyle w:val="Normaltindrag"/>
        <w:shd w:val="clear" w:color="000000" w:fill="auto"/>
      </w:pPr>
      <w:r w:rsidRPr="00535E81">
        <w:t>Modersmålsundervisningen främjar inte assimilationen till det svenska samhället. Samtidigt är dess effekter för inlärning av det svenska språket mycket tveksamt. Vi vill i sammanhanget lyfta fram en undersökning från Danmark, där kommunernas forskningsenhet (AKF) kom fram till att det inte finns några st</w:t>
      </w:r>
      <w:r w:rsidRPr="00535E81">
        <w:t xml:space="preserve">atistiska bevis för att elever som fått modersmålsundervisning visar bättre resultat i </w:t>
      </w:r>
      <w:r w:rsidRPr="00535E81">
        <w:rPr>
          <w:szCs w:val="24"/>
        </w:rPr>
        <w:t>läsning, matematik eller naturvetenskap</w:t>
      </w:r>
      <w:r w:rsidRPr="00535E81">
        <w:t xml:space="preserve"> än de elever som inte fått modersmålsundervisning. Resultatet fick politikerna i Danmark att helt lägga ner modersmålsundervisningen för att i stället satsa mer pengar på specialundervisning och på det danska språket. </w:t>
      </w:r>
    </w:p>
    <w:p w:rsidR="00B32A80" w:rsidRPr="00535E81" w:rsidRDefault="00B32A80">
      <w:pPr>
        <w:pStyle w:val="Normaltindrag"/>
        <w:shd w:val="clear" w:color="000000" w:fill="auto"/>
      </w:pPr>
      <w:r w:rsidRPr="00535E81">
        <w:t>Sverigedemokraterna vill se samma utveckling i Sverige. I huvudsak anser vi att modersmålsundervisningen är ett intresse för den enskilda familjen, som då också bör s</w:t>
      </w:r>
      <w:r w:rsidRPr="00535E81">
        <w:t xml:space="preserve">tå för kostnaderna samtidigt som undervisningen skall ligga utanför ordinarie skoltid. </w:t>
      </w:r>
    </w:p>
    <w:p w:rsidR="00B32A80" w:rsidRPr="00535E81" w:rsidRDefault="00B32A80">
      <w:pPr>
        <w:pStyle w:val="Normaltindrag"/>
        <w:shd w:val="clear" w:color="000000" w:fill="auto"/>
        <w:rPr>
          <w:color w:val="000000"/>
        </w:rPr>
      </w:pPr>
      <w:r w:rsidRPr="00535E81">
        <w:t>För närvarande är det i princip kommunerna som finansierar modersmål</w:t>
      </w:r>
      <w:r w:rsidRPr="00535E81">
        <w:t>s</w:t>
      </w:r>
      <w:r w:rsidRPr="00535E81">
        <w:t>undervisningen men vi yrkar på att skollagen ändras så att ingen tvingande lag föreskriver obligatorisk modersmålsundervisning, de nationella minor</w:t>
      </w:r>
      <w:r w:rsidRPr="00535E81">
        <w:t>i</w:t>
      </w:r>
      <w:r w:rsidRPr="00535E81">
        <w:t xml:space="preserve">tetsspråken undantagna. Däremot skall det fortfarande vara möjligt för en </w:t>
      </w:r>
      <w:r w:rsidRPr="00535E81">
        <w:lastRenderedPageBreak/>
        <w:t>e</w:t>
      </w:r>
      <w:r w:rsidRPr="00535E81">
        <w:t>n</w:t>
      </w:r>
      <w:r w:rsidRPr="00535E81">
        <w:t xml:space="preserve">skild kommun att anordna modersmålsundervisning om man så önskar, dock utanför ordinarie skoltid. </w:t>
      </w:r>
    </w:p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shd w:val="clear" w:color="000000" w:fill="auto"/>
        <w:ind w:firstLine="0"/>
      </w:pPr>
      <w:r w:rsidRPr="00535E81">
        <w:t xml:space="preserve">Vi föreslår följande ändring i 8 kap. 10 §: 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Lines="60" w:before="144"/>
              <w:rPr>
                <w:i w:val="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Förskolan ska medverka till att barn med annat modersmål än svenska får möjlighet att utveckla både det svenska språket och sitt modersmål.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Lines="60" w:before="144"/>
              <w:rPr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Förskolan ska medverka till att barn med något av de nationella minoritetsspråken som modersmål får möjlighet att utveckla både det svenska språket och sitt modersmål.</w:t>
            </w: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shd w:val="clear" w:color="000000" w:fill="auto"/>
        <w:ind w:firstLine="0"/>
      </w:pPr>
      <w:r w:rsidRPr="00535E81">
        <w:t xml:space="preserve">Vi föreslår följande ändring i 9 kap. 10 §: 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Lines="60" w:before="144"/>
              <w:rPr>
                <w:i w:val="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Förskoleklassen ska medverka till att elever med annat modersmål än svenska får möjlighet att utveckla både det svenska språket och sitt modersmål.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Lines="60" w:before="144"/>
              <w:rPr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Förskoleklassen ska medverka till att elever med något av de nationella minoritetsspråken som modersmål får möjlighet att utveckla både det svenska språket och sitt modersmål.</w:t>
            </w: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shd w:val="clear" w:color="000000" w:fill="auto"/>
        <w:ind w:firstLine="0"/>
      </w:pPr>
      <w:r w:rsidRPr="00535E81">
        <w:t>Vi föreslår att 10 kap. 39 § ändras enligt följande: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szCs w:val="19"/>
              </w:rPr>
            </w:pPr>
            <w:r w:rsidRPr="00535E81">
              <w:rPr>
                <w:szCs w:val="19"/>
              </w:rPr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szCs w:val="19"/>
              </w:rPr>
            </w:pPr>
            <w:r w:rsidRPr="00535E81">
              <w:rPr>
                <w:szCs w:val="19"/>
              </w:rPr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39 § Tilläggsbelopp ska lämnas för elever som har ett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omfattande behov av särskilt stöd eller ska erbjudas modersmålsunder-visning.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Hemkommunen är inte skyldig att betala tilläggsbelopp för en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elev i behov av särskilt stöd, om betydande organisatoriska eller ekonomiska svårigheter uppstår för kommunen.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39 § Tilläggsbelopp ska lämnas för elever som har ett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 xml:space="preserve">omfattande behov av särskilt stöd eller ska erbjudas modersmålsundervisning i ett nationellt minoritetsspråk.  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Hemkommunen är inte skyldig att betala tilläggsbelopp för en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elev i behov av särskilt stöd, om betydande organisatoriska eller ekonomiska svårigheter uppstår för kommunen.</w:t>
            </w: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pageBreakBefore/>
        <w:shd w:val="clear" w:color="000000" w:fill="auto"/>
        <w:ind w:firstLine="0"/>
      </w:pPr>
      <w:r w:rsidRPr="00535E81">
        <w:t>Vi föreslår att 15 kap. 19 § ändras enligt följande: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</w:pPr>
            <w:r w:rsidRPr="00535E81"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19 § En elev som har en vårdnadshavare med ett annat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 än svenska ska erbjudas modersmålsundervisning i detta språk om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1. språket är elevens dagliga umgängesspråk i hemmet, och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2. eleven har goda kunskaper i språket.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Regeringen eller den myndighet som regeringen bestämmer får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meddela föreskrifter om modersmåls-undervisning. Sådana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föreskrifter får innebära att modersmålsundervisning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i ett språk bara om ett visst antal elever önskar sådan undervisning i det språket.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19 § 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 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shd w:val="clear" w:color="000000" w:fill="auto"/>
        <w:ind w:firstLine="0"/>
      </w:pPr>
      <w:r w:rsidRPr="00535E81">
        <w:t>Vi föreslår att 11 kap. 10 § ändras enligt följande: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i w:val="0"/>
                <w:color w:val="000000"/>
                <w:sz w:val="21"/>
              </w:rPr>
            </w:pPr>
            <w:r w:rsidRPr="00535E81">
              <w:rPr>
                <w:i w:val="0"/>
                <w:color w:val="000000"/>
                <w:sz w:val="21"/>
              </w:rPr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i w:val="0"/>
                <w:color w:val="000000"/>
                <w:sz w:val="21"/>
              </w:rPr>
            </w:pPr>
            <w:r w:rsidRPr="00535E81">
              <w:rPr>
                <w:i w:val="0"/>
                <w:color w:val="000000"/>
                <w:sz w:val="21"/>
              </w:rPr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En elev som har en vårdnadshavare med ett annat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 än svenska ska erbjudas modersmålsundervisning i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detta språk om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1. språket är elevens dagliga umgängesspråk i hemmet, och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2. eleven har grundläggande kunskaper i språket.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Regeringen eller den myndighet som regeringen bestämmer får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meddela föreskrifter om moders-målsundervisning. Sådana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föreskrifter får innebära att modersmålsundervisning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i ett språk bara om ett visst antal elever önskar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sådan undervisning i det språket.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10 § 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p w:rsidR="00B32A80" w:rsidRPr="00535E81" w:rsidRDefault="00B32A80">
      <w:pPr>
        <w:pStyle w:val="Normaltindrag"/>
        <w:shd w:val="clear" w:color="000000" w:fill="auto"/>
        <w:ind w:firstLine="0"/>
      </w:pPr>
      <w:r w:rsidRPr="00535E81">
        <w:t>Vi föreslår att 12 kap. 7 § ändras enligt följande: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i w:val="0"/>
                <w:color w:val="000000"/>
                <w:sz w:val="21"/>
              </w:rPr>
            </w:pPr>
            <w:r w:rsidRPr="00535E81">
              <w:rPr>
                <w:i w:val="0"/>
                <w:color w:val="000000"/>
                <w:sz w:val="21"/>
              </w:rPr>
              <w:t>Nuvarande lydelse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rPr>
                <w:i w:val="0"/>
                <w:color w:val="000000"/>
                <w:sz w:val="21"/>
              </w:rPr>
            </w:pPr>
            <w:r w:rsidRPr="00535E81">
              <w:rPr>
                <w:i w:val="0"/>
                <w:color w:val="000000"/>
                <w:sz w:val="21"/>
              </w:rPr>
              <w:t>Föreslagen lydelse</w:t>
            </w:r>
          </w:p>
        </w:tc>
      </w:tr>
      <w:tr w:rsidR="00000000" w:rsidRPr="00535E81"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7 § En elev som har en vårdnadshavare med ett annat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 än svenska ska erbjudas modersmålsundervisning i detta språk om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1. språket är elevens dagliga umgängesspråk i hemmet, och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2. eleven har grundläggande kunskaper i språket.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Regeringen eller den myndighet som regeringen bestämmer får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meddela föreskrifter om moders-målsundervisning. Sådana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föreskrifter får innebära att modersmålsundervisning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i ett språk bara om ett visst antal elever önskar sådan undervisning i det språket.</w:t>
            </w:r>
          </w:p>
        </w:tc>
        <w:tc>
          <w:tcPr>
            <w:tcW w:w="4322" w:type="dxa"/>
          </w:tcPr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7 § Modersmålsundervisning i ett nationellt minoritetsspråk ska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  <w:r w:rsidRPr="00535E81">
              <w:rPr>
                <w:i w:val="0"/>
                <w:color w:val="000000"/>
                <w:szCs w:val="19"/>
              </w:rPr>
              <w:t>erbjudas även om språket inte är elevens dagliga umgängesspråk i hemmet.</w:t>
            </w: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  <w:p w:rsidR="00B32A80" w:rsidRPr="00535E81" w:rsidRDefault="00B32A80">
            <w:pPr>
              <w:pStyle w:val="Lagtext"/>
              <w:shd w:val="clear" w:color="000000" w:fill="auto"/>
              <w:spacing w:before="60"/>
              <w:rPr>
                <w:i w:val="0"/>
                <w:color w:val="000000"/>
                <w:szCs w:val="19"/>
              </w:rPr>
            </w:pPr>
          </w:p>
        </w:tc>
      </w:tr>
    </w:tbl>
    <w:p w:rsidR="00B32A80" w:rsidRPr="00535E81" w:rsidRDefault="00B32A80">
      <w:pPr>
        <w:pStyle w:val="Normaltindrag"/>
        <w:shd w:val="clear" w:color="000000" w:fill="auto"/>
        <w:ind w:firstLine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5E81">
        <w:trPr>
          <w:cantSplit/>
        </w:trPr>
        <w:tc>
          <w:tcPr>
            <w:tcW w:w="3046" w:type="dxa"/>
          </w:tcPr>
          <w:p w:rsidR="00B32A80" w:rsidRPr="00535E81" w:rsidRDefault="00B32A80">
            <w:pPr>
              <w:pStyle w:val="UnderskriftDatum"/>
              <w:shd w:val="clear" w:color="000000" w:fill="auto"/>
              <w:spacing w:before="240"/>
            </w:pPr>
            <w:r w:rsidRPr="00535E81">
              <w:t>Stockholm den 3 oktober 2011</w:t>
            </w:r>
          </w:p>
        </w:tc>
        <w:tc>
          <w:tcPr>
            <w:tcW w:w="3047" w:type="dxa"/>
          </w:tcPr>
          <w:p w:rsidR="00B32A80" w:rsidRPr="00535E81" w:rsidRDefault="00B32A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35E81">
        <w:trPr>
          <w:cantSplit/>
        </w:trPr>
        <w:tc>
          <w:tcPr>
            <w:tcW w:w="3046" w:type="dxa"/>
          </w:tcPr>
          <w:p w:rsidR="00B32A80" w:rsidRPr="00535E81" w:rsidRDefault="00B32A80">
            <w:pPr>
              <w:pStyle w:val="Underskrifter"/>
              <w:shd w:val="clear" w:color="000000" w:fill="auto"/>
            </w:pPr>
            <w:r w:rsidRPr="00535E81">
              <w:t>Richard Jomshof (SD)</w:t>
            </w:r>
          </w:p>
        </w:tc>
        <w:tc>
          <w:tcPr>
            <w:tcW w:w="3046" w:type="dxa"/>
          </w:tcPr>
          <w:p w:rsidR="00B32A80" w:rsidRPr="00535E81" w:rsidRDefault="00B32A80">
            <w:pPr>
              <w:pStyle w:val="Underskrifter"/>
              <w:shd w:val="clear" w:color="000000" w:fill="auto"/>
            </w:pPr>
            <w:r w:rsidRPr="00535E81">
              <w:t>Mattias Karlsson (SD)</w:t>
            </w:r>
          </w:p>
        </w:tc>
      </w:tr>
    </w:tbl>
    <w:p w:rsidR="00B32A80" w:rsidRPr="00535E81" w:rsidRDefault="00B32A80">
      <w:pPr>
        <w:pStyle w:val="Normaltindrag"/>
        <w:shd w:val="clear" w:color="000000" w:fill="auto"/>
      </w:pPr>
    </w:p>
    <w:sectPr w:rsidR="00B32A80" w:rsidRPr="00535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A80" w:rsidRPr="00535E81" w:rsidRDefault="00B32A80">
      <w:r w:rsidRPr="00535E81">
        <w:separator/>
      </w:r>
    </w:p>
  </w:endnote>
  <w:endnote w:type="continuationSeparator" w:id="0">
    <w:p w:rsidR="00B32A80" w:rsidRPr="00535E81" w:rsidRDefault="00B32A80">
      <w:r w:rsidRPr="00535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535E81">
    <w:pPr>
      <w:pStyle w:val="Sidfot"/>
    </w:pPr>
    <w:r w:rsidRPr="00535E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1501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A80" w:rsidRDefault="00B32A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2A80" w:rsidRDefault="00B32A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535E81">
    <w:pPr>
      <w:pStyle w:val="Sidfot"/>
    </w:pPr>
    <w:r w:rsidRPr="00535E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101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A80" w:rsidRDefault="00B32A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A80" w:rsidRDefault="00B32A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535E81">
    <w:pPr>
      <w:pStyle w:val="Sidfot"/>
    </w:pPr>
    <w:r w:rsidRPr="00535E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520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A80" w:rsidRDefault="00B32A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A80" w:rsidRDefault="00B32A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A80" w:rsidRPr="00535E81" w:rsidRDefault="00B32A80">
      <w:r w:rsidRPr="00535E81">
        <w:separator/>
      </w:r>
    </w:p>
  </w:footnote>
  <w:footnote w:type="continuationSeparator" w:id="0">
    <w:p w:rsidR="00B32A80" w:rsidRPr="00535E81" w:rsidRDefault="00B32A80">
      <w:r w:rsidRPr="00535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535E81">
    <w:pPr>
      <w:pStyle w:val="Sidhuvud"/>
    </w:pPr>
    <w:r w:rsidRPr="00535E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884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A80" w:rsidRDefault="00B32A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2A80" w:rsidRDefault="00B32A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535E81">
    <w:pPr>
      <w:pStyle w:val="Sidhuvud"/>
    </w:pPr>
    <w:r w:rsidRPr="00535E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54538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A80" w:rsidRDefault="00B32A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2A80" w:rsidRDefault="00B32A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A80" w:rsidRPr="00535E81" w:rsidRDefault="00B32A80">
    <w:pPr>
      <w:pStyle w:val="FSHNormal"/>
      <w:tabs>
        <w:tab w:val="right" w:pos="5840"/>
      </w:tabs>
    </w:pPr>
    <w:r w:rsidRPr="00535E81">
      <w:br/>
    </w:r>
    <w:r w:rsidRPr="00535E81">
      <w:fldChar w:fldCharType="begin" w:fldLock="1"/>
    </w:r>
    <w:r w:rsidRPr="00535E81">
      <w:instrText xml:space="preserve"> DOCPROPERTY</w:instrText>
    </w:r>
    <w:r w:rsidRPr="00535E81">
      <w:rPr>
        <w:sz w:val="18"/>
      </w:rPr>
      <w:instrText xml:space="preserve"> "YearUser" *\charformat </w:instrText>
    </w:r>
    <w:r w:rsidRPr="00535E81">
      <w:fldChar w:fldCharType="separate"/>
    </w:r>
    <w:r w:rsidRPr="00535E81">
      <w:t>2011/12</w:t>
    </w:r>
    <w:r w:rsidRPr="00535E81">
      <w:fldChar w:fldCharType="end"/>
    </w:r>
    <w:r w:rsidRPr="00535E81">
      <w:t xml:space="preserve"> </w:t>
    </w:r>
    <w:r w:rsidRPr="00535E81">
      <w:tab/>
      <w:t xml:space="preserve">mnr: </w:t>
    </w:r>
    <w:r w:rsidRPr="00535E81">
      <w:fldChar w:fldCharType="begin" w:fldLock="1"/>
    </w:r>
    <w:r w:rsidRPr="00535E81">
      <w:instrText xml:space="preserve"> DOCPROPERTY</w:instrText>
    </w:r>
    <w:r w:rsidRPr="00535E81">
      <w:rPr>
        <w:sz w:val="18"/>
      </w:rPr>
      <w:instrText xml:space="preserve"> "Motionsnummer" *\charformat </w:instrText>
    </w:r>
    <w:r w:rsidRPr="00535E81">
      <w:fldChar w:fldCharType="separate"/>
    </w:r>
    <w:r w:rsidRPr="00535E81">
      <w:t>Ub504</w:t>
    </w:r>
    <w:r w:rsidRPr="00535E81">
      <w:fldChar w:fldCharType="end"/>
    </w:r>
    <w:r w:rsidRPr="00535E81">
      <w:br/>
    </w:r>
    <w:r w:rsidRPr="00535E81">
      <w:fldChar w:fldCharType="begin" w:fldLock="1"/>
    </w:r>
    <w:r w:rsidRPr="00535E81">
      <w:instrText xml:space="preserve"> DOCPROPERTY</w:instrText>
    </w:r>
    <w:r w:rsidRPr="00535E81">
      <w:rPr>
        <w:sz w:val="18"/>
      </w:rPr>
      <w:instrText xml:space="preserve"> "Samling" *\charformat </w:instrText>
    </w:r>
    <w:r w:rsidRPr="00535E81">
      <w:fldChar w:fldCharType="end"/>
    </w:r>
    <w:r w:rsidRPr="00535E81">
      <w:tab/>
      <w:t xml:space="preserve">pnr: </w:t>
    </w:r>
    <w:r w:rsidRPr="00535E81">
      <w:fldChar w:fldCharType="begin" w:fldLock="1"/>
    </w:r>
    <w:r w:rsidRPr="00535E81">
      <w:instrText xml:space="preserve"> DOCPROPERTY</w:instrText>
    </w:r>
    <w:r w:rsidRPr="00535E81">
      <w:rPr>
        <w:sz w:val="18"/>
      </w:rPr>
      <w:instrText xml:space="preserve"> "Partinummer" *\charformat </w:instrText>
    </w:r>
    <w:r w:rsidRPr="00535E81">
      <w:fldChar w:fldCharType="separate"/>
    </w:r>
    <w:r w:rsidRPr="00535E81">
      <w:t>SD21</w:t>
    </w:r>
    <w:r w:rsidRPr="00535E81">
      <w:fldChar w:fldCharType="end"/>
    </w:r>
  </w:p>
  <w:p w:rsidR="00B32A80" w:rsidRPr="00535E81" w:rsidRDefault="00B32A80">
    <w:pPr>
      <w:pStyle w:val="FSHRub1"/>
    </w:pPr>
    <w:r w:rsidRPr="00535E81">
      <w:t>Motion till riksdagen</w:t>
    </w:r>
    <w:r w:rsidRPr="00535E81">
      <w:br/>
    </w:r>
    <w:r w:rsidRPr="00535E81">
      <w:fldChar w:fldCharType="begin" w:fldLock="1"/>
    </w:r>
    <w:r w:rsidRPr="00535E81">
      <w:instrText xml:space="preserve"> DOCPROPERTY "YearUser" *\charformat </w:instrText>
    </w:r>
    <w:r w:rsidRPr="00535E81">
      <w:fldChar w:fldCharType="separate"/>
    </w:r>
    <w:r w:rsidRPr="00535E81">
      <w:t>2011/12</w:t>
    </w:r>
    <w:r w:rsidRPr="00535E81">
      <w:fldChar w:fldCharType="end"/>
    </w:r>
    <w:r w:rsidRPr="00535E81">
      <w:t>:</w:t>
    </w:r>
    <w:r w:rsidRPr="00535E81">
      <w:fldChar w:fldCharType="begin" w:fldLock="1"/>
    </w:r>
    <w:r w:rsidRPr="00535E81">
      <w:instrText xml:space="preserve"> DOCPROPERTY "Motionsnummer" *\charformat </w:instrText>
    </w:r>
    <w:r w:rsidRPr="00535E81">
      <w:fldChar w:fldCharType="separate"/>
    </w:r>
    <w:r w:rsidRPr="00535E81">
      <w:t>Ub504</w:t>
    </w:r>
    <w:r w:rsidRPr="00535E81">
      <w:fldChar w:fldCharType="end"/>
    </w:r>
  </w:p>
  <w:p w:rsidR="00B32A80" w:rsidRPr="00535E81" w:rsidRDefault="00B32A80">
    <w:pPr>
      <w:pStyle w:val="FSHNormalS5"/>
    </w:pPr>
    <w:r w:rsidRPr="00535E81">
      <w:fldChar w:fldCharType="begin" w:fldLock="1"/>
    </w:r>
    <w:r w:rsidRPr="00535E81">
      <w:instrText xml:space="preserve"> DOCPROPERTY "MotionarText" *\charformat </w:instrText>
    </w:r>
    <w:r w:rsidRPr="00535E81">
      <w:fldChar w:fldCharType="separate"/>
    </w:r>
    <w:r w:rsidRPr="00535E81">
      <w:t>av Richard Jomshof och Mattias Karlsson (SD)</w:t>
    </w:r>
    <w:r w:rsidRPr="00535E81">
      <w:fldChar w:fldCharType="end"/>
    </w:r>
    <w:r w:rsidRPr="00535E81">
      <w:br/>
    </w:r>
    <w:r w:rsidRPr="00535E81">
      <w:fldChar w:fldCharType="begin" w:fldLock="1"/>
    </w:r>
    <w:r w:rsidRPr="00535E81">
      <w:instrText xml:space="preserve"> DOCPROPERTY "SvarFrasKort" *\charformat </w:instrText>
    </w:r>
    <w:r w:rsidRPr="00535E81">
      <w:fldChar w:fldCharType="end"/>
    </w:r>
  </w:p>
  <w:p w:rsidR="00B32A80" w:rsidRPr="00535E81" w:rsidRDefault="00B32A80">
    <w:pPr>
      <w:pStyle w:val="FSHTitel"/>
    </w:pPr>
    <w:r w:rsidRPr="00535E81">
      <w:fldChar w:fldCharType="begin" w:fldLock="1"/>
    </w:r>
    <w:r w:rsidRPr="00535E81">
      <w:instrText xml:space="preserve"> DOCPROPERTY</w:instrText>
    </w:r>
    <w:r w:rsidRPr="00535E81">
      <w:rPr>
        <w:sz w:val="18"/>
      </w:rPr>
      <w:instrText xml:space="preserve"> "RubrikSvar" *\charformat </w:instrText>
    </w:r>
    <w:r w:rsidRPr="00535E81">
      <w:fldChar w:fldCharType="separate"/>
    </w:r>
    <w:r w:rsidRPr="00535E81">
      <w:t>Modersmålsundervisning</w:t>
    </w:r>
    <w:r w:rsidRPr="00535E81">
      <w:fldChar w:fldCharType="end"/>
    </w:r>
  </w:p>
  <w:p w:rsidR="00B32A80" w:rsidRPr="00535E81" w:rsidRDefault="00B32A80">
    <w:pPr>
      <w:pStyle w:val="Normal00"/>
    </w:pPr>
  </w:p>
  <w:p w:rsidR="00B32A80" w:rsidRPr="00535E81" w:rsidRDefault="00B32A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0727782">
    <w:abstractNumId w:val="3"/>
  </w:num>
  <w:num w:numId="2" w16cid:durableId="807552238">
    <w:abstractNumId w:val="2"/>
  </w:num>
  <w:num w:numId="3" w16cid:durableId="482814456">
    <w:abstractNumId w:val="1"/>
  </w:num>
  <w:num w:numId="4" w16cid:durableId="918902018">
    <w:abstractNumId w:val="0"/>
  </w:num>
  <w:num w:numId="5" w16cid:durableId="1664118626">
    <w:abstractNumId w:val="7"/>
  </w:num>
  <w:num w:numId="6" w16cid:durableId="1420056872">
    <w:abstractNumId w:val="6"/>
  </w:num>
  <w:num w:numId="7" w16cid:durableId="379404169">
    <w:abstractNumId w:val="5"/>
  </w:num>
  <w:num w:numId="8" w16cid:durableId="948968974">
    <w:abstractNumId w:val="4"/>
  </w:num>
  <w:num w:numId="9" w16cid:durableId="945427470">
    <w:abstractNumId w:val="8"/>
  </w:num>
  <w:num w:numId="10" w16cid:durableId="531261792">
    <w:abstractNumId w:val="9"/>
  </w:num>
  <w:num w:numId="11" w16cid:durableId="1133520568">
    <w:abstractNumId w:val="10"/>
  </w:num>
  <w:num w:numId="12" w16cid:durableId="311639216">
    <w:abstractNumId w:val="13"/>
  </w:num>
  <w:num w:numId="13" w16cid:durableId="1595477677">
    <w:abstractNumId w:val="15"/>
  </w:num>
  <w:num w:numId="14" w16cid:durableId="608247218">
    <w:abstractNumId w:val="16"/>
  </w:num>
  <w:num w:numId="15" w16cid:durableId="1732193501">
    <w:abstractNumId w:val="11"/>
  </w:num>
  <w:num w:numId="16" w16cid:durableId="1390764807">
    <w:abstractNumId w:val="18"/>
  </w:num>
  <w:num w:numId="17" w16cid:durableId="1070805761">
    <w:abstractNumId w:val="17"/>
  </w:num>
  <w:num w:numId="18" w16cid:durableId="1982153162">
    <w:abstractNumId w:val="14"/>
  </w:num>
  <w:num w:numId="19" w16cid:durableId="602305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F18D46FE-CB1E-4F47-A773-E1B0F6C993DB},{625062BE-70EF-4D25-A882-C630CFB2773B}"/>
  </w:docVars>
  <w:rsids>
    <w:rsidRoot w:val="00793F95"/>
    <w:rsid w:val="00535E81"/>
    <w:rsid w:val="00793F95"/>
    <w:rsid w:val="00B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90FBC8-3173-4AF3-817D-3ACBDFD3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 w:after="40" w:line="240" w:lineRule="auto"/>
    </w:pPr>
    <w:rPr>
      <w:rFonts w:ascii="Courier New" w:hAnsi="Courier New" w:cs="Courier New"/>
      <w:sz w:val="21"/>
      <w:szCs w:val="21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5173</Characters>
  <Application>Microsoft Office Word</Application>
  <DocSecurity>4</DocSecurity>
  <Lines>191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</vt:lpstr>
    </vt:vector>
  </TitlesOfParts>
  <Company>Riksdagen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</dc:title>
  <dc:subject>SD21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2011-12-29T08:10:00Z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>RJ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Modersmålsundervisning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Modersmålsundervisning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Richard Jomshof och Mattias Karlsson (SD)</vt:lpwstr>
  </property>
  <property fmtid="{D5CDD505-2E9C-101B-9397-08002B2CF9AE}" pid="26" name="MotionarLista">
    <vt:lpwstr>Jomshof, Richard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richard.jomshof@riksdagen.se</vt:lpwstr>
  </property>
  <property fmtid="{D5CDD505-2E9C-101B-9397-08002B2CF9AE}" pid="45" name="ReservUID">
    <vt:lpwstr>rd0706aa</vt:lpwstr>
  </property>
  <property fmtid="{D5CDD505-2E9C-101B-9397-08002B2CF9AE}" pid="46" name="MotionID">
    <vt:lpwstr>20112012000000830068000000210069</vt:lpwstr>
  </property>
  <property fmtid="{D5CDD505-2E9C-101B-9397-08002B2CF9AE}" pid="47" name="datum">
    <vt:lpwstr>111003</vt:lpwstr>
  </property>
  <property fmtid="{D5CDD505-2E9C-101B-9397-08002B2CF9AE}" pid="48" name="avsändar-e-post">
    <vt:lpwstr>richard.jomshof@riksdagen.se</vt:lpwstr>
  </property>
  <property fmtid="{D5CDD505-2E9C-101B-9397-08002B2CF9AE}" pid="49" name="id">
    <vt:lpwstr>20112012000000830068000000210069</vt:lpwstr>
  </property>
  <property fmtid="{D5CDD505-2E9C-101B-9397-08002B2CF9AE}" pid="50" name="nummer">
    <vt:lpwstr>504</vt:lpwstr>
  </property>
  <property fmtid="{D5CDD505-2E9C-101B-9397-08002B2CF9AE}" pid="51" name="utskottsbeteckning">
    <vt:lpwstr>Ub</vt:lpwstr>
  </property>
  <property fmtid="{D5CDD505-2E9C-101B-9397-08002B2CF9AE}" pid="52" name="GlobalUID">
    <vt:lpwstr>{D274B1E3-8BB8-44A8-82D9-36678AB2E429}</vt:lpwstr>
  </property>
  <property fmtid="{D5CDD505-2E9C-101B-9397-08002B2CF9AE}" pid="53" name="Överföringar">
    <vt:i4>0</vt:i4>
  </property>
  <property fmtid="{D5CDD505-2E9C-101B-9397-08002B2CF9AE}" pid="54" name="Checksum">
    <vt:lpwstr>*1019012781462*</vt:lpwstr>
  </property>
  <property fmtid="{D5CDD505-2E9C-101B-9397-08002B2CF9AE}" pid="55" name="skuggnummer">
    <vt:lpwstr>3075</vt:lpwstr>
  </property>
  <property fmtid="{D5CDD505-2E9C-101B-9397-08002B2CF9AE}" pid="56" name="urixVersion">
    <vt:lpwstr>4.5.0.25</vt:lpwstr>
  </property>
  <property fmtid="{D5CDD505-2E9C-101B-9397-08002B2CF9AE}" pid="57" name="urixOrigin">
    <vt:lpwstr>111229 13:26:22.673</vt:lpwstr>
  </property>
  <property fmtid="{D5CDD505-2E9C-101B-9397-08002B2CF9AE}" pid="58" name="urixGuid">
    <vt:lpwstr>{249793DE-8DA2-4FF0-BEA1-1CE795369FB9}</vt:lpwstr>
  </property>
</Properties>
</file>