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A65" w:rsidRPr="00F34766" w:rsidRDefault="001D6A65">
      <w:pPr>
        <w:pStyle w:val="Hemstlrubrik"/>
      </w:pPr>
      <w:r w:rsidRPr="00F34766">
        <w:t>Förslag till riksdagsbeslut</w:t>
      </w:r>
    </w:p>
    <w:p w:rsidR="001D6A65" w:rsidRPr="00F34766" w:rsidRDefault="001D6A65">
      <w:pPr>
        <w:pStyle w:val="Hemstlatt"/>
        <w:ind w:left="0"/>
      </w:pPr>
      <w:r w:rsidRPr="00F34766">
        <w:t>Riksdagen tillkännager för regeringen som sin mening vad som anförs i motionen om att trygga fjälljaktreformens fortbestånd samt att i anslutning härtill ompröva bestämmelserna i rennäringsförordningen 3 § i syfte att få till stånd en återgång till regleringen som den var utformad före den ändring som regeringen beslutade om i mars 2007.</w:t>
      </w:r>
    </w:p>
    <w:p w:rsidR="001D6A65" w:rsidRPr="00F34766" w:rsidRDefault="001D6A65">
      <w:pPr>
        <w:pStyle w:val="Rubrik1"/>
      </w:pPr>
      <w:r w:rsidRPr="00F34766">
        <w:t>Motivering</w:t>
      </w:r>
    </w:p>
    <w:p w:rsidR="001D6A65" w:rsidRPr="00F34766" w:rsidRDefault="001D6A65">
      <w:r w:rsidRPr="00F34766">
        <w:t>Fjälljaktreformen, som genomfördes 1993, har fört mycket gott med sig. Lokalbefolkningen har till mycket humana priser kunnat jaga på statens mark ovan odlingsgränsen, och detta har kunnat ske i samklang med både rennä</w:t>
      </w:r>
      <w:r w:rsidRPr="00F34766">
        <w:t>r</w:t>
      </w:r>
      <w:r w:rsidRPr="00F34766">
        <w:t>ingen och viltet. Dessutom har fjälljaktreformen haft mycket stor betydelse för lokalt verksamma turistföretagare. Verksamhetssäsongen har förlängts med åtskilliga veckor. Detta har i sin tur inneburit att fler människor kunnat sysselsättas och att det också har gett ett bidrag till att kunna upprätthålla den kommersiella servicen i annars klent försörjda områden. Det måste också sägas att de utökade jaktmöjligheterna inte bara har kommit lokalbefolknin</w:t>
      </w:r>
      <w:r w:rsidRPr="00F34766">
        <w:t>g</w:t>
      </w:r>
      <w:r w:rsidRPr="00F34766">
        <w:t>en till del utan har också betytt mycket för andra ja</w:t>
      </w:r>
      <w:r w:rsidRPr="00F34766">
        <w:t>ktintresserade i hela vårt a</w:t>
      </w:r>
      <w:r w:rsidRPr="00F34766">
        <w:t>v</w:t>
      </w:r>
      <w:r w:rsidRPr="00F34766">
        <w:t>långa land.</w:t>
      </w:r>
    </w:p>
    <w:p w:rsidR="001D6A65" w:rsidRPr="00F34766" w:rsidRDefault="001D6A65">
      <w:pPr>
        <w:pStyle w:val="Normaltindrag"/>
      </w:pPr>
      <w:r w:rsidRPr="00F34766">
        <w:t>I mars 2007 fattade regeringen beslut om att ändra i rennäringsförordnin</w:t>
      </w:r>
      <w:r w:rsidRPr="00F34766">
        <w:t>g</w:t>
      </w:r>
      <w:r w:rsidRPr="00F34766">
        <w:t xml:space="preserve">en 3 § för att öppna upp fjälljakten för utländska medborgare. Innebörden är att utländska medborgare ska ha samma rätt att jaga på statlig mark som svenskar och att de regleringar som tidigare funnits om jakttider och krav på medföljande svenska guider tas bort. </w:t>
      </w:r>
    </w:p>
    <w:p w:rsidR="001D6A65" w:rsidRPr="00F34766" w:rsidRDefault="001D6A65">
      <w:pPr>
        <w:pStyle w:val="Normaltindrag"/>
      </w:pPr>
      <w:r w:rsidRPr="00F34766">
        <w:t>Bakgrunden till beslutet är att Sverige fått en fråga från EU om våra tidig</w:t>
      </w:r>
      <w:r w:rsidRPr="00F34766">
        <w:t>a</w:t>
      </w:r>
      <w:r w:rsidRPr="00F34766">
        <w:t xml:space="preserve">re regleringar möjligen kunde vara ett brott mot tjänstedirektivet. Regeringen valde då att snabbt fatta beslut om att ta bort regleringarna eftersom man kände en oro för att frågan på sikt eventuellt skulle hamna i EG-domstolen. </w:t>
      </w:r>
      <w:r w:rsidRPr="00F34766">
        <w:lastRenderedPageBreak/>
        <w:t>Det förelåg aldrig någon anmälan, men regeringen valde ändå att fatta beslut hellre än att riskera en eventuell framtida konflikt med EU.</w:t>
      </w:r>
    </w:p>
    <w:p w:rsidR="001D6A65" w:rsidRPr="00F34766" w:rsidRDefault="001D6A65">
      <w:pPr>
        <w:pStyle w:val="Normaltindrag"/>
      </w:pPr>
      <w:r w:rsidRPr="00F34766">
        <w:t>Vi anser att regeringen fattade ett förhastat beslut om fjälljakten. Ingen konsekvensanalys genomfördes innan beslut, och ingen öppen debatt ha</w:t>
      </w:r>
      <w:r w:rsidRPr="00F34766">
        <w:t>r förts om frågan. Regeringens avsikt är att fjälljakten ska ”följas nogsamt” för att underhand se vad konsekvenserna blir. Anledningen till att berörda län tidig</w:t>
      </w:r>
      <w:r w:rsidRPr="00F34766">
        <w:t>a</w:t>
      </w:r>
      <w:r w:rsidRPr="00F34766">
        <w:t>re har fattat beslut om annorlunda regler för utländska jägare är att man under flera år av öppen jakt sett att behovet av särregler funnits. Sannolikt finns samma behov fortfarande. Utländska jägare har även tidigare kunnat jaga i de svenska fjällen, men det har funnits regler som har reglerat detta i form av bland annat krav på svenska guider. I</w:t>
      </w:r>
      <w:r w:rsidRPr="00F34766">
        <w:t xml:space="preserve"> Sverige har vi en mycket omfattande jaktlagstiftning, och en svensk jägarexamen kräver att man lär sig den samt den jaktetik som jägare har att förhålla sig till. Att öppna upp fjälljakten för utländska jägare som saknar svensk jägarexamen är ett felaktigt beslut.</w:t>
      </w:r>
    </w:p>
    <w:p w:rsidR="001D6A65" w:rsidRPr="00F34766" w:rsidRDefault="001D6A65">
      <w:pPr>
        <w:pStyle w:val="Normaltindrag"/>
      </w:pPr>
      <w:r w:rsidRPr="00F34766">
        <w:t>Den svenska fjällvärlden är ett känsligt område med en unik fauna. Vi a</w:t>
      </w:r>
      <w:r w:rsidRPr="00F34766">
        <w:t>n</w:t>
      </w:r>
      <w:r w:rsidRPr="00F34766">
        <w:t>ser att det är viktigt att värna vår natur och de här boendes rätt att nyttja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766">
        <w:trPr>
          <w:cantSplit/>
        </w:trPr>
        <w:tc>
          <w:tcPr>
            <w:tcW w:w="3046" w:type="dxa"/>
          </w:tcPr>
          <w:p w:rsidR="001D6A65" w:rsidRPr="00F34766" w:rsidRDefault="001D6A65">
            <w:pPr>
              <w:pStyle w:val="UnderskriftDatum"/>
              <w:spacing w:before="240"/>
            </w:pPr>
            <w:r w:rsidRPr="00F34766">
              <w:t>Stockholm den 3 oktober 2007</w:t>
            </w:r>
          </w:p>
        </w:tc>
        <w:tc>
          <w:tcPr>
            <w:tcW w:w="3047" w:type="dxa"/>
          </w:tcPr>
          <w:p w:rsidR="001D6A65" w:rsidRPr="00F34766" w:rsidRDefault="001D6A65">
            <w:pPr>
              <w:pStyle w:val="Underskrifter"/>
              <w:spacing w:before="240"/>
            </w:pPr>
          </w:p>
        </w:tc>
      </w:tr>
      <w:tr w:rsidR="00000000" w:rsidRPr="00F34766">
        <w:trPr>
          <w:cantSplit/>
        </w:trPr>
        <w:tc>
          <w:tcPr>
            <w:tcW w:w="3046" w:type="dxa"/>
          </w:tcPr>
          <w:p w:rsidR="001D6A65" w:rsidRPr="00F34766" w:rsidRDefault="001D6A65">
            <w:pPr>
              <w:pStyle w:val="Underskrifter"/>
            </w:pPr>
            <w:r w:rsidRPr="00F34766">
              <w:t>Karl Gustav Abramsson (s)</w:t>
            </w:r>
          </w:p>
        </w:tc>
        <w:tc>
          <w:tcPr>
            <w:tcW w:w="3046" w:type="dxa"/>
          </w:tcPr>
          <w:p w:rsidR="001D6A65" w:rsidRPr="00F34766" w:rsidRDefault="001D6A65">
            <w:pPr>
              <w:pStyle w:val="Underskrifter"/>
            </w:pPr>
          </w:p>
        </w:tc>
      </w:tr>
      <w:tr w:rsidR="00000000" w:rsidRPr="00F34766">
        <w:trPr>
          <w:cantSplit/>
        </w:trPr>
        <w:tc>
          <w:tcPr>
            <w:tcW w:w="3046" w:type="dxa"/>
          </w:tcPr>
          <w:p w:rsidR="001D6A65" w:rsidRPr="00F34766" w:rsidRDefault="001D6A65">
            <w:pPr>
              <w:pStyle w:val="Underskrifter"/>
            </w:pPr>
            <w:r w:rsidRPr="00F34766">
              <w:t>Anneli Särnblad (s)</w:t>
            </w:r>
          </w:p>
        </w:tc>
        <w:tc>
          <w:tcPr>
            <w:tcW w:w="3046" w:type="dxa"/>
          </w:tcPr>
          <w:p w:rsidR="001D6A65" w:rsidRPr="00F34766" w:rsidRDefault="001D6A65">
            <w:pPr>
              <w:pStyle w:val="Underskrifter"/>
            </w:pPr>
            <w:r w:rsidRPr="00F34766">
              <w:t>Gunnar Sandberg (s)</w:t>
            </w:r>
          </w:p>
        </w:tc>
      </w:tr>
      <w:tr w:rsidR="00000000" w:rsidRPr="00F34766">
        <w:trPr>
          <w:cantSplit/>
        </w:trPr>
        <w:tc>
          <w:tcPr>
            <w:tcW w:w="3046" w:type="dxa"/>
          </w:tcPr>
          <w:p w:rsidR="001D6A65" w:rsidRPr="00F34766" w:rsidRDefault="001D6A65">
            <w:pPr>
              <w:pStyle w:val="Underskrifter"/>
            </w:pPr>
            <w:r w:rsidRPr="00F34766">
              <w:t>Hans Stenberg (s)</w:t>
            </w:r>
          </w:p>
        </w:tc>
        <w:tc>
          <w:tcPr>
            <w:tcW w:w="3046" w:type="dxa"/>
          </w:tcPr>
          <w:p w:rsidR="001D6A65" w:rsidRPr="00F34766" w:rsidRDefault="001D6A65">
            <w:pPr>
              <w:pStyle w:val="Underskrifter"/>
            </w:pPr>
            <w:r w:rsidRPr="00F34766">
              <w:t>Karin Åström (s)</w:t>
            </w:r>
          </w:p>
        </w:tc>
      </w:tr>
      <w:tr w:rsidR="00000000" w:rsidRPr="00F34766">
        <w:trPr>
          <w:cantSplit/>
        </w:trPr>
        <w:tc>
          <w:tcPr>
            <w:tcW w:w="3046" w:type="dxa"/>
          </w:tcPr>
          <w:p w:rsidR="001D6A65" w:rsidRPr="00F34766" w:rsidRDefault="001D6A65">
            <w:pPr>
              <w:pStyle w:val="Underskrifter"/>
            </w:pPr>
            <w:r w:rsidRPr="00F34766">
              <w:t>Tommy Ternemar (s)</w:t>
            </w:r>
          </w:p>
        </w:tc>
        <w:tc>
          <w:tcPr>
            <w:tcW w:w="3046" w:type="dxa"/>
          </w:tcPr>
          <w:p w:rsidR="001D6A65" w:rsidRPr="00F34766" w:rsidRDefault="001D6A65">
            <w:pPr>
              <w:pStyle w:val="Underskrifter"/>
            </w:pPr>
            <w:r w:rsidRPr="00F34766">
              <w:t>Sinikka Bohlin (s)</w:t>
            </w:r>
          </w:p>
        </w:tc>
      </w:tr>
    </w:tbl>
    <w:p w:rsidR="001D6A65" w:rsidRPr="00F34766" w:rsidRDefault="001D6A65">
      <w:pPr>
        <w:pStyle w:val="Normaltindrag"/>
      </w:pPr>
    </w:p>
    <w:sectPr w:rsidR="001D6A65" w:rsidRPr="00F347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A65" w:rsidRPr="00F34766" w:rsidRDefault="001D6A65">
      <w:r w:rsidRPr="00F34766">
        <w:separator/>
      </w:r>
    </w:p>
  </w:endnote>
  <w:endnote w:type="continuationSeparator" w:id="0">
    <w:p w:rsidR="001D6A65" w:rsidRPr="00F34766" w:rsidRDefault="001D6A65">
      <w:r w:rsidRPr="00F34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A65" w:rsidRPr="00F34766" w:rsidRDefault="00F34766">
    <w:pPr>
      <w:pStyle w:val="Sidfot"/>
    </w:pPr>
    <w:r w:rsidRPr="00F347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645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A65" w:rsidRDefault="001D6A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A65" w:rsidRDefault="001D6A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A65" w:rsidRPr="00F34766" w:rsidRDefault="00F34766">
    <w:pPr>
      <w:pStyle w:val="Sidfot"/>
    </w:pPr>
    <w:r w:rsidRPr="00F347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6422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A65" w:rsidRDefault="001D6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A65" w:rsidRDefault="001D6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A65" w:rsidRPr="00F34766" w:rsidRDefault="00F34766">
    <w:pPr>
      <w:pStyle w:val="Sidfot"/>
    </w:pPr>
    <w:r w:rsidRPr="00F347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427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A65" w:rsidRDefault="001D6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A65" w:rsidRDefault="001D6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A65" w:rsidRPr="00F34766" w:rsidRDefault="001D6A65">
      <w:r w:rsidRPr="00F34766">
        <w:separator/>
      </w:r>
    </w:p>
  </w:footnote>
  <w:footnote w:type="continuationSeparator" w:id="0">
    <w:p w:rsidR="001D6A65" w:rsidRPr="00F34766" w:rsidRDefault="001D6A65">
      <w:r w:rsidRPr="00F347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A65" w:rsidRPr="00F34766" w:rsidRDefault="00F34766">
    <w:pPr>
      <w:pStyle w:val="Sidhuvud"/>
    </w:pPr>
    <w:r w:rsidRPr="00F347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8635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A65" w:rsidRDefault="001D6A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A65" w:rsidRDefault="001D6A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A65" w:rsidRPr="00F34766" w:rsidRDefault="00F34766">
    <w:pPr>
      <w:pStyle w:val="Sidhuvud"/>
    </w:pPr>
    <w:r w:rsidRPr="00F347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123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A65" w:rsidRDefault="001D6A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A65" w:rsidRDefault="001D6A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A65" w:rsidRPr="00F34766" w:rsidRDefault="001D6A65">
    <w:pPr>
      <w:pStyle w:val="FSHNormal"/>
      <w:tabs>
        <w:tab w:val="right" w:pos="5840"/>
      </w:tabs>
    </w:pPr>
    <w:r w:rsidRPr="00F34766">
      <w:br/>
    </w:r>
    <w:r w:rsidRPr="00F34766">
      <w:fldChar w:fldCharType="begin" w:fldLock="1"/>
    </w:r>
    <w:r w:rsidRPr="00F34766">
      <w:instrText xml:space="preserve"> DOCPROPERTY</w:instrText>
    </w:r>
    <w:r w:rsidRPr="00F34766">
      <w:rPr>
        <w:sz w:val="18"/>
      </w:rPr>
      <w:instrText xml:space="preserve"> "YearUser" *\charformat </w:instrText>
    </w:r>
    <w:r w:rsidRPr="00F34766">
      <w:fldChar w:fldCharType="separate"/>
    </w:r>
    <w:r w:rsidRPr="00F34766">
      <w:t>2007/08</w:t>
    </w:r>
    <w:r w:rsidRPr="00F34766">
      <w:fldChar w:fldCharType="end"/>
    </w:r>
    <w:r w:rsidRPr="00F34766">
      <w:t xml:space="preserve"> </w:t>
    </w:r>
    <w:r w:rsidRPr="00F34766">
      <w:tab/>
      <w:t xml:space="preserve">mnr: </w:t>
    </w:r>
    <w:r w:rsidRPr="00F34766">
      <w:fldChar w:fldCharType="begin" w:fldLock="1"/>
    </w:r>
    <w:r w:rsidRPr="00F34766">
      <w:instrText xml:space="preserve"> DOCPROPERTY</w:instrText>
    </w:r>
    <w:r w:rsidRPr="00F34766">
      <w:rPr>
        <w:sz w:val="18"/>
      </w:rPr>
      <w:instrText xml:space="preserve"> "Motionsnummer" *\charformat </w:instrText>
    </w:r>
    <w:r w:rsidRPr="00F34766">
      <w:fldChar w:fldCharType="separate"/>
    </w:r>
    <w:r w:rsidRPr="00F34766">
      <w:t>MJ353</w:t>
    </w:r>
    <w:r w:rsidRPr="00F34766">
      <w:fldChar w:fldCharType="end"/>
    </w:r>
    <w:r w:rsidRPr="00F34766">
      <w:br/>
    </w:r>
    <w:r w:rsidRPr="00F34766">
      <w:fldChar w:fldCharType="begin" w:fldLock="1"/>
    </w:r>
    <w:r w:rsidRPr="00F34766">
      <w:instrText xml:space="preserve"> DOCPROPERTY</w:instrText>
    </w:r>
    <w:r w:rsidRPr="00F34766">
      <w:rPr>
        <w:sz w:val="18"/>
      </w:rPr>
      <w:instrText xml:space="preserve"> "Samling" *\charformat </w:instrText>
    </w:r>
    <w:r w:rsidRPr="00F34766">
      <w:fldChar w:fldCharType="end"/>
    </w:r>
    <w:r w:rsidRPr="00F34766">
      <w:tab/>
      <w:t xml:space="preserve">pnr: </w:t>
    </w:r>
    <w:r w:rsidRPr="00F34766">
      <w:fldChar w:fldCharType="begin" w:fldLock="1"/>
    </w:r>
    <w:r w:rsidRPr="00F34766">
      <w:instrText xml:space="preserve"> DOCPROPERTY</w:instrText>
    </w:r>
    <w:r w:rsidRPr="00F34766">
      <w:rPr>
        <w:sz w:val="18"/>
      </w:rPr>
      <w:instrText xml:space="preserve"> "Partinummer" *\charformat </w:instrText>
    </w:r>
    <w:r w:rsidRPr="00F34766">
      <w:fldChar w:fldCharType="separate"/>
    </w:r>
    <w:r w:rsidRPr="00F34766">
      <w:t>s45048</w:t>
    </w:r>
    <w:r w:rsidRPr="00F34766">
      <w:fldChar w:fldCharType="end"/>
    </w:r>
  </w:p>
  <w:p w:rsidR="001D6A65" w:rsidRPr="00F34766" w:rsidRDefault="001D6A65">
    <w:pPr>
      <w:pStyle w:val="FSHRub1"/>
    </w:pPr>
    <w:r w:rsidRPr="00F34766">
      <w:t>Motion till riksdagen</w:t>
    </w:r>
    <w:r w:rsidRPr="00F34766">
      <w:br/>
    </w:r>
    <w:r w:rsidRPr="00F34766">
      <w:fldChar w:fldCharType="begin" w:fldLock="1"/>
    </w:r>
    <w:r w:rsidRPr="00F34766">
      <w:instrText xml:space="preserve"> DOCPROPERTY "YearUser" *\charformat </w:instrText>
    </w:r>
    <w:r w:rsidRPr="00F34766">
      <w:fldChar w:fldCharType="separate"/>
    </w:r>
    <w:r w:rsidRPr="00F34766">
      <w:t>2007/08</w:t>
    </w:r>
    <w:r w:rsidRPr="00F34766">
      <w:fldChar w:fldCharType="end"/>
    </w:r>
    <w:r w:rsidRPr="00F34766">
      <w:t>:</w:t>
    </w:r>
    <w:r w:rsidRPr="00F34766">
      <w:fldChar w:fldCharType="begin" w:fldLock="1"/>
    </w:r>
    <w:r w:rsidRPr="00F34766">
      <w:instrText xml:space="preserve"> DOCPROPERTY "Motionsnummer" *\charformat </w:instrText>
    </w:r>
    <w:r w:rsidRPr="00F34766">
      <w:fldChar w:fldCharType="separate"/>
    </w:r>
    <w:r w:rsidRPr="00F34766">
      <w:t>MJ353</w:t>
    </w:r>
    <w:r w:rsidRPr="00F34766">
      <w:fldChar w:fldCharType="end"/>
    </w:r>
  </w:p>
  <w:p w:rsidR="001D6A65" w:rsidRPr="00F34766" w:rsidRDefault="001D6A65">
    <w:pPr>
      <w:pStyle w:val="FSHNormalS5"/>
    </w:pPr>
    <w:r w:rsidRPr="00F34766">
      <w:fldChar w:fldCharType="begin" w:fldLock="1"/>
    </w:r>
    <w:r w:rsidRPr="00F34766">
      <w:instrText xml:space="preserve"> DOCPROPERTY "MotionarText" *\charformat </w:instrText>
    </w:r>
    <w:r w:rsidRPr="00F34766">
      <w:fldChar w:fldCharType="separate"/>
    </w:r>
    <w:r w:rsidRPr="00F34766">
      <w:t>av Karl Gustav Abramsson m.fl. (s)</w:t>
    </w:r>
    <w:r w:rsidRPr="00F34766">
      <w:fldChar w:fldCharType="end"/>
    </w:r>
    <w:r w:rsidRPr="00F34766">
      <w:br/>
    </w:r>
    <w:r w:rsidRPr="00F34766">
      <w:fldChar w:fldCharType="begin" w:fldLock="1"/>
    </w:r>
    <w:r w:rsidRPr="00F34766">
      <w:instrText xml:space="preserve"> DOCPROPERTY "SvarFrasKort" *\charformat </w:instrText>
    </w:r>
    <w:r w:rsidRPr="00F34766">
      <w:fldChar w:fldCharType="end"/>
    </w:r>
  </w:p>
  <w:p w:rsidR="001D6A65" w:rsidRPr="00F34766" w:rsidRDefault="001D6A65">
    <w:pPr>
      <w:pStyle w:val="FSHTitel"/>
    </w:pPr>
    <w:r w:rsidRPr="00F34766">
      <w:fldChar w:fldCharType="begin" w:fldLock="1"/>
    </w:r>
    <w:r w:rsidRPr="00F34766">
      <w:instrText xml:space="preserve"> DOCPROPERTY</w:instrText>
    </w:r>
    <w:r w:rsidRPr="00F34766">
      <w:rPr>
        <w:sz w:val="18"/>
      </w:rPr>
      <w:instrText xml:space="preserve"> "RubrikSvar" *\charformat </w:instrText>
    </w:r>
    <w:r w:rsidRPr="00F34766">
      <w:fldChar w:fldCharType="separate"/>
    </w:r>
    <w:r w:rsidRPr="00F34766">
      <w:t>Fjälljakt</w:t>
    </w:r>
    <w:r w:rsidRPr="00F34766">
      <w:fldChar w:fldCharType="end"/>
    </w:r>
  </w:p>
  <w:p w:rsidR="001D6A65" w:rsidRPr="00F34766" w:rsidRDefault="001D6A65">
    <w:pPr>
      <w:pStyle w:val="Normal00"/>
    </w:pPr>
  </w:p>
  <w:p w:rsidR="001D6A65" w:rsidRPr="00F34766" w:rsidRDefault="001D6A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5648975">
    <w:abstractNumId w:val="8"/>
  </w:num>
  <w:num w:numId="2" w16cid:durableId="1651061008">
    <w:abstractNumId w:val="9"/>
  </w:num>
  <w:num w:numId="3" w16cid:durableId="1948653287">
    <w:abstractNumId w:val="8"/>
  </w:num>
  <w:num w:numId="4" w16cid:durableId="1353994240">
    <w:abstractNumId w:val="9"/>
  </w:num>
  <w:num w:numId="5" w16cid:durableId="1234468689">
    <w:abstractNumId w:val="13"/>
  </w:num>
  <w:num w:numId="6" w16cid:durableId="441845750">
    <w:abstractNumId w:val="10"/>
  </w:num>
  <w:num w:numId="7" w16cid:durableId="353657384">
    <w:abstractNumId w:val="11"/>
  </w:num>
  <w:num w:numId="8" w16cid:durableId="1679774201">
    <w:abstractNumId w:val="12"/>
  </w:num>
  <w:num w:numId="9" w16cid:durableId="2125731383">
    <w:abstractNumId w:val="8"/>
  </w:num>
  <w:num w:numId="10" w16cid:durableId="1631549402">
    <w:abstractNumId w:val="3"/>
  </w:num>
  <w:num w:numId="11" w16cid:durableId="1162770452">
    <w:abstractNumId w:val="2"/>
  </w:num>
  <w:num w:numId="12" w16cid:durableId="2035156709">
    <w:abstractNumId w:val="1"/>
  </w:num>
  <w:num w:numId="13" w16cid:durableId="796338034">
    <w:abstractNumId w:val="0"/>
  </w:num>
  <w:num w:numId="14" w16cid:durableId="1954827728">
    <w:abstractNumId w:val="9"/>
  </w:num>
  <w:num w:numId="15" w16cid:durableId="1948271750">
    <w:abstractNumId w:val="7"/>
  </w:num>
  <w:num w:numId="16" w16cid:durableId="140392668">
    <w:abstractNumId w:val="6"/>
  </w:num>
  <w:num w:numId="17" w16cid:durableId="341199201">
    <w:abstractNumId w:val="5"/>
  </w:num>
  <w:num w:numId="18" w16cid:durableId="1644850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076CD40-6878-452F-A7A2-55734F5EB70B},{E33618BE-6E34-4B8F-8F3F-2D6B0B8CA0A8},{CA7D3CBE-D579-4C0A-9167-C63078DC176D},{B18FB4F6-E5C3-4394-92DB-9CB27A7B60F0},{B3C0004F-CA55-4619-AE3B-5B534EAD0297},{65B7BAB0-9E4C-4D05-8016-3C0296CE1E45},{A84252AD-74F7-4D5E-861A-3F95269FC5C7}"/>
  </w:docVars>
  <w:rsids>
    <w:rsidRoot w:val="00715339"/>
    <w:rsid w:val="001D6A65"/>
    <w:rsid w:val="00715339"/>
    <w:rsid w:val="00F347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489B9-D4F1-4A77-8E1C-D1475946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2690</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s45048</vt:lpstr>
    </vt:vector>
  </TitlesOfParts>
  <Company>Riksdagen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s45048</dc:title>
  <dc:subject>s45048</dc:subject>
  <dc:creator>Riksdagen</dc:creator>
  <cp:keywords>Riksdagen</cp:keywords>
  <dc:description>TKG-ktrl, MSMQ4mb, PersReg-Distribution mm</dc:description>
  <cp:lastModifiedBy>Lars Brink</cp:lastModifiedBy>
  <cp:revision>2</cp:revision>
  <cp:lastPrinted>2007-12-03T07:21:00Z</cp:lastPrinted>
  <dcterms:created xsi:type="dcterms:W3CDTF">2025-12-17T07:00:00Z</dcterms:created>
  <dcterms:modified xsi:type="dcterms:W3CDTF">2025-12-17T07:00:00Z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Fjälljakt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Karl Gustav Abramsson m.fl. (s)</vt:lpwstr>
  </property>
  <property fmtid="{D5CDD505-2E9C-101B-9397-08002B2CF9AE}" pid="26" name="MotionarLista">
    <vt:lpwstr>Abramsson, Karl Gustav (s)\Särnblad, Anneli (s)\Sandberg, Gunnar (s)\Stenberg, Hans (s)\Åström, Karin (s)\Ternemar, Tommy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Anneli Särnblad (s), Gunnar Sandberg (s), Hans Stenberg (s), Karin Åström (s), Tommy Ternemar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20072008000000000115000450480069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20072008000000000115000450480069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{A9E5A01D-9454-460E-9411-89114D19C603}</vt:lpwstr>
  </property>
  <property fmtid="{D5CDD505-2E9C-101B-9397-08002B2CF9AE}" pid="53" name="Överföringar">
    <vt:i4>0</vt:i4>
  </property>
  <property fmtid="{D5CDD505-2E9C-101B-9397-08002B2CF9AE}" pid="54" name="Checksum">
    <vt:lpwstr>*1005978190899*</vt:lpwstr>
  </property>
  <property fmtid="{D5CDD505-2E9C-101B-9397-08002B2CF9AE}" pid="55" name="skuggnummer">
    <vt:lpwstr>1813</vt:lpwstr>
  </property>
  <property fmtid="{D5CDD505-2E9C-101B-9397-08002B2CF9AE}" pid="56" name="urixVersion">
    <vt:lpwstr>3.2.0.8</vt:lpwstr>
  </property>
  <property fmtid="{D5CDD505-2E9C-101B-9397-08002B2CF9AE}" pid="57" name="urixOrigin">
    <vt:lpwstr>071203 08:21:27.045</vt:lpwstr>
  </property>
  <property fmtid="{D5CDD505-2E9C-101B-9397-08002B2CF9AE}" pid="58" name="urixGuid">
    <vt:lpwstr>{94B97F8F-A142-4A46-B2F9-F130FC1C62F2}</vt:lpwstr>
  </property>
</Properties>
</file>